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楷体_GB2312" w:cs="Arial"/>
          <w:b/>
          <w:bCs/>
          <w:sz w:val="32"/>
          <w:szCs w:val="32"/>
        </w:rPr>
      </w:pPr>
      <w:r>
        <w:rPr>
          <w:rFonts w:ascii="Arial" w:hAnsi="Arial" w:eastAsia="楷体_GB2312" w:cs="Arial"/>
          <w:b/>
          <w:bCs/>
          <w:sz w:val="32"/>
          <w:szCs w:val="32"/>
        </w:rPr>
        <w:t>评估费收费说明</w:t>
      </w:r>
    </w:p>
    <w:p>
      <w:p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hint="eastAsia" w:ascii="Arial" w:hAnsi="Arial" w:eastAsia="楷体_GB2312" w:cs="Arial"/>
          <w:sz w:val="28"/>
          <w:szCs w:val="28"/>
        </w:rPr>
        <w:t>中国银行股份有限公司北京市分行</w:t>
      </w:r>
      <w:r>
        <w:rPr>
          <w:rFonts w:ascii="Arial" w:hAnsi="Arial" w:eastAsia="楷体_GB2312" w:cs="Arial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您好！承蒙委托，我公司对位于</w:t>
      </w:r>
      <w:r>
        <w:rPr>
          <w:rFonts w:hint="eastAsia" w:ascii="Arial" w:hAnsi="Arial" w:eastAsia="楷体_GB2312" w:cs="Arial"/>
          <w:sz w:val="28"/>
          <w:szCs w:val="28"/>
        </w:rPr>
        <w:t>北京市北苑东路19号院4号楼11层110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2办公</w:t>
      </w:r>
      <w:r>
        <w:rPr>
          <w:rFonts w:hint="eastAsia" w:ascii="Arial" w:hAnsi="Arial" w:eastAsia="楷体_GB2312" w:cs="Arial"/>
          <w:sz w:val="28"/>
          <w:szCs w:val="28"/>
        </w:rPr>
        <w:t>用房房地产</w:t>
      </w:r>
      <w:r>
        <w:rPr>
          <w:rFonts w:ascii="Arial" w:hAnsi="Arial" w:eastAsia="楷体_GB2312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抵押类住宅类评估项目：收费150/套；</w:t>
      </w:r>
    </w:p>
    <w:p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抵押类别墅（含四合院）类项目：收费500/栋；</w:t>
      </w:r>
    </w:p>
    <w:p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非住宅类（含住宅开发贷款）评估项目：收费按国家标准的1.56折。</w:t>
      </w:r>
    </w:p>
    <w:p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本次评估价值为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192万</w:t>
      </w:r>
      <w:r>
        <w:rPr>
          <w:rFonts w:ascii="Arial" w:hAnsi="Arial" w:eastAsia="楷体_GB2312" w:cs="Arial"/>
          <w:sz w:val="28"/>
          <w:szCs w:val="28"/>
        </w:rPr>
        <w:t>元，抵押物为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办公</w:t>
      </w:r>
      <w:r>
        <w:rPr>
          <w:rFonts w:hint="eastAsia" w:ascii="Arial" w:hAnsi="Arial" w:eastAsia="楷体_GB2312" w:cs="Arial"/>
          <w:sz w:val="28"/>
          <w:szCs w:val="28"/>
        </w:rPr>
        <w:t>用房</w:t>
      </w:r>
      <w:r>
        <w:rPr>
          <w:rFonts w:ascii="Arial" w:hAnsi="Arial" w:eastAsia="楷体_GB2312" w:cs="Arial"/>
          <w:sz w:val="28"/>
          <w:szCs w:val="28"/>
        </w:rPr>
        <w:t>，依照以上标准，收费金额为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911</w:t>
      </w:r>
      <w:r>
        <w:rPr>
          <w:rFonts w:ascii="Arial" w:hAnsi="Arial" w:eastAsia="楷体_GB2312" w:cs="Arial"/>
          <w:sz w:val="28"/>
          <w:szCs w:val="28"/>
        </w:rPr>
        <w:t>元。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特此说明</w:t>
      </w:r>
      <w:bookmarkStart w:id="0" w:name="_GoBack"/>
      <w:bookmarkEnd w:id="0"/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 xml:space="preserve">                     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公司账户信息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公  司 名 称：北京康正宏基房地产评估有限公司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纳税人识别号：91110106722616974K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开   户   行：交通银行北京和平里支行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账        号：110060739012015026873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地        址：北京市丰台区芳城园一区16号楼2层2门配套公建01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电        话：82253558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</w:p>
    <w:p>
      <w:pPr>
        <w:spacing w:line="500" w:lineRule="exact"/>
        <w:ind w:firstLine="3920" w:firstLineChars="1400"/>
        <w:rPr>
          <w:rFonts w:ascii="Arial" w:hAnsi="Arial" w:eastAsia="仿宋_GB2312" w:cs="Arial"/>
          <w:sz w:val="28"/>
          <w:szCs w:val="28"/>
        </w:rPr>
      </w:pPr>
    </w:p>
    <w:p>
      <w:pPr>
        <w:spacing w:line="500" w:lineRule="exact"/>
        <w:ind w:firstLine="4060" w:firstLineChars="145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北京康正宏基房地产评估有限公司</w:t>
      </w:r>
    </w:p>
    <w:p>
      <w:pPr>
        <w:spacing w:line="500" w:lineRule="exact"/>
        <w:ind w:firstLine="560" w:firstLineChars="200"/>
        <w:rPr>
          <w:rFonts w:hint="eastAsia" w:ascii="Arial" w:hAnsi="Arial" w:eastAsia="楷体_GB2312" w:cs="Arial"/>
          <w:sz w:val="28"/>
          <w:szCs w:val="28"/>
          <w:lang w:val="en-US" w:eastAsia="zh-CN"/>
        </w:rPr>
      </w:pPr>
      <w:r>
        <w:rPr>
          <w:rFonts w:ascii="Arial" w:hAnsi="Arial" w:eastAsia="楷体_GB2312" w:cs="Arial"/>
          <w:sz w:val="28"/>
          <w:szCs w:val="28"/>
        </w:rPr>
        <w:t xml:space="preserve">                                    202</w:t>
      </w:r>
      <w:r>
        <w:rPr>
          <w:rFonts w:hint="eastAsia" w:ascii="Arial" w:hAnsi="Arial" w:eastAsia="楷体_GB2312" w:cs="Arial"/>
          <w:sz w:val="28"/>
          <w:szCs w:val="28"/>
        </w:rPr>
        <w:t>3</w:t>
      </w:r>
      <w:r>
        <w:rPr>
          <w:rFonts w:ascii="Arial" w:hAnsi="Arial" w:eastAsia="楷体_GB2312" w:cs="Arial"/>
          <w:sz w:val="28"/>
          <w:szCs w:val="28"/>
        </w:rPr>
        <w:t>.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9</w:t>
      </w:r>
      <w:r>
        <w:rPr>
          <w:rFonts w:ascii="Arial" w:hAnsi="Arial" w:eastAsia="楷体_GB2312" w:cs="Arial"/>
          <w:sz w:val="28"/>
          <w:szCs w:val="28"/>
        </w:rPr>
        <w:t>.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8</w:t>
      </w:r>
    </w:p>
    <w:sectPr>
      <w:headerReference r:id="rId3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56AF2"/>
    <w:multiLevelType w:val="multilevel"/>
    <w:tmpl w:val="2F156AF2"/>
    <w:lvl w:ilvl="0" w:tentative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wNWE1N2NkN2IwN2Y4ODExYzk5MTA1ZTkxMTNhNDgifQ=="/>
  </w:docVars>
  <w:rsids>
    <w:rsidRoot w:val="00E37FDE"/>
    <w:rsid w:val="000013B1"/>
    <w:rsid w:val="000051D4"/>
    <w:rsid w:val="0001133E"/>
    <w:rsid w:val="0001398E"/>
    <w:rsid w:val="00020DF7"/>
    <w:rsid w:val="00034988"/>
    <w:rsid w:val="000359CD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30DF0"/>
    <w:rsid w:val="00237535"/>
    <w:rsid w:val="00242F8A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2F7C19"/>
    <w:rsid w:val="003234C6"/>
    <w:rsid w:val="003335BD"/>
    <w:rsid w:val="00340D93"/>
    <w:rsid w:val="0034593A"/>
    <w:rsid w:val="003B370D"/>
    <w:rsid w:val="003B44F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64431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07C4F"/>
    <w:rsid w:val="00861971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048E"/>
    <w:rsid w:val="009B2AC6"/>
    <w:rsid w:val="00A10E58"/>
    <w:rsid w:val="00A116B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97122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228CF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5AA"/>
    <w:rsid w:val="00E776B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D887EF3"/>
    <w:rsid w:val="26A63DCB"/>
    <w:rsid w:val="31816CF2"/>
    <w:rsid w:val="4EA62DE8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link w:val="2"/>
    <w:semiHidden/>
    <w:locked/>
    <w:uiPriority w:val="0"/>
    <w:rPr>
      <w:rFonts w:cs="Times New Roman"/>
      <w:sz w:val="2"/>
    </w:rPr>
  </w:style>
  <w:style w:type="character" w:customStyle="1" w:styleId="9">
    <w:name w:val="页眉 Char"/>
    <w:link w:val="4"/>
    <w:locked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Char"/>
    <w:link w:val="3"/>
    <w:locked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KZ</Company>
  <Pages>1</Pages>
  <Words>75</Words>
  <Characters>432</Characters>
  <Lines>3</Lines>
  <Paragraphs>1</Paragraphs>
  <TotalTime>6</TotalTime>
  <ScaleCrop>false</ScaleCrop>
  <LinksUpToDate>false</LinksUpToDate>
  <CharactersWithSpaces>506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2022-02-22T07:57:00Z</dcterms:created>
  <dc:creator>欧红伟</dc:creator>
  <cp:lastModifiedBy>对公技术部-解国明</cp:lastModifiedBy>
  <cp:lastPrinted>2023-07-11T08:05:00Z</cp:lastPrinted>
  <dcterms:modified xsi:type="dcterms:W3CDTF">2023-09-07T10:02:12Z</dcterms:modified>
  <dc:title>关于“隆福广场”评估报告评估费收费收费说明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6B7845B7815E444FA5BF74325A3D98A0</vt:lpwstr>
  </property>
</Properties>
</file>