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 w:ascii="Arial" w:hAnsi="Arial" w:eastAsia="宋体" w:cs="Arial"/>
          <w:sz w:val="44"/>
          <w:szCs w:val="44"/>
          <w:lang w:eastAsia="zh-CN"/>
        </w:rPr>
      </w:pPr>
      <w:r>
        <w:rPr>
          <w:rFonts w:hint="default" w:ascii="Arial" w:hAnsi="Arial" w:eastAsia="宋体" w:cs="Arial"/>
          <w:sz w:val="44"/>
          <w:szCs w:val="44"/>
        </w:rPr>
        <w:t>京0105民初74182号</w:t>
      </w:r>
      <w:r>
        <w:rPr>
          <w:rFonts w:hint="eastAsia" w:ascii="Arial" w:hAnsi="Arial" w:eastAsia="宋体" w:cs="Arial"/>
          <w:sz w:val="44"/>
          <w:szCs w:val="44"/>
          <w:lang w:eastAsia="zh-CN"/>
        </w:rPr>
        <w:t>案件中止函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北京市朝阳区人民法院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受贵院委托，我司于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2021年10月18日受理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）京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0105民初74182号案件中当事人对北京市朝阳区来广营西路69号楼3号院4-602号住宅用房进行房地产评估事宜，10月21日通知交费义务人进行交费事宜。交费义务人对评估价值时点存在异议。截至本中止函出具日，一直未交纳评估预缴费用，以致我司无法继续开展工作，特此申请提出中止服务，待指定交费义务人交费后，继续开展评估相关工作，望予批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北京康正宏基房地产评估有限公司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2021年11月17日</w:t>
      </w:r>
    </w:p>
    <w:p>
      <w:pPr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AB14"/>
    <w:multiLevelType w:val="singleLevel"/>
    <w:tmpl w:val="A971AB14"/>
    <w:lvl w:ilvl="0" w:tentative="0">
      <w:start w:val="202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701D"/>
    <w:rsid w:val="479158F7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2021-11-17T00:55:00Z</dcterms:created>
  <dc:creator>kz</dc:creator>
  <cp:lastModifiedBy>俊然</cp:lastModifiedBy>
  <dcterms:modified xsi:type="dcterms:W3CDTF">2021-11-17T01:15:42Z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A09D13DF6C6E4CE4BF82DF2A4008C0B9</vt:lpwstr>
  </property>
</Properties>
</file>