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Arial" w:hAnsi="Arial" w:eastAsia="宋体" w:cs="Arial"/>
          <w:b/>
          <w:sz w:val="30"/>
          <w:szCs w:val="30"/>
        </w:rPr>
      </w:pPr>
      <w:r>
        <w:rPr>
          <w:rFonts w:hint="eastAsia" w:ascii="Arial" w:hAnsi="Arial" w:eastAsia="宋体" w:cs="Arial"/>
          <w:b/>
          <w:sz w:val="30"/>
          <w:szCs w:val="30"/>
        </w:rPr>
        <w:t>中粮信托-福享11号集合资金信托计划</w:t>
      </w:r>
    </w:p>
    <w:p>
      <w:pPr>
        <w:jc w:val="center"/>
        <w:outlineLvl w:val="0"/>
        <w:rPr>
          <w:rFonts w:ascii="Arial" w:hAnsi="Arial" w:eastAsia="宋体" w:cs="Arial"/>
          <w:b/>
          <w:sz w:val="30"/>
          <w:szCs w:val="30"/>
        </w:rPr>
      </w:pPr>
      <w:r>
        <w:rPr>
          <w:rFonts w:hint="eastAsia" w:ascii="Arial" w:hAnsi="Arial" w:eastAsia="宋体" w:cs="Arial"/>
          <w:b/>
          <w:sz w:val="30"/>
          <w:szCs w:val="30"/>
        </w:rPr>
        <w:t>监管服务</w:t>
      </w:r>
      <w:r>
        <w:rPr>
          <w:rFonts w:ascii="Arial" w:hAnsi="Arial" w:eastAsia="宋体" w:cs="Arial"/>
          <w:b/>
          <w:sz w:val="30"/>
          <w:szCs w:val="30"/>
        </w:rPr>
        <w:t>收费申请书</w:t>
      </w:r>
    </w:p>
    <w:p>
      <w:pPr>
        <w:rPr>
          <w:rFonts w:ascii="Arial" w:hAnsi="Arial" w:eastAsia="宋体" w:cs="Arial"/>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Arial" w:hAnsi="Arial" w:eastAsia="宋体" w:cs="Arial"/>
          <w:b/>
          <w:sz w:val="24"/>
          <w:szCs w:val="24"/>
        </w:rPr>
      </w:pPr>
      <w:r>
        <w:rPr>
          <w:rFonts w:hint="eastAsia" w:asciiTheme="minorEastAsia" w:hAnsiTheme="minorEastAsia"/>
          <w:b/>
          <w:sz w:val="24"/>
          <w:szCs w:val="24"/>
        </w:rPr>
        <w:t>中粮信托有限责任公司</w:t>
      </w:r>
      <w:r>
        <w:rPr>
          <w:rFonts w:ascii="Arial" w:hAnsi="Arial" w:eastAsia="宋体" w:cs="Arial"/>
          <w:b/>
          <w:sz w:val="24"/>
          <w:szCs w:val="24"/>
        </w:rPr>
        <w:t>：</w:t>
      </w:r>
    </w:p>
    <w:p>
      <w:pPr>
        <w:spacing w:line="480" w:lineRule="auto"/>
        <w:ind w:firstLine="540" w:firstLineChars="225"/>
        <w:rPr>
          <w:rFonts w:hint="eastAsia" w:ascii="Arial" w:hAnsi="Arial" w:eastAsia="宋体" w:cs="Arial"/>
          <w:sz w:val="24"/>
          <w:szCs w:val="24"/>
          <w:lang w:val="en-US" w:eastAsia="zh-CN"/>
        </w:rPr>
      </w:pPr>
      <w:r>
        <w:rPr>
          <w:rFonts w:hint="eastAsia" w:ascii="Arial" w:hAnsi="Arial" w:eastAsia="宋体" w:cs="Arial"/>
          <w:sz w:val="24"/>
          <w:szCs w:val="24"/>
        </w:rPr>
        <w:t>我司于2020年</w:t>
      </w:r>
      <w:r>
        <w:rPr>
          <w:rFonts w:hint="eastAsia" w:ascii="Arial" w:hAnsi="Arial" w:eastAsia="宋体" w:cs="Arial"/>
          <w:sz w:val="24"/>
          <w:szCs w:val="24"/>
          <w:lang w:val="en-US" w:eastAsia="zh-CN"/>
        </w:rPr>
        <w:t>8</w:t>
      </w:r>
      <w:r>
        <w:rPr>
          <w:rFonts w:hint="eastAsia" w:ascii="Arial" w:hAnsi="Arial" w:eastAsia="宋体" w:cs="Arial"/>
          <w:sz w:val="24"/>
          <w:szCs w:val="24"/>
        </w:rPr>
        <w:t>月与贵司签订了《中粮信托-福享11号集合资金信托计划监管服务协议》。根据贵司需求,我司对“中粮信托-福享11号集合资金信托计划”项目提供了1名驻派人员于2020年</w:t>
      </w:r>
      <w:r>
        <w:rPr>
          <w:rFonts w:hint="eastAsia" w:ascii="Arial" w:hAnsi="Arial" w:eastAsia="宋体" w:cs="Arial"/>
          <w:sz w:val="24"/>
          <w:szCs w:val="24"/>
          <w:lang w:val="en-US" w:eastAsia="zh-CN"/>
        </w:rPr>
        <w:t>8</w:t>
      </w:r>
      <w:r>
        <w:rPr>
          <w:rFonts w:hint="eastAsia" w:ascii="Arial" w:hAnsi="Arial" w:eastAsia="宋体" w:cs="Arial"/>
          <w:sz w:val="24"/>
          <w:szCs w:val="24"/>
        </w:rPr>
        <w:t>月</w:t>
      </w:r>
      <w:r>
        <w:rPr>
          <w:rFonts w:hint="eastAsia" w:ascii="Arial" w:hAnsi="Arial" w:eastAsia="宋体" w:cs="Arial"/>
          <w:sz w:val="24"/>
          <w:szCs w:val="24"/>
          <w:lang w:val="en-US" w:eastAsia="zh-CN"/>
        </w:rPr>
        <w:t>25</w:t>
      </w:r>
      <w:r>
        <w:rPr>
          <w:rFonts w:hint="eastAsia" w:ascii="Arial" w:hAnsi="Arial" w:eastAsia="宋体" w:cs="Arial"/>
          <w:sz w:val="24"/>
          <w:szCs w:val="24"/>
        </w:rPr>
        <w:t>日进驻项目现场开展工作</w:t>
      </w:r>
      <w:r>
        <w:rPr>
          <w:rFonts w:hint="eastAsia" w:ascii="Arial" w:hAnsi="Arial" w:eastAsia="宋体" w:cs="Arial"/>
          <w:sz w:val="24"/>
          <w:szCs w:val="24"/>
          <w:lang w:eastAsia="zh-CN"/>
        </w:rPr>
        <w:t>。</w:t>
      </w:r>
      <w:r>
        <w:rPr>
          <w:rFonts w:hint="eastAsia" w:ascii="Arial" w:hAnsi="Arial" w:eastAsia="宋体" w:cs="Arial"/>
          <w:sz w:val="24"/>
          <w:szCs w:val="24"/>
        </w:rPr>
        <w:t>监管服务费标准为人民币</w:t>
      </w:r>
      <w:r>
        <w:rPr>
          <w:rFonts w:hint="eastAsia" w:ascii="Arial" w:hAnsi="Arial" w:eastAsia="宋体" w:cs="Arial"/>
          <w:sz w:val="24"/>
          <w:szCs w:val="24"/>
          <w:lang w:val="en-US" w:eastAsia="zh-CN"/>
        </w:rPr>
        <w:t>90</w:t>
      </w:r>
      <w:r>
        <w:rPr>
          <w:rFonts w:hint="eastAsia" w:ascii="Arial" w:hAnsi="Arial" w:eastAsia="宋体" w:cs="Arial"/>
          <w:sz w:val="24"/>
          <w:szCs w:val="24"/>
        </w:rPr>
        <w:t>万元/年，</w:t>
      </w:r>
      <w:r>
        <w:rPr>
          <w:rFonts w:hint="eastAsia" w:ascii="Arial" w:hAnsi="Arial" w:eastAsia="宋体" w:cs="Arial"/>
          <w:sz w:val="24"/>
          <w:szCs w:val="24"/>
          <w:lang w:val="en-US" w:eastAsia="zh-CN"/>
        </w:rPr>
        <w:t>贵司应</w:t>
      </w:r>
      <w:bookmarkStart w:id="1" w:name="_GoBack"/>
      <w:bookmarkEnd w:id="1"/>
      <w:r>
        <w:rPr>
          <w:rFonts w:hint="eastAsia" w:ascii="Arial" w:hAnsi="Arial" w:eastAsia="宋体" w:cs="Arial"/>
          <w:sz w:val="24"/>
          <w:szCs w:val="24"/>
        </w:rPr>
        <w:t>于每年6月20日、12月20日后十个工作日内向</w:t>
      </w:r>
      <w:r>
        <w:rPr>
          <w:rFonts w:hint="eastAsia" w:ascii="Arial" w:hAnsi="Arial" w:eastAsia="宋体" w:cs="Arial"/>
          <w:sz w:val="24"/>
          <w:szCs w:val="24"/>
          <w:lang w:val="en-US" w:eastAsia="zh-CN"/>
        </w:rPr>
        <w:t>我司</w:t>
      </w:r>
      <w:r>
        <w:rPr>
          <w:rFonts w:hint="eastAsia" w:ascii="Arial" w:hAnsi="Arial" w:eastAsia="宋体" w:cs="Arial"/>
          <w:sz w:val="24"/>
          <w:szCs w:val="24"/>
        </w:rPr>
        <w:t>支付上一监管周期监管费用，即</w:t>
      </w:r>
      <w:r>
        <w:rPr>
          <w:rFonts w:hint="eastAsia" w:ascii="Arial" w:hAnsi="Arial" w:eastAsia="宋体" w:cs="Arial"/>
          <w:sz w:val="24"/>
          <w:szCs w:val="24"/>
          <w:lang w:val="en-US" w:eastAsia="zh-CN"/>
        </w:rPr>
        <w:t>45</w:t>
      </w:r>
      <w:r>
        <w:rPr>
          <w:rFonts w:hint="eastAsia" w:ascii="Arial" w:hAnsi="Arial" w:eastAsia="宋体" w:cs="Arial"/>
          <w:sz w:val="24"/>
          <w:szCs w:val="24"/>
        </w:rPr>
        <w:t>万元。首期、末期支付因实际服务天数不足半年或不足整月的按实际服务天数结算，实际服务天数含休息日及法定节假日，每月计算基数为30天（若上期监管服务费存在未付的将计入当期监管服务费）</w:t>
      </w:r>
      <w:r>
        <w:rPr>
          <w:rFonts w:hint="eastAsia" w:ascii="Arial" w:hAnsi="Arial" w:eastAsia="宋体"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40" w:firstLineChars="225"/>
        <w:textAlignment w:val="auto"/>
        <w:rPr>
          <w:rFonts w:ascii="Arial" w:hAnsi="Arial" w:eastAsia="宋体" w:cs="Arial"/>
          <w:sz w:val="24"/>
          <w:szCs w:val="24"/>
        </w:rPr>
      </w:pPr>
      <w:r>
        <w:rPr>
          <w:rFonts w:hint="eastAsia" w:ascii="Arial" w:hAnsi="Arial" w:eastAsia="宋体" w:cs="Arial"/>
          <w:sz w:val="24"/>
          <w:szCs w:val="24"/>
          <w:lang w:val="en-US" w:eastAsia="zh-CN"/>
        </w:rPr>
        <w:t>综上，</w:t>
      </w:r>
      <w:r>
        <w:rPr>
          <w:rFonts w:ascii="Arial" w:hAnsi="Arial" w:eastAsia="宋体" w:cs="Arial"/>
          <w:sz w:val="24"/>
          <w:szCs w:val="24"/>
        </w:rPr>
        <w:t>本次申请贵司支付</w:t>
      </w:r>
      <w:r>
        <w:rPr>
          <w:rFonts w:hint="eastAsia" w:ascii="Arial" w:hAnsi="Arial" w:eastAsia="宋体" w:cs="Arial"/>
          <w:sz w:val="24"/>
          <w:szCs w:val="24"/>
          <w:lang w:val="en-US" w:eastAsia="zh-CN"/>
        </w:rPr>
        <w:t>2020年12月21日-</w:t>
      </w:r>
      <w:r>
        <w:rPr>
          <w:rFonts w:hint="eastAsia" w:ascii="Arial" w:hAnsi="Arial" w:eastAsia="宋体" w:cs="Arial"/>
          <w:sz w:val="24"/>
          <w:szCs w:val="24"/>
          <w:highlight w:val="none"/>
          <w:lang w:val="en-US" w:eastAsia="zh-CN"/>
        </w:rPr>
        <w:t>2021年6月20日</w:t>
      </w:r>
      <w:r>
        <w:rPr>
          <w:rFonts w:ascii="Arial" w:hAnsi="Arial" w:eastAsia="宋体" w:cs="Arial"/>
          <w:sz w:val="24"/>
          <w:szCs w:val="24"/>
          <w:highlight w:val="none"/>
        </w:rPr>
        <w:t>监</w:t>
      </w:r>
      <w:r>
        <w:rPr>
          <w:rFonts w:ascii="Arial" w:hAnsi="Arial" w:eastAsia="宋体" w:cs="Arial"/>
          <w:sz w:val="24"/>
          <w:szCs w:val="24"/>
        </w:rPr>
        <w:t>管服务费</w:t>
      </w:r>
      <w:r>
        <w:rPr>
          <w:rFonts w:hint="eastAsia" w:ascii="Arial" w:hAnsi="Arial" w:eastAsia="宋体" w:cs="Arial"/>
          <w:sz w:val="24"/>
          <w:szCs w:val="24"/>
        </w:rPr>
        <w:t>：</w:t>
      </w:r>
      <w:r>
        <w:rPr>
          <w:rFonts w:ascii="Arial" w:hAnsi="Arial" w:eastAsia="宋体" w:cs="Arial"/>
          <w:sz w:val="24"/>
          <w:szCs w:val="24"/>
        </w:rPr>
        <w:t>人民币</w:t>
      </w:r>
      <w:r>
        <w:rPr>
          <w:rFonts w:hint="eastAsia" w:ascii="Arial" w:hAnsi="Arial" w:eastAsia="宋体" w:cs="Arial"/>
          <w:sz w:val="24"/>
          <w:szCs w:val="24"/>
          <w:lang w:val="en-US" w:eastAsia="zh-CN"/>
        </w:rPr>
        <w:t>45万</w:t>
      </w:r>
      <w:r>
        <w:rPr>
          <w:rFonts w:ascii="Arial" w:hAnsi="Arial" w:eastAsia="宋体" w:cs="Arial"/>
          <w:sz w:val="24"/>
          <w:szCs w:val="24"/>
        </w:rPr>
        <w:t>元</w:t>
      </w:r>
      <w:r>
        <w:rPr>
          <w:rFonts w:hint="eastAsia" w:ascii="Arial" w:hAnsi="Arial" w:eastAsia="宋体" w:cs="Arial"/>
          <w:sz w:val="24"/>
          <w:szCs w:val="24"/>
          <w:lang w:val="en-US" w:eastAsia="zh-CN"/>
        </w:rPr>
        <w:t>整</w:t>
      </w:r>
      <w:r>
        <w:rPr>
          <w:rFonts w:ascii="Arial" w:hAnsi="Arial" w:eastAsia="宋体" w:cs="Arial"/>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eastAsia="宋体" w:cs="Arial"/>
          <w:sz w:val="24"/>
          <w:szCs w:val="24"/>
        </w:rPr>
      </w:pPr>
      <w:r>
        <w:rPr>
          <w:rFonts w:ascii="Arial" w:hAnsi="Arial" w:eastAsia="宋体" w:cs="Arial"/>
          <w:sz w:val="24"/>
          <w:szCs w:val="24"/>
        </w:rPr>
        <w:t>特此申请。</w:t>
      </w:r>
    </w:p>
    <w:p>
      <w:pPr>
        <w:spacing w:line="480" w:lineRule="auto"/>
        <w:ind w:firstLine="420"/>
        <w:rPr>
          <w:rFonts w:ascii="Arial" w:hAnsi="Arial" w:eastAsia="宋体" w:cs="Arial"/>
          <w:sz w:val="24"/>
          <w:szCs w:val="24"/>
        </w:rPr>
      </w:pPr>
      <w:r>
        <w:rPr>
          <w:rFonts w:ascii="Arial" w:hAnsi="Arial" w:eastAsia="宋体" w:cs="Arial"/>
          <w:sz w:val="24"/>
          <w:szCs w:val="24"/>
        </w:rPr>
        <w:t xml:space="preserve">                                  </w:t>
      </w:r>
    </w:p>
    <w:p>
      <w:pPr>
        <w:spacing w:line="480" w:lineRule="auto"/>
        <w:jc w:val="right"/>
        <w:rPr>
          <w:rFonts w:ascii="Arial" w:hAnsi="Arial" w:eastAsia="宋体" w:cs="Arial"/>
          <w:color w:val="000000" w:themeColor="text1"/>
          <w:sz w:val="24"/>
          <w:szCs w:val="24"/>
          <w14:textFill>
            <w14:solidFill>
              <w14:schemeClr w14:val="tx1"/>
            </w14:solidFill>
          </w14:textFill>
        </w:rPr>
      </w:pPr>
      <w:bookmarkStart w:id="0" w:name="_Hlk38804275"/>
      <w:r>
        <w:rPr>
          <w:rFonts w:ascii="Arial" w:hAnsi="Arial" w:eastAsia="宋体" w:cs="Arial"/>
          <w:sz w:val="24"/>
          <w:szCs w:val="24"/>
        </w:rPr>
        <w:t>北京康信君安资产管理有限公司</w:t>
      </w:r>
      <w:bookmarkEnd w:id="0"/>
      <w:r>
        <w:rPr>
          <w:rFonts w:ascii="Arial" w:hAnsi="Arial" w:eastAsia="宋体" w:cs="Arial"/>
          <w:sz w:val="24"/>
          <w:szCs w:val="24"/>
        </w:rPr>
        <w:t xml:space="preserve">                                                   </w:t>
      </w:r>
      <w:r>
        <w:rPr>
          <w:rFonts w:ascii="Arial" w:hAnsi="Arial" w:eastAsia="宋体" w:cs="Arial"/>
          <w:color w:val="FF0000"/>
          <w:sz w:val="24"/>
          <w:szCs w:val="24"/>
        </w:rPr>
        <w:t xml:space="preserve"> </w:t>
      </w:r>
      <w:r>
        <w:rPr>
          <w:rFonts w:ascii="Arial" w:hAnsi="Arial" w:eastAsia="宋体" w:cs="Arial"/>
          <w:color w:val="000000" w:themeColor="text1"/>
          <w:sz w:val="24"/>
          <w:szCs w:val="24"/>
          <w14:textFill>
            <w14:solidFill>
              <w14:schemeClr w14:val="tx1"/>
            </w14:solidFill>
          </w14:textFill>
        </w:rPr>
        <w:t xml:space="preserve"> </w:t>
      </w:r>
    </w:p>
    <w:p>
      <w:pPr>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br w:type="page"/>
      </w:r>
    </w:p>
    <w:p>
      <w:pPr>
        <w:rPr>
          <w:rFonts w:ascii="Arial" w:hAnsi="Arial" w:eastAsia="宋体" w:cs="Arial"/>
          <w:sz w:val="24"/>
          <w:szCs w:val="24"/>
        </w:rPr>
      </w:pPr>
    </w:p>
    <w:p>
      <w:pPr>
        <w:rPr>
          <w:rFonts w:ascii="Arial" w:hAnsi="Arial" w:eastAsia="宋体" w:cs="Arial"/>
          <w:sz w:val="24"/>
          <w:szCs w:val="24"/>
          <w:highlight w:val="none"/>
        </w:rPr>
      </w:pPr>
    </w:p>
    <w:p>
      <w:pPr>
        <w:rPr>
          <w:rFonts w:ascii="Arial" w:hAnsi="Arial" w:eastAsia="宋体" w:cs="Arial"/>
          <w:sz w:val="24"/>
          <w:szCs w:val="24"/>
        </w:rPr>
      </w:pPr>
      <w:r>
        <w:rPr>
          <w:rFonts w:ascii="Arial" w:hAnsi="Arial" w:eastAsia="宋体" w:cs="Arial"/>
          <w:b/>
          <w:bCs/>
          <w:sz w:val="24"/>
          <w:szCs w:val="24"/>
          <w:highlight w:val="none"/>
        </w:rPr>
        <w:t>附件1：</w:t>
      </w:r>
      <w:r>
        <w:rPr>
          <w:rFonts w:ascii="Arial" w:hAnsi="Arial" w:eastAsia="宋体" w:cs="Arial"/>
          <w:sz w:val="24"/>
          <w:szCs w:val="24"/>
        </w:rPr>
        <w:t xml:space="preserve">  </w:t>
      </w:r>
    </w:p>
    <w:p>
      <w:pPr>
        <w:rPr>
          <w:rFonts w:ascii="Arial" w:hAnsi="Arial" w:eastAsia="宋体" w:cs="Arial"/>
          <w:sz w:val="24"/>
          <w:szCs w:val="24"/>
        </w:rPr>
      </w:pPr>
    </w:p>
    <w:p>
      <w:pPr>
        <w:widowControl/>
        <w:spacing w:line="360" w:lineRule="auto"/>
        <w:jc w:val="left"/>
        <w:rPr>
          <w:rFonts w:ascii="Arial" w:hAnsi="Arial" w:eastAsia="宋体" w:cs="Arial"/>
          <w:sz w:val="24"/>
          <w:szCs w:val="24"/>
        </w:rPr>
      </w:pPr>
      <w:r>
        <w:rPr>
          <w:rFonts w:ascii="Arial" w:hAnsi="Arial" w:eastAsia="宋体" w:cs="Arial"/>
          <w:sz w:val="24"/>
          <w:szCs w:val="24"/>
        </w:rPr>
        <w:t>北京康信君安资产管理有限公司的账户信息如下：</w:t>
      </w:r>
    </w:p>
    <w:p>
      <w:pPr>
        <w:widowControl/>
        <w:spacing w:line="360" w:lineRule="auto"/>
        <w:jc w:val="left"/>
        <w:rPr>
          <w:rFonts w:ascii="Arial" w:hAnsi="Arial" w:eastAsia="宋体" w:cs="Arial"/>
          <w:sz w:val="24"/>
          <w:szCs w:val="24"/>
        </w:rPr>
      </w:pPr>
      <w:r>
        <w:rPr>
          <w:rFonts w:ascii="Arial" w:hAnsi="Arial" w:eastAsia="宋体" w:cs="Arial"/>
          <w:sz w:val="24"/>
          <w:szCs w:val="24"/>
        </w:rPr>
        <w:t>户名： 北京康信君安资产管理有限公司</w:t>
      </w:r>
    </w:p>
    <w:p>
      <w:pPr>
        <w:widowControl/>
        <w:spacing w:line="360" w:lineRule="auto"/>
        <w:jc w:val="left"/>
        <w:rPr>
          <w:rFonts w:ascii="Arial" w:hAnsi="Arial" w:eastAsia="宋体" w:cs="Arial"/>
          <w:sz w:val="24"/>
          <w:szCs w:val="24"/>
        </w:rPr>
      </w:pPr>
      <w:r>
        <w:rPr>
          <w:rFonts w:hint="eastAsia" w:ascii="Arial" w:hAnsi="Arial" w:eastAsia="宋体" w:cs="Arial"/>
          <w:sz w:val="24"/>
          <w:szCs w:val="24"/>
          <w:highlight w:val="none"/>
          <w:lang w:val="en-US" w:eastAsia="zh-CN"/>
        </w:rPr>
        <w:t>账</w:t>
      </w:r>
      <w:r>
        <w:rPr>
          <w:rFonts w:ascii="Arial" w:hAnsi="Arial" w:eastAsia="宋体" w:cs="Arial"/>
          <w:sz w:val="24"/>
          <w:szCs w:val="24"/>
          <w:highlight w:val="none"/>
        </w:rPr>
        <w:t>号</w:t>
      </w:r>
      <w:r>
        <w:rPr>
          <w:rFonts w:ascii="Arial" w:hAnsi="Arial" w:eastAsia="宋体" w:cs="Arial"/>
          <w:sz w:val="24"/>
          <w:szCs w:val="24"/>
        </w:rPr>
        <w:t>： 0200337619100015708</w:t>
      </w:r>
    </w:p>
    <w:p>
      <w:pPr>
        <w:widowControl/>
        <w:spacing w:line="360" w:lineRule="auto"/>
        <w:jc w:val="left"/>
        <w:rPr>
          <w:rFonts w:ascii="Arial" w:hAnsi="Arial" w:eastAsia="宋体" w:cs="Arial"/>
          <w:sz w:val="24"/>
          <w:szCs w:val="24"/>
        </w:rPr>
      </w:pPr>
      <w:r>
        <w:rPr>
          <w:rFonts w:ascii="Arial" w:hAnsi="Arial" w:eastAsia="宋体" w:cs="Arial"/>
          <w:sz w:val="24"/>
          <w:szCs w:val="24"/>
        </w:rPr>
        <w:t>开户行：中国工商银行股份有限公司北京地安门支行</w:t>
      </w:r>
    </w:p>
    <w:p>
      <w:pPr>
        <w:widowControl/>
        <w:spacing w:line="360" w:lineRule="auto"/>
        <w:jc w:val="left"/>
        <w:rPr>
          <w:rFonts w:ascii="Arial" w:hAnsi="Arial" w:eastAsia="宋体" w:cs="Arial"/>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drawing>
        <wp:inline distT="0" distB="0" distL="0" distR="0">
          <wp:extent cx="5274310" cy="3644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16015"/>
    <w:rsid w:val="00021CE5"/>
    <w:rsid w:val="00022CED"/>
    <w:rsid w:val="0002354E"/>
    <w:rsid w:val="00024BF5"/>
    <w:rsid w:val="00025708"/>
    <w:rsid w:val="00030862"/>
    <w:rsid w:val="000327C2"/>
    <w:rsid w:val="00032A47"/>
    <w:rsid w:val="0003346E"/>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0AF9"/>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0F7D04"/>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1391"/>
    <w:rsid w:val="0020781D"/>
    <w:rsid w:val="00207B75"/>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B29"/>
    <w:rsid w:val="00254FE8"/>
    <w:rsid w:val="00255F70"/>
    <w:rsid w:val="00256CA9"/>
    <w:rsid w:val="0026243E"/>
    <w:rsid w:val="00262458"/>
    <w:rsid w:val="00263209"/>
    <w:rsid w:val="00270646"/>
    <w:rsid w:val="0027241F"/>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051C"/>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46A"/>
    <w:rsid w:val="00701ADD"/>
    <w:rsid w:val="007118BE"/>
    <w:rsid w:val="00712155"/>
    <w:rsid w:val="00712E7A"/>
    <w:rsid w:val="007137C2"/>
    <w:rsid w:val="00720613"/>
    <w:rsid w:val="00721819"/>
    <w:rsid w:val="00723580"/>
    <w:rsid w:val="0072394C"/>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29F5"/>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574B"/>
    <w:rsid w:val="007D6493"/>
    <w:rsid w:val="007D6F47"/>
    <w:rsid w:val="007E207A"/>
    <w:rsid w:val="007E2A7D"/>
    <w:rsid w:val="007E3C1A"/>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2A"/>
    <w:rsid w:val="008161D4"/>
    <w:rsid w:val="00816C5A"/>
    <w:rsid w:val="0081709A"/>
    <w:rsid w:val="00821062"/>
    <w:rsid w:val="00821DFA"/>
    <w:rsid w:val="008230D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3CF2"/>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7C"/>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3AC9"/>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3C47"/>
    <w:rsid w:val="00CC4A12"/>
    <w:rsid w:val="00CC5A8F"/>
    <w:rsid w:val="00CC6429"/>
    <w:rsid w:val="00CC699A"/>
    <w:rsid w:val="00CD25F8"/>
    <w:rsid w:val="00CD5142"/>
    <w:rsid w:val="00CD7679"/>
    <w:rsid w:val="00CE5CC4"/>
    <w:rsid w:val="00CE76EE"/>
    <w:rsid w:val="00CF0D81"/>
    <w:rsid w:val="00CF2839"/>
    <w:rsid w:val="00CF2859"/>
    <w:rsid w:val="00CF5B1F"/>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36A6A"/>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1D4"/>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6D95"/>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1F8B"/>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04451C55"/>
    <w:rsid w:val="0F255E3E"/>
    <w:rsid w:val="11A56576"/>
    <w:rsid w:val="18154C07"/>
    <w:rsid w:val="1A19637D"/>
    <w:rsid w:val="1E3A7D2D"/>
    <w:rsid w:val="1FAA4D2C"/>
    <w:rsid w:val="23BF3B58"/>
    <w:rsid w:val="24927E9B"/>
    <w:rsid w:val="2CF12B3C"/>
    <w:rsid w:val="2E6E21D7"/>
    <w:rsid w:val="383800C9"/>
    <w:rsid w:val="3BF92EA1"/>
    <w:rsid w:val="4B5A0900"/>
    <w:rsid w:val="54005C4E"/>
    <w:rsid w:val="61BD34CD"/>
    <w:rsid w:val="63B841E4"/>
    <w:rsid w:val="700E66A7"/>
    <w:rsid w:val="793748CA"/>
    <w:rsid w:val="7CB01458"/>
    <w:rsid w:val="7D75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qFormat/>
    <w:uiPriority w:val="99"/>
  </w:style>
  <w:style w:type="character" w:customStyle="1" w:styleId="9">
    <w:name w:val="批注框文本 字符"/>
    <w:basedOn w:val="7"/>
    <w:link w:val="3"/>
    <w:semiHidden/>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562</Characters>
  <Lines>4</Lines>
  <Paragraphs>1</Paragraphs>
  <TotalTime>3</TotalTime>
  <ScaleCrop>false</ScaleCrop>
  <LinksUpToDate>false</LinksUpToDate>
  <CharactersWithSpaces>659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2019-10-25T08:15:00Z</dcterms:created>
  <dc:creator>微软用户</dc:creator>
  <cp:lastModifiedBy>admin：张玲</cp:lastModifiedBy>
  <dcterms:modified xsi:type="dcterms:W3CDTF">2021-06-22T02:19:16Z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F94E0A43BB154A7A94533BDB4DACFD9F</vt:lpwstr>
  </property>
</Properties>
</file>