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中航信托</w:t>
      </w:r>
      <w:r>
        <w:rPr>
          <w:rFonts w:ascii="宋体" w:hAnsi="宋体"/>
          <w:b/>
          <w:sz w:val="36"/>
          <w:szCs w:val="36"/>
        </w:rPr>
        <w:t>-</w:t>
      </w:r>
      <w:r>
        <w:rPr>
          <w:rFonts w:hint="eastAsia" w:ascii="宋体" w:hAnsi="宋体"/>
          <w:b/>
          <w:sz w:val="36"/>
          <w:szCs w:val="36"/>
        </w:rPr>
        <w:t>天启【2020】352号红星苏州盛泽项目股权投资</w:t>
      </w:r>
      <w:r>
        <w:rPr>
          <w:rFonts w:ascii="宋体" w:hAnsi="宋体"/>
          <w:b/>
          <w:sz w:val="36"/>
          <w:szCs w:val="36"/>
        </w:rPr>
        <w:t>集合资金信托计划</w:t>
      </w:r>
    </w:p>
    <w:p>
      <w:pPr>
        <w:jc w:val="center"/>
        <w:rPr>
          <w:rFonts w:ascii="宋体" w:hAnsi="宋体" w:cs="宋体"/>
          <w:b/>
          <w:sz w:val="28"/>
          <w:szCs w:val="28"/>
        </w:rPr>
      </w:pPr>
      <w:r>
        <w:rPr>
          <w:rFonts w:hint="eastAsia" w:ascii="宋体" w:hAnsi="宋体" w:cs="宋体"/>
          <w:b/>
          <w:sz w:val="28"/>
          <w:szCs w:val="28"/>
        </w:rPr>
        <w:t>（中航信托·红星苏州盛泽</w:t>
      </w:r>
      <w:r>
        <w:rPr>
          <w:rFonts w:ascii="宋体" w:hAnsi="宋体" w:cs="宋体"/>
          <w:b/>
          <w:sz w:val="28"/>
          <w:szCs w:val="28"/>
        </w:rPr>
        <w:t>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Cs/>
          <w:sz w:val="32"/>
          <w:szCs w:val="32"/>
        </w:rPr>
      </w:pPr>
      <w:r>
        <w:rPr>
          <w:rFonts w:hint="eastAsia" w:ascii="宋体" w:hAnsi="宋体"/>
          <w:b/>
          <w:sz w:val="32"/>
          <w:szCs w:val="32"/>
        </w:rPr>
        <w:t>第09</w:t>
      </w:r>
      <w:r>
        <w:rPr>
          <w:rFonts w:ascii="宋体" w:hAnsi="宋体"/>
          <w:b/>
          <w:sz w:val="32"/>
          <w:szCs w:val="32"/>
        </w:rPr>
        <w:t>期</w:t>
      </w:r>
    </w:p>
    <w:p>
      <w:pPr>
        <w:spacing w:line="360" w:lineRule="auto"/>
        <w:jc w:val="center"/>
        <w:rPr>
          <w:rFonts w:ascii="宋体" w:hAnsi="宋体"/>
          <w:b/>
          <w:sz w:val="32"/>
          <w:szCs w:val="32"/>
        </w:rPr>
      </w:pPr>
      <w:r>
        <w:rPr>
          <w:rFonts w:hint="eastAsia" w:ascii="宋体" w:hAnsi="宋体"/>
          <w:b/>
          <w:sz w:val="32"/>
          <w:szCs w:val="32"/>
        </w:rPr>
        <w:t>（</w:t>
      </w:r>
      <w:r>
        <w:rPr>
          <w:rFonts w:ascii="宋体" w:hAnsi="宋体"/>
          <w:b/>
          <w:sz w:val="32"/>
          <w:szCs w:val="32"/>
        </w:rPr>
        <w:t xml:space="preserve"> 20</w:t>
      </w:r>
      <w:r>
        <w:rPr>
          <w:rFonts w:hint="eastAsia" w:ascii="宋体" w:hAnsi="宋体"/>
          <w:b/>
          <w:sz w:val="32"/>
          <w:szCs w:val="32"/>
        </w:rPr>
        <w:t>21</w:t>
      </w:r>
      <w:r>
        <w:rPr>
          <w:rFonts w:ascii="宋体" w:hAnsi="宋体"/>
          <w:b/>
          <w:sz w:val="32"/>
          <w:szCs w:val="32"/>
        </w:rPr>
        <w:t xml:space="preserve">年 </w:t>
      </w:r>
      <w:r>
        <w:rPr>
          <w:rFonts w:hint="eastAsia" w:ascii="宋体" w:hAnsi="宋体"/>
          <w:b/>
          <w:sz w:val="32"/>
          <w:szCs w:val="32"/>
        </w:rPr>
        <w:t>04</w:t>
      </w:r>
      <w:r>
        <w:rPr>
          <w:rFonts w:ascii="宋体" w:hAnsi="宋体"/>
          <w:b/>
          <w:sz w:val="32"/>
          <w:szCs w:val="32"/>
        </w:rPr>
        <w:t>月）</w:t>
      </w:r>
    </w:p>
    <w:p>
      <w:pPr>
        <w:spacing w:line="360" w:lineRule="auto"/>
        <w:jc w:val="center"/>
        <w:rPr>
          <w:rFonts w:ascii="宋体" w:hAnsi="宋体" w:cs="宋体"/>
          <w:b/>
          <w:sz w:val="30"/>
          <w:szCs w:val="30"/>
        </w:rPr>
      </w:pPr>
      <w:r>
        <w:rPr>
          <w:rFonts w:hint="eastAsia" w:ascii="宋体" w:hAnsi="宋体" w:cs="宋体"/>
          <w:b/>
          <w:sz w:val="30"/>
          <w:szCs w:val="30"/>
        </w:rPr>
        <w:t>编号：009</w:t>
      </w:r>
    </w:p>
    <w:p>
      <w:pPr>
        <w:pStyle w:val="7"/>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监管人员：范青杰</w:t>
      </w:r>
    </w:p>
    <w:p>
      <w:pPr>
        <w:ind w:left="240" w:leftChars="100"/>
        <w:rPr>
          <w:rFonts w:ascii="宋体" w:hAnsi="宋体" w:cs="宋体"/>
          <w:b/>
          <w:bCs/>
          <w:sz w:val="21"/>
          <w:szCs w:val="21"/>
        </w:rPr>
      </w:pPr>
      <w:r>
        <w:rPr>
          <w:rFonts w:hint="eastAsia" w:ascii="宋体" w:hAnsi="宋体" w:cs="宋体"/>
          <w:b/>
          <w:bCs/>
          <w:sz w:val="21"/>
          <w:szCs w:val="21"/>
        </w:rPr>
        <w:t>编制时间：2021年5月10日</w:t>
      </w:r>
    </w:p>
    <w:p>
      <w:pPr>
        <w:jc w:val="center"/>
        <w:rPr>
          <w:rFonts w:ascii="宋体" w:hAnsi="宋体" w:cs="宋体"/>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3"/>
        <w:tabs>
          <w:tab w:val="right" w:leader="dot" w:pos="9638"/>
        </w:tabs>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fldChar w:fldCharType="begin"/>
      </w:r>
      <w:r>
        <w:instrText xml:space="preserve"> HYPERLINK \l "_Toc19865" </w:instrText>
      </w:r>
      <w:r>
        <w:fldChar w:fldCharType="separate"/>
      </w:r>
      <w:r>
        <w:rPr>
          <w:rFonts w:hint="eastAsia" w:ascii="宋体" w:hAnsi="宋体"/>
          <w:szCs w:val="21"/>
        </w:rPr>
        <w:t>一、项目基本情况介绍</w:t>
      </w:r>
      <w:r>
        <w:tab/>
      </w:r>
      <w:r>
        <w:fldChar w:fldCharType="begin"/>
      </w:r>
      <w:r>
        <w:instrText xml:space="preserve"> PAGEREF _Toc19865 \h </w:instrText>
      </w:r>
      <w:r>
        <w:fldChar w:fldCharType="separate"/>
      </w:r>
      <w:r>
        <w:t>9</w:t>
      </w:r>
      <w:r>
        <w:fldChar w:fldCharType="end"/>
      </w:r>
      <w:r>
        <w:fldChar w:fldCharType="end"/>
      </w:r>
    </w:p>
    <w:p>
      <w:pPr>
        <w:pStyle w:val="13"/>
        <w:tabs>
          <w:tab w:val="right" w:leader="dot" w:pos="9638"/>
        </w:tabs>
      </w:pPr>
      <w:r>
        <w:fldChar w:fldCharType="begin"/>
      </w:r>
      <w:r>
        <w:instrText xml:space="preserve"> HYPERLINK \l "_Toc18294" </w:instrText>
      </w:r>
      <w:r>
        <w:fldChar w:fldCharType="separate"/>
      </w:r>
      <w:r>
        <w:rPr>
          <w:rFonts w:hint="eastAsia" w:ascii="宋体" w:hAnsi="宋体"/>
          <w:szCs w:val="21"/>
        </w:rPr>
        <w:t>二、信托资金使用情况</w:t>
      </w:r>
      <w:r>
        <w:tab/>
      </w:r>
      <w:r>
        <w:fldChar w:fldCharType="begin"/>
      </w:r>
      <w:r>
        <w:instrText xml:space="preserve"> PAGEREF _Toc18294 \h </w:instrText>
      </w:r>
      <w:r>
        <w:fldChar w:fldCharType="separate"/>
      </w:r>
      <w:r>
        <w:t>10</w:t>
      </w:r>
      <w:r>
        <w:fldChar w:fldCharType="end"/>
      </w:r>
      <w:r>
        <w:fldChar w:fldCharType="end"/>
      </w:r>
    </w:p>
    <w:p>
      <w:pPr>
        <w:pStyle w:val="13"/>
        <w:tabs>
          <w:tab w:val="right" w:leader="dot" w:pos="9638"/>
        </w:tabs>
      </w:pPr>
      <w:r>
        <w:fldChar w:fldCharType="begin"/>
      </w:r>
      <w:r>
        <w:instrText xml:space="preserve"> HYPERLINK \l "_Toc25617" </w:instrText>
      </w:r>
      <w:r>
        <w:fldChar w:fldCharType="separate"/>
      </w:r>
      <w:r>
        <w:rPr>
          <w:rFonts w:hint="eastAsia" w:ascii="宋体" w:hAnsi="宋体"/>
          <w:szCs w:val="21"/>
        </w:rPr>
        <w:t>三、项目证件办理情况</w:t>
      </w:r>
      <w:r>
        <w:tab/>
      </w:r>
      <w:r>
        <w:fldChar w:fldCharType="begin"/>
      </w:r>
      <w:r>
        <w:instrText xml:space="preserve"> PAGEREF _Toc25617 \h </w:instrText>
      </w:r>
      <w:r>
        <w:fldChar w:fldCharType="separate"/>
      </w:r>
      <w:r>
        <w:t>11</w:t>
      </w:r>
      <w:r>
        <w:fldChar w:fldCharType="end"/>
      </w:r>
      <w:r>
        <w:fldChar w:fldCharType="end"/>
      </w:r>
    </w:p>
    <w:p>
      <w:pPr>
        <w:pStyle w:val="13"/>
        <w:tabs>
          <w:tab w:val="right" w:leader="dot" w:pos="9638"/>
        </w:tabs>
      </w:pPr>
      <w:r>
        <w:fldChar w:fldCharType="begin"/>
      </w:r>
      <w:r>
        <w:instrText xml:space="preserve"> HYPERLINK \l "_Toc26913" </w:instrText>
      </w:r>
      <w:r>
        <w:fldChar w:fldCharType="separate"/>
      </w:r>
      <w:r>
        <w:rPr>
          <w:rFonts w:hint="eastAsia" w:ascii="宋体" w:hAnsi="宋体"/>
          <w:szCs w:val="21"/>
        </w:rPr>
        <w:t>四、项目开发建设情况</w:t>
      </w:r>
      <w:r>
        <w:tab/>
      </w:r>
      <w:r>
        <w:fldChar w:fldCharType="begin"/>
      </w:r>
      <w:r>
        <w:instrText xml:space="preserve"> PAGEREF _Toc26913 \h </w:instrText>
      </w:r>
      <w:r>
        <w:fldChar w:fldCharType="separate"/>
      </w:r>
      <w:r>
        <w:t>11</w:t>
      </w:r>
      <w:r>
        <w:fldChar w:fldCharType="end"/>
      </w:r>
      <w:r>
        <w:fldChar w:fldCharType="end"/>
      </w:r>
    </w:p>
    <w:p>
      <w:pPr>
        <w:pStyle w:val="13"/>
        <w:tabs>
          <w:tab w:val="right" w:leader="dot" w:pos="9638"/>
        </w:tabs>
      </w:pPr>
      <w:r>
        <w:fldChar w:fldCharType="begin"/>
      </w:r>
      <w:r>
        <w:instrText xml:space="preserve"> HYPERLINK \l "_Toc7421" </w:instrText>
      </w:r>
      <w:r>
        <w:fldChar w:fldCharType="separate"/>
      </w:r>
      <w:r>
        <w:rPr>
          <w:rFonts w:hint="eastAsia" w:ascii="宋体" w:hAnsi="宋体"/>
          <w:szCs w:val="21"/>
        </w:rPr>
        <w:t>五、项目合同及成本执行情况</w:t>
      </w:r>
      <w:r>
        <w:tab/>
      </w:r>
      <w:r>
        <w:fldChar w:fldCharType="begin"/>
      </w:r>
      <w:r>
        <w:instrText xml:space="preserve"> PAGEREF _Toc7421 \h </w:instrText>
      </w:r>
      <w:r>
        <w:fldChar w:fldCharType="separate"/>
      </w:r>
      <w:r>
        <w:t>12</w:t>
      </w:r>
      <w:r>
        <w:fldChar w:fldCharType="end"/>
      </w:r>
      <w:r>
        <w:fldChar w:fldCharType="end"/>
      </w:r>
    </w:p>
    <w:p>
      <w:pPr>
        <w:pStyle w:val="13"/>
        <w:tabs>
          <w:tab w:val="right" w:leader="dot" w:pos="9638"/>
        </w:tabs>
      </w:pPr>
      <w:r>
        <w:fldChar w:fldCharType="begin"/>
      </w:r>
      <w:r>
        <w:instrText xml:space="preserve"> HYPERLINK \l "_Toc32050" </w:instrText>
      </w:r>
      <w:r>
        <w:fldChar w:fldCharType="separate"/>
      </w:r>
      <w:r>
        <w:rPr>
          <w:rFonts w:hint="eastAsia" w:ascii="宋体" w:hAnsi="宋体"/>
          <w:szCs w:val="21"/>
        </w:rPr>
        <w:t>六、项目销售情况统计</w:t>
      </w:r>
      <w:r>
        <w:tab/>
      </w:r>
      <w:r>
        <w:fldChar w:fldCharType="begin"/>
      </w:r>
      <w:r>
        <w:instrText xml:space="preserve"> PAGEREF _Toc32050 \h </w:instrText>
      </w:r>
      <w:r>
        <w:fldChar w:fldCharType="separate"/>
      </w:r>
      <w:r>
        <w:t>13</w:t>
      </w:r>
      <w:r>
        <w:fldChar w:fldCharType="end"/>
      </w:r>
      <w:r>
        <w:fldChar w:fldCharType="end"/>
      </w:r>
    </w:p>
    <w:p>
      <w:pPr>
        <w:pStyle w:val="13"/>
        <w:tabs>
          <w:tab w:val="right" w:leader="dot" w:pos="9638"/>
        </w:tabs>
      </w:pPr>
      <w:r>
        <w:fldChar w:fldCharType="begin"/>
      </w:r>
      <w:r>
        <w:instrText xml:space="preserve"> HYPERLINK \l "_Toc23139" </w:instrText>
      </w:r>
      <w:r>
        <w:fldChar w:fldCharType="separate"/>
      </w:r>
      <w:r>
        <w:rPr>
          <w:rFonts w:hint="eastAsia" w:ascii="宋体" w:hAnsi="宋体"/>
          <w:szCs w:val="21"/>
        </w:rPr>
        <w:t>七、项目银行账户情况</w:t>
      </w:r>
      <w:r>
        <w:tab/>
      </w:r>
      <w:r>
        <w:fldChar w:fldCharType="begin"/>
      </w:r>
      <w:r>
        <w:instrText xml:space="preserve"> PAGEREF _Toc23139 \h </w:instrText>
      </w:r>
      <w:r>
        <w:fldChar w:fldCharType="separate"/>
      </w:r>
      <w:r>
        <w:t>14</w:t>
      </w:r>
      <w:r>
        <w:fldChar w:fldCharType="end"/>
      </w:r>
      <w:r>
        <w:fldChar w:fldCharType="end"/>
      </w:r>
    </w:p>
    <w:p>
      <w:pPr>
        <w:pStyle w:val="13"/>
        <w:tabs>
          <w:tab w:val="right" w:leader="dot" w:pos="9638"/>
        </w:tabs>
      </w:pPr>
      <w:r>
        <w:fldChar w:fldCharType="begin"/>
      </w:r>
      <w:r>
        <w:instrText xml:space="preserve"> HYPERLINK \l "_Toc13775" </w:instrText>
      </w:r>
      <w:r>
        <w:fldChar w:fldCharType="separate"/>
      </w:r>
      <w:r>
        <w:rPr>
          <w:rFonts w:hint="eastAsia" w:ascii="宋体" w:hAnsi="宋体"/>
          <w:szCs w:val="21"/>
        </w:rPr>
        <w:t>八、资金收支情况</w:t>
      </w:r>
      <w:r>
        <w:tab/>
      </w:r>
      <w:r>
        <w:fldChar w:fldCharType="begin"/>
      </w:r>
      <w:r>
        <w:instrText xml:space="preserve"> PAGEREF _Toc13775 \h </w:instrText>
      </w:r>
      <w:r>
        <w:fldChar w:fldCharType="separate"/>
      </w:r>
      <w:r>
        <w:t>15</w:t>
      </w:r>
      <w:r>
        <w:fldChar w:fldCharType="end"/>
      </w:r>
      <w:r>
        <w:fldChar w:fldCharType="end"/>
      </w:r>
    </w:p>
    <w:p>
      <w:pPr>
        <w:pStyle w:val="13"/>
        <w:tabs>
          <w:tab w:val="right" w:leader="dot" w:pos="9638"/>
        </w:tabs>
      </w:pPr>
      <w:r>
        <w:fldChar w:fldCharType="begin"/>
      </w:r>
      <w:r>
        <w:instrText xml:space="preserve"> HYPERLINK \l "_Toc17727" </w:instrText>
      </w:r>
      <w:r>
        <w:fldChar w:fldCharType="separate"/>
      </w:r>
      <w:r>
        <w:rPr>
          <w:rFonts w:hint="eastAsia" w:ascii="宋体" w:hAnsi="宋体"/>
          <w:szCs w:val="21"/>
        </w:rPr>
        <w:t>九、 项目开发贷及其他融资情况</w:t>
      </w:r>
      <w:r>
        <w:tab/>
      </w:r>
      <w:r>
        <w:fldChar w:fldCharType="begin"/>
      </w:r>
      <w:r>
        <w:instrText xml:space="preserve"> PAGEREF _Toc17727 \h </w:instrText>
      </w:r>
      <w:r>
        <w:fldChar w:fldCharType="separate"/>
      </w:r>
      <w:r>
        <w:t>30</w:t>
      </w:r>
      <w:r>
        <w:fldChar w:fldCharType="end"/>
      </w:r>
      <w:r>
        <w:fldChar w:fldCharType="end"/>
      </w:r>
    </w:p>
    <w:p>
      <w:pPr>
        <w:pStyle w:val="13"/>
        <w:tabs>
          <w:tab w:val="right" w:leader="dot" w:pos="9638"/>
        </w:tabs>
      </w:pPr>
      <w:r>
        <w:fldChar w:fldCharType="begin"/>
      </w:r>
      <w:r>
        <w:instrText xml:space="preserve"> HYPERLINK \l "_Toc455" </w:instrText>
      </w:r>
      <w:r>
        <w:fldChar w:fldCharType="separate"/>
      </w:r>
      <w:r>
        <w:rPr>
          <w:rFonts w:hint="eastAsia" w:ascii="宋体" w:hAnsi="宋体"/>
          <w:szCs w:val="21"/>
        </w:rPr>
        <w:t>十、 项目周边竞品情况分析</w:t>
      </w:r>
      <w:r>
        <w:tab/>
      </w:r>
      <w:r>
        <w:fldChar w:fldCharType="begin"/>
      </w:r>
      <w:r>
        <w:instrText xml:space="preserve"> PAGEREF _Toc455 \h </w:instrText>
      </w:r>
      <w:r>
        <w:fldChar w:fldCharType="separate"/>
      </w:r>
      <w:r>
        <w:t>30</w:t>
      </w:r>
      <w:r>
        <w:fldChar w:fldCharType="end"/>
      </w:r>
      <w:r>
        <w:fldChar w:fldCharType="end"/>
      </w:r>
    </w:p>
    <w:p>
      <w:pPr>
        <w:pStyle w:val="13"/>
        <w:tabs>
          <w:tab w:val="right" w:leader="dot" w:pos="9638"/>
        </w:tabs>
      </w:pPr>
      <w:r>
        <w:fldChar w:fldCharType="begin"/>
      </w:r>
      <w:r>
        <w:instrText xml:space="preserve"> HYPERLINK \l "_Toc23515" </w:instrText>
      </w:r>
      <w:r>
        <w:fldChar w:fldCharType="separate"/>
      </w:r>
      <w:r>
        <w:rPr>
          <w:rFonts w:hint="eastAsia" w:ascii="宋体" w:hAnsi="宋体"/>
          <w:szCs w:val="21"/>
        </w:rPr>
        <w:t>十一、区域市场情况分析</w:t>
      </w:r>
      <w:r>
        <w:tab/>
      </w:r>
      <w:r>
        <w:fldChar w:fldCharType="begin"/>
      </w:r>
      <w:r>
        <w:instrText xml:space="preserve"> PAGEREF _Toc23515 \h </w:instrText>
      </w:r>
      <w:r>
        <w:fldChar w:fldCharType="separate"/>
      </w:r>
      <w:r>
        <w:t>31</w:t>
      </w:r>
      <w:r>
        <w:fldChar w:fldCharType="end"/>
      </w:r>
      <w:r>
        <w:fldChar w:fldCharType="end"/>
      </w:r>
    </w:p>
    <w:p>
      <w:pPr>
        <w:pStyle w:val="13"/>
        <w:tabs>
          <w:tab w:val="right" w:leader="dot" w:pos="9638"/>
        </w:tabs>
      </w:pPr>
      <w:r>
        <w:fldChar w:fldCharType="begin"/>
      </w:r>
      <w:r>
        <w:instrText xml:space="preserve"> HYPERLINK \l "_Toc28168" </w:instrText>
      </w:r>
      <w:r>
        <w:fldChar w:fldCharType="separate"/>
      </w:r>
      <w:r>
        <w:rPr>
          <w:rFonts w:hint="eastAsia" w:ascii="宋体" w:hAnsi="宋体"/>
          <w:szCs w:val="21"/>
        </w:rPr>
        <w:t>十二、项目公司资金计划执行情况</w:t>
      </w:r>
      <w:r>
        <w:tab/>
      </w:r>
      <w:r>
        <w:fldChar w:fldCharType="begin"/>
      </w:r>
      <w:r>
        <w:instrText xml:space="preserve"> PAGEREF _Toc28168 \h </w:instrText>
      </w:r>
      <w:r>
        <w:fldChar w:fldCharType="separate"/>
      </w:r>
      <w:r>
        <w:t>33</w:t>
      </w:r>
      <w:r>
        <w:fldChar w:fldCharType="end"/>
      </w:r>
      <w:r>
        <w:fldChar w:fldCharType="end"/>
      </w:r>
    </w:p>
    <w:p>
      <w:pPr>
        <w:pStyle w:val="13"/>
        <w:tabs>
          <w:tab w:val="right" w:leader="dot" w:pos="9638"/>
        </w:tabs>
      </w:pPr>
      <w:r>
        <w:fldChar w:fldCharType="begin"/>
      </w:r>
      <w:r>
        <w:instrText xml:space="preserve"> HYPERLINK \l "_Toc10230" </w:instrText>
      </w:r>
      <w:r>
        <w:fldChar w:fldCharType="separate"/>
      </w:r>
      <w:r>
        <w:rPr>
          <w:rFonts w:hint="eastAsia" w:ascii="宋体" w:hAnsi="宋体"/>
          <w:szCs w:val="21"/>
        </w:rPr>
        <w:t>十三、项目公司用印情况</w:t>
      </w:r>
      <w:r>
        <w:tab/>
      </w:r>
      <w:r>
        <w:fldChar w:fldCharType="begin"/>
      </w:r>
      <w:r>
        <w:instrText xml:space="preserve"> PAGEREF _Toc10230 \h </w:instrText>
      </w:r>
      <w:r>
        <w:fldChar w:fldCharType="separate"/>
      </w:r>
      <w:r>
        <w:t>33</w:t>
      </w:r>
      <w:r>
        <w:fldChar w:fldCharType="end"/>
      </w:r>
      <w:r>
        <w:fldChar w:fldCharType="end"/>
      </w:r>
    </w:p>
    <w:p>
      <w:pPr>
        <w:pStyle w:val="13"/>
        <w:tabs>
          <w:tab w:val="right" w:leader="dot" w:pos="9638"/>
        </w:tabs>
      </w:pPr>
      <w:r>
        <w:fldChar w:fldCharType="begin"/>
      </w:r>
      <w:r>
        <w:instrText xml:space="preserve"> HYPERLINK \l "_Toc29626" </w:instrText>
      </w:r>
      <w:r>
        <w:fldChar w:fldCharType="separate"/>
      </w:r>
      <w:r>
        <w:rPr>
          <w:rFonts w:hint="eastAsia" w:ascii="宋体" w:hAnsi="宋体"/>
          <w:szCs w:val="21"/>
        </w:rPr>
        <w:t>十四、项目公司印章证照外出使用情况</w:t>
      </w:r>
      <w:r>
        <w:tab/>
      </w:r>
      <w:r>
        <w:fldChar w:fldCharType="begin"/>
      </w:r>
      <w:r>
        <w:instrText xml:space="preserve"> PAGEREF _Toc29626 \h </w:instrText>
      </w:r>
      <w:r>
        <w:fldChar w:fldCharType="separate"/>
      </w:r>
      <w:r>
        <w:t>34</w:t>
      </w:r>
      <w:r>
        <w:fldChar w:fldCharType="end"/>
      </w:r>
      <w:r>
        <w:fldChar w:fldCharType="end"/>
      </w:r>
    </w:p>
    <w:p>
      <w:pPr>
        <w:pStyle w:val="13"/>
        <w:tabs>
          <w:tab w:val="right" w:leader="dot" w:pos="9638"/>
        </w:tabs>
      </w:pPr>
      <w:r>
        <w:fldChar w:fldCharType="begin"/>
      </w:r>
      <w:r>
        <w:instrText xml:space="preserve"> HYPERLINK \l "_Toc756" </w:instrText>
      </w:r>
      <w:r>
        <w:fldChar w:fldCharType="separate"/>
      </w:r>
      <w:r>
        <w:rPr>
          <w:rFonts w:hint="eastAsia" w:ascii="宋体" w:hAnsi="宋体"/>
          <w:szCs w:val="21"/>
        </w:rPr>
        <w:t>十五、项目公司签约情况</w:t>
      </w:r>
      <w:r>
        <w:tab/>
      </w:r>
      <w:r>
        <w:fldChar w:fldCharType="begin"/>
      </w:r>
      <w:r>
        <w:instrText xml:space="preserve"> PAGEREF _Toc756 \h </w:instrText>
      </w:r>
      <w:r>
        <w:fldChar w:fldCharType="separate"/>
      </w:r>
      <w:r>
        <w:t>34</w:t>
      </w:r>
      <w:r>
        <w:fldChar w:fldCharType="end"/>
      </w:r>
      <w:r>
        <w:fldChar w:fldCharType="end"/>
      </w:r>
    </w:p>
    <w:p>
      <w:pPr>
        <w:pStyle w:val="13"/>
        <w:tabs>
          <w:tab w:val="right" w:leader="dot" w:pos="9638"/>
        </w:tabs>
      </w:pPr>
      <w:r>
        <w:fldChar w:fldCharType="begin"/>
      </w:r>
      <w:r>
        <w:instrText xml:space="preserve"> HYPERLINK \l "_Toc8228" </w:instrText>
      </w:r>
      <w:r>
        <w:fldChar w:fldCharType="separate"/>
      </w:r>
      <w:r>
        <w:rPr>
          <w:rFonts w:hint="eastAsia" w:ascii="宋体" w:hAnsi="宋体"/>
          <w:szCs w:val="21"/>
        </w:rPr>
        <w:t>十六、项目整体运行情况分析</w:t>
      </w:r>
      <w:r>
        <w:tab/>
      </w:r>
      <w:r>
        <w:fldChar w:fldCharType="begin"/>
      </w:r>
      <w:r>
        <w:instrText xml:space="preserve"> PAGEREF _Toc8228 \h </w:instrText>
      </w:r>
      <w:r>
        <w:fldChar w:fldCharType="separate"/>
      </w:r>
      <w:r>
        <w:t>35</w:t>
      </w:r>
      <w:r>
        <w:fldChar w:fldCharType="end"/>
      </w:r>
      <w:r>
        <w:fldChar w:fldCharType="end"/>
      </w:r>
    </w:p>
    <w:p>
      <w:pPr>
        <w:pStyle w:val="13"/>
        <w:tabs>
          <w:tab w:val="right" w:leader="dot" w:pos="9638"/>
        </w:tabs>
      </w:pPr>
      <w:r>
        <w:fldChar w:fldCharType="begin"/>
      </w:r>
      <w:r>
        <w:instrText xml:space="preserve"> HYPERLINK \l "_Toc16555" </w:instrText>
      </w:r>
      <w:r>
        <w:fldChar w:fldCharType="separate"/>
      </w:r>
      <w:r>
        <w:rPr>
          <w:rFonts w:hint="eastAsia" w:ascii="宋体" w:hAnsi="宋体"/>
          <w:bCs/>
          <w:szCs w:val="21"/>
        </w:rPr>
        <w:t>十七、附件</w:t>
      </w:r>
      <w:r>
        <w:tab/>
      </w:r>
      <w:r>
        <w:fldChar w:fldCharType="begin"/>
      </w:r>
      <w:r>
        <w:instrText xml:space="preserve"> PAGEREF _Toc16555 \h </w:instrText>
      </w:r>
      <w:r>
        <w:fldChar w:fldCharType="separate"/>
      </w:r>
      <w:r>
        <w:t>36</w:t>
      </w:r>
      <w:r>
        <w:fldChar w:fldCharType="end"/>
      </w:r>
      <w:r>
        <w:fldChar w:fldCharType="end"/>
      </w:r>
    </w:p>
    <w:p>
      <w:pPr>
        <w:spacing w:line="360" w:lineRule="auto"/>
        <w:ind w:left="720" w:leftChars="300"/>
        <w:rPr>
          <w:rFonts w:ascii="宋体" w:hAnsi="宋体"/>
          <w:b/>
          <w:bCs/>
          <w:sz w:val="21"/>
          <w:szCs w:val="21"/>
          <w:lang w:val="zh-CN"/>
        </w:rPr>
      </w:pPr>
      <w:r>
        <w:rPr>
          <w:rFonts w:hint="eastAsia" w:ascii="Arial" w:hAnsi="Arial" w:cs="Arial"/>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jc w:val="center"/>
        <w:rPr>
          <w:rFonts w:ascii="宋体" w:hAnsi="宋体" w:cs="宋体"/>
          <w:b/>
          <w:bCs/>
          <w:sz w:val="21"/>
          <w:szCs w:val="21"/>
        </w:rPr>
      </w:pPr>
    </w:p>
    <w:p>
      <w:pPr>
        <w:pStyle w:val="2"/>
        <w:ind w:firstLine="0" w:firstLineChars="0"/>
        <w:rPr>
          <w:rFonts w:ascii="宋体" w:hAnsi="宋体" w:cs="宋体"/>
          <w:b/>
          <w:bCs/>
          <w:kern w:val="0"/>
          <w:szCs w:val="21"/>
        </w:rPr>
      </w:pPr>
      <w:bookmarkStart w:id="0" w:name="_Toc133693353"/>
    </w:p>
    <w:p>
      <w:pPr>
        <w:pStyle w:val="2"/>
        <w:ind w:firstLine="0" w:firstLineChars="0"/>
        <w:rPr>
          <w:rFonts w:ascii="宋体" w:hAnsi="宋体" w:cs="宋体"/>
          <w:b/>
          <w:bCs/>
          <w:kern w:val="0"/>
          <w:szCs w:val="21"/>
        </w:rPr>
      </w:pPr>
    </w:p>
    <w:p>
      <w:pPr>
        <w:pStyle w:val="2"/>
        <w:ind w:firstLine="0" w:firstLineChars="0"/>
        <w:rPr>
          <w:rFonts w:ascii="宋体" w:hAnsi="宋体" w:cs="宋体"/>
          <w:b/>
          <w:bCs/>
          <w:kern w:val="0"/>
          <w:szCs w:val="21"/>
        </w:rPr>
      </w:pPr>
    </w:p>
    <w:p>
      <w:pPr>
        <w:pStyle w:val="2"/>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2"/>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受贵司委托，北京康信君安资产管理有限公司对苏州星盛房地产开发有限公司</w:t>
      </w:r>
      <w:r>
        <w:rPr>
          <w:rFonts w:ascii="宋体" w:hAnsi="宋体" w:cs="宋体"/>
          <w:kern w:val="0"/>
          <w:szCs w:val="21"/>
        </w:rPr>
        <w:t>开发建设位</w:t>
      </w:r>
      <w:r>
        <w:rPr>
          <w:rFonts w:hint="eastAsia" w:ascii="宋体" w:hAnsi="宋体" w:cs="宋体"/>
          <w:kern w:val="0"/>
          <w:szCs w:val="21"/>
        </w:rPr>
        <w:t>于江苏</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省苏州市吴江高新区“红星苏州盛泽”</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p>
    <w:p>
      <w:pPr>
        <w:pStyle w:val="2"/>
        <w:spacing w:line="36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AVICTC2020X0812-4</w:t>
      </w:r>
      <w:r>
        <w:rPr>
          <w:rFonts w:ascii="宋体" w:hAnsi="宋体" w:cs="宋体"/>
          <w:kern w:val="0"/>
          <w:szCs w:val="21"/>
        </w:rPr>
        <w:t xml:space="preserve"> </w:t>
      </w:r>
      <w:r>
        <w:rPr>
          <w:rFonts w:hint="eastAsia" w:ascii="宋体" w:hAnsi="宋体" w:cs="宋体"/>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2"/>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2"/>
        <w:ind w:firstLine="210"/>
        <w:rPr>
          <w:rFonts w:ascii="宋体" w:hAnsi="宋体" w:cs="宋体"/>
          <w:kern w:val="0"/>
          <w:szCs w:val="21"/>
        </w:rPr>
      </w:pPr>
      <w:r>
        <w:rPr>
          <w:rFonts w:hint="eastAsia" w:ascii="宋体" w:hAnsi="宋体" w:cs="宋体"/>
          <w:kern w:val="0"/>
          <w:szCs w:val="21"/>
        </w:rPr>
        <w:t>•项目公司：苏州星盛房地产开发有限公司（纳入监管范围）</w:t>
      </w:r>
    </w:p>
    <w:p>
      <w:pPr>
        <w:pStyle w:val="2"/>
        <w:ind w:firstLine="210"/>
        <w:rPr>
          <w:rFonts w:ascii="宋体" w:hAnsi="宋体" w:cs="宋体"/>
          <w:kern w:val="0"/>
          <w:szCs w:val="21"/>
        </w:rPr>
      </w:pPr>
      <w:r>
        <w:rPr>
          <w:rFonts w:hint="eastAsia" w:ascii="宋体" w:hAnsi="宋体" w:cs="宋体"/>
          <w:kern w:val="0"/>
          <w:szCs w:val="21"/>
        </w:rPr>
        <w:t>•</w:t>
      </w:r>
      <w:r>
        <w:rPr>
          <w:rFonts w:ascii="宋体" w:hAnsi="宋体" w:cs="宋体"/>
          <w:kern w:val="0"/>
          <w:szCs w:val="21"/>
        </w:rPr>
        <w:t>SPV</w:t>
      </w:r>
      <w:r>
        <w:rPr>
          <w:rFonts w:hint="eastAsia" w:ascii="宋体" w:hAnsi="宋体" w:cs="宋体"/>
          <w:kern w:val="0"/>
          <w:szCs w:val="21"/>
        </w:rPr>
        <w:t>公司：</w:t>
      </w:r>
      <w:r>
        <w:rPr>
          <w:rFonts w:ascii="Arial" w:hAnsi="Arial" w:cs="Arial"/>
          <w:bCs/>
          <w:kern w:val="44"/>
          <w:szCs w:val="21"/>
        </w:rPr>
        <w:t>上海洛翊企业管理有限公司</w:t>
      </w:r>
    </w:p>
    <w:p>
      <w:pPr>
        <w:pStyle w:val="2"/>
        <w:ind w:firstLine="210"/>
        <w:rPr>
          <w:rFonts w:ascii="宋体" w:hAnsi="宋体" w:cs="宋体"/>
          <w:kern w:val="0"/>
          <w:szCs w:val="21"/>
        </w:rPr>
      </w:pPr>
      <w:r>
        <w:rPr>
          <w:rFonts w:hint="eastAsia" w:ascii="宋体" w:hAnsi="宋体" w:cs="宋体"/>
          <w:kern w:val="0"/>
          <w:szCs w:val="21"/>
        </w:rPr>
        <w:t>•中航信托：中航信托股份有限公司</w:t>
      </w:r>
    </w:p>
    <w:p>
      <w:pPr>
        <w:pStyle w:val="2"/>
        <w:ind w:firstLine="210"/>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中航信托·天启【2020】352号红星苏州盛泽项目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lang w:bidi="ar"/>
              </w:rPr>
              <w:t>不动产</w:t>
            </w:r>
            <w:r>
              <w:rPr>
                <w:rFonts w:hint="eastAsia" w:ascii="Arial" w:hAnsi="Arial" w:cs="Arial"/>
                <w:sz w:val="18"/>
                <w:szCs w:val="18"/>
                <w:lang w:bidi="ar"/>
              </w:rPr>
              <w:t>（</w:t>
            </w:r>
            <w:r>
              <w:rPr>
                <w:rFonts w:ascii="Arial" w:hAnsi="Arial" w:cs="Arial"/>
                <w:sz w:val="18"/>
                <w:szCs w:val="18"/>
                <w:lang w:bidi="ar"/>
              </w:rPr>
              <w:t>准）事业部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2020年7月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107</w:t>
            </w:r>
            <w:r>
              <w:rPr>
                <w:rFonts w:hint="eastAsia" w:ascii="Arial" w:hAnsi="Arial" w:cs="Arial"/>
                <w:color w:val="000000"/>
                <w:sz w:val="18"/>
                <w:szCs w:val="18"/>
              </w:rPr>
              <w:t>,</w:t>
            </w:r>
            <w:r>
              <w:rPr>
                <w:rFonts w:ascii="Arial" w:hAnsi="Arial" w:cs="Arial"/>
                <w:color w:val="000000"/>
                <w:sz w:val="18"/>
                <w:szCs w:val="18"/>
              </w:rPr>
              <w:t>700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106</w:t>
            </w:r>
            <w:r>
              <w:rPr>
                <w:rFonts w:hint="eastAsia" w:ascii="Arial" w:hAnsi="Arial" w:cs="Arial"/>
                <w:color w:val="000000"/>
                <w:sz w:val="18"/>
                <w:szCs w:val="18"/>
              </w:rPr>
              <w:t>,</w:t>
            </w:r>
            <w:r>
              <w:rPr>
                <w:rFonts w:ascii="Arial" w:hAnsi="Arial" w:cs="Arial"/>
                <w:color w:val="000000"/>
                <w:sz w:val="18"/>
                <w:szCs w:val="18"/>
              </w:rPr>
              <w:t>900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重庆红星美凯龙企业发展有限公司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10.77亿元以股+资本公积形式初始受让上海洛翊企业管理有限公司（下称：SPV公司）30%股权（在满足银行开发贷和政府的相应条件下，最终持有SPV公司70%股权），SPV公司收到资金后以增资+资本公积的形式投资到项目公司里，并持有项目公司95%股权；最终信托资金用于标的项目的开发建设和归还小股东（</w:t>
            </w:r>
            <w:r>
              <w:rPr>
                <w:rFonts w:ascii="Arial" w:hAnsi="Arial" w:cs="Arial"/>
                <w:sz w:val="18"/>
                <w:szCs w:val="18"/>
              </w:rPr>
              <w:t>江苏盛泽投资有限公司</w:t>
            </w:r>
            <w:r>
              <w:rPr>
                <w:rFonts w:ascii="Arial" w:hAnsi="Arial" w:cs="Arial"/>
                <w:bCs/>
                <w:sz w:val="18"/>
                <w:szCs w:val="18"/>
              </w:rPr>
              <w:t>）前期超额投入资金</w:t>
            </w:r>
            <w:r>
              <w:rPr>
                <w:rFonts w:ascii="Arial" w:hAnsi="Arial" w:cs="Arial"/>
                <w:sz w:val="18"/>
                <w:szCs w:val="18"/>
              </w:rPr>
              <w:t>。</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舜湖和风雅苑</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苏州市吴江区盛泽镇坛丘敦煌路818号</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本项目占地面积为101,740.27㎡，总建筑面积为287,732.90㎡，可售面积为206,076.34㎡，可售比为71.62%；其中：高层住宅可售面积206,076.34㎡</w:t>
            </w:r>
            <w:commentRangeStart w:id="0"/>
            <w:commentRangeStart w:id="1"/>
            <w:r>
              <w:rPr>
                <w:rFonts w:ascii="Arial" w:hAnsi="Arial" w:cs="Arial"/>
                <w:bCs/>
                <w:sz w:val="18"/>
                <w:szCs w:val="18"/>
              </w:rPr>
              <w:t>，地下</w:t>
            </w:r>
            <w:del w:id="0" w:author="黑白" w:date="2021-05-13T18:39:42Z">
              <w:r>
                <w:rPr>
                  <w:rFonts w:ascii="Arial" w:hAnsi="Arial" w:cs="Arial"/>
                  <w:bCs/>
                  <w:sz w:val="18"/>
                  <w:szCs w:val="18"/>
                </w:rPr>
                <w:delText>可售</w:delText>
              </w:r>
            </w:del>
            <w:r>
              <w:rPr>
                <w:rFonts w:ascii="Arial" w:hAnsi="Arial" w:cs="Arial"/>
                <w:bCs/>
                <w:sz w:val="18"/>
                <w:szCs w:val="18"/>
              </w:rPr>
              <w:t>车位1,828个，实际可售1,280个。</w:t>
            </w:r>
            <w:commentRangeEnd w:id="0"/>
            <w:r>
              <w:rPr>
                <w:rStyle w:val="22"/>
              </w:rPr>
              <w:commentReference w:id="0"/>
            </w:r>
            <w:commentRangeEnd w:id="1"/>
            <w:r>
              <w:commentReference w:id="1"/>
            </w: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pPr>
      <w:r>
        <w:rPr>
          <w:rFonts w:hint="eastAsia" w:ascii="Arial" w:hAnsi="Arial" w:cs="Arial"/>
          <w:sz w:val="21"/>
          <w:szCs w:val="21"/>
        </w:rPr>
        <w:t>驻场时间：2020</w:t>
      </w:r>
      <w:r>
        <w:rPr>
          <w:rFonts w:ascii="Arial" w:hAnsi="Arial" w:cs="Arial"/>
          <w:sz w:val="21"/>
          <w:szCs w:val="21"/>
        </w:rPr>
        <w:t xml:space="preserve"> </w:t>
      </w:r>
      <w:r>
        <w:rPr>
          <w:rFonts w:hint="eastAsia" w:ascii="Arial" w:hAnsi="Arial" w:cs="Arial"/>
          <w:sz w:val="21"/>
          <w:szCs w:val="21"/>
        </w:rPr>
        <w:t>年</w:t>
      </w:r>
      <w:r>
        <w:rPr>
          <w:rFonts w:ascii="Arial" w:hAnsi="Arial" w:cs="Arial"/>
          <w:sz w:val="21"/>
          <w:szCs w:val="21"/>
        </w:rPr>
        <w:t xml:space="preserve"> </w:t>
      </w:r>
      <w:r>
        <w:rPr>
          <w:rFonts w:hint="eastAsia" w:ascii="Arial" w:hAnsi="Arial" w:cs="Arial"/>
          <w:sz w:val="21"/>
          <w:szCs w:val="21"/>
        </w:rPr>
        <w:t>7</w:t>
      </w:r>
      <w:r>
        <w:rPr>
          <w:rFonts w:ascii="Arial" w:hAnsi="Arial" w:cs="Arial"/>
          <w:sz w:val="21"/>
          <w:szCs w:val="21"/>
        </w:rPr>
        <w:t xml:space="preserve"> </w:t>
      </w:r>
      <w:r>
        <w:rPr>
          <w:rFonts w:hint="eastAsia" w:ascii="Arial" w:hAnsi="Arial" w:cs="Arial"/>
          <w:sz w:val="21"/>
          <w:szCs w:val="21"/>
        </w:rPr>
        <w:t>月 28</w:t>
      </w:r>
      <w:r>
        <w:rPr>
          <w:rFonts w:ascii="Arial" w:hAnsi="Arial" w:cs="Arial"/>
          <w:sz w:val="21"/>
          <w:szCs w:val="21"/>
        </w:rPr>
        <w:t xml:space="preserve"> </w:t>
      </w:r>
      <w:r>
        <w:rPr>
          <w:rFonts w:hint="eastAsia" w:ascii="Arial" w:hAnsi="Arial" w:cs="Arial"/>
          <w:sz w:val="21"/>
          <w:szCs w:val="21"/>
        </w:rPr>
        <w:t xml:space="preserve">日起   驻场人员：范青杰 </w:t>
      </w:r>
      <w:r>
        <w:rPr>
          <w:rFonts w:ascii="Arial" w:hAnsi="Arial" w:cs="Arial"/>
          <w:sz w:val="21"/>
          <w:szCs w:val="21"/>
        </w:rPr>
        <w:t xml:space="preserve">   </w:t>
      </w:r>
      <w:r>
        <w:rPr>
          <w:rFonts w:hint="eastAsia" w:ascii="Arial" w:hAnsi="Arial" w:cs="Arial"/>
          <w:sz w:val="21"/>
          <w:szCs w:val="21"/>
        </w:rPr>
        <w:t xml:space="preserve">  联系方式：15705201087</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lang w:bidi="ar"/>
              </w:rPr>
              <w:t>监管内容</w:t>
            </w:r>
          </w:p>
        </w:tc>
        <w:tc>
          <w:tcPr>
            <w:tcW w:w="814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pPr>
              <w:textAlignment w:val="center"/>
              <w:rPr>
                <w:rFonts w:ascii="Arial" w:hAnsi="Arial" w:cs="Arial"/>
                <w:color w:val="000000"/>
                <w:sz w:val="22"/>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人名章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hint="eastAsia" w:ascii="Arial" w:hAnsi="Arial" w:cs="Arial"/>
                <w:color w:val="000000"/>
                <w:sz w:val="18"/>
                <w:szCs w:val="18"/>
                <w:lang w:bidi="ar"/>
              </w:rPr>
              <w:t>#地块</w:t>
            </w:r>
            <w:r>
              <w:rPr>
                <w:rFonts w:ascii="Arial" w:hAnsi="Arial" w:cs="Arial"/>
                <w:color w:val="000000"/>
                <w:sz w:val="18"/>
                <w:szCs w:val="18"/>
                <w:lang w:bidi="ar"/>
              </w:rPr>
              <w:t>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建设工程施工许可证1#地块三标段（电子版）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建设工程施工许可证1#地块四标段（电子版）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建设工程施工许可证2#地块二标段（电子版）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建设工程施工许可证2#地块一号楼（电子版）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商品房预售许可证（</w:t>
            </w:r>
            <w:r>
              <w:rPr>
                <w:rFonts w:hint="eastAsia" w:ascii="Arial" w:hAnsi="Arial" w:cs="Arial"/>
                <w:color w:val="000000"/>
                <w:sz w:val="18"/>
                <w:szCs w:val="18"/>
                <w:lang w:bidi="ar"/>
              </w:rPr>
              <w:t>5#、7#、</w:t>
            </w:r>
            <w:r>
              <w:rPr>
                <w:rFonts w:ascii="Arial" w:hAnsi="Arial" w:cs="Arial"/>
                <w:color w:val="000000"/>
                <w:sz w:val="18"/>
                <w:szCs w:val="18"/>
                <w:lang w:bidi="ar"/>
              </w:rPr>
              <w:t>8#、9#、10#、11#）</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账户名：中国农业银行股份有限公司吴江盛泽支行</w:t>
            </w:r>
          </w:p>
          <w:p>
            <w:pPr>
              <w:textAlignment w:val="center"/>
              <w:rPr>
                <w:rFonts w:ascii="Arial" w:hAnsi="Arial" w:cs="Arial"/>
                <w:sz w:val="18"/>
                <w:szCs w:val="18"/>
              </w:rPr>
            </w:pPr>
            <w:r>
              <w:rPr>
                <w:rFonts w:ascii="Arial" w:hAnsi="Arial" w:cs="Arial"/>
                <w:sz w:val="18"/>
                <w:szCs w:val="18"/>
              </w:rPr>
              <w:t>账号：10544301040150760</w:t>
            </w:r>
          </w:p>
          <w:p>
            <w:pPr>
              <w:pStyle w:val="7"/>
              <w:ind w:firstLine="0" w:firstLineChars="0"/>
              <w:rPr>
                <w:rFonts w:ascii="Arial" w:hAnsi="Arial" w:cs="Arial"/>
                <w:sz w:val="18"/>
                <w:szCs w:val="18"/>
              </w:rPr>
            </w:pPr>
            <w:r>
              <w:rPr>
                <w:rFonts w:ascii="Arial" w:hAnsi="Arial" w:cs="Arial"/>
                <w:sz w:val="18"/>
                <w:szCs w:val="18"/>
              </w:rPr>
              <w:t>序列号：535701325230</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账户名：江苏银行股份有限公司苏州盛泽支行</w:t>
            </w:r>
          </w:p>
          <w:p>
            <w:pPr>
              <w:textAlignment w:val="center"/>
              <w:rPr>
                <w:rFonts w:ascii="Arial" w:hAnsi="Arial" w:cs="Arial"/>
                <w:sz w:val="18"/>
                <w:szCs w:val="18"/>
              </w:rPr>
            </w:pPr>
            <w:r>
              <w:rPr>
                <w:rFonts w:ascii="Arial" w:hAnsi="Arial" w:cs="Arial"/>
                <w:sz w:val="18"/>
                <w:szCs w:val="18"/>
              </w:rPr>
              <w:t>账号：30390188000212079</w:t>
            </w:r>
          </w:p>
          <w:p>
            <w:pPr>
              <w:pStyle w:val="7"/>
              <w:ind w:firstLine="360"/>
              <w:rPr>
                <w:rFonts w:ascii="Arial" w:hAnsi="Arial" w:cs="Arial"/>
                <w:sz w:val="18"/>
                <w:szCs w:val="18"/>
              </w:rPr>
            </w:pPr>
            <w:r>
              <w:rPr>
                <w:rFonts w:hint="eastAsia" w:ascii="Arial" w:hAnsi="Arial" w:cs="Arial"/>
                <w:sz w:val="18"/>
                <w:szCs w:val="18"/>
              </w:rPr>
              <w:t xml:space="preserve">  30390188000211774</w:t>
            </w:r>
          </w:p>
          <w:p>
            <w:pPr>
              <w:pStyle w:val="7"/>
              <w:ind w:firstLine="360"/>
              <w:rPr>
                <w:rFonts w:ascii="Arial" w:hAnsi="Arial" w:cs="Arial"/>
                <w:sz w:val="18"/>
                <w:szCs w:val="18"/>
              </w:rPr>
            </w:pPr>
            <w:r>
              <w:rPr>
                <w:rFonts w:hint="eastAsia" w:ascii="Arial" w:hAnsi="Arial" w:cs="Arial"/>
                <w:sz w:val="18"/>
                <w:szCs w:val="18"/>
              </w:rPr>
              <w:t xml:space="preserve">  30390188000211692</w:t>
            </w:r>
          </w:p>
          <w:p>
            <w:pPr>
              <w:pStyle w:val="7"/>
              <w:ind w:firstLine="360"/>
              <w:rPr>
                <w:rFonts w:ascii="Arial" w:hAnsi="Arial" w:cs="Arial"/>
                <w:sz w:val="18"/>
                <w:szCs w:val="18"/>
              </w:rPr>
            </w:pPr>
            <w:r>
              <w:rPr>
                <w:rFonts w:hint="eastAsia" w:ascii="Arial" w:hAnsi="Arial" w:cs="Arial"/>
                <w:sz w:val="18"/>
                <w:szCs w:val="18"/>
              </w:rPr>
              <w:t xml:space="preserve">  30390188000211513</w:t>
            </w:r>
          </w:p>
          <w:p>
            <w:pPr>
              <w:pStyle w:val="7"/>
              <w:ind w:firstLine="360"/>
              <w:rPr>
                <w:rFonts w:ascii="Arial" w:hAnsi="Arial" w:cs="Arial"/>
                <w:sz w:val="18"/>
                <w:szCs w:val="18"/>
              </w:rPr>
            </w:pPr>
            <w:r>
              <w:rPr>
                <w:rFonts w:hint="eastAsia" w:ascii="Arial" w:hAnsi="Arial" w:cs="Arial"/>
                <w:sz w:val="18"/>
                <w:szCs w:val="18"/>
              </w:rPr>
              <w:t xml:space="preserve">  30390188000212407</w:t>
            </w:r>
          </w:p>
          <w:p>
            <w:pPr>
              <w:pStyle w:val="7"/>
              <w:ind w:firstLine="0" w:firstLineChars="0"/>
              <w:rPr>
                <w:rFonts w:ascii="Arial" w:hAnsi="Arial" w:cs="Arial"/>
                <w:sz w:val="18"/>
                <w:szCs w:val="18"/>
              </w:rPr>
            </w:pPr>
            <w:r>
              <w:rPr>
                <w:rFonts w:ascii="Arial" w:hAnsi="Arial" w:cs="Arial"/>
                <w:sz w:val="18"/>
                <w:szCs w:val="18"/>
              </w:rPr>
              <w:t>序列号：9004375653</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账户名：中国银行苏州吴越支行</w:t>
            </w:r>
          </w:p>
          <w:p>
            <w:pPr>
              <w:textAlignment w:val="center"/>
              <w:rPr>
                <w:rFonts w:ascii="Arial" w:hAnsi="Arial" w:cs="Arial"/>
                <w:sz w:val="18"/>
                <w:szCs w:val="18"/>
              </w:rPr>
            </w:pPr>
            <w:r>
              <w:rPr>
                <w:rFonts w:ascii="Arial" w:hAnsi="Arial" w:cs="Arial"/>
                <w:sz w:val="18"/>
                <w:szCs w:val="18"/>
              </w:rPr>
              <w:t>账号：485875639157</w:t>
            </w:r>
          </w:p>
          <w:p>
            <w:pPr>
              <w:textAlignment w:val="center"/>
              <w:rPr>
                <w:rFonts w:ascii="Arial" w:hAnsi="Arial" w:cs="Arial"/>
                <w:sz w:val="18"/>
                <w:szCs w:val="18"/>
              </w:rPr>
            </w:pPr>
            <w:r>
              <w:rPr>
                <w:rFonts w:ascii="Arial" w:hAnsi="Arial" w:cs="Arial"/>
                <w:sz w:val="18"/>
                <w:szCs w:val="18"/>
              </w:rPr>
              <w:t>序列号：955668N005154088</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账户名：工商银行盛泽舜湖支行</w:t>
            </w:r>
          </w:p>
          <w:p>
            <w:pPr>
              <w:textAlignment w:val="center"/>
              <w:rPr>
                <w:rFonts w:ascii="Arial" w:hAnsi="Arial" w:cs="Arial"/>
                <w:sz w:val="18"/>
                <w:szCs w:val="18"/>
              </w:rPr>
            </w:pPr>
            <w:r>
              <w:rPr>
                <w:rFonts w:ascii="Arial" w:hAnsi="Arial" w:cs="Arial"/>
                <w:sz w:val="18"/>
                <w:szCs w:val="18"/>
              </w:rPr>
              <w:t>账号：110290004132704</w:t>
            </w:r>
          </w:p>
          <w:p>
            <w:pPr>
              <w:pStyle w:val="7"/>
              <w:ind w:firstLine="0" w:firstLineChars="0"/>
              <w:rPr>
                <w:rFonts w:ascii="Arial" w:hAnsi="Arial" w:cs="Arial"/>
                <w:sz w:val="18"/>
                <w:szCs w:val="18"/>
              </w:rPr>
            </w:pPr>
            <w:r>
              <w:rPr>
                <w:rFonts w:ascii="Arial" w:hAnsi="Arial" w:cs="Arial"/>
                <w:sz w:val="18"/>
                <w:szCs w:val="18"/>
              </w:rPr>
              <w:t>序列号：2826074557</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开户行：江苏银行股份有限公司苏州盛泽支行</w:t>
            </w:r>
            <w:r>
              <w:rPr>
                <w:rFonts w:ascii="Arial" w:hAnsi="Arial" w:cs="Arial"/>
                <w:sz w:val="18"/>
                <w:szCs w:val="18"/>
              </w:rPr>
              <w:t>账号：30390188000212079</w:t>
            </w:r>
          </w:p>
          <w:p>
            <w:pPr>
              <w:pStyle w:val="7"/>
              <w:ind w:firstLine="0" w:firstLineChars="0"/>
              <w:rPr>
                <w:rFonts w:ascii="Arial" w:hAnsi="Arial" w:cs="Arial"/>
                <w:sz w:val="18"/>
                <w:szCs w:val="18"/>
              </w:rPr>
            </w:pPr>
            <w:r>
              <w:rPr>
                <w:rFonts w:ascii="Arial" w:hAnsi="Arial" w:cs="Arial"/>
                <w:sz w:val="18"/>
                <w:szCs w:val="18"/>
              </w:rPr>
              <w:t>序列号：0443728726</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账 号：10544301040150760</w:t>
            </w:r>
          </w:p>
          <w:p>
            <w:pPr>
              <w:rPr>
                <w:rFonts w:ascii="Arial" w:hAnsi="Arial" w:cs="Arial"/>
                <w:color w:val="000000"/>
                <w:sz w:val="18"/>
                <w:szCs w:val="18"/>
              </w:rPr>
            </w:pPr>
            <w:r>
              <w:rPr>
                <w:rFonts w:ascii="Arial" w:hAnsi="Arial" w:cs="Arial"/>
                <w:color w:val="000000"/>
                <w:sz w:val="18"/>
                <w:szCs w:val="18"/>
              </w:rPr>
              <w:t>序列号：535701325230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开户行：中国工商银行股份有限公司上海市虹桥商务区支行</w:t>
            </w:r>
          </w:p>
          <w:p>
            <w:pPr>
              <w:rPr>
                <w:rFonts w:ascii="Arial" w:hAnsi="Arial" w:cs="Arial"/>
                <w:color w:val="000000"/>
                <w:sz w:val="18"/>
                <w:szCs w:val="18"/>
              </w:rPr>
            </w:pPr>
            <w:r>
              <w:rPr>
                <w:rFonts w:ascii="Arial" w:hAnsi="Arial" w:cs="Arial"/>
                <w:color w:val="000000"/>
                <w:sz w:val="18"/>
                <w:szCs w:val="18"/>
              </w:rPr>
              <w:t>账 号：1001328009100015895</w:t>
            </w:r>
          </w:p>
          <w:p>
            <w:pPr>
              <w:rPr>
                <w:rFonts w:ascii="Arial" w:hAnsi="Arial" w:cs="Arial"/>
                <w:color w:val="000000"/>
                <w:sz w:val="18"/>
                <w:szCs w:val="18"/>
              </w:rPr>
            </w:pPr>
            <w:r>
              <w:rPr>
                <w:rFonts w:ascii="Arial" w:hAnsi="Arial" w:cs="Arial"/>
                <w:color w:val="000000"/>
                <w:sz w:val="18"/>
                <w:szCs w:val="18"/>
              </w:rPr>
              <w:t>序列号：0412898974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票据号码：29155112-29155125</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854" w:hRule="atLeast"/>
          <w:jc w:val="center"/>
        </w:trPr>
        <w:tc>
          <w:tcPr>
            <w:tcW w:w="1172"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票据号码：沪B10215229-沪B10215250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 xml:space="preserve">用户名：傅宇    </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进场前签署2份合同（土地合同），已建立台账，合同金额为155,662.61万，已付金额153,773.03万。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（3）项目重要节点跟踪：</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2020年7月</w:t>
            </w:r>
          </w:p>
        </w:tc>
        <w:tc>
          <w:tcPr>
            <w:tcW w:w="1922" w:type="dxa"/>
            <w:vAlign w:val="center"/>
          </w:tcPr>
          <w:p>
            <w:pPr>
              <w:jc w:val="center"/>
              <w:rPr>
                <w:rFonts w:ascii="Arial" w:hAnsi="Arial" w:cs="Arial"/>
                <w:b/>
                <w:bCs/>
                <w:sz w:val="18"/>
                <w:szCs w:val="18"/>
              </w:rPr>
            </w:pPr>
            <w:r>
              <w:rPr>
                <w:rFonts w:ascii="Arial" w:hAnsi="Arial" w:cs="Arial"/>
                <w:sz w:val="18"/>
                <w:szCs w:val="18"/>
              </w:rPr>
              <w:t>用地规划许可证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1#地块：2020年7月20日</w:t>
            </w:r>
          </w:p>
          <w:p>
            <w:pPr>
              <w:jc w:val="center"/>
              <w:rPr>
                <w:rFonts w:ascii="Arial" w:hAnsi="Arial" w:cs="Arial"/>
                <w:b/>
                <w:bCs/>
                <w:sz w:val="18"/>
                <w:szCs w:val="18"/>
              </w:rPr>
            </w:pPr>
            <w:r>
              <w:rPr>
                <w:rFonts w:ascii="Arial" w:hAnsi="Arial" w:cs="Arial"/>
                <w:sz w:val="18"/>
                <w:szCs w:val="18"/>
              </w:rPr>
              <w:t>2#地块：2020年7月20日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不动产权证书</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1#地块：2020年7月30日</w:t>
            </w:r>
          </w:p>
          <w:p>
            <w:pPr>
              <w:jc w:val="center"/>
              <w:rPr>
                <w:rFonts w:ascii="Arial" w:hAnsi="Arial" w:cs="Arial"/>
                <w:b/>
                <w:bCs/>
                <w:sz w:val="18"/>
                <w:szCs w:val="18"/>
              </w:rPr>
            </w:pPr>
            <w:r>
              <w:rPr>
                <w:rFonts w:ascii="Arial" w:hAnsi="Arial" w:cs="Arial"/>
                <w:sz w:val="18"/>
                <w:szCs w:val="18"/>
              </w:rPr>
              <w:t>2#地块：2020年7月30日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工程规划许可证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1#地块：2020年9月18日</w:t>
            </w:r>
          </w:p>
          <w:p>
            <w:pPr>
              <w:jc w:val="center"/>
              <w:rPr>
                <w:rFonts w:ascii="Arial" w:hAnsi="Arial" w:cs="Arial"/>
                <w:b/>
                <w:bCs/>
                <w:sz w:val="18"/>
                <w:szCs w:val="18"/>
              </w:rPr>
            </w:pPr>
            <w:r>
              <w:rPr>
                <w:rFonts w:ascii="Arial" w:hAnsi="Arial" w:cs="Arial"/>
                <w:sz w:val="18"/>
                <w:szCs w:val="18"/>
              </w:rPr>
              <w:t>2#地块：2020年9月3日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施工许可证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right"/>
              <w:rPr>
                <w:rFonts w:ascii="Arial" w:hAnsi="Arial" w:cs="Arial"/>
                <w:sz w:val="18"/>
                <w:szCs w:val="18"/>
              </w:rPr>
            </w:pPr>
            <w:r>
              <w:rPr>
                <w:rFonts w:ascii="Arial" w:hAnsi="Arial" w:cs="Arial"/>
                <w:sz w:val="18"/>
                <w:szCs w:val="18"/>
              </w:rPr>
              <w:t>1#地块：三标段2020年10月15日</w:t>
            </w:r>
          </w:p>
          <w:p>
            <w:pPr>
              <w:pStyle w:val="7"/>
              <w:ind w:firstLine="720" w:firstLineChars="400"/>
              <w:jc w:val="right"/>
              <w:rPr>
                <w:rFonts w:ascii="Arial" w:hAnsi="Arial" w:cs="Arial"/>
                <w:sz w:val="18"/>
                <w:szCs w:val="18"/>
              </w:rPr>
            </w:pPr>
            <w:r>
              <w:rPr>
                <w:rFonts w:ascii="Arial" w:hAnsi="Arial" w:cs="Arial"/>
                <w:sz w:val="18"/>
                <w:szCs w:val="18"/>
              </w:rPr>
              <w:t>四标段2020年10月16日</w:t>
            </w:r>
          </w:p>
          <w:p>
            <w:pPr>
              <w:jc w:val="right"/>
              <w:rPr>
                <w:rFonts w:ascii="Arial" w:hAnsi="Arial" w:cs="Arial"/>
                <w:sz w:val="18"/>
                <w:szCs w:val="18"/>
              </w:rPr>
            </w:pPr>
            <w:r>
              <w:rPr>
                <w:rFonts w:ascii="Arial" w:hAnsi="Arial" w:cs="Arial"/>
                <w:sz w:val="18"/>
                <w:szCs w:val="18"/>
              </w:rPr>
              <w:t>2#地块：一标段2020年9月17日</w:t>
            </w:r>
          </w:p>
          <w:p>
            <w:pPr>
              <w:pStyle w:val="7"/>
              <w:ind w:firstLine="900" w:firstLineChars="500"/>
              <w:jc w:val="right"/>
              <w:rPr>
                <w:rFonts w:ascii="Arial" w:hAnsi="Arial" w:cs="Arial"/>
                <w:sz w:val="18"/>
                <w:szCs w:val="18"/>
              </w:rPr>
            </w:pPr>
            <w:r>
              <w:rPr>
                <w:rFonts w:ascii="Arial" w:hAnsi="Arial" w:cs="Arial"/>
                <w:kern w:val="0"/>
                <w:sz w:val="18"/>
                <w:szCs w:val="18"/>
              </w:rPr>
              <w:t>二标段2020年9月21日</w:t>
            </w:r>
          </w:p>
          <w:p>
            <w:pPr>
              <w:jc w:val="right"/>
              <w:rPr>
                <w:rFonts w:ascii="Arial" w:hAnsi="Arial" w:cs="Arial"/>
                <w:b/>
                <w:bCs/>
                <w:sz w:val="18"/>
                <w:szCs w:val="18"/>
              </w:rPr>
            </w:pPr>
            <w:r>
              <w:rPr>
                <w:rFonts w:ascii="Arial" w:hAnsi="Arial" w:cs="Arial"/>
                <w:sz w:val="18"/>
                <w:szCs w:val="18"/>
              </w:rPr>
              <w:t>1号楼（售楼处）2020年11月5日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开工</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1859" w:type="dxa"/>
            <w:vAlign w:val="center"/>
          </w:tcPr>
          <w:p>
            <w:pPr>
              <w:jc w:val="center"/>
              <w:rPr>
                <w:rFonts w:ascii="Arial" w:hAnsi="Arial" w:cs="Arial"/>
                <w:bCs/>
                <w:sz w:val="18"/>
                <w:szCs w:val="18"/>
              </w:rPr>
            </w:pPr>
            <w:r>
              <w:rPr>
                <w:rFonts w:ascii="Arial" w:hAnsi="Arial" w:cs="Arial"/>
                <w:bCs/>
                <w:sz w:val="18"/>
                <w:szCs w:val="18"/>
              </w:rPr>
              <w:t>2020年12月</w:t>
            </w:r>
          </w:p>
        </w:tc>
        <w:tc>
          <w:tcPr>
            <w:tcW w:w="1922" w:type="dxa"/>
            <w:vAlign w:val="center"/>
          </w:tcPr>
          <w:p>
            <w:pPr>
              <w:jc w:val="center"/>
              <w:rPr>
                <w:rFonts w:ascii="Arial" w:hAnsi="Arial" w:cs="Arial"/>
                <w:sz w:val="18"/>
                <w:szCs w:val="18"/>
              </w:rPr>
            </w:pPr>
            <w:r>
              <w:rPr>
                <w:rFonts w:ascii="Arial" w:hAnsi="Arial" w:cs="Arial"/>
                <w:sz w:val="18"/>
                <w:szCs w:val="18"/>
              </w:rPr>
              <w:t>首次董事会召开</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达到预售条件</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预售证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开盘</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10</w:t>
            </w:r>
          </w:p>
        </w:tc>
        <w:tc>
          <w:tcPr>
            <w:tcW w:w="1859" w:type="dxa"/>
            <w:vAlign w:val="center"/>
          </w:tcPr>
          <w:p>
            <w:pPr>
              <w:jc w:val="center"/>
              <w:rPr>
                <w:rFonts w:ascii="Arial" w:hAnsi="Arial" w:cs="Arial"/>
                <w:sz w:val="18"/>
                <w:szCs w:val="18"/>
              </w:rPr>
            </w:pPr>
            <w:r>
              <w:rPr>
                <w:rFonts w:ascii="Arial" w:hAnsi="Arial" w:cs="Arial"/>
                <w:bCs/>
                <w:sz w:val="18"/>
                <w:szCs w:val="18"/>
              </w:rPr>
              <w:t>2021年6月</w:t>
            </w:r>
          </w:p>
        </w:tc>
        <w:tc>
          <w:tcPr>
            <w:tcW w:w="1922" w:type="dxa"/>
            <w:vAlign w:val="center"/>
          </w:tcPr>
          <w:p>
            <w:pPr>
              <w:jc w:val="center"/>
              <w:rPr>
                <w:rFonts w:ascii="Arial" w:hAnsi="Arial" w:cs="Arial"/>
                <w:b/>
                <w:bCs/>
                <w:sz w:val="18"/>
                <w:szCs w:val="18"/>
              </w:rPr>
            </w:pPr>
            <w:r>
              <w:rPr>
                <w:rFonts w:ascii="Arial" w:hAnsi="Arial" w:cs="Arial"/>
                <w:sz w:val="18"/>
                <w:szCs w:val="18"/>
              </w:rPr>
              <w:t>结构封顶</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11</w:t>
            </w:r>
          </w:p>
        </w:tc>
        <w:tc>
          <w:tcPr>
            <w:tcW w:w="1859" w:type="dxa"/>
            <w:vAlign w:val="center"/>
          </w:tcPr>
          <w:p>
            <w:pPr>
              <w:jc w:val="center"/>
              <w:rPr>
                <w:rFonts w:ascii="Arial" w:hAnsi="Arial" w:cs="Arial"/>
                <w:sz w:val="18"/>
                <w:szCs w:val="18"/>
              </w:rPr>
            </w:pPr>
            <w:r>
              <w:rPr>
                <w:rFonts w:ascii="Arial" w:hAnsi="Arial" w:cs="Arial"/>
                <w:bCs/>
                <w:sz w:val="18"/>
                <w:szCs w:val="18"/>
              </w:rPr>
              <w:t>2022年12月</w:t>
            </w:r>
          </w:p>
        </w:tc>
        <w:tc>
          <w:tcPr>
            <w:tcW w:w="1922" w:type="dxa"/>
            <w:vAlign w:val="center"/>
          </w:tcPr>
          <w:p>
            <w:pPr>
              <w:jc w:val="center"/>
              <w:rPr>
                <w:rFonts w:ascii="Arial" w:hAnsi="Arial" w:cs="Arial"/>
                <w:b/>
                <w:bCs/>
                <w:sz w:val="18"/>
                <w:szCs w:val="18"/>
              </w:rPr>
            </w:pPr>
            <w:r>
              <w:rPr>
                <w:rFonts w:ascii="Arial" w:hAnsi="Arial" w:cs="Arial"/>
                <w:sz w:val="18"/>
                <w:szCs w:val="18"/>
              </w:rPr>
              <w:t>竣工备案证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12</w:t>
            </w:r>
          </w:p>
        </w:tc>
        <w:tc>
          <w:tcPr>
            <w:tcW w:w="1859" w:type="dxa"/>
            <w:vAlign w:val="center"/>
          </w:tcPr>
          <w:p>
            <w:pPr>
              <w:jc w:val="center"/>
              <w:rPr>
                <w:rFonts w:ascii="Arial" w:hAnsi="Arial" w:cs="Arial"/>
                <w:sz w:val="18"/>
                <w:szCs w:val="18"/>
              </w:rPr>
            </w:pPr>
            <w:r>
              <w:rPr>
                <w:rFonts w:ascii="Arial" w:hAnsi="Arial" w:cs="Arial"/>
                <w:bCs/>
                <w:sz w:val="18"/>
                <w:szCs w:val="18"/>
              </w:rPr>
              <w:t>2023年3月</w:t>
            </w:r>
          </w:p>
        </w:tc>
        <w:tc>
          <w:tcPr>
            <w:tcW w:w="1922" w:type="dxa"/>
            <w:vAlign w:val="center"/>
          </w:tcPr>
          <w:p>
            <w:pPr>
              <w:jc w:val="center"/>
              <w:rPr>
                <w:rFonts w:ascii="Arial" w:hAnsi="Arial" w:cs="Arial"/>
                <w:b/>
                <w:bCs/>
                <w:sz w:val="18"/>
                <w:szCs w:val="18"/>
              </w:rPr>
            </w:pPr>
            <w:r>
              <w:rPr>
                <w:rFonts w:ascii="Arial" w:hAnsi="Arial" w:cs="Arial"/>
                <w:sz w:val="18"/>
                <w:szCs w:val="18"/>
              </w:rPr>
              <w:t>交付证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（4）其他增信或风控措施落实：</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260"/>
        <w:gridCol w:w="2260"/>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sz w:val="18"/>
                <w:szCs w:val="18"/>
              </w:rPr>
              <w:t>1</w:t>
            </w:r>
          </w:p>
        </w:tc>
        <w:tc>
          <w:tcPr>
            <w:tcW w:w="1859" w:type="dxa"/>
            <w:vAlign w:val="center"/>
          </w:tcPr>
          <w:p>
            <w:pPr>
              <w:spacing w:line="360" w:lineRule="auto"/>
              <w:jc w:val="center"/>
              <w:rPr>
                <w:rFonts w:ascii="Arial" w:hAnsi="Arial" w:cs="Arial"/>
                <w:sz w:val="18"/>
                <w:szCs w:val="18"/>
              </w:rPr>
            </w:pPr>
            <w:r>
              <w:rPr>
                <w:rFonts w:ascii="Arial" w:hAnsi="Arial" w:cs="Arial"/>
                <w:sz w:val="18"/>
                <w:szCs w:val="18"/>
              </w:rPr>
              <w:t>上海洛翊企业管理有限公司70%股权质押</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信托计划成立之前</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办理完毕</w:t>
            </w:r>
          </w:p>
        </w:tc>
        <w:tc>
          <w:tcPr>
            <w:tcW w:w="2082" w:type="dxa"/>
            <w:vAlign w:val="center"/>
          </w:tcPr>
          <w:p>
            <w:pPr>
              <w:spacing w:line="360" w:lineRule="auto"/>
              <w:jc w:val="center"/>
              <w:rPr>
                <w:rFonts w:ascii="Arial" w:hAnsi="Arial" w:cs="Arial"/>
                <w:sz w:val="18"/>
                <w:szCs w:val="18"/>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（5）销售情况</w:t>
      </w:r>
    </w:p>
    <w:p>
      <w:pPr>
        <w:spacing w:line="360" w:lineRule="auto"/>
        <w:ind w:firstLine="420" w:firstLineChars="200"/>
        <w:rPr>
          <w:rFonts w:ascii="Arial" w:hAnsi="Arial" w:cs="Arial"/>
          <w:sz w:val="21"/>
          <w:szCs w:val="21"/>
        </w:rPr>
      </w:pPr>
      <w:r>
        <w:rPr>
          <w:rFonts w:ascii="Arial" w:hAnsi="Arial" w:cs="Arial"/>
          <w:sz w:val="21"/>
          <w:szCs w:val="21"/>
        </w:rPr>
        <w:t>本月收到销售回款</w:t>
      </w:r>
      <w:r>
        <w:rPr>
          <w:rFonts w:hint="eastAsia" w:ascii="Arial" w:hAnsi="Arial" w:cs="Arial"/>
          <w:sz w:val="21"/>
          <w:szCs w:val="21"/>
        </w:rPr>
        <w:t>152,13.68</w:t>
      </w:r>
      <w:r>
        <w:rPr>
          <w:rFonts w:ascii="Arial" w:hAnsi="Arial" w:cs="Arial"/>
          <w:sz w:val="21"/>
          <w:szCs w:val="21"/>
        </w:rPr>
        <w:t>万元，</w:t>
      </w:r>
      <w:r>
        <w:rPr>
          <w:rFonts w:hint="eastAsia" w:ascii="Arial" w:hAnsi="Arial" w:cs="Arial"/>
          <w:sz w:val="21"/>
          <w:szCs w:val="21"/>
        </w:rPr>
        <w:t>2020年12月27日</w:t>
      </w:r>
      <w:r>
        <w:rPr>
          <w:rFonts w:ascii="Arial" w:hAnsi="Arial" w:cs="Arial"/>
          <w:sz w:val="21"/>
          <w:szCs w:val="21"/>
        </w:rPr>
        <w:t>首次开盘306套房源，</w:t>
      </w:r>
      <w:r>
        <w:rPr>
          <w:rFonts w:hint="eastAsia" w:ascii="Arial" w:hAnsi="Arial" w:cs="Arial"/>
          <w:sz w:val="21"/>
          <w:szCs w:val="21"/>
        </w:rPr>
        <w:t>2021年4月17日加推136套，截至4月底，累计认购签约408套，其中认购8套，签约400套</w:t>
      </w:r>
      <w:r>
        <w:rPr>
          <w:rFonts w:ascii="Arial" w:hAnsi="Arial" w:cs="Arial"/>
          <w:sz w:val="21"/>
          <w:szCs w:val="21"/>
        </w:rPr>
        <w:t>。车位未开售。</w:t>
      </w:r>
      <w:r>
        <w:rPr>
          <w:rFonts w:hint="eastAsia" w:ascii="Arial" w:hAnsi="Arial" w:cs="Arial"/>
          <w:sz w:val="21"/>
          <w:szCs w:val="21"/>
        </w:rPr>
        <w:t>累计</w:t>
      </w:r>
      <w:r>
        <w:rPr>
          <w:rFonts w:hint="eastAsia" w:ascii="Arial" w:hAnsi="Arial" w:cs="Arial"/>
          <w:color w:val="000000"/>
          <w:sz w:val="21"/>
          <w:szCs w:val="21"/>
        </w:rPr>
        <w:t>去化率92.31</w:t>
      </w:r>
      <w:r>
        <w:rPr>
          <w:rFonts w:ascii="Arial" w:hAnsi="Arial" w:cs="Arial"/>
          <w:color w:val="000000"/>
          <w:sz w:val="21"/>
          <w:szCs w:val="21"/>
        </w:rPr>
        <w:t>%</w:t>
      </w:r>
      <w:r>
        <w:rPr>
          <w:rFonts w:hint="eastAsia" w:ascii="Arial" w:hAnsi="Arial" w:cs="Arial"/>
          <w:color w:val="000000"/>
          <w:sz w:val="21"/>
          <w:szCs w:val="21"/>
        </w:rPr>
        <w:t>，月均销售102套，总体销售去化符合第一次董事会决议的商业计划。</w:t>
      </w:r>
    </w:p>
    <w:p>
      <w:pPr>
        <w:numPr>
          <w:ilvl w:val="0"/>
          <w:numId w:val="1"/>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四证审批</w:t>
      </w:r>
    </w:p>
    <w:p>
      <w:pPr>
        <w:spacing w:line="360" w:lineRule="auto"/>
        <w:ind w:firstLine="420" w:firstLineChars="200"/>
        <w:jc w:val="both"/>
      </w:pPr>
      <w:r>
        <w:rPr>
          <w:rFonts w:hint="eastAsia" w:ascii="Arial" w:hAnsi="Arial" w:cs="Arial"/>
          <w:color w:val="000000"/>
          <w:sz w:val="21"/>
          <w:szCs w:val="21"/>
        </w:rPr>
        <w:t>于2021年4月15日取得2#地块5#、7#预售证。截至报告提交日，已取得</w:t>
      </w:r>
      <w:r>
        <w:rPr>
          <w:rFonts w:ascii="Arial" w:hAnsi="Arial" w:cs="Arial"/>
          <w:color w:val="000000"/>
          <w:sz w:val="21"/>
          <w:szCs w:val="21"/>
        </w:rPr>
        <w:t>1#</w:t>
      </w:r>
      <w:r>
        <w:rPr>
          <w:rFonts w:hint="eastAsia" w:ascii="Arial" w:hAnsi="Arial" w:cs="Arial"/>
          <w:color w:val="000000"/>
          <w:sz w:val="21"/>
          <w:szCs w:val="21"/>
        </w:rPr>
        <w:t>、</w:t>
      </w:r>
      <w:r>
        <w:rPr>
          <w:rFonts w:ascii="Arial" w:hAnsi="Arial" w:cs="Arial"/>
          <w:color w:val="000000"/>
          <w:sz w:val="21"/>
          <w:szCs w:val="21"/>
        </w:rPr>
        <w:t>2#</w:t>
      </w:r>
      <w:r>
        <w:rPr>
          <w:rFonts w:hint="eastAsia" w:ascii="Arial" w:hAnsi="Arial" w:cs="Arial"/>
          <w:color w:val="000000"/>
          <w:sz w:val="21"/>
          <w:szCs w:val="21"/>
        </w:rPr>
        <w:t>地块不动产权证书、用地规划许可证、工程规划许可证、施工许可证，预售证（</w:t>
      </w:r>
      <w:r>
        <w:rPr>
          <w:rFonts w:ascii="Arial" w:hAnsi="Arial" w:cs="Arial"/>
          <w:color w:val="000000"/>
          <w:sz w:val="21"/>
          <w:szCs w:val="21"/>
        </w:rPr>
        <w:t>2#</w:t>
      </w:r>
      <w:r>
        <w:rPr>
          <w:rFonts w:hint="eastAsia" w:ascii="Arial" w:hAnsi="Arial" w:cs="Arial"/>
          <w:color w:val="000000"/>
          <w:sz w:val="21"/>
          <w:szCs w:val="21"/>
        </w:rPr>
        <w:t>地块5、7、</w:t>
      </w:r>
      <w:r>
        <w:rPr>
          <w:rFonts w:ascii="Arial" w:hAnsi="Arial" w:cs="Arial"/>
          <w:color w:val="000000"/>
          <w:sz w:val="21"/>
          <w:szCs w:val="21"/>
        </w:rPr>
        <w:t>8</w:t>
      </w:r>
      <w:r>
        <w:rPr>
          <w:rFonts w:hint="eastAsia" w:ascii="Arial" w:hAnsi="Arial" w:cs="Arial"/>
          <w:color w:val="000000"/>
          <w:sz w:val="21"/>
          <w:szCs w:val="21"/>
        </w:rPr>
        <w:t>、</w:t>
      </w:r>
      <w:r>
        <w:rPr>
          <w:rFonts w:ascii="Arial" w:hAnsi="Arial" w:cs="Arial"/>
          <w:color w:val="000000"/>
          <w:sz w:val="21"/>
          <w:szCs w:val="21"/>
        </w:rPr>
        <w:t>9</w:t>
      </w:r>
      <w:r>
        <w:rPr>
          <w:rFonts w:hint="eastAsia" w:ascii="Arial" w:hAnsi="Arial" w:cs="Arial"/>
          <w:color w:val="000000"/>
          <w:sz w:val="21"/>
          <w:szCs w:val="21"/>
        </w:rPr>
        <w:t>、</w:t>
      </w:r>
      <w:r>
        <w:rPr>
          <w:rFonts w:ascii="Arial" w:hAnsi="Arial" w:cs="Arial"/>
          <w:color w:val="000000"/>
          <w:sz w:val="21"/>
          <w:szCs w:val="21"/>
        </w:rPr>
        <w:t>10</w:t>
      </w:r>
      <w:r>
        <w:rPr>
          <w:rFonts w:hint="eastAsia" w:ascii="Arial" w:hAnsi="Arial" w:cs="Arial"/>
          <w:color w:val="000000"/>
          <w:sz w:val="21"/>
          <w:szCs w:val="21"/>
        </w:rPr>
        <w:t>、</w:t>
      </w:r>
      <w:r>
        <w:rPr>
          <w:rFonts w:ascii="Arial" w:hAnsi="Arial" w:cs="Arial"/>
          <w:color w:val="000000"/>
          <w:sz w:val="21"/>
          <w:szCs w:val="21"/>
        </w:rPr>
        <w:t>11#</w:t>
      </w:r>
      <w:r>
        <w:rPr>
          <w:rFonts w:hint="eastAsia" w:ascii="Arial" w:hAnsi="Arial" w:cs="Arial"/>
          <w:color w:val="000000"/>
          <w:sz w:val="21"/>
          <w:szCs w:val="21"/>
        </w:rPr>
        <w:t>）。除</w:t>
      </w:r>
      <w:r>
        <w:rPr>
          <w:rFonts w:ascii="Arial" w:hAnsi="Arial" w:cs="Arial"/>
          <w:color w:val="000000"/>
          <w:sz w:val="21"/>
          <w:szCs w:val="21"/>
        </w:rPr>
        <w:t>2#</w:t>
      </w:r>
      <w:r>
        <w:rPr>
          <w:rFonts w:hint="eastAsia" w:ascii="Arial" w:hAnsi="Arial" w:cs="Arial"/>
          <w:color w:val="000000"/>
          <w:sz w:val="21"/>
          <w:szCs w:val="21"/>
        </w:rPr>
        <w:t>地块2、3、4、6号楼、</w:t>
      </w:r>
      <w:r>
        <w:rPr>
          <w:rFonts w:ascii="Arial" w:hAnsi="Arial" w:cs="Arial"/>
          <w:color w:val="000000"/>
          <w:sz w:val="21"/>
          <w:szCs w:val="21"/>
        </w:rPr>
        <w:t>1#</w:t>
      </w:r>
      <w:r>
        <w:rPr>
          <w:rFonts w:hint="eastAsia" w:ascii="Arial" w:hAnsi="Arial" w:cs="Arial"/>
          <w:color w:val="000000"/>
          <w:sz w:val="21"/>
          <w:szCs w:val="21"/>
        </w:rPr>
        <w:t>地块预售证外，均已办理完成。办理进度符合第一次董事会决议的商业计划节点要求。</w:t>
      </w:r>
    </w:p>
    <w:p>
      <w:pPr>
        <w:numPr>
          <w:ilvl w:val="0"/>
          <w:numId w:val="1"/>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工程进度</w:t>
      </w:r>
    </w:p>
    <w:p>
      <w:pPr>
        <w:spacing w:line="360" w:lineRule="auto"/>
        <w:ind w:firstLine="420" w:firstLineChars="200"/>
        <w:jc w:val="both"/>
        <w:rPr>
          <w:rFonts w:ascii="Arial" w:hAnsi="Arial" w:cs="Arial"/>
          <w:sz w:val="21"/>
          <w:szCs w:val="21"/>
        </w:rPr>
      </w:pPr>
      <w:r>
        <w:rPr>
          <w:rFonts w:ascii="Arial" w:hAnsi="Arial" w:cs="Arial"/>
          <w:color w:val="000000"/>
          <w:sz w:val="21"/>
          <w:szCs w:val="21"/>
        </w:rPr>
        <w:t>首批推盘区最高施工至16层；其它货量区：2#地块（一期）一标段8#十二层结构平板铺设完成、11#十三层结构梁板钢筋安装、5#八层面模板铺设、6#二层墙柱封模完成，3#正负零结构浇筑完成；二标段9#十五层梁板钢筋安装、10#十六层墙柱钢筋安装、4#六层面平板铺设完成、7#七层结构梁板钢筋安装完成，2#墙柱钢筋安装完成，墙柱封模整体完成70%，平板完成30%（西侧）。1#地块（二期）正在进行试桩。总体工程进度符合第一次董事会的商业计划进度要求。</w:t>
      </w:r>
    </w:p>
    <w:p>
      <w:pPr>
        <w:numPr>
          <w:ilvl w:val="0"/>
          <w:numId w:val="1"/>
        </w:numPr>
        <w:spacing w:line="360" w:lineRule="auto"/>
        <w:ind w:firstLine="420" w:firstLineChars="200"/>
        <w:jc w:val="both"/>
        <w:rPr>
          <w:rFonts w:ascii="Arial" w:hAnsi="Arial" w:cs="Arial"/>
          <w:sz w:val="21"/>
          <w:szCs w:val="21"/>
        </w:rPr>
      </w:pPr>
      <w:r>
        <w:rPr>
          <w:rFonts w:hint="eastAsia" w:ascii="Arial" w:hAnsi="Arial" w:cs="Arial"/>
          <w:b/>
          <w:bCs/>
          <w:sz w:val="21"/>
          <w:szCs w:val="21"/>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15,260.73</w:t>
      </w:r>
      <w:r>
        <w:rPr>
          <w:rFonts w:ascii="Arial" w:hAnsi="Arial" w:cs="Arial"/>
          <w:color w:val="000000"/>
          <w:sz w:val="21"/>
          <w:szCs w:val="21"/>
        </w:rPr>
        <w:t>万元，其中销售回款</w:t>
      </w:r>
      <w:r>
        <w:rPr>
          <w:rFonts w:hint="eastAsia" w:ascii="Arial" w:hAnsi="Arial" w:cs="Arial"/>
          <w:color w:val="000000"/>
          <w:sz w:val="21"/>
          <w:szCs w:val="21"/>
        </w:rPr>
        <w:t>15,213.68</w:t>
      </w:r>
      <w:r>
        <w:rPr>
          <w:rFonts w:ascii="Arial" w:hAnsi="Arial" w:cs="Arial"/>
          <w:color w:val="000000"/>
          <w:sz w:val="21"/>
          <w:szCs w:val="21"/>
        </w:rPr>
        <w:t>万元，投标保证金</w:t>
      </w:r>
      <w:r>
        <w:rPr>
          <w:rFonts w:hint="eastAsia" w:ascii="Arial" w:hAnsi="Arial" w:cs="Arial"/>
          <w:color w:val="000000"/>
          <w:sz w:val="21"/>
          <w:szCs w:val="21"/>
        </w:rPr>
        <w:t>45</w:t>
      </w:r>
      <w:r>
        <w:rPr>
          <w:rFonts w:ascii="Arial" w:hAnsi="Arial" w:cs="Arial"/>
          <w:color w:val="000000"/>
          <w:sz w:val="21"/>
          <w:szCs w:val="21"/>
        </w:rPr>
        <w:t>.00万元，</w:t>
      </w:r>
      <w:r>
        <w:rPr>
          <w:rFonts w:hint="eastAsia" w:ascii="Arial" w:hAnsi="Arial" w:cs="Arial"/>
          <w:color w:val="000000"/>
          <w:sz w:val="21"/>
          <w:szCs w:val="21"/>
        </w:rPr>
        <w:t>信保基金利息1.85</w:t>
      </w:r>
      <w:r>
        <w:rPr>
          <w:rFonts w:ascii="Arial" w:hAnsi="Arial" w:cs="Arial"/>
          <w:color w:val="000000"/>
          <w:sz w:val="21"/>
          <w:szCs w:val="21"/>
        </w:rPr>
        <w:t>万元</w:t>
      </w:r>
      <w:r>
        <w:rPr>
          <w:rFonts w:hint="eastAsia" w:ascii="Arial" w:hAnsi="Arial" w:cs="Arial"/>
          <w:color w:val="000000"/>
          <w:sz w:val="21"/>
          <w:szCs w:val="21"/>
        </w:rPr>
        <w:t>，其他0.2万元</w:t>
      </w:r>
      <w:r>
        <w:rPr>
          <w:rFonts w:ascii="Arial" w:hAnsi="Arial" w:cs="Arial"/>
          <w:color w:val="000000"/>
          <w:sz w:val="21"/>
          <w:szCs w:val="21"/>
        </w:rPr>
        <w:t>；本月项目公司资金支出</w:t>
      </w:r>
      <w:r>
        <w:rPr>
          <w:rFonts w:hint="eastAsia" w:ascii="Arial" w:hAnsi="Arial" w:cs="Arial"/>
          <w:color w:val="000000"/>
          <w:sz w:val="21"/>
          <w:szCs w:val="21"/>
        </w:rPr>
        <w:t xml:space="preserve">18,610.90 </w:t>
      </w:r>
      <w:r>
        <w:rPr>
          <w:rFonts w:ascii="Arial" w:hAnsi="Arial" w:cs="Arial"/>
          <w:color w:val="000000"/>
          <w:sz w:val="21"/>
          <w:szCs w:val="21"/>
        </w:rPr>
        <w:t>万元，其中前期费用</w:t>
      </w:r>
      <w:r>
        <w:rPr>
          <w:rFonts w:hint="eastAsia" w:ascii="Arial" w:hAnsi="Arial" w:cs="Arial"/>
          <w:color w:val="000000"/>
          <w:sz w:val="21"/>
          <w:szCs w:val="21"/>
        </w:rPr>
        <w:t xml:space="preserve">350.22 </w:t>
      </w:r>
      <w:r>
        <w:rPr>
          <w:rFonts w:ascii="Arial" w:hAnsi="Arial" w:cs="Arial"/>
          <w:color w:val="000000"/>
          <w:sz w:val="21"/>
          <w:szCs w:val="21"/>
        </w:rPr>
        <w:t>万元，</w:t>
      </w:r>
      <w:r>
        <w:rPr>
          <w:rFonts w:hint="eastAsia" w:ascii="Arial" w:hAnsi="Arial" w:cs="Arial"/>
          <w:color w:val="000000"/>
          <w:sz w:val="21"/>
          <w:szCs w:val="21"/>
        </w:rPr>
        <w:t>建安费用997.46 万元，</w:t>
      </w:r>
      <w:r>
        <w:rPr>
          <w:rFonts w:ascii="Arial" w:hAnsi="Arial" w:cs="Arial"/>
          <w:color w:val="000000"/>
          <w:sz w:val="21"/>
          <w:szCs w:val="21"/>
        </w:rPr>
        <w:t>营销费用</w:t>
      </w:r>
      <w:r>
        <w:rPr>
          <w:rFonts w:hint="eastAsia" w:ascii="Arial" w:hAnsi="Arial" w:cs="Arial"/>
          <w:color w:val="000000"/>
          <w:sz w:val="21"/>
          <w:szCs w:val="21"/>
        </w:rPr>
        <w:t xml:space="preserve">256.27 </w:t>
      </w:r>
      <w:r>
        <w:rPr>
          <w:rFonts w:ascii="Arial" w:hAnsi="Arial" w:cs="Arial"/>
          <w:color w:val="000000"/>
          <w:sz w:val="21"/>
          <w:szCs w:val="21"/>
        </w:rPr>
        <w:t>万元，管理费用</w:t>
      </w:r>
      <w:r>
        <w:rPr>
          <w:rFonts w:hint="eastAsia" w:ascii="Arial" w:hAnsi="Arial" w:cs="Arial"/>
          <w:color w:val="000000"/>
          <w:sz w:val="21"/>
          <w:szCs w:val="21"/>
        </w:rPr>
        <w:t xml:space="preserve">1,536.49 </w:t>
      </w:r>
      <w:r>
        <w:rPr>
          <w:rFonts w:ascii="Arial" w:hAnsi="Arial" w:cs="Arial"/>
          <w:color w:val="000000"/>
          <w:sz w:val="21"/>
          <w:szCs w:val="21"/>
        </w:rPr>
        <w:t>万元，财务费用</w:t>
      </w:r>
      <w:r>
        <w:rPr>
          <w:rFonts w:hint="eastAsia" w:ascii="Arial" w:hAnsi="Arial" w:cs="Arial"/>
          <w:color w:val="000000"/>
          <w:sz w:val="21"/>
          <w:szCs w:val="21"/>
        </w:rPr>
        <w:t>0.67</w:t>
      </w:r>
      <w:r>
        <w:rPr>
          <w:rFonts w:ascii="Arial" w:hAnsi="Arial" w:cs="Arial"/>
          <w:color w:val="000000"/>
          <w:sz w:val="21"/>
          <w:szCs w:val="21"/>
        </w:rPr>
        <w:t>万元，税费</w:t>
      </w:r>
      <w:r>
        <w:rPr>
          <w:rFonts w:hint="eastAsia" w:ascii="Arial" w:hAnsi="Arial" w:cs="Arial"/>
          <w:color w:val="000000"/>
          <w:sz w:val="21"/>
          <w:szCs w:val="21"/>
        </w:rPr>
        <w:t>429.80</w:t>
      </w:r>
      <w:r>
        <w:rPr>
          <w:rFonts w:ascii="Arial" w:hAnsi="Arial" w:cs="Arial"/>
          <w:color w:val="000000"/>
          <w:sz w:val="21"/>
          <w:szCs w:val="21"/>
        </w:rPr>
        <w:t>万元，往来款</w:t>
      </w:r>
      <w:r>
        <w:rPr>
          <w:rFonts w:hint="eastAsia" w:ascii="Arial" w:hAnsi="Arial" w:cs="Arial"/>
          <w:color w:val="000000"/>
          <w:sz w:val="21"/>
          <w:szCs w:val="21"/>
        </w:rPr>
        <w:t xml:space="preserve">15,000.00 </w:t>
      </w:r>
      <w:r>
        <w:rPr>
          <w:rFonts w:ascii="Arial" w:hAnsi="Arial" w:cs="Arial"/>
          <w:color w:val="000000"/>
          <w:sz w:val="21"/>
          <w:szCs w:val="21"/>
        </w:rPr>
        <w:t>万元</w:t>
      </w:r>
      <w:r>
        <w:rPr>
          <w:rFonts w:hint="eastAsia" w:ascii="Arial" w:hAnsi="Arial" w:cs="Arial"/>
          <w:color w:val="000000"/>
          <w:sz w:val="21"/>
          <w:szCs w:val="21"/>
        </w:rPr>
        <w:t>，退投标保证金及房款40.00万元</w:t>
      </w:r>
      <w:r>
        <w:rPr>
          <w:rFonts w:ascii="Arial" w:hAnsi="Arial" w:cs="Arial"/>
          <w:color w:val="000000"/>
          <w:sz w:val="21"/>
          <w:szCs w:val="21"/>
        </w:rPr>
        <w:t>；所有账户余额</w:t>
      </w:r>
      <w:r>
        <w:rPr>
          <w:rFonts w:hint="eastAsia" w:ascii="Arial" w:hAnsi="Arial" w:cs="Arial"/>
          <w:color w:val="000000"/>
          <w:sz w:val="21"/>
          <w:szCs w:val="21"/>
        </w:rPr>
        <w:t>35,932.26</w:t>
      </w:r>
      <w:r>
        <w:rPr>
          <w:rFonts w:ascii="Arial" w:hAnsi="Arial" w:cs="Arial"/>
          <w:color w:val="000000"/>
          <w:sz w:val="21"/>
          <w:szCs w:val="21"/>
        </w:rPr>
        <w:t>万元，其中受限资金</w:t>
      </w:r>
      <w:r>
        <w:rPr>
          <w:rFonts w:hint="eastAsia" w:ascii="Arial" w:hAnsi="Arial" w:cs="Arial"/>
          <w:color w:val="000000"/>
          <w:sz w:val="21"/>
          <w:szCs w:val="21"/>
        </w:rPr>
        <w:t>16,822.22</w:t>
      </w:r>
      <w:r>
        <w:rPr>
          <w:rFonts w:ascii="Arial" w:hAnsi="Arial" w:cs="Arial"/>
          <w:color w:val="000000"/>
          <w:sz w:val="21"/>
          <w:szCs w:val="21"/>
        </w:rPr>
        <w:t>万元。本月股东方资金回笼</w:t>
      </w:r>
      <w:r>
        <w:rPr>
          <w:rFonts w:hint="eastAsia" w:ascii="Arial" w:hAnsi="Arial" w:cs="Arial"/>
          <w:color w:val="000000"/>
          <w:sz w:val="21"/>
          <w:szCs w:val="21"/>
        </w:rPr>
        <w:t xml:space="preserve">15,000.00 </w:t>
      </w:r>
      <w:r>
        <w:rPr>
          <w:rFonts w:ascii="Arial" w:hAnsi="Arial" w:cs="Arial"/>
          <w:color w:val="000000"/>
          <w:sz w:val="21"/>
          <w:szCs w:val="21"/>
        </w:rPr>
        <w:t>万元。</w:t>
      </w:r>
    </w:p>
    <w:p>
      <w:pPr>
        <w:numPr>
          <w:ilvl w:val="0"/>
          <w:numId w:val="1"/>
        </w:numPr>
        <w:spacing w:line="360" w:lineRule="auto"/>
        <w:ind w:firstLine="420" w:firstLineChars="200"/>
        <w:jc w:val="both"/>
        <w:rPr>
          <w:rFonts w:ascii="宋体" w:hAnsi="宋体" w:cs="宋体"/>
          <w:color w:val="000000"/>
          <w:sz w:val="21"/>
          <w:szCs w:val="21"/>
        </w:rPr>
      </w:pPr>
      <w:r>
        <w:rPr>
          <w:rFonts w:hint="eastAsia" w:ascii="Arial" w:hAnsi="Arial" w:cs="Arial"/>
          <w:b/>
          <w:bCs/>
          <w:sz w:val="21"/>
          <w:szCs w:val="21"/>
        </w:rPr>
        <w:t>成本合约</w:t>
      </w:r>
    </w:p>
    <w:p>
      <w:pPr>
        <w:spacing w:line="360" w:lineRule="auto"/>
        <w:ind w:firstLine="420" w:firstLineChars="200"/>
        <w:rPr>
          <w:rFonts w:ascii="Arial" w:hAnsi="Arial" w:cs="Arial"/>
          <w:sz w:val="21"/>
          <w:szCs w:val="21"/>
        </w:rPr>
      </w:pPr>
      <w:r>
        <w:rPr>
          <w:rFonts w:hint="eastAsia" w:ascii="Arial" w:hAnsi="Arial" w:cs="Arial"/>
          <w:color w:val="000000"/>
          <w:sz w:val="21"/>
          <w:szCs w:val="21"/>
        </w:rPr>
        <w:t>项目开发成本累计投入</w:t>
      </w:r>
      <w:r>
        <w:rPr>
          <w:rFonts w:ascii="Arial" w:hAnsi="Arial" w:cs="Arial"/>
          <w:color w:val="000000"/>
          <w:sz w:val="21"/>
          <w:szCs w:val="21"/>
        </w:rPr>
        <w:t>16</w:t>
      </w:r>
      <w:r>
        <w:rPr>
          <w:rFonts w:hint="eastAsia" w:ascii="Arial" w:hAnsi="Arial" w:cs="Arial"/>
          <w:color w:val="000000"/>
          <w:sz w:val="21"/>
          <w:szCs w:val="21"/>
        </w:rPr>
        <w:t>6</w:t>
      </w:r>
      <w:r>
        <w:rPr>
          <w:rFonts w:ascii="Arial" w:hAnsi="Arial" w:cs="Arial"/>
          <w:color w:val="000000"/>
          <w:sz w:val="21"/>
          <w:szCs w:val="21"/>
        </w:rPr>
        <w:t>,</w:t>
      </w:r>
      <w:r>
        <w:rPr>
          <w:rFonts w:hint="eastAsia" w:ascii="Arial" w:hAnsi="Arial" w:cs="Arial"/>
          <w:color w:val="000000"/>
          <w:sz w:val="21"/>
          <w:szCs w:val="21"/>
        </w:rPr>
        <w:t>279</w:t>
      </w:r>
      <w:r>
        <w:rPr>
          <w:rFonts w:ascii="Arial" w:hAnsi="Arial" w:cs="Arial"/>
          <w:color w:val="000000"/>
          <w:sz w:val="21"/>
          <w:szCs w:val="21"/>
        </w:rPr>
        <w:t>.</w:t>
      </w:r>
      <w:r>
        <w:rPr>
          <w:rFonts w:hint="eastAsia" w:ascii="Arial" w:hAnsi="Arial" w:cs="Arial"/>
          <w:color w:val="000000"/>
          <w:sz w:val="21"/>
          <w:szCs w:val="21"/>
        </w:rPr>
        <w:t>93万元（包含非合同付款），占开发成本总预算的</w:t>
      </w:r>
      <w:r>
        <w:rPr>
          <w:rFonts w:ascii="Arial" w:hAnsi="Arial" w:cs="Arial"/>
          <w:color w:val="000000"/>
          <w:sz w:val="21"/>
          <w:szCs w:val="21"/>
        </w:rPr>
        <w:t>57.</w:t>
      </w:r>
      <w:r>
        <w:rPr>
          <w:rFonts w:hint="eastAsia" w:ascii="Arial" w:hAnsi="Arial" w:cs="Arial"/>
          <w:color w:val="000000"/>
          <w:sz w:val="21"/>
          <w:szCs w:val="21"/>
        </w:rPr>
        <w:t>89</w:t>
      </w:r>
      <w:r>
        <w:rPr>
          <w:rFonts w:ascii="Arial" w:hAnsi="Arial" w:cs="Arial"/>
          <w:color w:val="000000"/>
          <w:sz w:val="21"/>
          <w:szCs w:val="21"/>
        </w:rPr>
        <w:t>%</w:t>
      </w:r>
      <w:r>
        <w:rPr>
          <w:rFonts w:hint="eastAsia" w:ascii="Arial" w:hAnsi="Arial" w:cs="Arial"/>
          <w:color w:val="000000"/>
          <w:sz w:val="21"/>
          <w:szCs w:val="21"/>
        </w:rPr>
        <w:t>，未发生成本超支及与进度不符情况；项目本月签署4份成本类合同，签订合同金额为1,153.65万元，累计</w:t>
      </w:r>
      <w:r>
        <w:rPr>
          <w:rFonts w:hint="eastAsia" w:ascii="Arial" w:hAnsi="Arial" w:cs="Arial"/>
          <w:sz w:val="21"/>
          <w:szCs w:val="21"/>
        </w:rPr>
        <w:t>成本</w:t>
      </w:r>
      <w:r>
        <w:rPr>
          <w:rFonts w:hint="eastAsia" w:ascii="Arial" w:hAnsi="Arial" w:cs="Arial"/>
          <w:color w:val="000000"/>
          <w:sz w:val="21"/>
          <w:szCs w:val="21"/>
        </w:rPr>
        <w:t>合同金额（含已发生的无合同成本）</w:t>
      </w:r>
      <w:r>
        <w:rPr>
          <w:rFonts w:hint="eastAsia" w:ascii="Arial" w:hAnsi="Arial" w:cs="Arial"/>
          <w:color w:val="000000"/>
          <w:sz w:val="21"/>
          <w:szCs w:val="21"/>
        </w:rPr>
        <w:t>203,335.67</w:t>
      </w:r>
      <w:r>
        <w:rPr>
          <w:rFonts w:hint="eastAsia" w:ascii="Arial" w:hAnsi="Arial" w:cs="Arial"/>
          <w:color w:val="000000"/>
          <w:sz w:val="21"/>
          <w:szCs w:val="21"/>
        </w:rPr>
        <w:t>万元，占开发成本总预算的</w:t>
      </w:r>
      <w:r>
        <w:rPr>
          <w:rFonts w:ascii="Arial" w:hAnsi="Arial" w:cs="Arial"/>
          <w:color w:val="000000"/>
          <w:sz w:val="21"/>
          <w:szCs w:val="21"/>
        </w:rPr>
        <w:t>70.</w:t>
      </w:r>
      <w:r>
        <w:rPr>
          <w:rFonts w:hint="eastAsia" w:ascii="Arial" w:hAnsi="Arial" w:cs="Arial"/>
          <w:color w:val="000000"/>
          <w:sz w:val="21"/>
          <w:szCs w:val="21"/>
        </w:rPr>
        <w:t>79</w:t>
      </w:r>
      <w:r>
        <w:rPr>
          <w:rFonts w:ascii="Arial" w:hAnsi="Arial" w:cs="Arial"/>
          <w:color w:val="000000"/>
          <w:sz w:val="21"/>
          <w:szCs w:val="21"/>
        </w:rPr>
        <w:t>%</w:t>
      </w:r>
      <w:r>
        <w:rPr>
          <w:rFonts w:hint="eastAsia" w:ascii="Arial" w:hAnsi="Arial" w:cs="Arial"/>
          <w:color w:val="000000"/>
          <w:sz w:val="21"/>
          <w:szCs w:val="21"/>
        </w:rPr>
        <w:t>，未超预算。</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（10）项目开发贷及其他融资</w:t>
      </w:r>
    </w:p>
    <w:p>
      <w:pPr>
        <w:spacing w:line="360" w:lineRule="auto"/>
        <w:ind w:firstLine="420" w:firstLineChars="200"/>
        <w:rPr>
          <w:rFonts w:ascii="Arial" w:hAnsi="Arial" w:cs="Arial"/>
          <w:color w:val="000000"/>
          <w:sz w:val="21"/>
          <w:szCs w:val="21"/>
        </w:rPr>
      </w:pPr>
      <w:r>
        <w:rPr>
          <w:rFonts w:hint="eastAsia" w:ascii="宋体" w:hAnsi="宋体" w:cs="宋体"/>
          <w:color w:val="000000"/>
          <w:sz w:val="21"/>
          <w:szCs w:val="21"/>
        </w:rPr>
        <w:t>项</w:t>
      </w:r>
      <w:r>
        <w:rPr>
          <w:rFonts w:hint="eastAsia" w:ascii="Arial" w:hAnsi="Arial" w:cs="Arial"/>
          <w:color w:val="000000"/>
          <w:sz w:val="21"/>
          <w:szCs w:val="21"/>
        </w:rPr>
        <w:t>目公司于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16</w:t>
      </w:r>
      <w:r>
        <w:rPr>
          <w:rFonts w:hint="eastAsia" w:ascii="Arial" w:hAnsi="Arial" w:cs="Arial"/>
          <w:color w:val="000000"/>
          <w:sz w:val="21"/>
          <w:szCs w:val="21"/>
        </w:rPr>
        <w:t>日与江苏银行签订开发贷合同，项目公司自愿将苏（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9032627</w:t>
      </w:r>
      <w:r>
        <w:rPr>
          <w:rFonts w:hint="eastAsia" w:ascii="Arial" w:hAnsi="Arial" w:cs="Arial"/>
          <w:color w:val="000000"/>
          <w:sz w:val="21"/>
          <w:szCs w:val="21"/>
        </w:rPr>
        <w:t>号、苏（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9032632</w:t>
      </w:r>
      <w:r>
        <w:rPr>
          <w:rFonts w:hint="eastAsia" w:ascii="Arial" w:hAnsi="Arial" w:cs="Arial"/>
          <w:color w:val="000000"/>
          <w:sz w:val="21"/>
          <w:szCs w:val="21"/>
        </w:rPr>
        <w:t>号作为抵押物向江苏银行申请开发贷，贷款总金额不超过</w:t>
      </w:r>
      <w:r>
        <w:rPr>
          <w:rFonts w:ascii="Arial" w:hAnsi="Arial" w:cs="Arial"/>
          <w:color w:val="000000"/>
          <w:sz w:val="21"/>
          <w:szCs w:val="21"/>
        </w:rPr>
        <w:t>15</w:t>
      </w:r>
      <w:r>
        <w:rPr>
          <w:rFonts w:hint="eastAsia" w:ascii="Arial" w:hAnsi="Arial" w:cs="Arial"/>
          <w:color w:val="000000"/>
          <w:sz w:val="21"/>
          <w:szCs w:val="21"/>
        </w:rPr>
        <w:t>亿元，分批次放款，于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24</w:t>
      </w:r>
      <w:r>
        <w:rPr>
          <w:rFonts w:hint="eastAsia" w:ascii="Arial" w:hAnsi="Arial" w:cs="Arial"/>
          <w:color w:val="000000"/>
          <w:sz w:val="21"/>
          <w:szCs w:val="21"/>
        </w:rPr>
        <w:t>日放款</w:t>
      </w:r>
      <w:r>
        <w:rPr>
          <w:rFonts w:ascii="Arial" w:hAnsi="Arial" w:cs="Arial"/>
          <w:color w:val="000000"/>
          <w:sz w:val="21"/>
          <w:szCs w:val="21"/>
        </w:rPr>
        <w:t>5</w:t>
      </w:r>
      <w:r>
        <w:rPr>
          <w:rFonts w:hint="eastAsia" w:ascii="Arial" w:hAnsi="Arial" w:cs="Arial"/>
          <w:color w:val="000000"/>
          <w:sz w:val="21"/>
          <w:szCs w:val="21"/>
        </w:rPr>
        <w:t>亿元，</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22</w:t>
      </w:r>
      <w:r>
        <w:rPr>
          <w:rFonts w:hint="eastAsia" w:ascii="Arial" w:hAnsi="Arial" w:cs="Arial"/>
          <w:color w:val="000000"/>
          <w:sz w:val="21"/>
          <w:szCs w:val="21"/>
        </w:rPr>
        <w:t>日放款</w:t>
      </w:r>
      <w:r>
        <w:rPr>
          <w:rFonts w:ascii="Arial" w:hAnsi="Arial" w:cs="Arial"/>
          <w:color w:val="000000"/>
          <w:sz w:val="21"/>
          <w:szCs w:val="21"/>
        </w:rPr>
        <w:t>3</w:t>
      </w:r>
      <w:r>
        <w:rPr>
          <w:rFonts w:hint="eastAsia" w:ascii="Arial" w:hAnsi="Arial" w:cs="Arial"/>
          <w:color w:val="000000"/>
          <w:sz w:val="21"/>
          <w:szCs w:val="21"/>
        </w:rPr>
        <w:t>亿元，本月未发生开发贷放款、还款事项。截至本</w:t>
      </w:r>
      <w:r>
        <w:rPr>
          <w:rFonts w:hint="eastAsia" w:ascii="Arial" w:hAnsi="Arial" w:cs="Arial"/>
          <w:sz w:val="21"/>
          <w:szCs w:val="21"/>
        </w:rPr>
        <w:t>月底</w:t>
      </w:r>
      <w:r>
        <w:rPr>
          <w:rFonts w:hint="eastAsia" w:ascii="Arial" w:hAnsi="Arial" w:cs="Arial"/>
          <w:color w:val="000000"/>
          <w:sz w:val="21"/>
          <w:szCs w:val="21"/>
        </w:rPr>
        <w:t>，项目未发生商业承兑以及商业保理等形式的融资。</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（11）其他重大事件及存在的风险情况披露：</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①2021年4月1日，项目公司在江苏银行盛泽支行开立（5#、7#楼）政府预售资金监管账户。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②2021年4月15日取得5#、7#预售许可证，交接清单详见附件。</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③受预抵押政策影响，</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28</w:t>
      </w:r>
      <w:r>
        <w:rPr>
          <w:rFonts w:hint="eastAsia" w:ascii="Arial" w:hAnsi="Arial" w:cs="Arial"/>
          <w:color w:val="000000"/>
          <w:sz w:val="21"/>
          <w:szCs w:val="21"/>
        </w:rPr>
        <w:t>日之后备案的合同，江苏银行按揭放款已暂时停止，放款将在归还江苏银行相应楼栋开发贷后继续。</w:t>
      </w:r>
    </w:p>
    <w:p>
      <w:pPr>
        <w:pStyle w:val="7"/>
      </w:pPr>
    </w:p>
    <w:p>
      <w:pPr>
        <w:spacing w:line="360" w:lineRule="auto"/>
        <w:ind w:firstLine="420" w:firstLineChars="200"/>
        <w:rPr>
          <w:rFonts w:ascii="宋体" w:hAnsi="宋体" w:cs="宋体"/>
          <w:color w:val="000000"/>
          <w:sz w:val="21"/>
          <w:szCs w:val="21"/>
        </w:rPr>
      </w:pP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中航信托·红星苏州盛泽</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4"/>
        <w:rPr>
          <w:rFonts w:ascii="宋体" w:hAnsi="宋体" w:eastAsia="宋体"/>
          <w:sz w:val="21"/>
          <w:szCs w:val="21"/>
        </w:rPr>
      </w:pPr>
      <w:bookmarkStart w:id="1" w:name="_Toc19865"/>
      <w:r>
        <w:rPr>
          <w:rFonts w:hint="eastAsia" w:ascii="宋体" w:hAnsi="宋体" w:eastAsia="宋体"/>
          <w:sz w:val="21"/>
          <w:szCs w:val="21"/>
        </w:rPr>
        <w:t>一、项目基本情况介绍</w:t>
      </w:r>
      <w:bookmarkEnd w:id="1"/>
    </w:p>
    <w:p>
      <w:pPr>
        <w:spacing w:line="360" w:lineRule="auto"/>
        <w:ind w:firstLine="420" w:firstLineChars="200"/>
        <w:rPr>
          <w:rFonts w:ascii="Arial" w:hAnsi="Arial" w:cs="Arial"/>
          <w:sz w:val="21"/>
          <w:szCs w:val="21"/>
        </w:rPr>
      </w:pPr>
      <w:r>
        <w:rPr>
          <w:rFonts w:hint="eastAsia" w:ascii="Arial" w:hAnsi="Arial" w:cs="Arial"/>
          <w:sz w:val="21"/>
          <w:szCs w:val="21"/>
        </w:rPr>
        <w:t>项目公司即苏州星盛房地产开发有限公司由上海洛翊企业管理有限公司与江苏盛泽投资有限公司分别持股60</w:t>
      </w:r>
      <w:r>
        <w:rPr>
          <w:rFonts w:ascii="Arial" w:hAnsi="Arial" w:cs="Arial"/>
          <w:sz w:val="21"/>
          <w:szCs w:val="21"/>
        </w:rPr>
        <w:t>%</w:t>
      </w:r>
      <w:r>
        <w:rPr>
          <w:rFonts w:hint="eastAsia" w:ascii="Arial" w:hAnsi="Arial" w:cs="Arial"/>
          <w:sz w:val="21"/>
          <w:szCs w:val="21"/>
        </w:rPr>
        <w:t>、40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Cs w:val="21"/>
        </w:rPr>
      </w:pPr>
      <w:r>
        <w:rPr>
          <w:rFonts w:hint="eastAsia" w:ascii="Arial" w:hAnsi="Arial" w:cs="Arial"/>
          <w:sz w:val="21"/>
          <w:szCs w:val="21"/>
        </w:rPr>
        <w:t>上海洛翊企业管理有限公司成立于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06</w:t>
      </w:r>
      <w:r>
        <w:rPr>
          <w:rFonts w:hint="eastAsia" w:ascii="Arial" w:hAnsi="Arial" w:cs="Arial"/>
          <w:sz w:val="21"/>
          <w:szCs w:val="21"/>
        </w:rPr>
        <w:t>月</w:t>
      </w:r>
      <w:r>
        <w:rPr>
          <w:rFonts w:ascii="Arial" w:hAnsi="Arial" w:cs="Arial"/>
          <w:sz w:val="21"/>
          <w:szCs w:val="21"/>
        </w:rPr>
        <w:t>09</w:t>
      </w:r>
      <w:r>
        <w:rPr>
          <w:rFonts w:hint="eastAsia" w:ascii="Arial" w:hAnsi="Arial" w:cs="Arial"/>
          <w:sz w:val="21"/>
          <w:szCs w:val="21"/>
        </w:rPr>
        <w:t>日，现法定代表人为郭大宇，注册资本为</w:t>
      </w:r>
      <w:r>
        <w:rPr>
          <w:rFonts w:ascii="Arial" w:hAnsi="Arial" w:cs="Arial"/>
          <w:sz w:val="21"/>
          <w:szCs w:val="21"/>
        </w:rPr>
        <w:t>2000</w:t>
      </w:r>
      <w:r>
        <w:rPr>
          <w:rFonts w:hint="eastAsia" w:ascii="Arial" w:hAnsi="Arial" w:cs="Arial"/>
          <w:sz w:val="21"/>
          <w:szCs w:val="21"/>
        </w:rPr>
        <w:t>万元人民币，注册地址为上海市崇明区新村乡耀州路</w:t>
      </w:r>
      <w:r>
        <w:rPr>
          <w:rFonts w:ascii="Arial" w:hAnsi="Arial" w:cs="Arial"/>
          <w:sz w:val="21"/>
          <w:szCs w:val="21"/>
        </w:rPr>
        <w:t>741</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上海新村经济小区</w:t>
      </w:r>
      <w:r>
        <w:rPr>
          <w:rFonts w:ascii="Arial" w:hAnsi="Arial" w:cs="Arial"/>
          <w:sz w:val="21"/>
          <w:szCs w:val="21"/>
        </w:rPr>
        <w:t>)</w:t>
      </w:r>
      <w:r>
        <w:rPr>
          <w:rFonts w:hint="eastAsia" w:ascii="Arial" w:hAnsi="Arial" w:cs="Arial"/>
          <w:sz w:val="21"/>
          <w:szCs w:val="21"/>
        </w:rPr>
        <w:t>，该公司由常州红星美凯龙置业有限公司和中航信托股份有限公司分别持股70</w:t>
      </w:r>
      <w:r>
        <w:rPr>
          <w:rFonts w:ascii="Arial" w:hAnsi="Arial" w:cs="Arial"/>
          <w:sz w:val="21"/>
          <w:szCs w:val="21"/>
        </w:rPr>
        <w:t>%</w:t>
      </w:r>
      <w:r>
        <w:rPr>
          <w:rFonts w:hint="eastAsia" w:ascii="Arial" w:hAnsi="Arial" w:cs="Arial"/>
          <w:sz w:val="21"/>
          <w:szCs w:val="21"/>
        </w:rPr>
        <w:t>、30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hint="eastAsia" w:ascii="Arial" w:hAnsi="Arial" w:cs="Arial"/>
          <w:sz w:val="21"/>
          <w:szCs w:val="21"/>
        </w:rPr>
        <w:t>江苏盛泽投资有限公司成立于</w:t>
      </w:r>
      <w:r>
        <w:rPr>
          <w:rFonts w:ascii="Arial" w:hAnsi="Arial" w:cs="Arial"/>
          <w:sz w:val="21"/>
          <w:szCs w:val="21"/>
        </w:rPr>
        <w:t>2010</w:t>
      </w:r>
      <w:r>
        <w:rPr>
          <w:rFonts w:hint="eastAsia" w:ascii="Arial" w:hAnsi="Arial" w:cs="Arial"/>
          <w:sz w:val="21"/>
          <w:szCs w:val="21"/>
        </w:rPr>
        <w:t>年</w:t>
      </w:r>
      <w:r>
        <w:rPr>
          <w:rFonts w:ascii="Arial" w:hAnsi="Arial" w:cs="Arial"/>
          <w:sz w:val="21"/>
          <w:szCs w:val="21"/>
        </w:rPr>
        <w:t>05</w:t>
      </w:r>
      <w:r>
        <w:rPr>
          <w:rFonts w:hint="eastAsia" w:ascii="Arial" w:hAnsi="Arial" w:cs="Arial"/>
          <w:sz w:val="21"/>
          <w:szCs w:val="21"/>
        </w:rPr>
        <w:t>月</w:t>
      </w:r>
      <w:r>
        <w:rPr>
          <w:rFonts w:ascii="Arial" w:hAnsi="Arial" w:cs="Arial"/>
          <w:sz w:val="21"/>
          <w:szCs w:val="21"/>
        </w:rPr>
        <w:t>13</w:t>
      </w:r>
      <w:r>
        <w:rPr>
          <w:rFonts w:hint="eastAsia" w:ascii="Arial" w:hAnsi="Arial" w:cs="Arial"/>
          <w:sz w:val="21"/>
          <w:szCs w:val="21"/>
        </w:rPr>
        <w:t>日，现法定代表人为罗玉坤，注册资本为</w:t>
      </w:r>
      <w:r>
        <w:rPr>
          <w:rFonts w:ascii="Arial" w:hAnsi="Arial" w:cs="Arial"/>
          <w:sz w:val="21"/>
          <w:szCs w:val="21"/>
        </w:rPr>
        <w:t>673793.78</w:t>
      </w:r>
      <w:r>
        <w:rPr>
          <w:rFonts w:hint="eastAsia" w:ascii="Arial" w:hAnsi="Arial" w:cs="Arial"/>
          <w:sz w:val="21"/>
          <w:szCs w:val="21"/>
        </w:rPr>
        <w:t>万元人民币，企业地址位于苏州市吴江区盛泽镇市场西路北侧</w:t>
      </w:r>
      <w:r>
        <w:rPr>
          <w:rFonts w:ascii="Arial" w:hAnsi="Arial" w:cs="Arial"/>
          <w:sz w:val="21"/>
          <w:szCs w:val="21"/>
        </w:rPr>
        <w:t>(</w:t>
      </w:r>
      <w:r>
        <w:rPr>
          <w:rFonts w:hint="eastAsia" w:ascii="Arial" w:hAnsi="Arial" w:cs="Arial"/>
          <w:sz w:val="21"/>
          <w:szCs w:val="21"/>
        </w:rPr>
        <w:t>舜湖西路</w:t>
      </w:r>
      <w:r>
        <w:rPr>
          <w:rFonts w:ascii="Arial" w:hAnsi="Arial" w:cs="Arial"/>
          <w:sz w:val="21"/>
          <w:szCs w:val="21"/>
        </w:rPr>
        <w:t>2099</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，该公司由吴江市盛泽镇集体资产经营公司</w:t>
      </w:r>
      <w:r>
        <w:rPr>
          <w:rFonts w:ascii="Arial" w:hAnsi="Arial" w:cs="Arial"/>
          <w:sz w:val="21"/>
          <w:szCs w:val="21"/>
        </w:rPr>
        <w:t>100%</w:t>
      </w:r>
      <w:r>
        <w:rPr>
          <w:rFonts w:hint="eastAsia" w:ascii="Arial" w:hAnsi="Arial" w:cs="Arial"/>
          <w:sz w:val="21"/>
          <w:szCs w:val="21"/>
        </w:rPr>
        <w:t>持股。</w:t>
      </w:r>
    </w:p>
    <w:p>
      <w:pPr>
        <w:pStyle w:val="7"/>
      </w:pPr>
      <w:r>
        <w:rPr>
          <w:rFonts w:ascii="Arial" w:hAnsi="Arial" w:cs="Arial"/>
        </w:rPr>
        <w:drawing>
          <wp:inline distT="0" distB="0" distL="114300" distR="114300">
            <wp:extent cx="6112510" cy="4588510"/>
            <wp:effectExtent l="0" t="0" r="2540" b="2540"/>
            <wp:docPr id="4" name="图片 4" descr="苏州星盛房地产开发有限公司-股权穿透图谱-202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州星盛房地产开发有限公司-股权穿透图谱-2021-04-13"/>
                    <pic:cNvPicPr>
                      <a:picLocks noChangeAspect="1"/>
                    </pic:cNvPicPr>
                  </pic:nvPicPr>
                  <pic:blipFill>
                    <a:blip r:embed="rId7"/>
                    <a:stretch>
                      <a:fillRect/>
                    </a:stretch>
                  </pic:blipFill>
                  <pic:spPr>
                    <a:xfrm>
                      <a:off x="0" y="0"/>
                      <a:ext cx="6112510" cy="4588510"/>
                    </a:xfrm>
                    <a:prstGeom prst="rect">
                      <a:avLst/>
                    </a:prstGeom>
                  </pic:spPr>
                </pic:pic>
              </a:graphicData>
            </a:graphic>
          </wp:inline>
        </w:drawing>
      </w:r>
    </w:p>
    <w:p>
      <w:pPr>
        <w:spacing w:line="360" w:lineRule="auto"/>
        <w:ind w:firstLine="420" w:firstLineChars="200"/>
        <w:rPr>
          <w:rFonts w:ascii="Arial" w:hAnsi="Arial" w:cs="Arial"/>
          <w:sz w:val="21"/>
          <w:szCs w:val="21"/>
        </w:rPr>
      </w:pPr>
      <w:r>
        <w:rPr>
          <w:rFonts w:hint="eastAsia" w:ascii="Arial" w:hAnsi="Arial" w:cs="Arial"/>
          <w:sz w:val="21"/>
          <w:szCs w:val="21"/>
        </w:rPr>
        <w:t>标的项目现对外推广名为“红星苏州盛泽天铂项目”，坐落于江苏省苏州市吴江高新区，项目四至为绸都大道西侧、市场西路北侧、舜湖西路南侧、福州路东侧。</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地块用地性质均为城镇住宅用地。</w:t>
      </w:r>
      <w:r>
        <w:rPr>
          <w:rFonts w:ascii="Arial" w:hAnsi="Arial" w:cs="Arial"/>
          <w:sz w:val="21"/>
          <w:szCs w:val="21"/>
        </w:rPr>
        <w:t>2#</w:t>
      </w:r>
      <w:r>
        <w:rPr>
          <w:rFonts w:hint="eastAsia" w:ascii="Arial" w:hAnsi="Arial" w:cs="Arial"/>
          <w:sz w:val="21"/>
          <w:szCs w:val="21"/>
        </w:rPr>
        <w:t>地块总用地面积</w:t>
      </w:r>
      <w:r>
        <w:rPr>
          <w:rFonts w:ascii="Arial" w:hAnsi="Arial" w:cs="Arial"/>
          <w:sz w:val="21"/>
          <w:szCs w:val="21"/>
        </w:rPr>
        <w:t>52752.31</w:t>
      </w:r>
      <w:r>
        <w:rPr>
          <w:rFonts w:hint="eastAsia" w:ascii="Arial" w:hAnsi="Arial" w:cs="Arial"/>
          <w:sz w:val="21"/>
          <w:szCs w:val="21"/>
        </w:rPr>
        <w:t>平方米，总规划建筑面积</w:t>
      </w:r>
      <w:r>
        <w:rPr>
          <w:rFonts w:ascii="Arial" w:hAnsi="Arial" w:cs="Arial"/>
          <w:sz w:val="21"/>
          <w:szCs w:val="21"/>
        </w:rPr>
        <w:t>151915.09</w:t>
      </w:r>
      <w:r>
        <w:rPr>
          <w:rFonts w:hint="eastAsia" w:ascii="Arial" w:hAnsi="Arial" w:cs="Arial"/>
          <w:sz w:val="21"/>
          <w:szCs w:val="21"/>
        </w:rPr>
        <w:t>平方米，其中计容建筑面积</w:t>
      </w:r>
      <w:r>
        <w:rPr>
          <w:rFonts w:ascii="Arial" w:hAnsi="Arial" w:cs="Arial"/>
          <w:sz w:val="21"/>
          <w:szCs w:val="21"/>
        </w:rPr>
        <w:t>105438.93</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11.89%</w:t>
      </w:r>
      <w:r>
        <w:rPr>
          <w:rFonts w:hint="eastAsia" w:ascii="Arial" w:hAnsi="Arial" w:cs="Arial"/>
          <w:sz w:val="21"/>
          <w:szCs w:val="21"/>
        </w:rPr>
        <w:t>，绿地率</w:t>
      </w:r>
      <w:r>
        <w:rPr>
          <w:rFonts w:ascii="Arial" w:hAnsi="Arial" w:cs="Arial"/>
          <w:sz w:val="21"/>
          <w:szCs w:val="21"/>
        </w:rPr>
        <w:t>35.54%</w:t>
      </w:r>
      <w:r>
        <w:rPr>
          <w:rFonts w:hint="eastAsia" w:ascii="Arial" w:hAnsi="Arial" w:cs="Arial"/>
          <w:sz w:val="21"/>
          <w:szCs w:val="21"/>
        </w:rPr>
        <w:t>。包含物业用房面积</w:t>
      </w:r>
      <w:r>
        <w:rPr>
          <w:rFonts w:ascii="Arial" w:hAnsi="Arial" w:cs="Arial"/>
          <w:sz w:val="21"/>
          <w:szCs w:val="21"/>
        </w:rPr>
        <w:t>836.89</w:t>
      </w:r>
      <w:r>
        <w:rPr>
          <w:rFonts w:hint="eastAsia" w:ascii="Arial" w:hAnsi="Arial" w:cs="Arial"/>
          <w:sz w:val="21"/>
          <w:szCs w:val="21"/>
        </w:rPr>
        <w:t>平方米，社区用房面积</w:t>
      </w:r>
      <w:r>
        <w:rPr>
          <w:rFonts w:ascii="Arial" w:hAnsi="Arial" w:cs="Arial"/>
          <w:sz w:val="21"/>
          <w:szCs w:val="21"/>
        </w:rPr>
        <w:t>628.08</w:t>
      </w:r>
      <w:r>
        <w:rPr>
          <w:rFonts w:hint="eastAsia" w:ascii="Arial" w:hAnsi="Arial" w:cs="Arial"/>
          <w:sz w:val="21"/>
          <w:szCs w:val="21"/>
        </w:rPr>
        <w:t>平方米。</w:t>
      </w:r>
      <w:r>
        <w:rPr>
          <w:rFonts w:ascii="Arial" w:hAnsi="Arial" w:cs="Arial"/>
          <w:sz w:val="21"/>
          <w:szCs w:val="21"/>
        </w:rPr>
        <w:t>2#</w:t>
      </w:r>
      <w:r>
        <w:rPr>
          <w:rFonts w:hint="eastAsia" w:ascii="Arial" w:hAnsi="Arial" w:cs="Arial"/>
          <w:sz w:val="21"/>
          <w:szCs w:val="21"/>
        </w:rPr>
        <w:t>地块机动车位共计</w:t>
      </w:r>
      <w:r>
        <w:rPr>
          <w:rFonts w:ascii="Arial" w:hAnsi="Arial" w:cs="Arial"/>
          <w:sz w:val="21"/>
          <w:szCs w:val="21"/>
        </w:rPr>
        <w:t>1316</w:t>
      </w:r>
      <w:r>
        <w:rPr>
          <w:rFonts w:hint="eastAsia" w:ascii="Arial" w:hAnsi="Arial" w:cs="Arial"/>
          <w:sz w:val="21"/>
          <w:szCs w:val="21"/>
        </w:rPr>
        <w:t>个，其中地面机动车位</w:t>
      </w:r>
      <w:r>
        <w:rPr>
          <w:rFonts w:ascii="Arial" w:hAnsi="Arial" w:cs="Arial"/>
          <w:sz w:val="21"/>
          <w:szCs w:val="21"/>
        </w:rPr>
        <w:t>131</w:t>
      </w:r>
      <w:r>
        <w:rPr>
          <w:rFonts w:hint="eastAsia" w:ascii="Arial" w:hAnsi="Arial" w:cs="Arial"/>
          <w:sz w:val="21"/>
          <w:szCs w:val="21"/>
        </w:rPr>
        <w:t>辆（含访客车位），地下机动车位</w:t>
      </w:r>
      <w:r>
        <w:rPr>
          <w:rFonts w:ascii="Arial" w:hAnsi="Arial" w:cs="Arial"/>
          <w:sz w:val="21"/>
          <w:szCs w:val="21"/>
        </w:rPr>
        <w:t>1185</w:t>
      </w:r>
      <w:r>
        <w:rPr>
          <w:rFonts w:hint="eastAsia" w:ascii="Arial" w:hAnsi="Arial" w:cs="Arial"/>
          <w:sz w:val="21"/>
          <w:szCs w:val="21"/>
        </w:rPr>
        <w:t>个（含充电车位</w:t>
      </w:r>
      <w:r>
        <w:rPr>
          <w:rFonts w:ascii="Arial" w:hAnsi="Arial" w:cs="Arial"/>
          <w:sz w:val="21"/>
          <w:szCs w:val="21"/>
        </w:rPr>
        <w:t>132</w:t>
      </w:r>
      <w:r>
        <w:rPr>
          <w:rFonts w:hint="eastAsia" w:ascii="Arial" w:hAnsi="Arial" w:cs="Arial"/>
          <w:sz w:val="21"/>
          <w:szCs w:val="21"/>
        </w:rPr>
        <w:t>个）。</w:t>
      </w:r>
      <w:r>
        <w:rPr>
          <w:rFonts w:ascii="Arial" w:hAnsi="Arial" w:cs="Arial"/>
          <w:sz w:val="21"/>
          <w:szCs w:val="21"/>
        </w:rPr>
        <w:t>1#</w:t>
      </w:r>
      <w:r>
        <w:rPr>
          <w:rFonts w:hint="eastAsia" w:ascii="Arial" w:hAnsi="Arial" w:cs="Arial"/>
          <w:sz w:val="21"/>
          <w:szCs w:val="21"/>
        </w:rPr>
        <w:t>地块总用地面积</w:t>
      </w:r>
      <w:r>
        <w:rPr>
          <w:rFonts w:ascii="Arial" w:hAnsi="Arial" w:cs="Arial"/>
          <w:sz w:val="21"/>
          <w:szCs w:val="21"/>
        </w:rPr>
        <w:t>48987.96</w:t>
      </w:r>
      <w:r>
        <w:rPr>
          <w:rFonts w:hint="eastAsia" w:ascii="Arial" w:hAnsi="Arial" w:cs="Arial"/>
          <w:sz w:val="21"/>
          <w:szCs w:val="21"/>
        </w:rPr>
        <w:t>平方米，总规划建筑面积</w:t>
      </w:r>
      <w:r>
        <w:rPr>
          <w:rFonts w:ascii="Arial" w:hAnsi="Arial" w:cs="Arial"/>
          <w:sz w:val="21"/>
          <w:szCs w:val="21"/>
        </w:rPr>
        <w:t>139278.52</w:t>
      </w:r>
      <w:r>
        <w:rPr>
          <w:rFonts w:hint="eastAsia" w:ascii="Arial" w:hAnsi="Arial" w:cs="Arial"/>
          <w:sz w:val="21"/>
          <w:szCs w:val="21"/>
        </w:rPr>
        <w:t>平方米，其中计容建筑面积</w:t>
      </w:r>
      <w:r>
        <w:rPr>
          <w:rFonts w:ascii="Arial" w:hAnsi="Arial" w:cs="Arial"/>
          <w:sz w:val="21"/>
          <w:szCs w:val="21"/>
        </w:rPr>
        <w:t>97915.07</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9.99%</w:t>
      </w:r>
      <w:r>
        <w:rPr>
          <w:rFonts w:hint="eastAsia" w:ascii="Arial" w:hAnsi="Arial" w:cs="Arial"/>
          <w:sz w:val="21"/>
          <w:szCs w:val="21"/>
        </w:rPr>
        <w:t>，绿地率</w:t>
      </w:r>
      <w:r>
        <w:rPr>
          <w:rFonts w:ascii="Arial" w:hAnsi="Arial" w:cs="Arial"/>
          <w:sz w:val="21"/>
          <w:szCs w:val="21"/>
        </w:rPr>
        <w:t>35.39%</w:t>
      </w:r>
      <w:r>
        <w:rPr>
          <w:rFonts w:hint="eastAsia" w:ascii="Arial" w:hAnsi="Arial" w:cs="Arial"/>
          <w:sz w:val="21"/>
          <w:szCs w:val="21"/>
        </w:rPr>
        <w:t>，包含物业用房</w:t>
      </w:r>
      <w:r>
        <w:rPr>
          <w:rFonts w:ascii="Arial" w:hAnsi="Arial" w:cs="Arial"/>
          <w:sz w:val="21"/>
          <w:szCs w:val="21"/>
        </w:rPr>
        <w:t>731.77</w:t>
      </w:r>
      <w:r>
        <w:rPr>
          <w:rFonts w:hint="eastAsia" w:ascii="Arial" w:hAnsi="Arial" w:cs="Arial"/>
          <w:sz w:val="21"/>
          <w:szCs w:val="21"/>
        </w:rPr>
        <w:t>平方米。</w:t>
      </w:r>
      <w:r>
        <w:rPr>
          <w:rFonts w:ascii="Arial" w:hAnsi="Arial" w:cs="Arial"/>
          <w:sz w:val="21"/>
          <w:szCs w:val="21"/>
        </w:rPr>
        <w:t>1#</w:t>
      </w:r>
      <w:r>
        <w:rPr>
          <w:rFonts w:hint="eastAsia" w:ascii="Arial" w:hAnsi="Arial" w:cs="Arial"/>
          <w:sz w:val="21"/>
          <w:szCs w:val="21"/>
        </w:rPr>
        <w:t>地块机动车位共计</w:t>
      </w:r>
      <w:r>
        <w:rPr>
          <w:rFonts w:ascii="Arial" w:hAnsi="Arial" w:cs="Arial"/>
          <w:sz w:val="21"/>
          <w:szCs w:val="21"/>
        </w:rPr>
        <w:t>1205</w:t>
      </w:r>
      <w:r>
        <w:rPr>
          <w:rFonts w:hint="eastAsia" w:ascii="Arial" w:hAnsi="Arial" w:cs="Arial"/>
          <w:sz w:val="21"/>
          <w:szCs w:val="21"/>
        </w:rPr>
        <w:t>个（含访客车位</w:t>
      </w:r>
      <w:r>
        <w:rPr>
          <w:rFonts w:ascii="Arial" w:hAnsi="Arial" w:cs="Arial"/>
          <w:sz w:val="21"/>
          <w:szCs w:val="21"/>
        </w:rPr>
        <w:t>24</w:t>
      </w:r>
      <w:r>
        <w:rPr>
          <w:rFonts w:hint="eastAsia" w:ascii="Arial" w:hAnsi="Arial" w:cs="Arial"/>
          <w:sz w:val="21"/>
          <w:szCs w:val="21"/>
        </w:rPr>
        <w:t>个），其中地面机动车位</w:t>
      </w:r>
      <w:r>
        <w:rPr>
          <w:rFonts w:ascii="Arial" w:hAnsi="Arial" w:cs="Arial"/>
          <w:sz w:val="21"/>
          <w:szCs w:val="21"/>
        </w:rPr>
        <w:t>120</w:t>
      </w:r>
      <w:r>
        <w:rPr>
          <w:rFonts w:hint="eastAsia" w:ascii="Arial" w:hAnsi="Arial" w:cs="Arial"/>
          <w:sz w:val="21"/>
          <w:szCs w:val="21"/>
        </w:rPr>
        <w:t>辆，地下机动车位</w:t>
      </w:r>
      <w:r>
        <w:rPr>
          <w:rFonts w:ascii="Arial" w:hAnsi="Arial" w:cs="Arial"/>
          <w:sz w:val="21"/>
          <w:szCs w:val="21"/>
        </w:rPr>
        <w:t>1085</w:t>
      </w:r>
      <w:r>
        <w:rPr>
          <w:rFonts w:hint="eastAsia" w:ascii="Arial" w:hAnsi="Arial" w:cs="Arial"/>
          <w:sz w:val="21"/>
          <w:szCs w:val="21"/>
        </w:rPr>
        <w:t>个（含充电车位</w:t>
      </w:r>
      <w:r>
        <w:rPr>
          <w:rFonts w:ascii="Arial" w:hAnsi="Arial" w:cs="Arial"/>
          <w:sz w:val="21"/>
          <w:szCs w:val="21"/>
        </w:rPr>
        <w:t>121</w:t>
      </w:r>
      <w:r>
        <w:rPr>
          <w:rFonts w:hint="eastAsia" w:ascii="Arial" w:hAnsi="Arial" w:cs="Arial"/>
          <w:sz w:val="21"/>
          <w:szCs w:val="21"/>
        </w:rPr>
        <w:t>个）。</w:t>
      </w:r>
    </w:p>
    <w:p>
      <w:pPr>
        <w:ind w:firstLine="420" w:firstLineChars="200"/>
        <w:jc w:val="center"/>
        <w:rPr>
          <w:rStyle w:val="22"/>
        </w:rPr>
      </w:pPr>
      <w:r>
        <w:rPr>
          <w:rFonts w:hint="eastAsia" w:ascii="宋体" w:hAnsi="宋体" w:cs="宋体"/>
          <w:b/>
          <w:sz w:val="21"/>
          <w:szCs w:val="21"/>
        </w:rPr>
        <w:t>表一：项目各项经济指标</w:t>
      </w:r>
    </w:p>
    <w:tbl>
      <w:tblPr>
        <w:tblStyle w:val="17"/>
        <w:tblW w:w="9475" w:type="dxa"/>
        <w:tblInd w:w="91" w:type="dxa"/>
        <w:tblLayout w:type="autofit"/>
        <w:tblCellMar>
          <w:top w:w="0" w:type="dxa"/>
          <w:left w:w="108" w:type="dxa"/>
          <w:bottom w:w="0" w:type="dxa"/>
          <w:right w:w="108" w:type="dxa"/>
        </w:tblCellMar>
      </w:tblPr>
      <w:tblGrid>
        <w:gridCol w:w="1062"/>
        <w:gridCol w:w="2688"/>
        <w:gridCol w:w="1700"/>
        <w:gridCol w:w="2012"/>
        <w:gridCol w:w="2013"/>
      </w:tblGrid>
      <w:tr>
        <w:tblPrEx>
          <w:tblCellMar>
            <w:top w:w="0" w:type="dxa"/>
            <w:left w:w="108" w:type="dxa"/>
            <w:bottom w:w="0" w:type="dxa"/>
            <w:right w:w="108" w:type="dxa"/>
          </w:tblCellMar>
        </w:tblPrEx>
        <w:trPr>
          <w:trHeight w:val="493" w:hRule="atLeast"/>
          <w:tblHeader/>
        </w:trPr>
        <w:tc>
          <w:tcPr>
            <w:tcW w:w="9475"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pPr>
              <w:spacing w:line="360" w:lineRule="auto"/>
              <w:ind w:firstLine="360" w:firstLineChars="200"/>
              <w:rPr>
                <w:rFonts w:ascii="Arial" w:hAnsi="Arial" w:cs="Arial"/>
                <w:bCs/>
                <w:sz w:val="18"/>
                <w:szCs w:val="18"/>
              </w:rPr>
            </w:pPr>
            <w:r>
              <w:rPr>
                <w:rFonts w:ascii="Arial" w:hAnsi="Arial" w:cs="Arial"/>
                <w:bCs/>
                <w:sz w:val="18"/>
                <w:szCs w:val="18"/>
              </w:rPr>
              <w:t>经济技术指标汇总表</w:t>
            </w:r>
          </w:p>
        </w:tc>
      </w:tr>
      <w:tr>
        <w:tblPrEx>
          <w:tblCellMar>
            <w:top w:w="0" w:type="dxa"/>
            <w:left w:w="108" w:type="dxa"/>
            <w:bottom w:w="0" w:type="dxa"/>
            <w:right w:w="108" w:type="dxa"/>
          </w:tblCellMar>
        </w:tblPrEx>
        <w:trPr>
          <w:trHeight w:val="341"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项目</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汇总</w:t>
            </w:r>
            <w:r>
              <w:rPr>
                <w:rFonts w:hint="eastAsia" w:ascii="Arial" w:hAnsi="Arial" w:cs="Arial"/>
                <w:bCs/>
                <w:sz w:val="18"/>
                <w:szCs w:val="18"/>
              </w:rPr>
              <w:t>（</w:t>
            </w:r>
            <w:r>
              <w:rPr>
                <w:rFonts w:hint="eastAsia" w:ascii="宋体" w:hAnsi="宋体" w:cs="宋体"/>
                <w:bCs/>
                <w:sz w:val="18"/>
                <w:szCs w:val="18"/>
              </w:rPr>
              <w:t>㎡</w:t>
            </w:r>
            <w:r>
              <w:rPr>
                <w:rFonts w:hint="eastAsia" w:ascii="Arial" w:hAnsi="Arial" w:cs="Arial"/>
                <w:bCs/>
                <w:sz w:val="18"/>
                <w:szCs w:val="18"/>
              </w:rPr>
              <w:t>）</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1#地块（</w:t>
            </w:r>
            <w:r>
              <w:rPr>
                <w:rFonts w:hint="eastAsia" w:ascii="宋体" w:hAnsi="宋体" w:cs="宋体"/>
                <w:bCs/>
                <w:sz w:val="18"/>
                <w:szCs w:val="18"/>
              </w:rPr>
              <w:t>㎡</w:t>
            </w: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2#地块（</w:t>
            </w:r>
            <w:r>
              <w:rPr>
                <w:rFonts w:hint="eastAsia" w:ascii="宋体" w:hAnsi="宋体" w:cs="宋体"/>
                <w:bCs/>
                <w:sz w:val="18"/>
                <w:szCs w:val="18"/>
              </w:rPr>
              <w:t>㎡</w:t>
            </w:r>
            <w:r>
              <w:rPr>
                <w:rFonts w:hint="eastAsia" w:ascii="Arial" w:hAnsi="Arial" w:cs="Arial"/>
                <w:bCs/>
                <w:sz w:val="18"/>
                <w:szCs w:val="18"/>
              </w:rPr>
              <w:t>）</w:t>
            </w:r>
          </w:p>
        </w:tc>
      </w:tr>
      <w:tr>
        <w:tblPrEx>
          <w:tblCellMar>
            <w:top w:w="0" w:type="dxa"/>
            <w:left w:w="108" w:type="dxa"/>
            <w:bottom w:w="0" w:type="dxa"/>
            <w:right w:w="108" w:type="dxa"/>
          </w:tblCellMar>
        </w:tblPrEx>
        <w:trPr>
          <w:trHeight w:val="285"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占地面积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101740.</w:t>
            </w:r>
            <w:r>
              <w:rPr>
                <w:rFonts w:hint="eastAsia" w:ascii="Arial" w:hAnsi="Arial" w:cs="Arial"/>
                <w:bCs/>
                <w:sz w:val="18"/>
                <w:szCs w:val="18"/>
              </w:rPr>
              <w:t>30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48987.96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52752.31</w:t>
            </w:r>
          </w:p>
        </w:tc>
      </w:tr>
      <w:tr>
        <w:tblPrEx>
          <w:tblCellMar>
            <w:top w:w="0" w:type="dxa"/>
            <w:left w:w="108" w:type="dxa"/>
            <w:bottom w:w="0" w:type="dxa"/>
            <w:right w:w="108" w:type="dxa"/>
          </w:tblCellMar>
        </w:tblPrEx>
        <w:trPr>
          <w:trHeight w:val="39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总建筑面积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color w:val="000000"/>
                <w:sz w:val="18"/>
                <w:szCs w:val="18"/>
              </w:rPr>
            </w:pPr>
            <w:r>
              <w:rPr>
                <w:rFonts w:ascii="Arial" w:hAnsi="Arial" w:cs="Arial"/>
                <w:color w:val="000000"/>
                <w:sz w:val="18"/>
                <w:szCs w:val="18"/>
                <w:lang w:bidi="ar"/>
              </w:rPr>
              <w:t>291193.61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139278.52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151915.09</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地上建筑面积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213232.61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102374.18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110858.43</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nil"/>
              <w:left w:val="single" w:color="000000" w:sz="4" w:space="0"/>
              <w:bottom w:val="nil"/>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地下建筑面积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77961</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36904.34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41056.66</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计容面积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宋体" w:hAnsi="宋体" w:cs="宋体"/>
                <w:color w:val="000000"/>
                <w:sz w:val="18"/>
                <w:szCs w:val="18"/>
              </w:rPr>
            </w:pPr>
            <w:r>
              <w:rPr>
                <w:rFonts w:ascii="Arial" w:hAnsi="Arial" w:cs="Arial"/>
                <w:color w:val="000000"/>
                <w:sz w:val="18"/>
                <w:szCs w:val="18"/>
                <w:lang w:bidi="ar"/>
              </w:rPr>
              <w:t>203354</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97915.07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105438.93</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可售面积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color w:val="000000"/>
                <w:sz w:val="18"/>
                <w:szCs w:val="18"/>
                <w:lang w:bidi="ar"/>
              </w:rPr>
              <w:t>206</w:t>
            </w:r>
            <w:r>
              <w:rPr>
                <w:rFonts w:hint="eastAsia" w:ascii="Arial" w:hAnsi="Arial" w:cs="Arial"/>
                <w:color w:val="000000"/>
                <w:sz w:val="18"/>
                <w:szCs w:val="18"/>
                <w:lang w:bidi="ar"/>
              </w:rPr>
              <w:t>,</w:t>
            </w:r>
            <w:r>
              <w:rPr>
                <w:rFonts w:ascii="Arial" w:hAnsi="Arial" w:cs="Arial"/>
                <w:color w:val="000000"/>
                <w:sz w:val="18"/>
                <w:szCs w:val="18"/>
                <w:lang w:bidi="ar"/>
              </w:rPr>
              <w:t>076</w:t>
            </w:r>
            <w:r>
              <w:rPr>
                <w:rFonts w:hint="eastAsia" w:ascii="Arial" w:hAnsi="Arial" w:cs="Arial"/>
                <w:color w:val="000000"/>
                <w:sz w:val="18"/>
                <w:szCs w:val="18"/>
                <w:lang w:bidi="ar"/>
              </w:rPr>
              <w:t>.34</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容积率</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机动车停车位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2521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1316</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地上车位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241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121</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地下停车位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2270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1085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1185</w:t>
            </w:r>
          </w:p>
        </w:tc>
      </w:tr>
    </w:tbl>
    <w:p>
      <w:pPr>
        <w:pStyle w:val="7"/>
        <w:ind w:firstLine="0" w:firstLineChars="0"/>
      </w:pPr>
    </w:p>
    <w:p>
      <w:pPr>
        <w:ind w:firstLine="420" w:firstLineChars="200"/>
        <w:rPr>
          <w:rFonts w:ascii="宋体" w:hAnsi="宋体" w:cs="宋体"/>
          <w:bCs/>
          <w:sz w:val="21"/>
          <w:szCs w:val="21"/>
        </w:rPr>
      </w:pPr>
      <w:r>
        <w:rPr>
          <w:rFonts w:hint="eastAsia" w:ascii="宋体" w:hAnsi="宋体" w:cs="宋体"/>
          <w:bCs/>
          <w:sz w:val="21"/>
          <w:szCs w:val="21"/>
        </w:rPr>
        <w:t>注：数据来源于已取得的建设工程规划许可证，其中可售面积数据来源于首次董事会版经济技术指标汇总表。</w:t>
      </w:r>
    </w:p>
    <w:p>
      <w:pPr>
        <w:pStyle w:val="4"/>
        <w:rPr>
          <w:rFonts w:ascii="宋体" w:hAnsi="宋体" w:eastAsia="宋体"/>
          <w:sz w:val="21"/>
          <w:szCs w:val="21"/>
        </w:rPr>
      </w:pPr>
      <w:bookmarkStart w:id="2" w:name="_Toc18294"/>
      <w:r>
        <w:rPr>
          <w:rFonts w:hint="eastAsia" w:ascii="宋体" w:hAnsi="宋体" w:eastAsia="宋体"/>
          <w:sz w:val="21"/>
          <w:szCs w:val="21"/>
        </w:rPr>
        <w:t>二、信托资金使用情况</w:t>
      </w:r>
      <w:bookmarkEnd w:id="2"/>
    </w:p>
    <w:tbl>
      <w:tblPr>
        <w:tblStyle w:val="1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6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43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信托累计出资金额（万元）</w:t>
            </w:r>
          </w:p>
        </w:tc>
        <w:tc>
          <w:tcPr>
            <w:tcW w:w="14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5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8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2020/7/31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2</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2020/8/3</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30,910.00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3</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2020/8/7</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52,510.00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69,080.00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2020/8/14</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87,150.00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95,810.00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101,809.00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106,900.00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p>
        </w:tc>
        <w:tc>
          <w:tcPr>
            <w:tcW w:w="132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6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437"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5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550" w:type="dxa"/>
            <w:vAlign w:val="center"/>
          </w:tcPr>
          <w:p>
            <w:pPr>
              <w:jc w:val="center"/>
              <w:textAlignment w:val="center"/>
              <w:rPr>
                <w:rFonts w:ascii="Arial" w:hAnsi="Arial" w:cs="Arial"/>
                <w:color w:val="000000"/>
                <w:sz w:val="18"/>
                <w:szCs w:val="18"/>
                <w:lang w:bidi="ar"/>
              </w:rPr>
            </w:pP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bl>
    <w:p>
      <w:pPr>
        <w:pStyle w:val="4"/>
        <w:rPr>
          <w:rFonts w:ascii="宋体" w:hAnsi="宋体" w:eastAsia="宋体"/>
          <w:sz w:val="21"/>
          <w:szCs w:val="21"/>
        </w:rPr>
      </w:pPr>
      <w:bookmarkStart w:id="3" w:name="_Toc25617"/>
      <w:r>
        <w:rPr>
          <w:rFonts w:hint="eastAsia" w:ascii="宋体" w:hAnsi="宋体" w:eastAsia="宋体"/>
          <w:sz w:val="21"/>
          <w:szCs w:val="21"/>
        </w:rPr>
        <w:t>三、项目证件办理情况</w:t>
      </w:r>
      <w:bookmarkEnd w:id="3"/>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17"/>
        <w:tblW w:w="9715" w:type="dxa"/>
        <w:jc w:val="center"/>
        <w:tblLayout w:type="fixed"/>
        <w:tblCellMar>
          <w:top w:w="0" w:type="dxa"/>
          <w:left w:w="108" w:type="dxa"/>
          <w:bottom w:w="0" w:type="dxa"/>
          <w:right w:w="108" w:type="dxa"/>
        </w:tblCellMar>
      </w:tblPr>
      <w:tblGrid>
        <w:gridCol w:w="1599"/>
        <w:gridCol w:w="1275"/>
        <w:gridCol w:w="2268"/>
        <w:gridCol w:w="1701"/>
        <w:gridCol w:w="2483"/>
        <w:gridCol w:w="389"/>
      </w:tblGrid>
      <w:tr>
        <w:tblPrEx>
          <w:tblCellMar>
            <w:top w:w="0" w:type="dxa"/>
            <w:left w:w="108" w:type="dxa"/>
            <w:bottom w:w="0" w:type="dxa"/>
            <w:right w:w="108" w:type="dxa"/>
          </w:tblCellMar>
        </w:tblPrEx>
        <w:trPr>
          <w:trHeight w:val="532" w:hRule="atLeast"/>
          <w:tblHeader/>
          <w:jc w:val="center"/>
        </w:trPr>
        <w:tc>
          <w:tcPr>
            <w:tcW w:w="1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1#地块</w:t>
            </w:r>
          </w:p>
        </w:tc>
        <w:tc>
          <w:tcPr>
            <w:tcW w:w="41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2#地块</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CellMar>
            <w:top w:w="0" w:type="dxa"/>
            <w:left w:w="108" w:type="dxa"/>
            <w:bottom w:w="0" w:type="dxa"/>
            <w:right w:w="108" w:type="dxa"/>
          </w:tblCellMar>
        </w:tblPrEx>
        <w:trPr>
          <w:trHeight w:val="546" w:hRule="atLeast"/>
          <w:tblHeader/>
          <w:jc w:val="center"/>
        </w:trPr>
        <w:tc>
          <w:tcPr>
            <w:tcW w:w="15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4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p>
        </w:tc>
      </w:tr>
      <w:tr>
        <w:tblPrEx>
          <w:tblCellMar>
            <w:top w:w="0" w:type="dxa"/>
            <w:left w:w="108" w:type="dxa"/>
            <w:bottom w:w="0" w:type="dxa"/>
            <w:right w:w="108" w:type="dxa"/>
          </w:tblCellMar>
        </w:tblPrEx>
        <w:trPr>
          <w:trHeight w:val="546"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苏（2020）苏州市吴江区不动产权第9032627号</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苏（2020）苏州市吴江区不动产权第9032632号</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8"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地字第320509202001081号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3"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2020-09-18</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建字第320509202000129号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2020-09-03</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50"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三标段2020-10-15</w:t>
            </w:r>
          </w:p>
          <w:p>
            <w:pPr>
              <w:jc w:val="center"/>
              <w:rPr>
                <w:rFonts w:ascii="Arial" w:hAnsi="Arial" w:cs="Arial"/>
                <w:color w:val="000000"/>
                <w:sz w:val="18"/>
                <w:szCs w:val="18"/>
              </w:rPr>
            </w:pPr>
            <w:r>
              <w:rPr>
                <w:rFonts w:ascii="Arial" w:hAnsi="Arial" w:cs="Arial"/>
                <w:color w:val="000000"/>
                <w:sz w:val="18"/>
                <w:szCs w:val="18"/>
              </w:rPr>
              <w:t>四标段2020-10-16</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三标段320509202010150101</w:t>
            </w:r>
          </w:p>
          <w:p>
            <w:pPr>
              <w:jc w:val="center"/>
              <w:rPr>
                <w:rFonts w:ascii="Arial" w:hAnsi="Arial" w:cs="Arial"/>
                <w:color w:val="000000"/>
                <w:sz w:val="18"/>
                <w:szCs w:val="18"/>
              </w:rPr>
            </w:pPr>
            <w:r>
              <w:rPr>
                <w:rFonts w:ascii="Arial" w:hAnsi="Arial" w:cs="Arial"/>
                <w:color w:val="000000"/>
                <w:sz w:val="18"/>
                <w:szCs w:val="18"/>
              </w:rPr>
              <w:t>四标段320509202010160401</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一标段2020-09-17</w:t>
            </w:r>
          </w:p>
          <w:p>
            <w:pPr>
              <w:jc w:val="center"/>
              <w:rPr>
                <w:rFonts w:ascii="Arial" w:hAnsi="Arial" w:cs="Arial"/>
                <w:color w:val="000000"/>
                <w:sz w:val="18"/>
                <w:szCs w:val="18"/>
              </w:rPr>
            </w:pPr>
            <w:r>
              <w:rPr>
                <w:rFonts w:ascii="Arial" w:hAnsi="Arial" w:cs="Arial"/>
                <w:color w:val="000000"/>
                <w:sz w:val="18"/>
                <w:szCs w:val="18"/>
              </w:rPr>
              <w:t>二标段2020-09-21</w:t>
            </w:r>
          </w:p>
          <w:p>
            <w:pPr>
              <w:jc w:val="center"/>
              <w:rPr>
                <w:rFonts w:ascii="Arial" w:hAnsi="Arial" w:cs="Arial"/>
                <w:color w:val="000000"/>
                <w:sz w:val="18"/>
                <w:szCs w:val="18"/>
              </w:rPr>
            </w:pPr>
            <w:r>
              <w:rPr>
                <w:rFonts w:ascii="Arial" w:hAnsi="Arial" w:cs="Arial"/>
                <w:color w:val="000000"/>
                <w:sz w:val="18"/>
                <w:szCs w:val="18"/>
              </w:rPr>
              <w:t>1号楼（售楼处）2020-11-05</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一标段320509202009170101</w:t>
            </w:r>
          </w:p>
          <w:p>
            <w:pPr>
              <w:jc w:val="center"/>
              <w:rPr>
                <w:rFonts w:ascii="Arial" w:hAnsi="Arial" w:cs="Arial"/>
                <w:color w:val="000000"/>
                <w:sz w:val="18"/>
                <w:szCs w:val="18"/>
              </w:rPr>
            </w:pPr>
            <w:r>
              <w:rPr>
                <w:rFonts w:ascii="Arial" w:hAnsi="Arial" w:cs="Arial"/>
                <w:color w:val="000000"/>
                <w:sz w:val="18"/>
                <w:szCs w:val="18"/>
              </w:rPr>
              <w:t>二标段320509202009210201</w:t>
            </w:r>
          </w:p>
          <w:p>
            <w:pPr>
              <w:jc w:val="center"/>
              <w:rPr>
                <w:rFonts w:ascii="Arial" w:hAnsi="Arial" w:cs="Arial"/>
                <w:color w:val="000000"/>
                <w:sz w:val="18"/>
                <w:szCs w:val="18"/>
              </w:rPr>
            </w:pPr>
            <w:r>
              <w:rPr>
                <w:rFonts w:ascii="Arial" w:hAnsi="Arial" w:cs="Arial"/>
                <w:color w:val="000000"/>
                <w:sz w:val="18"/>
                <w:szCs w:val="18"/>
              </w:rPr>
              <w:t>1号楼（售楼处）320509202011050101</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苏房预吴江〔2020〕384号(8#9#10#11#楼)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2021-4-14</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苏房预吴江〔2021〕055号（5#7#楼）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以上证书均存放在共管保险柜，其中施工许可证为电子版。</w:t>
      </w:r>
    </w:p>
    <w:p>
      <w:pPr>
        <w:pStyle w:val="4"/>
        <w:rPr>
          <w:rFonts w:ascii="宋体" w:hAnsi="宋体" w:eastAsia="宋体"/>
          <w:sz w:val="21"/>
          <w:szCs w:val="21"/>
        </w:rPr>
      </w:pPr>
      <w:bookmarkStart w:id="4" w:name="_Toc26913"/>
      <w:r>
        <w:rPr>
          <w:rFonts w:hint="eastAsia" w:ascii="宋体" w:hAnsi="宋体" w:eastAsia="宋体"/>
          <w:sz w:val="21"/>
          <w:szCs w:val="21"/>
        </w:rPr>
        <w:t>四、项目开发建设情况</w:t>
      </w:r>
      <w:bookmarkEnd w:id="4"/>
    </w:p>
    <w:p>
      <w:pPr>
        <w:spacing w:line="360" w:lineRule="auto"/>
        <w:ind w:firstLine="420" w:firstLineChars="200"/>
        <w:rPr>
          <w:rFonts w:ascii="Arial" w:hAnsi="Arial" w:cs="Arial"/>
          <w:sz w:val="21"/>
          <w:szCs w:val="21"/>
        </w:rPr>
      </w:pPr>
      <w:r>
        <w:rPr>
          <w:rFonts w:hint="eastAsia" w:ascii="宋体" w:hAnsi="宋体" w:cs="宋体"/>
          <w:b/>
          <w:sz w:val="21"/>
          <w:szCs w:val="21"/>
        </w:rPr>
        <w:t>4.1项目开发进和计划：</w:t>
      </w:r>
      <w:r>
        <w:rPr>
          <w:rFonts w:hint="eastAsia" w:ascii="Arial" w:hAnsi="Arial" w:cs="Arial"/>
          <w:sz w:val="21"/>
          <w:szCs w:val="21"/>
        </w:rPr>
        <w:t>本项目共</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两个地块，分两期开发，拟分为</w:t>
      </w:r>
      <w:r>
        <w:rPr>
          <w:rFonts w:ascii="Arial" w:hAnsi="Arial" w:cs="Arial"/>
          <w:sz w:val="21"/>
          <w:szCs w:val="21"/>
        </w:rPr>
        <w:t>4</w:t>
      </w:r>
      <w:r>
        <w:rPr>
          <w:rFonts w:hint="eastAsia" w:ascii="Arial" w:hAnsi="Arial" w:cs="Arial"/>
          <w:sz w:val="21"/>
          <w:szCs w:val="21"/>
        </w:rPr>
        <w:t>个标段，一期</w:t>
      </w:r>
      <w:r>
        <w:rPr>
          <w:rFonts w:ascii="Arial" w:hAnsi="Arial" w:cs="Arial"/>
          <w:sz w:val="21"/>
          <w:szCs w:val="21"/>
        </w:rPr>
        <w:t>2#</w:t>
      </w:r>
      <w:r>
        <w:rPr>
          <w:rFonts w:hint="eastAsia" w:ascii="Arial" w:hAnsi="Arial" w:cs="Arial"/>
          <w:sz w:val="21"/>
          <w:szCs w:val="21"/>
        </w:rPr>
        <w:t>地块两个标段计划同时开工，首批次预售楼栋为</w:t>
      </w:r>
      <w:r>
        <w:rPr>
          <w:rFonts w:ascii="Arial" w:hAnsi="Arial" w:cs="Arial"/>
          <w:sz w:val="21"/>
          <w:szCs w:val="21"/>
        </w:rPr>
        <w:t>8</w:t>
      </w:r>
      <w:r>
        <w:rPr>
          <w:rFonts w:hint="eastAsia" w:ascii="Arial" w:hAnsi="Arial" w:cs="Arial"/>
          <w:sz w:val="21"/>
          <w:szCs w:val="21"/>
        </w:rPr>
        <w:t>、</w:t>
      </w:r>
      <w:r>
        <w:rPr>
          <w:rFonts w:ascii="Arial" w:hAnsi="Arial" w:cs="Arial"/>
          <w:sz w:val="21"/>
          <w:szCs w:val="21"/>
        </w:rPr>
        <w:t>9</w:t>
      </w:r>
      <w:r>
        <w:rPr>
          <w:rFonts w:hint="eastAsia" w:ascii="Arial" w:hAnsi="Arial" w:cs="Arial"/>
          <w:sz w:val="21"/>
          <w:szCs w:val="21"/>
        </w:rPr>
        <w:t>、</w:t>
      </w:r>
      <w:r>
        <w:rPr>
          <w:rFonts w:ascii="Arial" w:hAnsi="Arial" w:cs="Arial"/>
          <w:sz w:val="21"/>
          <w:szCs w:val="21"/>
        </w:rPr>
        <w:t>10</w:t>
      </w:r>
      <w:r>
        <w:rPr>
          <w:rFonts w:hint="eastAsia" w:ascii="Arial" w:hAnsi="Arial" w:cs="Arial"/>
          <w:sz w:val="21"/>
          <w:szCs w:val="21"/>
        </w:rPr>
        <w:t>、</w:t>
      </w:r>
      <w:r>
        <w:rPr>
          <w:rFonts w:ascii="Arial" w:hAnsi="Arial" w:cs="Arial"/>
          <w:sz w:val="21"/>
          <w:szCs w:val="21"/>
        </w:rPr>
        <w:t>11</w:t>
      </w:r>
      <w:r>
        <w:rPr>
          <w:rFonts w:hint="eastAsia" w:ascii="Arial" w:hAnsi="Arial" w:cs="Arial"/>
          <w:sz w:val="21"/>
          <w:szCs w:val="21"/>
        </w:rPr>
        <w:t>号楼，已于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27</w:t>
      </w:r>
      <w:r>
        <w:rPr>
          <w:rFonts w:hint="eastAsia" w:ascii="Arial" w:hAnsi="Arial" w:cs="Arial"/>
          <w:sz w:val="21"/>
          <w:szCs w:val="21"/>
        </w:rPr>
        <w:t>日开盘，2021年4月17日，</w:t>
      </w:r>
      <w:r>
        <w:rPr>
          <w:rFonts w:ascii="Arial" w:hAnsi="Arial" w:cs="Arial"/>
          <w:sz w:val="21"/>
          <w:szCs w:val="21"/>
        </w:rPr>
        <w:t>2#</w:t>
      </w:r>
      <w:r>
        <w:rPr>
          <w:rFonts w:hint="eastAsia" w:ascii="Arial" w:hAnsi="Arial" w:cs="Arial"/>
          <w:sz w:val="21"/>
          <w:szCs w:val="21"/>
        </w:rPr>
        <w:t>地块</w:t>
      </w:r>
      <w:r>
        <w:rPr>
          <w:rFonts w:ascii="Arial" w:hAnsi="Arial" w:cs="Arial"/>
          <w:sz w:val="21"/>
          <w:szCs w:val="21"/>
        </w:rPr>
        <w:t>5#</w:t>
      </w:r>
      <w:r>
        <w:rPr>
          <w:rFonts w:hint="eastAsia" w:ascii="Arial" w:hAnsi="Arial" w:cs="Arial"/>
          <w:sz w:val="21"/>
          <w:szCs w:val="21"/>
        </w:rPr>
        <w:t>、</w:t>
      </w:r>
      <w:r>
        <w:rPr>
          <w:rFonts w:ascii="Arial" w:hAnsi="Arial" w:cs="Arial"/>
          <w:sz w:val="21"/>
          <w:szCs w:val="21"/>
        </w:rPr>
        <w:t>7#</w:t>
      </w:r>
      <w:r>
        <w:rPr>
          <w:rFonts w:hint="eastAsia" w:ascii="Arial" w:hAnsi="Arial" w:cs="Arial"/>
          <w:sz w:val="21"/>
          <w:szCs w:val="21"/>
        </w:rPr>
        <w:t>楼开盘。预计</w:t>
      </w:r>
      <w:r>
        <w:rPr>
          <w:rFonts w:ascii="Arial" w:hAnsi="Arial" w:cs="Arial"/>
          <w:sz w:val="21"/>
          <w:szCs w:val="21"/>
        </w:rPr>
        <w:t>2021</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月首开区结构封顶，预计</w:t>
      </w:r>
      <w:r>
        <w:rPr>
          <w:rFonts w:ascii="Arial" w:hAnsi="Arial" w:cs="Arial"/>
          <w:sz w:val="21"/>
          <w:szCs w:val="21"/>
        </w:rPr>
        <w:t>2023</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月首开区竣工备案。</w:t>
      </w:r>
    </w:p>
    <w:p>
      <w:pPr>
        <w:jc w:val="center"/>
        <w:rPr>
          <w:rFonts w:ascii="宋体" w:hAnsi="宋体" w:cs="宋体"/>
          <w:b/>
          <w:bCs/>
          <w:color w:val="000000"/>
          <w:sz w:val="21"/>
          <w:szCs w:val="21"/>
        </w:rPr>
      </w:pPr>
    </w:p>
    <w:p>
      <w:pPr>
        <w:jc w:val="center"/>
        <w:rPr>
          <w:rFonts w:ascii="宋体" w:hAnsi="宋体" w:cs="宋体"/>
          <w:b/>
          <w:bCs/>
          <w:color w:val="000000"/>
          <w:sz w:val="21"/>
          <w:szCs w:val="21"/>
        </w:rPr>
      </w:pPr>
    </w:p>
    <w:p>
      <w:pPr>
        <w:jc w:val="center"/>
        <w:rPr>
          <w:rFonts w:ascii="宋体" w:hAnsi="宋体" w:cs="宋体"/>
          <w:b/>
          <w:bCs/>
          <w:sz w:val="21"/>
          <w:szCs w:val="21"/>
        </w:rPr>
      </w:pPr>
      <w:r>
        <w:rPr>
          <w:rFonts w:hint="eastAsia" w:ascii="宋体" w:hAnsi="宋体" w:cs="宋体"/>
          <w:b/>
          <w:bCs/>
          <w:color w:val="000000"/>
          <w:sz w:val="21"/>
          <w:szCs w:val="21"/>
        </w:rPr>
        <w:t>表三：</w:t>
      </w: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80"/>
        <w:gridCol w:w="2268"/>
        <w:gridCol w:w="26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39" w:type="dxa"/>
            <w:gridSpan w:val="5"/>
            <w:shd w:val="clear" w:color="auto" w:fill="auto"/>
            <w:noWrap/>
            <w:vAlign w:val="center"/>
          </w:tcPr>
          <w:p>
            <w:pPr>
              <w:jc w:val="center"/>
              <w:rPr>
                <w:rFonts w:ascii="Arial" w:hAnsi="Arial" w:cs="Arial"/>
                <w:b/>
                <w:bCs/>
                <w:color w:val="000000"/>
                <w:sz w:val="18"/>
                <w:szCs w:val="18"/>
              </w:rPr>
            </w:pPr>
            <w:bookmarkStart w:id="5" w:name="_Toc7421"/>
            <w:r>
              <w:rPr>
                <w:rFonts w:ascii="Arial" w:hAnsi="Arial" w:cs="Arial"/>
                <w:b/>
                <w:bCs/>
                <w:color w:val="000000"/>
                <w:sz w:val="18"/>
                <w:szCs w:val="18"/>
              </w:rPr>
              <w:t>苏州红星盛泽项目（1期）工程进度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1#楼（售楼处）</w:t>
            </w:r>
          </w:p>
        </w:tc>
        <w:tc>
          <w:tcPr>
            <w:tcW w:w="2268"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无</w:t>
            </w:r>
          </w:p>
        </w:tc>
        <w:tc>
          <w:tcPr>
            <w:tcW w:w="2672" w:type="dxa"/>
            <w:shd w:val="clear" w:color="auto" w:fill="auto"/>
            <w:vAlign w:val="center"/>
          </w:tcPr>
          <w:p>
            <w:pPr>
              <w:jc w:val="center"/>
              <w:rPr>
                <w:rFonts w:ascii="Arial" w:hAnsi="Arial" w:cs="Arial"/>
                <w:bCs/>
                <w:kern w:val="44"/>
                <w:sz w:val="18"/>
                <w:szCs w:val="18"/>
              </w:rPr>
            </w:pPr>
          </w:p>
        </w:tc>
        <w:tc>
          <w:tcPr>
            <w:tcW w:w="2572" w:type="dxa"/>
            <w:shd w:val="clear" w:color="auto" w:fill="auto"/>
            <w:vAlign w:val="center"/>
          </w:tcPr>
          <w:p>
            <w:pPr>
              <w:jc w:val="center"/>
              <w:rPr>
                <w:rFonts w:ascii="Arial" w:hAnsi="Arial" w:cs="Arial"/>
                <w:bCs/>
                <w:kern w:val="44"/>
                <w:sz w:val="18"/>
                <w:szCs w:val="18"/>
              </w:rPr>
            </w:pPr>
            <w:r>
              <w:rPr>
                <w:rFonts w:ascii="Arial" w:hAnsi="Arial" w:cs="Arial"/>
                <w:bCs/>
                <w:kern w:val="44"/>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2#楼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基础砖胎模施工</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墙柱钢筋安装完成，墙柱封模整体完成70%，平板完成30%（西侧）</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五层墙柱钢筋及封模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3#楼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砖胎模施工</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地下一层顶板钢筋绑扎完成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 xml:space="preserve">四层墙柱钢筋绑扎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4#楼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二层模板支设完成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四层结构浇筑完成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六层到八层结构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5#楼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一层结构完成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6#楼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地下一层底板钢筋绑扎</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一层结构浇筑完成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六层混凝土浇筑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7#楼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一层模板支设</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十一层墙柱钢筋及封模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八层结构完成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十二层结构完成钢筋绑扎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十六层板钢筋绑扎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9#楼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十四层结构浇筑完成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十九层墙柱钢筋绑扎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10#楼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十三层结构浇筑完成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十五层结构浇筑完成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二十层墙柱钢筋绑扎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11#楼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九层结构浇筑完成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十三层结构浇筑完成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十七层混凝土浇筑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苏州红星盛泽项目（2期）工程进度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上周完成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本周进度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1-10#楼</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试桩</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试桩</w:t>
            </w:r>
          </w:p>
        </w:tc>
        <w:tc>
          <w:tcPr>
            <w:tcW w:w="2572" w:type="dxa"/>
            <w:shd w:val="clear" w:color="auto" w:fill="auto"/>
            <w:vAlign w:val="center"/>
          </w:tcPr>
          <w:p>
            <w:pPr>
              <w:spacing w:line="360" w:lineRule="auto"/>
              <w:jc w:val="center"/>
              <w:rPr>
                <w:rFonts w:ascii="Arial" w:hAnsi="Arial" w:cs="Arial"/>
                <w:color w:val="000000"/>
                <w:sz w:val="18"/>
                <w:szCs w:val="18"/>
              </w:rPr>
            </w:pPr>
            <w:r>
              <w:rPr>
                <w:rFonts w:ascii="Arial" w:hAnsi="Arial" w:cs="Arial"/>
                <w:color w:val="000000"/>
                <w:sz w:val="18"/>
                <w:szCs w:val="18"/>
              </w:rPr>
              <w:t>试桩</w:t>
            </w:r>
          </w:p>
        </w:tc>
      </w:tr>
    </w:tbl>
    <w:p>
      <w:pPr>
        <w:pStyle w:val="4"/>
        <w:rPr>
          <w:rFonts w:ascii="宋体" w:hAnsi="宋体" w:eastAsia="宋体"/>
          <w:sz w:val="21"/>
          <w:szCs w:val="21"/>
        </w:rPr>
      </w:pPr>
    </w:p>
    <w:p>
      <w:pPr>
        <w:pStyle w:val="4"/>
        <w:rPr>
          <w:rFonts w:ascii="宋体" w:hAnsi="宋体" w:eastAsia="宋体"/>
          <w:sz w:val="21"/>
          <w:szCs w:val="21"/>
        </w:rPr>
      </w:pPr>
      <w:r>
        <w:rPr>
          <w:rFonts w:hint="eastAsia" w:ascii="宋体" w:hAnsi="宋体" w:eastAsia="宋体"/>
          <w:sz w:val="21"/>
          <w:szCs w:val="21"/>
        </w:rPr>
        <w:t>五、项目合同及成本执行情况</w:t>
      </w:r>
      <w:bookmarkEnd w:id="5"/>
    </w:p>
    <w:p>
      <w:pPr>
        <w:spacing w:line="360" w:lineRule="auto"/>
        <w:ind w:firstLine="420" w:firstLineChars="200"/>
        <w:jc w:val="both"/>
        <w:rPr>
          <w:rFonts w:ascii="Arial" w:hAnsi="Arial" w:cs="Arial"/>
          <w:sz w:val="21"/>
          <w:szCs w:val="21"/>
        </w:rPr>
      </w:pPr>
      <w:r>
        <w:rPr>
          <w:rFonts w:ascii="Arial" w:hAnsi="Arial" w:cs="Arial"/>
          <w:kern w:val="2"/>
          <w:sz w:val="21"/>
          <w:szCs w:val="21"/>
        </w:rPr>
        <w:t>2</w:t>
      </w:r>
      <w:r>
        <w:rPr>
          <w:rFonts w:ascii="Arial" w:hAnsi="Arial" w:cs="Arial"/>
          <w:sz w:val="21"/>
          <w:szCs w:val="21"/>
        </w:rPr>
        <w:t>021年4月，项目公司签订合同19份，截至2021年4月30日，项目总计已签订合同367份，已签订合同总价204,589.21万元（已结算合同按照结算价），已支付合同款166,925.03 万元，合同付款百分比为81.59%。</w:t>
      </w:r>
    </w:p>
    <w:p>
      <w:pPr>
        <w:spacing w:line="360" w:lineRule="auto"/>
        <w:ind w:firstLine="420" w:firstLineChars="200"/>
        <w:jc w:val="both"/>
        <w:rPr>
          <w:rFonts w:ascii="Arial" w:hAnsi="Arial" w:cs="Arial"/>
          <w:bCs/>
          <w:sz w:val="21"/>
          <w:szCs w:val="21"/>
        </w:rPr>
      </w:pPr>
      <w:r>
        <w:rPr>
          <w:rFonts w:ascii="Arial" w:hAnsi="Arial" w:cs="Arial"/>
          <w:sz w:val="21"/>
          <w:szCs w:val="21"/>
        </w:rPr>
        <w:t>截至2021年4月，项目已支付无合同成本及费用金额9,275.74万元，1</w:t>
      </w:r>
      <w:r>
        <w:rPr>
          <w:rFonts w:hint="eastAsia" w:ascii="Arial" w:hAnsi="Arial" w:cs="Arial"/>
          <w:sz w:val="21"/>
          <w:szCs w:val="21"/>
        </w:rPr>
        <w:t>,</w:t>
      </w:r>
      <w:r>
        <w:rPr>
          <w:rFonts w:ascii="Arial" w:hAnsi="Arial" w:cs="Arial"/>
          <w:sz w:val="21"/>
          <w:szCs w:val="21"/>
        </w:rPr>
        <w:t>373.56万元，前期类费用151.49万元，建安费用1.14万元，营销类费用457.71万元，管理类费用1,928.82万元，财务费用2</w:t>
      </w:r>
      <w:r>
        <w:rPr>
          <w:rFonts w:hint="eastAsia" w:ascii="Arial" w:hAnsi="Arial" w:cs="Arial"/>
          <w:sz w:val="21"/>
          <w:szCs w:val="21"/>
        </w:rPr>
        <w:t>,</w:t>
      </w:r>
      <w:r>
        <w:rPr>
          <w:rFonts w:ascii="Arial" w:hAnsi="Arial" w:cs="Arial"/>
          <w:sz w:val="21"/>
          <w:szCs w:val="21"/>
        </w:rPr>
        <w:t>622.2</w:t>
      </w:r>
      <w:r>
        <w:rPr>
          <w:rFonts w:hint="eastAsia" w:ascii="Arial" w:hAnsi="Arial" w:cs="Arial"/>
          <w:sz w:val="21"/>
          <w:szCs w:val="21"/>
        </w:rPr>
        <w:t>2</w:t>
      </w:r>
      <w:r>
        <w:rPr>
          <w:rFonts w:ascii="Arial" w:hAnsi="Arial" w:cs="Arial"/>
          <w:sz w:val="21"/>
          <w:szCs w:val="21"/>
        </w:rPr>
        <w:t>万元，税费2</w:t>
      </w:r>
      <w:r>
        <w:rPr>
          <w:rFonts w:hint="eastAsia" w:ascii="Arial" w:hAnsi="Arial" w:cs="Arial"/>
          <w:sz w:val="21"/>
          <w:szCs w:val="21"/>
        </w:rPr>
        <w:t>,</w:t>
      </w:r>
      <w:r>
        <w:rPr>
          <w:rFonts w:ascii="Arial" w:hAnsi="Arial" w:cs="Arial"/>
          <w:sz w:val="21"/>
          <w:szCs w:val="21"/>
        </w:rPr>
        <w:t>740.81万元。</w:t>
      </w:r>
    </w:p>
    <w:p>
      <w:pPr>
        <w:spacing w:line="360" w:lineRule="auto"/>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p>
    <w:tbl>
      <w:tblPr>
        <w:tblStyle w:val="17"/>
        <w:tblW w:w="10041"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18"/>
        <w:gridCol w:w="1527"/>
        <w:gridCol w:w="1080"/>
        <w:gridCol w:w="1648"/>
        <w:gridCol w:w="1701"/>
        <w:gridCol w:w="1949"/>
        <w:gridCol w:w="1718"/>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418"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527"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1080"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48"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目标成本（万元）</w:t>
            </w:r>
          </w:p>
        </w:tc>
        <w:tc>
          <w:tcPr>
            <w:tcW w:w="1701"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已发生成本（合同金额+已发生的无合同成本）</w:t>
            </w:r>
          </w:p>
        </w:tc>
        <w:tc>
          <w:tcPr>
            <w:tcW w:w="1949" w:type="dxa"/>
            <w:tcBorders>
              <w:top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累计付款（万元）</w:t>
            </w:r>
          </w:p>
        </w:tc>
        <w:tc>
          <w:tcPr>
            <w:tcW w:w="1718" w:type="dxa"/>
            <w:tcBorders>
              <w:top w:val="single" w:color="auto" w:sz="4" w:space="0"/>
              <w:right w:val="single" w:color="auto" w:sz="4" w:space="0"/>
            </w:tcBorders>
            <w:vAlign w:val="center"/>
          </w:tcPr>
          <w:p>
            <w:pPr>
              <w:jc w:val="right"/>
              <w:rPr>
                <w:rFonts w:ascii="Arial" w:hAnsi="Arial" w:cs="Arial"/>
                <w:b/>
                <w:bCs/>
                <w:color w:val="000000"/>
                <w:sz w:val="18"/>
                <w:szCs w:val="18"/>
              </w:rPr>
            </w:pPr>
            <w:r>
              <w:rPr>
                <w:rFonts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161,794.05</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153,773.03</w:t>
            </w:r>
          </w:p>
        </w:tc>
        <w:tc>
          <w:tcPr>
            <w:tcW w:w="1718" w:type="dxa"/>
            <w:tcBorders>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95.08%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前期类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3,075.51</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1,888.69</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38.02%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38,466.11</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10,618.21</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8.81%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4</w:t>
            </w:r>
          </w:p>
        </w:tc>
        <w:tc>
          <w:tcPr>
            <w:tcW w:w="1527" w:type="dxa"/>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开发成本小计</w:t>
            </w:r>
          </w:p>
        </w:tc>
        <w:tc>
          <w:tcPr>
            <w:tcW w:w="1080" w:type="dxa"/>
            <w:vAlign w:val="center"/>
          </w:tcPr>
          <w:p>
            <w:pPr>
              <w:jc w:val="center"/>
              <w:rPr>
                <w:rFonts w:ascii="Arial" w:hAnsi="Arial" w:cs="Arial"/>
                <w:b/>
                <w:bCs/>
                <w:sz w:val="18"/>
                <w:szCs w:val="18"/>
              </w:rPr>
            </w:pPr>
          </w:p>
        </w:tc>
        <w:tc>
          <w:tcPr>
            <w:tcW w:w="1648" w:type="dxa"/>
            <w:shd w:val="clear" w:color="auto" w:fill="auto"/>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287,241.33</w:t>
            </w:r>
          </w:p>
        </w:tc>
        <w:tc>
          <w:tcPr>
            <w:tcW w:w="1701"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203,335.67</w:t>
            </w:r>
          </w:p>
        </w:tc>
        <w:tc>
          <w:tcPr>
            <w:tcW w:w="1949" w:type="dxa"/>
            <w:tcBorders>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166,279.93</w:t>
            </w:r>
          </w:p>
        </w:tc>
        <w:tc>
          <w:tcPr>
            <w:tcW w:w="1718" w:type="dxa"/>
            <w:tcBorders>
              <w:right w:val="single" w:color="auto" w:sz="4" w:space="0"/>
            </w:tcBorders>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57.89%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1,816.31</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1,351.48</w:t>
            </w:r>
          </w:p>
        </w:tc>
        <w:tc>
          <w:tcPr>
            <w:tcW w:w="1718" w:type="dxa"/>
            <w:tcBorders>
              <w:right w:val="single" w:color="auto" w:sz="4" w:space="0"/>
            </w:tcBorders>
            <w:vAlign w:val="center"/>
          </w:tcPr>
          <w:p>
            <w:pPr>
              <w:jc w:val="right"/>
              <w:textAlignment w:val="center"/>
              <w:rPr>
                <w:rFonts w:ascii="Arial" w:hAnsi="Arial" w:cs="Arial"/>
                <w:sz w:val="18"/>
                <w:szCs w:val="18"/>
              </w:rPr>
            </w:pPr>
            <w:r>
              <w:rPr>
                <w:rFonts w:ascii="Arial" w:hAnsi="Arial" w:cs="Arial"/>
                <w:color w:val="000000"/>
                <w:sz w:val="18"/>
                <w:szCs w:val="18"/>
                <w:lang w:bidi="ar"/>
              </w:rPr>
              <w:t>14.37%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2,164.28</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2,022.18</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21.50%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财务及融资类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3,807.89</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3,806.39</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33.97%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527" w:type="dxa"/>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税费</w:t>
            </w:r>
          </w:p>
        </w:tc>
        <w:tc>
          <w:tcPr>
            <w:tcW w:w="1080" w:type="dxa"/>
            <w:vAlign w:val="center"/>
          </w:tcPr>
          <w:p>
            <w:pPr>
              <w:jc w:val="center"/>
              <w:textAlignment w:val="center"/>
              <w:rPr>
                <w:rFonts w:ascii="Arial" w:hAnsi="Arial" w:cs="Arial"/>
                <w:sz w:val="18"/>
                <w:szCs w:val="18"/>
              </w:rPr>
            </w:pPr>
            <w:r>
              <w:rPr>
                <w:rFonts w:ascii="Arial" w:hAnsi="Arial" w:cs="Arial"/>
                <w:color w:val="000000"/>
                <w:sz w:val="18"/>
                <w:szCs w:val="18"/>
                <w:lang w:bidi="ar"/>
              </w:rPr>
              <w:t>-</w:t>
            </w:r>
          </w:p>
        </w:tc>
        <w:tc>
          <w:tcPr>
            <w:tcW w:w="1648"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26,265.63</w:t>
            </w:r>
          </w:p>
        </w:tc>
        <w:tc>
          <w:tcPr>
            <w:tcW w:w="170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2,740.81</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2,740.81</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10.43%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648" w:type="dxa"/>
            <w:shd w:val="clear" w:color="auto" w:fill="auto"/>
            <w:vAlign w:val="center"/>
          </w:tcPr>
          <w:p>
            <w:pPr>
              <w:jc w:val="right"/>
              <w:rPr>
                <w:rFonts w:ascii="Arial" w:hAnsi="Arial" w:cs="Arial"/>
                <w:color w:val="000000"/>
                <w:sz w:val="18"/>
                <w:szCs w:val="18"/>
              </w:rPr>
            </w:pP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18" w:type="dxa"/>
            <w:tcBorders>
              <w:left w:val="single" w:color="auto" w:sz="4" w:space="0"/>
              <w:bottom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527" w:type="dxa"/>
            <w:tcBorders>
              <w:bottom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sz w:val="18"/>
                <w:szCs w:val="18"/>
                <w:lang w:bidi="ar"/>
              </w:rPr>
              <w:t>合计</w:t>
            </w:r>
          </w:p>
        </w:tc>
        <w:tc>
          <w:tcPr>
            <w:tcW w:w="1080" w:type="dxa"/>
            <w:tcBorders>
              <w:bottom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367</w:t>
            </w:r>
          </w:p>
        </w:tc>
        <w:tc>
          <w:tcPr>
            <w:tcW w:w="1648"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343,519.82</w:t>
            </w:r>
          </w:p>
        </w:tc>
        <w:tc>
          <w:tcPr>
            <w:tcW w:w="1701"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213,864.96</w:t>
            </w:r>
          </w:p>
        </w:tc>
        <w:tc>
          <w:tcPr>
            <w:tcW w:w="1949" w:type="dxa"/>
            <w:tcBorders>
              <w:bottom w:val="single" w:color="auto" w:sz="4" w:space="0"/>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176,200.78</w:t>
            </w:r>
          </w:p>
        </w:tc>
        <w:tc>
          <w:tcPr>
            <w:tcW w:w="1718" w:type="dxa"/>
            <w:tcBorders>
              <w:bottom w:val="single" w:color="auto" w:sz="4" w:space="0"/>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51.29%</w:t>
            </w:r>
          </w:p>
        </w:tc>
      </w:tr>
    </w:tbl>
    <w:p>
      <w:pPr>
        <w:jc w:val="center"/>
        <w:rPr>
          <w:rFonts w:ascii="宋体" w:hAnsi="宋体" w:cs="宋体"/>
          <w:b/>
          <w:bCs/>
          <w:sz w:val="21"/>
          <w:szCs w:val="21"/>
        </w:rPr>
      </w:pPr>
    </w:p>
    <w:p>
      <w:pPr>
        <w:rPr>
          <w:rFonts w:ascii="宋体" w:hAnsi="宋体" w:cs="宋体"/>
          <w:bCs/>
          <w:sz w:val="21"/>
          <w:szCs w:val="21"/>
        </w:rPr>
      </w:pPr>
    </w:p>
    <w:p>
      <w:pPr>
        <w:pStyle w:val="4"/>
        <w:rPr>
          <w:rFonts w:ascii="宋体" w:hAnsi="宋体" w:eastAsia="宋体"/>
          <w:sz w:val="21"/>
          <w:szCs w:val="21"/>
        </w:rPr>
      </w:pPr>
      <w:bookmarkStart w:id="6" w:name="_Toc32050"/>
      <w:r>
        <w:rPr>
          <w:rFonts w:hint="eastAsia" w:ascii="宋体" w:hAnsi="宋体" w:eastAsia="宋体"/>
          <w:sz w:val="21"/>
          <w:szCs w:val="21"/>
        </w:rPr>
        <w:t>六、项目销售情况统计</w:t>
      </w:r>
      <w:bookmarkEnd w:id="6"/>
    </w:p>
    <w:p>
      <w:pPr>
        <w:pStyle w:val="8"/>
        <w:rPr>
          <w:rStyle w:val="22"/>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rPr>
          <w:rStyle w:val="22"/>
        </w:rPr>
      </w:pPr>
      <w:r>
        <w:rPr>
          <w:rFonts w:hint="eastAsia" w:ascii="Arial" w:hAnsi="Arial" w:cs="Arial"/>
          <w:kern w:val="2"/>
          <w:sz w:val="21"/>
          <w:szCs w:val="21"/>
        </w:rPr>
        <w:t xml:space="preserve">项目于2020年12月27日首次开盘推出住宅306套，可售面积42,816.66㎡，2021年4月17日加推136套，可售面积20,810.76㎡。累计取得预售证面积为63,627.42㎡。 </w:t>
      </w:r>
    </w:p>
    <w:p>
      <w:pPr>
        <w:pStyle w:val="8"/>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.2</w:t>
      </w:r>
      <w:r>
        <w:rPr>
          <w:rFonts w:hint="eastAsia" w:ascii="宋体" w:hAnsi="宋体" w:cs="宋体"/>
          <w:b/>
          <w:sz w:val="21"/>
          <w:szCs w:val="21"/>
        </w:rPr>
        <w:t>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4</w:t>
      </w:r>
      <w:r>
        <w:rPr>
          <w:rFonts w:ascii="Arial" w:hAnsi="Arial" w:cs="Arial"/>
          <w:kern w:val="2"/>
          <w:sz w:val="21"/>
          <w:szCs w:val="21"/>
        </w:rPr>
        <w:t>月共计销售</w:t>
      </w:r>
      <w:r>
        <w:rPr>
          <w:rFonts w:hint="eastAsia" w:ascii="Arial" w:hAnsi="Arial" w:cs="Arial"/>
          <w:kern w:val="2"/>
          <w:sz w:val="21"/>
          <w:szCs w:val="21"/>
        </w:rPr>
        <w:t>115</w:t>
      </w:r>
      <w:r>
        <w:rPr>
          <w:rFonts w:ascii="Arial" w:hAnsi="Arial" w:cs="Arial"/>
          <w:kern w:val="2"/>
          <w:sz w:val="21"/>
          <w:szCs w:val="21"/>
        </w:rPr>
        <w:t>套，销售面积为</w:t>
      </w:r>
      <w:r>
        <w:rPr>
          <w:rFonts w:hint="eastAsia" w:ascii="Arial" w:hAnsi="Arial" w:cs="Arial"/>
          <w:kern w:val="2"/>
          <w:sz w:val="21"/>
          <w:szCs w:val="21"/>
        </w:rPr>
        <w:t>17,438.12</w:t>
      </w:r>
      <w:r>
        <w:rPr>
          <w:rFonts w:ascii="Arial" w:hAnsi="Arial" w:cs="Arial"/>
          <w:kern w:val="2"/>
          <w:sz w:val="21"/>
          <w:szCs w:val="21"/>
        </w:rPr>
        <w:t>㎡，合同金额</w:t>
      </w:r>
      <w:r>
        <w:rPr>
          <w:rFonts w:hint="eastAsia" w:ascii="Arial" w:hAnsi="Arial" w:cs="Arial"/>
          <w:kern w:val="2"/>
          <w:sz w:val="21"/>
          <w:szCs w:val="21"/>
        </w:rPr>
        <w:t>30,178.00</w:t>
      </w:r>
      <w:r>
        <w:rPr>
          <w:rFonts w:ascii="Arial" w:hAnsi="Arial" w:cs="Arial"/>
          <w:kern w:val="2"/>
          <w:sz w:val="21"/>
          <w:szCs w:val="21"/>
        </w:rPr>
        <w:t>万元，本月销售回款</w:t>
      </w:r>
      <w:r>
        <w:rPr>
          <w:rFonts w:hint="eastAsia" w:ascii="Arial" w:hAnsi="Arial" w:cs="Arial"/>
          <w:kern w:val="2"/>
          <w:sz w:val="21"/>
          <w:szCs w:val="21"/>
        </w:rPr>
        <w:t>15,213.68</w:t>
      </w:r>
      <w:r>
        <w:rPr>
          <w:rFonts w:ascii="Arial" w:hAnsi="Arial" w:cs="Arial"/>
          <w:kern w:val="2"/>
          <w:sz w:val="21"/>
          <w:szCs w:val="21"/>
        </w:rPr>
        <w:t>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截至2021年</w:t>
      </w:r>
      <w:r>
        <w:rPr>
          <w:rFonts w:hint="eastAsia" w:ascii="Arial" w:hAnsi="Arial" w:cs="Arial"/>
          <w:kern w:val="2"/>
          <w:sz w:val="21"/>
          <w:szCs w:val="21"/>
        </w:rPr>
        <w:t>4</w:t>
      </w:r>
      <w:r>
        <w:rPr>
          <w:rFonts w:ascii="Arial" w:hAnsi="Arial" w:cs="Arial"/>
          <w:kern w:val="2"/>
          <w:sz w:val="21"/>
          <w:szCs w:val="21"/>
        </w:rPr>
        <w:t>月3</w:t>
      </w:r>
      <w:r>
        <w:rPr>
          <w:rFonts w:hint="eastAsia" w:ascii="Arial" w:hAnsi="Arial" w:cs="Arial"/>
          <w:kern w:val="2"/>
          <w:sz w:val="21"/>
          <w:szCs w:val="21"/>
        </w:rPr>
        <w:t>0</w:t>
      </w:r>
      <w:r>
        <w:rPr>
          <w:rFonts w:ascii="Arial" w:hAnsi="Arial" w:cs="Arial"/>
          <w:kern w:val="2"/>
          <w:sz w:val="21"/>
          <w:szCs w:val="21"/>
        </w:rPr>
        <w:t>日：项目累计销售</w:t>
      </w:r>
      <w:r>
        <w:rPr>
          <w:rFonts w:hint="eastAsia" w:ascii="Arial" w:hAnsi="Arial" w:cs="Arial"/>
          <w:kern w:val="2"/>
          <w:sz w:val="21"/>
          <w:szCs w:val="21"/>
        </w:rPr>
        <w:t>408</w:t>
      </w:r>
      <w:r>
        <w:rPr>
          <w:rFonts w:ascii="Arial" w:hAnsi="Arial" w:cs="Arial"/>
          <w:kern w:val="2"/>
          <w:sz w:val="21"/>
          <w:szCs w:val="21"/>
        </w:rPr>
        <w:t>套，销售面积为</w:t>
      </w:r>
      <w:r>
        <w:rPr>
          <w:rFonts w:hint="eastAsia" w:ascii="Arial" w:hAnsi="Arial" w:cs="Arial"/>
          <w:kern w:val="2"/>
          <w:sz w:val="21"/>
          <w:szCs w:val="21"/>
        </w:rPr>
        <w:t>58,300.80</w:t>
      </w:r>
      <w:r>
        <w:rPr>
          <w:rFonts w:ascii="Arial" w:hAnsi="Arial" w:cs="Arial"/>
          <w:kern w:val="2"/>
          <w:sz w:val="21"/>
          <w:szCs w:val="21"/>
        </w:rPr>
        <w:t>㎡。累计认购、签约合同总价</w:t>
      </w:r>
      <w:r>
        <w:rPr>
          <w:rFonts w:hint="eastAsia" w:ascii="Arial" w:hAnsi="Arial" w:cs="Arial"/>
          <w:kern w:val="2"/>
          <w:sz w:val="21"/>
          <w:szCs w:val="21"/>
        </w:rPr>
        <w:t>100,238.48</w:t>
      </w:r>
      <w:r>
        <w:rPr>
          <w:rFonts w:ascii="Arial" w:hAnsi="Arial" w:cs="Arial"/>
          <w:kern w:val="2"/>
          <w:sz w:val="21"/>
          <w:szCs w:val="21"/>
        </w:rPr>
        <w:t>万元，其中认购备案合同总价</w:t>
      </w:r>
      <w:r>
        <w:rPr>
          <w:rFonts w:hint="eastAsia" w:ascii="Arial" w:hAnsi="Arial" w:cs="Arial"/>
          <w:kern w:val="2"/>
          <w:sz w:val="21"/>
          <w:szCs w:val="21"/>
        </w:rPr>
        <w:t>1,984.44</w:t>
      </w:r>
      <w:r>
        <w:rPr>
          <w:rFonts w:ascii="Arial" w:hAnsi="Arial" w:cs="Arial"/>
          <w:kern w:val="2"/>
          <w:sz w:val="21"/>
          <w:szCs w:val="21"/>
        </w:rPr>
        <w:t>万元,签约合同总价</w:t>
      </w:r>
      <w:r>
        <w:rPr>
          <w:rFonts w:hint="eastAsia" w:ascii="Arial" w:hAnsi="Arial" w:cs="Arial"/>
          <w:kern w:val="2"/>
          <w:sz w:val="21"/>
          <w:szCs w:val="21"/>
        </w:rPr>
        <w:t>98,254.04</w:t>
      </w:r>
      <w:r>
        <w:rPr>
          <w:rFonts w:ascii="Arial" w:hAnsi="Arial" w:cs="Arial"/>
          <w:kern w:val="2"/>
          <w:sz w:val="21"/>
          <w:szCs w:val="21"/>
        </w:rPr>
        <w:t>万元；回款总额</w:t>
      </w:r>
      <w:r>
        <w:rPr>
          <w:rFonts w:hint="eastAsia" w:ascii="Arial" w:hAnsi="Arial" w:cs="Arial"/>
          <w:kern w:val="2"/>
          <w:sz w:val="21"/>
          <w:szCs w:val="21"/>
        </w:rPr>
        <w:t>65，453.54</w:t>
      </w:r>
      <w:r>
        <w:rPr>
          <w:rFonts w:ascii="Arial" w:hAnsi="Arial" w:cs="Arial"/>
          <w:kern w:val="2"/>
          <w:sz w:val="21"/>
          <w:szCs w:val="21"/>
        </w:rPr>
        <w:t>万元，</w:t>
      </w:r>
      <w:r>
        <w:rPr>
          <w:rFonts w:hint="eastAsia" w:ascii="Arial" w:hAnsi="Arial" w:cs="Arial"/>
          <w:kern w:val="2"/>
          <w:sz w:val="21"/>
          <w:szCs w:val="21"/>
        </w:rPr>
        <w:t>累计</w:t>
      </w:r>
      <w:r>
        <w:rPr>
          <w:rFonts w:ascii="Arial" w:hAnsi="Arial" w:cs="Arial"/>
          <w:kern w:val="2"/>
          <w:sz w:val="21"/>
          <w:szCs w:val="21"/>
        </w:rPr>
        <w:t>去化率</w:t>
      </w:r>
      <w:r>
        <w:rPr>
          <w:rFonts w:hint="eastAsia" w:ascii="Arial" w:hAnsi="Arial" w:cs="Arial"/>
          <w:kern w:val="2"/>
          <w:sz w:val="21"/>
          <w:szCs w:val="21"/>
        </w:rPr>
        <w:t>92.31</w:t>
      </w:r>
      <w:r>
        <w:rPr>
          <w:rFonts w:ascii="Arial" w:hAnsi="Arial" w:cs="Arial"/>
          <w:kern w:val="2"/>
          <w:sz w:val="21"/>
          <w:szCs w:val="21"/>
        </w:rPr>
        <w:t>%。</w:t>
      </w:r>
    </w:p>
    <w:p>
      <w:pPr>
        <w:pStyle w:val="8"/>
        <w:rPr>
          <w:rFonts w:ascii="Arial" w:hAnsi="Arial" w:cs="Arial"/>
          <w:szCs w:val="21"/>
        </w:rPr>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777"/>
        <w:gridCol w:w="34"/>
        <w:gridCol w:w="1972"/>
        <w:gridCol w:w="73"/>
        <w:gridCol w:w="181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807"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项目名称</w:t>
            </w: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2021年</w:t>
            </w:r>
            <w:r>
              <w:rPr>
                <w:rFonts w:hint="eastAsia" w:ascii="Arial" w:hAnsi="Arial" w:cs="Arial"/>
                <w:b/>
                <w:bCs/>
                <w:color w:val="000000"/>
                <w:sz w:val="18"/>
                <w:szCs w:val="18"/>
              </w:rPr>
              <w:t>4</w:t>
            </w:r>
            <w:r>
              <w:rPr>
                <w:rFonts w:ascii="Arial" w:hAnsi="Arial" w:cs="Arial"/>
                <w:b/>
                <w:bCs/>
                <w:color w:val="000000"/>
                <w:sz w:val="18"/>
                <w:szCs w:val="18"/>
              </w:rPr>
              <w:t>月销售、回款情况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苏州红星盛泽项目一期</w:t>
            </w:r>
          </w:p>
        </w:tc>
        <w:tc>
          <w:tcPr>
            <w:tcW w:w="1811"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45"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11"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811" w:type="dxa"/>
            <w:gridSpan w:val="2"/>
            <w:vMerge w:val="continue"/>
            <w:vAlign w:val="center"/>
          </w:tcPr>
          <w:p>
            <w:pPr>
              <w:rPr>
                <w:rFonts w:ascii="Arial" w:hAnsi="Arial" w:cs="Arial"/>
                <w:color w:val="000000"/>
                <w:sz w:val="18"/>
                <w:szCs w:val="18"/>
              </w:rPr>
            </w:pPr>
          </w:p>
        </w:tc>
        <w:tc>
          <w:tcPr>
            <w:tcW w:w="2045" w:type="dxa"/>
            <w:gridSpan w:val="2"/>
            <w:vMerge w:val="continue"/>
            <w:vAlign w:val="center"/>
          </w:tcPr>
          <w:p>
            <w:pPr>
              <w:rPr>
                <w:rFonts w:ascii="Arial" w:hAnsi="Arial" w:cs="Arial"/>
                <w:color w:val="000000"/>
                <w:sz w:val="18"/>
                <w:szCs w:val="18"/>
              </w:rPr>
            </w:pPr>
          </w:p>
        </w:tc>
        <w:tc>
          <w:tcPr>
            <w:tcW w:w="1811" w:type="dxa"/>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807" w:type="dxa"/>
            <w:vMerge w:val="continue"/>
            <w:vAlign w:val="center"/>
          </w:tcPr>
          <w:p>
            <w:pPr>
              <w:rPr>
                <w:rFonts w:ascii="Arial" w:hAnsi="Arial" w:cs="Arial"/>
                <w:color w:val="000000"/>
                <w:sz w:val="18"/>
                <w:szCs w:val="18"/>
              </w:rPr>
            </w:pPr>
          </w:p>
        </w:tc>
        <w:tc>
          <w:tcPr>
            <w:tcW w:w="1811"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115</w:t>
            </w:r>
          </w:p>
        </w:tc>
        <w:tc>
          <w:tcPr>
            <w:tcW w:w="2045"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17,438.12</w:t>
            </w:r>
          </w:p>
        </w:tc>
        <w:tc>
          <w:tcPr>
            <w:tcW w:w="1811"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30,178.00</w:t>
            </w:r>
          </w:p>
        </w:tc>
        <w:tc>
          <w:tcPr>
            <w:tcW w:w="1812"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15,213.68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07" w:type="dxa"/>
            <w:vMerge w:val="continue"/>
            <w:vAlign w:val="center"/>
          </w:tcPr>
          <w:p>
            <w:pPr>
              <w:rPr>
                <w:rFonts w:ascii="Arial" w:hAnsi="Arial" w:cs="Arial"/>
                <w:color w:val="000000"/>
                <w:sz w:val="18"/>
                <w:szCs w:val="18"/>
              </w:rPr>
            </w:pP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2020年—2021</w:t>
            </w:r>
            <w:r>
              <w:rPr>
                <w:rFonts w:hint="eastAsia" w:ascii="Arial" w:hAnsi="Arial" w:cs="Arial"/>
                <w:b/>
                <w:bCs/>
                <w:color w:val="000000"/>
                <w:sz w:val="18"/>
                <w:szCs w:val="18"/>
              </w:rPr>
              <w:t>.4月</w:t>
            </w:r>
            <w:r>
              <w:rPr>
                <w:rFonts w:ascii="Arial" w:hAnsi="Arial" w:cs="Arial"/>
                <w:b/>
                <w:bCs/>
                <w:color w:val="000000"/>
                <w:sz w:val="18"/>
                <w:szCs w:val="18"/>
              </w:rPr>
              <w:t>累计销售、回款情况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06"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84"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continue"/>
            <w:vAlign w:val="center"/>
          </w:tcPr>
          <w:p>
            <w:pPr>
              <w:rPr>
                <w:rFonts w:ascii="Arial" w:hAnsi="Arial" w:cs="Arial"/>
                <w:color w:val="000000"/>
                <w:sz w:val="18"/>
                <w:szCs w:val="18"/>
              </w:rPr>
            </w:pPr>
          </w:p>
        </w:tc>
        <w:tc>
          <w:tcPr>
            <w:tcW w:w="2006" w:type="dxa"/>
            <w:gridSpan w:val="2"/>
            <w:vMerge w:val="continue"/>
            <w:vAlign w:val="center"/>
          </w:tcPr>
          <w:p>
            <w:pPr>
              <w:rPr>
                <w:rFonts w:ascii="Arial" w:hAnsi="Arial" w:cs="Arial"/>
                <w:color w:val="000000"/>
                <w:sz w:val="18"/>
                <w:szCs w:val="18"/>
              </w:rPr>
            </w:pPr>
          </w:p>
        </w:tc>
        <w:tc>
          <w:tcPr>
            <w:tcW w:w="1884" w:type="dxa"/>
            <w:gridSpan w:val="2"/>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7" w:type="dxa"/>
            <w:vMerge w:val="continue"/>
            <w:vAlign w:val="center"/>
          </w:tcPr>
          <w:p>
            <w:pPr>
              <w:rPr>
                <w:rFonts w:ascii="Arial" w:hAnsi="Arial" w:cs="Arial"/>
                <w:color w:val="000000"/>
                <w:sz w:val="18"/>
                <w:szCs w:val="18"/>
              </w:rPr>
            </w:pPr>
          </w:p>
        </w:tc>
        <w:tc>
          <w:tcPr>
            <w:tcW w:w="1777"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408</w:t>
            </w:r>
          </w:p>
        </w:tc>
        <w:tc>
          <w:tcPr>
            <w:tcW w:w="2006"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58,300.80</w:t>
            </w:r>
          </w:p>
        </w:tc>
        <w:tc>
          <w:tcPr>
            <w:tcW w:w="1884"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100,238.48</w:t>
            </w:r>
          </w:p>
        </w:tc>
        <w:tc>
          <w:tcPr>
            <w:tcW w:w="1812"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65,453.54</w:t>
            </w:r>
          </w:p>
        </w:tc>
      </w:tr>
    </w:tbl>
    <w:p>
      <w:pPr>
        <w:pStyle w:val="8"/>
        <w:rPr>
          <w:rFonts w:ascii="宋体" w:hAnsi="宋体" w:cs="宋体"/>
          <w:bCs/>
          <w:sz w:val="21"/>
          <w:szCs w:val="21"/>
        </w:rPr>
      </w:pPr>
    </w:p>
    <w:p>
      <w:pPr>
        <w:jc w:val="center"/>
        <w:rPr>
          <w:rFonts w:ascii="宋体" w:hAnsi="宋体" w:cs="宋体"/>
          <w:b/>
          <w:bCs/>
          <w:sz w:val="21"/>
          <w:szCs w:val="21"/>
        </w:rPr>
      </w:pPr>
      <w:r>
        <w:rPr>
          <w:rFonts w:hint="eastAsia" w:ascii="宋体" w:hAnsi="宋体" w:cs="宋体"/>
          <w:b/>
          <w:bCs/>
          <w:color w:val="000000"/>
          <w:sz w:val="21"/>
          <w:szCs w:val="21"/>
        </w:rPr>
        <w:t>表五：</w:t>
      </w:r>
      <w:r>
        <w:rPr>
          <w:rFonts w:hint="eastAsia" w:ascii="宋体" w:hAnsi="宋体" w:cs="宋体"/>
          <w:b/>
          <w:bCs/>
          <w:sz w:val="21"/>
          <w:szCs w:val="21"/>
        </w:rPr>
        <w:t>项目销售情况</w:t>
      </w:r>
    </w:p>
    <w:p>
      <w:pPr>
        <w:jc w:val="both"/>
        <w:rPr>
          <w:rFonts w:ascii="Arial" w:hAnsi="Arial" w:cs="Arial"/>
          <w:szCs w:val="21"/>
        </w:rPr>
      </w:pPr>
      <w:r>
        <w:rPr>
          <w:rFonts w:ascii="Arial" w:hAnsi="Arial" w:cs="Arial"/>
          <w:szCs w:val="21"/>
        </w:rPr>
        <w:t>累计销售明细</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131"/>
        <w:gridCol w:w="958"/>
        <w:gridCol w:w="1649"/>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18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均价(万元/㎡，车位：万元/套)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1" w:type="dxa"/>
            <w:vMerge w:val="continue"/>
            <w:shd w:val="clear" w:color="auto" w:fill="auto"/>
            <w:vAlign w:val="center"/>
          </w:tcPr>
          <w:p>
            <w:pPr>
              <w:jc w:val="center"/>
              <w:rPr>
                <w:rFonts w:ascii="Arial" w:hAnsi="Arial" w:cs="Arial"/>
                <w:bCs/>
                <w:color w:val="000000"/>
                <w:sz w:val="18"/>
                <w:szCs w:val="18"/>
              </w:rPr>
            </w:pPr>
          </w:p>
        </w:tc>
        <w:tc>
          <w:tcPr>
            <w:tcW w:w="1131" w:type="dxa"/>
            <w:vMerge w:val="continue"/>
            <w:shd w:val="clear" w:color="auto" w:fill="auto"/>
            <w:noWrap/>
            <w:vAlign w:val="center"/>
          </w:tcPr>
          <w:p>
            <w:pPr>
              <w:jc w:val="center"/>
              <w:rPr>
                <w:rFonts w:ascii="Arial" w:hAnsi="Arial" w:cs="Arial"/>
                <w:bCs/>
                <w:color w:val="000000"/>
                <w:sz w:val="18"/>
                <w:szCs w:val="18"/>
              </w:rPr>
            </w:pPr>
          </w:p>
        </w:tc>
        <w:tc>
          <w:tcPr>
            <w:tcW w:w="958" w:type="dxa"/>
            <w:vMerge w:val="continue"/>
            <w:shd w:val="clear" w:color="auto" w:fill="auto"/>
            <w:noWrap/>
            <w:vAlign w:val="center"/>
          </w:tcPr>
          <w:p>
            <w:pPr>
              <w:jc w:val="center"/>
              <w:rPr>
                <w:rFonts w:ascii="Arial" w:hAnsi="Arial" w:cs="Arial"/>
                <w:bCs/>
                <w:color w:val="000000"/>
                <w:sz w:val="18"/>
                <w:szCs w:val="18"/>
              </w:rPr>
            </w:pP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val="continue"/>
            <w:shd w:val="clear" w:color="auto" w:fill="auto"/>
            <w:noWrap/>
            <w:vAlign w:val="center"/>
          </w:tcPr>
          <w:p>
            <w:pPr>
              <w:jc w:val="center"/>
              <w:rPr>
                <w:rFonts w:ascii="Arial" w:hAnsi="Arial" w:cs="Arial"/>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截止2020年12月底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193</w:t>
            </w:r>
          </w:p>
        </w:tc>
        <w:tc>
          <w:tcPr>
            <w:tcW w:w="1649"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27,265.52</w:t>
            </w:r>
          </w:p>
        </w:tc>
        <w:tc>
          <w:tcPr>
            <w:tcW w:w="1977"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47,620.24</w:t>
            </w:r>
          </w:p>
        </w:tc>
        <w:tc>
          <w:tcPr>
            <w:tcW w:w="161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2021年1月底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262</w:t>
            </w: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36</w:t>
            </w:r>
            <w:r>
              <w:rPr>
                <w:rFonts w:hint="eastAsia" w:ascii="Arial" w:hAnsi="Arial" w:cs="Arial"/>
                <w:bCs/>
                <w:color w:val="000000"/>
                <w:sz w:val="18"/>
                <w:szCs w:val="18"/>
                <w:lang w:bidi="ar"/>
              </w:rPr>
              <w:t>,</w:t>
            </w:r>
            <w:r>
              <w:rPr>
                <w:rFonts w:ascii="Arial" w:hAnsi="Arial" w:cs="Arial"/>
                <w:bCs/>
                <w:color w:val="000000"/>
                <w:sz w:val="18"/>
                <w:szCs w:val="18"/>
                <w:lang w:bidi="ar"/>
              </w:rPr>
              <w:t>759.23</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rPr>
              <w:t>63</w:t>
            </w:r>
            <w:r>
              <w:rPr>
                <w:rFonts w:hint="eastAsia" w:ascii="Arial" w:hAnsi="Arial" w:cs="Arial"/>
                <w:bCs/>
                <w:color w:val="000000"/>
                <w:sz w:val="18"/>
                <w:szCs w:val="18"/>
              </w:rPr>
              <w:t>,</w:t>
            </w:r>
            <w:r>
              <w:rPr>
                <w:rFonts w:ascii="Arial" w:hAnsi="Arial" w:cs="Arial"/>
                <w:bCs/>
                <w:color w:val="000000"/>
                <w:sz w:val="18"/>
                <w:szCs w:val="18"/>
              </w:rPr>
              <w:t>186.15</w:t>
            </w:r>
          </w:p>
        </w:tc>
        <w:tc>
          <w:tcPr>
            <w:tcW w:w="161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2021年2月底</w:t>
            </w:r>
          </w:p>
        </w:tc>
        <w:tc>
          <w:tcPr>
            <w:tcW w:w="1131"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295</w:t>
            </w:r>
          </w:p>
        </w:tc>
        <w:tc>
          <w:tcPr>
            <w:tcW w:w="1649"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147.10</w:t>
            </w:r>
          </w:p>
        </w:tc>
        <w:tc>
          <w:tcPr>
            <w:tcW w:w="1977"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70,564.62</w:t>
            </w:r>
          </w:p>
        </w:tc>
        <w:tc>
          <w:tcPr>
            <w:tcW w:w="161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2021年3月底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296</w:t>
            </w:r>
          </w:p>
        </w:tc>
        <w:tc>
          <w:tcPr>
            <w:tcW w:w="1649"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290.22</w:t>
            </w:r>
          </w:p>
        </w:tc>
        <w:tc>
          <w:tcPr>
            <w:tcW w:w="1977"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70,780.12</w:t>
            </w:r>
          </w:p>
        </w:tc>
        <w:tc>
          <w:tcPr>
            <w:tcW w:w="1618" w:type="dxa"/>
            <w:shd w:val="clear" w:color="auto" w:fill="auto"/>
            <w:noWrap/>
            <w:vAlign w:val="center"/>
          </w:tcPr>
          <w:p>
            <w:pPr>
              <w:jc w:val="center"/>
              <w:textAlignment w:val="top"/>
              <w:rPr>
                <w:rFonts w:ascii="Arial" w:hAnsi="Arial" w:cs="Arial"/>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2021年4月底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408</w:t>
            </w:r>
          </w:p>
        </w:tc>
        <w:tc>
          <w:tcPr>
            <w:tcW w:w="1649"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58,300.80</w:t>
            </w:r>
          </w:p>
        </w:tc>
        <w:tc>
          <w:tcPr>
            <w:tcW w:w="1977"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100,238.48</w:t>
            </w:r>
          </w:p>
        </w:tc>
        <w:tc>
          <w:tcPr>
            <w:tcW w:w="1618" w:type="dxa"/>
            <w:shd w:val="clear" w:color="auto" w:fill="auto"/>
            <w:noWrap/>
            <w:vAlign w:val="center"/>
          </w:tcPr>
          <w:p>
            <w:pPr>
              <w:jc w:val="center"/>
              <w:textAlignment w:val="top"/>
              <w:rPr>
                <w:rFonts w:ascii="Arial" w:hAnsi="Arial" w:cs="Arial"/>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ascii="Arial" w:hAnsi="Arial" w:cs="Arial"/>
                <w:bCs/>
                <w:color w:val="000000"/>
                <w:sz w:val="18"/>
                <w:szCs w:val="18"/>
              </w:rPr>
              <w:t>开盘去化率</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92.31</w:t>
            </w:r>
            <w:r>
              <w:rPr>
                <w:rFonts w:ascii="Arial" w:hAnsi="Arial" w:cs="Arial"/>
                <w:bCs/>
                <w:color w:val="000000"/>
                <w:sz w:val="18"/>
                <w:szCs w:val="18"/>
                <w:lang w:bidi="ar"/>
              </w:rPr>
              <w:t>%</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pPr>
        <w:textAlignment w:val="bottom"/>
        <w:rPr>
          <w:rFonts w:ascii="Arial" w:hAnsi="Arial" w:cs="Arial"/>
          <w:bCs/>
          <w:color w:val="000000"/>
          <w:sz w:val="18"/>
          <w:szCs w:val="18"/>
          <w:lang w:bidi="ar"/>
        </w:rPr>
      </w:pPr>
      <w:r>
        <w:rPr>
          <w:rFonts w:hint="eastAsia" w:ascii="Arial" w:hAnsi="Arial" w:cs="Arial"/>
          <w:bCs/>
          <w:color w:val="000000"/>
          <w:sz w:val="18"/>
          <w:szCs w:val="18"/>
          <w:lang w:bidi="ar"/>
        </w:rPr>
        <w:t>注：其中有3套退房。</w:t>
      </w:r>
    </w:p>
    <w:p>
      <w:pPr>
        <w:pStyle w:val="8"/>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.3</w:t>
      </w:r>
      <w:r>
        <w:rPr>
          <w:rFonts w:hint="eastAsia" w:ascii="宋体" w:hAnsi="宋体" w:cs="宋体"/>
          <w:b/>
          <w:sz w:val="21"/>
          <w:szCs w:val="21"/>
        </w:rPr>
        <w:t>动态货值</w:t>
      </w:r>
    </w:p>
    <w:p>
      <w:pPr>
        <w:spacing w:line="360" w:lineRule="auto"/>
        <w:ind w:firstLine="420" w:firstLineChars="200"/>
        <w:rPr>
          <w:rFonts w:ascii="Arial" w:hAnsi="Arial" w:cs="Arial"/>
          <w:sz w:val="21"/>
          <w:szCs w:val="21"/>
        </w:rPr>
      </w:pPr>
      <w:r>
        <w:rPr>
          <w:rFonts w:ascii="Arial" w:hAnsi="Arial" w:cs="Arial"/>
          <w:sz w:val="21"/>
          <w:szCs w:val="21"/>
        </w:rPr>
        <w:t>项目总用地面积为101,740.27平方米，容积率2.0</w:t>
      </w:r>
      <w:r>
        <w:rPr>
          <w:rFonts w:hint="eastAsia" w:ascii="Arial" w:hAnsi="Arial" w:cs="Arial"/>
          <w:sz w:val="21"/>
          <w:szCs w:val="21"/>
        </w:rPr>
        <w:t>。</w:t>
      </w:r>
      <w:r>
        <w:rPr>
          <w:rFonts w:ascii="Arial" w:hAnsi="Arial" w:cs="Arial"/>
          <w:sz w:val="21"/>
          <w:szCs w:val="21"/>
        </w:rPr>
        <w:t>可售建筑面206,076.34平方米，不可售（配套部分）面积3,755平方米，</w:t>
      </w:r>
      <w:r>
        <w:rPr>
          <w:rFonts w:hint="eastAsia" w:ascii="Arial" w:hAnsi="Arial" w:cs="Arial"/>
          <w:sz w:val="21"/>
          <w:szCs w:val="21"/>
        </w:rPr>
        <w:t>动态总货值为373,413.95</w:t>
      </w:r>
      <w:r>
        <w:rPr>
          <w:rFonts w:ascii="Arial" w:hAnsi="Arial" w:cs="Arial"/>
          <w:sz w:val="21"/>
          <w:szCs w:val="21"/>
        </w:rPr>
        <w:t>万元</w:t>
      </w:r>
      <w:r>
        <w:rPr>
          <w:rFonts w:hint="eastAsia" w:ascii="Arial" w:hAnsi="Arial" w:cs="Arial"/>
          <w:sz w:val="21"/>
          <w:szCs w:val="21"/>
        </w:rPr>
        <w:t>（含车库）</w:t>
      </w:r>
      <w:r>
        <w:rPr>
          <w:rFonts w:ascii="Arial" w:hAnsi="Arial" w:cs="Arial"/>
          <w:sz w:val="21"/>
          <w:szCs w:val="21"/>
        </w:rPr>
        <w:t>。截至2021年</w:t>
      </w:r>
      <w:r>
        <w:rPr>
          <w:rFonts w:hint="eastAsia" w:ascii="Arial" w:hAnsi="Arial" w:cs="Arial"/>
          <w:sz w:val="21"/>
          <w:szCs w:val="21"/>
        </w:rPr>
        <w:t>4月30日</w:t>
      </w:r>
      <w:r>
        <w:rPr>
          <w:rFonts w:ascii="Arial" w:hAnsi="Arial" w:cs="Arial"/>
          <w:sz w:val="21"/>
          <w:szCs w:val="21"/>
        </w:rPr>
        <w:t>，红星盛泽项目前</w:t>
      </w:r>
      <w:r>
        <w:rPr>
          <w:rFonts w:hint="eastAsia" w:ascii="Arial" w:hAnsi="Arial" w:cs="Arial"/>
          <w:sz w:val="21"/>
          <w:szCs w:val="21"/>
        </w:rPr>
        <w:t>已取得预售证未</w:t>
      </w:r>
      <w:r>
        <w:rPr>
          <w:rFonts w:ascii="Arial" w:hAnsi="Arial" w:cs="Arial"/>
          <w:sz w:val="21"/>
          <w:szCs w:val="21"/>
        </w:rPr>
        <w:t>售房源</w:t>
      </w:r>
      <w:r>
        <w:rPr>
          <w:rFonts w:hint="eastAsia" w:ascii="Arial" w:hAnsi="Arial" w:cs="Arial"/>
          <w:sz w:val="21"/>
          <w:szCs w:val="21"/>
        </w:rPr>
        <w:t>34</w:t>
      </w:r>
      <w:r>
        <w:rPr>
          <w:rFonts w:ascii="Arial" w:hAnsi="Arial" w:cs="Arial"/>
          <w:sz w:val="21"/>
          <w:szCs w:val="21"/>
        </w:rPr>
        <w:t>套，</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5,326.62</w:t>
      </w:r>
      <w:r>
        <w:rPr>
          <w:rFonts w:ascii="Arial" w:hAnsi="Arial" w:cs="Arial"/>
          <w:sz w:val="21"/>
          <w:szCs w:val="21"/>
        </w:rPr>
        <w:t>㎡，已取得预售未售部分货值为</w:t>
      </w:r>
      <w:r>
        <w:rPr>
          <w:rFonts w:hint="eastAsia" w:ascii="Arial" w:hAnsi="Arial" w:cs="Arial"/>
          <w:sz w:val="21"/>
          <w:szCs w:val="21"/>
        </w:rPr>
        <w:t>9,209.53</w:t>
      </w:r>
      <w:r>
        <w:rPr>
          <w:rFonts w:ascii="Arial" w:hAnsi="Arial" w:cs="Arial"/>
          <w:sz w:val="21"/>
          <w:szCs w:val="21"/>
        </w:rPr>
        <w:t>万元</w:t>
      </w:r>
      <w:r>
        <w:rPr>
          <w:rFonts w:hint="eastAsia" w:ascii="Arial" w:hAnsi="Arial" w:cs="Arial"/>
          <w:sz w:val="21"/>
          <w:szCs w:val="21"/>
        </w:rPr>
        <w:t>，未取得预售证部分</w:t>
      </w:r>
      <w:r>
        <w:rPr>
          <w:rFonts w:ascii="Arial" w:hAnsi="Arial" w:cs="Arial"/>
          <w:sz w:val="21"/>
          <w:szCs w:val="21"/>
        </w:rPr>
        <w:t>剩余货值为</w:t>
      </w:r>
      <w:r>
        <w:rPr>
          <w:rFonts w:hint="eastAsia" w:ascii="Arial" w:hAnsi="Arial" w:cs="Arial"/>
          <w:sz w:val="21"/>
          <w:szCs w:val="21"/>
        </w:rPr>
        <w:t>251,165.94</w:t>
      </w:r>
      <w:r>
        <w:rPr>
          <w:rFonts w:ascii="Arial" w:hAnsi="Arial" w:cs="Arial"/>
          <w:sz w:val="21"/>
          <w:szCs w:val="21"/>
        </w:rPr>
        <w:t>万元。</w:t>
      </w:r>
    </w:p>
    <w:p>
      <w:pPr>
        <w:pStyle w:val="8"/>
        <w:jc w:val="center"/>
        <w:rPr>
          <w:rFonts w:ascii="宋体" w:hAnsi="宋体" w:cs="宋体"/>
          <w:b/>
          <w:sz w:val="21"/>
          <w:szCs w:val="21"/>
        </w:rPr>
      </w:pPr>
      <w:r>
        <w:rPr>
          <w:rFonts w:hint="eastAsia" w:ascii="宋体" w:hAnsi="宋体" w:cs="宋体"/>
          <w:b/>
          <w:sz w:val="21"/>
          <w:szCs w:val="21"/>
        </w:rPr>
        <w:t>表六：动态货值情况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w:t>
            </w:r>
            <w:r>
              <w:rPr>
                <w:rFonts w:hint="eastAsia" w:ascii="Arial" w:hAnsi="Arial" w:cs="Arial"/>
                <w:color w:val="000000"/>
                <w:sz w:val="18"/>
                <w:szCs w:val="18"/>
              </w:rPr>
              <w:t>（不含车库）</w:t>
            </w:r>
            <w:r>
              <w:rPr>
                <w:rFonts w:ascii="Arial" w:hAnsi="Arial" w:cs="Arial"/>
                <w:color w:val="000000"/>
                <w:sz w:val="18"/>
                <w:szCs w:val="18"/>
              </w:rPr>
              <w:t>(A)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r>
              <w:rPr>
                <w:rFonts w:ascii="Arial" w:hAnsi="Arial" w:cs="Arial"/>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w:t>
            </w:r>
            <w:r>
              <w:rPr>
                <w:rFonts w:ascii="Arial" w:hAnsi="Arial" w:cs="Arial"/>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360,613.95</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100,238.48</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9,209.53</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251,165.94</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w:t>
            </w:r>
            <w:r>
              <w:rPr>
                <w:rFonts w:hint="eastAsia" w:ascii="宋体" w:hAnsi="宋体" w:cs="宋体"/>
                <w:color w:val="000000"/>
                <w:sz w:val="18"/>
                <w:szCs w:val="18"/>
                <w:lang w:bidi="ar"/>
              </w:rPr>
              <w:t>㎡</w:t>
            </w:r>
            <w:r>
              <w:rPr>
                <w:rFonts w:ascii="Arial" w:hAnsi="Arial" w:cs="Arial"/>
                <w:color w:val="000000"/>
                <w:sz w:val="18"/>
                <w:szCs w:val="18"/>
                <w:lang w:bidi="ar"/>
              </w:rPr>
              <w:t>）（不计算车库）</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w:t>
            </w:r>
            <w:r>
              <w:rPr>
                <w:rFonts w:hint="eastAsia" w:ascii="宋体" w:hAnsi="宋体" w:cs="宋体"/>
                <w:color w:val="000000"/>
                <w:sz w:val="18"/>
                <w:szCs w:val="18"/>
                <w:lang w:bidi="ar"/>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r>
              <w:rPr>
                <w:rFonts w:hint="eastAsia" w:ascii="宋体" w:hAnsi="宋体" w:cs="宋体"/>
                <w:color w:val="000000"/>
                <w:sz w:val="18"/>
                <w:szCs w:val="18"/>
                <w:lang w:bidi="ar"/>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r>
              <w:rPr>
                <w:rFonts w:hint="eastAsia" w:ascii="宋体" w:hAnsi="宋体" w:cs="宋体"/>
                <w:color w:val="000000"/>
                <w:sz w:val="18"/>
                <w:szCs w:val="18"/>
                <w:lang w:bidi="ar"/>
              </w:rPr>
              <w:t>（㎡）</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206,076.34</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58,300.80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5,326.62</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142,448.92</w:t>
            </w:r>
          </w:p>
        </w:tc>
      </w:tr>
    </w:tbl>
    <w:p>
      <w:pPr>
        <w:pStyle w:val="8"/>
        <w:rPr>
          <w:rFonts w:ascii="宋体" w:hAnsi="宋体" w:cs="宋体"/>
          <w:b/>
          <w:sz w:val="21"/>
          <w:szCs w:val="21"/>
        </w:rPr>
      </w:pPr>
    </w:p>
    <w:p>
      <w:pPr>
        <w:pStyle w:val="4"/>
        <w:rPr>
          <w:rFonts w:ascii="宋体" w:hAnsi="宋体" w:eastAsia="宋体"/>
          <w:sz w:val="21"/>
          <w:szCs w:val="21"/>
        </w:rPr>
      </w:pPr>
      <w:bookmarkStart w:id="7" w:name="_Toc23139"/>
      <w:r>
        <w:rPr>
          <w:rFonts w:hint="eastAsia" w:ascii="宋体" w:hAnsi="宋体" w:eastAsia="宋体"/>
          <w:sz w:val="21"/>
          <w:szCs w:val="21"/>
        </w:rPr>
        <w:t>七、项目银行账户情况</w:t>
      </w:r>
      <w:bookmarkEnd w:id="7"/>
    </w:p>
    <w:p>
      <w:pPr>
        <w:spacing w:line="360" w:lineRule="auto"/>
        <w:ind w:firstLine="420" w:firstLineChars="200"/>
        <w:rPr>
          <w:rFonts w:ascii="Arial" w:hAnsi="Arial" w:cs="Arial"/>
          <w:sz w:val="21"/>
          <w:szCs w:val="21"/>
        </w:rPr>
      </w:pPr>
      <w:r>
        <w:rPr>
          <w:rFonts w:hint="eastAsia" w:ascii="Arial" w:hAnsi="Arial" w:cs="Arial"/>
          <w:sz w:val="21"/>
          <w:szCs w:val="21"/>
        </w:rPr>
        <w:t>根据项目公司提供的余额表，截至2021年4月30日，项目公司资金账户余额359,322,591.00 元，其中可用资金余额191,100,369.61元，各账户余额见下表：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p>
    <w:tbl>
      <w:tblPr>
        <w:tblStyle w:val="17"/>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1175"/>
        <w:gridCol w:w="725"/>
        <w:gridCol w:w="1187"/>
        <w:gridCol w:w="900"/>
        <w:gridCol w:w="1075"/>
        <w:gridCol w:w="187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8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开户行</w:t>
            </w:r>
          </w:p>
        </w:tc>
        <w:tc>
          <w:tcPr>
            <w:tcW w:w="11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8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预留印鉴明细</w:t>
            </w:r>
          </w:p>
        </w:tc>
        <w:tc>
          <w:tcPr>
            <w:tcW w:w="9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是否开通网银</w:t>
            </w:r>
          </w:p>
        </w:tc>
        <w:tc>
          <w:tcPr>
            <w:tcW w:w="10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是否开通结算卡等其他功能</w:t>
            </w:r>
          </w:p>
        </w:tc>
        <w:tc>
          <w:tcPr>
            <w:tcW w:w="187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月末账户余额（元）</w:t>
            </w:r>
          </w:p>
        </w:tc>
        <w:tc>
          <w:tcPr>
            <w:tcW w:w="11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10544301040150760</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基本存款账户</w:t>
            </w:r>
          </w:p>
        </w:tc>
        <w:tc>
          <w:tcPr>
            <w:tcW w:w="1187"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公章、财务章、法人章</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58,101,483.10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申领未使用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30390188000212079</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1,200,459.92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江苏银行苏州盛泽支行774</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30390188000211774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专用账户还款准备金</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江苏银行苏州盛泽支行-贷款资金专用账户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30390188000211692</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113,750.00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江苏银行苏州盛泽支行513</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30390188000211513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专用账户销售资金监管</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108,169,769.75</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30390188000212407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168,222,221.39</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w:t>
            </w: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7</w:t>
            </w:r>
            <w:r>
              <w:rPr>
                <w:rFonts w:ascii="Arial" w:hAnsi="Arial" w:cs="Arial"/>
                <w:color w:val="000000"/>
                <w:sz w:val="18"/>
                <w:szCs w:val="18"/>
                <w:lang w:bidi="ar"/>
              </w:rPr>
              <w:t>#）</w:t>
            </w:r>
          </w:p>
        </w:tc>
        <w:tc>
          <w:tcPr>
            <w:tcW w:w="1175" w:type="dxa"/>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30390188000218457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中国银行苏州吴越支行一般户</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485875639157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3,320,610.42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中国工商银行盛泽舜湖支行</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110290004132704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结算卡（仅开通查询功能）</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20,194,296.42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5" w:type="dxa"/>
            <w:gridSpan w:val="7"/>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87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359,322,591.00 </w:t>
            </w:r>
            <w:r>
              <w:rPr>
                <w:rFonts w:ascii="Arial" w:hAnsi="Arial" w:cs="Arial"/>
                <w:color w:val="000000"/>
                <w:sz w:val="18"/>
                <w:szCs w:val="18"/>
                <w:lang w:bidi="ar"/>
              </w:rPr>
              <w:t xml:space="preserve"> </w:t>
            </w:r>
          </w:p>
        </w:tc>
        <w:tc>
          <w:tcPr>
            <w:tcW w:w="1168" w:type="dxa"/>
            <w:vAlign w:val="center"/>
          </w:tcPr>
          <w:p>
            <w:pPr>
              <w:jc w:val="center"/>
              <w:textAlignment w:val="center"/>
              <w:rPr>
                <w:rFonts w:ascii="Arial" w:hAnsi="Arial" w:cs="Arial"/>
                <w:color w:val="000000"/>
                <w:sz w:val="18"/>
                <w:szCs w:val="18"/>
                <w:lang w:bidi="ar"/>
              </w:rPr>
            </w:pPr>
          </w:p>
        </w:tc>
      </w:tr>
    </w:tbl>
    <w:p>
      <w:pPr>
        <w:ind w:firstLine="480" w:firstLineChars="200"/>
      </w:pPr>
    </w:p>
    <w:p>
      <w:pPr>
        <w:pStyle w:val="4"/>
        <w:rPr>
          <w:rFonts w:ascii="宋体" w:hAnsi="宋体" w:eastAsia="宋体"/>
          <w:sz w:val="21"/>
          <w:szCs w:val="21"/>
        </w:rPr>
      </w:pPr>
      <w:bookmarkStart w:id="8" w:name="_Toc13775"/>
      <w:r>
        <w:rPr>
          <w:rFonts w:hint="eastAsia" w:ascii="宋体" w:hAnsi="宋体" w:eastAsia="宋体"/>
          <w:sz w:val="21"/>
          <w:szCs w:val="21"/>
        </w:rPr>
        <w:t>八、资金收支情况</w:t>
      </w:r>
      <w:bookmarkEnd w:id="8"/>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4</w:t>
      </w:r>
      <w:r>
        <w:rPr>
          <w:rFonts w:ascii="Arial" w:hAnsi="Arial" w:cs="Arial"/>
          <w:bCs/>
          <w:sz w:val="21"/>
          <w:szCs w:val="21"/>
        </w:rPr>
        <w:t>月01日-2021年0</w:t>
      </w:r>
      <w:r>
        <w:rPr>
          <w:rFonts w:hint="eastAsia" w:ascii="Arial" w:hAnsi="Arial" w:cs="Arial"/>
          <w:bCs/>
          <w:sz w:val="21"/>
          <w:szCs w:val="21"/>
        </w:rPr>
        <w:t>4</w:t>
      </w:r>
      <w:r>
        <w:rPr>
          <w:rFonts w:ascii="Arial" w:hAnsi="Arial" w:cs="Arial"/>
          <w:bCs/>
          <w:sz w:val="21"/>
          <w:szCs w:val="21"/>
        </w:rPr>
        <w:t>月</w:t>
      </w:r>
      <w:r>
        <w:rPr>
          <w:rFonts w:hint="eastAsia" w:ascii="Arial" w:hAnsi="Arial" w:cs="Arial"/>
          <w:bCs/>
          <w:sz w:val="21"/>
          <w:szCs w:val="21"/>
        </w:rPr>
        <w:t>30</w:t>
      </w:r>
      <w:r>
        <w:rPr>
          <w:rFonts w:ascii="Arial" w:hAnsi="Arial" w:cs="Arial"/>
          <w:bCs/>
          <w:sz w:val="21"/>
          <w:szCs w:val="21"/>
        </w:rPr>
        <w:t>日期间，项目公司资金流入</w:t>
      </w:r>
      <w:r>
        <w:rPr>
          <w:rFonts w:hint="eastAsia" w:ascii="Arial" w:hAnsi="Arial" w:cs="Arial"/>
          <w:bCs/>
          <w:sz w:val="21"/>
          <w:szCs w:val="21"/>
        </w:rPr>
        <w:t>15,260.73</w:t>
      </w:r>
      <w:r>
        <w:rPr>
          <w:rFonts w:ascii="Arial" w:hAnsi="Arial" w:cs="Arial"/>
          <w:bCs/>
          <w:sz w:val="21"/>
          <w:szCs w:val="21"/>
        </w:rPr>
        <w:t>万元，具体明细如下：</w:t>
      </w:r>
    </w:p>
    <w:tbl>
      <w:tblPr>
        <w:tblStyle w:val="17"/>
        <w:tblW w:w="9910" w:type="dxa"/>
        <w:tblInd w:w="91" w:type="dxa"/>
        <w:tblLayout w:type="fixed"/>
        <w:tblCellMar>
          <w:top w:w="0" w:type="dxa"/>
          <w:left w:w="108" w:type="dxa"/>
          <w:bottom w:w="0" w:type="dxa"/>
          <w:right w:w="108" w:type="dxa"/>
        </w:tblCellMar>
      </w:tblPr>
      <w:tblGrid>
        <w:gridCol w:w="610"/>
        <w:gridCol w:w="1365"/>
        <w:gridCol w:w="1444"/>
        <w:gridCol w:w="1418"/>
        <w:gridCol w:w="1559"/>
        <w:gridCol w:w="3514"/>
      </w:tblGrid>
      <w:tr>
        <w:tblPrEx>
          <w:tblCellMar>
            <w:top w:w="0" w:type="dxa"/>
            <w:left w:w="108" w:type="dxa"/>
            <w:bottom w:w="0" w:type="dxa"/>
            <w:right w:w="108" w:type="dxa"/>
          </w:tblCellMar>
        </w:tblPrEx>
        <w:trPr>
          <w:trHeight w:val="227" w:hRule="atLeast"/>
          <w:tblHead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14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付款方</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款项类型</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金额（元）</w:t>
            </w:r>
          </w:p>
        </w:tc>
        <w:tc>
          <w:tcPr>
            <w:tcW w:w="3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1,672,492.00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1,799,000.00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1,839,000.00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苏坤建设（江苏）有限公司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786,583.00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浙江省地矿建设有限公司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1,160,000.00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苏州市吴江区医疗保障服务中心</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1,280,000.00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顾永林</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沈俊宇</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6,283,272.00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徐凤勤</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1,917,652.00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徐忠浩</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陈小红</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8,477,037.00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292,576.00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20,904,871.00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陆娟娟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周建惠</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19,187,296.00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苏州伟基集团有限公司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钱晓萍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766,234.00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22,445,324.00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常州市宝盾门业有限公司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江苏省金鑫安防设备有限公司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浙江三荣门业有限公司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徐菊芳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30,001,940.00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2021/4/25</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12,254,526.00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华鑫国际信托有限公司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18,541.67</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6,725,776.00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3,361,051.00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762,175.00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48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152,607,346.67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r>
    </w:tbl>
    <w:p>
      <w:pPr>
        <w:rPr>
          <w:rFonts w:ascii="宋体" w:hAnsi="宋体" w:cs="宋体"/>
          <w:b/>
          <w:sz w:val="21"/>
          <w:szCs w:val="21"/>
        </w:rPr>
      </w:pPr>
      <w:bookmarkStart w:id="9" w:name="_Hlk68015253"/>
    </w:p>
    <w:p>
      <w:pPr>
        <w:rPr>
          <w:rFonts w:ascii="宋体" w:hAnsi="宋体" w:cs="宋体"/>
          <w:b/>
          <w:sz w:val="21"/>
          <w:szCs w:val="21"/>
        </w:rPr>
      </w:pPr>
      <w:r>
        <w:rPr>
          <w:rFonts w:hint="eastAsia" w:ascii="宋体" w:hAnsi="宋体" w:cs="宋体"/>
          <w:b/>
          <w:sz w:val="21"/>
          <w:szCs w:val="21"/>
        </w:rPr>
        <w:t>8.2资金支出</w:t>
      </w:r>
    </w:p>
    <w:bookmarkEnd w:id="9"/>
    <w:p>
      <w:pPr>
        <w:spacing w:line="360" w:lineRule="auto"/>
        <w:rPr>
          <w:rFonts w:ascii="宋体" w:hAnsi="宋体" w:cs="宋体"/>
          <w:bCs/>
          <w:sz w:val="21"/>
          <w:szCs w:val="21"/>
        </w:rPr>
      </w:pPr>
      <w:r>
        <w:rPr>
          <w:rFonts w:hint="eastAsia" w:ascii="Arial" w:hAnsi="Arial" w:cs="Arial"/>
          <w:bCs/>
          <w:sz w:val="21"/>
          <w:szCs w:val="21"/>
        </w:rPr>
        <w:t>2021年04月01日-2021年04月30日期间，项目公司资金流出18,610.90万元，具体明细如下：</w:t>
      </w:r>
    </w:p>
    <w:tbl>
      <w:tblPr>
        <w:tblStyle w:val="17"/>
        <w:tblpPr w:leftFromText="180" w:rightFromText="180" w:vertAnchor="text" w:horzAnchor="page" w:tblpX="619" w:tblpY="242"/>
        <w:tblOverlap w:val="never"/>
        <w:tblW w:w="10666" w:type="dxa"/>
        <w:tblInd w:w="0" w:type="dxa"/>
        <w:tblLayout w:type="fixed"/>
        <w:tblCellMar>
          <w:top w:w="0" w:type="dxa"/>
          <w:left w:w="108" w:type="dxa"/>
          <w:bottom w:w="0" w:type="dxa"/>
          <w:right w:w="108" w:type="dxa"/>
        </w:tblCellMar>
      </w:tblPr>
      <w:tblGrid>
        <w:gridCol w:w="564"/>
        <w:gridCol w:w="1082"/>
        <w:gridCol w:w="1297"/>
        <w:gridCol w:w="1499"/>
        <w:gridCol w:w="1522"/>
        <w:gridCol w:w="1950"/>
        <w:gridCol w:w="953"/>
        <w:gridCol w:w="1232"/>
        <w:gridCol w:w="567"/>
      </w:tblGrid>
      <w:tr>
        <w:tblPrEx>
          <w:tblCellMar>
            <w:top w:w="0" w:type="dxa"/>
            <w:left w:w="108" w:type="dxa"/>
            <w:bottom w:w="0" w:type="dxa"/>
            <w:right w:w="108" w:type="dxa"/>
          </w:tblCellMar>
        </w:tblPrEx>
        <w:trPr>
          <w:cantSplit/>
          <w:trHeight w:val="198" w:hRule="atLeast"/>
          <w:tblHeader/>
        </w:trPr>
        <w:tc>
          <w:tcPr>
            <w:tcW w:w="5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支付时间</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收款方</w:t>
            </w:r>
          </w:p>
        </w:tc>
        <w:tc>
          <w:tcPr>
            <w:tcW w:w="14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资金用途</w:t>
            </w:r>
          </w:p>
        </w:tc>
        <w:tc>
          <w:tcPr>
            <w:tcW w:w="152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金额（元）</w:t>
            </w:r>
          </w:p>
        </w:tc>
        <w:tc>
          <w:tcPr>
            <w:tcW w:w="19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出款行</w:t>
            </w:r>
          </w:p>
        </w:tc>
        <w:tc>
          <w:tcPr>
            <w:tcW w:w="95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用款类型</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委托方审批方式</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个人所得税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72,429.14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电信费用（自动扣款）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批量扣税请求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17,005.75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浙江长成建筑装饰工程有限公司（农民工工资专用）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793"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短信费（自动扣款）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5,602,194.66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2,354,140.43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47.08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国网江苏省电力有限公司苏州供电分公司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售楼处预存电费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营销人员工资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535,899.92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管理人员工资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901,803.19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62,617.20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71,197.54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2,784.59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郑全智报销差旅费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苏州冠之美办公家具有限公司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档案密集柜拆装费用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苏州工业园区顺丰速运有限公司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3月份快递费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潘劲松</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报销2021年第一季度交通费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761.33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报销崔总中层训练营培训费用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苏州市天佳办公设备有限公司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复印机租赁费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酒水采购</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9,359.97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4.1-4.9晋合工作餐</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报销3月份晋合水果费用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苏州翔丰酒店管理有限公司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盛泽食堂费用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36,771.00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保洁服务费（2.25-3.24）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苏州天锦信息科技有限公司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网络通讯费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怡合置业（苏州）有限公司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晋合广场办公室租赁费用（5.1-7.31）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226,801.20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上海伦伟实业有限公司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报销笔记版电脑采购费用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晋合广场电费（2.21-3.30）</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1,342.60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报销加油卡充值</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报销商务车维修保养费等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报销交通费及招待费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792.88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报销0324-0331晋合工作餐费用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苏州花满园园艺有限公司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绿植租摆费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报销午餐费、打车费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报销车位费、停车费等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报销1-3月份图文打印费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2,121.36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报销员工福利费（入职周年纪念品）费用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2,853.59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苏州捷奥广告有限公司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设计制作费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3,614.76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宋雪莉</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报销汽车维修保养费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尤晶晶</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报销业务招待费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报销盛泽项目家宴费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盛泽项目售楼处礼品堆头及美陈制作费用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17,468.80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盛泽项目2月份户外大牌画面制作安装费用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盛泽项目天铂围挡画面更换制作合同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苏州工业园区金钥匙贸易有限公司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盛泽项目3月物业物资采购费用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9,947.30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上海红观广告有限公司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2020年全案企划推广及销售顾问整合服务合同款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姑苏区永誉工艺品商行</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盛泽项目抽奖礼品采购合同款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72,475.20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苏州红星品唯物业管理有限公司吴江分公司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2020年示范区物业服务协议</w:t>
            </w:r>
            <w:r>
              <w:rPr>
                <w:rFonts w:ascii="Arial" w:hAnsi="Arial" w:cs="Arial"/>
                <w:color w:val="000000"/>
                <w:sz w:val="18"/>
                <w:szCs w:val="18"/>
                <w:lang w:bidi="ar"/>
              </w:rPr>
              <w:br w:type="textWrapping"/>
            </w:r>
            <w:r>
              <w:rPr>
                <w:rFonts w:ascii="Arial" w:hAnsi="Arial" w:cs="Arial"/>
                <w:color w:val="000000"/>
                <w:sz w:val="18"/>
                <w:szCs w:val="18"/>
                <w:lang w:bidi="ar"/>
              </w:rPr>
              <w:t>2021年2月月费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218,438.51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盛泽项目天铂转角大牌、桁架、软膜、亚克力制作合同款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66,062.00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盛泽项目盛泽户外广告投放合同款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盛泽项目楼书印刷合同</w:t>
            </w:r>
            <w:r>
              <w:rPr>
                <w:rFonts w:ascii="Arial" w:hAnsi="Arial" w:cs="Arial"/>
                <w:color w:val="000000"/>
                <w:sz w:val="18"/>
                <w:szCs w:val="18"/>
                <w:lang w:bidi="ar"/>
              </w:rPr>
              <w:br w:type="textWrapping"/>
            </w:r>
            <w:r>
              <w:rPr>
                <w:rFonts w:ascii="Arial" w:hAnsi="Arial" w:cs="Arial"/>
                <w:color w:val="000000"/>
                <w:sz w:val="18"/>
                <w:szCs w:val="18"/>
                <w:lang w:bidi="ar"/>
              </w:rPr>
              <w:t>第二笔付款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37,400.00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盛泽项目2021年3月渠道及大客户礼品（定制笔记本礼盒）采购合同款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泽项目2-3月份零星物料制作安装费用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盛泽天铂物业临时规约印刷制作费用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苏州锐利文化传播有限公司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盛泽项目年货大街服务费用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盛泽项目饼干烘焙暖场活动费用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盛泽项目三八妇女节口红DIY活动费用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盛泽项目亲子木糠杯DIY两场活动费用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苏州卷卷文化传播有限公司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盛泽项目业主拍摄形象照费用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盛泽项目制作物料（展架、易拉宝）合同第二笔付款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盛泽项目户外广告画面更换合同款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34,962.00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无锡精一准信息科技有限公司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盛泽项目手机霸屏发送服务合同款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盛泽项目小荧星舞蹈演出活动费用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苏州市高新区诺艺琴韵文化产业有限公司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盛泽项目绸都丽人活动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苏州市盛溢民防建设工程有限公司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江苏城威人防设备有限公司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杭州天水环境工程有限公司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售楼处泳池分包工程结算款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上海颐玖贰壹设计装饰工程有限公司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盛泽售楼处精装修硬装设计合同款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科顺防水科技股份有限公司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盛泽项目一期防水材料采购合同款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631,684.73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王忠兰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（8-503）退房款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成都赛肯思创享生活景观设计股份有限公司上海分公司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1号地块住宅项目景观设计及顾问服务合同款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成都赛肯思创享生活景观设计股份有限公司上海分公司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2号地块住宅项目景观设计及顾问服务合同款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137,134.00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南京兴华建筑设计研究院股份有限公司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1号地块住宅项目人防工程-人防设计合同款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53,493.75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上海原构设计咨询有限公司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1号地块住宅项目建筑方案及顾问服务设计合同款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上海原构设计咨询有限公司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2号地块住宅项目建筑施工图设计合同款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报销加班误餐费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上海红星美凯龙商业发展有限公司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总部服务费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1,590,000.00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上海红星美凯龙房地产集团有限公司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总部服务费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3,975,000.00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重庆红星美凯龙企业发展有限公司上海分公司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品牌使用费2%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7,845,151.35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426.76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1,948,827.52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增值税附加</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233,859.31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土地增值税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1,532,453.88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土地使用税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127,175.34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印花税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141,027.10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房产税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86,305.25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环保税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25,992.25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工会经费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90,175.22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苏州市住房公积金管理中心</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员工公积金扣款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报销业务招待费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2,037.50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2,928.00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报销一季度费用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报销网络安装及路由器采购费用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5,233.99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报销房屋租赁费用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报销房屋租赁费用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18,400.00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苏州市吴江区规划技术服务有限公司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盛泽1号地块规划变更日照分析合同款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111.87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799.99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1,015.75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苏州凯润置业有限公司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16,955.25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报销家具搬运费用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报销员工宿舍房租税金费用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917.27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1,506.60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报销财务审计住宿费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16,680.00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苏州环湖酒店管理有限公司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报员工住宿费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报员工住宿费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苏州市民卡有限公司客户备付金</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五一员工福利费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苏州建通汽车销售服务有限公司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公务车车辆采购费用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color w:val="000000"/>
                <w:sz w:val="18"/>
                <w:szCs w:val="18"/>
                <w:lang w:bidi="ar"/>
              </w:rPr>
            </w:pPr>
            <w:r>
              <w:rPr>
                <w:rFonts w:ascii="Arial" w:hAnsi="Arial" w:cs="Arial"/>
                <w:color w:val="000000"/>
                <w:sz w:val="18"/>
                <w:szCs w:val="18"/>
                <w:lang w:bidi="ar"/>
              </w:rPr>
              <w:t>153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color w:val="000000"/>
                <w:sz w:val="18"/>
                <w:szCs w:val="18"/>
              </w:rPr>
            </w:pPr>
            <w:r>
              <w:rPr>
                <w:rFonts w:ascii="Arial" w:hAnsi="Arial" w:cs="Arial"/>
                <w:color w:val="000000"/>
                <w:sz w:val="18"/>
                <w:szCs w:val="18"/>
                <w:lang w:bidi="ar"/>
              </w:rPr>
              <w:t>440.00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27.50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中国太平洋财产保险股份有限公司苏州分公司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商务车车辆保险费用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5,070.49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22,734.51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440.00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2021/4/24</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周冲</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报销商务车停车费用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816.38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朱益群</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报销张宇结婚津贴费用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报销行政部门团建费用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3,672.00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尤晶晶</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2,759.00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苏州舜合房产经纪有限公司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180,000.00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苏州全屋不动产经纪有限公司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58,351.33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苏州盛家泽房产经纪有限公司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29,175.67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苏州吴江鼎好不动产经纪有限公司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苏州市龙家房地产营销策划有限公司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29,175.67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2021年3月木糠杯DIY活动费用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4,700.00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苏州顺驰文化传媒有限公司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2021年4月落位客户回访礼采购款1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苏州顺驰文化传媒有限公司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2021年4月无人机套装采购费用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吴江区松陵镇小精灵艺术传播工作室</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2021年4月掼蛋比赛活动费用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苏州建创广告传媒有限公司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2021年3月加油站广告投放合同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魅力女性插花DIY活动费用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魅力女性插花DIY活动费用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2021年3月广告（道闸、商超电梯）投放合同款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86,000.00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苏州永传广告有限公司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2021年3月乡镇横幅户外广告投放合同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184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财智账户卡普通款年费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工商银行盛泽舜湖支行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潘锦山</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384.00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苏州酝盈正元名饮商贸有限公司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3,100.00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9,359.97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苏州瑞富泉贸易有限公司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14,280.00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hint="eastAsia" w:ascii="Arial" w:hAnsi="Arial" w:cs="Arial"/>
                <w:color w:val="000000"/>
                <w:sz w:val="18"/>
                <w:szCs w:val="18"/>
                <w:lang w:bidi="ar"/>
              </w:rPr>
              <w:t>90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苏州酝盈正元名饮商贸有限公司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8,210.00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上海正儒企业发展有限公司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售楼处铜门分包工程款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19,065.20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苏州隆沣房地产营销策划有限公司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85,796.75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上海洛翊企业管理有限公司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150,000,000.00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吴江华衍建筑工程安装有限公司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盛泽项目（南区）临时供水付款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110,809.35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朱丽婷</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5,542.24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犀鲸实业（上海）有限公司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示范区雕塑设计制作及安装分包工程款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37,500.00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扣收对公账户银行询证函费用.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扣收询证函快递费手续费.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444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b/>
                <w:bCs/>
                <w:color w:val="000000"/>
                <w:sz w:val="18"/>
                <w:szCs w:val="18"/>
                <w:lang w:bidi="ar"/>
              </w:rPr>
              <w:t>合计</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b/>
                <w:bCs/>
                <w:color w:val="000000"/>
                <w:sz w:val="18"/>
                <w:szCs w:val="18"/>
                <w:lang w:bidi="ar"/>
              </w:rPr>
              <w:t>186,109,035.78</w:t>
            </w:r>
            <w:r>
              <w:rPr>
                <w:rFonts w:ascii="Arial" w:hAnsi="Arial" w:cs="Arial"/>
                <w:color w:val="000000"/>
                <w:sz w:val="18"/>
                <w:szCs w:val="18"/>
                <w:lang w:bidi="ar"/>
              </w:rPr>
              <w:t xml:space="preserve">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ind w:firstLine="420" w:firstLineChars="200"/>
        <w:rPr>
          <w:rFonts w:ascii="宋体" w:hAnsi="宋体" w:cs="宋体"/>
          <w:bCs/>
          <w:sz w:val="21"/>
          <w:szCs w:val="21"/>
        </w:rPr>
      </w:pPr>
    </w:p>
    <w:p>
      <w:pPr>
        <w:ind w:firstLine="420" w:firstLineChars="200"/>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宋体" w:hAnsi="宋体" w:cs="宋体"/>
          <w:b/>
          <w:sz w:val="21"/>
          <w:szCs w:val="21"/>
        </w:rPr>
      </w:pPr>
      <w:r>
        <w:rPr>
          <w:rFonts w:ascii="Arial" w:hAnsi="Arial" w:cs="Arial"/>
          <w:bCs/>
          <w:sz w:val="21"/>
          <w:szCs w:val="21"/>
        </w:rPr>
        <w:t>截至2021年0</w:t>
      </w:r>
      <w:r>
        <w:rPr>
          <w:rFonts w:hint="eastAsia" w:ascii="Arial" w:hAnsi="Arial" w:cs="Arial"/>
          <w:bCs/>
          <w:sz w:val="21"/>
          <w:szCs w:val="21"/>
        </w:rPr>
        <w:t>4</w:t>
      </w:r>
      <w:r>
        <w:rPr>
          <w:rFonts w:ascii="Arial" w:hAnsi="Arial" w:cs="Arial"/>
          <w:bCs/>
          <w:sz w:val="21"/>
          <w:szCs w:val="21"/>
        </w:rPr>
        <w:t>月，本项目累计收入</w:t>
      </w:r>
      <w:r>
        <w:rPr>
          <w:rFonts w:hint="eastAsia" w:ascii="Arial" w:hAnsi="Arial" w:cs="Arial"/>
          <w:bCs/>
          <w:sz w:val="21"/>
          <w:szCs w:val="21"/>
        </w:rPr>
        <w:t>65,453.54</w:t>
      </w:r>
      <w:r>
        <w:rPr>
          <w:rFonts w:ascii="Arial" w:hAnsi="Arial" w:cs="Arial"/>
          <w:bCs/>
          <w:sz w:val="21"/>
          <w:szCs w:val="21"/>
        </w:rPr>
        <w:t>万元，累计支出17</w:t>
      </w:r>
      <w:r>
        <w:rPr>
          <w:rFonts w:hint="eastAsia" w:ascii="Arial" w:hAnsi="Arial" w:cs="Arial"/>
          <w:bCs/>
          <w:sz w:val="21"/>
          <w:szCs w:val="21"/>
        </w:rPr>
        <w:t>6,508.28</w:t>
      </w:r>
      <w:r>
        <w:rPr>
          <w:rFonts w:ascii="Arial" w:hAnsi="Arial" w:cs="Arial"/>
          <w:bCs/>
          <w:sz w:val="21"/>
          <w:szCs w:val="21"/>
        </w:rPr>
        <w:t>万元，资金平衡情况见下表：</w:t>
      </w:r>
    </w:p>
    <w:p>
      <w:pPr>
        <w:ind w:firstLine="420" w:firstLineChars="200"/>
        <w:rPr>
          <w:rFonts w:hint="eastAsia" w:ascii="宋体" w:hAnsi="宋体" w:eastAsia="宋体" w:cs="宋体"/>
          <w:b/>
          <w:sz w:val="21"/>
          <w:szCs w:val="21"/>
          <w:lang w:eastAsia="zh-CN"/>
        </w:rPr>
      </w:pPr>
      <w:r>
        <w:rPr>
          <w:rFonts w:hint="eastAsia" w:ascii="宋体" w:hAnsi="宋体" w:cs="宋体"/>
          <w:b/>
          <w:sz w:val="21"/>
          <w:szCs w:val="21"/>
        </w:rPr>
        <w:t>表九：资金平衡情况</w:t>
      </w:r>
    </w:p>
    <w:tbl>
      <w:tblPr>
        <w:tblStyle w:val="17"/>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946"/>
        <w:gridCol w:w="1789"/>
        <w:gridCol w:w="206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1528" w:type="dxa"/>
            <w:vMerge w:val="restart"/>
            <w:shd w:val="clear" w:color="auto" w:fill="auto"/>
            <w:vAlign w:val="center"/>
          </w:tcPr>
          <w:p>
            <w:pPr>
              <w:jc w:val="center"/>
              <w:rPr>
                <w:rFonts w:ascii="Arial" w:hAnsi="Arial" w:cs="Arial"/>
                <w:b/>
                <w:bCs/>
                <w:color w:val="000000"/>
                <w:sz w:val="18"/>
                <w:szCs w:val="18"/>
              </w:rPr>
            </w:pPr>
          </w:p>
        </w:tc>
        <w:tc>
          <w:tcPr>
            <w:tcW w:w="1946"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(元）</w:t>
            </w:r>
          </w:p>
        </w:tc>
        <w:tc>
          <w:tcPr>
            <w:tcW w:w="1789"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本月资金实际(元）</w:t>
            </w:r>
          </w:p>
        </w:tc>
        <w:tc>
          <w:tcPr>
            <w:tcW w:w="2068"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本年资金实际(元）</w:t>
            </w:r>
          </w:p>
        </w:tc>
        <w:tc>
          <w:tcPr>
            <w:tcW w:w="1714"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累计资金实际(截至2021.04月）</w:t>
            </w:r>
          </w:p>
          <w:p>
            <w:pPr>
              <w:jc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528" w:type="dxa"/>
            <w:vMerge w:val="continue"/>
            <w:vAlign w:val="center"/>
          </w:tcPr>
          <w:p>
            <w:pPr>
              <w:jc w:val="center"/>
              <w:rPr>
                <w:rFonts w:ascii="Arial" w:hAnsi="Arial" w:cs="Arial"/>
                <w:b/>
                <w:bCs/>
                <w:color w:val="000000"/>
                <w:sz w:val="18"/>
                <w:szCs w:val="18"/>
              </w:rPr>
            </w:pPr>
          </w:p>
        </w:tc>
        <w:tc>
          <w:tcPr>
            <w:tcW w:w="1946" w:type="dxa"/>
            <w:vMerge w:val="continue"/>
            <w:vAlign w:val="center"/>
          </w:tcPr>
          <w:p>
            <w:pPr>
              <w:jc w:val="center"/>
              <w:rPr>
                <w:rFonts w:ascii="Arial" w:hAnsi="Arial" w:cs="Arial"/>
                <w:b/>
                <w:bCs/>
                <w:color w:val="000000"/>
                <w:sz w:val="18"/>
                <w:szCs w:val="18"/>
              </w:rPr>
            </w:pPr>
          </w:p>
        </w:tc>
        <w:tc>
          <w:tcPr>
            <w:tcW w:w="1789" w:type="dxa"/>
            <w:vMerge w:val="continue"/>
            <w:vAlign w:val="center"/>
          </w:tcPr>
          <w:p>
            <w:pPr>
              <w:jc w:val="center"/>
              <w:rPr>
                <w:rFonts w:ascii="Arial" w:hAnsi="Arial" w:cs="Arial"/>
                <w:b/>
                <w:bCs/>
                <w:color w:val="000000"/>
                <w:sz w:val="18"/>
                <w:szCs w:val="18"/>
              </w:rPr>
            </w:pPr>
          </w:p>
        </w:tc>
        <w:tc>
          <w:tcPr>
            <w:tcW w:w="2068" w:type="dxa"/>
            <w:vMerge w:val="continue"/>
            <w:vAlign w:val="center"/>
          </w:tcPr>
          <w:p>
            <w:pPr>
              <w:jc w:val="center"/>
              <w:rPr>
                <w:rFonts w:ascii="Arial" w:hAnsi="Arial" w:cs="Arial"/>
                <w:b/>
                <w:bCs/>
                <w:color w:val="000000"/>
                <w:sz w:val="18"/>
                <w:szCs w:val="18"/>
              </w:rPr>
            </w:pPr>
          </w:p>
        </w:tc>
        <w:tc>
          <w:tcPr>
            <w:tcW w:w="1714" w:type="dxa"/>
            <w:vMerge w:val="continue"/>
            <w:vAlign w:val="center"/>
          </w:tcPr>
          <w:p>
            <w:pPr>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1946" w:type="dxa"/>
            <w:shd w:val="clear" w:color="auto" w:fill="auto"/>
            <w:vAlign w:val="center"/>
          </w:tcPr>
          <w:p>
            <w:pPr>
              <w:jc w:val="center"/>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销售回款</w:t>
            </w:r>
          </w:p>
        </w:tc>
        <w:tc>
          <w:tcPr>
            <w:tcW w:w="194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3,761,571,000.00</w:t>
            </w:r>
          </w:p>
        </w:tc>
        <w:tc>
          <w:tcPr>
            <w:tcW w:w="178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152,136,805.00 </w:t>
            </w:r>
          </w:p>
        </w:tc>
        <w:tc>
          <w:tcPr>
            <w:tcW w:w="2068"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542,748,968.00 </w:t>
            </w:r>
          </w:p>
        </w:tc>
        <w:tc>
          <w:tcPr>
            <w:tcW w:w="1714"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654,535,385.00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其他收入</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470,541.67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1,360,280.08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4,638,639.47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3,761,571,000.00</w:t>
            </w:r>
          </w:p>
        </w:tc>
        <w:tc>
          <w:tcPr>
            <w:tcW w:w="1789"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152,607,346.67 </w:t>
            </w:r>
          </w:p>
        </w:tc>
        <w:tc>
          <w:tcPr>
            <w:tcW w:w="2068"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544,109,248.08 </w:t>
            </w:r>
          </w:p>
        </w:tc>
        <w:tc>
          <w:tcPr>
            <w:tcW w:w="1714"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659,174,024.47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1946" w:type="dxa"/>
            <w:shd w:val="clear" w:color="auto" w:fill="auto"/>
            <w:vAlign w:val="center"/>
          </w:tcPr>
          <w:p>
            <w:pPr>
              <w:jc w:val="right"/>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b/>
                <w:bCs/>
                <w:color w:val="000000"/>
                <w:sz w:val="18"/>
                <w:szCs w:val="18"/>
              </w:rPr>
            </w:pPr>
            <w:r>
              <w:rPr>
                <w:rFonts w:ascii="Arial" w:hAnsi="Arial" w:cs="Arial"/>
                <w:color w:val="000000"/>
                <w:sz w:val="18"/>
                <w:szCs w:val="18"/>
                <w:lang w:bidi="ar"/>
              </w:rPr>
              <w:t>土地费用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1,617,303,300.00</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1,537,730,276.89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3,502,169.10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13,334,480.04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18,886,940.92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9,974,585.02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60,614,304.47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106,182,072.72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2,562,661.15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11,288,590.24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13,514,774.65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15,364,932.36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19,205,364.61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20,221,787.51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6,702.88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11,863,687.38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38,063,918.60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262,656,325.23</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4,297,985.27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27,211,446.47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27,408,073.13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其他支出</w:t>
            </w:r>
          </w:p>
        </w:tc>
        <w:tc>
          <w:tcPr>
            <w:tcW w:w="1946" w:type="dxa"/>
            <w:shd w:val="clear" w:color="auto" w:fill="auto"/>
            <w:vAlign w:val="center"/>
          </w:tcPr>
          <w:p>
            <w:pPr>
              <w:jc w:val="right"/>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695,000.00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3,075,000.00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3,435,198,225.23</w:t>
            </w:r>
          </w:p>
        </w:tc>
        <w:tc>
          <w:tcPr>
            <w:tcW w:w="178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36,109,035.78 </w:t>
            </w:r>
          </w:p>
        </w:tc>
        <w:tc>
          <w:tcPr>
            <w:tcW w:w="2068"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144,212,873.21 </w:t>
            </w:r>
          </w:p>
        </w:tc>
        <w:tc>
          <w:tcPr>
            <w:tcW w:w="1714"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1,765,082,844.42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326,372,774.77</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116,498,310.89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399,896,374.87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-1,105,908,819.95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300,000,780.00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2,079,699,262.18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内部往来流出</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150,000,000.00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753,300,000.00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1,414,467,851.23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外部融资款流出</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净现金流量</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-33,501,689.11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246,597,154.87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359,322,591.00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期初余额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392,824,280.11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112,725,436.13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期末余额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kern w:val="2"/>
                <w:sz w:val="18"/>
                <w:szCs w:val="18"/>
              </w:rPr>
            </w:pPr>
            <w:r>
              <w:rPr>
                <w:rFonts w:ascii="Arial" w:hAnsi="Arial" w:cs="Arial"/>
                <w:b/>
                <w:bCs/>
                <w:color w:val="000000"/>
                <w:sz w:val="18"/>
                <w:szCs w:val="18"/>
                <w:lang w:bidi="ar"/>
              </w:rPr>
              <w:t xml:space="preserve">359,322,591.00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359,322,591.00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359,322,591.00 </w:t>
            </w:r>
          </w:p>
        </w:tc>
      </w:tr>
    </w:tbl>
    <w:p>
      <w:pPr>
        <w:pStyle w:val="7"/>
        <w:ind w:firstLine="0" w:firstLineChars="0"/>
      </w:pPr>
    </w:p>
    <w:p>
      <w:pPr>
        <w:pStyle w:val="4"/>
        <w:numPr>
          <w:ilvl w:val="0"/>
          <w:numId w:val="2"/>
        </w:numPr>
        <w:rPr>
          <w:rFonts w:ascii="宋体" w:hAnsi="宋体" w:eastAsia="宋体"/>
          <w:sz w:val="21"/>
          <w:szCs w:val="21"/>
        </w:rPr>
      </w:pPr>
      <w:bookmarkStart w:id="10" w:name="_Toc17727"/>
      <w:r>
        <w:rPr>
          <w:rFonts w:hint="eastAsia" w:ascii="宋体" w:hAnsi="宋体" w:eastAsia="宋体"/>
          <w:sz w:val="21"/>
          <w:szCs w:val="21"/>
        </w:rPr>
        <w:t>项目开发贷及其他融资情况</w:t>
      </w:r>
      <w:bookmarkEnd w:id="10"/>
    </w:p>
    <w:p>
      <w:pPr>
        <w:spacing w:line="360" w:lineRule="auto"/>
        <w:ind w:firstLine="480" w:firstLineChars="200"/>
        <w:jc w:val="both"/>
        <w:rPr>
          <w:rFonts w:ascii="Arial" w:hAnsi="Arial" w:cs="Arial"/>
          <w:color w:val="000000"/>
          <w:sz w:val="21"/>
          <w:szCs w:val="21"/>
        </w:rPr>
      </w:pPr>
      <w:r>
        <w:rPr>
          <w:rFonts w:hint="eastAsia"/>
        </w:rPr>
        <w:t xml:space="preserve"> </w:t>
      </w:r>
      <w:r>
        <w:rPr>
          <w:rFonts w:ascii="Arial" w:hAnsi="Arial" w:cs="Arial"/>
          <w:color w:val="000000"/>
          <w:sz w:val="21"/>
          <w:szCs w:val="21"/>
        </w:rPr>
        <w:t>项目公司于2020年12月16日与江苏银行签订开发贷合同，项目公司自愿将苏（2020）苏州市吴江区不动产权第9032627号、苏（2020）苏州市吴江区不动产权第9032632号作为抵押物向江苏银行申请开发贷，贷款总金额不超过15亿元，分批次放款，于2020年12月24日放款5亿元，2021年1月22日放款3亿元，本月未发生开发贷放款，本月支付开发贷2021年第一季度利息费用1184.17万元。截至本月，项目未发生商业承兑以及商业保理等形式的融资。</w:t>
      </w:r>
    </w:p>
    <w:p>
      <w:pPr>
        <w:ind w:left="420"/>
        <w:rPr>
          <w:rFonts w:ascii="Arial" w:hAnsi="Arial" w:cs="Arial"/>
          <w:color w:val="000000"/>
        </w:rPr>
      </w:pPr>
    </w:p>
    <w:p>
      <w:pPr>
        <w:ind w:left="420"/>
        <w:rPr>
          <w:rFonts w:ascii="宋体" w:hAnsi="宋体" w:cs="宋体"/>
          <w:b/>
          <w:sz w:val="21"/>
          <w:szCs w:val="21"/>
        </w:rPr>
      </w:pPr>
      <w:r>
        <w:rPr>
          <w:rFonts w:hint="eastAsia" w:ascii="宋体" w:hAnsi="宋体" w:cs="宋体"/>
          <w:b/>
          <w:sz w:val="21"/>
          <w:szCs w:val="21"/>
        </w:rPr>
        <w:t>表十：开发贷款情况</w:t>
      </w:r>
    </w:p>
    <w:tbl>
      <w:tblPr>
        <w:tblStyle w:val="17"/>
        <w:tblW w:w="10821" w:type="dxa"/>
        <w:tblInd w:w="-519" w:type="dxa"/>
        <w:tblLayout w:type="fixed"/>
        <w:tblCellMar>
          <w:top w:w="0" w:type="dxa"/>
          <w:left w:w="108" w:type="dxa"/>
          <w:bottom w:w="0" w:type="dxa"/>
          <w:right w:w="108" w:type="dxa"/>
        </w:tblCellMar>
      </w:tblPr>
      <w:tblGrid>
        <w:gridCol w:w="381"/>
        <w:gridCol w:w="615"/>
        <w:gridCol w:w="690"/>
        <w:gridCol w:w="1995"/>
        <w:gridCol w:w="1170"/>
        <w:gridCol w:w="510"/>
        <w:gridCol w:w="720"/>
        <w:gridCol w:w="630"/>
        <w:gridCol w:w="615"/>
        <w:gridCol w:w="810"/>
        <w:gridCol w:w="1320"/>
        <w:gridCol w:w="1365"/>
      </w:tblGrid>
      <w:tr>
        <w:tblPrEx>
          <w:tblCellMar>
            <w:top w:w="0" w:type="dxa"/>
            <w:left w:w="108" w:type="dxa"/>
            <w:bottom w:w="0" w:type="dxa"/>
            <w:right w:w="108" w:type="dxa"/>
          </w:tblCellMar>
        </w:tblPrEx>
        <w:trPr>
          <w:trHeight w:val="280" w:hRule="atLeast"/>
        </w:trPr>
        <w:tc>
          <w:tcPr>
            <w:tcW w:w="38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6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授信金额</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期限（贷款起始日与贷款到期日）</w:t>
            </w:r>
          </w:p>
        </w:tc>
        <w:tc>
          <w:tcPr>
            <w:tcW w:w="5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截止月初贷款余额</w:t>
            </w:r>
          </w:p>
        </w:tc>
        <w:tc>
          <w:tcPr>
            <w:tcW w:w="63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本月提款金额</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本月还款金额</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截止月末贷款余额</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本月付息金额</w:t>
            </w:r>
          </w:p>
        </w:tc>
        <w:tc>
          <w:tcPr>
            <w:tcW w:w="1365"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累计付息金额</w:t>
            </w:r>
          </w:p>
        </w:tc>
      </w:tr>
      <w:tr>
        <w:tblPrEx>
          <w:tblCellMar>
            <w:top w:w="0" w:type="dxa"/>
            <w:left w:w="108" w:type="dxa"/>
            <w:bottom w:w="0" w:type="dxa"/>
            <w:right w:w="108" w:type="dxa"/>
          </w:tblCellMar>
        </w:tblPrEx>
        <w:trPr>
          <w:trHeight w:val="280" w:hRule="atLeast"/>
        </w:trPr>
        <w:tc>
          <w:tcPr>
            <w:tcW w:w="38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61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江苏银行</w:t>
            </w:r>
            <w:r>
              <w:rPr>
                <w:rFonts w:hint="eastAsia" w:ascii="Arial" w:hAnsi="Arial" w:cs="Arial"/>
                <w:color w:val="000000"/>
                <w:sz w:val="18"/>
                <w:szCs w:val="18"/>
              </w:rPr>
              <w:t>盛泽支行</w:t>
            </w:r>
          </w:p>
        </w:tc>
        <w:tc>
          <w:tcPr>
            <w:tcW w:w="69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不超15亿元</w:t>
            </w:r>
          </w:p>
        </w:tc>
        <w:tc>
          <w:tcPr>
            <w:tcW w:w="199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苏（2020）苏州市吴江区不动产权第9032627号地块、苏（2020）苏州市吴江区不动产权第9032632号地块</w:t>
            </w:r>
          </w:p>
        </w:tc>
        <w:tc>
          <w:tcPr>
            <w:tcW w:w="117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年</w:t>
            </w:r>
            <w:r>
              <w:rPr>
                <w:rFonts w:ascii="Arial" w:hAnsi="Arial" w:cs="Arial"/>
                <w:color w:val="000000"/>
                <w:sz w:val="18"/>
                <w:szCs w:val="18"/>
              </w:rPr>
              <w:t>12月24日-2023年4月27日</w:t>
            </w:r>
          </w:p>
        </w:tc>
        <w:tc>
          <w:tcPr>
            <w:tcW w:w="5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9%</w:t>
            </w:r>
          </w:p>
        </w:tc>
        <w:tc>
          <w:tcPr>
            <w:tcW w:w="7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6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61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8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13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c>
          <w:tcPr>
            <w:tcW w:w="136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r>
    </w:tbl>
    <w:p>
      <w:pPr>
        <w:ind w:left="420"/>
        <w:rPr>
          <w:rFonts w:ascii="宋体" w:hAnsi="宋体" w:cs="宋体"/>
          <w:bCs/>
          <w:sz w:val="21"/>
          <w:szCs w:val="21"/>
        </w:rPr>
      </w:pPr>
    </w:p>
    <w:p>
      <w:pPr>
        <w:rPr>
          <w:rFonts w:ascii="宋体" w:hAnsi="宋体" w:cs="宋体"/>
          <w:bCs/>
          <w:sz w:val="21"/>
          <w:szCs w:val="21"/>
        </w:rPr>
      </w:pPr>
    </w:p>
    <w:p>
      <w:pPr>
        <w:ind w:left="420"/>
        <w:rPr>
          <w:rFonts w:ascii="宋体" w:hAnsi="宋体" w:cs="宋体"/>
          <w:bCs/>
          <w:sz w:val="21"/>
          <w:szCs w:val="21"/>
        </w:rPr>
      </w:pPr>
    </w:p>
    <w:p>
      <w:pPr>
        <w:pStyle w:val="4"/>
        <w:numPr>
          <w:ilvl w:val="0"/>
          <w:numId w:val="2"/>
        </w:numPr>
        <w:rPr>
          <w:rFonts w:ascii="宋体" w:hAnsi="宋体" w:eastAsia="宋体"/>
          <w:sz w:val="21"/>
          <w:szCs w:val="21"/>
        </w:rPr>
      </w:pPr>
      <w:bookmarkStart w:id="11" w:name="_Toc455"/>
      <w:r>
        <w:rPr>
          <w:rFonts w:hint="eastAsia" w:ascii="宋体" w:hAnsi="宋体" w:eastAsia="宋体"/>
          <w:sz w:val="21"/>
          <w:szCs w:val="21"/>
        </w:rPr>
        <w:t>项目周边竞品情况分析</w:t>
      </w:r>
      <w:bookmarkEnd w:id="11"/>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2020年12月21日龙岩佰颐融房地产开发有限公司以楼面地价：8941元/㎡取得WJ-J-2020-030地块，位于吴江高新区（盛泽镇）万丽酒店东侧，距离本项目1.2公里。主要可参考的竞品是观湖春天、德信望澜庭</w:t>
      </w:r>
      <w:r>
        <w:rPr>
          <w:rFonts w:hint="eastAsia" w:ascii="Arial" w:hAnsi="Arial" w:cs="Arial"/>
          <w:color w:val="000000"/>
          <w:sz w:val="21"/>
          <w:szCs w:val="21"/>
        </w:rPr>
        <w:t>、建发云锦湾</w:t>
      </w:r>
      <w:r>
        <w:rPr>
          <w:rFonts w:ascii="Arial" w:hAnsi="Arial" w:cs="Arial"/>
          <w:color w:val="000000"/>
          <w:sz w:val="21"/>
          <w:szCs w:val="21"/>
        </w:rPr>
        <w:t>。项目周边在售楼盘位置（详见图）</w:t>
      </w:r>
    </w:p>
    <w:p>
      <w:pPr>
        <w:pStyle w:val="7"/>
      </w:pPr>
      <w:r>
        <w:rPr>
          <w:rFonts w:ascii="Arial" w:hAnsi="Arial" w:cs="Arial"/>
        </w:rPr>
        <w:drawing>
          <wp:inline distT="0" distB="0" distL="114300" distR="114300">
            <wp:extent cx="5502275" cy="2275840"/>
            <wp:effectExtent l="0" t="0" r="3175" b="1016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8"/>
                    <a:srcRect l="3882" t="5412" r="2925" b="-504"/>
                    <a:stretch>
                      <a:fillRect/>
                    </a:stretch>
                  </pic:blipFill>
                  <pic:spPr>
                    <a:xfrm>
                      <a:off x="0" y="0"/>
                      <a:ext cx="5502275" cy="227584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hint="eastAsia"/>
        </w:rPr>
        <w:t xml:space="preserve">    </w:t>
      </w:r>
      <w:r>
        <w:rPr>
          <w:rFonts w:ascii="Arial" w:hAnsi="Arial" w:cs="Arial"/>
          <w:szCs w:val="21"/>
        </w:rPr>
        <w:t>WJ-J-2020-030地块</w:t>
      </w:r>
    </w:p>
    <w:p>
      <w:pPr>
        <w:rPr>
          <w:rFonts w:ascii="Arial" w:hAnsi="Arial" w:cs="Arial"/>
        </w:rPr>
      </w:pPr>
      <w:r>
        <w:rPr>
          <w:rFonts w:ascii="Arial" w:hAnsi="Arial" w:cs="Arial"/>
        </w:rPr>
        <w:drawing>
          <wp:inline distT="0" distB="0" distL="114300" distR="114300">
            <wp:extent cx="5879465" cy="2852420"/>
            <wp:effectExtent l="0" t="0" r="6985" b="5080"/>
            <wp:docPr id="25"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图片1"/>
                    <pic:cNvPicPr>
                      <a:picLocks noChangeAspect="1"/>
                    </pic:cNvPicPr>
                  </pic:nvPicPr>
                  <pic:blipFill>
                    <a:blip r:embed="rId9"/>
                    <a:stretch>
                      <a:fillRect/>
                    </a:stretch>
                  </pic:blipFill>
                  <pic:spPr>
                    <a:xfrm>
                      <a:off x="0" y="0"/>
                      <a:ext cx="5879465" cy="285242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ascii="Arial" w:hAnsi="Arial" w:cs="Arial"/>
        </w:rPr>
        <w:t>项目周边在售楼盘位置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建发云锦湾目前处于蓄客阶段，4月15日启动锁资，预计6月份全部开盘推售，截至4月30日，已蓄客约150组。</w:t>
      </w:r>
    </w:p>
    <w:p>
      <w:pPr>
        <w:jc w:val="center"/>
        <w:rPr>
          <w:rFonts w:ascii="宋体" w:hAnsi="宋体" w:cs="宋体"/>
          <w:b/>
          <w:bCs/>
          <w:color w:val="000000"/>
          <w:sz w:val="21"/>
          <w:szCs w:val="21"/>
        </w:rPr>
      </w:pPr>
      <w:r>
        <w:rPr>
          <w:rFonts w:hint="eastAsia" w:ascii="宋体" w:hAnsi="宋体" w:cs="宋体"/>
          <w:b/>
          <w:bCs/>
          <w:color w:val="000000"/>
          <w:sz w:val="21"/>
          <w:szCs w:val="21"/>
        </w:rPr>
        <w:t>表十二：</w:t>
      </w:r>
      <w:r>
        <w:rPr>
          <w:rFonts w:hint="eastAsia" w:ascii="宋体" w:hAnsi="宋体" w:cs="宋体"/>
          <w:b/>
          <w:bCs/>
          <w:sz w:val="21"/>
          <w:szCs w:val="21"/>
        </w:rPr>
        <w:t>项目周边竞品情况</w:t>
      </w:r>
    </w:p>
    <w:tbl>
      <w:tblPr>
        <w:tblStyle w:val="17"/>
        <w:tblW w:w="8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74"/>
        <w:gridCol w:w="669"/>
        <w:gridCol w:w="1259"/>
        <w:gridCol w:w="1485"/>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名称</w:t>
            </w:r>
          </w:p>
        </w:tc>
        <w:tc>
          <w:tcPr>
            <w:tcW w:w="669" w:type="dxa"/>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业态</w:t>
            </w:r>
          </w:p>
        </w:tc>
        <w:tc>
          <w:tcPr>
            <w:tcW w:w="12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是否为直接竞品</w:t>
            </w:r>
          </w:p>
        </w:tc>
        <w:tc>
          <w:tcPr>
            <w:tcW w:w="148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可售面积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已推出面积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5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销售均价</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观湖春天</w:t>
            </w:r>
          </w:p>
        </w:tc>
        <w:tc>
          <w:tcPr>
            <w:tcW w:w="669"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14.20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59" w:type="dxa"/>
            <w:vAlign w:val="center"/>
          </w:tcPr>
          <w:p>
            <w:pPr>
              <w:tabs>
                <w:tab w:val="left" w:pos="524"/>
              </w:tabs>
              <w:textAlignment w:val="center"/>
              <w:rPr>
                <w:rFonts w:ascii="Arial" w:hAnsi="Arial" w:cs="Arial"/>
                <w:color w:val="000000"/>
                <w:sz w:val="18"/>
                <w:szCs w:val="18"/>
                <w:lang w:bidi="ar"/>
              </w:rPr>
            </w:pPr>
            <w:r>
              <w:rPr>
                <w:rFonts w:ascii="Arial" w:hAnsi="Arial" w:cs="Arial"/>
                <w:color w:val="000000"/>
                <w:sz w:val="18"/>
                <w:szCs w:val="18"/>
                <w:lang w:bidi="ar"/>
              </w:rPr>
              <w:tab/>
            </w:r>
            <w:r>
              <w:rPr>
                <w:rFonts w:ascii="Arial" w:hAnsi="Arial" w:cs="Arial"/>
                <w:color w:val="000000"/>
                <w:sz w:val="18"/>
                <w:szCs w:val="18"/>
                <w:lang w:bidi="ar"/>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德信望澜庭</w:t>
            </w:r>
          </w:p>
        </w:tc>
        <w:tc>
          <w:tcPr>
            <w:tcW w:w="669"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174"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建发云锦湾</w:t>
            </w:r>
          </w:p>
        </w:tc>
        <w:tc>
          <w:tcPr>
            <w:tcW w:w="669"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小高层</w:t>
            </w:r>
          </w:p>
        </w:tc>
        <w:tc>
          <w:tcPr>
            <w:tcW w:w="12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是</w:t>
            </w:r>
          </w:p>
        </w:tc>
        <w:tc>
          <w:tcPr>
            <w:tcW w:w="14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7.00</w:t>
            </w:r>
          </w:p>
        </w:tc>
        <w:tc>
          <w:tcPr>
            <w:tcW w:w="141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1.90</w:t>
            </w:r>
          </w:p>
        </w:tc>
      </w:tr>
    </w:tbl>
    <w:p>
      <w:pPr>
        <w:rPr>
          <w:rFonts w:ascii="宋体" w:hAnsi="宋体" w:cs="宋体"/>
          <w:bCs/>
          <w:sz w:val="21"/>
          <w:szCs w:val="21"/>
        </w:rPr>
      </w:pPr>
    </w:p>
    <w:p>
      <w:pPr>
        <w:pStyle w:val="4"/>
        <w:rPr>
          <w:rFonts w:ascii="宋体" w:hAnsi="宋体" w:eastAsia="宋体"/>
          <w:sz w:val="21"/>
          <w:szCs w:val="21"/>
        </w:rPr>
      </w:pPr>
      <w:bookmarkStart w:id="12" w:name="_Toc23515"/>
      <w:r>
        <w:rPr>
          <w:rFonts w:hint="eastAsia" w:ascii="宋体" w:hAnsi="宋体" w:eastAsia="宋体"/>
          <w:sz w:val="21"/>
          <w:szCs w:val="21"/>
        </w:rPr>
        <w:t>十一、区域市场情况分析</w:t>
      </w:r>
      <w:bookmarkEnd w:id="12"/>
    </w:p>
    <w:p>
      <w:pPr>
        <w:numPr>
          <w:ilvl w:val="255"/>
          <w:numId w:val="0"/>
        </w:numPr>
        <w:rPr>
          <w:rFonts w:ascii="宋体" w:hAnsi="宋体" w:cs="宋体"/>
          <w:bCs/>
          <w:sz w:val="21"/>
          <w:szCs w:val="21"/>
          <w:highlight w:val="yellow"/>
        </w:rPr>
      </w:pPr>
      <w:r>
        <w:rPr>
          <w:rFonts w:hint="eastAsia" w:ascii="宋体" w:hAnsi="宋体" w:cs="宋体"/>
          <w:b/>
          <w:bCs/>
          <w:sz w:val="21"/>
          <w:szCs w:val="21"/>
        </w:rPr>
        <w:t xml:space="preserve">11.1 </w:t>
      </w:r>
      <w:r>
        <w:rPr>
          <w:rFonts w:hint="eastAsia" w:ascii="宋体" w:hAnsi="宋体" w:cs="宋体"/>
          <w:b/>
          <w:sz w:val="21"/>
          <w:szCs w:val="21"/>
        </w:rPr>
        <w:t>客群情况分析</w:t>
      </w:r>
    </w:p>
    <w:p>
      <w:pPr>
        <w:spacing w:line="360" w:lineRule="auto"/>
        <w:ind w:firstLine="420" w:firstLineChars="200"/>
        <w:rPr>
          <w:rFonts w:ascii="Arial" w:hAnsi="Arial" w:cs="Arial"/>
          <w:bCs/>
          <w:sz w:val="21"/>
          <w:szCs w:val="21"/>
        </w:rPr>
      </w:pPr>
      <w:r>
        <w:rPr>
          <w:rFonts w:hint="eastAsia" w:ascii="Arial" w:hAnsi="Arial" w:cs="Arial"/>
          <w:color w:val="000000"/>
          <w:sz w:val="21"/>
          <w:szCs w:val="21"/>
        </w:rPr>
        <w:t>项目地块位于吴江高新区（盛泽镇）绸都大道西侧、市场西路北侧、舜湖西路南侧、福州路东侧。距离新设高铁盛泽站4公里。地块位于盛泽镇行政中心马路对面，周边商业、医疗、学校资源配套齐全，尤其是教育资源丰富，地块周边即将落户三所学校，一所公立，两所私立学校。主要客户群体为盛泽镇周边区域客户，其中盛泽西部新城区和中部商务区占比最多。</w:t>
      </w:r>
      <w:r>
        <w:rPr>
          <w:rFonts w:ascii="Arial" w:hAnsi="Arial" w:cs="Arial"/>
          <w:bCs/>
          <w:sz w:val="21"/>
          <w:szCs w:val="21"/>
        </w:rPr>
        <w:t>客户主要为以下</w:t>
      </w:r>
      <w:r>
        <w:rPr>
          <w:rFonts w:hint="eastAsia" w:ascii="Arial" w:hAnsi="Arial" w:cs="Arial"/>
          <w:bCs/>
          <w:sz w:val="21"/>
          <w:szCs w:val="21"/>
        </w:rPr>
        <w:t>两</w:t>
      </w:r>
      <w:r>
        <w:rPr>
          <w:rFonts w:ascii="Arial" w:hAnsi="Arial" w:cs="Arial"/>
          <w:bCs/>
          <w:sz w:val="21"/>
          <w:szCs w:val="21"/>
        </w:rPr>
        <w:t>种类型：</w:t>
      </w:r>
    </w:p>
    <w:p>
      <w:pPr>
        <w:pStyle w:val="7"/>
        <w:numPr>
          <w:ilvl w:val="0"/>
          <w:numId w:val="3"/>
        </w:numPr>
        <w:spacing w:line="360" w:lineRule="auto"/>
        <w:rPr>
          <w:rFonts w:ascii="Arial" w:hAnsi="Arial" w:cs="Arial"/>
          <w:color w:val="000000"/>
          <w:kern w:val="0"/>
          <w:szCs w:val="21"/>
        </w:rPr>
      </w:pPr>
      <w:r>
        <w:rPr>
          <w:rFonts w:hint="eastAsia" w:ascii="Arial" w:hAnsi="Arial" w:cs="Arial"/>
          <w:color w:val="000000"/>
          <w:kern w:val="0"/>
          <w:szCs w:val="21"/>
        </w:rPr>
        <w:t>重点客群：大面积改善客群。客户看中户型选择多，视野广阔，拥有双阳台，采光通风优越，且周边商业、学校、医疗资源配套齐全，交通便利。</w:t>
      </w:r>
    </w:p>
    <w:p>
      <w:pPr>
        <w:pStyle w:val="7"/>
        <w:numPr>
          <w:ilvl w:val="0"/>
          <w:numId w:val="3"/>
        </w:numPr>
        <w:spacing w:line="360" w:lineRule="auto"/>
        <w:rPr>
          <w:rFonts w:ascii="Arial" w:hAnsi="Arial" w:cs="Arial"/>
          <w:color w:val="000000"/>
          <w:kern w:val="0"/>
          <w:szCs w:val="21"/>
        </w:rPr>
      </w:pPr>
      <w:r>
        <w:rPr>
          <w:rFonts w:hint="eastAsia" w:ascii="Arial" w:hAnsi="Arial" w:cs="Arial"/>
          <w:color w:val="000000"/>
          <w:kern w:val="0"/>
          <w:szCs w:val="21"/>
        </w:rPr>
        <w:t>补充客群：客户投资及限购客群。盛泽丝绸尤为出名，经济发达，客户期盼在盛泽购置资产，自用或收藏。</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11.2 </w:t>
      </w:r>
      <w:r>
        <w:rPr>
          <w:rFonts w:hint="eastAsia" w:ascii="宋体" w:hAnsi="宋体" w:cs="宋体"/>
          <w:b/>
          <w:bCs/>
          <w:sz w:val="21"/>
          <w:szCs w:val="21"/>
        </w:rPr>
        <w:t>政策分析</w:t>
      </w:r>
    </w:p>
    <w:p>
      <w:pPr>
        <w:spacing w:line="360" w:lineRule="auto"/>
        <w:ind w:firstLine="420" w:firstLineChars="200"/>
        <w:rPr>
          <w:rFonts w:ascii="宋体" w:hAnsi="宋体" w:cs="宋体"/>
          <w:b/>
          <w:bCs/>
          <w:sz w:val="21"/>
          <w:szCs w:val="21"/>
        </w:rPr>
      </w:pPr>
      <w:r>
        <w:rPr>
          <w:rFonts w:hint="eastAsia" w:ascii="宋体" w:hAnsi="宋体" w:cs="宋体"/>
          <w:b/>
          <w:bCs/>
          <w:sz w:val="21"/>
          <w:szCs w:val="21"/>
        </w:rPr>
        <w:t>1、预售政策：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预售政策为：本项目位于苏州市吴江区，根据苏州市加强商品住宅项目（低密度住宅、政策性住房和非居住商品房除外）预售许可管理规定，市区30000平方米以上商品住宅项目分期开发的，每期申请预售面积不宜低于30000平方米（尾盘除外），30000平方米以下商品住宅项目宜一次性办理商品住宅预售许可。项目取得预售许可证后，预售房源应在10日内一次性全部对外公开市场销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2020年2月28日市政府出台《市住房城乡建设局关于应对疫情保障房地产市场平稳健康发展的通知》（苏住建房【2020】4号）。将申请预售时原形象进度要求放宽至按投资额计算，申请预售部分完成25%以上投资即可；分期销售项目每期申请预售面积由不低于3万平方米的要求，调整为高层、小高层商品房不少于2万平方米，多层商品房不少于1万平方米。</w:t>
      </w:r>
    </w:p>
    <w:p>
      <w:pPr>
        <w:ind w:firstLine="420" w:firstLineChars="200"/>
        <w:rPr>
          <w:rFonts w:ascii="宋体" w:hAnsi="宋体" w:cs="宋体"/>
          <w:b/>
          <w:bCs/>
          <w:sz w:val="21"/>
          <w:szCs w:val="21"/>
        </w:rPr>
      </w:pPr>
      <w:r>
        <w:rPr>
          <w:rFonts w:hint="eastAsia" w:ascii="宋体" w:hAnsi="宋体" w:cs="宋体"/>
          <w:b/>
          <w:bCs/>
          <w:sz w:val="21"/>
          <w:szCs w:val="21"/>
        </w:rPr>
        <w:t>2、限购政策：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限购区域：工业园区、姑苏区、吴中区、吴江区、相城区、高新区、太仓市、昆山市（常熟、张家港不限购）；</w:t>
      </w:r>
    </w:p>
    <w:p>
      <w:pPr>
        <w:spacing w:line="360" w:lineRule="auto"/>
        <w:ind w:firstLine="420" w:firstLineChars="200"/>
        <w:jc w:val="both"/>
        <w:rPr>
          <w:rFonts w:ascii="宋体" w:hAnsi="宋体" w:cs="宋体"/>
          <w:sz w:val="21"/>
          <w:szCs w:val="21"/>
        </w:rPr>
      </w:pPr>
      <w:r>
        <w:rPr>
          <w:rFonts w:hint="eastAsia" w:ascii="Arial" w:hAnsi="Arial" w:cs="Arial"/>
          <w:color w:val="000000"/>
          <w:sz w:val="21"/>
          <w:szCs w:val="21"/>
        </w:rPr>
        <w:t>限购要求：苏州户籍在限购区域可买3套；非苏州户籍仅可买1套，还需满足自购房之日起3年内连续交满2年社保或个人所得税（补交不算在内、社保在苏州行政范围内均认可）</w:t>
      </w:r>
      <w:r>
        <w:rPr>
          <w:rFonts w:hint="eastAsia" w:ascii="宋体" w:hAnsi="宋体" w:cs="宋体"/>
          <w:sz w:val="21"/>
          <w:szCs w:val="21"/>
        </w:rPr>
        <w:t>。</w:t>
      </w:r>
    </w:p>
    <w:p>
      <w:pPr>
        <w:ind w:firstLine="420" w:firstLineChars="200"/>
        <w:rPr>
          <w:rFonts w:ascii="宋体" w:hAnsi="宋体" w:cs="宋体"/>
          <w:b/>
          <w:bCs/>
          <w:sz w:val="21"/>
          <w:szCs w:val="21"/>
        </w:rPr>
      </w:pPr>
      <w:r>
        <w:rPr>
          <w:rFonts w:hint="eastAsia" w:ascii="宋体" w:hAnsi="宋体" w:cs="宋体"/>
          <w:b/>
          <w:bCs/>
          <w:sz w:val="21"/>
          <w:szCs w:val="21"/>
        </w:rPr>
        <w:t>3、限价政策：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加强商品住宅价格监管，市区新批准商品住宅项目预售许可时，房地产开发企业应当科学合理确定申报价格，经价格主管部门备案后一次性公开全部准售房源及每套房屋价格，严格按照明码标价格式要求，全部进入商品房预售许可行政主管部门设立的商品房预售系统。在对外销售时，同批次房源应当一次全部公示销售价格，实际销售价格不得高于申报价格，申报价格3个月内不宜调高，6个月内调高幅度不宜超过6%，12个月内不宜超过12%，同一批次房屋间价格不得调剂使用。同一批次不同类型房屋价格可以区别定价。下一批次备案预售价格不宜高于上一批次同类型房屋成交均价的6%。</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苏州市自然资源和规划局于2020年2月19日发布了“关于做好土地出让相关工作有效应对疫情的通知”，调整了超过市场指导价报价规则，但具体细则尚未公布。</w:t>
      </w:r>
    </w:p>
    <w:p>
      <w:pPr>
        <w:spacing w:line="360" w:lineRule="auto"/>
        <w:ind w:firstLine="420" w:firstLineChars="200"/>
        <w:jc w:val="both"/>
        <w:rPr>
          <w:rFonts w:ascii="宋体" w:hAnsi="宋体" w:cs="宋体"/>
          <w:sz w:val="21"/>
          <w:szCs w:val="21"/>
        </w:rPr>
      </w:pPr>
      <w:r>
        <w:rPr>
          <w:rFonts w:hint="eastAsia" w:ascii="Arial" w:hAnsi="Arial" w:cs="Arial"/>
          <w:b/>
          <w:color w:val="000000"/>
          <w:sz w:val="21"/>
          <w:szCs w:val="21"/>
        </w:rPr>
        <w:t>注：</w:t>
      </w:r>
      <w:r>
        <w:rPr>
          <w:rFonts w:hint="eastAsia" w:ascii="Arial" w:hAnsi="Arial" w:cs="Arial"/>
          <w:color w:val="000000"/>
          <w:sz w:val="21"/>
          <w:szCs w:val="21"/>
        </w:rPr>
        <w:t>项目所在地严格执行各限价、限购政策，并要求开发企业配合进行审核工作。</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11.3 </w:t>
      </w:r>
      <w:r>
        <w:rPr>
          <w:rFonts w:hint="eastAsia" w:ascii="宋体" w:hAnsi="宋体" w:cs="宋体"/>
          <w:b/>
          <w:bCs/>
          <w:sz w:val="21"/>
          <w:szCs w:val="21"/>
        </w:rPr>
        <w:t>同业态售房成交量分析</w:t>
      </w:r>
    </w:p>
    <w:p>
      <w:pPr>
        <w:spacing w:line="360" w:lineRule="auto"/>
        <w:ind w:firstLine="420" w:firstLineChars="200"/>
        <w:rPr>
          <w:rFonts w:ascii="Arial" w:hAnsi="Arial" w:cs="Arial"/>
          <w:color w:val="000000"/>
          <w:sz w:val="21"/>
          <w:szCs w:val="21"/>
          <w:lang w:bidi="ar"/>
        </w:rPr>
      </w:pPr>
      <w:r>
        <w:rPr>
          <w:rFonts w:hint="eastAsia" w:ascii="Arial" w:hAnsi="Arial" w:cs="Arial"/>
          <w:color w:val="000000"/>
          <w:sz w:val="21"/>
          <w:szCs w:val="21"/>
          <w:lang w:bidi="ar"/>
        </w:rPr>
        <w:t>2021年1-3月，苏州市共成交各类用地164宗，共计1110.17万㎡，同比增长5.47%。其中，成交住宅用地35宗，共计358.61万㎡，同比增长82.55%；商办用地17宗，共计31.11万㎡，同比减少81.2%。2021年3月，苏州市累计成交各类用地85宗，共计629.39万㎡，环比增长215.35%，同比增长49.56%。其中，成交住宅用地15宗，共计167.79万㎡，环比增长271.18%，同比增长44.69%；商办用地13宗，共计21.35万㎡，环比增长1124.88%，同比减少76.66%。</w:t>
      </w:r>
    </w:p>
    <w:p>
      <w:pPr>
        <w:pStyle w:val="7"/>
        <w:spacing w:line="360" w:lineRule="auto"/>
      </w:pPr>
      <w:r>
        <w:rPr>
          <w:rFonts w:hint="eastAsia" w:ascii="Arial" w:hAnsi="Arial" w:cs="Arial"/>
          <w:color w:val="000000"/>
          <w:kern w:val="0"/>
          <w:szCs w:val="21"/>
          <w:lang w:bidi="ar"/>
        </w:rPr>
        <w:t>2021年3月，苏州市商品住宅（不含保障性住房）新增供应86.28万㎡，环比上升467.9%，同比上升250.5%。2021年3月，苏州市商品住宅（不含保障性住房）成交均价为27676元/㎡，环比下降4.9%，同比下降4.1%；成交面积为73.25万㎡，环比上升79%，同比上升58%。</w:t>
      </w:r>
    </w:p>
    <w:p>
      <w:pPr>
        <w:numPr>
          <w:ilvl w:val="255"/>
          <w:numId w:val="0"/>
        </w:numPr>
        <w:ind w:left="60"/>
        <w:rPr>
          <w:rFonts w:ascii="宋体" w:hAnsi="宋体" w:cs="宋体"/>
          <w:bCs/>
          <w:sz w:val="21"/>
          <w:szCs w:val="21"/>
        </w:rPr>
      </w:pPr>
      <w:r>
        <w:rPr>
          <w:rFonts w:hint="eastAsia" w:ascii="宋体" w:hAnsi="宋体" w:cs="宋体"/>
          <w:b/>
          <w:bCs/>
          <w:sz w:val="21"/>
          <w:szCs w:val="21"/>
        </w:rPr>
        <w:t xml:space="preserve">11.4 </w:t>
      </w:r>
      <w:r>
        <w:rPr>
          <w:rFonts w:hint="eastAsia" w:ascii="宋体" w:hAnsi="宋体" w:cs="宋体"/>
          <w:b/>
          <w:sz w:val="21"/>
          <w:szCs w:val="21"/>
        </w:rPr>
        <w:t>土地成交量分析</w:t>
      </w:r>
    </w:p>
    <w:p>
      <w:pPr>
        <w:pStyle w:val="2"/>
        <w:spacing w:after="0" w:line="480" w:lineRule="auto"/>
        <w:ind w:firstLineChars="0"/>
        <w:rPr>
          <w:rFonts w:ascii="宋体" w:hAnsi="宋体" w:cs="宋体"/>
          <w:bCs/>
          <w:szCs w:val="21"/>
        </w:rPr>
      </w:pPr>
      <w:r>
        <w:rPr>
          <w:rFonts w:ascii="Arial" w:hAnsi="Arial" w:cs="Arial"/>
          <w:bCs/>
          <w:kern w:val="0"/>
          <w:szCs w:val="21"/>
        </w:rPr>
        <w:t>本月</w:t>
      </w:r>
      <w:r>
        <w:rPr>
          <w:rFonts w:ascii="Arial" w:hAnsi="Arial" w:cs="Arial"/>
          <w:bCs/>
          <w:kern w:val="0"/>
          <w:szCs w:val="21"/>
          <w:lang w:eastAsia="zh-Hans"/>
        </w:rPr>
        <w:t>项目所在区域</w:t>
      </w:r>
      <w:r>
        <w:rPr>
          <w:rFonts w:hint="eastAsia" w:ascii="Arial" w:hAnsi="Arial" w:cs="Arial"/>
          <w:bCs/>
          <w:kern w:val="0"/>
          <w:szCs w:val="21"/>
        </w:rPr>
        <w:t>（盛泽镇）</w:t>
      </w:r>
      <w:r>
        <w:rPr>
          <w:rFonts w:ascii="Arial" w:hAnsi="Arial" w:cs="Arial"/>
          <w:bCs/>
          <w:kern w:val="0"/>
          <w:szCs w:val="21"/>
        </w:rPr>
        <w:t>暂无土地成交记录。</w:t>
      </w:r>
    </w:p>
    <w:p>
      <w:pPr>
        <w:numPr>
          <w:ilvl w:val="255"/>
          <w:numId w:val="0"/>
        </w:numPr>
        <w:ind w:left="60"/>
        <w:rPr>
          <w:rFonts w:ascii="宋体" w:hAnsi="宋体" w:cs="宋体"/>
          <w:b/>
          <w:sz w:val="21"/>
          <w:szCs w:val="21"/>
        </w:rPr>
      </w:pPr>
      <w:r>
        <w:rPr>
          <w:rFonts w:hint="eastAsia" w:ascii="宋体" w:hAnsi="宋体" w:cs="宋体"/>
          <w:b/>
          <w:bCs/>
          <w:sz w:val="21"/>
          <w:szCs w:val="21"/>
        </w:rPr>
        <w:t xml:space="preserve">11.5 </w:t>
      </w:r>
      <w:r>
        <w:rPr>
          <w:rFonts w:hint="eastAsia" w:ascii="宋体" w:hAnsi="宋体" w:cs="宋体"/>
          <w:b/>
          <w:sz w:val="21"/>
          <w:szCs w:val="21"/>
        </w:rPr>
        <w:t>其他</w:t>
      </w:r>
    </w:p>
    <w:p>
      <w:pPr>
        <w:ind w:firstLine="630" w:firstLineChars="300"/>
        <w:rPr>
          <w:rFonts w:ascii="宋体" w:hAnsi="宋体" w:cs="宋体"/>
          <w:bCs/>
          <w:sz w:val="21"/>
          <w:szCs w:val="21"/>
        </w:rPr>
      </w:pPr>
      <w:r>
        <w:rPr>
          <w:rFonts w:hint="eastAsia" w:ascii="宋体" w:hAnsi="宋体" w:cs="宋体"/>
          <w:bCs/>
          <w:sz w:val="21"/>
          <w:szCs w:val="21"/>
        </w:rPr>
        <w:t>无。</w:t>
      </w:r>
    </w:p>
    <w:p>
      <w:pPr>
        <w:pStyle w:val="4"/>
        <w:rPr>
          <w:rFonts w:ascii="宋体" w:hAnsi="宋体" w:eastAsia="宋体"/>
          <w:sz w:val="21"/>
          <w:szCs w:val="21"/>
        </w:rPr>
      </w:pPr>
      <w:bookmarkStart w:id="13" w:name="_Toc28168"/>
      <w:r>
        <w:rPr>
          <w:rFonts w:hint="eastAsia" w:ascii="宋体" w:hAnsi="宋体" w:eastAsia="宋体"/>
          <w:sz w:val="21"/>
          <w:szCs w:val="21"/>
        </w:rPr>
        <w:t>十二、项目公司资金计划执行情况</w:t>
      </w:r>
      <w:bookmarkEnd w:id="13"/>
    </w:p>
    <w:tbl>
      <w:tblPr>
        <w:tblStyle w:val="17"/>
        <w:tblpPr w:leftFromText="180" w:rightFromText="180" w:vertAnchor="text" w:horzAnchor="page" w:tblpX="1631" w:tblpY="327"/>
        <w:tblOverlap w:val="never"/>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48"/>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p>
        </w:tc>
        <w:tc>
          <w:tcPr>
            <w:tcW w:w="18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3,559,986.88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3,502,169.10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57,817.78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10,011,617.62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9,974,585.02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37,032.60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3,316,105.52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2,562,661.15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753,444.37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16,530,151.35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15,364,932.36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1,165,218.99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6,702.88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-6,702.88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5,000,000.00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4,297,985.27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702,014.73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1,920,893.07 </w:t>
            </w:r>
          </w:p>
        </w:tc>
        <w:tc>
          <w:tcPr>
            <w:tcW w:w="1525"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400,000.00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1,520,893.07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往来款</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150,000,000.00</w:t>
            </w:r>
          </w:p>
        </w:tc>
        <w:tc>
          <w:tcPr>
            <w:tcW w:w="181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 xml:space="preserve">-150,000,000.00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该款项已走中航系统划款流程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合计</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b/>
                <w:bCs/>
                <w:color w:val="000000"/>
                <w:sz w:val="18"/>
                <w:szCs w:val="18"/>
                <w:lang w:bidi="ar"/>
              </w:rPr>
              <w:t>40,338,754.44</w:t>
            </w:r>
          </w:p>
        </w:tc>
        <w:tc>
          <w:tcPr>
            <w:tcW w:w="152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186,109,035.78 </w:t>
            </w:r>
          </w:p>
        </w:tc>
        <w:tc>
          <w:tcPr>
            <w:tcW w:w="1813"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-145,770,281.34 </w:t>
            </w:r>
          </w:p>
        </w:tc>
        <w:tc>
          <w:tcPr>
            <w:tcW w:w="1673" w:type="dxa"/>
            <w:vAlign w:val="center"/>
          </w:tcPr>
          <w:p>
            <w:pPr>
              <w:rPr>
                <w:rFonts w:ascii="Arial" w:hAnsi="Arial" w:cs="Arial"/>
                <w:color w:val="000000"/>
                <w:sz w:val="18"/>
                <w:szCs w:val="18"/>
                <w:lang w:bidi="ar"/>
              </w:rPr>
            </w:pPr>
          </w:p>
        </w:tc>
      </w:tr>
    </w:tbl>
    <w:p>
      <w:pPr>
        <w:jc w:val="center"/>
      </w:pPr>
      <w:r>
        <w:rPr>
          <w:rFonts w:hint="eastAsia" w:ascii="宋体" w:hAnsi="宋体" w:cs="宋体"/>
          <w:b/>
          <w:bCs/>
          <w:color w:val="000000"/>
          <w:sz w:val="21"/>
          <w:szCs w:val="21"/>
        </w:rPr>
        <w:t>表十三：</w:t>
      </w:r>
      <w:r>
        <w:rPr>
          <w:rFonts w:hint="eastAsia" w:ascii="宋体" w:hAnsi="宋体" w:cs="宋体"/>
          <w:b/>
          <w:bCs/>
          <w:sz w:val="21"/>
          <w:szCs w:val="21"/>
        </w:rPr>
        <w:t>2021年04月资金计划执行情况</w:t>
      </w:r>
    </w:p>
    <w:p>
      <w:pPr>
        <w:pStyle w:val="4"/>
        <w:rPr>
          <w:rFonts w:ascii="宋体" w:hAnsi="宋体" w:eastAsia="宋体"/>
          <w:sz w:val="21"/>
          <w:szCs w:val="21"/>
        </w:rPr>
      </w:pPr>
      <w:bookmarkStart w:id="14" w:name="_Toc10230"/>
      <w:r>
        <w:rPr>
          <w:rFonts w:hint="eastAsia" w:ascii="宋体" w:hAnsi="宋体" w:eastAsia="宋体"/>
          <w:sz w:val="21"/>
          <w:szCs w:val="21"/>
        </w:rPr>
        <w:t>十三、项目公司及SPV用印情况</w:t>
      </w:r>
      <w:bookmarkEnd w:id="14"/>
    </w:p>
    <w:p>
      <w:pPr>
        <w:jc w:val="center"/>
      </w:pPr>
      <w:r>
        <w:rPr>
          <w:rFonts w:hint="eastAsia" w:ascii="宋体" w:hAnsi="宋体" w:cs="宋体"/>
          <w:b/>
          <w:bCs/>
          <w:color w:val="000000"/>
          <w:sz w:val="21"/>
          <w:szCs w:val="21"/>
        </w:rPr>
        <w:t>表十四：</w:t>
      </w:r>
      <w:r>
        <w:rPr>
          <w:rFonts w:hint="eastAsia" w:ascii="宋体" w:hAnsi="宋体" w:cs="宋体"/>
          <w:b/>
          <w:bCs/>
          <w:sz w:val="21"/>
          <w:szCs w:val="21"/>
        </w:rPr>
        <w:t>项目公司用印情况统计表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规划设计部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合约管理部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人事行政部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投资报建部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项目发展部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营销策划部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8" w:type="dxa"/>
            <w:vAlign w:val="center"/>
          </w:tcPr>
          <w:p>
            <w:pPr>
              <w:widowControl w:val="0"/>
              <w:textAlignment w:val="center"/>
              <w:rPr>
                <w:rFonts w:ascii="Arial" w:hAnsi="Arial" w:cs="宋体"/>
                <w:color w:val="000000"/>
                <w:sz w:val="18"/>
                <w:szCs w:val="18"/>
                <w:lang w:bidi="ar"/>
              </w:rPr>
            </w:pPr>
          </w:p>
          <w:p>
            <w:pPr>
              <w:rPr>
                <w:rFonts w:ascii="Arial" w:hAnsi="Arial"/>
              </w:rPr>
            </w:pPr>
          </w:p>
        </w:tc>
        <w:tc>
          <w:tcPr>
            <w:tcW w:w="3461"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489"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79</w:t>
            </w:r>
          </w:p>
        </w:tc>
      </w:tr>
    </w:tbl>
    <w:p/>
    <w:p>
      <w:pPr>
        <w:pStyle w:val="7"/>
        <w:ind w:firstLine="422"/>
        <w:jc w:val="center"/>
        <w:rPr>
          <w:rFonts w:ascii="宋体" w:hAnsi="宋体" w:cs="宋体"/>
          <w:b/>
          <w:bCs/>
          <w:szCs w:val="21"/>
        </w:rPr>
      </w:pPr>
      <w:r>
        <w:rPr>
          <w:rFonts w:hint="eastAsia" w:ascii="宋体" w:hAnsi="宋体" w:cs="宋体"/>
          <w:b/>
          <w:bCs/>
          <w:szCs w:val="21"/>
        </w:rPr>
        <w:t>SPV用印情况统计表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财务管理类</w:t>
            </w:r>
          </w:p>
        </w:tc>
        <w:tc>
          <w:tcPr>
            <w:tcW w:w="1489"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r>
    </w:tbl>
    <w:p>
      <w:pPr>
        <w:pStyle w:val="7"/>
        <w:ind w:firstLine="422"/>
        <w:jc w:val="center"/>
        <w:rPr>
          <w:rFonts w:ascii="宋体" w:hAnsi="宋体" w:cs="宋体"/>
          <w:b/>
          <w:bCs/>
          <w:szCs w:val="21"/>
        </w:rPr>
      </w:pPr>
    </w:p>
    <w:p>
      <w:pPr>
        <w:pStyle w:val="4"/>
        <w:rPr>
          <w:rFonts w:ascii="宋体" w:hAnsi="宋体" w:eastAsia="宋体"/>
          <w:sz w:val="21"/>
          <w:szCs w:val="21"/>
        </w:rPr>
      </w:pPr>
      <w:bookmarkStart w:id="15" w:name="_Toc29626"/>
      <w:r>
        <w:rPr>
          <w:rFonts w:hint="eastAsia" w:ascii="宋体" w:hAnsi="宋体" w:eastAsia="宋体"/>
          <w:sz w:val="21"/>
          <w:szCs w:val="21"/>
        </w:rPr>
        <w:t>十四、项目公司及SPV公司印章证照外出使用情况</w:t>
      </w:r>
      <w:bookmarkEnd w:id="15"/>
    </w:p>
    <w:p>
      <w:pPr>
        <w:spacing w:line="480" w:lineRule="auto"/>
        <w:ind w:firstLine="420" w:firstLineChars="200"/>
      </w:pPr>
      <w:r>
        <w:rPr>
          <w:rFonts w:ascii="Arial" w:hAnsi="Arial" w:cs="Arial"/>
          <w:bCs/>
          <w:kern w:val="44"/>
          <w:sz w:val="21"/>
          <w:szCs w:val="21"/>
        </w:rPr>
        <w:t>2021年</w:t>
      </w:r>
      <w:r>
        <w:rPr>
          <w:rFonts w:hint="eastAsia" w:ascii="Arial" w:hAnsi="Arial" w:cs="Arial"/>
          <w:bCs/>
          <w:kern w:val="44"/>
          <w:sz w:val="21"/>
          <w:szCs w:val="21"/>
        </w:rPr>
        <w:t>4</w:t>
      </w:r>
      <w:r>
        <w:rPr>
          <w:rFonts w:ascii="Arial" w:hAnsi="Arial" w:cs="Arial"/>
          <w:bCs/>
          <w:kern w:val="44"/>
          <w:sz w:val="21"/>
          <w:szCs w:val="21"/>
        </w:rPr>
        <w:t>月1日至2021年</w:t>
      </w:r>
      <w:r>
        <w:rPr>
          <w:rFonts w:hint="eastAsia" w:ascii="Arial" w:hAnsi="Arial" w:cs="Arial"/>
          <w:bCs/>
          <w:kern w:val="44"/>
          <w:sz w:val="21"/>
          <w:szCs w:val="21"/>
        </w:rPr>
        <w:t>4</w:t>
      </w:r>
      <w:r>
        <w:rPr>
          <w:rFonts w:ascii="Arial" w:hAnsi="Arial" w:cs="Arial"/>
          <w:bCs/>
          <w:kern w:val="44"/>
          <w:sz w:val="21"/>
          <w:szCs w:val="21"/>
        </w:rPr>
        <w:t>月3</w:t>
      </w:r>
      <w:r>
        <w:rPr>
          <w:rFonts w:hint="eastAsia" w:ascii="Arial" w:hAnsi="Arial" w:cs="Arial"/>
          <w:bCs/>
          <w:kern w:val="44"/>
          <w:sz w:val="21"/>
          <w:szCs w:val="21"/>
        </w:rPr>
        <w:t>0</w:t>
      </w:r>
      <w:r>
        <w:rPr>
          <w:rFonts w:ascii="Arial" w:hAnsi="Arial" w:cs="Arial"/>
          <w:bCs/>
          <w:kern w:val="44"/>
          <w:sz w:val="21"/>
          <w:szCs w:val="21"/>
        </w:rPr>
        <w:t>日，SPV公司印鉴、证照无外出情况。</w:t>
      </w:r>
    </w:p>
    <w:p>
      <w:pPr>
        <w:jc w:val="center"/>
      </w:pPr>
      <w:r>
        <w:rPr>
          <w:rFonts w:hint="eastAsia" w:ascii="宋体" w:hAnsi="宋体" w:cs="宋体"/>
          <w:b/>
          <w:bCs/>
          <w:color w:val="000000"/>
          <w:sz w:val="21"/>
          <w:szCs w:val="21"/>
        </w:rPr>
        <w:t>表十五：</w:t>
      </w:r>
      <w:r>
        <w:rPr>
          <w:rFonts w:hint="eastAsia" w:ascii="宋体" w:hAnsi="宋体" w:cs="宋体"/>
          <w:b/>
          <w:bCs/>
          <w:sz w:val="21"/>
          <w:szCs w:val="21"/>
        </w:rPr>
        <w:t>项目公司印章证照外出使用情况</w:t>
      </w:r>
    </w:p>
    <w:tbl>
      <w:tblPr>
        <w:tblStyle w:val="17"/>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178"/>
        <w:gridCol w:w="2283"/>
        <w:gridCol w:w="1714"/>
        <w:gridCol w:w="943"/>
        <w:gridCol w:w="1028"/>
        <w:gridCol w:w="1125"/>
        <w:gridCol w:w="71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7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22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7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9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102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监印/证人</w:t>
            </w:r>
          </w:p>
        </w:tc>
        <w:tc>
          <w:tcPr>
            <w:tcW w:w="7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8" w:type="dxa"/>
            <w:vAlign w:val="center"/>
          </w:tcPr>
          <w:p>
            <w:pPr>
              <w:jc w:val="center"/>
              <w:textAlignment w:val="center"/>
              <w:rPr>
                <w:rFonts w:ascii="Arial" w:hAnsi="Arial" w:cs="Arial"/>
                <w:sz w:val="18"/>
                <w:szCs w:val="18"/>
              </w:rPr>
            </w:pPr>
            <w:r>
              <w:rPr>
                <w:rFonts w:ascii="Arial" w:hAnsi="Arial" w:cs="Arial"/>
                <w:color w:val="000000"/>
                <w:sz w:val="18"/>
                <w:szCs w:val="18"/>
                <w:lang w:bidi="ar"/>
              </w:rPr>
              <w:t>2021/4/1</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公章、法人章、财务章、营业执照正副本、开户许可证</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办理5#、7#楼预售资金监管户</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2021/4/17</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合同章、财务章</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盛泽项目5#、7#楼开盘</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张宇、谢燕</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办理买车手续</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营业执照正副本、公章、财务章、法人章</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人民银行拉企业征信报告</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车辆办理ETC</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办理车辆过户</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r>
    </w:tbl>
    <w:p/>
    <w:p>
      <w:pPr>
        <w:pStyle w:val="4"/>
        <w:rPr>
          <w:rFonts w:ascii="宋体" w:hAnsi="宋体" w:eastAsia="宋体"/>
          <w:sz w:val="21"/>
          <w:szCs w:val="21"/>
        </w:rPr>
      </w:pPr>
      <w:bookmarkStart w:id="16" w:name="_Toc756"/>
      <w:r>
        <w:rPr>
          <w:rFonts w:hint="eastAsia" w:ascii="宋体" w:hAnsi="宋体" w:eastAsia="宋体"/>
          <w:sz w:val="21"/>
          <w:szCs w:val="21"/>
        </w:rPr>
        <w:t>十五、项目公司签约情况</w:t>
      </w:r>
      <w:bookmarkEnd w:id="16"/>
    </w:p>
    <w:p>
      <w:pPr>
        <w:jc w:val="center"/>
        <w:rPr>
          <w:rFonts w:ascii="Arial" w:hAnsi="Arial" w:cs="Arial"/>
        </w:rPr>
      </w:pPr>
      <w:r>
        <w:rPr>
          <w:rFonts w:hint="eastAsia" w:ascii="宋体" w:hAnsi="宋体" w:cs="宋体"/>
          <w:b/>
          <w:bCs/>
          <w:color w:val="000000"/>
          <w:sz w:val="21"/>
          <w:szCs w:val="21"/>
        </w:rPr>
        <w:t>表十四：</w:t>
      </w:r>
      <w:r>
        <w:rPr>
          <w:rFonts w:ascii="Arial" w:hAnsi="Arial" w:cs="Arial"/>
          <w:b/>
          <w:bCs/>
          <w:color w:val="000000"/>
          <w:sz w:val="21"/>
          <w:szCs w:val="21"/>
        </w:rPr>
        <w:t>2021年</w:t>
      </w:r>
      <w:r>
        <w:rPr>
          <w:rFonts w:hint="eastAsia" w:ascii="Arial" w:hAnsi="Arial" w:cs="Arial"/>
          <w:b/>
          <w:bCs/>
          <w:color w:val="000000"/>
          <w:sz w:val="21"/>
          <w:szCs w:val="21"/>
        </w:rPr>
        <w:t>4</w:t>
      </w:r>
      <w:r>
        <w:rPr>
          <w:rFonts w:ascii="Arial" w:hAnsi="Arial" w:cs="Arial"/>
          <w:b/>
          <w:bCs/>
          <w:color w:val="000000"/>
          <w:sz w:val="21"/>
          <w:szCs w:val="21"/>
        </w:rPr>
        <w:t>月份</w:t>
      </w:r>
      <w:r>
        <w:rPr>
          <w:rFonts w:ascii="Arial" w:hAnsi="Arial" w:cs="Arial"/>
          <w:b/>
          <w:bCs/>
          <w:sz w:val="21"/>
          <w:szCs w:val="21"/>
        </w:rPr>
        <w:t>项目公司签约情况统计表</w:t>
      </w:r>
    </w:p>
    <w:tbl>
      <w:tblPr>
        <w:tblStyle w:val="17"/>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46"/>
        <w:gridCol w:w="520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合同类型</w:t>
            </w:r>
          </w:p>
        </w:tc>
        <w:tc>
          <w:tcPr>
            <w:tcW w:w="52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126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土地合同</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前期设计类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一期一标段、二标段总承包工程补充协议一、示范区红线外市政景观分包工程合同、二期土方分包工程合同</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520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加油站广告投放合同</w:t>
            </w:r>
            <w:r>
              <w:rPr>
                <w:rFonts w:hint="eastAsia" w:ascii="Arial" w:hAnsi="Arial" w:cs="Arial"/>
                <w:color w:val="000000"/>
                <w:sz w:val="18"/>
                <w:szCs w:val="18"/>
                <w:lang w:bidi="ar"/>
              </w:rPr>
              <w:t>、盛泽项目业主生日会活动（4月）合同、</w:t>
            </w:r>
            <w:r>
              <w:rPr>
                <w:rFonts w:ascii="Arial" w:hAnsi="Arial" w:cs="Arial"/>
                <w:color w:val="000000"/>
                <w:sz w:val="18"/>
                <w:szCs w:val="18"/>
                <w:lang w:bidi="ar"/>
              </w:rPr>
              <w:t>小区广告投放合同等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管理类</w:t>
            </w:r>
          </w:p>
        </w:tc>
        <w:tc>
          <w:tcPr>
            <w:tcW w:w="520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房屋租赁合同、</w:t>
            </w:r>
            <w:r>
              <w:rPr>
                <w:rFonts w:hint="eastAsia" w:ascii="Arial" w:hAnsi="Arial" w:cs="Arial"/>
                <w:color w:val="000000"/>
                <w:sz w:val="18"/>
                <w:szCs w:val="18"/>
                <w:lang w:bidi="ar"/>
              </w:rPr>
              <w:t>汽车买卖合同</w:t>
            </w:r>
            <w:r>
              <w:rPr>
                <w:rFonts w:ascii="Arial" w:hAnsi="Arial" w:cs="Arial"/>
                <w:color w:val="000000"/>
                <w:sz w:val="18"/>
                <w:szCs w:val="18"/>
                <w:lang w:bidi="ar"/>
              </w:rPr>
              <w:t>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w:t>
            </w:r>
          </w:p>
        </w:tc>
      </w:tr>
    </w:tbl>
    <w:p>
      <w:pPr>
        <w:pStyle w:val="4"/>
        <w:rPr>
          <w:rFonts w:ascii="宋体" w:hAnsi="宋体" w:eastAsia="宋体"/>
          <w:sz w:val="21"/>
          <w:szCs w:val="21"/>
        </w:rPr>
      </w:pPr>
      <w:bookmarkStart w:id="17" w:name="_Toc8228"/>
      <w:r>
        <w:rPr>
          <w:rFonts w:hint="eastAsia" w:ascii="宋体" w:hAnsi="宋体" w:eastAsia="宋体"/>
          <w:sz w:val="21"/>
          <w:szCs w:val="21"/>
        </w:rPr>
        <w:t>十六、项目整体运行情况分析</w:t>
      </w:r>
      <w:bookmarkEnd w:id="17"/>
    </w:p>
    <w:p>
      <w:pPr>
        <w:spacing w:line="360" w:lineRule="auto"/>
        <w:ind w:firstLine="420" w:firstLineChars="200"/>
        <w:rPr>
          <w:rFonts w:ascii="宋体" w:hAnsi="宋体" w:cs="宋体"/>
          <w:bCs/>
          <w:sz w:val="21"/>
          <w:szCs w:val="21"/>
        </w:rPr>
      </w:pPr>
      <w:r>
        <w:rPr>
          <w:rFonts w:hint="eastAsia" w:ascii="宋体" w:hAnsi="宋体" w:cs="宋体"/>
          <w:b/>
          <w:sz w:val="21"/>
          <w:szCs w:val="21"/>
        </w:rPr>
        <w:t>16.1项目开发建设情况评价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1、截</w:t>
      </w:r>
      <w:r>
        <w:rPr>
          <w:rFonts w:ascii="Arial" w:hAnsi="Arial" w:cs="Arial"/>
          <w:color w:val="000000"/>
          <w:sz w:val="21"/>
          <w:szCs w:val="21"/>
        </w:rPr>
        <w:t>至2021年</w:t>
      </w:r>
      <w:r>
        <w:rPr>
          <w:rFonts w:hint="eastAsia" w:ascii="Arial" w:hAnsi="Arial" w:cs="Arial"/>
          <w:color w:val="000000"/>
          <w:sz w:val="21"/>
          <w:szCs w:val="21"/>
        </w:rPr>
        <w:t>4</w:t>
      </w:r>
      <w:r>
        <w:rPr>
          <w:rFonts w:ascii="Arial" w:hAnsi="Arial" w:cs="Arial"/>
          <w:color w:val="000000"/>
          <w:sz w:val="21"/>
          <w:szCs w:val="21"/>
        </w:rPr>
        <w:t>月</w:t>
      </w:r>
      <w:r>
        <w:rPr>
          <w:rFonts w:hint="eastAsia" w:ascii="Arial" w:hAnsi="Arial" w:cs="Arial"/>
          <w:color w:val="000000"/>
          <w:sz w:val="21"/>
          <w:szCs w:val="21"/>
        </w:rPr>
        <w:t>30</w:t>
      </w:r>
      <w:r>
        <w:rPr>
          <w:rFonts w:ascii="Arial" w:hAnsi="Arial" w:cs="Arial"/>
          <w:color w:val="000000"/>
          <w:sz w:val="21"/>
          <w:szCs w:val="21"/>
        </w:rPr>
        <w:t>日，已取得1#、2#地块不动产权证书、用地规划许可证、工程规划许可证、施工许可证，预售证（2#地块</w:t>
      </w:r>
      <w:r>
        <w:rPr>
          <w:rFonts w:hint="eastAsia" w:ascii="Arial" w:hAnsi="Arial" w:cs="Arial"/>
          <w:color w:val="000000"/>
          <w:sz w:val="21"/>
          <w:szCs w:val="21"/>
        </w:rPr>
        <w:t>5、7、</w:t>
      </w:r>
      <w:r>
        <w:rPr>
          <w:rFonts w:ascii="Arial" w:hAnsi="Arial" w:cs="Arial"/>
          <w:color w:val="000000"/>
          <w:sz w:val="21"/>
          <w:szCs w:val="21"/>
        </w:rPr>
        <w:t>8、9、10、11#）。除2#地块</w:t>
      </w:r>
      <w:r>
        <w:rPr>
          <w:rFonts w:hint="eastAsia" w:ascii="Arial" w:hAnsi="Arial" w:cs="Arial"/>
          <w:color w:val="000000"/>
          <w:sz w:val="21"/>
          <w:szCs w:val="21"/>
        </w:rPr>
        <w:t>2、3、4、6</w:t>
      </w:r>
      <w:r>
        <w:rPr>
          <w:rFonts w:ascii="Arial" w:hAnsi="Arial" w:cs="Arial"/>
          <w:color w:val="000000"/>
          <w:sz w:val="21"/>
          <w:szCs w:val="21"/>
        </w:rPr>
        <w:t>号楼、1#地块预售证外，均已办理完成。办理进度符合第一次董事会决议的商业计划节点要求。</w:t>
      </w:r>
    </w:p>
    <w:p>
      <w:pPr>
        <w:spacing w:line="360" w:lineRule="auto"/>
        <w:ind w:firstLine="420" w:firstLineChars="200"/>
        <w:jc w:val="both"/>
        <w:rPr>
          <w:rFonts w:ascii="Arial" w:hAnsi="Arial" w:cs="Arial"/>
          <w:color w:val="000000"/>
          <w:sz w:val="21"/>
          <w:szCs w:val="21"/>
          <w:highlight w:val="yellow"/>
        </w:rPr>
      </w:pPr>
      <w:r>
        <w:rPr>
          <w:rFonts w:hint="eastAsia" w:ascii="Arial" w:hAnsi="Arial" w:cs="Arial"/>
          <w:color w:val="000000"/>
          <w:sz w:val="21"/>
          <w:szCs w:val="21"/>
        </w:rPr>
        <w:t>2、</w:t>
      </w:r>
      <w:r>
        <w:rPr>
          <w:rFonts w:ascii="Arial" w:hAnsi="Arial" w:cs="Arial"/>
          <w:color w:val="000000"/>
          <w:sz w:val="21"/>
          <w:szCs w:val="21"/>
        </w:rPr>
        <w:t>2#地块（一期）一标段8#</w:t>
      </w:r>
      <w:r>
        <w:rPr>
          <w:rFonts w:hint="eastAsia" w:ascii="Arial" w:hAnsi="Arial" w:cs="Arial"/>
          <w:color w:val="000000"/>
          <w:sz w:val="21"/>
          <w:szCs w:val="21"/>
        </w:rPr>
        <w:t>十二层结构平板铺设完成</w:t>
      </w:r>
      <w:r>
        <w:rPr>
          <w:rFonts w:ascii="Arial" w:hAnsi="Arial" w:cs="Arial"/>
          <w:color w:val="000000"/>
          <w:sz w:val="21"/>
          <w:szCs w:val="21"/>
        </w:rPr>
        <w:t>、11#</w:t>
      </w:r>
      <w:r>
        <w:rPr>
          <w:rFonts w:hint="eastAsia" w:ascii="Arial" w:hAnsi="Arial" w:cs="Arial"/>
          <w:color w:val="000000"/>
          <w:sz w:val="21"/>
          <w:szCs w:val="21"/>
        </w:rPr>
        <w:t>十三层结构梁板钢筋安装</w:t>
      </w:r>
      <w:r>
        <w:rPr>
          <w:rFonts w:ascii="Arial" w:hAnsi="Arial" w:cs="Arial"/>
          <w:color w:val="000000"/>
          <w:sz w:val="21"/>
          <w:szCs w:val="21"/>
        </w:rPr>
        <w:t>、5#</w:t>
      </w:r>
      <w:r>
        <w:rPr>
          <w:rFonts w:hint="eastAsia" w:ascii="Arial" w:hAnsi="Arial" w:cs="Arial"/>
          <w:color w:val="000000"/>
          <w:sz w:val="21"/>
          <w:szCs w:val="21"/>
        </w:rPr>
        <w:t>八层面模板铺设</w:t>
      </w:r>
      <w:r>
        <w:rPr>
          <w:rFonts w:ascii="Arial" w:hAnsi="Arial" w:cs="Arial"/>
          <w:color w:val="000000"/>
          <w:sz w:val="21"/>
          <w:szCs w:val="21"/>
        </w:rPr>
        <w:t>、6#</w:t>
      </w:r>
      <w:r>
        <w:rPr>
          <w:rFonts w:hint="eastAsia" w:ascii="Arial" w:hAnsi="Arial" w:cs="Arial"/>
          <w:color w:val="000000"/>
          <w:sz w:val="21"/>
          <w:szCs w:val="21"/>
        </w:rPr>
        <w:t>二层墙柱封模完成</w:t>
      </w:r>
      <w:r>
        <w:rPr>
          <w:rFonts w:ascii="Arial" w:hAnsi="Arial" w:cs="Arial"/>
          <w:color w:val="000000"/>
          <w:sz w:val="21"/>
          <w:szCs w:val="21"/>
        </w:rPr>
        <w:t>，3#</w:t>
      </w:r>
      <w:r>
        <w:rPr>
          <w:rFonts w:hint="eastAsia" w:ascii="Arial" w:hAnsi="Arial" w:cs="Arial"/>
          <w:color w:val="000000"/>
          <w:sz w:val="21"/>
          <w:szCs w:val="21"/>
        </w:rPr>
        <w:t>正负零结构浇筑完成</w:t>
      </w:r>
      <w:r>
        <w:rPr>
          <w:rFonts w:ascii="Arial" w:hAnsi="Arial" w:cs="Arial"/>
          <w:color w:val="000000"/>
          <w:sz w:val="21"/>
          <w:szCs w:val="21"/>
        </w:rPr>
        <w:t>；二标段9#</w:t>
      </w:r>
      <w:r>
        <w:rPr>
          <w:rFonts w:hint="eastAsia" w:ascii="Arial" w:hAnsi="Arial" w:cs="Arial"/>
          <w:color w:val="000000"/>
          <w:sz w:val="21"/>
          <w:szCs w:val="21"/>
        </w:rPr>
        <w:t>十五层梁板钢筋安装</w:t>
      </w:r>
      <w:r>
        <w:rPr>
          <w:rFonts w:ascii="Arial" w:hAnsi="Arial" w:cs="Arial"/>
          <w:color w:val="000000"/>
          <w:sz w:val="21"/>
          <w:szCs w:val="21"/>
        </w:rPr>
        <w:t>、10#</w:t>
      </w:r>
      <w:r>
        <w:rPr>
          <w:rFonts w:hint="eastAsia" w:ascii="Arial" w:hAnsi="Arial" w:cs="Arial"/>
          <w:color w:val="000000"/>
          <w:sz w:val="21"/>
          <w:szCs w:val="21"/>
        </w:rPr>
        <w:t>十六层墙柱钢筋安装</w:t>
      </w:r>
      <w:r>
        <w:rPr>
          <w:rFonts w:ascii="Arial" w:hAnsi="Arial" w:cs="Arial"/>
          <w:color w:val="000000"/>
          <w:sz w:val="21"/>
          <w:szCs w:val="21"/>
        </w:rPr>
        <w:t>、4#</w:t>
      </w:r>
      <w:r>
        <w:rPr>
          <w:rFonts w:hint="eastAsia" w:ascii="Arial" w:hAnsi="Arial" w:cs="Arial"/>
          <w:color w:val="000000"/>
          <w:sz w:val="21"/>
          <w:szCs w:val="21"/>
        </w:rPr>
        <w:t>六层面平板铺设完成</w:t>
      </w:r>
      <w:r>
        <w:rPr>
          <w:rFonts w:ascii="Arial" w:hAnsi="Arial" w:cs="Arial"/>
          <w:color w:val="000000"/>
          <w:sz w:val="21"/>
          <w:szCs w:val="21"/>
        </w:rPr>
        <w:t>、7#</w:t>
      </w:r>
      <w:r>
        <w:rPr>
          <w:rFonts w:hint="eastAsia" w:ascii="Arial" w:hAnsi="Arial" w:cs="Arial"/>
          <w:color w:val="000000"/>
          <w:sz w:val="21"/>
          <w:szCs w:val="21"/>
        </w:rPr>
        <w:t>七层结构梁板钢筋安装完成</w:t>
      </w:r>
      <w:r>
        <w:rPr>
          <w:rFonts w:ascii="Arial" w:hAnsi="Arial" w:cs="Arial"/>
          <w:color w:val="000000"/>
          <w:sz w:val="21"/>
          <w:szCs w:val="21"/>
        </w:rPr>
        <w:t>，2#</w:t>
      </w:r>
      <w:r>
        <w:rPr>
          <w:rFonts w:hint="eastAsia" w:ascii="Arial" w:hAnsi="Arial" w:cs="Arial"/>
          <w:color w:val="000000"/>
          <w:sz w:val="21"/>
          <w:szCs w:val="21"/>
          <w:lang w:eastAsia="zh-CN"/>
        </w:rPr>
        <w:t>地下室</w:t>
      </w:r>
      <w:r>
        <w:rPr>
          <w:rFonts w:hint="eastAsia" w:ascii="Arial" w:hAnsi="Arial" w:cs="Arial"/>
          <w:color w:val="000000"/>
          <w:sz w:val="21"/>
          <w:szCs w:val="21"/>
        </w:rPr>
        <w:t>墙柱钢筋安装完成，墙柱封模整体完成70%，平板完成30%（西侧）</w:t>
      </w:r>
      <w:r>
        <w:rPr>
          <w:rFonts w:ascii="Arial" w:hAnsi="Arial" w:cs="Arial"/>
          <w:color w:val="000000"/>
          <w:sz w:val="21"/>
          <w:szCs w:val="21"/>
        </w:rPr>
        <w:t>。1#地块（二期）正在进行试桩。总体工程进度符合第一次董事会的商业计划进度要求。</w:t>
      </w:r>
    </w:p>
    <w:p>
      <w:pPr>
        <w:spacing w:line="360" w:lineRule="auto"/>
        <w:ind w:firstLine="420" w:firstLineChars="200"/>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kern w:val="2"/>
          <w:sz w:val="21"/>
          <w:szCs w:val="21"/>
        </w:rPr>
        <w:t>2021年</w:t>
      </w:r>
      <w:r>
        <w:rPr>
          <w:rFonts w:hint="eastAsia" w:ascii="Arial" w:hAnsi="Arial" w:cs="Arial"/>
          <w:kern w:val="2"/>
          <w:sz w:val="21"/>
          <w:szCs w:val="21"/>
        </w:rPr>
        <w:t>4</w:t>
      </w:r>
      <w:r>
        <w:rPr>
          <w:rFonts w:ascii="Arial" w:hAnsi="Arial" w:cs="Arial"/>
          <w:kern w:val="2"/>
          <w:sz w:val="21"/>
          <w:szCs w:val="21"/>
        </w:rPr>
        <w:t>月共计销售</w:t>
      </w:r>
      <w:r>
        <w:rPr>
          <w:rFonts w:hint="eastAsia" w:ascii="Arial" w:hAnsi="Arial" w:cs="Arial"/>
          <w:kern w:val="2"/>
          <w:sz w:val="21"/>
          <w:szCs w:val="21"/>
        </w:rPr>
        <w:t>115</w:t>
      </w:r>
      <w:r>
        <w:rPr>
          <w:rFonts w:ascii="Arial" w:hAnsi="Arial" w:cs="Arial"/>
          <w:kern w:val="2"/>
          <w:sz w:val="21"/>
          <w:szCs w:val="21"/>
        </w:rPr>
        <w:t>套，销售面积为</w:t>
      </w:r>
      <w:r>
        <w:rPr>
          <w:rFonts w:hint="eastAsia" w:ascii="Arial" w:hAnsi="Arial" w:cs="Arial"/>
          <w:kern w:val="2"/>
          <w:sz w:val="21"/>
          <w:szCs w:val="21"/>
        </w:rPr>
        <w:t>17,438.12</w:t>
      </w:r>
      <w:r>
        <w:rPr>
          <w:rFonts w:ascii="Arial" w:hAnsi="Arial" w:cs="Arial"/>
          <w:kern w:val="2"/>
          <w:sz w:val="21"/>
          <w:szCs w:val="21"/>
        </w:rPr>
        <w:t>㎡，合同金额</w:t>
      </w:r>
      <w:r>
        <w:rPr>
          <w:rFonts w:hint="eastAsia" w:ascii="Arial" w:hAnsi="Arial" w:cs="Arial"/>
          <w:kern w:val="2"/>
          <w:sz w:val="21"/>
          <w:szCs w:val="21"/>
        </w:rPr>
        <w:t>30,178.00</w:t>
      </w:r>
      <w:r>
        <w:rPr>
          <w:rFonts w:ascii="Arial" w:hAnsi="Arial" w:cs="Arial"/>
          <w:kern w:val="2"/>
          <w:sz w:val="21"/>
          <w:szCs w:val="21"/>
        </w:rPr>
        <w:t>万元，本月销售回款</w:t>
      </w:r>
      <w:r>
        <w:rPr>
          <w:rFonts w:hint="eastAsia" w:ascii="Arial" w:hAnsi="Arial" w:cs="Arial"/>
          <w:kern w:val="2"/>
          <w:sz w:val="21"/>
          <w:szCs w:val="21"/>
        </w:rPr>
        <w:t>15,213.68</w:t>
      </w:r>
      <w:r>
        <w:rPr>
          <w:rFonts w:ascii="Arial" w:hAnsi="Arial" w:cs="Arial"/>
          <w:kern w:val="2"/>
          <w:sz w:val="21"/>
          <w:szCs w:val="21"/>
        </w:rPr>
        <w:t>万元；</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w:t>
      </w:r>
      <w:r>
        <w:rPr>
          <w:rFonts w:hint="eastAsia" w:ascii="Arial" w:hAnsi="Arial" w:cs="Arial"/>
          <w:color w:val="000000"/>
          <w:sz w:val="21"/>
          <w:szCs w:val="21"/>
        </w:rPr>
        <w:t>2020年12月27日，开盘推出306套，2021年4月17日加推136套，共计房源442套。</w:t>
      </w:r>
      <w:r>
        <w:rPr>
          <w:rFonts w:ascii="Arial" w:hAnsi="Arial" w:cs="Arial"/>
          <w:color w:val="000000"/>
          <w:sz w:val="21"/>
          <w:szCs w:val="21"/>
        </w:rPr>
        <w:t>项目累计销售</w:t>
      </w:r>
      <w:r>
        <w:rPr>
          <w:rFonts w:hint="eastAsia" w:ascii="Arial" w:hAnsi="Arial" w:cs="Arial"/>
          <w:color w:val="000000"/>
          <w:sz w:val="21"/>
          <w:szCs w:val="21"/>
        </w:rPr>
        <w:t>408</w:t>
      </w:r>
      <w:r>
        <w:rPr>
          <w:rFonts w:ascii="Arial" w:hAnsi="Arial" w:cs="Arial"/>
          <w:color w:val="000000"/>
          <w:sz w:val="21"/>
          <w:szCs w:val="21"/>
        </w:rPr>
        <w:t>套，销售面积为</w:t>
      </w:r>
      <w:r>
        <w:rPr>
          <w:rFonts w:hint="eastAsia" w:ascii="Arial" w:hAnsi="Arial" w:cs="Arial"/>
          <w:color w:val="000000"/>
          <w:sz w:val="21"/>
          <w:szCs w:val="21"/>
        </w:rPr>
        <w:t>58</w:t>
      </w:r>
      <w:r>
        <w:rPr>
          <w:rFonts w:ascii="Arial" w:hAnsi="Arial" w:cs="Arial"/>
          <w:color w:val="000000"/>
          <w:sz w:val="21"/>
          <w:szCs w:val="21"/>
        </w:rPr>
        <w:t>,</w:t>
      </w:r>
      <w:r>
        <w:rPr>
          <w:rFonts w:hint="eastAsia" w:ascii="Arial" w:hAnsi="Arial" w:cs="Arial"/>
          <w:color w:val="000000"/>
          <w:sz w:val="21"/>
          <w:szCs w:val="21"/>
        </w:rPr>
        <w:t>300</w:t>
      </w:r>
      <w:r>
        <w:rPr>
          <w:rFonts w:ascii="Arial" w:hAnsi="Arial" w:cs="Arial"/>
          <w:color w:val="000000"/>
          <w:sz w:val="21"/>
          <w:szCs w:val="21"/>
        </w:rPr>
        <w:t>.</w:t>
      </w:r>
      <w:r>
        <w:rPr>
          <w:rFonts w:hint="eastAsia" w:ascii="Arial" w:hAnsi="Arial" w:cs="Arial"/>
          <w:color w:val="000000"/>
          <w:sz w:val="21"/>
          <w:szCs w:val="21"/>
        </w:rPr>
        <w:t>80</w:t>
      </w:r>
      <w:r>
        <w:rPr>
          <w:rFonts w:ascii="Arial" w:hAnsi="Arial" w:cs="Arial"/>
          <w:color w:val="000000"/>
          <w:sz w:val="21"/>
          <w:szCs w:val="21"/>
        </w:rPr>
        <w:t>㎡。累计认购、签约合同总价</w:t>
      </w:r>
      <w:r>
        <w:rPr>
          <w:rFonts w:hint="eastAsia" w:ascii="Arial" w:hAnsi="Arial" w:cs="Arial"/>
          <w:color w:val="000000"/>
          <w:sz w:val="21"/>
          <w:szCs w:val="21"/>
        </w:rPr>
        <w:t>100</w:t>
      </w:r>
      <w:r>
        <w:rPr>
          <w:rFonts w:ascii="Arial" w:hAnsi="Arial" w:cs="Arial"/>
          <w:color w:val="000000"/>
          <w:sz w:val="21"/>
          <w:szCs w:val="21"/>
        </w:rPr>
        <w:t>,</w:t>
      </w:r>
      <w:r>
        <w:rPr>
          <w:rFonts w:hint="eastAsia" w:ascii="Arial" w:hAnsi="Arial" w:cs="Arial"/>
          <w:color w:val="000000"/>
          <w:sz w:val="21"/>
          <w:szCs w:val="21"/>
        </w:rPr>
        <w:t>238</w:t>
      </w:r>
      <w:r>
        <w:rPr>
          <w:rFonts w:ascii="Arial" w:hAnsi="Arial" w:cs="Arial"/>
          <w:color w:val="000000"/>
          <w:sz w:val="21"/>
          <w:szCs w:val="21"/>
        </w:rPr>
        <w:t>.</w:t>
      </w:r>
      <w:r>
        <w:rPr>
          <w:rFonts w:hint="eastAsia" w:ascii="Arial" w:hAnsi="Arial" w:cs="Arial"/>
          <w:color w:val="000000"/>
          <w:sz w:val="21"/>
          <w:szCs w:val="21"/>
        </w:rPr>
        <w:t>48</w:t>
      </w:r>
      <w:r>
        <w:rPr>
          <w:rFonts w:ascii="Arial" w:hAnsi="Arial" w:cs="Arial"/>
          <w:color w:val="000000"/>
          <w:sz w:val="21"/>
          <w:szCs w:val="21"/>
        </w:rPr>
        <w:t>万元，其中认购备案合同总价</w:t>
      </w:r>
      <w:r>
        <w:rPr>
          <w:rFonts w:hint="eastAsia" w:ascii="Arial" w:hAnsi="Arial" w:cs="Arial"/>
          <w:color w:val="000000"/>
          <w:sz w:val="21"/>
          <w:szCs w:val="21"/>
        </w:rPr>
        <w:t>1,984.44</w:t>
      </w:r>
      <w:r>
        <w:rPr>
          <w:rFonts w:ascii="Arial" w:hAnsi="Arial" w:cs="Arial"/>
          <w:color w:val="000000"/>
          <w:sz w:val="21"/>
          <w:szCs w:val="21"/>
        </w:rPr>
        <w:t>万元,签约合同总价</w:t>
      </w:r>
      <w:r>
        <w:rPr>
          <w:rFonts w:hint="eastAsia" w:ascii="Arial" w:hAnsi="Arial" w:cs="Arial"/>
          <w:color w:val="000000"/>
          <w:sz w:val="21"/>
          <w:szCs w:val="21"/>
        </w:rPr>
        <w:t>98</w:t>
      </w:r>
      <w:r>
        <w:rPr>
          <w:rFonts w:ascii="Arial" w:hAnsi="Arial" w:cs="Arial"/>
          <w:color w:val="000000"/>
          <w:sz w:val="21"/>
          <w:szCs w:val="21"/>
        </w:rPr>
        <w:t>,</w:t>
      </w:r>
      <w:r>
        <w:rPr>
          <w:rFonts w:hint="eastAsia" w:ascii="Arial" w:hAnsi="Arial" w:cs="Arial"/>
          <w:color w:val="000000"/>
          <w:sz w:val="21"/>
          <w:szCs w:val="21"/>
        </w:rPr>
        <w:t>254</w:t>
      </w:r>
      <w:r>
        <w:rPr>
          <w:rFonts w:ascii="Arial" w:hAnsi="Arial" w:cs="Arial"/>
          <w:color w:val="000000"/>
          <w:sz w:val="21"/>
          <w:szCs w:val="21"/>
        </w:rPr>
        <w:t>.</w:t>
      </w:r>
      <w:r>
        <w:rPr>
          <w:rFonts w:hint="eastAsia" w:ascii="Arial" w:hAnsi="Arial" w:cs="Arial"/>
          <w:color w:val="000000"/>
          <w:sz w:val="21"/>
          <w:szCs w:val="21"/>
        </w:rPr>
        <w:t>04</w:t>
      </w:r>
      <w:r>
        <w:rPr>
          <w:rFonts w:ascii="Arial" w:hAnsi="Arial" w:cs="Arial"/>
          <w:color w:val="000000"/>
          <w:sz w:val="21"/>
          <w:szCs w:val="21"/>
        </w:rPr>
        <w:t>万元；回款总额</w:t>
      </w:r>
      <w:r>
        <w:rPr>
          <w:rFonts w:hint="eastAsia" w:ascii="Arial" w:hAnsi="Arial" w:cs="Arial"/>
          <w:color w:val="000000"/>
          <w:sz w:val="21"/>
          <w:szCs w:val="21"/>
        </w:rPr>
        <w:t>65</w:t>
      </w:r>
      <w:r>
        <w:rPr>
          <w:rFonts w:ascii="Arial" w:hAnsi="Arial" w:cs="Arial"/>
          <w:color w:val="000000"/>
          <w:sz w:val="21"/>
          <w:szCs w:val="21"/>
        </w:rPr>
        <w:t>,</w:t>
      </w:r>
      <w:r>
        <w:rPr>
          <w:rFonts w:hint="eastAsia" w:ascii="Arial" w:hAnsi="Arial" w:cs="Arial"/>
          <w:color w:val="000000"/>
          <w:sz w:val="21"/>
          <w:szCs w:val="21"/>
        </w:rPr>
        <w:t>453.54</w:t>
      </w:r>
      <w:r>
        <w:rPr>
          <w:rFonts w:ascii="Arial" w:hAnsi="Arial" w:cs="Arial"/>
          <w:color w:val="000000"/>
          <w:sz w:val="21"/>
          <w:szCs w:val="21"/>
        </w:rPr>
        <w:t>.86万元，</w:t>
      </w:r>
      <w:r>
        <w:rPr>
          <w:rFonts w:hint="eastAsia" w:ascii="Arial" w:hAnsi="Arial" w:cs="Arial"/>
          <w:color w:val="000000"/>
          <w:sz w:val="21"/>
          <w:szCs w:val="21"/>
        </w:rPr>
        <w:t>累计</w:t>
      </w:r>
      <w:r>
        <w:rPr>
          <w:rFonts w:ascii="Arial" w:hAnsi="Arial" w:cs="Arial"/>
          <w:color w:val="000000"/>
          <w:sz w:val="21"/>
          <w:szCs w:val="21"/>
        </w:rPr>
        <w:t>去化率</w:t>
      </w:r>
      <w:r>
        <w:rPr>
          <w:rFonts w:hint="eastAsia" w:ascii="Arial" w:hAnsi="Arial" w:cs="Arial"/>
          <w:color w:val="000000"/>
          <w:sz w:val="21"/>
          <w:szCs w:val="21"/>
        </w:rPr>
        <w:t>92.31</w:t>
      </w:r>
      <w:r>
        <w:rPr>
          <w:rFonts w:ascii="Arial" w:hAnsi="Arial" w:cs="Arial"/>
          <w:color w:val="000000"/>
          <w:sz w:val="21"/>
          <w:szCs w:val="21"/>
        </w:rPr>
        <w:t>%。</w:t>
      </w:r>
    </w:p>
    <w:p>
      <w:pPr>
        <w:spacing w:line="360" w:lineRule="auto"/>
        <w:ind w:firstLine="420" w:firstLineChars="200"/>
        <w:rPr>
          <w:rFonts w:ascii="宋体" w:hAnsi="宋体" w:cs="宋体"/>
          <w:b/>
          <w:sz w:val="21"/>
          <w:szCs w:val="21"/>
        </w:rPr>
      </w:pPr>
      <w:r>
        <w:rPr>
          <w:rFonts w:hint="eastAsia" w:ascii="宋体" w:hAnsi="宋体" w:cs="宋体"/>
          <w:b/>
          <w:sz w:val="21"/>
          <w:szCs w:val="21"/>
        </w:rPr>
        <w:t>16.3</w:t>
      </w:r>
      <w:r>
        <w:rPr>
          <w:rFonts w:ascii="宋体" w:hAnsi="宋体" w:cs="宋体"/>
          <w:b/>
          <w:sz w:val="21"/>
          <w:szCs w:val="21"/>
        </w:rPr>
        <w:t>操作风险评价</w:t>
      </w:r>
    </w:p>
    <w:p>
      <w:pPr>
        <w:spacing w:line="360" w:lineRule="auto"/>
        <w:ind w:firstLine="420" w:firstLineChars="200"/>
        <w:rPr>
          <w:rFonts w:ascii="Arial" w:hAnsi="Arial" w:cs="Arial"/>
          <w:bCs/>
          <w:color w:val="000000"/>
          <w:sz w:val="21"/>
          <w:szCs w:val="21"/>
        </w:r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spacing w:line="360" w:lineRule="auto"/>
        <w:ind w:firstLine="420" w:firstLineChars="200"/>
        <w:rPr>
          <w:rFonts w:ascii="宋体" w:hAnsi="宋体" w:cs="宋体"/>
          <w:b/>
          <w:bCs/>
          <w:sz w:val="21"/>
          <w:szCs w:val="21"/>
        </w:rPr>
      </w:pPr>
      <w:r>
        <w:rPr>
          <w:rFonts w:hint="eastAsia" w:ascii="宋体" w:hAnsi="宋体" w:cs="宋体"/>
          <w:b/>
          <w:sz w:val="21"/>
          <w:szCs w:val="21"/>
        </w:rPr>
        <w:t>16.4</w:t>
      </w:r>
      <w:r>
        <w:rPr>
          <w:rFonts w:hint="eastAsia" w:ascii="宋体" w:hAnsi="宋体" w:cs="宋体"/>
          <w:b/>
          <w:bCs/>
          <w:sz w:val="21"/>
          <w:szCs w:val="21"/>
        </w:rPr>
        <w:t>其他</w:t>
      </w:r>
    </w:p>
    <w:p>
      <w:pPr>
        <w:pStyle w:val="7"/>
        <w:ind w:left="480" w:leftChars="200"/>
        <w:rPr>
          <w:rFonts w:ascii="宋体" w:hAnsi="宋体"/>
          <w:b/>
          <w:bCs/>
          <w:sz w:val="21"/>
          <w:szCs w:val="21"/>
        </w:rPr>
      </w:pPr>
      <w:r>
        <w:rPr>
          <w:rFonts w:hint="eastAsia" w:ascii="Arial" w:hAnsi="Arial" w:cs="Arial"/>
          <w:bCs/>
          <w:szCs w:val="21"/>
        </w:rPr>
        <w:t>无。</w:t>
      </w:r>
    </w:p>
    <w:p>
      <w:pPr>
        <w:outlineLvl w:val="0"/>
        <w:rPr>
          <w:rFonts w:ascii="宋体" w:hAnsi="宋体"/>
          <w:b/>
          <w:bCs/>
          <w:sz w:val="21"/>
          <w:szCs w:val="21"/>
        </w:rPr>
      </w:pPr>
      <w:bookmarkStart w:id="18" w:name="_Toc16555"/>
      <w:r>
        <w:rPr>
          <w:rFonts w:hint="eastAsia" w:ascii="宋体" w:hAnsi="宋体"/>
          <w:b/>
          <w:bCs/>
          <w:sz w:val="21"/>
          <w:szCs w:val="21"/>
        </w:rPr>
        <w:t>十七、附件</w:t>
      </w:r>
      <w:bookmarkEnd w:id="18"/>
    </w:p>
    <w:p>
      <w:pPr>
        <w:ind w:firstLine="420" w:firstLineChars="200"/>
        <w:rPr>
          <w:rFonts w:ascii="宋体" w:hAnsi="宋体" w:cs="宋体"/>
          <w:b/>
          <w:sz w:val="21"/>
          <w:szCs w:val="21"/>
        </w:rPr>
      </w:pPr>
      <w:r>
        <w:rPr>
          <w:rFonts w:hint="eastAsia" w:ascii="宋体" w:hAnsi="宋体" w:cs="宋体"/>
          <w:b/>
          <w:sz w:val="21"/>
          <w:szCs w:val="21"/>
        </w:rPr>
        <w:t>附件一：银行账户余额</w:t>
      </w:r>
    </w:p>
    <w:p>
      <w:pPr>
        <w:jc w:val="center"/>
        <w:rPr>
          <w:rFonts w:ascii="宋体" w:hAnsi="宋体" w:cs="宋体"/>
          <w:bCs/>
          <w:sz w:val="21"/>
          <w:szCs w:val="21"/>
        </w:rPr>
      </w:pPr>
      <w:r>
        <w:rPr>
          <w:rFonts w:hint="eastAsia" w:ascii="宋体" w:hAnsi="宋体" w:cs="宋体"/>
          <w:bCs/>
          <w:sz w:val="21"/>
          <w:szCs w:val="21"/>
        </w:rPr>
        <w:t>苏州星盛房地产开发有限公司（农行盛泽支行0760）</w:t>
      </w:r>
    </w:p>
    <w:p>
      <w:pPr>
        <w:pStyle w:val="7"/>
      </w:pPr>
      <w:r>
        <w:rPr>
          <w:rFonts w:hint="eastAsia"/>
        </w:rPr>
        <w:drawing>
          <wp:inline distT="0" distB="0" distL="114300" distR="114300">
            <wp:extent cx="6118225" cy="2875915"/>
            <wp:effectExtent l="0" t="0" r="15875" b="635"/>
            <wp:docPr id="2" name="图片 2" descr="34555fd4b4cd0bd6290f3ed4dbd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555fd4b4cd0bd6290f3ed4dbd8513"/>
                    <pic:cNvPicPr>
                      <a:picLocks noChangeAspect="1"/>
                    </pic:cNvPicPr>
                  </pic:nvPicPr>
                  <pic:blipFill>
                    <a:blip r:embed="rId10"/>
                    <a:stretch>
                      <a:fillRect/>
                    </a:stretch>
                  </pic:blipFill>
                  <pic:spPr>
                    <a:xfrm>
                      <a:off x="0" y="0"/>
                      <a:ext cx="6118225" cy="2875915"/>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江苏银行盛泽支行（1513、1692、1774、2079、8457）</w:t>
      </w:r>
    </w:p>
    <w:p>
      <w:pPr>
        <w:pStyle w:val="7"/>
        <w:rPr>
          <w:rFonts w:ascii="宋体" w:hAnsi="宋体" w:cs="宋体"/>
          <w:bCs/>
          <w:szCs w:val="21"/>
        </w:rPr>
      </w:pPr>
      <w:r>
        <w:drawing>
          <wp:inline distT="0" distB="0" distL="114300" distR="114300">
            <wp:extent cx="5884545" cy="2574290"/>
            <wp:effectExtent l="0" t="0" r="1905" b="165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5884545" cy="2574290"/>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江苏银行盛泽支行（2407）（政府预售资金监管户）</w:t>
      </w:r>
    </w:p>
    <w:p>
      <w:pPr>
        <w:pStyle w:val="7"/>
      </w:pPr>
      <w:r>
        <w:drawing>
          <wp:inline distT="0" distB="0" distL="114300" distR="114300">
            <wp:extent cx="5728970" cy="2686685"/>
            <wp:effectExtent l="0" t="0" r="508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728970" cy="2686685"/>
                    </a:xfrm>
                    <a:prstGeom prst="rect">
                      <a:avLst/>
                    </a:prstGeom>
                    <a:noFill/>
                    <a:ln>
                      <a:noFill/>
                    </a:ln>
                  </pic:spPr>
                </pic:pic>
              </a:graphicData>
            </a:graphic>
          </wp:inline>
        </w:drawing>
      </w:r>
    </w:p>
    <w:p>
      <w:pPr>
        <w:pStyle w:val="7"/>
      </w:pPr>
    </w:p>
    <w:p>
      <w:pPr>
        <w:jc w:val="center"/>
        <w:rPr>
          <w:rFonts w:ascii="宋体" w:hAnsi="宋体" w:cs="宋体"/>
          <w:bCs/>
          <w:sz w:val="21"/>
          <w:szCs w:val="21"/>
        </w:rPr>
      </w:pPr>
    </w:p>
    <w:p>
      <w:pPr>
        <w:jc w:val="center"/>
        <w:rPr>
          <w:rFonts w:ascii="宋体" w:hAnsi="宋体" w:cs="宋体"/>
          <w:bCs/>
          <w:sz w:val="21"/>
          <w:szCs w:val="21"/>
        </w:rPr>
      </w:pPr>
    </w:p>
    <w:p>
      <w:pPr>
        <w:jc w:val="center"/>
        <w:rPr>
          <w:rFonts w:ascii="宋体" w:hAnsi="宋体" w:cs="宋体"/>
          <w:bCs/>
          <w:sz w:val="21"/>
          <w:szCs w:val="21"/>
        </w:rPr>
      </w:pPr>
      <w:r>
        <w:rPr>
          <w:rFonts w:hint="eastAsia" w:ascii="宋体" w:hAnsi="宋体" w:cs="宋体"/>
          <w:bCs/>
          <w:sz w:val="21"/>
          <w:szCs w:val="21"/>
        </w:rPr>
        <w:t>中国银行吴越支行（9157）</w:t>
      </w:r>
    </w:p>
    <w:p>
      <w:pPr>
        <w:pStyle w:val="7"/>
      </w:pPr>
      <w:r>
        <w:drawing>
          <wp:inline distT="0" distB="0" distL="114300" distR="114300">
            <wp:extent cx="6118225" cy="1971675"/>
            <wp:effectExtent l="0" t="0" r="15875"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6118225" cy="1971675"/>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工商银行盛泽支行（2704）</w:t>
      </w:r>
    </w:p>
    <w:p>
      <w:pPr>
        <w:jc w:val="both"/>
        <w:rPr>
          <w:rFonts w:ascii="宋体" w:hAnsi="宋体" w:cs="宋体"/>
          <w:bCs/>
          <w:sz w:val="21"/>
          <w:szCs w:val="21"/>
        </w:rPr>
      </w:pPr>
      <w:r>
        <w:drawing>
          <wp:inline distT="0" distB="0" distL="114300" distR="114300">
            <wp:extent cx="6116320" cy="1917700"/>
            <wp:effectExtent l="0" t="0" r="17780" b="635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6116320" cy="1917700"/>
                    </a:xfrm>
                    <a:prstGeom prst="rect">
                      <a:avLst/>
                    </a:prstGeom>
                    <a:noFill/>
                    <a:ln>
                      <a:noFill/>
                    </a:ln>
                  </pic:spPr>
                </pic:pic>
              </a:graphicData>
            </a:graphic>
          </wp:inline>
        </w:drawing>
      </w: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附件二：本期合同签约台账</w:t>
      </w:r>
    </w:p>
    <w:tbl>
      <w:tblPr>
        <w:tblStyle w:val="17"/>
        <w:tblpPr w:leftFromText="180" w:rightFromText="180" w:vertAnchor="text" w:horzAnchor="page" w:tblpX="661" w:tblpY="332"/>
        <w:tblOverlap w:val="never"/>
        <w:tblW w:w="10590" w:type="dxa"/>
        <w:tblInd w:w="0" w:type="dxa"/>
        <w:shd w:val="clear" w:color="auto" w:fill="FFFFFF" w:themeFill="background1"/>
        <w:tblLayout w:type="fixed"/>
        <w:tblCellMar>
          <w:top w:w="0" w:type="dxa"/>
          <w:left w:w="108" w:type="dxa"/>
          <w:bottom w:w="0" w:type="dxa"/>
          <w:right w:w="108" w:type="dxa"/>
        </w:tblCellMar>
      </w:tblPr>
      <w:tblGrid>
        <w:gridCol w:w="490"/>
        <w:gridCol w:w="1100"/>
        <w:gridCol w:w="975"/>
        <w:gridCol w:w="1312"/>
        <w:gridCol w:w="4194"/>
        <w:gridCol w:w="1350"/>
        <w:gridCol w:w="637"/>
        <w:gridCol w:w="532"/>
      </w:tblGrid>
      <w:tr>
        <w:tblPrEx>
          <w:shd w:val="clear" w:color="auto" w:fill="FFFFFF" w:themeFill="background1"/>
          <w:tblCellMar>
            <w:top w:w="0" w:type="dxa"/>
            <w:left w:w="108" w:type="dxa"/>
            <w:bottom w:w="0" w:type="dxa"/>
            <w:right w:w="108" w:type="dxa"/>
          </w:tblCellMar>
        </w:tblPrEx>
        <w:trPr>
          <w:trHeight w:val="460" w:hRule="atLeast"/>
          <w:tblHeader/>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签约对方单位</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蚌埠灵工科技有限公司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服务合同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由乙方负责市场推广等服务，运用共享经济智能交互平台及管理系统，接受甲方委托其提供综合服务，包括但不限于为其寻找、筛选、匹配适合的自由职业者承接服务项目，向自由职业者宣贯服务内容、服务标准等。 收费标准：服务费＝绩效费（税后）＋管理费</w:t>
            </w:r>
            <w:r>
              <w:rPr>
                <w:rFonts w:hint="eastAsia" w:ascii="Arial" w:hAnsi="Arial" w:cs="Arial"/>
                <w:color w:val="000000"/>
                <w:sz w:val="15"/>
                <w:szCs w:val="15"/>
                <w:lang w:bidi="ar"/>
              </w:rPr>
              <w:t>，</w:t>
            </w:r>
            <w:r>
              <w:rPr>
                <w:rFonts w:ascii="Arial" w:hAnsi="Arial" w:cs="Arial"/>
                <w:color w:val="000000"/>
                <w:sz w:val="15"/>
                <w:szCs w:val="15"/>
                <w:lang w:bidi="ar"/>
              </w:rPr>
              <w:t>上述管理费＝服务费x【7】％（含税，税率适用【6】％）甲乙双方同意，现阶段合作项目的自由职业者的绩效费标准将不超过9万元／人／月，因此以上管理费标准适用于月绩效费9.8万元（含）以下的自由职业者。如甲方要求乙方推荐自由职业者产生的月绩效费超过9.9万元，甲乙双方将另行协商管理费率。期限为2021年3月21日至2021年12月31日。</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苏州永传广告有限公司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位置：吴江第八，江陵站，江兴站，吴江第十一，吴江第十八，坛丘，镜湖，吴江第一，吴江第五，吴江第十三广告形式：桁架三；期限：发布期限【1】个月，暂定自 【2021】年【4】月【13】日至【2021】年【5】月【12】日。实际广告发布期起算日从画面制作安装完毕，经甲方书面验收合格之日起开始计算。</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社区广告投放合同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道闸：长1800mm*高300mm、护栏：长2000mm*高700mm。广告形式：道闸、护栏。3.1发布期限【1】个月，暂定自 【2021】年【04】月【12】日至【2021】年【05】月【11】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社区广告投放合同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电梯框架：宽420mm*高570mm 广告形式：电梯框架。33.1发布期限【1】个月，具体发布时间以上刊时间为准。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苏州义方达文化传媒有限公司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户外广告投放合同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户外广告投放。广告形式：户外桁架。发布期限【1】个月，具体以上刊时间为准。实际广告发布期起算日从画面制作安装完毕，经甲方书面验收合格之日起开始计算。(实际发布日期与上述约定发布日期不一致的，以实际发布日期为准）。</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江苏坤龙建设集团有限公司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盛泽项目一期二标段总承包工程合同补充协议一</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2#、4#、7#、9#、10#、门卫、清洁屋1、1号配电房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2,637,400.74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浙江长成建筑装饰工程有限公司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盛泽项目一期一标段总承包工程合同补充协议一</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3#、5#、6#、8#、11#、清洁屋2、2号配电房、3号配电房+开闭所+工具间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4,844,059.76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苏州顺驰文化传媒有限公司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盛泽项目落位客户回访礼礼品采购合同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乙方接受甲方委托，就（盛泽）项目的（落位客户回访礼礼品采购）事宜与甲方协商一致，根据《中华人民共和国民法典》等有关法律、法规，甲乙双方本着平等互利的原则，兹签订合同如下，承诺共同遵守： 甲方向乙方采购如下商品，采购物资数量及价格：安吉白茶28斤，定制礼盒100份</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马婕</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房屋租赁合同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租赁苏州市星湖花园32幢602室作为员工宿舍，租期为2021年4月12日至2022年4月11日，租金为4600.00元/月。</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69,000.00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苏州建通汽车销售服务有限公司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汽车买卖合同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采购商务车1辆，用于日常公务用车，汽车总价256900.00元，委托服务费3000元。</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259,900.00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无锡海顺纸业有限公司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环沪公司盛泽项目2021年3月户 型册印刷制作合同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盛泽项目海顺户型图印刷制作,户型图180（封套+单页*1种),尺寸：封套尺寸 420*310    内页207*300，数量3000份；户型图高层（封套+单页*5种)，尺寸：封套尺寸 420*310    内页207*300；数量：5000份。</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88,400.00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深圳市明源云科技有限公司上海分公司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环沪公司盛泽项目明源云客企业</w:t>
            </w:r>
            <w:r>
              <w:rPr>
                <w:rFonts w:ascii="Arial" w:hAnsi="Arial" w:cs="Arial"/>
                <w:color w:val="000000"/>
                <w:sz w:val="15"/>
                <w:szCs w:val="15"/>
                <w:lang w:bidi="ar"/>
              </w:rPr>
              <w:br w:type="textWrapping"/>
            </w:r>
            <w:r>
              <w:rPr>
                <w:rFonts w:ascii="Arial" w:hAnsi="Arial" w:cs="Arial"/>
                <w:color w:val="000000"/>
                <w:sz w:val="15"/>
                <w:szCs w:val="15"/>
                <w:lang w:bidi="ar"/>
              </w:rPr>
              <w:t>微信搭建合同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乙双方在平等、互利的基础上，遵循自愿、公平和诚信的原则，依照《中华人民共和国合同法》及其他有关法律、行政法规，经友好协商，达成如下合同：乙方为甲方提供网站技术服务，包括明源云客企业微信、明源云客春节置业运营服务、明源云客实施服务费，本合同约定的租用起始日期从开通企业管理账号之日起计算。</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26,400.00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吴中经济技术开发区新动力广告</w:t>
            </w:r>
            <w:r>
              <w:rPr>
                <w:rFonts w:ascii="Arial" w:hAnsi="Arial" w:cs="Arial"/>
                <w:color w:val="000000"/>
                <w:sz w:val="15"/>
                <w:szCs w:val="15"/>
                <w:lang w:bidi="ar"/>
              </w:rPr>
              <w:br w:type="textWrapping"/>
            </w:r>
            <w:r>
              <w:rPr>
                <w:rFonts w:ascii="Arial" w:hAnsi="Arial" w:cs="Arial"/>
                <w:color w:val="000000"/>
                <w:sz w:val="15"/>
                <w:szCs w:val="15"/>
                <w:lang w:bidi="ar"/>
              </w:rPr>
              <w:t>制作部</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环沪公司盛泽项目2021年天铂围</w:t>
            </w:r>
            <w:r>
              <w:rPr>
                <w:rFonts w:ascii="Arial" w:hAnsi="Arial" w:cs="Arial"/>
                <w:color w:val="000000"/>
                <w:sz w:val="15"/>
                <w:szCs w:val="15"/>
                <w:lang w:bidi="ar"/>
              </w:rPr>
              <w:br w:type="textWrapping"/>
            </w:r>
            <w:r>
              <w:rPr>
                <w:rFonts w:ascii="Arial" w:hAnsi="Arial" w:cs="Arial"/>
                <w:color w:val="000000"/>
                <w:sz w:val="15"/>
                <w:szCs w:val="15"/>
                <w:lang w:bidi="ar"/>
              </w:rPr>
              <w:t>挡画面更换制作合同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印刷品名称或项目：盛泽天铂围挡画面更换制作。</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81,000.00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苏州建创广告传媒有限公司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乡镇横幅广告投放合同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乡镇横幅户外广告，广告位置：街道，广告形式：户外，材质喷绘布。3.1发布期限【半】个月，暂定自 【2020】年【3】月【20】日至【2021】年【4】月【4】日。实际广告发布期起算日从画面制作安装完毕，经甲方书面验收合格之日起开始计算。(实际发布日期与上述约定发布日期不一致的，以实际发布日期为准）。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1371"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苏州永传广告有限公司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签订本合同：内容：小区公告栏广告，广告形式，公告栏。制作材料：广告画面采用：  户外写真 发布期限【1】个月，暂定自 【2021】年【4】月【12】日至【2021】年【5】月【11】日。实际广告发布期起算日从画面制作安装完毕，经甲方书面验收合格之日起开始计算。(实际发布日期与上述约定发布日期不一致的，以实际发布日期为准）。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苏州新征程广告有限公司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环沪公司盛泽项目业主生日会活动（4月）合同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方与乙方就红星天铂盛泽项目业主生日会活动（4月）合同事宜进行合作，由乙方负责红星天铂盛泽项目业主生日会活动（4月）策划、执行。甲乙双方在平等基础上经友好协商，达成以下协议：乙方负责策划并执行红星天铂盛泽项目业主生日会活动（4月）活动地点：盛泽项目售楼处</w:t>
            </w:r>
            <w:r>
              <w:rPr>
                <w:rFonts w:hint="eastAsia" w:ascii="Arial" w:hAnsi="Arial" w:cs="Arial"/>
                <w:color w:val="000000"/>
                <w:sz w:val="15"/>
                <w:szCs w:val="15"/>
                <w:lang w:bidi="ar"/>
              </w:rPr>
              <w:t>。</w:t>
            </w:r>
            <w:r>
              <w:rPr>
                <w:rFonts w:ascii="Arial" w:hAnsi="Arial" w:cs="Arial"/>
                <w:color w:val="000000"/>
                <w:sz w:val="15"/>
                <w:szCs w:val="15"/>
                <w:lang w:bidi="ar"/>
              </w:rPr>
              <w:t>活动服务内容（具体详见附件2：报价单）：乙方负责为主题活动的内容、活动安排等进行策划；乙方负责为甲方布置活动场地，并组织现场活动。</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苏州盛邦华群文化科技有限公司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红星盛泽项目</w:t>
            </w:r>
            <w:r>
              <w:rPr>
                <w:rFonts w:ascii="Arial" w:hAnsi="Arial" w:cs="Arial"/>
                <w:color w:val="000000"/>
                <w:sz w:val="15"/>
                <w:szCs w:val="15"/>
                <w:lang w:bidi="ar"/>
              </w:rPr>
              <w:br w:type="textWrapping"/>
            </w:r>
            <w:r>
              <w:rPr>
                <w:rFonts w:ascii="Arial" w:hAnsi="Arial" w:cs="Arial"/>
                <w:color w:val="000000"/>
                <w:sz w:val="15"/>
                <w:szCs w:val="15"/>
                <w:lang w:bidi="ar"/>
              </w:rPr>
              <w:t>商超巡展位租赁及物料制作合同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根据《中华人民共和国民法典》及有关法律法规，遵循平等、自愿、公平及诚实信用的原则，甲乙双方经友好协商，就甲方委托乙方进行 东方纺织城巡展位租赁及物料制作安装事宜达成一致，订立本合同，以资共同遵守执行。1.甲方委托乙方为 红星盛泽东方纺织城市场地租赁  项目（简称“项目”或“本项目”）进行物料制作安装，由乙方根据甲方具体要求执行，安装地点由甲方指定。本协议展位租赁期限自 2021 年4 月 15  日起至 2021 年  5 月 14 日，若乙方未于上述租期期限开始时乙方尚未提供租赁场地的，租赁期限自乙方实际提供之日期计算。乙方应在租赁期限开始前完成合同项下的全部物料制作安装并经甲方验收合格。</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苏州三川营造环境艺术有限公司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  示范区红线外市政景观 分包工程交由分包人实施，并已接受了分包人提出为进行本工程的施工、竣工、交付并修复其中任何的缺陷，并完成档案及验收所收取的下述报酬金额。又鉴于分包人同意按照下文约定的合同文件的要求履行其合同责任和义务，并保证以诚信、敬业和积极的态度与发包人、总承包人及本工程渉及的任何其他人员保持充分有效的合作，进而保证本工程的圆满竣工。</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462,003.25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苏州旭腾建设发展有限公司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w:t>
            </w:r>
            <w:r>
              <w:rPr>
                <w:rFonts w:ascii="Arial" w:hAnsi="Arial" w:cs="Arial"/>
                <w:color w:val="000000"/>
                <w:sz w:val="15"/>
                <w:szCs w:val="15"/>
                <w:lang w:bidi="ar"/>
              </w:rPr>
              <w:br w:type="textWrapping"/>
            </w:r>
            <w:r>
              <w:rPr>
                <w:rFonts w:ascii="Arial" w:hAnsi="Arial" w:cs="Arial"/>
                <w:color w:val="000000"/>
                <w:sz w:val="15"/>
                <w:szCs w:val="15"/>
                <w:lang w:bidi="ar"/>
              </w:rPr>
              <w:t>二期</w:t>
            </w:r>
            <w:r>
              <w:rPr>
                <w:rFonts w:ascii="Arial" w:hAnsi="Arial" w:cs="Arial"/>
                <w:color w:val="000000"/>
                <w:sz w:val="15"/>
                <w:szCs w:val="15"/>
                <w:lang w:bidi="ar"/>
              </w:rPr>
              <w:br w:type="textWrapping"/>
            </w:r>
            <w:r>
              <w:rPr>
                <w:rFonts w:ascii="Arial" w:hAnsi="Arial" w:cs="Arial"/>
                <w:color w:val="000000"/>
                <w:sz w:val="15"/>
                <w:szCs w:val="15"/>
                <w:lang w:bidi="ar"/>
              </w:rPr>
              <w:t>土方分包工程</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吴江盛泽项目二期土方分包工程交由分包人实施，并已接受了分包人提出为进行本工程的施工、竣工、交付并修复其中任何的缺陷，并完成档案及验收所收取的下述报酬金额。1.地块自然地坪平均绝对标高详见测绘报告。</w:t>
            </w:r>
            <w:r>
              <w:rPr>
                <w:rFonts w:ascii="Arial" w:hAnsi="Arial" w:cs="Arial"/>
                <w:color w:val="000000"/>
                <w:sz w:val="15"/>
                <w:szCs w:val="15"/>
                <w:lang w:bidi="ar"/>
              </w:rPr>
              <w:br w:type="textWrapping"/>
            </w:r>
            <w:r>
              <w:rPr>
                <w:rFonts w:ascii="Arial" w:hAnsi="Arial" w:cs="Arial"/>
                <w:color w:val="000000"/>
                <w:sz w:val="15"/>
                <w:szCs w:val="15"/>
                <w:lang w:bidi="ar"/>
              </w:rPr>
              <w:t>按照招标文件、国家及苏州市规范要求、相关部门要求（取较严格者）等，完成土方开挖、外运工作(垫层底标高以上300mm范围的土方开挖属于总包范围)，3.盛泽项目二期南侧道口填河造桥等相关工作包含在本次招标范围内，包括河道道渣回填，具体要求详见南地块道口位置及河道回填图纸，此部分施工内容待总包进场后移交总包使用；</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3,593,033.09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bl>
    <w:p>
      <w:pPr>
        <w:ind w:firstLine="420" w:firstLineChars="200"/>
        <w:rPr>
          <w:rFonts w:ascii="宋体" w:hAnsi="宋体" w:cs="宋体"/>
          <w:bCs/>
          <w:sz w:val="21"/>
          <w:szCs w:val="21"/>
        </w:rPr>
      </w:pPr>
    </w:p>
    <w:p>
      <w:pPr>
        <w:rPr>
          <w:rFonts w:ascii="宋体" w:hAnsi="宋体" w:cs="宋体"/>
          <w:bCs/>
          <w:sz w:val="21"/>
          <w:szCs w:val="21"/>
        </w:rPr>
        <w:sectPr>
          <w:footerReference r:id="rId5" w:type="default"/>
          <w:pgSz w:w="11906" w:h="16838"/>
          <w:pgMar w:top="1134" w:right="1134" w:bottom="1134" w:left="1134" w:header="851" w:footer="992" w:gutter="0"/>
          <w:cols w:space="425" w:num="1"/>
          <w:docGrid w:type="linesAndChars" w:linePitch="326" w:charSpace="0"/>
        </w:sect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附件三：本期合同付款台账</w:t>
      </w:r>
    </w:p>
    <w:tbl>
      <w:tblPr>
        <w:tblStyle w:val="17"/>
        <w:tblpPr w:leftFromText="180" w:rightFromText="180" w:vertAnchor="text" w:horzAnchor="page" w:tblpX="398" w:tblpY="93"/>
        <w:tblOverlap w:val="never"/>
        <w:tblW w:w="154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5"/>
        <w:gridCol w:w="1028"/>
        <w:gridCol w:w="677"/>
        <w:gridCol w:w="888"/>
        <w:gridCol w:w="3050"/>
        <w:gridCol w:w="3768"/>
        <w:gridCol w:w="1275"/>
        <w:gridCol w:w="665"/>
        <w:gridCol w:w="943"/>
        <w:gridCol w:w="1189"/>
        <w:gridCol w:w="1285"/>
        <w:gridCol w:w="2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tblHeader/>
        </w:trPr>
        <w:tc>
          <w:tcPr>
            <w:tcW w:w="435"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1028"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签约日期</w:t>
            </w:r>
          </w:p>
        </w:tc>
        <w:tc>
          <w:tcPr>
            <w:tcW w:w="677"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对方单位</w:t>
            </w:r>
          </w:p>
        </w:tc>
        <w:tc>
          <w:tcPr>
            <w:tcW w:w="888"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3050"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3768"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付款节点</w:t>
            </w:r>
          </w:p>
        </w:tc>
        <w:tc>
          <w:tcPr>
            <w:tcW w:w="1275"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665"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合同类别</w:t>
            </w:r>
          </w:p>
        </w:tc>
        <w:tc>
          <w:tcPr>
            <w:tcW w:w="943"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付款时间</w:t>
            </w:r>
          </w:p>
        </w:tc>
        <w:tc>
          <w:tcPr>
            <w:tcW w:w="1189"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合计金额（元）</w:t>
            </w:r>
          </w:p>
        </w:tc>
        <w:tc>
          <w:tcPr>
            <w:tcW w:w="1285"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未付金额（元）</w:t>
            </w:r>
          </w:p>
        </w:tc>
        <w:tc>
          <w:tcPr>
            <w:tcW w:w="240" w:type="dxa"/>
            <w:shd w:val="clear" w:color="auto" w:fill="auto"/>
            <w:vAlign w:val="center"/>
          </w:tcPr>
          <w:p>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1028"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2020/8/11</w:t>
            </w:r>
          </w:p>
        </w:tc>
        <w:tc>
          <w:tcPr>
            <w:tcW w:w="677"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上海颐玖贰壹设计装饰工程有限公司</w:t>
            </w:r>
          </w:p>
        </w:tc>
        <w:tc>
          <w:tcPr>
            <w:tcW w:w="888"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苏州吴江盛泽</w:t>
            </w:r>
            <w:r>
              <w:rPr>
                <w:rFonts w:ascii="Arial" w:hAnsi="Arial" w:cs="Arial"/>
                <w:color w:val="000000"/>
                <w:sz w:val="15"/>
                <w:szCs w:val="15"/>
                <w:lang w:bidi="ar"/>
              </w:rPr>
              <w:br w:type="textWrapping"/>
            </w:r>
            <w:r>
              <w:rPr>
                <w:rFonts w:ascii="Arial" w:hAnsi="Arial" w:cs="Arial"/>
                <w:color w:val="000000"/>
                <w:sz w:val="15"/>
                <w:szCs w:val="15"/>
                <w:lang w:bidi="ar"/>
              </w:rPr>
              <w:t>售楼处精装修硬装设计合同</w:t>
            </w:r>
          </w:p>
        </w:tc>
        <w:tc>
          <w:tcPr>
            <w:tcW w:w="3050" w:type="dxa"/>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项目名称：【苏州吴江盛泽售楼处精装修硬装设计合同】项目地点：吴江盛泽镇绸都大道西侧舜湖西路南侧 </w:t>
            </w:r>
            <w:r>
              <w:rPr>
                <w:rFonts w:hint="eastAsia" w:ascii="Arial" w:hAnsi="Arial" w:cs="Arial"/>
                <w:color w:val="000000"/>
                <w:sz w:val="15"/>
                <w:szCs w:val="15"/>
                <w:lang w:bidi="ar"/>
              </w:rPr>
              <w:t>。</w:t>
            </w:r>
            <w:r>
              <w:rPr>
                <w:rFonts w:ascii="Arial" w:hAnsi="Arial" w:cs="Arial"/>
                <w:color w:val="000000"/>
                <w:sz w:val="15"/>
                <w:szCs w:val="15"/>
                <w:lang w:bidi="ar"/>
              </w:rPr>
              <w:t>2</w:t>
            </w:r>
            <w:r>
              <w:rPr>
                <w:rFonts w:hint="eastAsia" w:ascii="Arial" w:hAnsi="Arial" w:cs="Arial"/>
                <w:color w:val="000000"/>
                <w:sz w:val="15"/>
                <w:szCs w:val="15"/>
                <w:lang w:bidi="ar"/>
              </w:rPr>
              <w:t>、</w:t>
            </w:r>
            <w:r>
              <w:rPr>
                <w:rFonts w:ascii="Arial" w:hAnsi="Arial" w:cs="Arial"/>
                <w:color w:val="000000"/>
                <w:sz w:val="15"/>
                <w:szCs w:val="15"/>
                <w:lang w:bidi="ar"/>
              </w:rPr>
              <w:t>甲方委托乙方为本项目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3768" w:type="dxa"/>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1、合同生效后7个工作日内付款20% 194000.00元；2、深化方案确认后30个工作日内付款30% 291000.00元；3、施工蓝图提交后30个工作日内付款40% 388000.00元；4、在建工程施工全部完成后付款10% 97000.00元</w:t>
            </w:r>
            <w:r>
              <w:rPr>
                <w:rFonts w:ascii="Arial" w:hAnsi="Arial" w:cs="Arial"/>
                <w:color w:val="000000"/>
                <w:sz w:val="15"/>
                <w:szCs w:val="15"/>
                <w:lang w:bidi="ar"/>
              </w:rPr>
              <w:br w:type="textWrapping"/>
            </w:r>
            <w:r>
              <w:rPr>
                <w:rFonts w:ascii="Arial" w:hAnsi="Arial" w:cs="Arial"/>
                <w:color w:val="000000"/>
                <w:sz w:val="15"/>
                <w:szCs w:val="15"/>
                <w:lang w:bidi="ar"/>
              </w:rPr>
              <w:t>甲方支付每期款项前，乙方须按照合同约定履行完相应义务并经甲方验收合格。乙方提供的增值税专用发票的税率为6%。</w:t>
            </w:r>
          </w:p>
        </w:tc>
        <w:tc>
          <w:tcPr>
            <w:tcW w:w="1275"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970,000.00 </w:t>
            </w:r>
          </w:p>
        </w:tc>
        <w:tc>
          <w:tcPr>
            <w:tcW w:w="665"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970,000.00 </w:t>
            </w:r>
          </w:p>
        </w:tc>
        <w:tc>
          <w:tcPr>
            <w:tcW w:w="1285" w:type="dxa"/>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2020/9/28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上海红观广告有限公司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红星天铂吴江盛泽项目全案企划推广整合服务合同书</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甲方委托乙方为 红星盛泽天铂 项目提供全案的企划推广服务。</w:t>
            </w:r>
            <w:r>
              <w:rPr>
                <w:rFonts w:ascii="Arial" w:hAnsi="Arial" w:cs="Arial"/>
                <w:color w:val="000000"/>
                <w:sz w:val="15"/>
                <w:szCs w:val="15"/>
                <w:lang w:bidi="ar"/>
              </w:rPr>
              <w:br w:type="textWrapping"/>
            </w:r>
            <w:r>
              <w:rPr>
                <w:rFonts w:ascii="Arial" w:hAnsi="Arial" w:cs="Arial"/>
                <w:color w:val="000000"/>
                <w:sz w:val="15"/>
                <w:szCs w:val="15"/>
                <w:lang w:bidi="ar"/>
              </w:rPr>
              <w:t xml:space="preserve">本合同的推广委托周期为2020年9月1日至2021年8月31日止，共 12 个月。 </w:t>
            </w:r>
            <w:r>
              <w:rPr>
                <w:rFonts w:ascii="Arial" w:hAnsi="Arial" w:cs="Arial"/>
                <w:color w:val="000000"/>
                <w:sz w:val="15"/>
                <w:szCs w:val="15"/>
                <w:lang w:bidi="ar"/>
              </w:rPr>
              <w:br w:type="textWrapping"/>
            </w:r>
            <w:r>
              <w:rPr>
                <w:rFonts w:ascii="Arial" w:hAnsi="Arial" w:cs="Arial"/>
                <w:color w:val="000000"/>
                <w:sz w:val="15"/>
                <w:szCs w:val="15"/>
                <w:lang w:bidi="ar"/>
              </w:rPr>
              <w:t>合同委托期限届满前一个月，双方可在协商同意后续签合同。</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在合同期内，甲方应在每月的 15 日前支付上月的服务费。甲方以电汇或转帐支票的形式支付费用，甲方选择以电汇形式支付费用的，应将服务费汇入乙方指定的银行账户。乙方在每次收款前须根据甲方的要求向甲方开具同等金额的有效增值税专用发票，否则甲方有权顺延支付至乙方提供发票为止。</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1,200,000.00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600,000.00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600,000.00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2020/9/2</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南京兴华建筑设计研究院股份有限公司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吴江高新区（盛泽镇）绸都大道西侧1#地块住宅项目人防设计合同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发包人委托设计人承担 吴江高新区（盛泽镇）绸都大道西侧1#地块住宅项目人防工程设计，经双方协商一致，签订本合同。1、设计费计算面积以最终人防施工图的建筑面积为准计算；2、本项目设计范围为工程范围内的建筑、结构、设备各专业的人防工程部分施工图设计及平战转换预案设计。</w:t>
            </w:r>
            <w:r>
              <w:rPr>
                <w:rFonts w:ascii="Arial" w:hAnsi="Arial" w:cs="Arial"/>
                <w:color w:val="000000"/>
                <w:sz w:val="15"/>
                <w:szCs w:val="15"/>
                <w:lang w:bidi="ar"/>
              </w:rPr>
              <w:br w:type="textWrapping"/>
            </w:r>
            <w:r>
              <w:rPr>
                <w:rFonts w:ascii="Arial" w:hAnsi="Arial" w:cs="Arial"/>
                <w:color w:val="000000"/>
                <w:sz w:val="15"/>
                <w:szCs w:val="15"/>
                <w:lang w:bidi="ar"/>
              </w:rPr>
              <w:t>合同金额：356,625.00元</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第一次付费（预付款）本合同签订后七日内：占总设计费30%  106,987.5元。</w:t>
            </w:r>
            <w:r>
              <w:rPr>
                <w:rFonts w:ascii="Arial" w:hAnsi="Arial" w:cs="Arial"/>
                <w:color w:val="000000"/>
                <w:sz w:val="15"/>
                <w:szCs w:val="15"/>
                <w:lang w:bidi="ar"/>
              </w:rPr>
              <w:br w:type="textWrapping"/>
            </w:r>
            <w:r>
              <w:rPr>
                <w:rFonts w:ascii="Arial" w:hAnsi="Arial" w:cs="Arial"/>
                <w:color w:val="000000"/>
                <w:sz w:val="15"/>
                <w:szCs w:val="15"/>
                <w:lang w:bidi="ar"/>
              </w:rPr>
              <w:t>第二次付费提交全套设计文件后七日内：占总设计费50%  178,312.5元。</w:t>
            </w:r>
            <w:r>
              <w:rPr>
                <w:rFonts w:ascii="Arial" w:hAnsi="Arial" w:cs="Arial"/>
                <w:color w:val="000000"/>
                <w:sz w:val="15"/>
                <w:szCs w:val="15"/>
                <w:lang w:bidi="ar"/>
              </w:rPr>
              <w:br w:type="textWrapping"/>
            </w:r>
            <w:r>
              <w:rPr>
                <w:rFonts w:ascii="Arial" w:hAnsi="Arial" w:cs="Arial"/>
                <w:color w:val="000000"/>
                <w:sz w:val="15"/>
                <w:szCs w:val="15"/>
                <w:lang w:bidi="ar"/>
              </w:rPr>
              <w:t>第三次付费人防施工图审查通过后七日内：占总设计费15% 53,493.75元。</w:t>
            </w:r>
            <w:r>
              <w:rPr>
                <w:rFonts w:ascii="Arial" w:hAnsi="Arial" w:cs="Arial"/>
                <w:color w:val="000000"/>
                <w:sz w:val="15"/>
                <w:szCs w:val="15"/>
                <w:lang w:bidi="ar"/>
              </w:rPr>
              <w:br w:type="textWrapping"/>
            </w:r>
            <w:r>
              <w:rPr>
                <w:rFonts w:ascii="Arial" w:hAnsi="Arial" w:cs="Arial"/>
                <w:color w:val="000000"/>
                <w:sz w:val="15"/>
                <w:szCs w:val="15"/>
                <w:lang w:bidi="ar"/>
              </w:rPr>
              <w:t>第四次付费竣工验收后七日内：占总设计费5%  17,831.25元。</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356,625.00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338,793.75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17,831.25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4</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2020/9/18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浙江长成建筑装饰工程有限公司</w:t>
            </w:r>
          </w:p>
        </w:tc>
        <w:tc>
          <w:tcPr>
            <w:tcW w:w="88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盛泽项目一期一标段总承包工程合同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盛泽项目一期一标段总承包工程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3#、5#、6#、8#、11#、清洁屋2、2号配电房、3号配电房+开闭所+工具间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122,550,069.91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2021/4/13</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20,462,090.38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102,087,979.53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5</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2020/9/18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江苏坤龙建设集团有限公司</w:t>
            </w:r>
          </w:p>
        </w:tc>
        <w:tc>
          <w:tcPr>
            <w:tcW w:w="88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盛泽项目一期二标段总承包工程合同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盛泽项目一期二标段总承包工程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2#、4#、7#、9#、10#、门卫、清洁屋1、1号配电房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135,216,378.00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2021/4/13</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22,905,010.34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112,311,367.66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6</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杭州天水环境工程有限公司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吴江盛泽项目售楼处泳池分包工程合同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鉴于发包人愿将名称为  吴江盛泽项目售楼处泳池 分包工程交由分包人实施，并已接受了分包人提出为进行本工程的施工、竣工、交付并修复其中任何的缺陷，并完成档案及验收所收取的下述报酬金额。本工程质量保修期为两年</w:t>
            </w:r>
            <w:r>
              <w:rPr>
                <w:rFonts w:hint="eastAsia" w:ascii="Arial" w:hAnsi="Arial" w:cs="Arial"/>
                <w:color w:val="000000"/>
                <w:sz w:val="15"/>
                <w:szCs w:val="15"/>
                <w:lang w:bidi="ar"/>
              </w:rPr>
              <w:t>。</w:t>
            </w:r>
            <w:r>
              <w:rPr>
                <w:rFonts w:ascii="Arial" w:hAnsi="Arial" w:cs="Arial"/>
                <w:color w:val="000000"/>
                <w:sz w:val="15"/>
                <w:szCs w:val="15"/>
                <w:lang w:bidi="ar"/>
              </w:rPr>
              <w:t xml:space="preserve"> 本工程包括吴江盛泽项目售楼处泳池分包工程。包括泳池水处理系统、室内泳池除湿加热系统、泳池锅炉加热系统等</w:t>
            </w:r>
            <w:r>
              <w:rPr>
                <w:rFonts w:hint="eastAsia" w:ascii="Arial" w:hAnsi="Arial" w:cs="Arial"/>
                <w:color w:val="000000"/>
                <w:sz w:val="15"/>
                <w:szCs w:val="15"/>
                <w:lang w:bidi="ar"/>
              </w:rPr>
              <w:t>。</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按照节点付款，设备到场付至设备金额的70%，安装完成支付至合同金额的85%，结算完成支付至结算金额的95%.预留5%的质保金</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1,300,000.00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1,235,000.00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65,000.00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7</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2020/10/5</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科顺防水科技股份有限公司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盛泽项目一期防水材料采购合同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盛泽项目一期一标段、二标段防水材料采购，供货周期为10天，自需方书面通知供货之日起至该批次货物全部到达需方指定位置止。项目现场仓储货物的场地由需方提供，货物的保管以及因防护恶劣天气应采取相应的保护措施由项目使用的总承包单位负责。</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分批次到货，且累计货款金额超过20万</w:t>
            </w:r>
            <w:r>
              <w:rPr>
                <w:rFonts w:ascii="Arial" w:hAnsi="Arial" w:cs="Arial"/>
                <w:color w:val="000000"/>
                <w:sz w:val="15"/>
                <w:szCs w:val="15"/>
                <w:lang w:bidi="ar"/>
              </w:rPr>
              <w:br w:type="textWrapping"/>
            </w:r>
            <w:r>
              <w:rPr>
                <w:rFonts w:ascii="Arial" w:hAnsi="Arial" w:cs="Arial"/>
                <w:color w:val="000000"/>
                <w:sz w:val="15"/>
                <w:szCs w:val="15"/>
                <w:lang w:bidi="ar"/>
              </w:rPr>
              <w:t>1、第一批货物送抵，需方支付已到货物货款总额的80%</w:t>
            </w:r>
            <w:r>
              <w:rPr>
                <w:rFonts w:ascii="Arial" w:hAnsi="Arial" w:cs="Arial"/>
                <w:color w:val="000000"/>
                <w:sz w:val="15"/>
                <w:szCs w:val="15"/>
                <w:lang w:bidi="ar"/>
              </w:rPr>
              <w:br w:type="textWrapping"/>
            </w:r>
            <w:r>
              <w:rPr>
                <w:rFonts w:ascii="Arial" w:hAnsi="Arial" w:cs="Arial"/>
                <w:color w:val="000000"/>
                <w:sz w:val="15"/>
                <w:szCs w:val="15"/>
                <w:lang w:bidi="ar"/>
              </w:rPr>
              <w:t>2、自第二批货物送抵，需方支付本次已到货物货款总额80%，以及上次已到货物货款总额10%</w:t>
            </w:r>
            <w:r>
              <w:rPr>
                <w:rFonts w:ascii="Arial" w:hAnsi="Arial" w:cs="Arial"/>
                <w:color w:val="000000"/>
                <w:sz w:val="15"/>
                <w:szCs w:val="15"/>
                <w:lang w:bidi="ar"/>
              </w:rPr>
              <w:br w:type="textWrapping"/>
            </w:r>
            <w:r>
              <w:rPr>
                <w:rFonts w:ascii="Arial" w:hAnsi="Arial" w:cs="Arial"/>
                <w:color w:val="000000"/>
                <w:sz w:val="15"/>
                <w:szCs w:val="15"/>
                <w:lang w:bidi="ar"/>
              </w:rPr>
              <w:t>3、自全部货物送抵现场，支付一道货物总额，留5%质量保证金</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4,616,203.02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1,391,424.92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3,224,778.10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8</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2020/10/15</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成都赛肯思创享生活景观设计有限公司上海分公司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吴江高新区（盛泽镇）绸都大道西侧1#地块住宅项目景观设计及顾问服务合同（方案、扩初、施工图）</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项目名称：【吴江高新区（盛泽镇）绸都大道西侧1#地块住宅项目】 项目规模：本项目红线内占地面积约 48987 m²。甲方委托乙方为景观设计单位，负责本项目的景观设计及顾问服务。乙方按照合同条款、甲方加盖公章的《景观设计任务书》（以下简称“《任务书》”，详见附件一）、其它甲方对景观设计和顾问服务的具体要求开展工作，并对本项目其他设计方的合理要求进行配合。乙方景观设计及顾问服务内容</w:t>
            </w:r>
            <w:r>
              <w:rPr>
                <w:rFonts w:hint="eastAsia" w:ascii="Arial" w:hAnsi="Arial" w:cs="Arial"/>
                <w:color w:val="000000"/>
                <w:sz w:val="15"/>
                <w:szCs w:val="15"/>
                <w:lang w:bidi="ar"/>
              </w:rPr>
              <w:t>：</w:t>
            </w:r>
            <w:r>
              <w:rPr>
                <w:rFonts w:ascii="Arial" w:hAnsi="Arial" w:cs="Arial"/>
                <w:color w:val="000000"/>
                <w:sz w:val="15"/>
                <w:szCs w:val="15"/>
                <w:lang w:bidi="ar"/>
              </w:rPr>
              <w:t>包括本项目规划红线内所有室外景观（包括示范区临时景观、组团、屋顶、架空层、商业空间、地库、下沉式庭院、人防出入口美化等）设计方案、扩初、施工图设计及景观施工服务配合。红线外景观除示范区外，暂不列入本次服务内容，具体待规划确定后双方以补充协议形式进行约定</w:t>
            </w:r>
            <w:r>
              <w:rPr>
                <w:rFonts w:hint="eastAsia" w:ascii="Arial" w:hAnsi="Arial" w:cs="Arial"/>
                <w:color w:val="000000"/>
                <w:sz w:val="15"/>
                <w:szCs w:val="15"/>
                <w:lang w:bidi="ar"/>
              </w:rPr>
              <w:t>。</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1、双方签订本合同后15个工作日内支付首期款，首期款计入总价款。总价款10%￥127366 元整</w:t>
            </w:r>
            <w:r>
              <w:rPr>
                <w:rFonts w:ascii="Arial" w:hAnsi="Arial" w:cs="Arial"/>
                <w:color w:val="000000"/>
                <w:sz w:val="15"/>
                <w:szCs w:val="15"/>
                <w:lang w:bidi="ar"/>
              </w:rPr>
              <w:br w:type="textWrapping"/>
            </w:r>
            <w:r>
              <w:rPr>
                <w:rFonts w:ascii="Arial" w:hAnsi="Arial" w:cs="Arial"/>
                <w:color w:val="000000"/>
                <w:sz w:val="15"/>
                <w:szCs w:val="15"/>
                <w:lang w:bidi="ar"/>
              </w:rPr>
              <w:t>2、大区概念设计阶段完成并获得甲方认可15 个工作日内；总价款20%￥254732 元整</w:t>
            </w:r>
            <w:r>
              <w:rPr>
                <w:rFonts w:ascii="Arial" w:hAnsi="Arial" w:cs="Arial"/>
                <w:color w:val="000000"/>
                <w:sz w:val="15"/>
                <w:szCs w:val="15"/>
                <w:lang w:bidi="ar"/>
              </w:rPr>
              <w:br w:type="textWrapping"/>
            </w:r>
            <w:r>
              <w:rPr>
                <w:rFonts w:ascii="Arial" w:hAnsi="Arial" w:cs="Arial"/>
                <w:color w:val="000000"/>
                <w:sz w:val="15"/>
                <w:szCs w:val="15"/>
                <w:lang w:bidi="ar"/>
              </w:rPr>
              <w:t xml:space="preserve">3、大区方案设计阶段方案定稿完成并获得甲方认可，通过政府相关报建审批15个工作日内； 总价款20%￥254732元整 </w:t>
            </w:r>
            <w:r>
              <w:rPr>
                <w:rFonts w:ascii="Arial" w:hAnsi="Arial" w:cs="Arial"/>
                <w:color w:val="000000"/>
                <w:sz w:val="15"/>
                <w:szCs w:val="15"/>
                <w:lang w:bidi="ar"/>
              </w:rPr>
              <w:br w:type="textWrapping"/>
            </w:r>
            <w:r>
              <w:rPr>
                <w:rFonts w:ascii="Arial" w:hAnsi="Arial" w:cs="Arial"/>
                <w:color w:val="000000"/>
                <w:sz w:val="15"/>
                <w:szCs w:val="15"/>
                <w:lang w:bidi="ar"/>
              </w:rPr>
              <w:t xml:space="preserve">4、大区扩初阶段完成并获得甲方认可15个工作日内；总价款20%￥254732 元整 </w:t>
            </w:r>
            <w:r>
              <w:rPr>
                <w:rFonts w:ascii="Arial" w:hAnsi="Arial" w:cs="Arial"/>
                <w:color w:val="000000"/>
                <w:sz w:val="15"/>
                <w:szCs w:val="15"/>
                <w:lang w:bidi="ar"/>
              </w:rPr>
              <w:br w:type="textWrapping"/>
            </w:r>
            <w:r>
              <w:rPr>
                <w:rFonts w:ascii="Arial" w:hAnsi="Arial" w:cs="Arial"/>
                <w:color w:val="000000"/>
                <w:sz w:val="15"/>
                <w:szCs w:val="15"/>
                <w:lang w:bidi="ar"/>
              </w:rPr>
              <w:t xml:space="preserve">5、大区施工图阶段完成并获得甲方认可，通过政府相关报建审批15个工作日内；总价款 25 % ￥318415 元整 </w:t>
            </w:r>
            <w:r>
              <w:rPr>
                <w:rFonts w:ascii="Arial" w:hAnsi="Arial" w:cs="Arial"/>
                <w:color w:val="000000"/>
                <w:sz w:val="15"/>
                <w:szCs w:val="15"/>
                <w:lang w:bidi="ar"/>
              </w:rPr>
              <w:br w:type="textWrapping"/>
            </w:r>
            <w:r>
              <w:rPr>
                <w:rFonts w:ascii="Arial" w:hAnsi="Arial" w:cs="Arial"/>
                <w:color w:val="000000"/>
                <w:sz w:val="15"/>
                <w:szCs w:val="15"/>
                <w:lang w:bidi="ar"/>
              </w:rPr>
              <w:t>6、工程施工验收通过15个工作日内总价款 5 % ￥63683 元整 增值税专用票6%</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1,273,660.00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382,098.00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891,562.00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9</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2020/10/15</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成都赛肯思创享生活景观设计有限公司上海分公司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吴江高新区（盛泽镇）绸都大道西侧2#地块住宅项目景观设计及顾问服务合同（方案、扩初、施工图）</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项目名称：【吴江高新区（盛泽镇）绸都大道西侧2#地块住宅项目】</w:t>
            </w:r>
            <w:r>
              <w:rPr>
                <w:rFonts w:hint="eastAsia" w:ascii="Arial" w:hAnsi="Arial" w:cs="Arial"/>
                <w:color w:val="000000"/>
                <w:sz w:val="15"/>
                <w:szCs w:val="15"/>
                <w:lang w:bidi="ar"/>
              </w:rPr>
              <w:t>。</w:t>
            </w:r>
            <w:r>
              <w:rPr>
                <w:rFonts w:ascii="Arial" w:hAnsi="Arial" w:cs="Arial"/>
                <w:color w:val="000000"/>
                <w:sz w:val="15"/>
                <w:szCs w:val="15"/>
                <w:lang w:bidi="ar"/>
              </w:rPr>
              <w:t>项目规模本项目红线内占地面积约 48944 m²，示范区占地面积 3800 m²</w:t>
            </w:r>
            <w:r>
              <w:rPr>
                <w:rFonts w:hint="eastAsia" w:ascii="Arial" w:hAnsi="Arial" w:cs="Arial"/>
                <w:color w:val="000000"/>
                <w:sz w:val="15"/>
                <w:szCs w:val="15"/>
                <w:lang w:bidi="ar"/>
              </w:rPr>
              <w:t>。</w:t>
            </w:r>
            <w:r>
              <w:rPr>
                <w:rFonts w:ascii="Arial" w:hAnsi="Arial" w:cs="Arial"/>
                <w:color w:val="000000"/>
                <w:sz w:val="15"/>
                <w:szCs w:val="15"/>
                <w:lang w:bidi="ar"/>
              </w:rPr>
              <w:t>2. 合同服务内容</w:t>
            </w:r>
            <w:r>
              <w:rPr>
                <w:rFonts w:hint="eastAsia" w:ascii="Arial" w:hAnsi="Arial" w:cs="Arial"/>
                <w:color w:val="000000"/>
                <w:sz w:val="15"/>
                <w:szCs w:val="15"/>
                <w:lang w:bidi="ar"/>
              </w:rPr>
              <w:t>：</w:t>
            </w:r>
            <w:r>
              <w:rPr>
                <w:rFonts w:ascii="Arial" w:hAnsi="Arial" w:cs="Arial"/>
                <w:color w:val="000000"/>
                <w:sz w:val="15"/>
                <w:szCs w:val="15"/>
                <w:lang w:bidi="ar"/>
              </w:rPr>
              <w:t>甲方委托乙方为景观设计单位，负责本项目的景观设计及顾问服务。乙方按照合同条款、甲方加盖公章的《景观设计任务书》（以下简称“《任务书》”，详见附件一）、其它甲方对景观设计和顾问服务的具体要求开展工作，并对本项目其他设计方的合理要求进行配合。乙方景观设计及顾问服务内容</w:t>
            </w:r>
            <w:r>
              <w:rPr>
                <w:rFonts w:hint="eastAsia" w:ascii="Arial" w:hAnsi="Arial" w:cs="Arial"/>
                <w:color w:val="000000"/>
                <w:sz w:val="15"/>
                <w:szCs w:val="15"/>
                <w:lang w:bidi="ar"/>
              </w:rPr>
              <w:t>：</w:t>
            </w:r>
            <w:r>
              <w:rPr>
                <w:rFonts w:ascii="Arial" w:hAnsi="Arial" w:cs="Arial"/>
                <w:color w:val="000000"/>
                <w:sz w:val="15"/>
                <w:szCs w:val="15"/>
                <w:lang w:bidi="ar"/>
              </w:rPr>
              <w:t>包括本项目规划红线内所有室外景观（包括示范区临时景观、组团、屋顶、架空层、商业空间、地库、下沉式庭院、人防出入口美化等）设计方案、扩初、施工图设计及景观施工服务配合。红线外景观除示范区外，暂不列入本次服务内容，具体待规划确定后双方以补充协议形式进行约定。</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1、双方签订本合同后15个工作日内支付首期款，首期款计入总价款，总价款10% ￥137134 元整 </w:t>
            </w:r>
            <w:r>
              <w:rPr>
                <w:rFonts w:ascii="Arial" w:hAnsi="Arial" w:cs="Arial"/>
                <w:color w:val="000000"/>
                <w:sz w:val="15"/>
                <w:szCs w:val="15"/>
                <w:lang w:bidi="ar"/>
              </w:rPr>
              <w:br w:type="textWrapping"/>
            </w:r>
            <w:r>
              <w:rPr>
                <w:rFonts w:ascii="Arial" w:hAnsi="Arial" w:cs="Arial"/>
                <w:color w:val="000000"/>
                <w:sz w:val="15"/>
                <w:szCs w:val="15"/>
                <w:lang w:bidi="ar"/>
              </w:rPr>
              <w:t>2、示范区概念、方案及施工图完成并获得甲方认可15个工作日内：总价款10% ￥137134元整</w:t>
            </w:r>
            <w:r>
              <w:rPr>
                <w:rFonts w:ascii="Arial" w:hAnsi="Arial" w:cs="Arial"/>
                <w:color w:val="000000"/>
                <w:sz w:val="15"/>
                <w:szCs w:val="15"/>
                <w:lang w:bidi="ar"/>
              </w:rPr>
              <w:br w:type="textWrapping"/>
            </w:r>
            <w:r>
              <w:rPr>
                <w:rFonts w:ascii="Arial" w:hAnsi="Arial" w:cs="Arial"/>
                <w:color w:val="000000"/>
                <w:sz w:val="15"/>
                <w:szCs w:val="15"/>
                <w:lang w:bidi="ar"/>
              </w:rPr>
              <w:t xml:space="preserve">3、大区概念设计阶段完成并获得甲方认可15 个工作日内；总价款10% ￥137134元整 </w:t>
            </w:r>
            <w:r>
              <w:rPr>
                <w:rFonts w:ascii="Arial" w:hAnsi="Arial" w:cs="Arial"/>
                <w:color w:val="000000"/>
                <w:sz w:val="15"/>
                <w:szCs w:val="15"/>
                <w:lang w:bidi="ar"/>
              </w:rPr>
              <w:br w:type="textWrapping"/>
            </w:r>
            <w:r>
              <w:rPr>
                <w:rFonts w:ascii="Arial" w:hAnsi="Arial" w:cs="Arial"/>
                <w:color w:val="000000"/>
                <w:sz w:val="15"/>
                <w:szCs w:val="15"/>
                <w:lang w:bidi="ar"/>
              </w:rPr>
              <w:t xml:space="preserve">4、大区方案设计阶段方案定稿完成并获得甲方认可，通过政府相关报建审批15个工作日内； 总价款20%￥274268元整 </w:t>
            </w:r>
            <w:r>
              <w:rPr>
                <w:rFonts w:ascii="Arial" w:hAnsi="Arial" w:cs="Arial"/>
                <w:color w:val="000000"/>
                <w:sz w:val="15"/>
                <w:szCs w:val="15"/>
                <w:lang w:bidi="ar"/>
              </w:rPr>
              <w:br w:type="textWrapping"/>
            </w:r>
            <w:r>
              <w:rPr>
                <w:rFonts w:ascii="Arial" w:hAnsi="Arial" w:cs="Arial"/>
                <w:color w:val="000000"/>
                <w:sz w:val="15"/>
                <w:szCs w:val="15"/>
                <w:lang w:bidi="ar"/>
              </w:rPr>
              <w:t xml:space="preserve">5、大区扩初阶段完成并获得甲方认可15个工作日内；总价款20% ￥274268元整 </w:t>
            </w:r>
            <w:r>
              <w:rPr>
                <w:rFonts w:ascii="Arial" w:hAnsi="Arial" w:cs="Arial"/>
                <w:color w:val="000000"/>
                <w:sz w:val="15"/>
                <w:szCs w:val="15"/>
                <w:lang w:bidi="ar"/>
              </w:rPr>
              <w:br w:type="textWrapping"/>
            </w:r>
            <w:r>
              <w:rPr>
                <w:rFonts w:ascii="Arial" w:hAnsi="Arial" w:cs="Arial"/>
                <w:color w:val="000000"/>
                <w:sz w:val="15"/>
                <w:szCs w:val="15"/>
                <w:lang w:bidi="ar"/>
              </w:rPr>
              <w:t xml:space="preserve">6、大区施工图阶段完成并获得甲方认可，通过政府相关报建审批15个工作日内；总价款 25 % ￥342835元整 </w:t>
            </w:r>
            <w:r>
              <w:rPr>
                <w:rFonts w:ascii="Arial" w:hAnsi="Arial" w:cs="Arial"/>
                <w:color w:val="000000"/>
                <w:sz w:val="15"/>
                <w:szCs w:val="15"/>
                <w:lang w:bidi="ar"/>
              </w:rPr>
              <w:br w:type="textWrapping"/>
            </w:r>
            <w:r>
              <w:rPr>
                <w:rFonts w:ascii="Arial" w:hAnsi="Arial" w:cs="Arial"/>
                <w:color w:val="000000"/>
                <w:sz w:val="15"/>
                <w:szCs w:val="15"/>
                <w:lang w:bidi="ar"/>
              </w:rPr>
              <w:t>7、工程施工验收通过15个工作日内；总价款5% ￥68567元整  增值税专用票6%</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1,371,340.00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411,402.00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959,938.00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10</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2020/10/21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上海原构设计咨询有限公司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吴江高新区（盛泽镇）绸都大道西侧2#地块住宅项目建筑施工图设计合同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项目名称 吴江高新区（盛泽镇）绸都大道西侧项目</w:t>
            </w:r>
            <w:r>
              <w:rPr>
                <w:rFonts w:hint="eastAsia" w:ascii="Arial" w:hAnsi="Arial" w:cs="Arial"/>
                <w:color w:val="000000"/>
                <w:sz w:val="15"/>
                <w:szCs w:val="15"/>
                <w:lang w:bidi="ar"/>
              </w:rPr>
              <w:t>。</w:t>
            </w:r>
            <w:r>
              <w:rPr>
                <w:rFonts w:ascii="Arial" w:hAnsi="Arial" w:cs="Arial"/>
                <w:color w:val="000000"/>
                <w:sz w:val="15"/>
                <w:szCs w:val="15"/>
                <w:lang w:bidi="ar"/>
              </w:rPr>
              <w:t>项目规模本项目建筑总面积约 291193.61平方米，其中1#地块总建筑面积 139278.52 平方米，2#地块总建筑面积151915.09 平方米,最终建筑面积按政府批复核定计算。施工图设计内容 1 设计对象本项目用地范围内包含但不限于总图，所有建筑物单体、构筑物等。设计范围</w:t>
            </w:r>
            <w:r>
              <w:rPr>
                <w:rFonts w:hint="eastAsia" w:ascii="Arial" w:hAnsi="Arial" w:cs="Arial"/>
                <w:color w:val="000000"/>
                <w:sz w:val="15"/>
                <w:szCs w:val="15"/>
                <w:lang w:bidi="ar"/>
              </w:rPr>
              <w:t>：</w:t>
            </w:r>
            <w:r>
              <w:rPr>
                <w:rFonts w:ascii="Arial" w:hAnsi="Arial" w:cs="Arial"/>
                <w:color w:val="000000"/>
                <w:sz w:val="15"/>
                <w:szCs w:val="15"/>
                <w:lang w:bidi="ar"/>
              </w:rPr>
              <w:t>乙方须负责本项目设计对象的各阶段设计工作及相应配合工作，各阶段设计工作的完成以政府有关部门批准及甲方的书面确认为准，具体设计范围如下：配合甲方完成规划及单体方案设计指导工作； 本项目的总平面规划设计及施工图设计；本项目的室外综合管网设计； 建筑(含土建、设备等)施工图设计；</w:t>
            </w:r>
            <w:r>
              <w:rPr>
                <w:rFonts w:ascii="Arial" w:hAnsi="Arial" w:cs="Arial"/>
                <w:color w:val="000000"/>
                <w:sz w:val="15"/>
                <w:szCs w:val="15"/>
                <w:lang w:bidi="ar"/>
              </w:rPr>
              <w:br w:type="textWrapping"/>
            </w:r>
            <w:r>
              <w:rPr>
                <w:rFonts w:ascii="Arial" w:hAnsi="Arial" w:cs="Arial"/>
                <w:color w:val="000000"/>
                <w:sz w:val="15"/>
                <w:szCs w:val="15"/>
                <w:lang w:bidi="ar"/>
              </w:rPr>
              <w:t>各阶段经济技术指标测算及复核工作；配合甲方完成规划及单体方案设计，施工图报建、报审工作；对本项目单体的栏杆、雨篷、钢结构、灯光、幕墙、泳池等提出设计要求，并配合甲方进行二次深化设计； 本项目范围内的其他设计工作的配合；工程竣工后,乙方应无条件协助提供设计变更单等资料，协助完成竣工图编制工作。</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1、双方签订本合同 总价款 10 % ￥482000</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2、方案阶段完成并获得政府及甲方认可 总价款 10 % ￥482000</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 xml:space="preserve">3、交付初步设计或桩基施工图并获得甲方认可后 总价款 20 % ￥964000 </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 xml:space="preserve">4、交付主体施工图并获得甲方认可、政府批准后 总价款 40 % ￥1928000 </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 xml:space="preserve">5、完成工程合同要求的销售合同附图设计，并获得甲方认可后 总价款 5 % ￥241000 </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6、配合其他设计顾问完成工程合同要求的各专项设计配合，其中包括人防、景观、室内装修、泛光照明、智能化及宽带网络、幕墙、建筑模型、张拉膜、标识系统等，同时完成各专项设计的施工招标及进场交底配合，经甲方认可；总价款 5 % ￥241000</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7、在建工程通过政府部门竣工验收总价款 10 % ￥482000</w:t>
            </w:r>
            <w:r>
              <w:rPr>
                <w:rFonts w:hint="eastAsia" w:ascii="Arial" w:hAnsi="Arial" w:cs="Arial"/>
                <w:color w:val="000000"/>
                <w:sz w:val="15"/>
                <w:szCs w:val="15"/>
                <w:lang w:bidi="ar"/>
              </w:rPr>
              <w:t>。</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4,820,000.00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3,856,000.00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964,000.00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11</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2020/10/21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上海原构设计咨询有限公司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吴江高新区（盛泽镇）绸都大道西侧1#地块住宅项目建筑方案及顾问服务设计合同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1.1 项目名称：【吴江高新区（盛泽镇）绸都大道西侧1#地块住宅项目】</w:t>
            </w:r>
            <w:r>
              <w:rPr>
                <w:rFonts w:ascii="Arial" w:hAnsi="Arial" w:cs="Arial"/>
                <w:color w:val="000000"/>
                <w:sz w:val="15"/>
                <w:szCs w:val="15"/>
                <w:lang w:bidi="ar"/>
              </w:rPr>
              <w:br w:type="textWrapping"/>
            </w:r>
            <w:r>
              <w:rPr>
                <w:rFonts w:ascii="Arial" w:hAnsi="Arial" w:cs="Arial"/>
                <w:color w:val="000000"/>
                <w:sz w:val="15"/>
                <w:szCs w:val="15"/>
                <w:lang w:bidi="ar"/>
              </w:rPr>
              <w:t>1.2 项目介绍：项目总用地面积48987.96平方米，项目总建筑面积139278.52平方米。具体设计内容按甲方提供的加盖公章的《建筑方案设计任务书》（以下简称“《任务书》”，详见附件一）及政府规划设计要点执行。</w:t>
            </w:r>
            <w:r>
              <w:rPr>
                <w:rFonts w:ascii="Arial" w:hAnsi="Arial" w:cs="Arial"/>
                <w:color w:val="000000"/>
                <w:sz w:val="15"/>
                <w:szCs w:val="15"/>
                <w:lang w:bidi="ar"/>
              </w:rPr>
              <w:br w:type="textWrapping"/>
            </w:r>
            <w:r>
              <w:rPr>
                <w:rFonts w:ascii="Arial" w:hAnsi="Arial" w:cs="Arial"/>
                <w:color w:val="000000"/>
                <w:sz w:val="15"/>
                <w:szCs w:val="15"/>
                <w:lang w:bidi="ar"/>
              </w:rPr>
              <w:t>2.1 甲方委托乙方为本项目设计公司，负责本项目的建筑方案设计及顾问工作。乙方按照合同条款、《任务书》开展工作，并对本项目其他设计方的合理要求进行配合。</w:t>
            </w:r>
            <w:r>
              <w:rPr>
                <w:rFonts w:ascii="Arial" w:hAnsi="Arial" w:cs="Arial"/>
                <w:color w:val="000000"/>
                <w:sz w:val="15"/>
                <w:szCs w:val="15"/>
                <w:lang w:bidi="ar"/>
              </w:rPr>
              <w:br w:type="textWrapping"/>
            </w:r>
            <w:r>
              <w:rPr>
                <w:rFonts w:ascii="Arial" w:hAnsi="Arial" w:cs="Arial"/>
                <w:color w:val="000000"/>
                <w:sz w:val="15"/>
                <w:szCs w:val="15"/>
                <w:lang w:bidi="ar"/>
              </w:rPr>
              <w:t>2.2 乙方建筑方案设计及顾问服务内容：</w:t>
            </w:r>
            <w:r>
              <w:rPr>
                <w:rFonts w:ascii="Arial" w:hAnsi="Arial" w:cs="Arial"/>
                <w:color w:val="000000"/>
                <w:sz w:val="15"/>
                <w:szCs w:val="15"/>
                <w:lang w:bidi="ar"/>
              </w:rPr>
              <w:br w:type="textWrapping"/>
            </w:r>
            <w:r>
              <w:rPr>
                <w:rFonts w:ascii="Arial" w:hAnsi="Arial" w:cs="Arial"/>
                <w:color w:val="000000"/>
                <w:sz w:val="15"/>
                <w:szCs w:val="15"/>
                <w:lang w:bidi="ar"/>
              </w:rPr>
              <w:t>2.2.1 本工程项目用地红线内的建筑及构筑物平面方案设计。</w:t>
            </w:r>
            <w:r>
              <w:rPr>
                <w:rFonts w:ascii="Arial" w:hAnsi="Arial" w:cs="Arial"/>
                <w:color w:val="000000"/>
                <w:sz w:val="15"/>
                <w:szCs w:val="15"/>
                <w:lang w:bidi="ar"/>
              </w:rPr>
              <w:br w:type="textWrapping"/>
            </w:r>
            <w:r>
              <w:rPr>
                <w:rFonts w:ascii="Arial" w:hAnsi="Arial" w:cs="Arial"/>
                <w:color w:val="000000"/>
                <w:sz w:val="15"/>
                <w:szCs w:val="15"/>
                <w:lang w:bidi="ar"/>
              </w:rPr>
              <w:t>2.2.2 本工程项目的设计报建配合。</w:t>
            </w:r>
            <w:r>
              <w:rPr>
                <w:rFonts w:ascii="Arial" w:hAnsi="Arial" w:cs="Arial"/>
                <w:color w:val="000000"/>
                <w:sz w:val="15"/>
                <w:szCs w:val="15"/>
                <w:lang w:bidi="ar"/>
              </w:rPr>
              <w:br w:type="textWrapping"/>
            </w:r>
            <w:r>
              <w:rPr>
                <w:rFonts w:ascii="Arial" w:hAnsi="Arial" w:cs="Arial"/>
                <w:color w:val="000000"/>
                <w:sz w:val="15"/>
                <w:szCs w:val="15"/>
                <w:lang w:bidi="ar"/>
              </w:rPr>
              <w:t>2.2.3 本工程项目用地红线内的建筑及构筑物立面概念、方案设计。</w:t>
            </w:r>
            <w:r>
              <w:rPr>
                <w:rFonts w:ascii="Arial" w:hAnsi="Arial" w:cs="Arial"/>
                <w:color w:val="000000"/>
                <w:sz w:val="15"/>
                <w:szCs w:val="15"/>
                <w:lang w:bidi="ar"/>
              </w:rPr>
              <w:br w:type="textWrapping"/>
            </w:r>
            <w:r>
              <w:rPr>
                <w:rFonts w:ascii="Arial" w:hAnsi="Arial" w:cs="Arial"/>
                <w:color w:val="000000"/>
                <w:sz w:val="15"/>
                <w:szCs w:val="15"/>
                <w:lang w:bidi="ar"/>
              </w:rPr>
              <w:t>2.2.4 本工程项目用地红线内的建筑及构筑物立面扩初设计。</w:t>
            </w:r>
            <w:r>
              <w:rPr>
                <w:rFonts w:ascii="Arial" w:hAnsi="Arial" w:cs="Arial"/>
                <w:color w:val="000000"/>
                <w:sz w:val="15"/>
                <w:szCs w:val="15"/>
                <w:lang w:bidi="ar"/>
              </w:rPr>
              <w:br w:type="textWrapping"/>
            </w:r>
            <w:r>
              <w:rPr>
                <w:rFonts w:ascii="Arial" w:hAnsi="Arial" w:cs="Arial"/>
                <w:color w:val="000000"/>
                <w:sz w:val="15"/>
                <w:szCs w:val="15"/>
                <w:lang w:bidi="ar"/>
              </w:rPr>
              <w:t>2.2.5 本工程项目用地红线内的建筑及构筑物外饰面材料样板提供。</w:t>
            </w:r>
            <w:r>
              <w:rPr>
                <w:rFonts w:ascii="Arial" w:hAnsi="Arial" w:cs="Arial"/>
                <w:color w:val="000000"/>
                <w:sz w:val="15"/>
                <w:szCs w:val="15"/>
                <w:lang w:bidi="ar"/>
              </w:rPr>
              <w:br w:type="textWrapping"/>
            </w:r>
            <w:r>
              <w:rPr>
                <w:rFonts w:ascii="Arial" w:hAnsi="Arial" w:cs="Arial"/>
                <w:color w:val="000000"/>
                <w:sz w:val="15"/>
                <w:szCs w:val="15"/>
                <w:lang w:bidi="ar"/>
              </w:rPr>
              <w:t>2.2.6 本工程项目用地红线内的建筑及构筑物立面施工指引图设计。</w:t>
            </w:r>
            <w:r>
              <w:rPr>
                <w:rFonts w:ascii="Arial" w:hAnsi="Arial" w:cs="Arial"/>
                <w:color w:val="000000"/>
                <w:sz w:val="15"/>
                <w:szCs w:val="15"/>
                <w:lang w:bidi="ar"/>
              </w:rPr>
              <w:br w:type="textWrapping"/>
            </w:r>
            <w:r>
              <w:rPr>
                <w:rFonts w:ascii="Arial" w:hAnsi="Arial" w:cs="Arial"/>
                <w:color w:val="000000"/>
                <w:sz w:val="15"/>
                <w:szCs w:val="15"/>
                <w:lang w:bidi="ar"/>
              </w:rPr>
              <w:t>2.2.7 本工程项目的施工配合及竣工验收配合等工作。</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1、双方签订本合同后15个工作日 合同价款10.00% 22.5万元 </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2、建筑方案设计阶段完成并获得甲 方认可，通过政府相关报建审批后15个工作日合同价款40.00% 90万元</w:t>
            </w:r>
            <w:r>
              <w:rPr>
                <w:rFonts w:hint="eastAsia" w:ascii="Arial" w:hAnsi="Arial" w:cs="Arial"/>
                <w:color w:val="000000"/>
                <w:sz w:val="15"/>
                <w:szCs w:val="15"/>
                <w:lang w:bidi="ar"/>
              </w:rPr>
              <w:t>。</w:t>
            </w:r>
            <w:r>
              <w:rPr>
                <w:rFonts w:ascii="Arial" w:hAnsi="Arial" w:cs="Arial"/>
                <w:color w:val="000000"/>
                <w:sz w:val="15"/>
                <w:szCs w:val="15"/>
                <w:lang w:bidi="ar"/>
              </w:rPr>
              <w:t xml:space="preserve"> </w:t>
            </w:r>
            <w:r>
              <w:rPr>
                <w:rFonts w:ascii="Arial" w:hAnsi="Arial" w:cs="Arial"/>
                <w:color w:val="000000"/>
                <w:sz w:val="15"/>
                <w:szCs w:val="15"/>
                <w:lang w:bidi="ar"/>
              </w:rPr>
              <w:br w:type="textWrapping"/>
            </w:r>
            <w:r>
              <w:rPr>
                <w:rFonts w:ascii="Arial" w:hAnsi="Arial" w:cs="Arial"/>
                <w:color w:val="000000"/>
                <w:sz w:val="15"/>
                <w:szCs w:val="15"/>
                <w:lang w:bidi="ar"/>
              </w:rPr>
              <w:t xml:space="preserve">3、立面方案专项设计完成并获得甲 方认可后15个工作日 合同价款15.00% 33.75万元 </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4、立面扩初图设计完成并获得甲方 认可后15个工作日 合同价款20.00% 45万元</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5、平面分色图和立面施工指引图设 计完成并获得甲方认可后15个工 作日 合同价款10.00% 22.5万元</w:t>
            </w:r>
            <w:r>
              <w:rPr>
                <w:rFonts w:hint="eastAsia" w:ascii="Arial" w:hAnsi="Arial" w:cs="Arial"/>
                <w:color w:val="000000"/>
                <w:sz w:val="15"/>
                <w:szCs w:val="15"/>
                <w:lang w:bidi="ar"/>
              </w:rPr>
              <w:t>。</w:t>
            </w:r>
            <w:r>
              <w:rPr>
                <w:rFonts w:ascii="Arial" w:hAnsi="Arial" w:cs="Arial"/>
                <w:color w:val="000000"/>
                <w:sz w:val="15"/>
                <w:szCs w:val="15"/>
                <w:lang w:bidi="ar"/>
              </w:rPr>
              <w:br w:type="textWrapping"/>
            </w:r>
            <w:r>
              <w:rPr>
                <w:rFonts w:ascii="Arial" w:hAnsi="Arial" w:cs="Arial"/>
                <w:color w:val="000000"/>
                <w:sz w:val="15"/>
                <w:szCs w:val="15"/>
                <w:lang w:bidi="ar"/>
              </w:rPr>
              <w:t xml:space="preserve">6、在建工程通过政府部门竣工验收 后15个工作日 合同价款5.00% 11.25万元 </w:t>
            </w:r>
            <w:r>
              <w:rPr>
                <w:rFonts w:hint="eastAsia" w:ascii="Arial" w:hAnsi="Arial" w:cs="Arial"/>
                <w:color w:val="000000"/>
                <w:sz w:val="15"/>
                <w:szCs w:val="15"/>
                <w:lang w:bidi="ar"/>
              </w:rPr>
              <w:t>。</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2,250,000.00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1,125,000.00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1,125,000.00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12</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2020/10/21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上海正儒企业发展有限公司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盛泽项目售楼处铜门分包工程合同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吴江盛泽项目售楼处铜门分包工程:售楼处南铜门、门套、雨棚施工，2.2合同总价为包干性质，包含了所有为完成上述合同范围的工作所必须的人工费、材料费、机械费、管理费、施工水电费用、措施费、所有税费及其他一切政府收费，以及分包人的间接开支及利润，除非因发包人原因而发出的工程指令和现场签证，否则，该合同总价不做任何调整；</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工程无预付款，工程完工后，经甲方验收合格后支付至合同内已完合同金额的85%，办完结算手续后二十八（28）日历天内，发包人付至结算总价的95%，同时分包人必须提供结算总价100%的工程所在地税务机关要求的增值税专用发票，其余5%作为本工程的保修金，完工两年后分包人可提出付款申请，由发包人审批后二十八（28）日历天内支付（须扣除已发生的维修款）。</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190,652.00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2021/4/28</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181,119.40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9,532.60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13</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2020/11/9</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犀鲸实业（上海）有限公司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苏州盛泽项目示范区雕塑设计、制作及安装分包工程合同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工程名称：苏州盛泽项目示范区雕塑分包工程</w:t>
            </w:r>
            <w:r>
              <w:rPr>
                <w:rFonts w:ascii="Arial" w:hAnsi="Arial" w:cs="Arial"/>
                <w:color w:val="000000"/>
                <w:sz w:val="15"/>
                <w:szCs w:val="15"/>
                <w:lang w:bidi="ar"/>
              </w:rPr>
              <w:br w:type="textWrapping"/>
            </w:r>
            <w:r>
              <w:rPr>
                <w:rFonts w:ascii="Arial" w:hAnsi="Arial" w:cs="Arial"/>
                <w:color w:val="000000"/>
                <w:sz w:val="15"/>
                <w:szCs w:val="15"/>
                <w:lang w:bidi="ar"/>
              </w:rPr>
              <w:t>工程地点：吴江高新区（盛泽镇）绸都大道西侧</w:t>
            </w:r>
            <w:r>
              <w:rPr>
                <w:rFonts w:ascii="Arial" w:hAnsi="Arial" w:cs="Arial"/>
                <w:color w:val="000000"/>
                <w:sz w:val="15"/>
                <w:szCs w:val="15"/>
                <w:lang w:bidi="ar"/>
              </w:rPr>
              <w:br w:type="textWrapping"/>
            </w:r>
            <w:r>
              <w:rPr>
                <w:rFonts w:ascii="Arial" w:hAnsi="Arial" w:cs="Arial"/>
                <w:color w:val="000000"/>
                <w:sz w:val="15"/>
                <w:szCs w:val="15"/>
                <w:lang w:bidi="ar"/>
              </w:rPr>
              <w:t>合同范围：本指定工程的合同范围具体包括但不限于以下内容：</w:t>
            </w:r>
            <w:r>
              <w:rPr>
                <w:rFonts w:ascii="Arial" w:hAnsi="Arial" w:cs="Arial"/>
                <w:color w:val="000000"/>
                <w:sz w:val="15"/>
                <w:szCs w:val="15"/>
                <w:lang w:bidi="ar"/>
              </w:rPr>
              <w:br w:type="textWrapping"/>
            </w:r>
            <w:r>
              <w:rPr>
                <w:rFonts w:ascii="Arial" w:hAnsi="Arial" w:cs="Arial"/>
                <w:color w:val="000000"/>
                <w:sz w:val="15"/>
                <w:szCs w:val="15"/>
                <w:lang w:bidi="ar"/>
              </w:rPr>
              <w:t>1) 按照合同文件的规定设计、制作及安装雕塑；</w:t>
            </w:r>
            <w:r>
              <w:rPr>
                <w:rFonts w:ascii="Arial" w:hAnsi="Arial" w:cs="Arial"/>
                <w:color w:val="000000"/>
                <w:sz w:val="15"/>
                <w:szCs w:val="15"/>
                <w:lang w:bidi="ar"/>
              </w:rPr>
              <w:br w:type="textWrapping"/>
            </w:r>
            <w:r>
              <w:rPr>
                <w:rFonts w:ascii="Arial" w:hAnsi="Arial" w:cs="Arial"/>
                <w:color w:val="000000"/>
                <w:sz w:val="15"/>
                <w:szCs w:val="15"/>
                <w:lang w:bidi="ar"/>
              </w:rPr>
              <w:t>2) 提供技术指导及保养指导；</w:t>
            </w:r>
            <w:r>
              <w:rPr>
                <w:rFonts w:ascii="Arial" w:hAnsi="Arial" w:cs="Arial"/>
                <w:color w:val="000000"/>
                <w:sz w:val="15"/>
                <w:szCs w:val="15"/>
                <w:lang w:bidi="ar"/>
              </w:rPr>
              <w:br w:type="textWrapping"/>
            </w:r>
            <w:r>
              <w:rPr>
                <w:rFonts w:ascii="Arial" w:hAnsi="Arial" w:cs="Arial"/>
                <w:color w:val="000000"/>
                <w:sz w:val="15"/>
                <w:szCs w:val="15"/>
                <w:lang w:bidi="ar"/>
              </w:rPr>
              <w:t>3) 提供雕塑图及施工图。</w:t>
            </w:r>
            <w:r>
              <w:rPr>
                <w:rFonts w:ascii="Arial" w:hAnsi="Arial" w:cs="Arial"/>
                <w:color w:val="000000"/>
                <w:sz w:val="15"/>
                <w:szCs w:val="15"/>
                <w:lang w:bidi="ar"/>
              </w:rPr>
              <w:br w:type="textWrapping"/>
            </w:r>
            <w:r>
              <w:rPr>
                <w:rFonts w:ascii="Arial" w:hAnsi="Arial" w:cs="Arial"/>
                <w:color w:val="000000"/>
                <w:sz w:val="15"/>
                <w:szCs w:val="15"/>
                <w:lang w:bidi="ar"/>
              </w:rPr>
              <w:t>本工程的免费保修期（不含人为损坏）自甲方对乙方制作并安装的所有雕塑质量达到本合同约定，验收完毕并移交之日起，共 12 个月。</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本合同项下所有雕塑的样稿、放大稿认可后支付合同总价的 30%；</w:t>
            </w:r>
            <w:r>
              <w:rPr>
                <w:rFonts w:ascii="Arial" w:hAnsi="Arial" w:cs="Arial"/>
                <w:color w:val="000000"/>
                <w:sz w:val="15"/>
                <w:szCs w:val="15"/>
                <w:lang w:bidi="ar"/>
              </w:rPr>
              <w:br w:type="textWrapping"/>
            </w:r>
            <w:r>
              <w:rPr>
                <w:rFonts w:ascii="Arial" w:hAnsi="Arial" w:cs="Arial"/>
                <w:color w:val="000000"/>
                <w:sz w:val="15"/>
                <w:szCs w:val="15"/>
                <w:lang w:bidi="ar"/>
              </w:rPr>
              <w:t>4.2 乙方将产品制作完毕向甲方发出书面通知，甲方收到通知后三个工作日内派人到乙方工厂初验。经甲方初验合格后，甲方向乙方支付合同总价的 50%，乙方应于款项到账后 24 小时内到现场进行安装。</w:t>
            </w:r>
            <w:r>
              <w:rPr>
                <w:rFonts w:ascii="Arial" w:hAnsi="Arial" w:cs="Arial"/>
                <w:color w:val="000000"/>
                <w:sz w:val="15"/>
                <w:szCs w:val="15"/>
                <w:lang w:bidi="ar"/>
              </w:rPr>
              <w:br w:type="textWrapping"/>
            </w:r>
            <w:r>
              <w:rPr>
                <w:rFonts w:ascii="Arial" w:hAnsi="Arial" w:cs="Arial"/>
                <w:color w:val="000000"/>
                <w:sz w:val="15"/>
                <w:szCs w:val="15"/>
                <w:lang w:bidi="ar"/>
              </w:rPr>
              <w:t>4.3 本合同项下所有雕塑安装完毕经验收合格后，支付合同总价的 15％；</w:t>
            </w:r>
            <w:r>
              <w:rPr>
                <w:rFonts w:ascii="Arial" w:hAnsi="Arial" w:cs="Arial"/>
                <w:color w:val="000000"/>
                <w:sz w:val="15"/>
                <w:szCs w:val="15"/>
                <w:lang w:bidi="ar"/>
              </w:rPr>
              <w:br w:type="textWrapping"/>
            </w:r>
            <w:r>
              <w:rPr>
                <w:rFonts w:ascii="Arial" w:hAnsi="Arial" w:cs="Arial"/>
                <w:color w:val="000000"/>
                <w:sz w:val="15"/>
                <w:szCs w:val="15"/>
                <w:lang w:bidi="ar"/>
              </w:rPr>
              <w:t>4.4 余款 5%为质保金，在质保期满后十五个工作日内无息支付。</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250,000.00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工程施工类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2021/4/28</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237,500.00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12,500.00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14</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2020/10/26</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苏州红星品唯物业管</w:t>
            </w:r>
            <w:r>
              <w:rPr>
                <w:rFonts w:ascii="Arial" w:hAnsi="Arial" w:cs="Arial"/>
                <w:color w:val="000000"/>
                <w:sz w:val="15"/>
                <w:szCs w:val="15"/>
                <w:lang w:bidi="ar"/>
              </w:rPr>
              <w:br w:type="textWrapping"/>
            </w:r>
            <w:r>
              <w:rPr>
                <w:rFonts w:ascii="Arial" w:hAnsi="Arial" w:cs="Arial"/>
                <w:color w:val="000000"/>
                <w:sz w:val="15"/>
                <w:szCs w:val="15"/>
                <w:lang w:bidi="ar"/>
              </w:rPr>
              <w:t>理有限公司吴江分公司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苏州盛泽2020年示范区物业服务协议</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乙方接受甲方委托，就苏州盛泽天铂示范区的物业服务事宜与甲方协商一致，</w:t>
            </w:r>
            <w:r>
              <w:rPr>
                <w:rFonts w:ascii="Arial" w:hAnsi="Arial" w:cs="Arial"/>
                <w:color w:val="000000"/>
                <w:sz w:val="15"/>
                <w:szCs w:val="15"/>
                <w:lang w:bidi="ar"/>
              </w:rPr>
              <w:br w:type="textWrapping"/>
            </w:r>
            <w:r>
              <w:rPr>
                <w:rFonts w:ascii="Arial" w:hAnsi="Arial" w:cs="Arial"/>
                <w:color w:val="000000"/>
                <w:sz w:val="15"/>
                <w:szCs w:val="15"/>
                <w:lang w:bidi="ar"/>
              </w:rPr>
              <w:t>委托服务事项</w:t>
            </w:r>
            <w:r>
              <w:rPr>
                <w:rFonts w:ascii="Arial" w:hAnsi="Arial" w:cs="Arial"/>
                <w:color w:val="000000"/>
                <w:sz w:val="15"/>
                <w:szCs w:val="15"/>
                <w:lang w:bidi="ar"/>
              </w:rPr>
              <w:br w:type="textWrapping"/>
            </w:r>
            <w:r>
              <w:rPr>
                <w:rFonts w:ascii="Arial" w:hAnsi="Arial" w:cs="Arial"/>
                <w:color w:val="000000"/>
                <w:sz w:val="15"/>
                <w:szCs w:val="15"/>
                <w:lang w:bidi="ar"/>
              </w:rPr>
              <w:t>1、 提供示范区客户接待服务、秩序维护服务、消防及安全巡视服务、保洁服务等。具体服务内容详见《示范区物业服务管理方案》。</w:t>
            </w:r>
            <w:r>
              <w:rPr>
                <w:rFonts w:ascii="Arial" w:hAnsi="Arial" w:cs="Arial"/>
                <w:color w:val="000000"/>
                <w:sz w:val="15"/>
                <w:szCs w:val="15"/>
                <w:lang w:bidi="ar"/>
              </w:rPr>
              <w:br w:type="textWrapping"/>
            </w:r>
            <w:r>
              <w:rPr>
                <w:rFonts w:ascii="Arial" w:hAnsi="Arial" w:cs="Arial"/>
                <w:color w:val="000000"/>
                <w:sz w:val="15"/>
                <w:szCs w:val="15"/>
                <w:lang w:bidi="ar"/>
              </w:rPr>
              <w:t>2、支持甲方营销的其他服务项目，如集中销售的人员支持、零星开盘/展会/营销推广活动的额外人员（除示范区日常服务人员外）支持。</w:t>
            </w:r>
            <w:r>
              <w:rPr>
                <w:rFonts w:ascii="Arial" w:hAnsi="Arial" w:cs="Arial"/>
                <w:color w:val="000000"/>
                <w:sz w:val="15"/>
                <w:szCs w:val="15"/>
                <w:lang w:bidi="ar"/>
              </w:rPr>
              <w:br w:type="textWrapping"/>
            </w:r>
            <w:r>
              <w:rPr>
                <w:rFonts w:ascii="Arial" w:hAnsi="Arial" w:cs="Arial"/>
                <w:color w:val="000000"/>
                <w:sz w:val="15"/>
                <w:szCs w:val="15"/>
                <w:lang w:bidi="ar"/>
              </w:rPr>
              <w:t>本协议期限自2020年11月1日起至2021年10月30日止。</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示范区物业人员服务费，每月 277067.52 元，年度总费用合计：3324810.20 元</w:t>
            </w:r>
            <w:r>
              <w:rPr>
                <w:rFonts w:ascii="Arial" w:hAnsi="Arial" w:cs="Arial"/>
                <w:color w:val="000000"/>
                <w:sz w:val="15"/>
                <w:szCs w:val="15"/>
                <w:lang w:bidi="ar"/>
              </w:rPr>
              <w:br w:type="textWrapping"/>
            </w:r>
            <w:r>
              <w:rPr>
                <w:rFonts w:ascii="Arial" w:hAnsi="Arial" w:cs="Arial"/>
                <w:color w:val="000000"/>
                <w:sz w:val="15"/>
                <w:szCs w:val="15"/>
                <w:lang w:bidi="ar"/>
              </w:rPr>
              <w:t>示范区物业人员服务费按预算服务费包含内容据实结算，每月 1 日乙方编制本月《物业服务人员月度配置及费用确认单》（附件三）、《增加/减少物业服务人员工作确认单》（附件四），并与上月的《临时用工工作确认单》（附件五）及其他费用的凭证一并交给甲方，甲方在收到相关材料 3 日内与乙方确认，双方确认后乙方提供相应的物业服务费用发票给甲方，甲方于收到发票后 3 个工作日内确认并一次性支付给乙方。</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3,324,810.20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887,377.40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2,437,432.80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15</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2020/12/15</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苏州新征程广告有限公司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盛泽项目售楼处礼品堆头及美陈制作合同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甲方与乙方就红星天铂盛泽项目城市打卡事宜进行合作，由乙方负责红星天铂盛泽项目城市打卡活动策划、执行。甲乙双方在平等基础上经友好协商，达成以下协议：</w:t>
            </w:r>
            <w:r>
              <w:rPr>
                <w:rFonts w:ascii="Arial" w:hAnsi="Arial" w:cs="Arial"/>
                <w:color w:val="000000"/>
                <w:sz w:val="15"/>
                <w:szCs w:val="15"/>
                <w:lang w:bidi="ar"/>
              </w:rPr>
              <w:br w:type="textWrapping"/>
            </w:r>
            <w:r>
              <w:rPr>
                <w:rFonts w:ascii="Arial" w:hAnsi="Arial" w:cs="Arial"/>
                <w:color w:val="000000"/>
                <w:sz w:val="15"/>
                <w:szCs w:val="15"/>
                <w:lang w:bidi="ar"/>
              </w:rPr>
              <w:t>一、合作项目</w:t>
            </w:r>
            <w:r>
              <w:rPr>
                <w:rFonts w:ascii="Arial" w:hAnsi="Arial" w:cs="Arial"/>
                <w:color w:val="000000"/>
                <w:sz w:val="15"/>
                <w:szCs w:val="15"/>
                <w:lang w:bidi="ar"/>
              </w:rPr>
              <w:br w:type="textWrapping"/>
            </w:r>
            <w:r>
              <w:rPr>
                <w:rFonts w:ascii="Arial" w:hAnsi="Arial" w:cs="Arial"/>
                <w:color w:val="000000"/>
                <w:sz w:val="15"/>
                <w:szCs w:val="15"/>
                <w:lang w:bidi="ar"/>
              </w:rPr>
              <w:t>1、乙方负责策划并执行盛泽项目展厅主题系列活动活动</w:t>
            </w:r>
            <w:r>
              <w:rPr>
                <w:rFonts w:ascii="Arial" w:hAnsi="Arial" w:cs="Arial"/>
                <w:color w:val="000000"/>
                <w:sz w:val="15"/>
                <w:szCs w:val="15"/>
                <w:lang w:bidi="ar"/>
              </w:rPr>
              <w:br w:type="textWrapping"/>
            </w:r>
            <w:r>
              <w:rPr>
                <w:rFonts w:ascii="Arial" w:hAnsi="Arial" w:cs="Arial"/>
                <w:color w:val="000000"/>
                <w:sz w:val="15"/>
                <w:szCs w:val="15"/>
                <w:lang w:bidi="ar"/>
              </w:rPr>
              <w:t>活动日期：2020年12月4日活动地点：盛泽项目展厅</w:t>
            </w:r>
            <w:r>
              <w:rPr>
                <w:rFonts w:ascii="Arial" w:hAnsi="Arial" w:cs="Arial"/>
                <w:color w:val="000000"/>
                <w:sz w:val="15"/>
                <w:szCs w:val="15"/>
                <w:lang w:bidi="ar"/>
              </w:rPr>
              <w:br w:type="textWrapping"/>
            </w:r>
            <w:r>
              <w:rPr>
                <w:rFonts w:ascii="Arial" w:hAnsi="Arial" w:cs="Arial"/>
                <w:color w:val="000000"/>
                <w:sz w:val="15"/>
                <w:szCs w:val="15"/>
                <w:lang w:bidi="ar"/>
              </w:rPr>
              <w:t>2、活动服务内容：</w:t>
            </w:r>
            <w:r>
              <w:rPr>
                <w:rFonts w:ascii="Arial" w:hAnsi="Arial" w:cs="Arial"/>
                <w:color w:val="000000"/>
                <w:sz w:val="15"/>
                <w:szCs w:val="15"/>
                <w:lang w:bidi="ar"/>
              </w:rPr>
              <w:br w:type="textWrapping"/>
            </w:r>
            <w:r>
              <w:rPr>
                <w:rFonts w:ascii="Arial" w:hAnsi="Arial" w:cs="Arial"/>
                <w:color w:val="000000"/>
                <w:sz w:val="15"/>
                <w:szCs w:val="15"/>
                <w:lang w:bidi="ar"/>
              </w:rPr>
              <w:t>（1）乙方负责为主题活动的内容、活动安排等进行策划；</w:t>
            </w:r>
            <w:r>
              <w:rPr>
                <w:rFonts w:ascii="Arial" w:hAnsi="Arial" w:cs="Arial"/>
                <w:color w:val="000000"/>
                <w:sz w:val="15"/>
                <w:szCs w:val="15"/>
                <w:lang w:bidi="ar"/>
              </w:rPr>
              <w:br w:type="textWrapping"/>
            </w:r>
            <w:r>
              <w:rPr>
                <w:rFonts w:ascii="Arial" w:hAnsi="Arial" w:cs="Arial"/>
                <w:color w:val="000000"/>
                <w:sz w:val="15"/>
                <w:szCs w:val="15"/>
                <w:lang w:bidi="ar"/>
              </w:rPr>
              <w:t>（2）乙方负责为甲方布置活动场地，并组织现场活动；</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甲方在活动验收合格且收到乙方等额有效增值税专用发票后，30日内支付总费用。</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17,468.80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17,468.80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16</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2021/1/4</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无锡海顺纸业有限公司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盛泽项目户型图印刷合同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w:t>
            </w:r>
            <w:r>
              <w:rPr>
                <w:rFonts w:ascii="Arial" w:hAnsi="Arial" w:cs="Arial"/>
                <w:color w:val="000000"/>
                <w:sz w:val="15"/>
                <w:szCs w:val="15"/>
                <w:lang w:bidi="ar"/>
              </w:rPr>
              <w:br w:type="textWrapping"/>
            </w:r>
            <w:r>
              <w:rPr>
                <w:rFonts w:ascii="Arial" w:hAnsi="Arial" w:cs="Arial"/>
                <w:color w:val="000000"/>
                <w:sz w:val="15"/>
                <w:szCs w:val="15"/>
                <w:lang w:bidi="ar"/>
              </w:rPr>
              <w:t>一、印刷品名称或项目：盛泽项目海顺户型图印刷制作  产品名称：户型图180、户型图高层 数量：各3000张；材质：封套：284g晶美碳黑（双层对裱），内文用300G星幻</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本合同签订并且验收合格之日起30个工作日内支付合同总价的100%</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65,400.00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65,400.00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17</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2020/12/19</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无锡精一准信息科技有限公司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盛泽红星天铂手机霸屏广告服务合同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第一条  短信服务1.1乙方作为商务应用平台的提供商和运营商，向甲方提供稳定的技术支持和优质服务。1.2甲方利用乙方的商务应用平台向其内部员工、客户、协议用户、合作伙伴或会员等提供短信应用服务。</w:t>
            </w:r>
            <w:r>
              <w:rPr>
                <w:rFonts w:ascii="Arial" w:hAnsi="Arial" w:cs="Arial"/>
                <w:color w:val="000000"/>
                <w:sz w:val="15"/>
                <w:szCs w:val="15"/>
                <w:lang w:bidi="ar"/>
              </w:rPr>
              <w:br w:type="textWrapping"/>
            </w:r>
            <w:r>
              <w:rPr>
                <w:rFonts w:ascii="Arial" w:hAnsi="Arial" w:cs="Arial"/>
                <w:color w:val="000000"/>
                <w:sz w:val="15"/>
                <w:szCs w:val="15"/>
                <w:lang w:bidi="ar"/>
              </w:rPr>
              <w:t>第二条  服务期限2.1本合同服务期限：2020年12月，具体以甲方通知为准。</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3.1 乙方提供短信服务的费用按以下方式计付：短信资费：0.14元/条，发布数量： 300000条，发布平台：移动，合同金额：  42000元，税率3%。付款方式：短信发布结束经甲方验收合格后30个工作日内一次性付清。</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42,000.00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42,000.00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18</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吴中经济技术开发区新动力广告制作部</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盛泽天铂转角大牌、桁架、软膜、亚克力制作合同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w:t>
            </w:r>
            <w:r>
              <w:rPr>
                <w:rFonts w:ascii="Arial" w:hAnsi="Arial" w:cs="Arial"/>
                <w:color w:val="000000"/>
                <w:sz w:val="15"/>
                <w:szCs w:val="15"/>
                <w:lang w:bidi="ar"/>
              </w:rPr>
              <w:br w:type="textWrapping"/>
            </w:r>
            <w:r>
              <w:rPr>
                <w:rFonts w:ascii="Arial" w:hAnsi="Arial" w:cs="Arial"/>
                <w:color w:val="000000"/>
                <w:sz w:val="15"/>
                <w:szCs w:val="15"/>
                <w:lang w:bidi="ar"/>
              </w:rPr>
              <w:t>印刷品名称或项目：盛泽天铂转角大牌、桁架、软膜、亚克力制作</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本合同签订并且验收合格之日起30个工作日内支付合同总价的100%</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92,000.00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92,000.00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19</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姑苏区永誉工艺品商行</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盛泽项目抽奖礼品采购合同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根据《中华人民共和国合同法》的有关规定，甲、乙双方经友好协商，就采购事宜，为明确双方权利义务，达成如下协议，供双方共同遵守。膳魔师保温杯100个；太湖雪蚕丝被100个；福临门大米5G500桶；金龙鱼油 1.8L500桶</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甲方自货物验收合格并收到乙方发票之日起 7 日内支付 100 %的货款</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85,000.00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85,000.00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苏州永传广告有限公司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制作物料（展架、易拉宝）合同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w:t>
            </w:r>
            <w:r>
              <w:rPr>
                <w:rFonts w:ascii="Arial" w:hAnsi="Arial" w:cs="Arial"/>
                <w:color w:val="000000"/>
                <w:sz w:val="15"/>
                <w:szCs w:val="15"/>
                <w:lang w:bidi="ar"/>
              </w:rPr>
              <w:br w:type="textWrapping"/>
            </w:r>
            <w:r>
              <w:rPr>
                <w:rFonts w:ascii="Arial" w:hAnsi="Arial" w:cs="Arial"/>
                <w:color w:val="000000"/>
                <w:sz w:val="15"/>
                <w:szCs w:val="15"/>
                <w:lang w:bidi="ar"/>
              </w:rPr>
              <w:t>印刷品名称或项目：物料制作；亚克力灯白片高清uv雕刻造型；易拉宝、门型架、（透明亚克力反uv铺白）、不干胶贴</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 30 个工作日内支付合同总价的 100%</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92,020.00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92,020.00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21</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2020/12/26</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苏州波普广告传媒有限公司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盛泽户外广告投放合同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广告位置：新生丝绸大厦、东方中路大润发门口、东方广场新华书店、滨河南路；广告形式：楼顶看板、龙门架</w:t>
            </w:r>
            <w:r>
              <w:rPr>
                <w:rFonts w:ascii="Arial" w:hAnsi="Arial" w:cs="Arial"/>
                <w:color w:val="000000"/>
                <w:sz w:val="15"/>
                <w:szCs w:val="15"/>
                <w:lang w:bidi="ar"/>
              </w:rPr>
              <w:br w:type="textWrapping"/>
            </w:r>
            <w:r>
              <w:rPr>
                <w:rFonts w:ascii="Arial" w:hAnsi="Arial" w:cs="Arial"/>
                <w:color w:val="000000"/>
                <w:sz w:val="15"/>
                <w:szCs w:val="15"/>
                <w:lang w:bidi="ar"/>
              </w:rPr>
              <w:t>发布期限【6】个月，暂定自2021年01月01日至2021年06月30日（其中新生丝绸大厦楼顶看板发布期限为【3】个月，暂定自2021年01月01日至2021年03月31日）。实际广告发布期起算日从画面制作安装完毕，经甲方书面验收合格之日起开始计算。</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本合同签订后，即支付总价款的80%，即人民币700000元待广告上刊结束后，支付总价款的20%，即人民币175000元</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875,000.00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875,000.00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22</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2021/1/4</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吴中经济技术开发区新动力广告制作部</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盛泽天铂围挡画面更换制作合同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w:t>
            </w:r>
            <w:r>
              <w:rPr>
                <w:rFonts w:ascii="Arial" w:hAnsi="Arial" w:cs="Arial"/>
                <w:color w:val="000000"/>
                <w:sz w:val="15"/>
                <w:szCs w:val="15"/>
                <w:lang w:bidi="ar"/>
              </w:rPr>
              <w:br w:type="textWrapping"/>
            </w:r>
            <w:r>
              <w:rPr>
                <w:rFonts w:ascii="Arial" w:hAnsi="Arial" w:cs="Arial"/>
                <w:color w:val="000000"/>
                <w:sz w:val="15"/>
                <w:szCs w:val="15"/>
                <w:lang w:bidi="ar"/>
              </w:rPr>
              <w:t>印刷品名称或项目：盛泽天铂围挡画面更换制作</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本合同签订并且验收合格之日起30个工作日内支付合同总价的100%</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81,000.00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81,000.00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23</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2021/3/12</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苏州波普广告传媒有限公司 </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广告画面更换合同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负责更换新生丝绸大厦、东方中路大润发路口等地点的广告画面更换，乙方须在2021年3月8日前完成户外广告画面制作及安装更换并将其交付。</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甲方在乙方现场安装完毕并验收合格后30个工作日支付制作总价，即人民币 34962   元；</w:t>
            </w:r>
            <w:r>
              <w:rPr>
                <w:rFonts w:ascii="Arial" w:hAnsi="Arial" w:cs="Arial"/>
                <w:color w:val="000000"/>
                <w:sz w:val="15"/>
                <w:szCs w:val="15"/>
                <w:lang w:bidi="ar"/>
              </w:rPr>
              <w:br w:type="textWrapping"/>
            </w:r>
            <w:r>
              <w:rPr>
                <w:rFonts w:ascii="Arial" w:hAnsi="Arial" w:cs="Arial"/>
                <w:color w:val="000000"/>
                <w:sz w:val="15"/>
                <w:szCs w:val="15"/>
                <w:lang w:bidi="ar"/>
              </w:rPr>
              <w:t>每次付款前，乙方应提供合法等额的增值税专用发票并书面提示付款</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34,962.00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34,962.00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24</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2021/3/18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苏州市吴江区规划技术服务有限公司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盛泽1#地块变更日照分析合同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1#地块住宅项目自身及周边建筑的日照影响分析（总计日照分析14栋。具体工作量统计：1、项目自身日照分析9栋；2、项目周边受影响范围日照分析5栋）</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日照分析总计14栋，每栋收费1500元。于本合同签订之日起2个工作日内，甲方向乙方一次性支付人命币21000元。</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21,000.00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前期类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2021/4/21</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21,000.00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25</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2021/3/18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苏州永传广告有限</w:t>
            </w:r>
            <w:r>
              <w:rPr>
                <w:rFonts w:ascii="Arial" w:hAnsi="Arial" w:cs="Arial"/>
                <w:b/>
                <w:bCs/>
                <w:color w:val="000000"/>
                <w:sz w:val="15"/>
                <w:szCs w:val="15"/>
                <w:u w:val="single"/>
                <w:lang w:bidi="ar"/>
              </w:rPr>
              <w:t>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加油站广告投放合同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位置：吴江第八，江陵站，江兴站，吴江第十一，吴江第十八，坛丘，镜湖，吴江第一，吴江第五，吴江第十三；期限：发布期限【1】个月，暂定自 【2021】年【3】月【15】日至【2021】年【4】月【16】日。实际广告发布期起算日从画面制作安装完毕，经甲方书面验收合格之日起开始计算。</w:t>
            </w:r>
          </w:p>
        </w:tc>
        <w:tc>
          <w:tcPr>
            <w:tcW w:w="3768" w:type="dxa"/>
            <w:shd w:val="clear" w:color="auto" w:fill="auto"/>
            <w:vAlign w:val="center"/>
          </w:tcPr>
          <w:p>
            <w:pPr>
              <w:jc w:val="both"/>
              <w:textAlignment w:val="center"/>
              <w:rPr>
                <w:rFonts w:ascii="Arial" w:hAnsi="Arial" w:cs="Arial"/>
                <w:color w:val="000000"/>
                <w:sz w:val="15"/>
                <w:szCs w:val="15"/>
                <w:lang w:bidi="ar"/>
              </w:rPr>
            </w:pPr>
            <w:r>
              <w:rPr>
                <w:rFonts w:ascii="Arial" w:hAnsi="Arial" w:cs="Arial"/>
                <w:color w:val="000000"/>
                <w:sz w:val="15"/>
                <w:szCs w:val="15"/>
                <w:lang w:bidi="ar"/>
              </w:rPr>
              <w:t>广告总费用</w:t>
            </w:r>
            <w:r>
              <w:rPr>
                <w:rFonts w:ascii="Arial" w:hAnsi="Arial" w:cs="Arial"/>
                <w:b/>
                <w:bCs/>
                <w:color w:val="000000"/>
                <w:sz w:val="15"/>
                <w:szCs w:val="15"/>
                <w:lang w:bidi="ar"/>
              </w:rPr>
              <w:t>（</w:t>
            </w:r>
            <w:r>
              <w:rPr>
                <w:rFonts w:ascii="Arial" w:hAnsi="Arial" w:cs="Arial"/>
                <w:color w:val="000000"/>
                <w:sz w:val="15"/>
                <w:szCs w:val="15"/>
                <w:lang w:bidi="ar"/>
              </w:rPr>
              <w:t>广告总费用=广告发布费用+税金，即为价税合计金额）为人民币80000元，画面更换首次免费，后续更换1500元/个/次。待广告正式发布结束后，乙方按合同完成相关工作并经甲方认可后  30 个工作日内甲方向乙方支付全部合同金额。</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26</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2021/3/18</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苏州世诺广告有限公司  </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盛泽天铂笔记本礼盒定制合同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甲、乙双方根据《中华人民共和国合同法》，在自愿、平等、互利基础上，经协商一致，就甲方委托乙方制作写真喷绘物料事宜达成如下条款；一、印刷品名称或项目；盛泽天铂笔记本礼盒定制   数量：500套  </w:t>
            </w:r>
          </w:p>
        </w:tc>
        <w:tc>
          <w:tcPr>
            <w:tcW w:w="3768" w:type="dxa"/>
            <w:shd w:val="clear" w:color="auto" w:fill="auto"/>
            <w:vAlign w:val="center"/>
          </w:tcPr>
          <w:p>
            <w:pPr>
              <w:jc w:val="both"/>
              <w:textAlignment w:val="center"/>
              <w:rPr>
                <w:rFonts w:ascii="Arial" w:hAnsi="Arial" w:cs="Arial"/>
                <w:color w:val="000000"/>
                <w:sz w:val="15"/>
                <w:szCs w:val="15"/>
                <w:lang w:bidi="ar"/>
              </w:rPr>
            </w:pPr>
            <w:r>
              <w:rPr>
                <w:rFonts w:ascii="Arial" w:hAnsi="Arial" w:cs="Arial"/>
                <w:color w:val="000000"/>
                <w:sz w:val="15"/>
                <w:szCs w:val="15"/>
                <w:lang w:bidi="ar"/>
              </w:rPr>
              <w:t xml:space="preserve">本合同签订并且验收合格之日起 30 个工作日内支付合同总价的 100%，即¥  30000元 </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30,000.00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27</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2021/4/4</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苏州波普广告传媒有限公司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社区广告投放合同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道闸：长1800mm*高300mm、护栏：长2000mm*高700mm。广告形式：道闸、护栏。3.1发布期限【1】个月，暂定自 【2021】年【04】月【12】日至【2021】年【05】月【11】日。实际广告发布期起算日从画面制作安装完毕，经甲方书面验收合格之日起开始计算。(实际发布日期与上述约定发布日期不一致的，以实际发布日期为准）。  </w:t>
            </w:r>
          </w:p>
        </w:tc>
        <w:tc>
          <w:tcPr>
            <w:tcW w:w="3768" w:type="dxa"/>
            <w:shd w:val="clear" w:color="auto" w:fill="auto"/>
            <w:vAlign w:val="center"/>
          </w:tcPr>
          <w:p>
            <w:pPr>
              <w:jc w:val="both"/>
              <w:textAlignment w:val="center"/>
              <w:rPr>
                <w:rFonts w:ascii="Arial" w:hAnsi="Arial" w:cs="Arial"/>
                <w:color w:val="000000"/>
                <w:sz w:val="15"/>
                <w:szCs w:val="15"/>
                <w:lang w:bidi="ar"/>
              </w:rPr>
            </w:pPr>
            <w:r>
              <w:rPr>
                <w:rFonts w:ascii="Arial" w:hAnsi="Arial" w:cs="Arial"/>
                <w:color w:val="000000"/>
                <w:sz w:val="15"/>
                <w:szCs w:val="15"/>
                <w:lang w:bidi="ar"/>
              </w:rPr>
              <w:t>广告总费用（广告总费用=广告发布费用+税金，即为价税合计金额）为人民币 86000 元，首次画面上刊免费，后续更换道闸护栏160元/个/面。4.2费用支付：待广告正式发布结束后，乙方按合同完成相关工作并经甲方认可后  30 个工作日内甲方向乙方支付全部合同金额。</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86,000.00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86,000.00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28</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2021/4/11</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苏州顺驰文化传媒有限公司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盛泽项目落位客户回访礼礼品采购合同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乙方接受甲方委托，就（盛泽）项目的（落位客户回访礼礼品采购）事宜与甲方协商一致，根据《中华人民共和国民法典》等有关法律、法规，甲乙双方本着平等互利的原则，兹签订合同如下，承诺共同遵守： </w:t>
            </w:r>
            <w:r>
              <w:rPr>
                <w:rFonts w:ascii="Arial" w:hAnsi="Arial" w:cs="Arial"/>
                <w:color w:val="000000"/>
                <w:sz w:val="15"/>
                <w:szCs w:val="15"/>
                <w:lang w:bidi="ar"/>
              </w:rPr>
              <w:br w:type="textWrapping"/>
            </w:r>
            <w:r>
              <w:rPr>
                <w:rFonts w:ascii="Arial" w:hAnsi="Arial" w:cs="Arial"/>
                <w:color w:val="000000"/>
                <w:sz w:val="15"/>
                <w:szCs w:val="15"/>
                <w:lang w:bidi="ar"/>
              </w:rPr>
              <w:t>一、委托事项</w:t>
            </w:r>
            <w:r>
              <w:rPr>
                <w:rFonts w:ascii="Arial" w:hAnsi="Arial" w:cs="Arial"/>
                <w:color w:val="000000"/>
                <w:sz w:val="15"/>
                <w:szCs w:val="15"/>
                <w:lang w:bidi="ar"/>
              </w:rPr>
              <w:br w:type="textWrapping"/>
            </w:r>
            <w:r>
              <w:rPr>
                <w:rFonts w:ascii="Arial" w:hAnsi="Arial" w:cs="Arial"/>
                <w:color w:val="000000"/>
                <w:sz w:val="15"/>
                <w:szCs w:val="15"/>
                <w:lang w:bidi="ar"/>
              </w:rPr>
              <w:t>1.1 甲方向乙方采购如下商品，采购物资数量及价格：安吉白茶28斤，定制礼盒100份</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乙方一次性交付：乙方应于  2021年  4月 1日之前，完成本合同第一条约定的所有采购产品，交付甲方指定场所。</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29</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2021/4/14</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马婕</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房屋租赁合同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租赁苏州市星湖花园32幢602室作为员工宿舍，租期为2021年4月12日至2022年4月11日，租金为4600.00元/月。</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租金采用先付后租、按押1付3支付，第一期租金13800.00元于合同签订当日缴纳，后期应于前一期租金到期日7日内支付下一期房屋租金。需缴纳4600元押金。</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69,000.00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行政人事类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2021/4/21</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23,000.00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46,000.00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30</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2021/4/16</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苏州建通汽车销售服务有限公司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汽车买卖合同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采购商务车1辆，用于日常公务用车，汽车总价256900.00元，委托服务费3000元。</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签订合同后乙方应于2021年4月30日前向甲方付清合同款，共计259900.00元</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259,900.00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行政人事类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2021/4/23</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259,900.00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435"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31</w:t>
            </w:r>
          </w:p>
        </w:tc>
        <w:tc>
          <w:tcPr>
            <w:tcW w:w="102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2021/3/16</w:t>
            </w:r>
          </w:p>
        </w:tc>
        <w:tc>
          <w:tcPr>
            <w:tcW w:w="677"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苏州建创广告传媒有限公司</w:t>
            </w:r>
          </w:p>
        </w:tc>
        <w:tc>
          <w:tcPr>
            <w:tcW w:w="888"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乡镇横幅广告投放合同</w:t>
            </w:r>
          </w:p>
        </w:tc>
        <w:tc>
          <w:tcPr>
            <w:tcW w:w="3050"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乡镇横幅户外广告，广告位置：街道，广告形式：户外，材质喷绘布。3.1发布期限【半】个月，暂定自 【2020】年【3】月【20】日至【2021】年【4】月【4】日。实际广告发布期起算日从画面制作安装完毕，经甲方书面验收合格之日起开始计算。(实际发布日期与上述约定发布日期不一致的，以实际发布日期为准）。  </w:t>
            </w:r>
          </w:p>
        </w:tc>
        <w:tc>
          <w:tcPr>
            <w:tcW w:w="3768" w:type="dxa"/>
            <w:shd w:val="clear" w:color="auto" w:fill="auto"/>
            <w:vAlign w:val="center"/>
          </w:tcPr>
          <w:p>
            <w:pPr>
              <w:textAlignment w:val="center"/>
              <w:rPr>
                <w:rFonts w:ascii="Arial" w:hAnsi="Arial" w:cs="Arial"/>
                <w:color w:val="000000"/>
                <w:sz w:val="15"/>
                <w:szCs w:val="15"/>
                <w:lang w:bidi="ar"/>
              </w:rPr>
            </w:pPr>
            <w:r>
              <w:rPr>
                <w:rFonts w:ascii="Arial" w:hAnsi="Arial" w:cs="Arial"/>
                <w:color w:val="000000"/>
                <w:sz w:val="15"/>
                <w:szCs w:val="15"/>
                <w:lang w:bidi="ar"/>
              </w:rPr>
              <w:t>待广告正式发布结束后，乙方按合同完成相关工作并经甲方认可后  30 个工作日内甲方向乙方支付全部合同金额。</w:t>
            </w:r>
          </w:p>
        </w:tc>
        <w:tc>
          <w:tcPr>
            <w:tcW w:w="127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66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4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2021/4/26</w:t>
            </w:r>
          </w:p>
        </w:tc>
        <w:tc>
          <w:tcPr>
            <w:tcW w:w="1189"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1285"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240" w:type="dxa"/>
            <w:shd w:val="clear" w:color="auto" w:fill="auto"/>
            <w:noWrap/>
            <w:vAlign w:val="center"/>
          </w:tcPr>
          <w:p>
            <w:pPr>
              <w:spacing w:line="120" w:lineRule="auto"/>
              <w:rPr>
                <w:rFonts w:ascii="Arial" w:hAnsi="Arial" w:cs="Arial"/>
                <w:color w:val="000000"/>
                <w:sz w:val="15"/>
                <w:szCs w:val="15"/>
                <w:lang w:bidi="ar"/>
              </w:rPr>
            </w:pPr>
          </w:p>
        </w:tc>
      </w:tr>
    </w:tbl>
    <w:p>
      <w:pPr>
        <w:ind w:firstLine="300" w:firstLineChars="200"/>
        <w:rPr>
          <w:rFonts w:ascii="Arial" w:hAnsi="Arial" w:cs="Arial"/>
          <w:color w:val="000000"/>
          <w:sz w:val="15"/>
          <w:szCs w:val="15"/>
          <w:lang w:bidi="ar"/>
        </w:rPr>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ind w:firstLine="420" w:firstLineChars="200"/>
        <w:rPr>
          <w:rFonts w:ascii="宋体" w:hAnsi="宋体" w:cs="宋体"/>
          <w:bCs/>
          <w:sz w:val="21"/>
          <w:szCs w:val="21"/>
        </w:rPr>
        <w:sectPr>
          <w:pgSz w:w="16838" w:h="11906" w:orient="landscape"/>
          <w:pgMar w:top="1134" w:right="1134" w:bottom="1134" w:left="1134" w:header="851" w:footer="992" w:gutter="0"/>
          <w:cols w:space="425" w:num="1"/>
          <w:docGrid w:type="linesAndChars" w:linePitch="326" w:charSpace="0"/>
        </w:sectPr>
      </w:pPr>
    </w:p>
    <w:p>
      <w:pPr>
        <w:rPr>
          <w:rFonts w:ascii="宋体" w:hAnsi="宋体" w:cs="宋体"/>
          <w:b/>
          <w:sz w:val="21"/>
          <w:szCs w:val="21"/>
        </w:rPr>
      </w:pPr>
      <w:r>
        <w:rPr>
          <w:rFonts w:hint="eastAsia" w:ascii="宋体" w:hAnsi="宋体" w:cs="宋体"/>
          <w:b/>
          <w:sz w:val="21"/>
          <w:szCs w:val="21"/>
        </w:rPr>
        <w:t>附件四：项目销售回款统计表</w:t>
      </w:r>
    </w:p>
    <w:tbl>
      <w:tblPr>
        <w:tblStyle w:val="17"/>
        <w:tblpPr w:leftFromText="180" w:rightFromText="180" w:vertAnchor="text" w:horzAnchor="page" w:tblpX="1224" w:tblpY="322"/>
        <w:tblOverlap w:val="never"/>
        <w:tblW w:w="10020" w:type="dxa"/>
        <w:tblInd w:w="0" w:type="dxa"/>
        <w:tblLayout w:type="fixed"/>
        <w:tblCellMar>
          <w:top w:w="0" w:type="dxa"/>
          <w:left w:w="108" w:type="dxa"/>
          <w:bottom w:w="0" w:type="dxa"/>
          <w:right w:w="108" w:type="dxa"/>
        </w:tblCellMar>
      </w:tblPr>
      <w:tblGrid>
        <w:gridCol w:w="593"/>
        <w:gridCol w:w="740"/>
        <w:gridCol w:w="637"/>
        <w:gridCol w:w="938"/>
        <w:gridCol w:w="887"/>
        <w:gridCol w:w="1388"/>
        <w:gridCol w:w="1262"/>
        <w:gridCol w:w="1350"/>
        <w:gridCol w:w="1350"/>
        <w:gridCol w:w="875"/>
      </w:tblGrid>
      <w:tr>
        <w:tblPrEx>
          <w:tblCellMar>
            <w:top w:w="0" w:type="dxa"/>
            <w:left w:w="108" w:type="dxa"/>
            <w:bottom w:w="0" w:type="dxa"/>
            <w:right w:w="108" w:type="dxa"/>
          </w:tblCellMar>
        </w:tblPrEx>
        <w:trPr>
          <w:trHeight w:val="198" w:hRule="atLeast"/>
          <w:tblHeader/>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序号</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楼栋</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房号</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客户姓名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rFonts w:ascii="Arial" w:hAnsi="Arial" w:cs="Arial"/>
                <w:b/>
                <w:sz w:val="15"/>
                <w:szCs w:val="15"/>
              </w:rPr>
            </w:pPr>
            <w:r>
              <w:rPr>
                <w:rFonts w:ascii="Arial" w:hAnsi="Arial" w:cs="Arial"/>
                <w:b/>
                <w:sz w:val="15"/>
                <w:szCs w:val="15"/>
                <w:lang w:bidi="ar"/>
              </w:rPr>
              <w:t>建筑面积（㎡）</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备案价（元）</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合同总价（元）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已收款金额（元）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未收金额（元）</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销售进度</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3,342,397.00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潘洪羽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沈彬婧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施海明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施海明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徐国祥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吕国栋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徐达林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祝冬青</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杨其荣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1,343,112.00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杨正华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王月红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2,293,112.00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陈月红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陈小红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销控</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王西芬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沈芸芸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魏金波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沈金玉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董艳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白玲玉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陈丽萍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高亚静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1,012,039.00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2,341,434.00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2,217,721.00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2,225,128.00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2,268,090.00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2,356,236.00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2,232,535.00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2,239,942.00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2,282,904.00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周建惠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2,005,864.00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徐菊芳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682,164.00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顾萍萍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689,571.00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朱丹丹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1,162,533.00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陆娟娟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唐晓薇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姚卫星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王中银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周琴琴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堵宇凡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袁超群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1,381,051.00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陈建明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蒋生辰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1,791,420.00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沈小四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沈佳华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陆中伟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沈俊杰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张裕悦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沈云龙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顾永林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钱晓萍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蔡书恬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张诚峰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张子方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金国良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陈巧兰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黄德生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计振华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张树凤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许永明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平晓晨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孔旻</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苏巧明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吴亚萍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吴见芳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吴晓兰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2,482,158.00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2,482,158.00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1,242,158.00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金振荣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潘有勇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2,408,827.00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2,408,827.00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728,827.00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金月清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韦可军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吴丽清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洪美珠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沈俊宇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沈福林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855,863.00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何欣蔚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卢金狗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1,505,494.00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王林娟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张俊峰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蔡利平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2,504,380.00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2,504,380.00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754,380.00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陈明官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2,380,679.00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2,380,679.00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730,679.00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计国峰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2,431,048.00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2,431,048.00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2,431,048.00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朱诗婷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周欣怡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魏小娇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祝雨晴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陈志艳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1,319,580.00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胡佳燕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庄培康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765,874.00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仲苏民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计情文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1,275,874.00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沈凤娟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庞月芳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徐苏玮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2,526,602.00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戴建山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卜彦婷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2,410,308.00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2,410,308.00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730,308.00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王云芳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2,453,270.00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2,453,270.00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743,270.00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罗天勇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2,511,787.00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2,511,787.00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1,261,787.00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仇玉梅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毛桂林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1,055,494.00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2,438,456.00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2,438,456.00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1,228,456.00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朱红建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713,643.00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王素芹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2,239,942.00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2,247,349.00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唐仁军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2,290,311.00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2,442,015.00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田静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2,319,788.00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2,383,694.00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尤娟英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2,471,924.00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夏萍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2,385,816.00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2,361,966.00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2,361,966.00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李建辉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2,363,807.00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俞金珍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2,423,557.00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2,023,557.00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曾泽森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2,471,924.00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2,447,205.00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489,441.00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1,957,764.00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金国荣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2,385,816.00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邓云菊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2,363,807.00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钱忠华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彭明锋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776,603.00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王舒佳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徐传兴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2,446,844.00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1,226,844.00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2,513,282.00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2,513,282.00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邵玩祥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1,265,071.00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2,424,377.00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2,424,377.00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宋思柔</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2,447,000.00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范伟雄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吴建敏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2,467,854.00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747,854.00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蒋丽萍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1,251,844.00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2,467,916.00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2,467,916.00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沈应珍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2,621,465.00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卜寒兵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许长福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王金明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2,548,190.00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唐泠淳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2,621,465.00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孙正英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潘卫泉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2,431,566.00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2,431,566.00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戴嘉豪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2,548,190.00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马德星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797,656.00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张宇钦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沈燕佳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李守菊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詹界鹏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811,282.00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马永良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潘建友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2,510,536.00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褚美琴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山鹰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2,601,379.00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2,601,379.00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刘斌</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阮金昌</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潘卫明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胡雪峰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洪连助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沈林根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2,651,374.00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2,598,347.00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788,347.00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2,525,209.00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1,253,200.00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龚春苗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2,570,621.00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2,560,621.00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2,560,621.00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胡哂洁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钱奕涵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2,532,545.00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张周莉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王凤娟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楊文静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975,847.00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倪晓东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吴聪聪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陈子根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1,351,894.00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王熠辉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占嘉峰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2,658,851.00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2,605,674.00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1,645,674.00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蒋福林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周贤全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沈梦佳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2,585,575.00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2,533,864.00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2,533,864.00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何秀英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2,501,832.00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2,451,795.00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王建梅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2,378,480.00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1,100,910.00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沈奕婧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2,309,341.00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2,309,341.00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史祯艳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2,379,986.00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2,379,986.00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胡蓓琪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胡诗菡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670,000.00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2,672,492.00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施健伟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计雪荣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平雪刚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顾逸成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蔡远明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马思杨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沈心怡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钮晓兵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蔡可心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何运平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江飞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叶子卿</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马轶涛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钱裕妍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赵荣湘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郁文珠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王靖</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赵荣湘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柯小妹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吴佳俊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钮玉根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1,692,492.00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夏伯明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陈赛娟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3,309,067.00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3,309,067.00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钱益明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吴宇超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曾静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潘建月</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严慧萍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孙宁宁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2,107,293.00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2,086,220.00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1,676,220.00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沈银华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1,906,705.00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1,888,000.00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948,000.00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计德华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2,181,835.00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2,160,017.00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2,160,017.00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丁美玉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1,954,179.00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1,154,179.00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1,950,437.00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1,940,437.00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1,940,437.00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仲吉平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2,196,743.00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2,175,000.00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占才华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2,211,651.00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2,189,534.00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2,189,534.00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王关林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李燕宾</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1,975,427.00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包立柱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665,000.00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赵燕芳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2,271,285.00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1,860,000.00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彭仁远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杨晓琛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1,975,427.00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663,000.00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1,547,000.00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沈宇磊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2,360,735.00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沈慧峰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金卫良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2,047,395.00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1,457,395.00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谢丽英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2,316,010.00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沈惠娟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黄春官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1,969,400.00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989,400.00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陈恩才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1,603,010.00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潘振毅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孙建霞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2,009,387.00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1,101,387.00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908,000.00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李庆兵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杨士江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2,079,000.00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沈卫春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2,062,890.00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洪秋燕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钮振敏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2,078,632.00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698,632.00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吴海宝</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杨雪文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2,307,609.00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697,609.00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计海林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吴章军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622,244.00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李若冰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钮嘉诚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697,368.00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1,625,000.00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金陈佳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沈荣华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邵佳瑜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625,385.00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钱孝炳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朱怡婷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张永美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1,162,368.00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吴进林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潘利芳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吴雁萍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刘功海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张建荣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朱正元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樊小丽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2,064,000.00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2,064,000.00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桑晓华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2,338,372.00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2,338,372.00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2,338,372.00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王慧雄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徐付春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李红英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柯丽淑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徐建东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徐建荣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金晓珏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余智丽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张美珍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钮小燕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2,328,368.00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2,328,368.00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陆联强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吴广杰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2,096,666.00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636,666.00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杨晓红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2,039,999.00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2,039,999.00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叶华方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刘韦谱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1,206,164.00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钱金萍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钱奇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2,450,185.00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2,425,683.00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2,425,683.00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吴俊逸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2,144,106.00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2,139,106.00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2,139,106.00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解志红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刘国彬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金衍通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2,442,730.00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2,418,303.00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2,418,303.00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2,137,859.00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袁林华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642,000.00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杨少雄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2,393,005.00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2,393,005.00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计小艳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2,435,276.00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桑庆芝</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2,131,611.00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潘建锋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2,070,612.00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2,070,612.00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寇春辉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谢丽华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2,427,822.00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2,403,544.00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2,403,544.00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吴晨芸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高月华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2,106,622.00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2,064,490.00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2,064,490.00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胡春秋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2,373,097.00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1,193,097.00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高帅帅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2,412,914.00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陈江南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628,900.00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沈徐慧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2,336,400.00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2,336,400.00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任芳华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2,263,830.00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2,241,192.00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2,241,192.00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1,987,921.00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1,972,921.00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1,972,921.00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周燕燕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1,929,795.00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1,929,795.00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杨雨凡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2,219,105.00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2,196,914.00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2,196,914.00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2,152,018.00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1,906,705.00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樊艳红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毛秋红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1,944,190.00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徐宇菲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2,174,380.00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1,085,000.00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翁君军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2,256,376.00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2,235,000.00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2,235,000.00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马哲贵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2,204,197.00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销控</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顾家伟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2,256,376.00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2,233,812.00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673,812.00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杨祎婷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1,975,000.00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汤泽秀</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1,966,000.00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596,000.00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2,204,197.00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2,196,197.00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666,197.00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陆新根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2,065,138.00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625,138.00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李健成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薛凤娜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仲敏瑶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吴庆</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1,619,138.00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邸皖豫</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张海亮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2,289,000.00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1,149,000.00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高森林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1,162,368.00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沈林夏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2,041,000.00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2,041,000.00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顾玲妹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2,290,647.00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690,647.00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倪卫英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2,357,735.00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褚烨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2,060,816.00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920,816.00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张宋涛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1,446,643.00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程忠民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2,308,555.00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2,305,555.00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1,505,555.00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计月英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钮雷涛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吴程成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2,015,510.00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2,015,510.00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冷兴根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2,308,555.00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2,285,469.00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2,285,469.00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沈钰文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闫振荣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袁君燕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沈传根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2,318,598.00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2,318,598.00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沈国华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张宝达</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李兴华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钮金坤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2,318,464.00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2,318,464.00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严坤林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1,505,643.00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杨晓君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张馨露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沈佳铭</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朱晔</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王根琴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毛少华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黄梦凯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吴佳慧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2,344,507.00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704,507.00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2,067,001.00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2,067,001.00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沈一飞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2,042,261.00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2,042,261.00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陈彬华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何正生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王卫琴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836,735.00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李俊豪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曹根泉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姚陈琦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789,117.00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吴海华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朱晓鸣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吴小东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计奕杰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钮金坤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吴建华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王伟铭</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1,189,266.00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王祖华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2,090,374.00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1,090,374.00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胡玥倩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2,072,385.00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1,042,385.00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陈志明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2,330,918.00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1,630,918.00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冯君妍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陈淑雯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1,232,244.00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董学洋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1,169,747.00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韩新春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2,435,276.00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2,144,106.00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2,101,224.00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2,101,224.00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陆姣姣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周永夫</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908,888.00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朱铭洁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2,427,822.00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2,379,509.00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730,509.00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1,649,000.00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蔡俊涛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2,137,859.00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张苗苗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2,108,791.00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888,791.00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俞强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1,926,164.00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刘承生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2,131,611.00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卜风元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2,106,622.00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2,104,622.00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2,104,622.00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王大洋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2,368,189.00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姚俊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2,412,914.00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潘菊明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冯惠琴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孙玉星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沈依祎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张齐琴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1,052,000.00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徐玲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曹红梅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2,248,922.00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1,987,921.00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1,948,163.00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1,948,163.00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吴建宏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1,962,932.00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1,923,870.00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963,870.00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960,000.00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严佳峰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2,196,743.00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2,174,776.00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974,776.00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bl>
    <w:p>
      <w:pPr>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附件五：本期项目用印台账</w:t>
      </w:r>
    </w:p>
    <w:p>
      <w:pPr>
        <w:rPr>
          <w:rFonts w:ascii="宋体" w:hAnsi="宋体" w:cs="宋体"/>
          <w:b/>
          <w:sz w:val="21"/>
          <w:szCs w:val="21"/>
        </w:rPr>
      </w:pP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邮储银行1户、招商银行1户(各3份）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吴江区新建商品房预售资金监管协议、补充协议及授权书用印申请（5#.7#预售）</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吴江区新建商品房预售资金监管协议、监管协议补充协议、授权书（各1份）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盛泽公司晋合广场月租停车费合同的用印申请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晋合广场车位租赁合同信息录入表（2份）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关于1#地块桩型承诺书用印申请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红星地产盛泽项目承诺书（2份）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盛泽项目临时用水申请资料用印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用水合同、用户报装申请表、客户报装满意度调查表、授权委托书、接水装表协议书、项目批复、营业执照复印件（各1份）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盛泽项目工程指令用印申请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工程指令-人防区通风根据人防审查意见及管线优化的变更事宜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关于盛泽镇绸都大道西侧02#地块夜间施工的申请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建筑施工现场夜间施工证明申请表4月8日-4月10日（5份）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盛泽安监整改回复用印申请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建设工程质量安全监督抽查整改完成报告书、建设工程安全隐患限期整改完成报告书（坤龙）（各2份）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关于《红星地产盛泽项目南区物价备案》的请示报告用印申请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关于《红星地产盛泽项目南区物价备案》的请示报告（1份）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浙商银行按揭准入合作协议与股东会决议用印申请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浙商银行个人房屋贷款楼盘项目合作申请表、浙商银行个人房屋贷款楼盘合作协议（各3份）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关于盛泽项目新签劳务给公司市场推广劳务服务合同用印申请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市场推广劳务服务合同</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关于盛泽项目发函盖章申请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催收房款通知书（1份）（8-803）</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关于盛泽项目加油站广告投放、户型图印刷、小区电梯框架广告发布、户外广告（竞品阵地）、小区广告发布合同的用印申请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商品房买卖合同17户（1户各4份）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潘羽洋</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潘羽洋</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盛泽项目1号地块工程土方堆放核准会审单用印申请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工程土方堆放核准会审单、土方堆放位置图片（各1份）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王欢</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盛泽项目王珏总劳动合同和保密协议用印申请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盛泽项目营销部刘芳铭收入证明用印申请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收入证明（1份）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宁波银行按揭银行信息查询及授权书用印申请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信息查询及提供授权书（2份）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工商银行2户、招商银行2户(各3份）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关于盛泽项目加油站广告投放、户型图印刷、小区电梯框架广告发布、户外广告（竞品阵地）、小区广告发布合同的用印申请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小区电梯框架广告发布、户外广告（竞品阵地）、小区广告发布合同（4各份）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盛泽项目一期一标段总承包工程补充协议用印申请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盛泽项目一期一标段总承包工程补充协议（一）</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盛泽项目一期二标段总承包工程补充协议用印申请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盛泽项目一期二标段总承包工程补充协议（一）</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盛泽项目2#地块水土保持方案承诺书及委托书用印申请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承诺书、委托书（各1份）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赵晶晶</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关于凯悦酒店信贷申请资料用印申请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信贷资料、营业执照复印件、基本存款账户信息（各1份）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关于盛泽项目落位客户回访礼采购合同用印申请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盛泽项目落位客户回访礼礼品采购合同（3份）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关于盛泽项目二期地库桩设计的项目承诺书用印申请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盛泽镇绸都大道西侧1#地块住宅项目承诺书（1份）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盛泽项目样板房总承包工程结算协议书用印申请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样板房总承包工程结算协议书（2份）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宋一飞</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盛泽一期工程土方堆放核准会审单用印申请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工程土方堆放核准会审单（3份）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盛泽项目南地块临水正式水过路顶管及绿化迁移申请资料用印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城市道路挖掘许可申请表、城市道路挖掘许可承诺书、对市区树木及草坪砍伐、移植的许可申请(各1份）地下管网安全保护告知单（5份）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盛泽1#地块变更审图用印申请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盛泽1#地块变更说明（1份）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盛泽项目关于房屋租赁合同（员工宿舍）用印申请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房屋租赁合同（2份）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商品房买卖合同9户（1户各4份）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蓝培诚</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商品房买卖合同2户（1户各4份）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关于盛泽项目通信配套设施建设的补充说明</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盛泽项目通信配套设施建设补充说明（1份）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宋艳代潘劲松</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盛泽项目工程指令的用印申请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一期基坑围护分包工程工程指令（2份）、二期地质勘查与场地测量分包工程工程指令（1份）、一期二标段总承包工程工程指令（6份）、一期一标段总承包工程工程指令（4份）（每份4张）</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何天磊代潘景山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盛泽项目关于信用等级申报用印申请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授权委托书、暂定资质证书、营业执照(各1份）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盛泽项目5#、7#楼开盘印章外带申请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收据、认购协议</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张宇、谢燕（合同章）</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田大伟、张宇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盛泽项目远洋尽调-产调与工商调档资料用印申请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身份证复印件、授权委托书（各2份）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中行个人购房贷款合作协议用印申请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中国银行个人购房贷款合作协议（2份）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盛泽项目二期土方分包工程中标通知书用印申请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中标通知书（5份）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盛泽项目规划设计部李嘉劳动合同和保密协议用印申请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盛泽项目1#地块3标段总包（南地块）项目经理变更申请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江苏省建设工程施工项目部关键岗位人员变更申请表（8份）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（盛泽项目）关于汽车买卖合同的审批</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汽车买卖合同（1份）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苏州盛泽审计往来询证函用印申请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往来询证函（18份）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盛泽项目户型图印刷合同、小区公告栏广告投放、围挡画面更换制作合同、企业微信合同、业主生日会活动（4月）、乡镇横幅户外广告投放合同、商超巡展位租赁及物料制作合同用印申请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盛泽项目户型图印刷合同；2、小区公告栏广告投放合同；3、围挡画面更换制作合同；4、企业微信合同；5、业主生日会活动（4月）合同；6、乡镇横幅户外广告投放合同；7、商超巡展位租赁及物料制作合同（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盛泽天铂第一批次（8-9-10-11）公积金准入材料用印申请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开发商签约、新项目申报审核表；（1份）2、公积金贷款楼盘备案申请表、营业执照复印件、暂定资质证书、法人身份证复印件、公司章程、建设用地规划许可证、建设工程规划许可证、预售证、建筑工程施工许可证；（2份）3、公积金（组合）贷款担保合作合同（担保公司）；4、财务报表审计报告；5、关于不拒绝购房人使用住房公积金贷款的陈诺书；</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工商银行1户、农业银行1户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客户信息采集表（80份）、社保查询明细（2份）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吴江盛泽项目5份工程合同结算协议书用印申请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售楼处及样板房门窗百叶栏杆分包工程合同结算协议书；样板房门窗百叶栏杆分包工程合同结算协议书；（各5份）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盛泽项目北区燃气补充合同说明用印申请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北区燃气补充合同说明（1份）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吴江盛泽项目5份工程合同结算协议书用印申请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1、盛泽项目售楼处及样板间消防工程合同结算协议书；售楼处及样板间智能化工程合同结算协议书；售楼处及样板间空调安装工程合同结算协议书；（各2份）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盛泽项目发展部山晓桐劳动合同和保密协议用印申请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山晓桐劳动合同及保密协议</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商品房买卖合同19户（1户各4份）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范义志</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江苏银行询证函、农业银行询证函（各1份）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苏州银行1户，工商银行2户（各3份）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盛泽天铂第一批次（8-9-10-11）公积金准入材料用印申请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公积金（组合）贷款担保合作合同（担保公司）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盛泽天铂客户催签、催款函用印申请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签约催告函（1份）、催款函（2份）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盛泽项目公司车辆购买保险投保单用印申请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保险投保单（1份）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苏州盛泽江苏银行贷款转款2亿元材料用印申请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催款单、付款审批单、划款指令（各3份）、划款指令-至长成（1份）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苏州盛泽项目开发贷提款材料用印申请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华鑫信托·建鑫196号单一资金信托信托贷款提款通知（5份）、华鑫信托·建鑫196号单一资金信托信托贷款借据（5份）、借款借据（3份）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示范区红线外市政景观分包工程合同（5份）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宋一飞</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盛泽项目示范区桩基围护及土方结算协议书用印申请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示范区桩基围护及土方结算协议书（4份）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苏州盛泽远洋尽调审计往来询证函用印申请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往来询证函（5份）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盛泽项目公司车辆办理ETC用印申请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苏通记账卡申领及定向支付授权书、公司公路电子标签使用协议、授权委托书、营业执照复印件（各1份）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建筑施工现场夜间施工证明申请表5月6日-5月8日（5份）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盛泽项目一期一标段、二标段总承包工程工程指令</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盛泽项目一期二标段总承包工程工程指令（坤龙）、盛泽项目一期一标段总承包工程工程指令（长成）（各4份）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建筑施工现场夜间施工证明申请表5月11日-5月13日、5月16日-5月18日（各5份）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宁波银行贷款合同（4份）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徐莉丽</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宁波银行按揭银行信息查询及授权书用印申请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信息查询及提供授权书（4份）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徐莉丽</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盛泽北地块3套实体样板间空调无定金下单用印申请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无定金下单申请函（1份）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微信审核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盛泽项目二期土方分包工程合同用印申请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二期土方分包工程合同（6份）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bl>
    <w:p>
      <w:pPr>
        <w:rPr>
          <w:rFonts w:ascii="宋体" w:hAnsi="宋体" w:cs="宋体"/>
          <w:bCs/>
          <w:sz w:val="21"/>
          <w:szCs w:val="21"/>
        </w:rPr>
      </w:pPr>
    </w:p>
    <w:p>
      <w:pPr>
        <w:pStyle w:val="7"/>
        <w:ind w:firstLine="0" w:firstLineChars="0"/>
      </w:pPr>
      <w:r>
        <w:rPr>
          <w:rFonts w:hint="eastAsia"/>
        </w:rPr>
        <w:t>本期SPV用印台账</w:t>
      </w: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浙商银行按揭准入合作协议与股东会决议用印申请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股东会决议（3份）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2021/4/27</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上海洛翊股东借款协议的用印申请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股东借款协议（6份）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微信审批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bl>
    <w:p>
      <w:pPr>
        <w:pStyle w:val="7"/>
        <w:ind w:firstLine="0" w:firstLineChars="0"/>
      </w:pPr>
    </w:p>
    <w:p>
      <w:pPr>
        <w:rPr>
          <w:rFonts w:ascii="宋体" w:hAnsi="宋体" w:cs="宋体"/>
          <w:bCs/>
          <w:sz w:val="21"/>
          <w:szCs w:val="21"/>
        </w:rPr>
      </w:pPr>
      <w:r>
        <w:rPr>
          <w:rFonts w:ascii="宋体" w:hAnsi="宋体" w:cs="宋体"/>
          <w:bCs/>
          <w:sz w:val="21"/>
          <w:szCs w:val="21"/>
        </w:rPr>
        <w:br w:type="page"/>
      </w:r>
    </w:p>
    <w:p>
      <w:pPr>
        <w:rPr>
          <w:rFonts w:ascii="宋体" w:hAnsi="宋体" w:cs="宋体"/>
          <w:bCs/>
          <w:sz w:val="21"/>
          <w:szCs w:val="21"/>
          <w:highlight w:val="yellow"/>
        </w:rPr>
      </w:pPr>
      <w:r>
        <w:rPr>
          <w:rFonts w:hint="eastAsia" w:ascii="宋体" w:hAnsi="宋体" w:cs="宋体"/>
          <w:b/>
          <w:sz w:val="21"/>
          <w:szCs w:val="21"/>
          <w:highlight w:val="yellow"/>
        </w:rPr>
        <w:t>附件六：项目公司下月资金计划</w:t>
      </w:r>
    </w:p>
    <w:p>
      <w:pPr>
        <w:ind w:firstLine="420" w:firstLineChars="200"/>
        <w:rPr>
          <w:rFonts w:ascii="宋体" w:hAnsi="宋体" w:cs="宋体"/>
          <w:bCs/>
          <w:sz w:val="21"/>
          <w:szCs w:val="21"/>
        </w:rPr>
      </w:pPr>
    </w:p>
    <w:p>
      <w:pPr>
        <w:ind w:firstLine="480" w:firstLineChars="200"/>
        <w:jc w:val="center"/>
        <w:rPr>
          <w:rFonts w:ascii="宋体" w:hAnsi="宋体" w:cs="宋体"/>
          <w:bCs/>
        </w:rPr>
      </w:pPr>
      <w:commentRangeStart w:id="2"/>
      <w:commentRangeStart w:id="3"/>
      <w:r>
        <w:rPr>
          <w:rFonts w:hint="eastAsia" w:ascii="宋体" w:hAnsi="宋体" w:cs="宋体"/>
          <w:bCs/>
        </w:rPr>
        <w:t>2021年05月资金计划</w:t>
      </w:r>
      <w:commentRangeEnd w:id="2"/>
      <w:r>
        <w:rPr>
          <w:rStyle w:val="22"/>
        </w:rPr>
        <w:commentReference w:id="2"/>
      </w:r>
      <w:commentRangeEnd w:id="3"/>
      <w:r>
        <w:commentReference w:id="3"/>
      </w:r>
    </w:p>
    <w:tbl>
      <w:tblPr>
        <w:tblStyle w:val="17"/>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693"/>
        <w:gridCol w:w="2552"/>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bookmarkStart w:id="19" w:name="_Hlk44875799"/>
            <w:bookmarkStart w:id="20" w:name="_Hlk16606321"/>
            <w:r>
              <w:rPr>
                <w:rFonts w:ascii="Arial" w:hAnsi="Arial" w:cs="Arial"/>
                <w:b/>
                <w:bCs/>
                <w:sz w:val="21"/>
                <w:szCs w:val="21"/>
              </w:rPr>
              <w:t>中航信托·</w:t>
            </w:r>
            <w:bookmarkEnd w:id="19"/>
            <w:r>
              <w:rPr>
                <w:rFonts w:ascii="Arial" w:hAnsi="Arial" w:cs="Arial"/>
                <w:b/>
                <w:bCs/>
                <w:sz w:val="21"/>
                <w:szCs w:val="21"/>
              </w:rPr>
              <w:t>天启【2020】352号红星苏州盛泽项目股权投资集合资金信托计划</w:t>
            </w:r>
          </w:p>
          <w:p>
            <w:pPr>
              <w:spacing w:line="360" w:lineRule="auto"/>
              <w:ind w:firstLine="422" w:firstLineChars="200"/>
              <w:jc w:val="center"/>
              <w:rPr>
                <w:rFonts w:ascii="Arial" w:hAnsi="Arial" w:cs="Arial"/>
                <w:b/>
                <w:bCs/>
                <w:sz w:val="21"/>
                <w:szCs w:val="21"/>
              </w:rPr>
            </w:pPr>
            <w:r>
              <w:rPr>
                <w:rFonts w:ascii="Arial" w:hAnsi="Arial" w:cs="Arial"/>
                <w:b/>
                <w:bCs/>
                <w:sz w:val="21"/>
                <w:szCs w:val="21"/>
              </w:rPr>
              <w:t>-苏州红星盛泽项目月度资金使用计划（2021年</w:t>
            </w:r>
            <w:del w:id="1" w:author="黑白" w:date="2021-05-13T18:49:31Z">
              <w:r>
                <w:rPr>
                  <w:rFonts w:hint="default" w:ascii="Arial" w:hAnsi="Arial" w:cs="Arial"/>
                  <w:b/>
                  <w:bCs/>
                  <w:sz w:val="21"/>
                  <w:szCs w:val="21"/>
                  <w:lang w:val="en-US"/>
                </w:rPr>
                <w:delText>4</w:delText>
              </w:r>
            </w:del>
            <w:ins w:id="2" w:author="黑白" w:date="2021-05-13T18:49:31Z">
              <w:r>
                <w:rPr>
                  <w:rFonts w:hint="eastAsia" w:ascii="Arial" w:hAnsi="Arial" w:cs="Arial"/>
                  <w:b/>
                  <w:bCs/>
                  <w:sz w:val="21"/>
                  <w:szCs w:val="21"/>
                  <w:lang w:val="en-US" w:eastAsia="zh-CN"/>
                </w:rPr>
                <w:t>5</w:t>
              </w:r>
            </w:ins>
            <w:r>
              <w:rPr>
                <w:rFonts w:ascii="Arial" w:hAnsi="Arial" w:cs="Arial"/>
                <w:b/>
                <w:bCs/>
                <w:sz w:val="21"/>
                <w:szCs w:val="21"/>
              </w:rPr>
              <w:t>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r>
              <w:rPr>
                <w:rFonts w:ascii="Arial" w:hAnsi="Arial" w:cs="Arial"/>
                <w:b/>
                <w:bCs/>
                <w:sz w:val="21"/>
                <w:szCs w:val="21"/>
              </w:rPr>
              <w:t>编制：苏州星盛房地产开发有限公司                               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80"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费用类型</w:t>
            </w:r>
          </w:p>
        </w:tc>
        <w:tc>
          <w:tcPr>
            <w:tcW w:w="2693" w:type="dxa"/>
            <w:shd w:val="clear" w:color="auto" w:fill="DCD8C2"/>
          </w:tcPr>
          <w:p>
            <w:pPr>
              <w:spacing w:line="360" w:lineRule="auto"/>
              <w:ind w:firstLine="422" w:firstLineChars="200"/>
              <w:jc w:val="center"/>
              <w:rPr>
                <w:rFonts w:ascii="Arial" w:hAnsi="Arial" w:cs="Arial"/>
                <w:b/>
                <w:bCs/>
                <w:sz w:val="21"/>
                <w:szCs w:val="21"/>
              </w:rPr>
            </w:pPr>
            <w:r>
              <w:rPr>
                <w:rFonts w:ascii="Arial" w:hAnsi="Arial" w:cs="Arial"/>
                <w:b/>
                <w:bCs/>
                <w:sz w:val="21"/>
                <w:szCs w:val="21"/>
              </w:rPr>
              <w:t>合同金额</w:t>
            </w:r>
          </w:p>
        </w:tc>
        <w:tc>
          <w:tcPr>
            <w:tcW w:w="2552"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实际累计已付款</w:t>
            </w:r>
          </w:p>
        </w:tc>
        <w:tc>
          <w:tcPr>
            <w:tcW w:w="2429"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本月申请金额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前期费用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350.81</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68.50</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建安费用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27,879.80</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4875.84</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2573.80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管理费用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1291.24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营销费用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630.04</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354.98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税费</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其他费用</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258.00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25" w:type="dxa"/>
            <w:gridSpan w:val="3"/>
          </w:tcPr>
          <w:p>
            <w:pPr>
              <w:spacing w:line="360" w:lineRule="auto"/>
              <w:ind w:firstLine="422" w:firstLineChars="200"/>
              <w:jc w:val="center"/>
              <w:rPr>
                <w:rFonts w:ascii="Arial" w:hAnsi="Arial" w:cs="Arial"/>
                <w:b/>
                <w:bCs/>
                <w:sz w:val="21"/>
                <w:szCs w:val="21"/>
              </w:rPr>
            </w:pPr>
            <w:r>
              <w:rPr>
                <w:rFonts w:ascii="Arial" w:hAnsi="Arial" w:cs="Arial"/>
                <w:b/>
                <w:bCs/>
                <w:sz w:val="21"/>
                <w:szCs w:val="21"/>
              </w:rPr>
              <w:t>总   计：</w:t>
            </w:r>
          </w:p>
        </w:tc>
        <w:tc>
          <w:tcPr>
            <w:tcW w:w="2429" w:type="dxa"/>
            <w:vAlign w:val="center"/>
          </w:tcPr>
          <w:p>
            <w:pPr>
              <w:spacing w:line="360" w:lineRule="auto"/>
              <w:ind w:firstLine="0" w:firstLineChars="0"/>
              <w:jc w:val="center"/>
              <w:textAlignment w:val="center"/>
              <w:rPr>
                <w:rFonts w:ascii="Arial" w:hAnsi="Arial" w:cs="Arial"/>
                <w:color w:val="000000"/>
                <w:kern w:val="2"/>
                <w:sz w:val="21"/>
                <w:szCs w:val="21"/>
              </w:rPr>
              <w:pPrChange w:id="3" w:author="黑白" w:date="2021-05-13T18:49:46Z">
                <w:pPr>
                  <w:spacing w:line="360" w:lineRule="auto"/>
                  <w:ind w:firstLine="480" w:firstLineChars="200"/>
                  <w:jc w:val="both"/>
                  <w:textAlignment w:val="center"/>
                </w:pPr>
              </w:pPrChange>
            </w:pPr>
            <w:r>
              <w:rPr>
                <w:rFonts w:hint="eastAsia" w:ascii="宋体" w:hAnsi="宋体" w:cs="宋体"/>
                <w:color w:val="000000"/>
                <w:lang w:bidi="ar"/>
              </w:rPr>
              <w:t>5426.17</w:t>
            </w:r>
          </w:p>
        </w:tc>
      </w:tr>
      <w:bookmarkEnd w:id="20"/>
    </w:tbl>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bookmarkStart w:id="21" w:name="_GoBack"/>
      <w:bookmarkEnd w:id="21"/>
    </w:p>
    <w:p>
      <w:pPr>
        <w:rPr>
          <w:rFonts w:ascii="宋体" w:hAnsi="宋体" w:cs="宋体"/>
          <w:b/>
          <w:sz w:val="21"/>
          <w:szCs w:val="21"/>
        </w:rPr>
      </w:pPr>
      <w:r>
        <w:rPr>
          <w:rFonts w:hint="eastAsia" w:ascii="宋体" w:hAnsi="宋体" w:cs="宋体"/>
          <w:b/>
          <w:sz w:val="21"/>
          <w:szCs w:val="21"/>
        </w:rPr>
        <w:t>附件七：项目形象进度及照片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04</w:t>
      </w:r>
      <w:r>
        <w:rPr>
          <w:rFonts w:ascii="Arial" w:hAnsi="Arial" w:cs="Arial"/>
          <w:bCs/>
          <w:sz w:val="21"/>
          <w:szCs w:val="21"/>
        </w:rPr>
        <w:t>月工程进度：</w:t>
      </w:r>
      <w:r>
        <w:rPr>
          <w:rFonts w:hint="eastAsia" w:ascii="Arial" w:hAnsi="Arial" w:cs="Arial"/>
          <w:bCs/>
          <w:sz w:val="21"/>
          <w:szCs w:val="21"/>
        </w:rPr>
        <w:t>2#地块（一期）一标段8#十二层结构平板铺设完成、11#十三层结构梁板钢筋安装、5#八层面模板铺设、6#二层墙柱封模完成，3#正负零结构浇筑完成；二标段9#十五层梁板钢筋安装、10#十六层墙柱钢筋安装、4#六层面平板铺设完成、7#七层结构梁板钢筋安装完成，2#墙柱钢筋安装完成，墙柱封模整体完成70%，平板完成30%（西侧）。1#地块（二期）正在进行试桩。</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6"/>
        <w:gridCol w:w="4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pPr>
            <w:r>
              <w:rPr>
                <w:rFonts w:ascii="Arial" w:hAnsi="Arial" w:cs="Arial"/>
              </w:rPr>
              <w:drawing>
                <wp:inline distT="0" distB="0" distL="114300" distR="114300">
                  <wp:extent cx="3161030" cy="2803525"/>
                  <wp:effectExtent l="0" t="0" r="1270" b="15875"/>
                  <wp:docPr id="9" name="图片 9" descr="56be5617f32fc9a857ec73f7f517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be5617f32fc9a857ec73f7f517d98"/>
                          <pic:cNvPicPr>
                            <a:picLocks noChangeAspect="1"/>
                          </pic:cNvPicPr>
                        </pic:nvPicPr>
                        <pic:blipFill>
                          <a:blip r:embed="rId15"/>
                          <a:stretch>
                            <a:fillRect/>
                          </a:stretch>
                        </pic:blipFill>
                        <pic:spPr>
                          <a:xfrm>
                            <a:off x="0" y="0"/>
                            <a:ext cx="3161030" cy="2803525"/>
                          </a:xfrm>
                          <a:prstGeom prst="rect">
                            <a:avLst/>
                          </a:prstGeom>
                        </pic:spPr>
                      </pic:pic>
                    </a:graphicData>
                  </a:graphic>
                </wp:inline>
              </w:drawing>
            </w:r>
          </w:p>
        </w:tc>
        <w:tc>
          <w:tcPr>
            <w:tcW w:w="4927" w:type="dxa"/>
          </w:tcPr>
          <w:p>
            <w:pPr>
              <w:pStyle w:val="7"/>
              <w:ind w:firstLine="0" w:firstLineChars="0"/>
            </w:pPr>
            <w:r>
              <w:rPr>
                <w:rFonts w:ascii="Arial" w:hAnsi="Arial" w:cs="Arial"/>
              </w:rPr>
              <w:drawing>
                <wp:inline distT="0" distB="0" distL="114300" distR="114300">
                  <wp:extent cx="2743200" cy="2840355"/>
                  <wp:effectExtent l="0" t="0" r="0" b="17145"/>
                  <wp:docPr id="10" name="图片 10" descr="07bb1d334fbbb08c7c936cee79c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bb1d334fbbb08c7c936cee79c1514"/>
                          <pic:cNvPicPr>
                            <a:picLocks noChangeAspect="1"/>
                          </pic:cNvPicPr>
                        </pic:nvPicPr>
                        <pic:blipFill>
                          <a:blip r:embed="rId16"/>
                          <a:stretch>
                            <a:fillRect/>
                          </a:stretch>
                        </pic:blipFill>
                        <pic:spPr>
                          <a:xfrm>
                            <a:off x="0" y="0"/>
                            <a:ext cx="2743200" cy="2840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rPr>
                <w:rFonts w:ascii="Arial" w:hAnsi="Arial" w:cs="Arial"/>
              </w:rPr>
            </w:pPr>
            <w:r>
              <w:rPr>
                <w:rFonts w:ascii="宋体" w:hAnsi="宋体" w:cs="宋体"/>
                <w:sz w:val="18"/>
                <w:szCs w:val="18"/>
              </w:rPr>
              <w:drawing>
                <wp:inline distT="0" distB="0" distL="114300" distR="114300">
                  <wp:extent cx="3136900" cy="2802890"/>
                  <wp:effectExtent l="0" t="0" r="6350" b="16510"/>
                  <wp:docPr id="24" name="图片 24" descr="8fcf53e4e9f51af495308a83eb5d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fcf53e4e9f51af495308a83eb5d76d"/>
                          <pic:cNvPicPr>
                            <a:picLocks noChangeAspect="1"/>
                          </pic:cNvPicPr>
                        </pic:nvPicPr>
                        <pic:blipFill>
                          <a:blip r:embed="rId17"/>
                          <a:stretch>
                            <a:fillRect/>
                          </a:stretch>
                        </pic:blipFill>
                        <pic:spPr>
                          <a:xfrm>
                            <a:off x="0" y="0"/>
                            <a:ext cx="3136900" cy="2802890"/>
                          </a:xfrm>
                          <a:prstGeom prst="rect">
                            <a:avLst/>
                          </a:prstGeom>
                        </pic:spPr>
                      </pic:pic>
                    </a:graphicData>
                  </a:graphic>
                </wp:inline>
              </w:drawing>
            </w:r>
          </w:p>
        </w:tc>
        <w:tc>
          <w:tcPr>
            <w:tcW w:w="4927" w:type="dxa"/>
          </w:tcPr>
          <w:p>
            <w:pPr>
              <w:pStyle w:val="7"/>
              <w:ind w:firstLine="0" w:firstLineChars="0"/>
              <w:rPr>
                <w:rFonts w:ascii="Arial" w:hAnsi="Arial" w:cs="Arial"/>
              </w:rPr>
            </w:pPr>
            <w:r>
              <w:rPr>
                <w:rFonts w:ascii="宋体" w:hAnsi="宋体" w:cs="宋体"/>
                <w:sz w:val="18"/>
                <w:szCs w:val="18"/>
              </w:rPr>
              <w:drawing>
                <wp:inline distT="0" distB="0" distL="114300" distR="114300">
                  <wp:extent cx="2743200" cy="2783840"/>
                  <wp:effectExtent l="0" t="0" r="0" b="16510"/>
                  <wp:docPr id="18" name="图片 18" descr="abbc674db57c627e4b8219fd8c02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bbc674db57c627e4b8219fd8c026cd"/>
                          <pic:cNvPicPr>
                            <a:picLocks noChangeAspect="1"/>
                          </pic:cNvPicPr>
                        </pic:nvPicPr>
                        <pic:blipFill>
                          <a:blip r:embed="rId18"/>
                          <a:stretch>
                            <a:fillRect/>
                          </a:stretch>
                        </pic:blipFill>
                        <pic:spPr>
                          <a:xfrm>
                            <a:off x="0" y="0"/>
                            <a:ext cx="2743200" cy="2783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rPr>
                <w:rFonts w:ascii="宋体" w:hAnsi="宋体" w:cs="宋体"/>
                <w:sz w:val="18"/>
                <w:szCs w:val="18"/>
              </w:rPr>
            </w:pPr>
            <w:r>
              <w:rPr>
                <w:rFonts w:ascii="宋体" w:hAnsi="宋体" w:cs="宋体"/>
                <w:sz w:val="18"/>
                <w:szCs w:val="18"/>
              </w:rPr>
              <w:drawing>
                <wp:inline distT="0" distB="0" distL="114300" distR="114300">
                  <wp:extent cx="3138170" cy="2526030"/>
                  <wp:effectExtent l="0" t="0" r="5080" b="7620"/>
                  <wp:docPr id="22" name="图片 22" descr="a4ef6d118ff3e273d2718b1f9ae3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4ef6d118ff3e273d2718b1f9ae353e"/>
                          <pic:cNvPicPr>
                            <a:picLocks noChangeAspect="1"/>
                          </pic:cNvPicPr>
                        </pic:nvPicPr>
                        <pic:blipFill>
                          <a:blip r:embed="rId19"/>
                          <a:stretch>
                            <a:fillRect/>
                          </a:stretch>
                        </pic:blipFill>
                        <pic:spPr>
                          <a:xfrm>
                            <a:off x="0" y="0"/>
                            <a:ext cx="3138170" cy="2526030"/>
                          </a:xfrm>
                          <a:prstGeom prst="rect">
                            <a:avLst/>
                          </a:prstGeom>
                        </pic:spPr>
                      </pic:pic>
                    </a:graphicData>
                  </a:graphic>
                </wp:inline>
              </w:drawing>
            </w:r>
          </w:p>
        </w:tc>
        <w:tc>
          <w:tcPr>
            <w:tcW w:w="4927" w:type="dxa"/>
          </w:tcPr>
          <w:p>
            <w:pPr>
              <w:pStyle w:val="7"/>
              <w:ind w:firstLine="0" w:firstLineChars="0"/>
              <w:rPr>
                <w:rFonts w:ascii="宋体" w:hAnsi="宋体" w:cs="宋体"/>
                <w:sz w:val="18"/>
                <w:szCs w:val="18"/>
              </w:rPr>
            </w:pPr>
            <w:r>
              <w:rPr>
                <w:rFonts w:ascii="宋体" w:hAnsi="宋体" w:cs="宋体"/>
                <w:sz w:val="18"/>
                <w:szCs w:val="18"/>
              </w:rPr>
              <w:drawing>
                <wp:inline distT="0" distB="0" distL="114300" distR="114300">
                  <wp:extent cx="2743200" cy="2524760"/>
                  <wp:effectExtent l="0" t="0" r="0" b="8890"/>
                  <wp:docPr id="26" name="图片 26" descr="dea0fdd762835cdd7164fcf3f87b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ea0fdd762835cdd7164fcf3f87bc85"/>
                          <pic:cNvPicPr>
                            <a:picLocks noChangeAspect="1"/>
                          </pic:cNvPicPr>
                        </pic:nvPicPr>
                        <pic:blipFill>
                          <a:blip r:embed="rId20"/>
                          <a:stretch>
                            <a:fillRect/>
                          </a:stretch>
                        </pic:blipFill>
                        <pic:spPr>
                          <a:xfrm>
                            <a:off x="0" y="0"/>
                            <a:ext cx="2743200" cy="2524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927" w:type="dxa"/>
          </w:tcPr>
          <w:p>
            <w:pPr>
              <w:pStyle w:val="7"/>
              <w:ind w:firstLine="0" w:firstLineChars="0"/>
              <w:rPr>
                <w:rFonts w:ascii="宋体" w:hAnsi="宋体" w:cs="宋体"/>
                <w:sz w:val="18"/>
                <w:szCs w:val="18"/>
              </w:rPr>
            </w:pPr>
            <w:r>
              <w:drawing>
                <wp:inline distT="0" distB="0" distL="114300" distR="114300">
                  <wp:extent cx="3124835" cy="2098040"/>
                  <wp:effectExtent l="0" t="0" r="18415" b="16510"/>
                  <wp:docPr id="27" name="图片 27" descr="f2a8697bc39493e06f20816453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a8697bc39493e06f2081645370951"/>
                          <pic:cNvPicPr>
                            <a:picLocks noChangeAspect="1"/>
                          </pic:cNvPicPr>
                        </pic:nvPicPr>
                        <pic:blipFill>
                          <a:blip r:embed="rId21"/>
                          <a:stretch>
                            <a:fillRect/>
                          </a:stretch>
                        </pic:blipFill>
                        <pic:spPr>
                          <a:xfrm>
                            <a:off x="0" y="0"/>
                            <a:ext cx="3124835" cy="2098040"/>
                          </a:xfrm>
                          <a:prstGeom prst="rect">
                            <a:avLst/>
                          </a:prstGeom>
                        </pic:spPr>
                      </pic:pic>
                    </a:graphicData>
                  </a:graphic>
                </wp:inline>
              </w:drawing>
            </w:r>
          </w:p>
        </w:tc>
        <w:tc>
          <w:tcPr>
            <w:tcW w:w="4927" w:type="dxa"/>
          </w:tcPr>
          <w:p>
            <w:pPr>
              <w:pStyle w:val="7"/>
              <w:ind w:firstLine="0" w:firstLineChars="0"/>
              <w:rPr>
                <w:rFonts w:ascii="宋体" w:hAnsi="宋体" w:cs="宋体"/>
                <w:sz w:val="18"/>
                <w:szCs w:val="18"/>
              </w:rPr>
            </w:pPr>
            <w:r>
              <w:drawing>
                <wp:inline distT="0" distB="0" distL="114300" distR="114300">
                  <wp:extent cx="2804160" cy="2103120"/>
                  <wp:effectExtent l="0" t="0" r="15240" b="11430"/>
                  <wp:docPr id="28" name="图片 28" descr="d3955a63b6508956b2ca3f7b633f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3955a63b6508956b2ca3f7b633f57d"/>
                          <pic:cNvPicPr>
                            <a:picLocks noChangeAspect="1"/>
                          </pic:cNvPicPr>
                        </pic:nvPicPr>
                        <pic:blipFill>
                          <a:blip r:embed="rId22"/>
                          <a:stretch>
                            <a:fillRect/>
                          </a:stretch>
                        </pic:blipFill>
                        <pic:spPr>
                          <a:xfrm>
                            <a:off x="0" y="0"/>
                            <a:ext cx="2804160" cy="2103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pPr>
            <w:r>
              <w:rPr>
                <w:sz w:val="24"/>
              </w:rPr>
              <w:drawing>
                <wp:inline distT="0" distB="0" distL="114300" distR="114300">
                  <wp:extent cx="3145155" cy="2240280"/>
                  <wp:effectExtent l="0" t="0" r="17145" b="7620"/>
                  <wp:docPr id="30" name="图片 30" descr="59dde1d472a3def168c5e73221e2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9dde1d472a3def168c5e73221e272e"/>
                          <pic:cNvPicPr>
                            <a:picLocks noChangeAspect="1"/>
                          </pic:cNvPicPr>
                        </pic:nvPicPr>
                        <pic:blipFill>
                          <a:blip r:embed="rId23"/>
                          <a:stretch>
                            <a:fillRect/>
                          </a:stretch>
                        </pic:blipFill>
                        <pic:spPr>
                          <a:xfrm>
                            <a:off x="0" y="0"/>
                            <a:ext cx="3145155" cy="2240280"/>
                          </a:xfrm>
                          <a:prstGeom prst="rect">
                            <a:avLst/>
                          </a:prstGeom>
                        </pic:spPr>
                      </pic:pic>
                    </a:graphicData>
                  </a:graphic>
                </wp:inline>
              </w:drawing>
            </w:r>
          </w:p>
        </w:tc>
        <w:tc>
          <w:tcPr>
            <w:tcW w:w="4927" w:type="dxa"/>
          </w:tcPr>
          <w:p>
            <w:pPr>
              <w:pStyle w:val="7"/>
              <w:ind w:firstLine="0" w:firstLineChars="0"/>
            </w:pPr>
            <w:r>
              <w:rPr>
                <w:sz w:val="24"/>
              </w:rPr>
              <w:drawing>
                <wp:inline distT="0" distB="0" distL="114300" distR="114300">
                  <wp:extent cx="2814320" cy="2248535"/>
                  <wp:effectExtent l="0" t="0" r="5080" b="18415"/>
                  <wp:docPr id="37" name="图片 37" descr="ab9d2bc24146c26dd84c04b7cff5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b9d2bc24146c26dd84c04b7cff55d3"/>
                          <pic:cNvPicPr>
                            <a:picLocks noChangeAspect="1"/>
                          </pic:cNvPicPr>
                        </pic:nvPicPr>
                        <pic:blipFill>
                          <a:blip r:embed="rId24"/>
                          <a:stretch>
                            <a:fillRect/>
                          </a:stretch>
                        </pic:blipFill>
                        <pic:spPr>
                          <a:xfrm>
                            <a:off x="0" y="0"/>
                            <a:ext cx="2814320" cy="2248535"/>
                          </a:xfrm>
                          <a:prstGeom prst="rect">
                            <a:avLst/>
                          </a:prstGeom>
                        </pic:spPr>
                      </pic:pic>
                    </a:graphicData>
                  </a:graphic>
                </wp:inline>
              </w:drawing>
            </w:r>
          </w:p>
        </w:tc>
      </w:tr>
    </w:tbl>
    <w:p>
      <w:pPr>
        <w:pStyle w:val="7"/>
        <w:ind w:firstLine="0" w:firstLineChars="0"/>
      </w:pPr>
    </w:p>
    <w:p>
      <w:pPr>
        <w:pStyle w:val="7"/>
        <w:rPr>
          <w:rFonts w:ascii="宋体" w:hAnsi="宋体"/>
          <w:szCs w:val="21"/>
        </w:rPr>
      </w:pPr>
    </w:p>
    <w:p>
      <w:pPr>
        <w:pStyle w:val="7"/>
        <w:ind w:firstLine="0" w:firstLineChars="0"/>
        <w:rPr>
          <w:rFonts w:ascii="宋体" w:hAnsi="宋体"/>
          <w:szCs w:val="21"/>
        </w:rPr>
      </w:pPr>
    </w:p>
    <w:p>
      <w:pPr>
        <w:pStyle w:val="7"/>
        <w:ind w:firstLine="0" w:firstLineChars="0"/>
        <w:rPr>
          <w:rFonts w:ascii="宋体" w:hAnsi="宋体"/>
          <w:szCs w:val="21"/>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rPr>
      </w:pPr>
      <w:r>
        <w:rPr>
          <w:rFonts w:hint="eastAsia" w:ascii="宋体" w:hAnsi="宋体" w:cs="宋体"/>
          <w:b/>
          <w:sz w:val="21"/>
          <w:szCs w:val="21"/>
        </w:rPr>
        <w:t>附件八：交接清单及证照</w:t>
      </w:r>
    </w:p>
    <w:p>
      <w:pPr>
        <w:pStyle w:val="7"/>
        <w:ind w:firstLine="0" w:firstLineChars="0"/>
      </w:pPr>
      <w:r>
        <w:drawing>
          <wp:inline distT="0" distB="0" distL="114300" distR="114300">
            <wp:extent cx="6010275" cy="5238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6010275" cy="5238750"/>
                    </a:xfrm>
                    <a:prstGeom prst="rect">
                      <a:avLst/>
                    </a:prstGeom>
                    <a:noFill/>
                    <a:ln>
                      <a:noFill/>
                    </a:ln>
                  </pic:spPr>
                </pic:pic>
              </a:graphicData>
            </a:graphic>
          </wp:inline>
        </w:drawing>
      </w:r>
    </w:p>
    <w:p>
      <w:pPr>
        <w:pStyle w:val="7"/>
        <w:ind w:firstLine="0" w:firstLineChars="0"/>
      </w:pPr>
      <w:r>
        <w:drawing>
          <wp:inline distT="0" distB="0" distL="114300" distR="114300">
            <wp:extent cx="6117590" cy="4451350"/>
            <wp:effectExtent l="0" t="0" r="16510" b="635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6"/>
                    <a:stretch>
                      <a:fillRect/>
                    </a:stretch>
                  </pic:blipFill>
                  <pic:spPr>
                    <a:xfrm>
                      <a:off x="0" y="0"/>
                      <a:ext cx="6117590" cy="4451350"/>
                    </a:xfrm>
                    <a:prstGeom prst="rect">
                      <a:avLst/>
                    </a:prstGeom>
                    <a:noFill/>
                    <a:ln>
                      <a:noFill/>
                    </a:ln>
                  </pic:spPr>
                </pic:pic>
              </a:graphicData>
            </a:graphic>
          </wp:inline>
        </w:drawing>
      </w:r>
    </w:p>
    <w:p>
      <w:pPr>
        <w:pStyle w:val="7"/>
        <w:ind w:firstLine="0" w:firstLineChars="0"/>
      </w:pPr>
    </w:p>
    <w:p>
      <w:pPr>
        <w:pStyle w:val="7"/>
        <w:ind w:firstLine="0" w:firstLineChars="0"/>
        <w:rPr>
          <w:rFonts w:ascii="宋体" w:hAnsi="宋体"/>
          <w:szCs w:val="21"/>
        </w:rPr>
      </w:pPr>
    </w:p>
    <w:p/>
    <w:p>
      <w:pPr>
        <w:pStyle w:val="7"/>
        <w:ind w:firstLine="0" w:firstLineChars="0"/>
      </w:pPr>
    </w:p>
    <w:p>
      <w:pPr>
        <w:pStyle w:val="7"/>
        <w:ind w:firstLine="0" w:firstLineChars="0"/>
      </w:pPr>
    </w:p>
    <w:p>
      <w:pPr>
        <w:pStyle w:val="7"/>
        <w:ind w:firstLine="0" w:firstLineChars="0"/>
      </w:pPr>
    </w:p>
    <w:p>
      <w:pPr>
        <w:pStyle w:val="7"/>
        <w:ind w:firstLine="0" w:firstLineChars="0"/>
      </w:pPr>
    </w:p>
    <w:sectPr>
      <w:pgSz w:w="11906" w:h="16838"/>
      <w:pgMar w:top="1134" w:right="1134" w:bottom="1134" w:left="1134"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feifei" w:date="2021-05-13T17:06:00Z" w:initials="">
    <w:p w14:paraId="0F7528FE">
      <w:pPr>
        <w:pStyle w:val="8"/>
      </w:pPr>
      <w:r>
        <w:rPr>
          <w:rFonts w:hint="eastAsia"/>
        </w:rPr>
        <w:t>之前没仔细看，可售1828，为甚实际可售1280？有人防车位？</w:t>
      </w:r>
    </w:p>
  </w:comment>
  <w:comment w:id="1" w:author="黑白" w:date="2021-05-13T18:18:52Z" w:initials="">
    <w:p w14:paraId="4B033D3F">
      <w:pPr>
        <w:pStyle w:val="8"/>
        <w:rPr>
          <w:rFonts w:hint="eastAsia"/>
          <w:lang w:val="en-US" w:eastAsia="zh-CN"/>
        </w:rPr>
      </w:pPr>
      <w:r>
        <w:rPr>
          <w:rFonts w:hint="eastAsia"/>
          <w:lang w:eastAsia="zh-CN"/>
        </w:rPr>
        <w:t>按可售比</w:t>
      </w:r>
      <w:r>
        <w:rPr>
          <w:rFonts w:hint="eastAsia"/>
          <w:lang w:val="en-US" w:eastAsia="zh-CN"/>
        </w:rPr>
        <w:t>70%计算</w:t>
      </w:r>
    </w:p>
    <w:p w14:paraId="39286C3F">
      <w:pPr>
        <w:pStyle w:val="8"/>
        <w:rPr>
          <w:rFonts w:hint="default"/>
          <w:lang w:val="en-US" w:eastAsia="zh-CN"/>
        </w:rPr>
      </w:pPr>
      <w:r>
        <w:drawing>
          <wp:inline distT="0" distB="0" distL="114300" distR="114300">
            <wp:extent cx="2078990" cy="405130"/>
            <wp:effectExtent l="0" t="0" r="1651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2078990" cy="405130"/>
                    </a:xfrm>
                    <a:prstGeom prst="rect">
                      <a:avLst/>
                    </a:prstGeom>
                    <a:noFill/>
                    <a:ln>
                      <a:noFill/>
                    </a:ln>
                  </pic:spPr>
                </pic:pic>
              </a:graphicData>
            </a:graphic>
          </wp:inline>
        </w:drawing>
      </w:r>
    </w:p>
  </w:comment>
  <w:comment w:id="2" w:author="yfeifei" w:date="2021-05-13T17:52:00Z" w:initials="">
    <w:p w14:paraId="24555005">
      <w:pPr>
        <w:pStyle w:val="8"/>
      </w:pPr>
      <w:r>
        <w:t>补充新的资金计划</w:t>
      </w:r>
    </w:p>
  </w:comment>
  <w:comment w:id="3" w:author="黑白" w:date="2021-05-13T18:49:34Z" w:initials="">
    <w:p w14:paraId="7C2E67A3">
      <w:pPr>
        <w:pStyle w:val="8"/>
        <w:rPr>
          <w:rFonts w:hint="eastAsia" w:eastAsia="宋体"/>
          <w:lang w:eastAsia="zh-CN"/>
        </w:rPr>
      </w:pPr>
      <w:r>
        <w:rPr>
          <w:rFonts w:hint="eastAsia"/>
          <w:lang w:eastAsia="zh-CN"/>
        </w:rPr>
        <w:t>已修改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F7528FE" w15:done="0"/>
  <w15:commentEx w15:paraId="39286C3F" w15:done="0" w15:paraIdParent="0F7528FE"/>
  <w15:commentEx w15:paraId="24555005" w15:done="0"/>
  <w15:commentEx w15:paraId="7C2E67A3" w15:done="0" w15:paraIdParent="24555005"/>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1"/>
          <w:jc w:val="center"/>
        </w:pPr>
        <w:r>
          <w:fldChar w:fldCharType="begin"/>
        </w:r>
        <w:r>
          <w:instrText xml:space="preserve">PAGE   \* MERGEFORMAT</w:instrText>
        </w:r>
        <w:r>
          <w:fldChar w:fldCharType="separate"/>
        </w:r>
        <w:r>
          <w:rPr>
            <w:lang w:val="zh-CN"/>
          </w:rPr>
          <w:t>74</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7EC83"/>
    <w:multiLevelType w:val="singleLevel"/>
    <w:tmpl w:val="08D7EC83"/>
    <w:lvl w:ilvl="0" w:tentative="0">
      <w:start w:val="1"/>
      <w:numFmt w:val="decimal"/>
      <w:suff w:val="nothing"/>
      <w:lvlText w:val="%1、"/>
      <w:lvlJc w:val="left"/>
    </w:lvl>
  </w:abstractNum>
  <w:abstractNum w:abstractNumId="1">
    <w:nsid w:val="1431E7A8"/>
    <w:multiLevelType w:val="singleLevel"/>
    <w:tmpl w:val="1431E7A8"/>
    <w:lvl w:ilvl="0" w:tentative="0">
      <w:start w:val="9"/>
      <w:numFmt w:val="chineseCounting"/>
      <w:suff w:val="nothing"/>
      <w:lvlText w:val="%1、"/>
      <w:lvlJc w:val="left"/>
      <w:rPr>
        <w:rFonts w:hint="eastAsia"/>
      </w:rPr>
    </w:lvl>
  </w:abstractNum>
  <w:abstractNum w:abstractNumId="2">
    <w:nsid w:val="195A5BB3"/>
    <w:multiLevelType w:val="singleLevel"/>
    <w:tmpl w:val="195A5BB3"/>
    <w:lvl w:ilvl="0" w:tentative="0">
      <w:start w:val="6"/>
      <w:numFmt w:val="decimal"/>
      <w:suff w:val="nothing"/>
      <w:lvlText w:val="（%1）"/>
      <w:lvlJc w:val="left"/>
      <w:rPr>
        <w:rFonts w:hint="default"/>
        <w:b/>
        <w:bCs/>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feifei">
    <w15:presenceInfo w15:providerId="None" w15:userId="yfeifei"/>
  </w15:person>
  <w15:person w15:author="黑白">
    <w15:presenceInfo w15:providerId="WPS Office" w15:userId="813368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trackRevisions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136C"/>
    <w:rsid w:val="0003235F"/>
    <w:rsid w:val="00090B71"/>
    <w:rsid w:val="000A629C"/>
    <w:rsid w:val="000C3169"/>
    <w:rsid w:val="000F1BBA"/>
    <w:rsid w:val="00102B4E"/>
    <w:rsid w:val="0011094E"/>
    <w:rsid w:val="00114E49"/>
    <w:rsid w:val="001237D3"/>
    <w:rsid w:val="00152CCA"/>
    <w:rsid w:val="0015479E"/>
    <w:rsid w:val="00183D43"/>
    <w:rsid w:val="001C71AD"/>
    <w:rsid w:val="001D1B16"/>
    <w:rsid w:val="001E748E"/>
    <w:rsid w:val="0026001F"/>
    <w:rsid w:val="00267F01"/>
    <w:rsid w:val="00277675"/>
    <w:rsid w:val="00282FD2"/>
    <w:rsid w:val="002856DE"/>
    <w:rsid w:val="00291EFD"/>
    <w:rsid w:val="002B7F0C"/>
    <w:rsid w:val="002C403A"/>
    <w:rsid w:val="002F3803"/>
    <w:rsid w:val="002F6CC9"/>
    <w:rsid w:val="00313538"/>
    <w:rsid w:val="00317802"/>
    <w:rsid w:val="003308FF"/>
    <w:rsid w:val="0033333F"/>
    <w:rsid w:val="00334F24"/>
    <w:rsid w:val="00342ED6"/>
    <w:rsid w:val="0035478D"/>
    <w:rsid w:val="00381641"/>
    <w:rsid w:val="00387637"/>
    <w:rsid w:val="00397771"/>
    <w:rsid w:val="003B1A47"/>
    <w:rsid w:val="003B2D50"/>
    <w:rsid w:val="003B600D"/>
    <w:rsid w:val="003E4059"/>
    <w:rsid w:val="004014B4"/>
    <w:rsid w:val="0041177E"/>
    <w:rsid w:val="004541BA"/>
    <w:rsid w:val="0046130C"/>
    <w:rsid w:val="00464647"/>
    <w:rsid w:val="00473296"/>
    <w:rsid w:val="00473ED2"/>
    <w:rsid w:val="00476B31"/>
    <w:rsid w:val="00477DA1"/>
    <w:rsid w:val="004853B4"/>
    <w:rsid w:val="004B1192"/>
    <w:rsid w:val="004C5192"/>
    <w:rsid w:val="004E1353"/>
    <w:rsid w:val="004F27C3"/>
    <w:rsid w:val="00511ADB"/>
    <w:rsid w:val="00522788"/>
    <w:rsid w:val="00543C4D"/>
    <w:rsid w:val="005657BD"/>
    <w:rsid w:val="0056688A"/>
    <w:rsid w:val="005A3510"/>
    <w:rsid w:val="005A3B1B"/>
    <w:rsid w:val="005A4DA3"/>
    <w:rsid w:val="005C0FFA"/>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216E"/>
    <w:rsid w:val="0079468A"/>
    <w:rsid w:val="00794EC9"/>
    <w:rsid w:val="007C4BA4"/>
    <w:rsid w:val="007D2DD0"/>
    <w:rsid w:val="007F024B"/>
    <w:rsid w:val="007F6FBE"/>
    <w:rsid w:val="0080739F"/>
    <w:rsid w:val="008079BC"/>
    <w:rsid w:val="008401A8"/>
    <w:rsid w:val="00844B5B"/>
    <w:rsid w:val="00846A9E"/>
    <w:rsid w:val="00860CC9"/>
    <w:rsid w:val="00864D4E"/>
    <w:rsid w:val="00866C73"/>
    <w:rsid w:val="008672A6"/>
    <w:rsid w:val="0087446D"/>
    <w:rsid w:val="00891370"/>
    <w:rsid w:val="00894780"/>
    <w:rsid w:val="008B2752"/>
    <w:rsid w:val="008B3700"/>
    <w:rsid w:val="008B41E2"/>
    <w:rsid w:val="008B6EB0"/>
    <w:rsid w:val="008C70CF"/>
    <w:rsid w:val="008E0555"/>
    <w:rsid w:val="008E0A62"/>
    <w:rsid w:val="008E20FE"/>
    <w:rsid w:val="008E6DB1"/>
    <w:rsid w:val="008F2025"/>
    <w:rsid w:val="008F35EB"/>
    <w:rsid w:val="009025C1"/>
    <w:rsid w:val="00905E63"/>
    <w:rsid w:val="0090612A"/>
    <w:rsid w:val="00907466"/>
    <w:rsid w:val="00913CF2"/>
    <w:rsid w:val="00914F40"/>
    <w:rsid w:val="00921108"/>
    <w:rsid w:val="00926D88"/>
    <w:rsid w:val="00947EA5"/>
    <w:rsid w:val="00956A89"/>
    <w:rsid w:val="00990D31"/>
    <w:rsid w:val="00994BB8"/>
    <w:rsid w:val="009B685B"/>
    <w:rsid w:val="009C13D1"/>
    <w:rsid w:val="009D458D"/>
    <w:rsid w:val="009E0FDC"/>
    <w:rsid w:val="009F078E"/>
    <w:rsid w:val="00A054C0"/>
    <w:rsid w:val="00A132B1"/>
    <w:rsid w:val="00A55650"/>
    <w:rsid w:val="00A6162F"/>
    <w:rsid w:val="00A6705E"/>
    <w:rsid w:val="00A729EA"/>
    <w:rsid w:val="00A73F59"/>
    <w:rsid w:val="00A77000"/>
    <w:rsid w:val="00AB5C68"/>
    <w:rsid w:val="00AD460C"/>
    <w:rsid w:val="00AD6343"/>
    <w:rsid w:val="00AE195E"/>
    <w:rsid w:val="00AE3135"/>
    <w:rsid w:val="00AE646B"/>
    <w:rsid w:val="00AF3DF8"/>
    <w:rsid w:val="00AF4593"/>
    <w:rsid w:val="00AF58A2"/>
    <w:rsid w:val="00B06A4B"/>
    <w:rsid w:val="00B42953"/>
    <w:rsid w:val="00B54A71"/>
    <w:rsid w:val="00B56FFD"/>
    <w:rsid w:val="00B72278"/>
    <w:rsid w:val="00B74200"/>
    <w:rsid w:val="00BA1137"/>
    <w:rsid w:val="00BA5A03"/>
    <w:rsid w:val="00BA72BE"/>
    <w:rsid w:val="00BD0FCB"/>
    <w:rsid w:val="00BE6C21"/>
    <w:rsid w:val="00BF61A2"/>
    <w:rsid w:val="00C10911"/>
    <w:rsid w:val="00C15C6D"/>
    <w:rsid w:val="00C2430B"/>
    <w:rsid w:val="00C305B6"/>
    <w:rsid w:val="00C96D6C"/>
    <w:rsid w:val="00CA242F"/>
    <w:rsid w:val="00CB5CA5"/>
    <w:rsid w:val="00CF168D"/>
    <w:rsid w:val="00CF3408"/>
    <w:rsid w:val="00CF3D77"/>
    <w:rsid w:val="00D02696"/>
    <w:rsid w:val="00D07237"/>
    <w:rsid w:val="00D25075"/>
    <w:rsid w:val="00D50902"/>
    <w:rsid w:val="00D63D1F"/>
    <w:rsid w:val="00D65551"/>
    <w:rsid w:val="00D8146D"/>
    <w:rsid w:val="00D9478F"/>
    <w:rsid w:val="00DB58EE"/>
    <w:rsid w:val="00DC1F2D"/>
    <w:rsid w:val="00DD59F6"/>
    <w:rsid w:val="00DD5DE4"/>
    <w:rsid w:val="00DE3673"/>
    <w:rsid w:val="00DF223A"/>
    <w:rsid w:val="00DF49B8"/>
    <w:rsid w:val="00E01F83"/>
    <w:rsid w:val="00E11526"/>
    <w:rsid w:val="00E1167D"/>
    <w:rsid w:val="00E310A3"/>
    <w:rsid w:val="00E349D8"/>
    <w:rsid w:val="00E34CBC"/>
    <w:rsid w:val="00E371AE"/>
    <w:rsid w:val="00E46E8F"/>
    <w:rsid w:val="00EA385C"/>
    <w:rsid w:val="00EA590D"/>
    <w:rsid w:val="00EC425F"/>
    <w:rsid w:val="00ED660A"/>
    <w:rsid w:val="00EE6FE3"/>
    <w:rsid w:val="00EF4E53"/>
    <w:rsid w:val="00EF51E2"/>
    <w:rsid w:val="00F14B51"/>
    <w:rsid w:val="00F22F01"/>
    <w:rsid w:val="00F370D6"/>
    <w:rsid w:val="00F477A0"/>
    <w:rsid w:val="00F531F7"/>
    <w:rsid w:val="00F56F9D"/>
    <w:rsid w:val="00F725DF"/>
    <w:rsid w:val="00F81544"/>
    <w:rsid w:val="00F82E5D"/>
    <w:rsid w:val="00F9148E"/>
    <w:rsid w:val="00F92BCA"/>
    <w:rsid w:val="00FB3090"/>
    <w:rsid w:val="00FC4CF2"/>
    <w:rsid w:val="00FD3BAE"/>
    <w:rsid w:val="00FE2702"/>
    <w:rsid w:val="00FE7407"/>
    <w:rsid w:val="00FF0CEE"/>
    <w:rsid w:val="05601C05"/>
    <w:rsid w:val="06D77306"/>
    <w:rsid w:val="0A561BC3"/>
    <w:rsid w:val="0A976661"/>
    <w:rsid w:val="0B1659BC"/>
    <w:rsid w:val="0B8C41A8"/>
    <w:rsid w:val="0DDD7B7E"/>
    <w:rsid w:val="0DEE1039"/>
    <w:rsid w:val="0FD34CA6"/>
    <w:rsid w:val="10F13578"/>
    <w:rsid w:val="1445110B"/>
    <w:rsid w:val="157C7138"/>
    <w:rsid w:val="1A6A2B8C"/>
    <w:rsid w:val="1F250847"/>
    <w:rsid w:val="1F271CCD"/>
    <w:rsid w:val="286A4879"/>
    <w:rsid w:val="2B4C43F3"/>
    <w:rsid w:val="2CFB4148"/>
    <w:rsid w:val="2EE1187F"/>
    <w:rsid w:val="2FC939C1"/>
    <w:rsid w:val="30D835D7"/>
    <w:rsid w:val="3C98581F"/>
    <w:rsid w:val="3EA0203A"/>
    <w:rsid w:val="3EE14181"/>
    <w:rsid w:val="444917C4"/>
    <w:rsid w:val="47E54F2E"/>
    <w:rsid w:val="4BD5469E"/>
    <w:rsid w:val="4C4F5F3F"/>
    <w:rsid w:val="4EA2621D"/>
    <w:rsid w:val="4F16359B"/>
    <w:rsid w:val="537018A7"/>
    <w:rsid w:val="570259D5"/>
    <w:rsid w:val="58FF59A6"/>
    <w:rsid w:val="59563E5B"/>
    <w:rsid w:val="596553E0"/>
    <w:rsid w:val="5C821CEB"/>
    <w:rsid w:val="5DE550C8"/>
    <w:rsid w:val="5FB6058E"/>
    <w:rsid w:val="607133AB"/>
    <w:rsid w:val="60E74224"/>
    <w:rsid w:val="621B676C"/>
    <w:rsid w:val="6C72132D"/>
    <w:rsid w:val="6FCA46C0"/>
    <w:rsid w:val="70780917"/>
    <w:rsid w:val="715479A6"/>
    <w:rsid w:val="74090B4E"/>
    <w:rsid w:val="77690CB3"/>
    <w:rsid w:val="7B145EC4"/>
    <w:rsid w:val="7D8F0E68"/>
    <w:rsid w:val="7EDC1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6">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88"/>
    <w:qFormat/>
    <w:uiPriority w:val="0"/>
    <w:pPr>
      <w:widowControl w:val="0"/>
      <w:ind w:firstLine="420" w:firstLineChars="100"/>
      <w:jc w:val="both"/>
    </w:pPr>
    <w:rPr>
      <w:kern w:val="2"/>
      <w:sz w:val="21"/>
    </w:rPr>
  </w:style>
  <w:style w:type="paragraph" w:styleId="3">
    <w:name w:val="Body Text"/>
    <w:basedOn w:val="1"/>
    <w:link w:val="87"/>
    <w:semiHidden/>
    <w:unhideWhenUsed/>
    <w:qFormat/>
    <w:uiPriority w:val="99"/>
    <w:pPr>
      <w:spacing w:after="120"/>
    </w:pPr>
  </w:style>
  <w:style w:type="paragraph" w:styleId="7">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6"/>
    <w:unhideWhenUsed/>
    <w:qFormat/>
    <w:uiPriority w:val="0"/>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7"/>
    <w:unhideWhenUsed/>
    <w:qFormat/>
    <w:uiPriority w:val="99"/>
    <w:pPr>
      <w:widowControl w:val="0"/>
      <w:jc w:val="both"/>
    </w:pPr>
    <w:rPr>
      <w:rFonts w:ascii="宋体" w:hAnsiTheme="minorHAnsi"/>
      <w:sz w:val="18"/>
      <w:szCs w:val="18"/>
    </w:rPr>
  </w:style>
  <w:style w:type="paragraph" w:styleId="11">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8"/>
    <w:next w:val="8"/>
    <w:link w:val="30"/>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4"/>
    <w:qFormat/>
    <w:uiPriority w:val="9"/>
    <w:rPr>
      <w:rFonts w:ascii="Times New Roman" w:hAnsi="Times New Roman" w:eastAsia="仿宋_GB2312"/>
      <w:b/>
      <w:kern w:val="44"/>
      <w:sz w:val="32"/>
      <w:szCs w:val="22"/>
    </w:rPr>
  </w:style>
  <w:style w:type="character" w:customStyle="1" w:styleId="24">
    <w:name w:val="标题 2 Char"/>
    <w:basedOn w:val="19"/>
    <w:link w:val="5"/>
    <w:qFormat/>
    <w:uiPriority w:val="9"/>
    <w:rPr>
      <w:rFonts w:ascii="Arial" w:hAnsi="Arial" w:eastAsia="仿宋_GB2312"/>
      <w:b/>
      <w:kern w:val="2"/>
      <w:sz w:val="30"/>
      <w:szCs w:val="22"/>
    </w:rPr>
  </w:style>
  <w:style w:type="character" w:customStyle="1" w:styleId="25">
    <w:name w:val="标题 3 Char"/>
    <w:basedOn w:val="19"/>
    <w:link w:val="6"/>
    <w:qFormat/>
    <w:uiPriority w:val="9"/>
    <w:rPr>
      <w:rFonts w:ascii="Times New Roman" w:hAnsi="Times New Roman" w:eastAsia="仿宋_GB2312"/>
      <w:b/>
      <w:bCs/>
      <w:kern w:val="2"/>
      <w:sz w:val="28"/>
      <w:szCs w:val="32"/>
    </w:rPr>
  </w:style>
  <w:style w:type="character" w:customStyle="1" w:styleId="26">
    <w:name w:val="批注文字 Char"/>
    <w:basedOn w:val="19"/>
    <w:link w:val="8"/>
    <w:qFormat/>
    <w:uiPriority w:val="0"/>
    <w:rPr>
      <w:rFonts w:ascii="Times New Roman" w:hAnsi="Times New Roman"/>
      <w:szCs w:val="24"/>
    </w:rPr>
  </w:style>
  <w:style w:type="character" w:customStyle="1" w:styleId="27">
    <w:name w:val="批注框文本 Char1"/>
    <w:basedOn w:val="19"/>
    <w:link w:val="10"/>
    <w:semiHidden/>
    <w:qFormat/>
    <w:uiPriority w:val="99"/>
    <w:rPr>
      <w:sz w:val="18"/>
      <w:szCs w:val="18"/>
    </w:rPr>
  </w:style>
  <w:style w:type="character" w:customStyle="1" w:styleId="28">
    <w:name w:val="页脚 Char1"/>
    <w:basedOn w:val="19"/>
    <w:link w:val="11"/>
    <w:qFormat/>
    <w:uiPriority w:val="99"/>
    <w:rPr>
      <w:sz w:val="18"/>
      <w:szCs w:val="18"/>
    </w:rPr>
  </w:style>
  <w:style w:type="character" w:customStyle="1" w:styleId="29">
    <w:name w:val="页眉 Char1"/>
    <w:basedOn w:val="19"/>
    <w:link w:val="12"/>
    <w:qFormat/>
    <w:uiPriority w:val="99"/>
    <w:rPr>
      <w:sz w:val="18"/>
      <w:szCs w:val="18"/>
    </w:rPr>
  </w:style>
  <w:style w:type="character" w:customStyle="1" w:styleId="30">
    <w:name w:val="批注主题 Char"/>
    <w:basedOn w:val="26"/>
    <w:link w:val="16"/>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3"/>
    <w:semiHidden/>
    <w:qFormat/>
    <w:uiPriority w:val="99"/>
    <w:rPr>
      <w:rFonts w:ascii="Times New Roman" w:hAnsi="Times New Roman"/>
      <w:sz w:val="24"/>
      <w:szCs w:val="24"/>
    </w:rPr>
  </w:style>
  <w:style w:type="character" w:customStyle="1" w:styleId="88">
    <w:name w:val="正文首行缩进 Char"/>
    <w:basedOn w:val="87"/>
    <w:link w:val="2"/>
    <w:qFormat/>
    <w:uiPriority w:val="0"/>
    <w:rPr>
      <w:rFonts w:ascii="Times New Roman" w:hAnsi="Times New Roman"/>
      <w:kern w:val="2"/>
      <w:sz w:val="21"/>
      <w:szCs w:val="24"/>
    </w:rPr>
  </w:style>
  <w:style w:type="paragraph" w:customStyle="1" w:styleId="89">
    <w:name w:val="修订1"/>
    <w:hidden/>
    <w:semiHidden/>
    <w:qFormat/>
    <w:uiPriority w:val="99"/>
    <w:rPr>
      <w:rFonts w:ascii="Times New Roman" w:hAnsi="Times New Roman" w:eastAsia="宋体" w:cs="Times New Roman"/>
      <w:sz w:val="24"/>
      <w:szCs w:val="24"/>
      <w:lang w:val="en-US" w:eastAsia="zh-CN" w:bidi="ar-SA"/>
    </w:rPr>
  </w:style>
  <w:style w:type="paragraph" w:customStyle="1" w:styleId="90">
    <w:name w:val="修订2"/>
    <w:hidden/>
    <w:unhideWhenUsed/>
    <w:qFormat/>
    <w:uiPriority w:val="99"/>
    <w:rPr>
      <w:rFonts w:ascii="Times New Roman" w:hAnsi="Times New Roman" w:eastAsia="宋体" w:cs="Times New Roman"/>
      <w:sz w:val="24"/>
      <w:szCs w:val="24"/>
      <w:lang w:val="en-US" w:eastAsia="zh-CN" w:bidi="ar-SA"/>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0DDBD1-5787-4292-91A3-E000590BD7F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76</Pages>
  <Words>14020</Words>
  <Characters>79918</Characters>
  <Lines>665</Lines>
  <Paragraphs>187</Paragraphs>
  <TotalTime>5</TotalTime>
  <ScaleCrop>false</ScaleCrop>
  <LinksUpToDate>false</LinksUpToDate>
  <CharactersWithSpaces>93751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2021-05-13T08:05:00Z</dcterms:created>
  <dc:creator>zhsh</dc:creator>
  <cp:lastModifiedBy>黑白</cp:lastModifiedBy>
  <dcterms:modified xsi:type="dcterms:W3CDTF">2021-05-13T10:50:30Z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91451A95A4EC459FB54BA81F0B900F7B</vt:lpwstr>
  </property>
</Properties>
</file>