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360" w:lineRule="auto"/>
        <w:jc w:val="center"/>
        <w:rPr>
          <w:rFonts w:ascii="Arial" w:hAnsi="Arial" w:cs="Arial"/>
          <w:b/>
          <w:sz w:val="36"/>
        </w:rPr>
      </w:pPr>
      <w:r>
        <w:rPr>
          <w:rFonts w:ascii="Arial" w:hAnsi="Arial" w:cs="Arial"/>
          <w:b/>
          <w:sz w:val="36"/>
        </w:rPr>
        <w:t>中航信托•天垣3号恒大嘉兴海盐项目</w:t>
      </w:r>
    </w:p>
    <w:p>
      <w:pPr>
        <w:spacing w:line="360" w:lineRule="auto"/>
        <w:jc w:val="center"/>
        <w:rPr>
          <w:rFonts w:ascii="Arial" w:hAnsi="Arial" w:cs="Arial"/>
          <w:b/>
          <w:sz w:val="36"/>
        </w:rPr>
      </w:pPr>
      <w:r>
        <w:rPr>
          <w:rFonts w:ascii="Arial" w:hAnsi="Arial" w:cs="Arial"/>
          <w:b/>
          <w:sz w:val="36"/>
        </w:rPr>
        <w:t>投资集合资金信托计划</w:t>
      </w:r>
    </w:p>
    <w:p>
      <w:pPr>
        <w:spacing w:line="36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项目名称：中航信托•天垣3号恒大嘉兴海盐项目投资集合资金信托计划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委托方：青岛航明投资合伙企业（有限合伙）</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监管人员：张智辉</w:t>
      </w:r>
    </w:p>
    <w:p>
      <w:pPr>
        <w:spacing w:line="480" w:lineRule="auto"/>
        <w:jc w:val="left"/>
        <w:rPr>
          <w:rFonts w:ascii="Arial" w:hAnsi="Arial" w:cs="Arial"/>
          <w:b/>
          <w:color w:val="000000"/>
          <w:szCs w:val="28"/>
        </w:r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3</w:t>
      </w:r>
      <w:r>
        <w:rPr>
          <w:rFonts w:ascii="Arial" w:hAnsi="Arial" w:cs="Arial"/>
          <w:b/>
          <w:color w:val="000000"/>
          <w:szCs w:val="28"/>
        </w:rPr>
        <w:t>月</w:t>
      </w:r>
      <w:r>
        <w:rPr>
          <w:rFonts w:hint="eastAsia" w:ascii="Arial" w:hAnsi="Arial" w:cs="Arial"/>
          <w:b/>
          <w:color w:val="000000"/>
          <w:szCs w:val="28"/>
          <w:lang w:val="en-US" w:eastAsia="zh-CN"/>
        </w:rPr>
        <w:t>2</w:t>
      </w:r>
      <w:r>
        <w:rPr>
          <w:rFonts w:ascii="Arial" w:hAnsi="Arial" w:cs="Arial"/>
          <w:b/>
          <w:color w:val="000000"/>
          <w:szCs w:val="28"/>
        </w:rPr>
        <w:t>日</w:t>
      </w:r>
    </w:p>
    <w:p>
      <w:pPr>
        <w:pStyle w:val="1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left"/>
        <w:textAlignment w:val="auto"/>
        <w:outlineLvl w:val="9"/>
        <w:rPr>
          <w:rFonts w:hint="default" w:ascii="Arial" w:hAnsi="Arial" w:eastAsia="宋体" w:cs="Arial"/>
          <w:color w:val="000000"/>
          <w:sz w:val="22"/>
          <w:szCs w:val="22"/>
          <w:lang w:val="en-US" w:eastAsia="zh-CN"/>
        </w:rPr>
      </w:pPr>
      <w:bookmarkStart w:id="0" w:name="_Toc21958"/>
      <w:bookmarkStart w:id="1" w:name="_Toc5823"/>
      <w:bookmarkStart w:id="2" w:name="_Toc535580086"/>
      <w:bookmarkStart w:id="3" w:name="_Toc45217873"/>
      <w:bookmarkStart w:id="4" w:name="_Toc535508633"/>
      <w:bookmarkStart w:id="5" w:name="_Toc535570745"/>
      <w:bookmarkStart w:id="6" w:name="_Toc535580018"/>
      <w:bookmarkStart w:id="7" w:name="_Toc532281654"/>
      <w:bookmarkStart w:id="8" w:name="_Toc373309848"/>
      <w:r>
        <w:rPr>
          <w:rFonts w:hint="default" w:ascii="Arial" w:hAnsi="Arial" w:eastAsia="宋体" w:cs="Arial"/>
          <w:color w:val="000000"/>
          <w:sz w:val="22"/>
          <w:szCs w:val="22"/>
          <w:lang w:val="en-US" w:eastAsia="zh-CN"/>
        </w:rPr>
        <w:t xml:space="preserve"> </w:t>
      </w:r>
      <w:bookmarkEnd w:id="0"/>
      <w:bookmarkEnd w:id="1"/>
    </w:p>
    <w:sdt>
      <w:sdtPr>
        <w:rPr>
          <w:rFonts w:ascii="宋体" w:hAnsi="宋体" w:eastAsia="宋体" w:cs="Times New Roman"/>
          <w:kern w:val="2"/>
          <w:sz w:val="21"/>
          <w:szCs w:val="24"/>
          <w:lang w:val="en-US" w:eastAsia="zh-CN" w:bidi="ar-SA"/>
        </w:rPr>
        <w:id w:val="147451518"/>
        <w15:color w:val="DBDBDB"/>
        <w:docPartObj>
          <w:docPartGallery w:val="Table of Contents"/>
          <w:docPartUnique/>
        </w:docPartObj>
      </w:sdtPr>
      <w:sdtEndPr>
        <w:rPr>
          <w:rFonts w:hint="default" w:ascii="Calibri" w:hAnsi="Calibri"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default" w:ascii="Arial" w:hAnsi="Arial" w:eastAsia="宋体" w:cs="Arial"/>
              <w:sz w:val="22"/>
              <w:szCs w:val="22"/>
            </w:rPr>
          </w:pPr>
          <w:r>
            <w:rPr>
              <w:rFonts w:hint="default" w:ascii="Arial" w:hAnsi="Arial" w:eastAsia="宋体" w:cs="Arial"/>
              <w:sz w:val="22"/>
              <w:szCs w:val="22"/>
            </w:rPr>
            <w:t>目录</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bookmarkStart w:id="757" w:name="_GoBack"/>
          <w:r>
            <w:rPr>
              <w:rFonts w:hint="default" w:ascii="Arial" w:hAnsi="Arial" w:eastAsia="宋体" w:cs="Arial"/>
              <w:sz w:val="22"/>
              <w:szCs w:val="22"/>
            </w:rPr>
            <w:fldChar w:fldCharType="begin"/>
          </w:r>
          <w:r>
            <w:rPr>
              <w:rFonts w:hint="default" w:ascii="Arial" w:hAnsi="Arial" w:eastAsia="宋体" w:cs="Arial"/>
              <w:sz w:val="22"/>
              <w:szCs w:val="22"/>
            </w:rPr>
            <w:instrText xml:space="preserve">TOC \o "1-3" \h \u </w:instrText>
          </w:r>
          <w:r>
            <w:rPr>
              <w:rFonts w:hint="default" w:ascii="Arial" w:hAnsi="Arial" w:eastAsia="宋体" w:cs="Arial"/>
              <w:sz w:val="22"/>
              <w:szCs w:val="22"/>
            </w:rPr>
            <w:fldChar w:fldCharType="separate"/>
          </w: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_Toc26569 </w:instrText>
          </w:r>
          <w:r>
            <w:rPr>
              <w:rFonts w:hint="default" w:ascii="Arial" w:hAnsi="Arial" w:eastAsia="宋体" w:cs="Arial"/>
              <w:sz w:val="22"/>
              <w:szCs w:val="22"/>
            </w:rPr>
            <w:fldChar w:fldCharType="separate"/>
          </w:r>
          <w:r>
            <w:rPr>
              <w:rFonts w:hint="default" w:ascii="Arial" w:hAnsi="Arial" w:eastAsia="宋体" w:cs="Arial"/>
              <w:sz w:val="22"/>
              <w:szCs w:val="22"/>
            </w:rPr>
            <w:t>1项目基本情况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_Toc26569 </w:instrText>
          </w:r>
          <w:r>
            <w:rPr>
              <w:rFonts w:hint="default" w:ascii="Arial" w:hAnsi="Arial" w:eastAsia="宋体" w:cs="Arial"/>
              <w:sz w:val="22"/>
              <w:szCs w:val="22"/>
            </w:rPr>
            <w:fldChar w:fldCharType="separate"/>
          </w:r>
          <w:r>
            <w:rPr>
              <w:rFonts w:hint="default" w:ascii="Arial" w:hAnsi="Arial" w:eastAsia="宋体" w:cs="Arial"/>
              <w:sz w:val="22"/>
              <w:szCs w:val="22"/>
            </w:rPr>
            <w:t>1</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_Toc23695 </w:instrText>
          </w:r>
          <w:r>
            <w:rPr>
              <w:rFonts w:hint="default" w:ascii="Arial" w:hAnsi="Arial" w:eastAsia="宋体" w:cs="Arial"/>
              <w:sz w:val="22"/>
              <w:szCs w:val="22"/>
            </w:rPr>
            <w:fldChar w:fldCharType="separate"/>
          </w:r>
          <w:r>
            <w:rPr>
              <w:rFonts w:hint="default" w:ascii="Arial" w:hAnsi="Arial" w:eastAsia="宋体" w:cs="Arial"/>
              <w:sz w:val="22"/>
              <w:szCs w:val="22"/>
            </w:rPr>
            <w:t>1.1项目公司基本情况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_Toc23695 </w:instrText>
          </w:r>
          <w:r>
            <w:rPr>
              <w:rFonts w:hint="default" w:ascii="Arial" w:hAnsi="Arial" w:eastAsia="宋体" w:cs="Arial"/>
              <w:sz w:val="22"/>
              <w:szCs w:val="22"/>
            </w:rPr>
            <w:fldChar w:fldCharType="separate"/>
          </w:r>
          <w:r>
            <w:rPr>
              <w:rFonts w:hint="default" w:ascii="Arial" w:hAnsi="Arial" w:eastAsia="宋体" w:cs="Arial"/>
              <w:sz w:val="22"/>
              <w:szCs w:val="22"/>
            </w:rPr>
            <w:t>1</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_Toc26681 </w:instrText>
          </w:r>
          <w:r>
            <w:rPr>
              <w:rFonts w:hint="default" w:ascii="Arial" w:hAnsi="Arial" w:eastAsia="宋体" w:cs="Arial"/>
              <w:sz w:val="22"/>
              <w:szCs w:val="22"/>
            </w:rPr>
            <w:fldChar w:fldCharType="separate"/>
          </w:r>
          <w:r>
            <w:rPr>
              <w:rFonts w:hint="default" w:ascii="Arial" w:hAnsi="Arial" w:eastAsia="宋体" w:cs="Arial"/>
              <w:sz w:val="22"/>
              <w:szCs w:val="22"/>
            </w:rPr>
            <w:t>1.2项目概况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_Toc26681 </w:instrText>
          </w:r>
          <w:r>
            <w:rPr>
              <w:rFonts w:hint="default" w:ascii="Arial" w:hAnsi="Arial" w:eastAsia="宋体" w:cs="Arial"/>
              <w:sz w:val="22"/>
              <w:szCs w:val="22"/>
            </w:rPr>
            <w:fldChar w:fldCharType="separate"/>
          </w:r>
          <w:r>
            <w:rPr>
              <w:rFonts w:hint="default" w:ascii="Arial" w:hAnsi="Arial" w:eastAsia="宋体" w:cs="Arial"/>
              <w:sz w:val="22"/>
              <w:szCs w:val="22"/>
            </w:rPr>
            <w:t>1</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_Toc1783 </w:instrText>
          </w:r>
          <w:r>
            <w:rPr>
              <w:rFonts w:hint="default" w:ascii="Arial" w:hAnsi="Arial" w:eastAsia="宋体" w:cs="Arial"/>
              <w:sz w:val="22"/>
              <w:szCs w:val="22"/>
            </w:rPr>
            <w:fldChar w:fldCharType="separate"/>
          </w:r>
          <w:r>
            <w:rPr>
              <w:rFonts w:hint="default" w:ascii="Arial" w:hAnsi="Arial" w:eastAsia="宋体" w:cs="Arial"/>
              <w:sz w:val="22"/>
              <w:szCs w:val="22"/>
            </w:rPr>
            <w:t>2重大事件披露</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_Toc1783 </w:instrText>
          </w:r>
          <w:r>
            <w:rPr>
              <w:rFonts w:hint="default" w:ascii="Arial" w:hAnsi="Arial" w:eastAsia="宋体" w:cs="Arial"/>
              <w:sz w:val="22"/>
              <w:szCs w:val="22"/>
            </w:rPr>
            <w:fldChar w:fldCharType="separate"/>
          </w:r>
          <w:r>
            <w:rPr>
              <w:rFonts w:hint="default" w:ascii="Arial" w:hAnsi="Arial" w:eastAsia="宋体" w:cs="Arial"/>
              <w:sz w:val="22"/>
              <w:szCs w:val="22"/>
            </w:rPr>
            <w:t>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_Toc9851 </w:instrText>
          </w:r>
          <w:r>
            <w:rPr>
              <w:rFonts w:hint="default" w:ascii="Arial" w:hAnsi="Arial" w:eastAsia="宋体" w:cs="Arial"/>
              <w:sz w:val="22"/>
              <w:szCs w:val="22"/>
            </w:rPr>
            <w:fldChar w:fldCharType="separate"/>
          </w:r>
          <w:r>
            <w:rPr>
              <w:rFonts w:hint="default" w:ascii="Arial" w:hAnsi="Arial" w:eastAsia="宋体" w:cs="Arial"/>
              <w:sz w:val="22"/>
              <w:szCs w:val="22"/>
            </w:rPr>
            <w:t>3项目五证办理及施工进度情况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_Toc9851 </w:instrText>
          </w:r>
          <w:r>
            <w:rPr>
              <w:rFonts w:hint="default" w:ascii="Arial" w:hAnsi="Arial" w:eastAsia="宋体" w:cs="Arial"/>
              <w:sz w:val="22"/>
              <w:szCs w:val="22"/>
            </w:rPr>
            <w:fldChar w:fldCharType="separate"/>
          </w:r>
          <w:r>
            <w:rPr>
              <w:rFonts w:hint="default" w:ascii="Arial" w:hAnsi="Arial" w:eastAsia="宋体" w:cs="Arial"/>
              <w:sz w:val="22"/>
              <w:szCs w:val="22"/>
            </w:rPr>
            <w:t>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_Toc20966 </w:instrText>
          </w:r>
          <w:r>
            <w:rPr>
              <w:rFonts w:hint="default" w:ascii="Arial" w:hAnsi="Arial" w:eastAsia="宋体" w:cs="Arial"/>
              <w:sz w:val="22"/>
              <w:szCs w:val="22"/>
            </w:rPr>
            <w:fldChar w:fldCharType="separate"/>
          </w:r>
          <w:r>
            <w:rPr>
              <w:rFonts w:hint="default" w:ascii="Arial" w:hAnsi="Arial" w:eastAsia="宋体" w:cs="Arial"/>
              <w:sz w:val="22"/>
              <w:szCs w:val="22"/>
            </w:rPr>
            <w:t>3.1项目五证办理情况说明</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_Toc20966 </w:instrText>
          </w:r>
          <w:r>
            <w:rPr>
              <w:rFonts w:hint="default" w:ascii="Arial" w:hAnsi="Arial" w:eastAsia="宋体" w:cs="Arial"/>
              <w:sz w:val="22"/>
              <w:szCs w:val="22"/>
            </w:rPr>
            <w:fldChar w:fldCharType="separate"/>
          </w:r>
          <w:r>
            <w:rPr>
              <w:rFonts w:hint="default" w:ascii="Arial" w:hAnsi="Arial" w:eastAsia="宋体" w:cs="Arial"/>
              <w:sz w:val="22"/>
              <w:szCs w:val="22"/>
            </w:rPr>
            <w:t>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_Toc31278 </w:instrText>
          </w:r>
          <w:r>
            <w:rPr>
              <w:rFonts w:hint="default" w:ascii="Arial" w:hAnsi="Arial" w:eastAsia="宋体" w:cs="Arial"/>
              <w:sz w:val="22"/>
              <w:szCs w:val="22"/>
            </w:rPr>
            <w:fldChar w:fldCharType="separate"/>
          </w:r>
          <w:r>
            <w:rPr>
              <w:rFonts w:hint="default" w:ascii="Arial" w:hAnsi="Arial" w:eastAsia="宋体" w:cs="Arial"/>
              <w:sz w:val="22"/>
              <w:szCs w:val="22"/>
            </w:rPr>
            <w:t>3.2项目施工情况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_Toc31278 </w:instrText>
          </w:r>
          <w:r>
            <w:rPr>
              <w:rFonts w:hint="default" w:ascii="Arial" w:hAnsi="Arial" w:eastAsia="宋体" w:cs="Arial"/>
              <w:sz w:val="22"/>
              <w:szCs w:val="22"/>
            </w:rPr>
            <w:fldChar w:fldCharType="separate"/>
          </w:r>
          <w:r>
            <w:rPr>
              <w:rFonts w:hint="default" w:ascii="Arial" w:hAnsi="Arial" w:eastAsia="宋体" w:cs="Arial"/>
              <w:sz w:val="22"/>
              <w:szCs w:val="22"/>
            </w:rPr>
            <w:t>4</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_Toc26729 </w:instrText>
          </w:r>
          <w:r>
            <w:rPr>
              <w:rFonts w:hint="default" w:ascii="Arial" w:hAnsi="Arial" w:eastAsia="宋体" w:cs="Arial"/>
              <w:sz w:val="22"/>
              <w:szCs w:val="22"/>
            </w:rPr>
            <w:fldChar w:fldCharType="separate"/>
          </w:r>
          <w:r>
            <w:rPr>
              <w:rFonts w:hint="default" w:ascii="Arial" w:hAnsi="Arial" w:eastAsia="宋体" w:cs="Arial"/>
              <w:sz w:val="22"/>
              <w:szCs w:val="22"/>
            </w:rPr>
            <w:t>3.2.1项目202</w:t>
          </w:r>
          <w:r>
            <w:rPr>
              <w:rFonts w:hint="default" w:ascii="Arial" w:hAnsi="Arial" w:eastAsia="宋体" w:cs="Arial"/>
              <w:sz w:val="22"/>
              <w:szCs w:val="22"/>
              <w:lang w:val="en-US" w:eastAsia="zh-CN"/>
            </w:rPr>
            <w:t>1</w:t>
          </w:r>
          <w:r>
            <w:rPr>
              <w:rFonts w:hint="default" w:ascii="Arial" w:hAnsi="Arial" w:eastAsia="宋体" w:cs="Arial"/>
              <w:sz w:val="22"/>
              <w:szCs w:val="22"/>
            </w:rPr>
            <w:t>年</w:t>
          </w:r>
          <w:r>
            <w:rPr>
              <w:rFonts w:hint="default" w:ascii="Arial" w:hAnsi="Arial" w:eastAsia="宋体" w:cs="Arial"/>
              <w:sz w:val="22"/>
              <w:szCs w:val="22"/>
              <w:lang w:val="en-US" w:eastAsia="zh-CN"/>
            </w:rPr>
            <w:t>2</w:t>
          </w:r>
          <w:r>
            <w:rPr>
              <w:rFonts w:hint="default" w:ascii="Arial" w:hAnsi="Arial" w:eastAsia="宋体" w:cs="Arial"/>
              <w:sz w:val="22"/>
              <w:szCs w:val="22"/>
            </w:rPr>
            <w:t>月施工进度情况及</w:t>
          </w:r>
          <w:r>
            <w:rPr>
              <w:rFonts w:hint="default" w:ascii="Arial" w:hAnsi="Arial" w:eastAsia="宋体" w:cs="Arial"/>
              <w:sz w:val="22"/>
              <w:szCs w:val="22"/>
              <w:lang w:val="en-US" w:eastAsia="zh-CN"/>
            </w:rPr>
            <w:t>2021年3</w:t>
          </w:r>
          <w:r>
            <w:rPr>
              <w:rFonts w:hint="default" w:ascii="Arial" w:hAnsi="Arial" w:eastAsia="宋体" w:cs="Arial"/>
              <w:sz w:val="22"/>
              <w:szCs w:val="22"/>
            </w:rPr>
            <w:t>月施工计划</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_Toc26729 </w:instrText>
          </w:r>
          <w:r>
            <w:rPr>
              <w:rFonts w:hint="default" w:ascii="Arial" w:hAnsi="Arial" w:eastAsia="宋体" w:cs="Arial"/>
              <w:sz w:val="22"/>
              <w:szCs w:val="22"/>
            </w:rPr>
            <w:fldChar w:fldCharType="separate"/>
          </w:r>
          <w:r>
            <w:rPr>
              <w:rFonts w:hint="default" w:ascii="Arial" w:hAnsi="Arial" w:eastAsia="宋体" w:cs="Arial"/>
              <w:sz w:val="22"/>
              <w:szCs w:val="22"/>
            </w:rPr>
            <w:t>4</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_Toc29810 </w:instrText>
          </w:r>
          <w:r>
            <w:rPr>
              <w:rFonts w:hint="default" w:ascii="Arial" w:hAnsi="Arial" w:eastAsia="宋体" w:cs="Arial"/>
              <w:sz w:val="22"/>
              <w:szCs w:val="22"/>
            </w:rPr>
            <w:fldChar w:fldCharType="separate"/>
          </w:r>
          <w:r>
            <w:rPr>
              <w:rFonts w:hint="default" w:ascii="Arial" w:hAnsi="Arial" w:eastAsia="宋体" w:cs="Arial"/>
              <w:sz w:val="22"/>
              <w:szCs w:val="22"/>
            </w:rPr>
            <w:t>3.2.2项目施工进度分析</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_Toc29810 </w:instrText>
          </w:r>
          <w:r>
            <w:rPr>
              <w:rFonts w:hint="default" w:ascii="Arial" w:hAnsi="Arial" w:eastAsia="宋体" w:cs="Arial"/>
              <w:sz w:val="22"/>
              <w:szCs w:val="22"/>
            </w:rPr>
            <w:fldChar w:fldCharType="separate"/>
          </w:r>
          <w:r>
            <w:rPr>
              <w:rFonts w:hint="default" w:ascii="Arial" w:hAnsi="Arial" w:eastAsia="宋体" w:cs="Arial"/>
              <w:sz w:val="22"/>
              <w:szCs w:val="22"/>
            </w:rPr>
            <w:t>5</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_Toc26716 </w:instrText>
          </w:r>
          <w:r>
            <w:rPr>
              <w:rFonts w:hint="default" w:ascii="Arial" w:hAnsi="Arial" w:eastAsia="宋体" w:cs="Arial"/>
              <w:sz w:val="22"/>
              <w:szCs w:val="22"/>
            </w:rPr>
            <w:fldChar w:fldCharType="separate"/>
          </w:r>
          <w:r>
            <w:rPr>
              <w:rFonts w:hint="default" w:ascii="Arial" w:hAnsi="Arial" w:eastAsia="宋体" w:cs="Arial"/>
              <w:sz w:val="22"/>
              <w:szCs w:val="22"/>
            </w:rPr>
            <w:t>4印鉴使用情况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_Toc26716 </w:instrText>
          </w:r>
          <w:r>
            <w:rPr>
              <w:rFonts w:hint="default" w:ascii="Arial" w:hAnsi="Arial" w:eastAsia="宋体" w:cs="Arial"/>
              <w:sz w:val="22"/>
              <w:szCs w:val="22"/>
            </w:rPr>
            <w:fldChar w:fldCharType="separate"/>
          </w:r>
          <w:r>
            <w:rPr>
              <w:rFonts w:hint="default" w:ascii="Arial" w:hAnsi="Arial" w:eastAsia="宋体" w:cs="Arial"/>
              <w:sz w:val="22"/>
              <w:szCs w:val="22"/>
            </w:rPr>
            <w:t>7</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_Toc12289 </w:instrText>
          </w:r>
          <w:r>
            <w:rPr>
              <w:rFonts w:hint="default" w:ascii="Arial" w:hAnsi="Arial" w:eastAsia="宋体" w:cs="Arial"/>
              <w:sz w:val="22"/>
              <w:szCs w:val="22"/>
            </w:rPr>
            <w:fldChar w:fldCharType="separate"/>
          </w:r>
          <w:r>
            <w:rPr>
              <w:rFonts w:hint="default" w:ascii="Arial" w:hAnsi="Arial" w:eastAsia="宋体" w:cs="Arial"/>
              <w:sz w:val="22"/>
              <w:szCs w:val="22"/>
            </w:rPr>
            <w:t>5合同签订情况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_Toc12289 </w:instrText>
          </w:r>
          <w:r>
            <w:rPr>
              <w:rFonts w:hint="default" w:ascii="Arial" w:hAnsi="Arial" w:eastAsia="宋体" w:cs="Arial"/>
              <w:sz w:val="22"/>
              <w:szCs w:val="22"/>
            </w:rPr>
            <w:fldChar w:fldCharType="separate"/>
          </w:r>
          <w:r>
            <w:rPr>
              <w:rFonts w:hint="default" w:ascii="Arial" w:hAnsi="Arial" w:eastAsia="宋体" w:cs="Arial"/>
              <w:sz w:val="22"/>
              <w:szCs w:val="22"/>
            </w:rPr>
            <w:t>8</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_Toc27799 </w:instrText>
          </w:r>
          <w:r>
            <w:rPr>
              <w:rFonts w:hint="default" w:ascii="Arial" w:hAnsi="Arial" w:eastAsia="宋体" w:cs="Arial"/>
              <w:sz w:val="22"/>
              <w:szCs w:val="22"/>
            </w:rPr>
            <w:fldChar w:fldCharType="separate"/>
          </w:r>
          <w:r>
            <w:rPr>
              <w:rFonts w:hint="default" w:ascii="Arial" w:hAnsi="Arial" w:eastAsia="宋体" w:cs="Arial"/>
              <w:sz w:val="22"/>
              <w:szCs w:val="22"/>
            </w:rPr>
            <w:t>5.1新签订合同情况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_Toc27799 </w:instrText>
          </w:r>
          <w:r>
            <w:rPr>
              <w:rFonts w:hint="default" w:ascii="Arial" w:hAnsi="Arial" w:eastAsia="宋体" w:cs="Arial"/>
              <w:sz w:val="22"/>
              <w:szCs w:val="22"/>
            </w:rPr>
            <w:fldChar w:fldCharType="separate"/>
          </w:r>
          <w:r>
            <w:rPr>
              <w:rFonts w:hint="default" w:ascii="Arial" w:hAnsi="Arial" w:eastAsia="宋体" w:cs="Arial"/>
              <w:sz w:val="22"/>
              <w:szCs w:val="22"/>
            </w:rPr>
            <w:t>8</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_Toc17204 </w:instrText>
          </w:r>
          <w:r>
            <w:rPr>
              <w:rFonts w:hint="default" w:ascii="Arial" w:hAnsi="Arial" w:eastAsia="宋体" w:cs="Arial"/>
              <w:sz w:val="22"/>
              <w:szCs w:val="22"/>
            </w:rPr>
            <w:fldChar w:fldCharType="separate"/>
          </w:r>
          <w:r>
            <w:rPr>
              <w:rFonts w:hint="default" w:ascii="Arial" w:hAnsi="Arial" w:eastAsia="宋体" w:cs="Arial"/>
              <w:sz w:val="22"/>
              <w:szCs w:val="22"/>
            </w:rPr>
            <w:t>5.2项目合同支付情况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_Toc17204 </w:instrText>
          </w:r>
          <w:r>
            <w:rPr>
              <w:rFonts w:hint="default" w:ascii="Arial" w:hAnsi="Arial" w:eastAsia="宋体" w:cs="Arial"/>
              <w:sz w:val="22"/>
              <w:szCs w:val="22"/>
            </w:rPr>
            <w:fldChar w:fldCharType="separate"/>
          </w:r>
          <w:r>
            <w:rPr>
              <w:rFonts w:hint="default" w:ascii="Arial" w:hAnsi="Arial" w:eastAsia="宋体" w:cs="Arial"/>
              <w:sz w:val="22"/>
              <w:szCs w:val="22"/>
            </w:rPr>
            <w:t>9</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_Toc1386 </w:instrText>
          </w:r>
          <w:r>
            <w:rPr>
              <w:rFonts w:hint="default" w:ascii="Arial" w:hAnsi="Arial" w:eastAsia="宋体" w:cs="Arial"/>
              <w:sz w:val="22"/>
              <w:szCs w:val="22"/>
            </w:rPr>
            <w:fldChar w:fldCharType="separate"/>
          </w:r>
          <w:r>
            <w:rPr>
              <w:rFonts w:hint="default" w:ascii="Arial" w:hAnsi="Arial" w:eastAsia="宋体" w:cs="Arial"/>
              <w:sz w:val="22"/>
              <w:szCs w:val="22"/>
            </w:rPr>
            <w:t>6资金情况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_Toc1386 </w:instrText>
          </w:r>
          <w:r>
            <w:rPr>
              <w:rFonts w:hint="default" w:ascii="Arial" w:hAnsi="Arial" w:eastAsia="宋体" w:cs="Arial"/>
              <w:sz w:val="22"/>
              <w:szCs w:val="22"/>
            </w:rPr>
            <w:fldChar w:fldCharType="separate"/>
          </w:r>
          <w:r>
            <w:rPr>
              <w:rFonts w:hint="default" w:ascii="Arial" w:hAnsi="Arial" w:eastAsia="宋体" w:cs="Arial"/>
              <w:sz w:val="22"/>
              <w:szCs w:val="22"/>
            </w:rPr>
            <w:t>18</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_Toc27410 </w:instrText>
          </w:r>
          <w:r>
            <w:rPr>
              <w:rFonts w:hint="default" w:ascii="Arial" w:hAnsi="Arial" w:eastAsia="宋体" w:cs="Arial"/>
              <w:sz w:val="22"/>
              <w:szCs w:val="22"/>
            </w:rPr>
            <w:fldChar w:fldCharType="separate"/>
          </w:r>
          <w:r>
            <w:rPr>
              <w:rFonts w:hint="default" w:ascii="Arial" w:hAnsi="Arial" w:eastAsia="宋体" w:cs="Arial"/>
              <w:sz w:val="22"/>
              <w:szCs w:val="22"/>
            </w:rPr>
            <w:t>6.1资金流出情况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_Toc27410 </w:instrText>
          </w:r>
          <w:r>
            <w:rPr>
              <w:rFonts w:hint="default" w:ascii="Arial" w:hAnsi="Arial" w:eastAsia="宋体" w:cs="Arial"/>
              <w:sz w:val="22"/>
              <w:szCs w:val="22"/>
            </w:rPr>
            <w:fldChar w:fldCharType="separate"/>
          </w:r>
          <w:r>
            <w:rPr>
              <w:rFonts w:hint="default" w:ascii="Arial" w:hAnsi="Arial" w:eastAsia="宋体" w:cs="Arial"/>
              <w:sz w:val="22"/>
              <w:szCs w:val="22"/>
            </w:rPr>
            <w:t>18</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_Toc31214 </w:instrText>
          </w:r>
          <w:r>
            <w:rPr>
              <w:rFonts w:hint="default" w:ascii="Arial" w:hAnsi="Arial" w:eastAsia="宋体" w:cs="Arial"/>
              <w:sz w:val="22"/>
              <w:szCs w:val="22"/>
            </w:rPr>
            <w:fldChar w:fldCharType="separate"/>
          </w:r>
          <w:r>
            <w:rPr>
              <w:rFonts w:hint="default" w:ascii="Arial" w:hAnsi="Arial" w:eastAsia="宋体" w:cs="Arial"/>
              <w:sz w:val="22"/>
              <w:szCs w:val="22"/>
            </w:rPr>
            <w:t>6.2资金流入情况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_Toc31214 </w:instrText>
          </w:r>
          <w:r>
            <w:rPr>
              <w:rFonts w:hint="default" w:ascii="Arial" w:hAnsi="Arial" w:eastAsia="宋体" w:cs="Arial"/>
              <w:sz w:val="22"/>
              <w:szCs w:val="22"/>
            </w:rPr>
            <w:fldChar w:fldCharType="separate"/>
          </w:r>
          <w:r>
            <w:rPr>
              <w:rFonts w:hint="default" w:ascii="Arial" w:hAnsi="Arial" w:eastAsia="宋体" w:cs="Arial"/>
              <w:sz w:val="22"/>
              <w:szCs w:val="22"/>
            </w:rPr>
            <w:t>21</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_Toc32720 </w:instrText>
          </w:r>
          <w:r>
            <w:rPr>
              <w:rFonts w:hint="default" w:ascii="Arial" w:hAnsi="Arial" w:eastAsia="宋体" w:cs="Arial"/>
              <w:sz w:val="22"/>
              <w:szCs w:val="22"/>
            </w:rPr>
            <w:fldChar w:fldCharType="separate"/>
          </w:r>
          <w:r>
            <w:rPr>
              <w:rFonts w:hint="default" w:ascii="Arial" w:hAnsi="Arial" w:eastAsia="宋体" w:cs="Arial"/>
              <w:sz w:val="22"/>
              <w:szCs w:val="22"/>
            </w:rPr>
            <w:t>6.2.1销售回款流入</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_Toc32720 </w:instrText>
          </w:r>
          <w:r>
            <w:rPr>
              <w:rFonts w:hint="default" w:ascii="Arial" w:hAnsi="Arial" w:eastAsia="宋体" w:cs="Arial"/>
              <w:sz w:val="22"/>
              <w:szCs w:val="22"/>
            </w:rPr>
            <w:fldChar w:fldCharType="separate"/>
          </w:r>
          <w:r>
            <w:rPr>
              <w:rFonts w:hint="default" w:ascii="Arial" w:hAnsi="Arial" w:eastAsia="宋体" w:cs="Arial"/>
              <w:sz w:val="22"/>
              <w:szCs w:val="22"/>
            </w:rPr>
            <w:t>21</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_Toc16636 </w:instrText>
          </w:r>
          <w:r>
            <w:rPr>
              <w:rFonts w:hint="default" w:ascii="Arial" w:hAnsi="Arial" w:eastAsia="宋体" w:cs="Arial"/>
              <w:sz w:val="22"/>
              <w:szCs w:val="22"/>
            </w:rPr>
            <w:fldChar w:fldCharType="separate"/>
          </w:r>
          <w:r>
            <w:rPr>
              <w:rFonts w:hint="default" w:ascii="Arial" w:hAnsi="Arial" w:eastAsia="宋体" w:cs="Arial"/>
              <w:sz w:val="22"/>
              <w:szCs w:val="22"/>
            </w:rPr>
            <w:t>6.2.2其他资金流入</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_Toc16636 </w:instrText>
          </w:r>
          <w:r>
            <w:rPr>
              <w:rFonts w:hint="default" w:ascii="Arial" w:hAnsi="Arial" w:eastAsia="宋体" w:cs="Arial"/>
              <w:sz w:val="22"/>
              <w:szCs w:val="22"/>
            </w:rPr>
            <w:fldChar w:fldCharType="separate"/>
          </w:r>
          <w:r>
            <w:rPr>
              <w:rFonts w:hint="default" w:ascii="Arial" w:hAnsi="Arial" w:eastAsia="宋体" w:cs="Arial"/>
              <w:sz w:val="22"/>
              <w:szCs w:val="22"/>
            </w:rPr>
            <w:t>22</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_Toc1651 </w:instrText>
          </w:r>
          <w:r>
            <w:rPr>
              <w:rFonts w:hint="default" w:ascii="Arial" w:hAnsi="Arial" w:eastAsia="宋体" w:cs="Arial"/>
              <w:sz w:val="22"/>
              <w:szCs w:val="22"/>
            </w:rPr>
            <w:fldChar w:fldCharType="separate"/>
          </w:r>
          <w:r>
            <w:rPr>
              <w:rFonts w:hint="default" w:ascii="Arial" w:hAnsi="Arial" w:eastAsia="宋体" w:cs="Arial"/>
              <w:sz w:val="22"/>
              <w:szCs w:val="22"/>
            </w:rPr>
            <w:t>6.3各类保证金情况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_Toc1651 </w:instrText>
          </w:r>
          <w:r>
            <w:rPr>
              <w:rFonts w:hint="default" w:ascii="Arial" w:hAnsi="Arial" w:eastAsia="宋体" w:cs="Arial"/>
              <w:sz w:val="22"/>
              <w:szCs w:val="22"/>
            </w:rPr>
            <w:fldChar w:fldCharType="separate"/>
          </w:r>
          <w:r>
            <w:rPr>
              <w:rFonts w:hint="default" w:ascii="Arial" w:hAnsi="Arial" w:eastAsia="宋体" w:cs="Arial"/>
              <w:sz w:val="22"/>
              <w:szCs w:val="22"/>
            </w:rPr>
            <w:t>22</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_Toc22219 </w:instrText>
          </w:r>
          <w:r>
            <w:rPr>
              <w:rFonts w:hint="default" w:ascii="Arial" w:hAnsi="Arial" w:eastAsia="宋体" w:cs="Arial"/>
              <w:sz w:val="22"/>
              <w:szCs w:val="22"/>
            </w:rPr>
            <w:fldChar w:fldCharType="separate"/>
          </w:r>
          <w:r>
            <w:rPr>
              <w:rFonts w:hint="default" w:ascii="Arial" w:hAnsi="Arial" w:eastAsia="宋体" w:cs="Arial"/>
              <w:sz w:val="22"/>
              <w:szCs w:val="22"/>
            </w:rPr>
            <w:t>6.4各银行账户余额</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_Toc22219 </w:instrText>
          </w:r>
          <w:r>
            <w:rPr>
              <w:rFonts w:hint="default" w:ascii="Arial" w:hAnsi="Arial" w:eastAsia="宋体" w:cs="Arial"/>
              <w:sz w:val="22"/>
              <w:szCs w:val="22"/>
            </w:rPr>
            <w:fldChar w:fldCharType="separate"/>
          </w:r>
          <w:r>
            <w:rPr>
              <w:rFonts w:hint="default" w:ascii="Arial" w:hAnsi="Arial" w:eastAsia="宋体" w:cs="Arial"/>
              <w:sz w:val="22"/>
              <w:szCs w:val="22"/>
            </w:rPr>
            <w:t>22</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_Toc4218 </w:instrText>
          </w:r>
          <w:r>
            <w:rPr>
              <w:rFonts w:hint="default" w:ascii="Arial" w:hAnsi="Arial" w:eastAsia="宋体" w:cs="Arial"/>
              <w:sz w:val="22"/>
              <w:szCs w:val="22"/>
            </w:rPr>
            <w:fldChar w:fldCharType="separate"/>
          </w:r>
          <w:r>
            <w:rPr>
              <w:rFonts w:hint="default" w:ascii="Arial" w:hAnsi="Arial" w:eastAsia="宋体" w:cs="Arial"/>
              <w:sz w:val="22"/>
              <w:szCs w:val="22"/>
            </w:rPr>
            <w:t>7项目成本统计</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_Toc4218 </w:instrText>
          </w:r>
          <w:r>
            <w:rPr>
              <w:rFonts w:hint="default" w:ascii="Arial" w:hAnsi="Arial" w:eastAsia="宋体" w:cs="Arial"/>
              <w:sz w:val="22"/>
              <w:szCs w:val="22"/>
            </w:rPr>
            <w:fldChar w:fldCharType="separate"/>
          </w:r>
          <w:r>
            <w:rPr>
              <w:rFonts w:hint="default" w:ascii="Arial" w:hAnsi="Arial" w:eastAsia="宋体" w:cs="Arial"/>
              <w:sz w:val="22"/>
              <w:szCs w:val="22"/>
            </w:rPr>
            <w:t>23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_Toc31871 </w:instrText>
          </w:r>
          <w:r>
            <w:rPr>
              <w:rFonts w:hint="default" w:ascii="Arial" w:hAnsi="Arial" w:eastAsia="宋体" w:cs="Arial"/>
              <w:sz w:val="22"/>
              <w:szCs w:val="22"/>
            </w:rPr>
            <w:fldChar w:fldCharType="separate"/>
          </w:r>
          <w:r>
            <w:rPr>
              <w:rFonts w:hint="default" w:ascii="Arial" w:hAnsi="Arial" w:eastAsia="宋体" w:cs="Arial"/>
              <w:sz w:val="22"/>
              <w:szCs w:val="22"/>
            </w:rPr>
            <w:t>7.1资金使用情况统计</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_Toc31871 </w:instrText>
          </w:r>
          <w:r>
            <w:rPr>
              <w:rFonts w:hint="default" w:ascii="Arial" w:hAnsi="Arial" w:eastAsia="宋体" w:cs="Arial"/>
              <w:sz w:val="22"/>
              <w:szCs w:val="22"/>
            </w:rPr>
            <w:fldChar w:fldCharType="separate"/>
          </w:r>
          <w:r>
            <w:rPr>
              <w:rFonts w:hint="default" w:ascii="Arial" w:hAnsi="Arial" w:eastAsia="宋体" w:cs="Arial"/>
              <w:sz w:val="22"/>
              <w:szCs w:val="22"/>
            </w:rPr>
            <w:t>23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_Toc25000 </w:instrText>
          </w:r>
          <w:r>
            <w:rPr>
              <w:rFonts w:hint="default" w:ascii="Arial" w:hAnsi="Arial" w:eastAsia="宋体" w:cs="Arial"/>
              <w:sz w:val="22"/>
              <w:szCs w:val="22"/>
            </w:rPr>
            <w:fldChar w:fldCharType="separate"/>
          </w:r>
          <w:r>
            <w:rPr>
              <w:rFonts w:hint="default" w:ascii="Arial" w:hAnsi="Arial" w:eastAsia="宋体" w:cs="Arial"/>
              <w:sz w:val="22"/>
              <w:szCs w:val="22"/>
            </w:rPr>
            <w:t>7.2合约成本统计</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_Toc25000 </w:instrText>
          </w:r>
          <w:r>
            <w:rPr>
              <w:rFonts w:hint="default" w:ascii="Arial" w:hAnsi="Arial" w:eastAsia="宋体" w:cs="Arial"/>
              <w:sz w:val="22"/>
              <w:szCs w:val="22"/>
            </w:rPr>
            <w:fldChar w:fldCharType="separate"/>
          </w:r>
          <w:r>
            <w:rPr>
              <w:rFonts w:hint="default" w:ascii="Arial" w:hAnsi="Arial" w:eastAsia="宋体" w:cs="Arial"/>
              <w:sz w:val="22"/>
              <w:szCs w:val="22"/>
            </w:rPr>
            <w:t>24</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_Toc6450 </w:instrText>
          </w:r>
          <w:r>
            <w:rPr>
              <w:rFonts w:hint="default" w:ascii="Arial" w:hAnsi="Arial" w:eastAsia="宋体" w:cs="Arial"/>
              <w:sz w:val="22"/>
              <w:szCs w:val="22"/>
            </w:rPr>
            <w:fldChar w:fldCharType="separate"/>
          </w:r>
          <w:r>
            <w:rPr>
              <w:rFonts w:hint="default" w:ascii="Arial" w:hAnsi="Arial" w:eastAsia="宋体" w:cs="Arial"/>
              <w:sz w:val="22"/>
              <w:szCs w:val="22"/>
            </w:rPr>
            <w:t>7.</w:t>
          </w:r>
          <w:r>
            <w:rPr>
              <w:rFonts w:hint="default" w:ascii="Arial" w:hAnsi="Arial" w:eastAsia="宋体" w:cs="Arial"/>
              <w:sz w:val="22"/>
              <w:szCs w:val="22"/>
              <w:lang w:val="en-US" w:eastAsia="zh-CN"/>
            </w:rPr>
            <w:t>3商票使用情况统计</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_Toc6450 </w:instrText>
          </w:r>
          <w:r>
            <w:rPr>
              <w:rFonts w:hint="default" w:ascii="Arial" w:hAnsi="Arial" w:eastAsia="宋体" w:cs="Arial"/>
              <w:sz w:val="22"/>
              <w:szCs w:val="22"/>
            </w:rPr>
            <w:fldChar w:fldCharType="separate"/>
          </w:r>
          <w:r>
            <w:rPr>
              <w:rFonts w:hint="default" w:ascii="Arial" w:hAnsi="Arial" w:eastAsia="宋体" w:cs="Arial"/>
              <w:sz w:val="22"/>
              <w:szCs w:val="22"/>
            </w:rPr>
            <w:t>24</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_Toc21877 </w:instrText>
          </w:r>
          <w:r>
            <w:rPr>
              <w:rFonts w:hint="default" w:ascii="Arial" w:hAnsi="Arial" w:eastAsia="宋体" w:cs="Arial"/>
              <w:sz w:val="22"/>
              <w:szCs w:val="22"/>
            </w:rPr>
            <w:fldChar w:fldCharType="separate"/>
          </w:r>
          <w:r>
            <w:rPr>
              <w:rFonts w:hint="default" w:ascii="Arial" w:hAnsi="Arial" w:eastAsia="宋体" w:cs="Arial"/>
              <w:sz w:val="22"/>
              <w:szCs w:val="22"/>
            </w:rPr>
            <w:t>8项目销售情况</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_Toc21877 </w:instrText>
          </w:r>
          <w:r>
            <w:rPr>
              <w:rFonts w:hint="default" w:ascii="Arial" w:hAnsi="Arial" w:eastAsia="宋体" w:cs="Arial"/>
              <w:sz w:val="22"/>
              <w:szCs w:val="22"/>
            </w:rPr>
            <w:fldChar w:fldCharType="separate"/>
          </w:r>
          <w:r>
            <w:rPr>
              <w:rFonts w:hint="default" w:ascii="Arial" w:hAnsi="Arial" w:eastAsia="宋体" w:cs="Arial"/>
              <w:sz w:val="22"/>
              <w:szCs w:val="22"/>
            </w:rPr>
            <w:t>27</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_Toc28731 </w:instrText>
          </w:r>
          <w:r>
            <w:rPr>
              <w:rFonts w:hint="default" w:ascii="Arial" w:hAnsi="Arial" w:eastAsia="宋体" w:cs="Arial"/>
              <w:sz w:val="22"/>
              <w:szCs w:val="22"/>
            </w:rPr>
            <w:fldChar w:fldCharType="separate"/>
          </w:r>
          <w:r>
            <w:rPr>
              <w:rFonts w:hint="default" w:ascii="Arial" w:hAnsi="Arial" w:eastAsia="宋体" w:cs="Arial"/>
              <w:sz w:val="22"/>
              <w:szCs w:val="22"/>
            </w:rPr>
            <w:t>8.1当地销售政策（预售政策、限购限售、限价政策描述）</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_Toc28731 </w:instrText>
          </w:r>
          <w:r>
            <w:rPr>
              <w:rFonts w:hint="default" w:ascii="Arial" w:hAnsi="Arial" w:eastAsia="宋体" w:cs="Arial"/>
              <w:sz w:val="22"/>
              <w:szCs w:val="22"/>
            </w:rPr>
            <w:fldChar w:fldCharType="separate"/>
          </w:r>
          <w:r>
            <w:rPr>
              <w:rFonts w:hint="default" w:ascii="Arial" w:hAnsi="Arial" w:eastAsia="宋体" w:cs="Arial"/>
              <w:sz w:val="22"/>
              <w:szCs w:val="22"/>
            </w:rPr>
            <w:t>27</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_Toc2219 </w:instrText>
          </w:r>
          <w:r>
            <w:rPr>
              <w:rFonts w:hint="default" w:ascii="Arial" w:hAnsi="Arial" w:eastAsia="宋体" w:cs="Arial"/>
              <w:sz w:val="22"/>
              <w:szCs w:val="22"/>
            </w:rPr>
            <w:fldChar w:fldCharType="separate"/>
          </w:r>
          <w:r>
            <w:rPr>
              <w:rFonts w:hint="default" w:ascii="Arial" w:hAnsi="Arial" w:eastAsia="宋体" w:cs="Arial"/>
              <w:sz w:val="22"/>
              <w:szCs w:val="22"/>
            </w:rPr>
            <w:t>8.2项目销售及营销推广计划</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_Toc2219 </w:instrText>
          </w:r>
          <w:r>
            <w:rPr>
              <w:rFonts w:hint="default" w:ascii="Arial" w:hAnsi="Arial" w:eastAsia="宋体" w:cs="Arial"/>
              <w:sz w:val="22"/>
              <w:szCs w:val="22"/>
            </w:rPr>
            <w:fldChar w:fldCharType="separate"/>
          </w:r>
          <w:r>
            <w:rPr>
              <w:rFonts w:hint="default" w:ascii="Arial" w:hAnsi="Arial" w:eastAsia="宋体" w:cs="Arial"/>
              <w:sz w:val="22"/>
              <w:szCs w:val="22"/>
            </w:rPr>
            <w:t>27</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_Toc16066 </w:instrText>
          </w:r>
          <w:r>
            <w:rPr>
              <w:rFonts w:hint="default" w:ascii="Arial" w:hAnsi="Arial" w:eastAsia="宋体" w:cs="Arial"/>
              <w:sz w:val="22"/>
              <w:szCs w:val="22"/>
            </w:rPr>
            <w:fldChar w:fldCharType="separate"/>
          </w:r>
          <w:r>
            <w:rPr>
              <w:rFonts w:hint="default" w:ascii="Arial" w:hAnsi="Arial" w:eastAsia="宋体" w:cs="Arial"/>
              <w:sz w:val="22"/>
              <w:szCs w:val="22"/>
            </w:rPr>
            <w:t>8.3项目销售情况统计</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_Toc16066 </w:instrText>
          </w:r>
          <w:r>
            <w:rPr>
              <w:rFonts w:hint="default" w:ascii="Arial" w:hAnsi="Arial" w:eastAsia="宋体" w:cs="Arial"/>
              <w:sz w:val="22"/>
              <w:szCs w:val="22"/>
            </w:rPr>
            <w:fldChar w:fldCharType="separate"/>
          </w:r>
          <w:r>
            <w:rPr>
              <w:rFonts w:hint="default" w:ascii="Arial" w:hAnsi="Arial" w:eastAsia="宋体" w:cs="Arial"/>
              <w:sz w:val="22"/>
              <w:szCs w:val="22"/>
            </w:rPr>
            <w:t>27</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_Toc12598 </w:instrText>
          </w:r>
          <w:r>
            <w:rPr>
              <w:rFonts w:hint="default" w:ascii="Arial" w:hAnsi="Arial" w:eastAsia="宋体" w:cs="Arial"/>
              <w:sz w:val="22"/>
              <w:szCs w:val="22"/>
            </w:rPr>
            <w:fldChar w:fldCharType="separate"/>
          </w:r>
          <w:r>
            <w:rPr>
              <w:rFonts w:hint="default" w:ascii="Arial" w:hAnsi="Arial" w:eastAsia="宋体" w:cs="Arial"/>
              <w:sz w:val="22"/>
              <w:szCs w:val="22"/>
            </w:rPr>
            <w:t>9下期关注重点</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_Toc12598 </w:instrText>
          </w:r>
          <w:r>
            <w:rPr>
              <w:rFonts w:hint="default" w:ascii="Arial" w:hAnsi="Arial" w:eastAsia="宋体" w:cs="Arial"/>
              <w:sz w:val="22"/>
              <w:szCs w:val="22"/>
            </w:rPr>
            <w:fldChar w:fldCharType="separate"/>
          </w:r>
          <w:r>
            <w:rPr>
              <w:rFonts w:hint="default" w:ascii="Arial" w:hAnsi="Arial" w:eastAsia="宋体" w:cs="Arial"/>
              <w:sz w:val="22"/>
              <w:szCs w:val="22"/>
            </w:rPr>
            <w:t>28</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_Toc8931 </w:instrText>
          </w:r>
          <w:r>
            <w:rPr>
              <w:rFonts w:hint="default" w:ascii="Arial" w:hAnsi="Arial" w:eastAsia="宋体" w:cs="Arial"/>
              <w:sz w:val="22"/>
              <w:szCs w:val="22"/>
            </w:rPr>
            <w:fldChar w:fldCharType="separate"/>
          </w:r>
          <w:r>
            <w:rPr>
              <w:rFonts w:hint="default" w:ascii="Arial" w:hAnsi="Arial" w:eastAsia="宋体" w:cs="Arial"/>
              <w:sz w:val="22"/>
              <w:szCs w:val="22"/>
            </w:rPr>
            <w:t>附件</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_Toc8931 </w:instrText>
          </w:r>
          <w:r>
            <w:rPr>
              <w:rFonts w:hint="default" w:ascii="Arial" w:hAnsi="Arial" w:eastAsia="宋体" w:cs="Arial"/>
              <w:sz w:val="22"/>
              <w:szCs w:val="22"/>
            </w:rPr>
            <w:fldChar w:fldCharType="separate"/>
          </w:r>
          <w:r>
            <w:rPr>
              <w:rFonts w:hint="default" w:ascii="Arial" w:hAnsi="Arial" w:eastAsia="宋体" w:cs="Arial"/>
              <w:sz w:val="22"/>
              <w:szCs w:val="22"/>
            </w:rPr>
            <w:t>29</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_Toc7476 </w:instrText>
          </w:r>
          <w:r>
            <w:rPr>
              <w:rFonts w:hint="default" w:ascii="Arial" w:hAnsi="Arial" w:eastAsia="宋体" w:cs="Arial"/>
              <w:sz w:val="22"/>
              <w:szCs w:val="22"/>
            </w:rPr>
            <w:fldChar w:fldCharType="separate"/>
          </w:r>
          <w:r>
            <w:rPr>
              <w:rFonts w:hint="default" w:ascii="Arial" w:hAnsi="Arial" w:eastAsia="宋体" w:cs="Arial"/>
              <w:sz w:val="22"/>
              <w:szCs w:val="22"/>
            </w:rPr>
            <w:t>附件一 项目公司对账单</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_Toc7476 </w:instrText>
          </w:r>
          <w:r>
            <w:rPr>
              <w:rFonts w:hint="default" w:ascii="Arial" w:hAnsi="Arial" w:eastAsia="宋体" w:cs="Arial"/>
              <w:sz w:val="22"/>
              <w:szCs w:val="22"/>
            </w:rPr>
            <w:fldChar w:fldCharType="separate"/>
          </w:r>
          <w:r>
            <w:rPr>
              <w:rFonts w:hint="default" w:ascii="Arial" w:hAnsi="Arial" w:eastAsia="宋体" w:cs="Arial"/>
              <w:sz w:val="22"/>
              <w:szCs w:val="22"/>
            </w:rPr>
            <w:t>29</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sz w:val="22"/>
              <w:szCs w:val="22"/>
            </w:rPr>
          </w:pPr>
          <w:r>
            <w:rPr>
              <w:rFonts w:hint="default" w:ascii="Arial" w:hAnsi="Arial" w:eastAsia="宋体" w:cs="Arial"/>
              <w:sz w:val="22"/>
              <w:szCs w:val="22"/>
            </w:rPr>
            <w:fldChar w:fldCharType="begin"/>
          </w:r>
          <w:r>
            <w:rPr>
              <w:rFonts w:hint="default" w:ascii="Arial" w:hAnsi="Arial" w:eastAsia="宋体" w:cs="Arial"/>
              <w:sz w:val="22"/>
              <w:szCs w:val="22"/>
            </w:rPr>
            <w:instrText xml:space="preserve"> HYPERLINK \l _Toc232 </w:instrText>
          </w:r>
          <w:r>
            <w:rPr>
              <w:rFonts w:hint="default" w:ascii="Arial" w:hAnsi="Arial" w:eastAsia="宋体" w:cs="Arial"/>
              <w:sz w:val="22"/>
              <w:szCs w:val="22"/>
            </w:rPr>
            <w:fldChar w:fldCharType="separate"/>
          </w:r>
          <w:r>
            <w:rPr>
              <w:rFonts w:hint="default" w:ascii="Arial" w:hAnsi="Arial" w:eastAsia="宋体" w:cs="Arial"/>
              <w:sz w:val="22"/>
              <w:szCs w:val="22"/>
            </w:rPr>
            <w:t>附件二 用印登记薄</w:t>
          </w:r>
          <w:r>
            <w:rPr>
              <w:rFonts w:hint="default" w:ascii="Arial" w:hAnsi="Arial" w:eastAsia="宋体" w:cs="Arial"/>
              <w:sz w:val="22"/>
              <w:szCs w:val="22"/>
            </w:rPr>
            <w:tab/>
          </w:r>
          <w:r>
            <w:rPr>
              <w:rFonts w:hint="default" w:ascii="Arial" w:hAnsi="Arial" w:eastAsia="宋体" w:cs="Arial"/>
              <w:sz w:val="22"/>
              <w:szCs w:val="22"/>
            </w:rPr>
            <w:fldChar w:fldCharType="begin"/>
          </w:r>
          <w:r>
            <w:rPr>
              <w:rFonts w:hint="default" w:ascii="Arial" w:hAnsi="Arial" w:eastAsia="宋体" w:cs="Arial"/>
              <w:sz w:val="22"/>
              <w:szCs w:val="22"/>
            </w:rPr>
            <w:instrText xml:space="preserve"> PAGEREF _Toc232 </w:instrText>
          </w:r>
          <w:r>
            <w:rPr>
              <w:rFonts w:hint="default" w:ascii="Arial" w:hAnsi="Arial" w:eastAsia="宋体" w:cs="Arial"/>
              <w:sz w:val="22"/>
              <w:szCs w:val="22"/>
            </w:rPr>
            <w:fldChar w:fldCharType="separate"/>
          </w:r>
          <w:r>
            <w:rPr>
              <w:rFonts w:hint="default" w:ascii="Arial" w:hAnsi="Arial" w:eastAsia="宋体" w:cs="Arial"/>
              <w:sz w:val="22"/>
              <w:szCs w:val="22"/>
            </w:rPr>
            <w:t>33</w:t>
          </w:r>
          <w:r>
            <w:rPr>
              <w:rFonts w:hint="default" w:ascii="Arial" w:hAnsi="Arial" w:eastAsia="宋体" w:cs="Arial"/>
              <w:sz w:val="22"/>
              <w:szCs w:val="22"/>
            </w:rPr>
            <w:fldChar w:fldCharType="end"/>
          </w:r>
          <w:r>
            <w:rPr>
              <w:rFonts w:hint="default" w:ascii="Arial" w:hAnsi="Arial" w:eastAsia="宋体" w:cs="Arial"/>
              <w:sz w:val="22"/>
              <w:szCs w:val="22"/>
            </w:rPr>
            <w:fldChar w:fldCharType="end"/>
          </w:r>
        </w:p>
        <w:p>
          <w:pPr>
            <w:keepNext w:val="0"/>
            <w:keepLines w:val="0"/>
            <w:pageBreakBefore w:val="0"/>
            <w:kinsoku/>
            <w:wordWrap/>
            <w:overflowPunct/>
            <w:topLinePunct w:val="0"/>
            <w:autoSpaceDE/>
            <w:autoSpaceDN/>
            <w:bidi w:val="0"/>
            <w:adjustRightInd/>
            <w:snapToGrid/>
            <w:spacing w:line="240" w:lineRule="auto"/>
            <w:textAlignment w:val="auto"/>
            <w:rPr>
              <w:rFonts w:hint="default"/>
            </w:rPr>
            <w:sectPr>
              <w:headerReference r:id="rId3" w:type="default"/>
              <w:footerReference r:id="rId4" w:type="default"/>
              <w:pgSz w:w="11906" w:h="16838"/>
              <w:pgMar w:top="1843" w:right="1134" w:bottom="1134" w:left="1134" w:header="851" w:footer="992" w:gutter="340"/>
              <w:cols w:space="0" w:num="1"/>
              <w:docGrid w:linePitch="312" w:charSpace="0"/>
            </w:sectPr>
          </w:pPr>
          <w:r>
            <w:rPr>
              <w:rFonts w:hint="default" w:ascii="Arial" w:hAnsi="Arial" w:eastAsia="宋体" w:cs="Arial"/>
              <w:sz w:val="22"/>
              <w:szCs w:val="22"/>
            </w:rPr>
            <w:fldChar w:fldCharType="end"/>
          </w:r>
          <w:bookmarkEnd w:id="757"/>
        </w:p>
      </w:sdtContent>
    </w:sdt>
    <w:p>
      <w:pPr>
        <w:pStyle w:val="13"/>
        <w:jc w:val="both"/>
        <w:rPr>
          <w:rFonts w:ascii="Arial" w:hAnsi="Arial" w:cs="Arial"/>
          <w:bCs/>
          <w:kern w:val="44"/>
          <w:sz w:val="21"/>
          <w:szCs w:val="21"/>
        </w:rPr>
      </w:pPr>
      <w:r>
        <w:rPr>
          <w:rFonts w:ascii="Arial" w:hAnsi="Arial" w:cs="Arial"/>
          <w:bCs/>
          <w:kern w:val="44"/>
          <w:sz w:val="21"/>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·项目公司：海盐丰涛置业有限公司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9" w:name="_Toc25226"/>
      <w:bookmarkStart w:id="10" w:name="_Toc4304"/>
      <w:bookmarkStart w:id="11" w:name="_Toc32746"/>
      <w:bookmarkStart w:id="12" w:name="_Toc6449"/>
      <w:bookmarkStart w:id="13" w:name="_Toc14395"/>
      <w:bookmarkStart w:id="14" w:name="_Toc30168"/>
      <w:bookmarkStart w:id="15" w:name="_Toc4250"/>
      <w:bookmarkStart w:id="16" w:name="_Toc2029"/>
      <w:bookmarkStart w:id="17" w:name="_Toc21237"/>
      <w:bookmarkStart w:id="18" w:name="_Toc15496"/>
      <w:bookmarkStart w:id="19" w:name="_Toc26569"/>
      <w:bookmarkStart w:id="20" w:name="_Toc14889"/>
      <w:bookmarkStart w:id="21" w:name="_Toc29765"/>
      <w:bookmarkStart w:id="22" w:name="_Toc2847"/>
      <w:bookmarkStart w:id="23" w:name="_Toc23945"/>
      <w:bookmarkStart w:id="24" w:name="_Toc2385"/>
      <w:bookmarkStart w:id="25" w:name="_Toc239"/>
      <w:bookmarkStart w:id="26" w:name="_Toc29335"/>
      <w:bookmarkStart w:id="27" w:name="_Toc6331"/>
      <w:bookmarkStart w:id="28" w:name="_Toc10225"/>
      <w:bookmarkStart w:id="29" w:name="_Toc25771"/>
      <w:bookmarkStart w:id="30" w:name="_Toc25140"/>
      <w:bookmarkStart w:id="31" w:name="_Toc12540"/>
      <w:bookmarkStart w:id="32" w:name="_Toc30922"/>
      <w:bookmarkStart w:id="33" w:name="_Toc16082"/>
      <w:bookmarkStart w:id="34" w:name="_Toc4224"/>
      <w:bookmarkStart w:id="35" w:name="_Toc27525"/>
      <w:bookmarkStart w:id="36" w:name="_Toc688"/>
      <w:r>
        <w:rPr>
          <w:rFonts w:ascii="Arial" w:hAnsi="Arial" w:cs="Arial"/>
          <w:color w:val="000000"/>
          <w:sz w:val="24"/>
          <w:szCs w:val="24"/>
        </w:rPr>
        <w:t>1项目基本情况</w:t>
      </w:r>
      <w:bookmarkEnd w:id="2"/>
      <w:bookmarkEnd w:id="3"/>
      <w:bookmarkEnd w:id="4"/>
      <w:bookmarkEnd w:id="5"/>
      <w:bookmarkEnd w:id="6"/>
      <w:bookmarkEnd w:id="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37" w:name="_Toc11021"/>
      <w:bookmarkStart w:id="38" w:name="_Toc24275"/>
      <w:bookmarkStart w:id="39" w:name="_Toc15897"/>
      <w:bookmarkStart w:id="40" w:name="_Toc7349"/>
      <w:bookmarkStart w:id="41" w:name="_Toc30328"/>
      <w:bookmarkStart w:id="42" w:name="_Toc12981"/>
      <w:bookmarkStart w:id="43" w:name="_Toc27425"/>
      <w:bookmarkStart w:id="44" w:name="_Toc14539"/>
      <w:bookmarkStart w:id="45" w:name="_Toc32113"/>
      <w:bookmarkStart w:id="46" w:name="_Toc23886"/>
      <w:bookmarkStart w:id="47" w:name="_Toc4110"/>
      <w:bookmarkStart w:id="48" w:name="_Toc27553"/>
      <w:bookmarkStart w:id="49" w:name="_Toc13384"/>
      <w:bookmarkStart w:id="50" w:name="_Toc24356"/>
      <w:bookmarkStart w:id="51" w:name="_Toc23695"/>
      <w:bookmarkStart w:id="52" w:name="_Toc13203"/>
      <w:bookmarkStart w:id="53" w:name="_Toc21337"/>
      <w:bookmarkStart w:id="54" w:name="_Toc15339"/>
      <w:bookmarkStart w:id="55" w:name="_Toc8657"/>
      <w:r>
        <w:rPr>
          <w:rFonts w:eastAsia="宋体" w:cs="Arial"/>
          <w:color w:val="000000"/>
          <w:sz w:val="24"/>
          <w:szCs w:val="24"/>
        </w:rPr>
        <w:t>1.1</w:t>
      </w:r>
      <w:bookmarkEnd w:id="37"/>
      <w:bookmarkStart w:id="56" w:name="_Toc1132"/>
      <w:r>
        <w:rPr>
          <w:rFonts w:eastAsia="宋体" w:cs="Arial"/>
          <w:color w:val="000000"/>
          <w:sz w:val="24"/>
          <w:szCs w:val="24"/>
        </w:rPr>
        <w:t>项目公司基本情况</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480" w:lineRule="auto"/>
        <w:ind w:firstLine="420" w:firstLineChars="200"/>
        <w:rPr>
          <w:rFonts w:ascii="Arial" w:hAnsi="Arial" w:cs="Arial"/>
          <w:szCs w:val="21"/>
        </w:rPr>
      </w:pPr>
      <w:bookmarkStart w:id="57" w:name="_Toc535580021"/>
      <w:bookmarkStart w:id="58" w:name="_Toc535508634"/>
      <w:bookmarkStart w:id="59" w:name="_Toc535570748"/>
      <w:bookmarkStart w:id="60" w:name="_Toc532281655"/>
      <w:bookmarkStart w:id="61" w:name="_Toc535580089"/>
      <w:bookmarkStart w:id="62" w:name="_Toc45217874"/>
      <w:r>
        <w:rPr>
          <w:rFonts w:ascii="Arial" w:hAnsi="Arial" w:cs="Arial"/>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2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10" name="图片 10"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35ec3c8321b810a68b63ada546970"/>
                    <pic:cNvPicPr>
                      <a:picLocks noChangeAspect="1"/>
                    </pic:cNvPicPr>
                  </pic:nvPicPr>
                  <pic:blipFill>
                    <a:blip r:embed="rId8"/>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63" w:name="_Toc7466"/>
      <w:bookmarkStart w:id="64" w:name="_Toc3568"/>
      <w:bookmarkStart w:id="65" w:name="_Toc23373"/>
      <w:bookmarkStart w:id="66" w:name="_Toc11851"/>
      <w:bookmarkStart w:id="67" w:name="_Toc14160"/>
      <w:bookmarkStart w:id="68" w:name="_Toc3400"/>
      <w:bookmarkStart w:id="69" w:name="_Toc3152"/>
      <w:bookmarkStart w:id="70" w:name="_Toc26681"/>
      <w:bookmarkStart w:id="71" w:name="_Toc15419"/>
      <w:bookmarkStart w:id="72" w:name="_Toc15915"/>
      <w:bookmarkStart w:id="73" w:name="_Toc31352"/>
      <w:bookmarkStart w:id="74" w:name="_Toc4782"/>
      <w:bookmarkStart w:id="75" w:name="_Toc25070"/>
      <w:bookmarkStart w:id="76" w:name="_Toc6102"/>
      <w:bookmarkStart w:id="77" w:name="_Toc16918"/>
      <w:bookmarkStart w:id="78" w:name="_Toc24383"/>
      <w:bookmarkStart w:id="79" w:name="_Toc740"/>
      <w:bookmarkStart w:id="80" w:name="_Toc4573"/>
      <w:bookmarkStart w:id="81" w:name="_Toc3212"/>
      <w:r>
        <w:rPr>
          <w:rFonts w:eastAsia="宋体" w:cs="Arial"/>
          <w:color w:val="000000"/>
          <w:sz w:val="24"/>
          <w:szCs w:val="24"/>
        </w:rPr>
        <w:t>1.2项目概况</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spacing w:line="360" w:lineRule="auto"/>
        <w:ind w:firstLine="420" w:firstLineChars="200"/>
        <w:jc w:val="left"/>
        <w:rPr>
          <w:rFonts w:ascii="Arial" w:hAnsi="Arial" w:cs="Arial"/>
          <w:szCs w:val="21"/>
        </w:rPr>
      </w:pPr>
      <w:r>
        <w:rPr>
          <w:rFonts w:ascii="Arial" w:hAnsi="Arial" w:cs="Arial"/>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50617.71万元，楼面价6,500.00元/㎡。用途为居住用地兼容部分商业，容积率上限为1.8，绿地率30%，其中商业商务建筑面积852.21㎡。该地块周边分布临近嘉凯城、绮园商业街、大润发超市等配套设施。</w:t>
      </w:r>
    </w:p>
    <w:p>
      <w:pPr>
        <w:spacing w:line="360" w:lineRule="auto"/>
        <w:ind w:firstLine="420" w:firstLineChars="200"/>
        <w:jc w:val="left"/>
        <w:rPr>
          <w:rFonts w:ascii="Arial" w:hAnsi="Arial" w:cs="Arial"/>
          <w:szCs w:val="21"/>
        </w:rPr>
      </w:pPr>
      <w:r>
        <w:rPr>
          <w:rFonts w:ascii="Arial" w:hAnsi="Arial" w:cs="Arial"/>
        </w:rPr>
        <w:drawing>
          <wp:anchor distT="0" distB="0" distL="114300" distR="114300" simplePos="0" relativeHeight="252010496" behindDoc="0" locked="0" layoutInCell="1" allowOverlap="1">
            <wp:simplePos x="0" y="0"/>
            <wp:positionH relativeFrom="column">
              <wp:posOffset>-1238250</wp:posOffset>
            </wp:positionH>
            <wp:positionV relativeFrom="paragraph">
              <wp:posOffset>1663700</wp:posOffset>
            </wp:positionV>
            <wp:extent cx="8213090" cy="5043170"/>
            <wp:effectExtent l="0" t="0" r="5080" b="1651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rot="5400000">
                      <a:off x="0" y="0"/>
                      <a:ext cx="8213090" cy="5043170"/>
                    </a:xfrm>
                    <a:prstGeom prst="rect">
                      <a:avLst/>
                    </a:prstGeom>
                    <a:noFill/>
                    <a:ln>
                      <a:noFill/>
                    </a:ln>
                  </pic:spPr>
                </pic:pic>
              </a:graphicData>
            </a:graphic>
          </wp:anchor>
        </w:drawing>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3060" w:firstLineChars="1700"/>
        <w:rPr>
          <w:rFonts w:ascii="Arial" w:hAnsi="Arial" w:cs="Arial"/>
          <w:sz w:val="18"/>
          <w:szCs w:val="18"/>
        </w:rPr>
      </w:pPr>
      <w:r>
        <w:rPr>
          <w:rFonts w:ascii="Arial" w:hAnsi="Arial" w:cs="Arial"/>
          <w:sz w:val="18"/>
          <w:szCs w:val="18"/>
        </w:rPr>
        <w:t>图2 项目总规划图</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r>
        <w:rPr>
          <w:rFonts w:ascii="Arial" w:hAnsi="Arial" w:cs="Arial"/>
        </w:rPr>
        <mc:AlternateContent>
          <mc:Choice Requires="wps">
            <w:drawing>
              <wp:anchor distT="0" distB="0" distL="114300" distR="114300" simplePos="0" relativeHeight="252194816" behindDoc="0" locked="0" layoutInCell="1" allowOverlap="1">
                <wp:simplePos x="0" y="0"/>
                <wp:positionH relativeFrom="column">
                  <wp:posOffset>1687195</wp:posOffset>
                </wp:positionH>
                <wp:positionV relativeFrom="paragraph">
                  <wp:posOffset>62865</wp:posOffset>
                </wp:positionV>
                <wp:extent cx="856615" cy="266700"/>
                <wp:effectExtent l="0" t="0" r="635" b="0"/>
                <wp:wrapNone/>
                <wp:docPr id="8" name="文本框 8"/>
                <wp:cNvGraphicFramePr/>
                <a:graphic xmlns:a="http://schemas.openxmlformats.org/drawingml/2006/main">
                  <a:graphicData uri="http://schemas.microsoft.com/office/word/2010/wordprocessingShape">
                    <wps:wsp>
                      <wps:cNvSpPr txBox="1"/>
                      <wps:spPr>
                        <a:xfrm>
                          <a:off x="2623185" y="4817745"/>
                          <a:ext cx="85661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项目地块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4.95pt;height:21pt;width:67.45pt;z-index:252194816;mso-width-relative:page;mso-height-relative:page;" fillcolor="#FFFFFF [3201]" filled="t" stroked="f" coordsize="21600,21600" o:gfxdata="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GHWC&#10;1AAAAAgBAAAPAAAAAAAAAAEAIAAAACIAAABkcnMvZG93bnJldi54bWxQSwECFAAUAAAACACHTuJA&#10;Jdlk4V4CAACaBAAADgAAAAAAAAABACAAAAAjAQAAZHJzL2Uyb0RvYy54bWxQSwUGAAAAAAYABgBZ&#10;AQAA8wUAAAAA&#10;">
                <v:fill on="t" focussize="0,0"/>
                <v:stroke on="f" weight="0.5pt"/>
                <v:imagedata o:title=""/>
                <o:lock v:ext="edit" aspectratio="f"/>
                <v:textbox>
                  <w:txbxContent>
                    <w:p>
                      <w:r>
                        <w:rPr>
                          <w:rFonts w:hint="eastAsia"/>
                        </w:rPr>
                        <w:t>项目地块</w:t>
                      </w:r>
                    </w:p>
                  </w:txbxContent>
                </v:textbox>
              </v:shape>
            </w:pict>
          </mc:Fallback>
        </mc:AlternateConten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jc w:val="left"/>
        <w:rPr>
          <w:rFonts w:ascii="Arial" w:hAnsi="Arial" w:cs="Arial"/>
          <w:szCs w:val="21"/>
        </w:rPr>
      </w:pPr>
    </w:p>
    <w:p>
      <w:pPr>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hint="eastAsia" w:ascii="宋体" w:hAnsi="宋体" w:eastAsia="宋体" w:cs="宋体"/>
          <w:b w:val="0"/>
          <w:bCs w:val="0"/>
          <w:color w:val="FF0000"/>
          <w:sz w:val="21"/>
          <w:szCs w:val="21"/>
        </w:rPr>
      </w:pPr>
      <w:r>
        <w:rPr>
          <w:rFonts w:hint="eastAsia" w:ascii="宋体" w:hAnsi="宋体" w:eastAsia="宋体" w:cs="宋体"/>
          <w:b w:val="0"/>
          <w:bCs w:val="0"/>
          <w:sz w:val="21"/>
          <w:szCs w:val="21"/>
        </w:rPr>
        <w:t>根据项目公司提供，项目详细经济指标见下表：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92"/>
        <w:gridCol w:w="2039"/>
        <w:gridCol w:w="310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项目</w:t>
            </w:r>
          </w:p>
        </w:tc>
        <w:tc>
          <w:tcPr>
            <w:tcW w:w="310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都汇华庭</w:t>
            </w:r>
          </w:p>
        </w:tc>
        <w:tc>
          <w:tcPr>
            <w:tcW w:w="176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总用地面积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43,263.00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112,260.40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地上计容建筑面积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77,530.40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可售建筑面积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74,019.27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792"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高层建筑（精装）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73,167.06</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SOHO（精装）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商业（毛坯）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852.21</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rPr>
            </w:pPr>
            <w:r>
              <w:rPr>
                <w:rFonts w:ascii="Arial" w:hAnsi="Arial" w:cs="Arial"/>
                <w:b/>
                <w:bCs/>
                <w:kern w:val="24"/>
                <w:sz w:val="18"/>
                <w:szCs w:val="18"/>
              </w:rPr>
              <w:t>持有建筑面积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计容配套用房面积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3,511.13</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地上不计容建筑面积（赠送）</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地下商业面积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地下非人防车库面积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总户数</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642.00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容积率</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1.8</w:t>
            </w:r>
          </w:p>
        </w:tc>
        <w:tc>
          <w:tcPr>
            <w:tcW w:w="1766" w:type="dxa"/>
            <w:vAlign w:val="center"/>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 xml:space="preserve">6,240,000.00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机动车停车位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97" w:type="dxa"/>
            <w:vMerge w:val="restart"/>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bl>
    <w:p>
      <w:pPr>
        <w:pStyle w:val="2"/>
        <w:keepNext w:val="0"/>
        <w:keepLines w:val="0"/>
        <w:spacing w:before="300" w:after="300" w:line="360" w:lineRule="exact"/>
        <w:jc w:val="left"/>
        <w:rPr>
          <w:rFonts w:ascii="Arial" w:hAnsi="Arial" w:cs="Arial"/>
          <w:sz w:val="24"/>
          <w:szCs w:val="24"/>
        </w:rPr>
      </w:pPr>
      <w:bookmarkStart w:id="82" w:name="_Toc20465"/>
      <w:bookmarkStart w:id="83" w:name="_Toc6921"/>
      <w:bookmarkStart w:id="84" w:name="_Toc9789"/>
      <w:bookmarkStart w:id="85" w:name="_Toc25418"/>
      <w:bookmarkStart w:id="86" w:name="_Toc10972"/>
      <w:bookmarkStart w:id="87" w:name="_Toc29264"/>
      <w:bookmarkStart w:id="88" w:name="_Toc1783"/>
      <w:bookmarkStart w:id="89" w:name="_Toc7203"/>
      <w:bookmarkStart w:id="90" w:name="_Toc4721"/>
      <w:bookmarkStart w:id="91" w:name="_Toc6245"/>
      <w:bookmarkStart w:id="92" w:name="_Toc32260"/>
      <w:bookmarkStart w:id="93" w:name="_Toc22666"/>
      <w:bookmarkStart w:id="94" w:name="_Toc18822"/>
      <w:bookmarkStart w:id="95" w:name="_Toc11151"/>
      <w:bookmarkStart w:id="96" w:name="_Toc32706"/>
      <w:bookmarkStart w:id="97" w:name="_Toc24078"/>
      <w:bookmarkStart w:id="98" w:name="_Toc29239"/>
      <w:bookmarkStart w:id="99" w:name="_Toc4585"/>
      <w:bookmarkStart w:id="100" w:name="_Toc4962"/>
      <w:bookmarkStart w:id="101" w:name="_Toc7734"/>
      <w:bookmarkStart w:id="102" w:name="_Toc11933"/>
      <w:bookmarkStart w:id="103" w:name="_Toc1532"/>
      <w:bookmarkStart w:id="104" w:name="_Toc2018"/>
      <w:bookmarkStart w:id="105" w:name="_Toc5072"/>
      <w:bookmarkStart w:id="106" w:name="_Toc23582"/>
      <w:bookmarkStart w:id="107" w:name="_Toc979"/>
      <w:bookmarkStart w:id="108" w:name="_Toc3398"/>
      <w:bookmarkStart w:id="109" w:name="_Toc7811"/>
      <w:r>
        <w:rPr>
          <w:rFonts w:ascii="Arial" w:hAnsi="Arial" w:cs="Arial"/>
          <w:sz w:val="24"/>
          <w:szCs w:val="24"/>
        </w:rPr>
        <w:t>2重大事件披露</w:t>
      </w:r>
      <w:bookmarkEnd w:id="8"/>
      <w:bookmarkEnd w:id="57"/>
      <w:bookmarkEnd w:id="58"/>
      <w:bookmarkEnd w:id="59"/>
      <w:bookmarkEnd w:id="60"/>
      <w:bookmarkEnd w:id="61"/>
      <w:bookmarkEnd w:id="6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Start w:id="110" w:name="_Toc11536"/>
      <w:bookmarkStart w:id="111" w:name="_Toc535570749"/>
      <w:bookmarkStart w:id="112" w:name="_Toc535580022"/>
      <w:bookmarkStart w:id="113" w:name="_Toc45217875"/>
      <w:bookmarkStart w:id="114" w:name="_Toc532281656"/>
      <w:bookmarkStart w:id="115" w:name="_Toc535580090"/>
      <w:bookmarkStart w:id="116" w:name="_Toc535508635"/>
    </w:p>
    <w:p>
      <w:pPr>
        <w:spacing w:line="480" w:lineRule="auto"/>
        <w:ind w:firstLine="420" w:firstLineChars="200"/>
        <w:rPr>
          <w:rFonts w:hint="default" w:ascii="Arial" w:hAnsi="Arial" w:cs="Arial"/>
          <w:szCs w:val="21"/>
          <w:lang w:val="en-US" w:eastAsia="zh-CN"/>
        </w:rPr>
      </w:pPr>
      <w:r>
        <w:rPr>
          <w:rFonts w:hint="eastAsia" w:ascii="Arial" w:hAnsi="Arial" w:cs="Arial"/>
          <w:szCs w:val="21"/>
          <w:lang w:val="en-US" w:eastAsia="zh-CN"/>
        </w:rPr>
        <w:t>2021年2月1日-2021年2月28日期间，因有23套房源买方未按合约如期支付首付款，收取挞定金 46万元。</w:t>
      </w:r>
    </w:p>
    <w:bookmarkEnd w:id="110"/>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117" w:name="_Toc12977"/>
      <w:bookmarkStart w:id="118" w:name="_Toc2846"/>
      <w:bookmarkStart w:id="119" w:name="_Toc23455"/>
      <w:bookmarkStart w:id="120" w:name="_Toc17407"/>
      <w:bookmarkStart w:id="121" w:name="_Toc10835"/>
      <w:bookmarkStart w:id="122" w:name="_Toc29796"/>
      <w:bookmarkStart w:id="123" w:name="_Toc31624"/>
      <w:bookmarkStart w:id="124" w:name="_Toc27120"/>
      <w:bookmarkStart w:id="125" w:name="_Toc3093"/>
      <w:bookmarkStart w:id="126" w:name="_Toc6615"/>
      <w:bookmarkStart w:id="127" w:name="_Toc7713"/>
      <w:bookmarkStart w:id="128" w:name="_Toc29030"/>
      <w:bookmarkStart w:id="129" w:name="_Toc12527"/>
      <w:bookmarkStart w:id="130" w:name="_Toc22916"/>
      <w:bookmarkStart w:id="131" w:name="_Toc27206"/>
      <w:bookmarkStart w:id="132" w:name="_Toc27344"/>
      <w:bookmarkStart w:id="133" w:name="_Toc9851"/>
      <w:bookmarkStart w:id="134" w:name="_Toc22188"/>
      <w:bookmarkStart w:id="135" w:name="_Toc25504"/>
      <w:bookmarkStart w:id="136" w:name="_Toc13618"/>
      <w:bookmarkStart w:id="137" w:name="_Toc3816"/>
      <w:bookmarkStart w:id="138" w:name="_Toc20290"/>
      <w:bookmarkStart w:id="139" w:name="_Toc9691"/>
      <w:bookmarkStart w:id="140" w:name="_Toc2544"/>
      <w:bookmarkStart w:id="141" w:name="_Toc15531"/>
      <w:bookmarkStart w:id="142" w:name="_Toc10540"/>
      <w:bookmarkStart w:id="143" w:name="_Toc13787"/>
      <w:bookmarkStart w:id="144" w:name="_Toc5634"/>
      <w:r>
        <w:rPr>
          <w:rFonts w:ascii="Arial" w:hAnsi="Arial" w:cs="Arial"/>
          <w:color w:val="000000"/>
          <w:sz w:val="24"/>
          <w:szCs w:val="24"/>
        </w:rPr>
        <w:t>3项目五证办理及施工进度情况</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145" w:name="_Toc26816"/>
      <w:bookmarkStart w:id="146" w:name="_Toc16110"/>
      <w:bookmarkStart w:id="147" w:name="_Toc535508636"/>
      <w:bookmarkStart w:id="148" w:name="_Toc535580023"/>
      <w:bookmarkStart w:id="149" w:name="_Toc17332"/>
      <w:bookmarkStart w:id="150" w:name="_Toc21233"/>
      <w:bookmarkStart w:id="151" w:name="_Toc2173"/>
      <w:bookmarkStart w:id="152" w:name="_Toc10147"/>
      <w:bookmarkStart w:id="153" w:name="_Toc5455"/>
      <w:bookmarkStart w:id="154" w:name="_Toc4361"/>
      <w:bookmarkStart w:id="155" w:name="_Toc7484"/>
      <w:bookmarkStart w:id="156" w:name="_Toc25865"/>
      <w:bookmarkStart w:id="157" w:name="_Toc23092"/>
      <w:bookmarkStart w:id="158" w:name="_Toc27409"/>
      <w:bookmarkStart w:id="159" w:name="_Toc26557"/>
      <w:bookmarkStart w:id="160" w:name="_Toc535570750"/>
      <w:bookmarkStart w:id="161" w:name="_Toc31196"/>
      <w:bookmarkStart w:id="162" w:name="_Toc2085"/>
      <w:bookmarkStart w:id="163" w:name="_Toc14609"/>
      <w:bookmarkStart w:id="164" w:name="_Toc18310"/>
      <w:bookmarkStart w:id="165" w:name="_Toc45217876"/>
      <w:bookmarkStart w:id="166" w:name="_Toc19011"/>
      <w:bookmarkStart w:id="167" w:name="_Toc9785"/>
      <w:bookmarkStart w:id="168" w:name="_Toc15959"/>
      <w:bookmarkStart w:id="169" w:name="_Toc535580091"/>
      <w:bookmarkStart w:id="170" w:name="_Toc20966"/>
      <w:bookmarkStart w:id="171" w:name="_Toc32146"/>
      <w:bookmarkStart w:id="172" w:name="_Toc8591"/>
      <w:bookmarkStart w:id="173" w:name="_Toc22692"/>
      <w:bookmarkStart w:id="174" w:name="_Toc8286"/>
      <w:bookmarkStart w:id="175" w:name="_Toc30238"/>
      <w:bookmarkStart w:id="176" w:name="_Toc5601"/>
      <w:bookmarkStart w:id="177" w:name="_Toc532281657"/>
      <w:bookmarkStart w:id="178" w:name="_Toc10109"/>
      <w:r>
        <w:rPr>
          <w:rFonts w:eastAsia="宋体" w:cs="Arial"/>
          <w:color w:val="000000"/>
          <w:sz w:val="24"/>
          <w:szCs w:val="24"/>
        </w:rPr>
        <w:t>3.1项目五证办理情况说明</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spacing w:line="480" w:lineRule="auto"/>
        <w:ind w:firstLine="420" w:firstLineChars="200"/>
        <w:rPr>
          <w:rFonts w:ascii="Arial" w:hAnsi="Arial" w:cs="Arial"/>
          <w:b/>
          <w:bCs/>
          <w:kern w:val="44"/>
          <w:sz w:val="24"/>
          <w:szCs w:val="44"/>
        </w:rPr>
      </w:pPr>
      <w:r>
        <w:rPr>
          <w:rFonts w:ascii="Arial" w:hAnsi="Arial" w:cs="Arial"/>
          <w:szCs w:val="21"/>
        </w:rPr>
        <w:t>截止到202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日项目已经取得了国有土地使用证、建设用地规划许可证</w:t>
      </w:r>
      <w:r>
        <w:rPr>
          <w:rFonts w:hint="eastAsia" w:ascii="Arial" w:hAnsi="Arial" w:cs="Arial"/>
          <w:szCs w:val="21"/>
          <w:lang w:eastAsia="zh-CN"/>
        </w:rPr>
        <w:t>、</w:t>
      </w:r>
      <w:r>
        <w:rPr>
          <w:rFonts w:hint="eastAsia" w:ascii="Arial" w:hAnsi="Arial"/>
          <w:szCs w:val="21"/>
          <w:highlight w:val="none"/>
          <w:lang w:val="en-US" w:eastAsia="zh-CN"/>
        </w:rPr>
        <w:t>建设工程规划许可证、建筑工程施工许可证，预售许可证。</w:t>
      </w:r>
      <w:r>
        <w:rPr>
          <w:rFonts w:ascii="Arial" w:hAnsi="Arial" w:cs="Arial"/>
          <w:szCs w:val="21"/>
        </w:rPr>
        <w:t>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491" w:type="dxa"/>
        <w:jc w:val="center"/>
        <w:tblLayout w:type="fixed"/>
        <w:tblCellMar>
          <w:top w:w="0" w:type="dxa"/>
          <w:left w:w="0" w:type="dxa"/>
          <w:bottom w:w="0" w:type="dxa"/>
          <w:right w:w="0" w:type="dxa"/>
        </w:tblCellMar>
      </w:tblPr>
      <w:tblGrid>
        <w:gridCol w:w="439"/>
        <w:gridCol w:w="1121"/>
        <w:gridCol w:w="3591"/>
        <w:gridCol w:w="1325"/>
        <w:gridCol w:w="1150"/>
        <w:gridCol w:w="1865"/>
      </w:tblGrid>
      <w:tr>
        <w:tblPrEx>
          <w:tblCellMar>
            <w:top w:w="0" w:type="dxa"/>
            <w:left w:w="0" w:type="dxa"/>
            <w:bottom w:w="0" w:type="dxa"/>
            <w:right w:w="0" w:type="dxa"/>
          </w:tblCellMar>
        </w:tblPrEx>
        <w:trPr>
          <w:cantSplit/>
          <w:trHeight w:val="562" w:hRule="atLeast"/>
          <w:tblHeader/>
          <w:jc w:val="center"/>
        </w:trPr>
        <w:tc>
          <w:tcPr>
            <w:tcW w:w="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5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86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318"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10</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9</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已纳入共管</w:t>
            </w:r>
          </w:p>
        </w:tc>
      </w:tr>
      <w:tr>
        <w:tblPrEx>
          <w:tblCellMar>
            <w:top w:w="0" w:type="dxa"/>
            <w:left w:w="0" w:type="dxa"/>
            <w:bottom w:w="0" w:type="dxa"/>
            <w:right w:w="0" w:type="dxa"/>
          </w:tblCellMar>
        </w:tblPrEx>
        <w:trPr>
          <w:cantSplit/>
          <w:trHeight w:val="480"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30</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853"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1"/>
              </w:numPr>
              <w:jc w:val="center"/>
              <w:textAlignment w:val="center"/>
              <w:rPr>
                <w:rFonts w:ascii="Arial" w:hAnsi="Arial" w:cs="Arial"/>
                <w:sz w:val="18"/>
                <w:szCs w:val="18"/>
              </w:rPr>
            </w:pPr>
            <w:r>
              <w:rPr>
                <w:rFonts w:ascii="Arial" w:hAnsi="Arial" w:cs="Arial"/>
                <w:sz w:val="18"/>
                <w:szCs w:val="18"/>
              </w:rPr>
              <w:t>已经立项、有批准、核准、备案等文件</w:t>
            </w:r>
          </w:p>
          <w:p>
            <w:pPr>
              <w:widowControl/>
              <w:numPr>
                <w:ilvl w:val="0"/>
                <w:numId w:val="1"/>
              </w:numPr>
              <w:jc w:val="center"/>
              <w:textAlignment w:val="center"/>
              <w:rPr>
                <w:rFonts w:ascii="Arial" w:hAnsi="Arial" w:cs="Arial"/>
                <w:sz w:val="18"/>
                <w:szCs w:val="18"/>
              </w:rPr>
            </w:pPr>
            <w:r>
              <w:rPr>
                <w:rFonts w:ascii="Arial" w:hAnsi="Arial" w:cs="Arial"/>
                <w:sz w:val="18"/>
                <w:szCs w:val="18"/>
              </w:rPr>
              <w:t>取得土地证</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kern w:val="0"/>
                <w:sz w:val="18"/>
                <w:szCs w:val="18"/>
                <w:lang w:val="en-US" w:eastAsia="zh-CN" w:bidi="ar"/>
              </w:rPr>
              <w:t>2020/12/11</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638"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 xml:space="preserve">1、已经办理该建筑工程用地批准手续。 </w:t>
            </w:r>
          </w:p>
          <w:p>
            <w:pPr>
              <w:widowControl/>
              <w:jc w:val="center"/>
              <w:textAlignment w:val="center"/>
              <w:rPr>
                <w:rFonts w:ascii="Arial" w:hAnsi="Arial" w:cs="Arial"/>
                <w:sz w:val="18"/>
                <w:szCs w:val="18"/>
              </w:rPr>
            </w:pPr>
            <w:r>
              <w:rPr>
                <w:rFonts w:ascii="Arial" w:hAnsi="Arial" w:cs="Arial"/>
                <w:sz w:val="18"/>
                <w:szCs w:val="18"/>
              </w:rPr>
              <w:t>2、已经取得建设工程规划许可证。</w:t>
            </w:r>
          </w:p>
          <w:p>
            <w:pPr>
              <w:widowControl/>
              <w:jc w:val="center"/>
              <w:textAlignment w:val="center"/>
              <w:rPr>
                <w:rFonts w:ascii="Arial" w:hAnsi="Arial" w:cs="Arial"/>
                <w:sz w:val="18"/>
                <w:szCs w:val="18"/>
              </w:rPr>
            </w:pPr>
            <w:r>
              <w:rPr>
                <w:rFonts w:ascii="Arial" w:hAnsi="Arial" w:cs="Arial"/>
                <w:sz w:val="18"/>
                <w:szCs w:val="18"/>
              </w:rPr>
              <w:t>3、施工场地已经基本具备施工条件，需要拆迁的，其拆迁进度符合施工要求。</w:t>
            </w:r>
          </w:p>
          <w:p>
            <w:pPr>
              <w:widowControl/>
              <w:jc w:val="center"/>
              <w:textAlignment w:val="center"/>
              <w:rPr>
                <w:rFonts w:ascii="Arial" w:hAnsi="Arial" w:cs="Arial"/>
                <w:sz w:val="18"/>
                <w:szCs w:val="18"/>
              </w:rPr>
            </w:pPr>
            <w:r>
              <w:rPr>
                <w:rFonts w:ascii="Arial" w:hAnsi="Arial" w:cs="Arial"/>
                <w:sz w:val="18"/>
                <w:szCs w:val="18"/>
              </w:rPr>
              <w:t>4、已经确定施工企业。</w:t>
            </w:r>
          </w:p>
          <w:p>
            <w:pPr>
              <w:widowControl/>
              <w:jc w:val="center"/>
              <w:textAlignment w:val="center"/>
              <w:rPr>
                <w:rFonts w:ascii="Arial" w:hAnsi="Arial" w:cs="Arial"/>
                <w:sz w:val="18"/>
                <w:szCs w:val="18"/>
              </w:rPr>
            </w:pPr>
            <w:r>
              <w:rPr>
                <w:rFonts w:ascii="Arial" w:hAnsi="Arial" w:cs="Arial"/>
                <w:sz w:val="18"/>
                <w:szCs w:val="18"/>
              </w:rPr>
              <w:t xml:space="preserve">5、已满足施工需要的施工图纸及技术资料，施工图设计文件已按规定进行了审查。 </w:t>
            </w:r>
          </w:p>
          <w:p>
            <w:pPr>
              <w:widowControl/>
              <w:jc w:val="center"/>
              <w:textAlignment w:val="center"/>
              <w:rPr>
                <w:rFonts w:ascii="Arial" w:hAnsi="Arial" w:cs="Arial"/>
                <w:sz w:val="18"/>
                <w:szCs w:val="18"/>
              </w:rPr>
            </w:pPr>
            <w:r>
              <w:rPr>
                <w:rFonts w:ascii="Arial" w:hAnsi="Arial" w:cs="Arial"/>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sz w:val="18"/>
                <w:szCs w:val="18"/>
              </w:rPr>
            </w:pPr>
            <w:r>
              <w:rPr>
                <w:rFonts w:ascii="Arial" w:hAnsi="Arial" w:cs="Arial"/>
                <w:sz w:val="18"/>
                <w:szCs w:val="18"/>
              </w:rPr>
              <w:t>7、按照规定应该委托监理的工程已委托监理。</w:t>
            </w:r>
          </w:p>
          <w:p>
            <w:pPr>
              <w:widowControl/>
              <w:jc w:val="center"/>
              <w:textAlignment w:val="center"/>
              <w:rPr>
                <w:rFonts w:ascii="Arial" w:hAnsi="Arial" w:cs="Arial"/>
                <w:sz w:val="18"/>
                <w:szCs w:val="18"/>
              </w:rPr>
            </w:pPr>
            <w:r>
              <w:rPr>
                <w:rFonts w:ascii="Arial" w:hAnsi="Arial" w:cs="Arial"/>
                <w:sz w:val="18"/>
                <w:szCs w:val="18"/>
              </w:rPr>
              <w:t>8、建设资金已经落实。</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val="en-US" w:eastAsia="zh-CN" w:bidi="ar"/>
              </w:rPr>
              <w:t>2020/12/11</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1758"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59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办理商品房预售许可证时，无需解除在先的土地抵押与在建工程抵押，但需要抵押权人出具同意预售的函;2、预售证可分批次办理，预售面积不得小于2万m²，单个预售证办理开发建设的资金占工程建设总投资的25%以上且已出正负零;3、办理预售证需要现场查勘。</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sz w:val="18"/>
                <w:szCs w:val="18"/>
                <w:lang w:val="en-US"/>
              </w:rPr>
            </w:pPr>
            <w:r>
              <w:rPr>
                <w:rFonts w:hint="eastAsia" w:ascii="Arial" w:hAnsi="Arial" w:cs="Arial"/>
                <w:color w:val="000000"/>
                <w:kern w:val="0"/>
                <w:sz w:val="18"/>
                <w:szCs w:val="18"/>
                <w:lang w:val="en-US" w:eastAsia="zh-CN" w:bidi="ar"/>
              </w:rPr>
              <w:t>2020/12/22</w:t>
            </w:r>
          </w:p>
        </w:tc>
        <w:tc>
          <w:tcPr>
            <w:tcW w:w="18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已纳入共管</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注：以上表格中的五证计划取得时间数据依据信托尽调报告所填列，实际取得时间以实际情况为准。</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179" w:name="_Toc29257"/>
      <w:bookmarkStart w:id="180" w:name="_Toc16295"/>
      <w:bookmarkStart w:id="181" w:name="_Toc19540"/>
      <w:bookmarkStart w:id="182" w:name="_Toc9840"/>
      <w:bookmarkStart w:id="183" w:name="_Toc32420"/>
      <w:bookmarkStart w:id="184" w:name="_Toc11581"/>
      <w:bookmarkStart w:id="185" w:name="_Toc17868"/>
      <w:bookmarkStart w:id="186" w:name="_Toc5692"/>
      <w:bookmarkStart w:id="187" w:name="_Toc31278"/>
      <w:bookmarkStart w:id="188" w:name="_Toc22979"/>
      <w:bookmarkStart w:id="189" w:name="_Toc11834"/>
      <w:bookmarkStart w:id="190" w:name="_Toc7898"/>
      <w:bookmarkStart w:id="191" w:name="_Toc24063"/>
      <w:bookmarkStart w:id="192" w:name="_Toc8552"/>
      <w:bookmarkStart w:id="193" w:name="_Toc5783"/>
      <w:bookmarkStart w:id="194" w:name="_Toc7111"/>
      <w:bookmarkStart w:id="195" w:name="_Toc21296"/>
      <w:bookmarkStart w:id="196" w:name="_Toc13206"/>
      <w:bookmarkStart w:id="197" w:name="_Toc18163"/>
      <w:bookmarkStart w:id="198" w:name="_Toc32321"/>
      <w:bookmarkStart w:id="199" w:name="_Toc45217877"/>
      <w:bookmarkStart w:id="200" w:name="_Toc20083"/>
      <w:bookmarkStart w:id="201" w:name="_Toc532281658"/>
      <w:bookmarkStart w:id="202" w:name="_Toc26908"/>
      <w:bookmarkStart w:id="203" w:name="_Toc3081"/>
      <w:bookmarkStart w:id="204" w:name="_Toc8131"/>
      <w:bookmarkStart w:id="205" w:name="_Toc535570751"/>
      <w:bookmarkStart w:id="206" w:name="_Toc14867"/>
      <w:bookmarkStart w:id="207" w:name="_Toc1778"/>
      <w:bookmarkStart w:id="208" w:name="_Toc25561"/>
      <w:bookmarkStart w:id="209" w:name="_Toc535580024"/>
      <w:bookmarkStart w:id="210" w:name="_Toc535508637"/>
      <w:bookmarkStart w:id="211" w:name="_Toc535580092"/>
      <w:bookmarkStart w:id="212" w:name="_Toc10110"/>
      <w:r>
        <w:rPr>
          <w:rFonts w:eastAsia="宋体" w:cs="Arial"/>
          <w:color w:val="000000"/>
          <w:sz w:val="24"/>
          <w:szCs w:val="24"/>
        </w:rPr>
        <w:t>3.2项目施工情况</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b/>
          <w:sz w:val="24"/>
        </w:rPr>
      </w:pPr>
      <w:bookmarkStart w:id="213" w:name="_Toc30283"/>
      <w:bookmarkStart w:id="214" w:name="_Toc31522"/>
      <w:bookmarkStart w:id="215" w:name="_Toc15612"/>
      <w:bookmarkStart w:id="216" w:name="_Toc2250"/>
      <w:bookmarkStart w:id="217" w:name="_Toc11543"/>
      <w:bookmarkStart w:id="218" w:name="_Toc23877"/>
      <w:bookmarkStart w:id="219" w:name="_Toc24708"/>
      <w:bookmarkStart w:id="220" w:name="_Toc1368"/>
      <w:bookmarkStart w:id="221" w:name="_Toc16700"/>
      <w:bookmarkStart w:id="222" w:name="_Toc21734"/>
      <w:bookmarkStart w:id="223" w:name="_Toc15389"/>
      <w:bookmarkStart w:id="224" w:name="_Toc8027"/>
      <w:bookmarkStart w:id="225" w:name="_Toc26729"/>
      <w:bookmarkStart w:id="226" w:name="_Toc17539"/>
      <w:bookmarkStart w:id="227" w:name="_Toc15119"/>
      <w:bookmarkStart w:id="228" w:name="_Toc18918"/>
      <w:bookmarkStart w:id="229" w:name="_Toc8524"/>
      <w:r>
        <w:rPr>
          <w:rFonts w:hint="default" w:ascii="Arial" w:hAnsi="Arial" w:eastAsia="宋体" w:cs="Arial"/>
          <w:b/>
          <w:sz w:val="24"/>
        </w:rPr>
        <w:t>3.2.1项目202</w:t>
      </w:r>
      <w:r>
        <w:rPr>
          <w:rFonts w:hint="default" w:ascii="Arial" w:hAnsi="Arial" w:eastAsia="宋体" w:cs="Arial"/>
          <w:b/>
          <w:sz w:val="24"/>
          <w:lang w:val="en-US" w:eastAsia="zh-CN"/>
        </w:rPr>
        <w:t>1</w:t>
      </w:r>
      <w:r>
        <w:rPr>
          <w:rFonts w:hint="default" w:ascii="Arial" w:hAnsi="Arial" w:eastAsia="宋体" w:cs="Arial"/>
          <w:b/>
          <w:sz w:val="24"/>
        </w:rPr>
        <w:t>年</w:t>
      </w:r>
      <w:r>
        <w:rPr>
          <w:rFonts w:hint="eastAsia" w:ascii="Arial" w:hAnsi="Arial" w:cs="Arial"/>
          <w:b/>
          <w:sz w:val="24"/>
          <w:lang w:val="en-US" w:eastAsia="zh-CN"/>
        </w:rPr>
        <w:t>2</w:t>
      </w:r>
      <w:r>
        <w:rPr>
          <w:rFonts w:hint="default" w:ascii="Arial" w:hAnsi="Arial" w:eastAsia="宋体" w:cs="Arial"/>
          <w:b/>
          <w:sz w:val="24"/>
        </w:rPr>
        <w:t>月施工进度情况</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hint="default" w:ascii="Arial" w:hAnsi="Arial" w:eastAsia="宋体" w:cs="Arial"/>
          <w:b/>
          <w:sz w:val="24"/>
        </w:rPr>
        <w:t>及</w:t>
      </w:r>
      <w:r>
        <w:rPr>
          <w:rFonts w:hint="default" w:ascii="Arial" w:hAnsi="Arial" w:eastAsia="宋体" w:cs="Arial"/>
          <w:b/>
          <w:sz w:val="24"/>
          <w:lang w:val="en-US" w:eastAsia="zh-CN"/>
        </w:rPr>
        <w:t>2021年</w:t>
      </w:r>
      <w:r>
        <w:rPr>
          <w:rFonts w:hint="eastAsia" w:ascii="Arial" w:hAnsi="Arial" w:cs="Arial"/>
          <w:b/>
          <w:sz w:val="24"/>
          <w:lang w:val="en-US" w:eastAsia="zh-CN"/>
        </w:rPr>
        <w:t>3</w:t>
      </w:r>
      <w:r>
        <w:rPr>
          <w:rFonts w:hint="default" w:ascii="Arial" w:hAnsi="Arial" w:eastAsia="宋体" w:cs="Arial"/>
          <w:b/>
          <w:sz w:val="24"/>
        </w:rPr>
        <w:t>月施工计划</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spacing w:line="480" w:lineRule="auto"/>
        <w:ind w:firstLine="420" w:firstLineChars="200"/>
        <w:rPr>
          <w:rFonts w:ascii="Arial" w:hAnsi="Arial" w:cs="Arial"/>
          <w:szCs w:val="21"/>
        </w:rPr>
      </w:pP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 xml:space="preserve">日，项目现场施工情况如下： </w:t>
      </w:r>
    </w:p>
    <w:p>
      <w:pPr>
        <w:numPr>
          <w:ilvl w:val="0"/>
          <w:numId w:val="0"/>
        </w:numPr>
        <w:spacing w:line="480" w:lineRule="auto"/>
        <w:ind w:firstLine="420" w:firstLineChars="200"/>
        <w:rPr>
          <w:rFonts w:hint="eastAsia" w:ascii="Arial" w:hAnsi="Arial" w:cs="Arial"/>
          <w:bCs/>
          <w:kern w:val="44"/>
          <w:szCs w:val="21"/>
          <w:lang w:eastAsia="zh-CN"/>
        </w:rPr>
      </w:pPr>
      <w:r>
        <w:rPr>
          <w:rFonts w:hint="eastAsia" w:ascii="Arial" w:hAnsi="Arial" w:eastAsia="宋体" w:cs="Arial"/>
          <w:bCs/>
          <w:kern w:val="44"/>
          <w:szCs w:val="21"/>
        </w:rPr>
        <w:t>展示区：开放展示中</w:t>
      </w:r>
      <w:r>
        <w:rPr>
          <w:rFonts w:hint="eastAsia" w:ascii="Arial" w:hAnsi="Arial" w:cs="Arial"/>
          <w:bCs/>
          <w:kern w:val="44"/>
          <w:szCs w:val="21"/>
          <w:lang w:eastAsia="zh-CN"/>
        </w:rPr>
        <w:t>；</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1、1#楼一层结构完成；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2、2#楼负一层顶板混凝土完成；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3、3#楼一层结构完成；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4、4#楼筏板完成；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5、5#楼2层结构完成；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6、6#楼3层结构完成；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7、7#楼1单元墙柱钢筋绑扎，2单元垫层完成；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8、8#楼负一层顶板混凝土完成；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9、9#楼7层结构完成；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10、10#楼11层结构完成；</w:t>
      </w:r>
    </w:p>
    <w:p>
      <w:pPr>
        <w:spacing w:line="480" w:lineRule="auto"/>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lang w:val="en-US" w:eastAsia="zh-CN"/>
        </w:rPr>
        <w:t>3</w:t>
      </w:r>
      <w:r>
        <w:rPr>
          <w:rFonts w:ascii="Arial" w:hAnsi="Arial" w:cs="Arial"/>
          <w:szCs w:val="21"/>
        </w:rPr>
        <w:t>月施工计划如下：</w:t>
      </w:r>
    </w:p>
    <w:p>
      <w:pPr>
        <w:spacing w:line="480" w:lineRule="auto"/>
        <w:ind w:firstLine="420" w:firstLineChars="200"/>
        <w:rPr>
          <w:rFonts w:hint="default" w:ascii="Arial" w:hAnsi="Arial" w:cs="Arial"/>
          <w:color w:val="auto"/>
          <w:lang w:val="en-US"/>
        </w:rPr>
      </w:pPr>
      <w:r>
        <w:rPr>
          <w:rFonts w:hint="eastAsia" w:ascii="Arial" w:hAnsi="Arial" w:cs="Arial"/>
          <w:color w:val="auto"/>
          <w:szCs w:val="21"/>
          <w:lang w:val="en-US" w:eastAsia="zh-CN"/>
        </w:rPr>
        <w:t>2#楼、4#楼、7#楼、8#楼达正负零，1#楼、3#楼、5#楼、6#楼、9#楼、10#楼正负零达售。</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b/>
          <w:sz w:val="24"/>
        </w:rPr>
      </w:pPr>
      <w:bookmarkStart w:id="230" w:name="_Toc30796"/>
      <w:bookmarkStart w:id="231" w:name="_Toc29810"/>
      <w:bookmarkStart w:id="232" w:name="_Toc971"/>
      <w:bookmarkStart w:id="233" w:name="_Toc26131"/>
      <w:bookmarkStart w:id="234" w:name="_Toc32281"/>
      <w:bookmarkStart w:id="235" w:name="_Toc15192"/>
      <w:bookmarkStart w:id="236" w:name="_Toc4098"/>
      <w:bookmarkStart w:id="237" w:name="_Toc22717"/>
      <w:bookmarkStart w:id="238" w:name="_Toc17122"/>
      <w:bookmarkStart w:id="239" w:name="_Toc9226"/>
      <w:bookmarkStart w:id="240" w:name="_Toc13880"/>
      <w:bookmarkStart w:id="241" w:name="_Toc24281"/>
      <w:bookmarkStart w:id="242" w:name="_Toc9097"/>
      <w:bookmarkStart w:id="243" w:name="_Toc13096"/>
      <w:bookmarkStart w:id="244" w:name="_Toc21318"/>
      <w:bookmarkStart w:id="245" w:name="_Toc16642"/>
      <w:bookmarkStart w:id="246" w:name="_Toc26538"/>
      <w:r>
        <w:rPr>
          <w:rFonts w:hint="default" w:ascii="Arial" w:hAnsi="Arial" w:eastAsia="宋体" w:cs="Arial"/>
          <w:b/>
          <w:sz w:val="24"/>
        </w:rPr>
        <w:t>3.2.2项目施工进度分析</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90"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展示区</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售楼部</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ind w:firstLine="720" w:firstLineChars="400"/>
              <w:textAlignment w:val="top"/>
              <w:rPr>
                <w:rFonts w:ascii="Arial" w:hAnsi="Arial" w:cs="Arial"/>
                <w:color w:val="000000"/>
                <w:sz w:val="18"/>
                <w:szCs w:val="18"/>
              </w:rPr>
            </w:pPr>
            <w:r>
              <w:rPr>
                <w:rFonts w:ascii="Arial" w:hAnsi="Arial" w:cs="Arial"/>
                <w:color w:val="000000"/>
                <w:kern w:val="0"/>
                <w:sz w:val="18"/>
                <w:szCs w:val="18"/>
                <w:lang w:bidi="ar"/>
              </w:rPr>
              <w:t>2020年11月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3#楼、5#楼、6#楼、9#楼、10#楼、11#楼达到预售条件，取得预售证</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2023年6月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注：以上表格中的工程进度计划完成时间数据依据项目公司提供数据填列，实际形象进度以工程现场为准。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根据康信资管驻场人员对现场的勘查，工地现场形象进度与项目公司提交施工进度一致。工地现场情况详见现场照片。</w:t>
      </w:r>
    </w:p>
    <w:p>
      <w:pPr>
        <w:ind w:right="-506" w:rightChars="-241" w:firstLine="420" w:firstLineChars="200"/>
        <w:rPr>
          <w:rFonts w:ascii="Arial" w:hAnsi="Arial" w:cs="Arial"/>
          <w:color w:val="000000"/>
          <w:szCs w:val="21"/>
        </w:rPr>
      </w:pPr>
    </w:p>
    <w:p>
      <w:pPr>
        <w:spacing w:line="480" w:lineRule="auto"/>
        <w:jc w:val="left"/>
        <w:rPr>
          <w:rFonts w:ascii="Arial" w:hAnsi="Arial" w:cs="Arial"/>
          <w:b w:val="0"/>
          <w:bCs w:val="0"/>
          <w:kern w:val="44"/>
          <w:szCs w:val="21"/>
        </w:rPr>
      </w:pPr>
    </w:p>
    <w:p>
      <w:pPr>
        <w:spacing w:line="480" w:lineRule="auto"/>
        <w:jc w:val="left"/>
        <w:rPr>
          <w:rFonts w:ascii="Arial" w:hAnsi="Arial" w:cs="Arial"/>
          <w:b/>
          <w:bCs/>
          <w:kern w:val="44"/>
          <w:szCs w:val="21"/>
        </w:rPr>
      </w:pPr>
      <w:r>
        <w:rPr>
          <w:rFonts w:hint="eastAsia" w:ascii="Arial" w:hAnsi="Arial" w:cs="Arial"/>
          <w:b w:val="0"/>
          <w:bCs w:val="0"/>
          <w:kern w:val="44"/>
          <w:szCs w:val="21"/>
          <w:lang w:val="en-US" w:eastAsia="zh-CN"/>
        </w:rPr>
        <w:t>（转下页）</w:t>
      </w:r>
    </w:p>
    <w:p>
      <w:pPr>
        <w:spacing w:line="480" w:lineRule="auto"/>
        <w:jc w:val="left"/>
        <w:rPr>
          <w:rFonts w:hint="default" w:ascii="Arial" w:hAnsi="Arial" w:eastAsia="宋体" w:cs="Arial"/>
          <w:b/>
          <w:bCs/>
          <w:kern w:val="44"/>
          <w:szCs w:val="21"/>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hint="eastAsia" w:ascii="Arial" w:hAnsi="Arial" w:eastAsia="宋体" w:cs="Arial"/>
          <w:b/>
          <w:bCs/>
          <w:kern w:val="44"/>
          <w:szCs w:val="21"/>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outlineLvl w:val="9"/>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469" w:beforeLines="150" w:line="480" w:lineRule="auto"/>
        <w:jc w:val="left"/>
        <w:textAlignment w:val="auto"/>
        <w:outlineLvl w:val="9"/>
        <w:rPr>
          <w:rFonts w:ascii="Arial" w:hAnsi="Arial" w:cs="Arial"/>
          <w:color w:val="000000"/>
          <w:szCs w:val="21"/>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2</w:t>
      </w:r>
      <w:r>
        <w:rPr>
          <w:rFonts w:ascii="Arial" w:hAnsi="Arial" w:cs="Arial"/>
          <w:b/>
          <w:bCs/>
          <w:kern w:val="44"/>
          <w:szCs w:val="21"/>
        </w:rPr>
        <w:t>月）</w:t>
      </w:r>
    </w:p>
    <w:p>
      <w:pPr>
        <w:ind w:right="-506" w:rightChars="-241" w:firstLine="420" w:firstLineChars="200"/>
        <w:rPr>
          <w:rFonts w:ascii="Arial" w:hAnsi="Arial" w:cs="Arial"/>
          <w:color w:val="000000"/>
          <w:szCs w:val="21"/>
        </w:rPr>
      </w:pPr>
    </w:p>
    <w:p>
      <w:pPr>
        <w:ind w:right="-506" w:rightChars="-241" w:firstLine="480" w:firstLineChars="200"/>
        <w:rPr>
          <w:rFonts w:ascii="Arial" w:hAnsi="Arial" w:cs="Arial"/>
          <w:color w:val="000000"/>
          <w:szCs w:val="21"/>
        </w:rPr>
      </w:pPr>
      <w:r>
        <w:rPr>
          <w:rFonts w:hint="eastAsia" w:ascii="Arial" w:hAnsi="Arial" w:eastAsia="宋体"/>
          <w:color w:val="000000"/>
          <w:sz w:val="24"/>
          <w:szCs w:val="24"/>
          <w:lang w:val="en-US" w:eastAsia="zh-CN"/>
        </w:rPr>
        <w:drawing>
          <wp:anchor distT="0" distB="0" distL="114300" distR="114300" simplePos="0" relativeHeight="252864512" behindDoc="0" locked="0" layoutInCell="1" allowOverlap="1">
            <wp:simplePos x="0" y="0"/>
            <wp:positionH relativeFrom="column">
              <wp:posOffset>3115945</wp:posOffset>
            </wp:positionH>
            <wp:positionV relativeFrom="paragraph">
              <wp:posOffset>113665</wp:posOffset>
            </wp:positionV>
            <wp:extent cx="2543175" cy="1715135"/>
            <wp:effectExtent l="0" t="0" r="1905" b="6985"/>
            <wp:wrapNone/>
            <wp:docPr id="12" name="图片 12" descr="44ed3e2b3fb6ddd19be6f4ab5561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ed3e2b3fb6ddd19be6f4ab55618c2"/>
                    <pic:cNvPicPr>
                      <a:picLocks noChangeAspect="1"/>
                    </pic:cNvPicPr>
                  </pic:nvPicPr>
                  <pic:blipFill>
                    <a:blip r:embed="rId10"/>
                    <a:stretch>
                      <a:fillRect/>
                    </a:stretch>
                  </pic:blipFill>
                  <pic:spPr>
                    <a:xfrm>
                      <a:off x="0" y="0"/>
                      <a:ext cx="2543175" cy="1715135"/>
                    </a:xfrm>
                    <a:prstGeom prst="rect">
                      <a:avLst/>
                    </a:prstGeom>
                  </pic:spPr>
                </pic:pic>
              </a:graphicData>
            </a:graphic>
          </wp:anchor>
        </w:drawing>
      </w:r>
      <w:r>
        <w:rPr>
          <w:rFonts w:hint="eastAsia" w:ascii="Arial" w:hAnsi="Arial" w:eastAsia="宋体"/>
          <w:color w:val="000000"/>
          <w:sz w:val="24"/>
          <w:szCs w:val="24"/>
          <w:lang w:val="en-US" w:eastAsia="zh-CN"/>
        </w:rPr>
        <w:drawing>
          <wp:anchor distT="0" distB="0" distL="114300" distR="114300" simplePos="0" relativeHeight="252862464" behindDoc="0" locked="0" layoutInCell="1" allowOverlap="1">
            <wp:simplePos x="0" y="0"/>
            <wp:positionH relativeFrom="column">
              <wp:posOffset>6985</wp:posOffset>
            </wp:positionH>
            <wp:positionV relativeFrom="paragraph">
              <wp:posOffset>113030</wp:posOffset>
            </wp:positionV>
            <wp:extent cx="2491105" cy="1699895"/>
            <wp:effectExtent l="0" t="0" r="8255" b="6985"/>
            <wp:wrapNone/>
            <wp:docPr id="7" name="图片 7" descr="54f5cafa116a7fc7f851aba73540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f5cafa116a7fc7f851aba735407b5"/>
                    <pic:cNvPicPr>
                      <a:picLocks noChangeAspect="1"/>
                    </pic:cNvPicPr>
                  </pic:nvPicPr>
                  <pic:blipFill>
                    <a:blip r:embed="rId11"/>
                    <a:stretch>
                      <a:fillRect/>
                    </a:stretch>
                  </pic:blipFill>
                  <pic:spPr>
                    <a:xfrm>
                      <a:off x="0" y="0"/>
                      <a:ext cx="2491105" cy="1699895"/>
                    </a:xfrm>
                    <a:prstGeom prst="rect">
                      <a:avLst/>
                    </a:prstGeom>
                  </pic:spPr>
                </pic:pic>
              </a:graphicData>
            </a:graphic>
          </wp:anchor>
        </w:drawing>
      </w: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r>
        <w:rPr>
          <w:rFonts w:hint="eastAsia" w:ascii="Arial" w:hAnsi="Arial" w:eastAsia="宋体"/>
          <w:color w:val="000000"/>
          <w:sz w:val="24"/>
          <w:szCs w:val="24"/>
          <w:lang w:val="en-US" w:eastAsia="zh-CN"/>
        </w:rPr>
        <w:drawing>
          <wp:anchor distT="0" distB="0" distL="114300" distR="114300" simplePos="0" relativeHeight="252871680" behindDoc="0" locked="0" layoutInCell="1" allowOverlap="1">
            <wp:simplePos x="0" y="0"/>
            <wp:positionH relativeFrom="column">
              <wp:posOffset>3009900</wp:posOffset>
            </wp:positionH>
            <wp:positionV relativeFrom="paragraph">
              <wp:posOffset>97790</wp:posOffset>
            </wp:positionV>
            <wp:extent cx="2597150" cy="1723390"/>
            <wp:effectExtent l="0" t="0" r="8890" b="13970"/>
            <wp:wrapNone/>
            <wp:docPr id="17" name="图片 17" descr="a746c27817ea131561de523f9a9d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46c27817ea131561de523f9a9d7bc"/>
                    <pic:cNvPicPr>
                      <a:picLocks noChangeAspect="1"/>
                    </pic:cNvPicPr>
                  </pic:nvPicPr>
                  <pic:blipFill>
                    <a:blip r:embed="rId12"/>
                    <a:stretch>
                      <a:fillRect/>
                    </a:stretch>
                  </pic:blipFill>
                  <pic:spPr>
                    <a:xfrm>
                      <a:off x="0" y="0"/>
                      <a:ext cx="2597150" cy="1723390"/>
                    </a:xfrm>
                    <a:prstGeom prst="rect">
                      <a:avLst/>
                    </a:prstGeom>
                  </pic:spPr>
                </pic:pic>
              </a:graphicData>
            </a:graphic>
          </wp:anchor>
        </w:drawing>
      </w:r>
      <w:r>
        <w:rPr>
          <w:rFonts w:hint="eastAsia" w:ascii="Arial" w:hAnsi="Arial" w:eastAsia="宋体"/>
          <w:color w:val="000000"/>
          <w:sz w:val="24"/>
          <w:szCs w:val="24"/>
          <w:lang w:val="en-US" w:eastAsia="zh-CN"/>
        </w:rPr>
        <w:drawing>
          <wp:anchor distT="0" distB="0" distL="114300" distR="114300" simplePos="0" relativeHeight="252867584" behindDoc="0" locked="0" layoutInCell="1" allowOverlap="1">
            <wp:simplePos x="0" y="0"/>
            <wp:positionH relativeFrom="column">
              <wp:posOffset>-60960</wp:posOffset>
            </wp:positionH>
            <wp:positionV relativeFrom="paragraph">
              <wp:posOffset>82550</wp:posOffset>
            </wp:positionV>
            <wp:extent cx="2559050" cy="1691640"/>
            <wp:effectExtent l="0" t="0" r="1270" b="0"/>
            <wp:wrapNone/>
            <wp:docPr id="16" name="图片 16" descr="1ee9a244638500fa3e0a4b86739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ee9a244638500fa3e0a4b867396037"/>
                    <pic:cNvPicPr>
                      <a:picLocks noChangeAspect="1"/>
                    </pic:cNvPicPr>
                  </pic:nvPicPr>
                  <pic:blipFill>
                    <a:blip r:embed="rId13"/>
                    <a:stretch>
                      <a:fillRect/>
                    </a:stretch>
                  </pic:blipFill>
                  <pic:spPr>
                    <a:xfrm>
                      <a:off x="0" y="0"/>
                      <a:ext cx="2559050" cy="1691640"/>
                    </a:xfrm>
                    <a:prstGeom prst="rect">
                      <a:avLst/>
                    </a:prstGeom>
                  </pic:spPr>
                </pic:pic>
              </a:graphicData>
            </a:graphic>
          </wp:anchor>
        </w:drawing>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jc w:val="center"/>
        <w:rPr>
          <w:rFonts w:hint="eastAsia" w:ascii="Arial" w:hAnsi="Arial" w:eastAsia="宋体" w:cs="Arial"/>
          <w:color w:val="000000"/>
          <w:szCs w:val="21"/>
          <w:lang w:val="en-US" w:eastAsia="zh-CN"/>
        </w:rPr>
      </w:pPr>
      <w:r>
        <w:rPr>
          <w:rFonts w:hint="eastAsia" w:ascii="Arial" w:hAnsi="Arial" w:cs="Arial"/>
          <w:color w:val="000000"/>
          <w:szCs w:val="21"/>
          <w:lang w:val="en-US" w:eastAsia="zh-CN"/>
        </w:rPr>
        <w:t xml:space="preserve"> </w:t>
      </w:r>
    </w:p>
    <w:p>
      <w:pPr>
        <w:rPr>
          <w:rFonts w:ascii="Arial" w:hAnsi="Arial" w:cs="Arial"/>
          <w:color w:val="000000"/>
          <w:sz w:val="24"/>
        </w:rPr>
      </w:pPr>
      <w:bookmarkStart w:id="247" w:name="_Toc535508639"/>
      <w:bookmarkStart w:id="248" w:name="_Toc532281660"/>
      <w:bookmarkStart w:id="249" w:name="_Toc535580026"/>
      <w:bookmarkStart w:id="250" w:name="_Toc535580094"/>
      <w:bookmarkStart w:id="251" w:name="_Toc45217878"/>
      <w:bookmarkStart w:id="252" w:name="_Toc535570753"/>
    </w:p>
    <w:p>
      <w:pPr>
        <w:rPr>
          <w:rFonts w:ascii="Arial" w:hAnsi="Arial" w:cs="Arial"/>
          <w:color w:val="000000"/>
          <w:sz w:val="24"/>
        </w:rPr>
      </w:pPr>
    </w:p>
    <w:p>
      <w:pPr>
        <w:rPr>
          <w:rFonts w:ascii="Arial" w:hAnsi="Arial" w:cs="Arial"/>
          <w:color w:val="000000"/>
          <w:sz w:val="24"/>
        </w:rPr>
      </w:pPr>
      <w:r>
        <w:rPr>
          <w:rFonts w:hint="eastAsia" w:ascii="Arial" w:hAnsi="Arial" w:eastAsia="宋体"/>
          <w:color w:val="000000"/>
          <w:sz w:val="24"/>
          <w:szCs w:val="24"/>
          <w:lang w:val="en-US" w:eastAsia="zh-CN"/>
        </w:rPr>
        <w:drawing>
          <wp:anchor distT="0" distB="0" distL="114300" distR="114300" simplePos="0" relativeHeight="252882944" behindDoc="0" locked="0" layoutInCell="1" allowOverlap="1">
            <wp:simplePos x="0" y="0"/>
            <wp:positionH relativeFrom="column">
              <wp:posOffset>3002280</wp:posOffset>
            </wp:positionH>
            <wp:positionV relativeFrom="paragraph">
              <wp:posOffset>95250</wp:posOffset>
            </wp:positionV>
            <wp:extent cx="2574925" cy="1753870"/>
            <wp:effectExtent l="0" t="0" r="635" b="13970"/>
            <wp:wrapNone/>
            <wp:docPr id="6" name="图片 6" descr="4b1db828529a58836bbc7d95dc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1db828529a58836bbc7d95dc93065"/>
                    <pic:cNvPicPr>
                      <a:picLocks noChangeAspect="1"/>
                    </pic:cNvPicPr>
                  </pic:nvPicPr>
                  <pic:blipFill>
                    <a:blip r:embed="rId14"/>
                    <a:stretch>
                      <a:fillRect/>
                    </a:stretch>
                  </pic:blipFill>
                  <pic:spPr>
                    <a:xfrm>
                      <a:off x="0" y="0"/>
                      <a:ext cx="2574925" cy="1753870"/>
                    </a:xfrm>
                    <a:prstGeom prst="rect">
                      <a:avLst/>
                    </a:prstGeom>
                  </pic:spPr>
                </pic:pic>
              </a:graphicData>
            </a:graphic>
          </wp:anchor>
        </w:drawing>
      </w:r>
      <w:r>
        <w:rPr>
          <w:rFonts w:hint="eastAsia" w:ascii="Arial" w:hAnsi="Arial" w:eastAsia="宋体"/>
          <w:color w:val="000000"/>
          <w:sz w:val="24"/>
          <w:szCs w:val="24"/>
          <w:lang w:val="en-US" w:eastAsia="zh-CN"/>
        </w:rPr>
        <w:drawing>
          <wp:anchor distT="0" distB="0" distL="114300" distR="114300" simplePos="0" relativeHeight="252876800" behindDoc="0" locked="0" layoutInCell="1" allowOverlap="1">
            <wp:simplePos x="0" y="0"/>
            <wp:positionH relativeFrom="column">
              <wp:posOffset>-84455</wp:posOffset>
            </wp:positionH>
            <wp:positionV relativeFrom="paragraph">
              <wp:posOffset>95885</wp:posOffset>
            </wp:positionV>
            <wp:extent cx="2597150" cy="1731010"/>
            <wp:effectExtent l="0" t="0" r="8890" b="6350"/>
            <wp:wrapNone/>
            <wp:docPr id="18" name="图片 18" descr="81acfc90ef9c1d66c0e48b9296c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1acfc90ef9c1d66c0e48b9296c1045"/>
                    <pic:cNvPicPr>
                      <a:picLocks noChangeAspect="1"/>
                    </pic:cNvPicPr>
                  </pic:nvPicPr>
                  <pic:blipFill>
                    <a:blip r:embed="rId15"/>
                    <a:stretch>
                      <a:fillRect/>
                    </a:stretch>
                  </pic:blipFill>
                  <pic:spPr>
                    <a:xfrm>
                      <a:off x="0" y="0"/>
                      <a:ext cx="2597150" cy="1731010"/>
                    </a:xfrm>
                    <a:prstGeom prst="rect">
                      <a:avLst/>
                    </a:prstGeom>
                  </pic:spPr>
                </pic:pic>
              </a:graphicData>
            </a:graphic>
          </wp:anchor>
        </w:drawing>
      </w: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Cs w:val="21"/>
        </w:rPr>
      </w:pPr>
    </w:p>
    <w:p>
      <w:pPr>
        <w:rPr>
          <w:rFonts w:ascii="Arial" w:hAnsi="Arial" w:cs="Arial"/>
          <w:color w:val="000000"/>
          <w:szCs w:val="21"/>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ascii="Arial" w:hAnsi="Arial" w:cs="Arial"/>
          <w:color w:val="000000"/>
          <w:sz w:val="24"/>
          <w:szCs w:val="24"/>
        </w:rPr>
      </w:pPr>
      <w:bookmarkStart w:id="253" w:name="_Toc21728"/>
      <w:bookmarkStart w:id="254" w:name="_Toc3178"/>
      <w:bookmarkStart w:id="255" w:name="_Toc4252"/>
      <w:bookmarkStart w:id="256" w:name="_Toc29074"/>
      <w:bookmarkStart w:id="257" w:name="_Toc14941"/>
      <w:bookmarkStart w:id="258" w:name="_Toc31324"/>
      <w:bookmarkStart w:id="259" w:name="_Toc10003"/>
      <w:bookmarkStart w:id="260" w:name="_Toc29435"/>
      <w:bookmarkStart w:id="261" w:name="_Toc24581"/>
      <w:bookmarkStart w:id="262" w:name="_Toc19814"/>
      <w:bookmarkStart w:id="263" w:name="_Toc12319"/>
      <w:bookmarkStart w:id="264" w:name="_Toc28272"/>
      <w:bookmarkStart w:id="265" w:name="_Toc506"/>
      <w:bookmarkStart w:id="266" w:name="_Toc14446"/>
      <w:bookmarkStart w:id="267" w:name="_Toc10395"/>
      <w:bookmarkStart w:id="268" w:name="_Toc22998"/>
      <w:bookmarkStart w:id="269" w:name="_Toc25625"/>
      <w:bookmarkStart w:id="270" w:name="_Toc2209"/>
      <w:bookmarkStart w:id="271" w:name="_Toc21756"/>
      <w:bookmarkStart w:id="272" w:name="_Toc3744"/>
      <w:bookmarkStart w:id="273" w:name="_Toc570"/>
      <w:bookmarkStart w:id="274" w:name="_Toc10183"/>
    </w:p>
    <w:p>
      <w:pPr>
        <w:rPr>
          <w:rFonts w:ascii="Arial" w:hAnsi="Arial" w:cs="Arial"/>
          <w:color w:val="000000"/>
          <w:sz w:val="24"/>
          <w:szCs w:val="24"/>
        </w:rPr>
      </w:pPr>
    </w:p>
    <w:p>
      <w:pPr>
        <w:pStyle w:val="2"/>
        <w:keepNext/>
        <w:keepLines/>
        <w:spacing w:before="300" w:after="300" w:line="360" w:lineRule="exact"/>
        <w:jc w:val="left"/>
        <w:outlineLvl w:val="9"/>
        <w:rPr>
          <w:rFonts w:ascii="Arial" w:hAnsi="Arial" w:cs="Arial"/>
          <w:color w:val="000000"/>
          <w:sz w:val="24"/>
          <w:szCs w:val="24"/>
        </w:rPr>
      </w:pPr>
      <w:bookmarkStart w:id="275" w:name="_Toc31616"/>
      <w:bookmarkStart w:id="276" w:name="_Toc24967"/>
      <w:bookmarkStart w:id="277" w:name="_Toc26716"/>
      <w:bookmarkStart w:id="278" w:name="_Toc24656"/>
      <w:bookmarkStart w:id="279" w:name="_Toc24128"/>
    </w:p>
    <w:p/>
    <w:p>
      <w:pPr>
        <w:pStyle w:val="2"/>
        <w:keepNext/>
        <w:keepLines/>
        <w:spacing w:before="300" w:after="300" w:line="360" w:lineRule="exact"/>
        <w:jc w:val="left"/>
        <w:outlineLvl w:val="9"/>
        <w:rPr>
          <w:rFonts w:ascii="Arial" w:hAnsi="Arial" w:cs="Arial"/>
          <w:bCs/>
          <w:kern w:val="44"/>
          <w:szCs w:val="21"/>
        </w:rPr>
      </w:pPr>
      <w:r>
        <w:rPr>
          <w:rFonts w:ascii="Arial" w:hAnsi="Arial" w:cs="Arial"/>
          <w:color w:val="000000"/>
          <w:sz w:val="24"/>
          <w:szCs w:val="24"/>
        </w:rPr>
        <w:t>4印鉴使用情况</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海盐丰涛置业有限公司共管的印鉴为：公章、法定代表人人名章、合同专用章、财务专用章、发票专用章、法人章，经办人章。对于印章的使用，项目公司人员按照中航信托的要求，履行印章使用流程，康信资管监管人员了解用印事由，通过微信书面和发送邮件的方式向中航信托领导提交用印申请，待中航信托领导批复后方给予盖章。项目公司印鉴使用情况详见下表：</w:t>
      </w:r>
    </w:p>
    <w:tbl>
      <w:tblPr>
        <w:tblStyle w:val="18"/>
        <w:tblW w:w="9529" w:type="dxa"/>
        <w:jc w:val="center"/>
        <w:tblLayout w:type="fixed"/>
        <w:tblCellMar>
          <w:top w:w="15" w:type="dxa"/>
          <w:left w:w="15" w:type="dxa"/>
          <w:bottom w:w="15" w:type="dxa"/>
          <w:right w:w="15" w:type="dxa"/>
        </w:tblCellMar>
      </w:tblPr>
      <w:tblGrid>
        <w:gridCol w:w="1979"/>
        <w:gridCol w:w="887"/>
        <w:gridCol w:w="1500"/>
        <w:gridCol w:w="1480"/>
        <w:gridCol w:w="1570"/>
        <w:gridCol w:w="1338"/>
        <w:gridCol w:w="775"/>
      </w:tblGrid>
      <w:tr>
        <w:tblPrEx>
          <w:tblCellMar>
            <w:top w:w="15" w:type="dxa"/>
            <w:left w:w="15" w:type="dxa"/>
            <w:bottom w:w="15" w:type="dxa"/>
            <w:right w:w="15" w:type="dxa"/>
          </w:tblCellMar>
        </w:tblPrEx>
        <w:trPr>
          <w:trHeight w:val="53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法人人名章（份）</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财务专用章（份）</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合同专用章（份）</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发票专用章（份）</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海盐丰涛置业有限公司</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17</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p>
        </w:tc>
        <w:tc>
          <w:tcPr>
            <w:tcW w:w="15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28</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p>
        </w:tc>
        <w:tc>
          <w:tcPr>
            <w:tcW w:w="775"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outlineLvl w:val="9"/>
        <w:rPr>
          <w:rFonts w:ascii="Arial" w:hAnsi="Arial" w:cs="Arial"/>
          <w:b/>
          <w:color w:val="000000"/>
          <w:sz w:val="24"/>
          <w:szCs w:val="28"/>
        </w:rPr>
      </w:pPr>
      <w:bookmarkStart w:id="280" w:name="_Toc13681"/>
    </w:p>
    <w:p>
      <w:pPr>
        <w:spacing w:before="240" w:beforeLines="100"/>
        <w:jc w:val="center"/>
        <w:outlineLvl w:val="9"/>
        <w:rPr>
          <w:rFonts w:ascii="Arial" w:hAnsi="Arial" w:cs="Arial"/>
          <w:b/>
          <w:color w:val="000000"/>
          <w:sz w:val="24"/>
          <w:szCs w:val="28"/>
        </w:rPr>
      </w:pPr>
      <w:r>
        <w:rPr>
          <w:rFonts w:ascii="Arial" w:hAnsi="Arial" w:cs="Arial"/>
          <w:b/>
          <w:color w:val="000000"/>
          <w:sz w:val="24"/>
          <w:szCs w:val="28"/>
        </w:rPr>
        <w:t>项目公司202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月印章使用明细表</w:t>
      </w:r>
      <w:bookmarkEnd w:id="280"/>
    </w:p>
    <w:tbl>
      <w:tblPr>
        <w:tblStyle w:val="18"/>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0"/>
        <w:gridCol w:w="1016"/>
        <w:gridCol w:w="2267"/>
        <w:gridCol w:w="3203"/>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0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1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67"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203"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海盐恒大都汇华庭项目园林综合设计合同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2021/2/4</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公章（6份）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财报用印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6月和12月财务报表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公章（2份）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发票</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房车宝发票、房车宝销售协议复印件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5"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公章、法人章（1份）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责任书</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企业安全生产管理责任书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0"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（《海盐恒大都汇华庭项目土石方工程施工合同》补充协议（1-赶工奖框架协议）及补充协议（2-赶工奖））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1"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（《海盐恒大都汇华庭项目桩基工程施工合同》补充协议（3-赶工奖））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（《海盐恒大都汇华庭项目勘察工程施工合同》补充协议（1-赶工奖框架协议）及补充协议（2-赶工奖））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（海盐恒大都汇华庭项目主体及配套建设工程施工合同补充协议（1-赶工奖框架协议）及补充协议（2-赶工奖））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（《海盐恒大都汇华庭项目展示区售楼处、临时样板房、商业消防工程施工合同》补充协议（1-赶工奖））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7"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2021/2/24</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公章（2份）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确认表</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月度购房信息确认表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5"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2021/2/24</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房车宝营销服务合作协议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王松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2021/2/26</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公章（3份）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协议</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品牌使用及开发管理协议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资金部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应云炜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7"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2021/2/26</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公章（3份）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银行准入</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信息查询授权书、合同协议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bl>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ascii="Arial" w:hAnsi="Arial" w:cs="Arial"/>
          <w:color w:val="000000"/>
          <w:sz w:val="24"/>
          <w:szCs w:val="24"/>
        </w:rPr>
      </w:pPr>
      <w:bookmarkStart w:id="281" w:name="_Toc31469"/>
      <w:bookmarkStart w:id="282" w:name="_Toc11273"/>
      <w:bookmarkStart w:id="283" w:name="_Toc24099"/>
      <w:bookmarkStart w:id="284" w:name="_Toc14939"/>
      <w:bookmarkStart w:id="285" w:name="_Toc18025"/>
      <w:bookmarkStart w:id="286" w:name="_Toc16476"/>
      <w:bookmarkStart w:id="287" w:name="_Toc31393"/>
      <w:bookmarkStart w:id="288" w:name="_Toc4509"/>
      <w:bookmarkStart w:id="289" w:name="_Toc27308"/>
      <w:bookmarkStart w:id="290" w:name="_Toc19745"/>
      <w:bookmarkStart w:id="291" w:name="_Toc21772"/>
      <w:bookmarkStart w:id="292" w:name="_Toc4419"/>
      <w:bookmarkStart w:id="293" w:name="_Toc24908"/>
      <w:bookmarkStart w:id="294" w:name="_Toc27585"/>
      <w:bookmarkStart w:id="295" w:name="_Toc2357"/>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96" w:name="_Toc21164"/>
      <w:bookmarkStart w:id="297" w:name="_Toc12289"/>
      <w:bookmarkStart w:id="298" w:name="_Toc24565"/>
      <w:bookmarkStart w:id="299" w:name="_Toc3236"/>
      <w:bookmarkStart w:id="300" w:name="_Toc28277"/>
      <w:r>
        <w:rPr>
          <w:rFonts w:ascii="Arial" w:hAnsi="Arial" w:cs="Arial"/>
          <w:color w:val="000000"/>
          <w:sz w:val="24"/>
          <w:szCs w:val="24"/>
        </w:rPr>
        <w:t>5合同签订情况</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eastAsia="宋体" w:cs="Arial"/>
          <w:color w:val="000000"/>
          <w:sz w:val="24"/>
          <w:szCs w:val="24"/>
        </w:rPr>
      </w:pPr>
      <w:bookmarkStart w:id="301" w:name="_Toc7987"/>
      <w:bookmarkStart w:id="302" w:name="_Toc8240"/>
      <w:bookmarkStart w:id="303" w:name="_Toc15146"/>
      <w:bookmarkStart w:id="304" w:name="_Toc29466"/>
      <w:bookmarkStart w:id="305" w:name="_Toc18964"/>
      <w:bookmarkStart w:id="306" w:name="_Toc8355"/>
      <w:bookmarkStart w:id="307" w:name="_Toc3075"/>
      <w:bookmarkStart w:id="308" w:name="_Toc27799"/>
      <w:bookmarkStart w:id="309" w:name="_Toc4193"/>
      <w:bookmarkStart w:id="310" w:name="_Toc29354"/>
      <w:bookmarkStart w:id="311" w:name="_Toc30757"/>
      <w:bookmarkStart w:id="312" w:name="_Toc14182"/>
      <w:bookmarkStart w:id="313" w:name="_Toc30558"/>
      <w:bookmarkStart w:id="314" w:name="_Toc3599"/>
      <w:bookmarkStart w:id="315" w:name="_Toc17091"/>
      <w:bookmarkStart w:id="316" w:name="_Toc24352"/>
      <w:bookmarkStart w:id="317" w:name="_Toc14284"/>
      <w:bookmarkStart w:id="318" w:name="_Toc29375"/>
      <w:r>
        <w:rPr>
          <w:rFonts w:hint="default" w:eastAsia="宋体" w:cs="Arial"/>
          <w:color w:val="000000"/>
          <w:sz w:val="24"/>
          <w:szCs w:val="24"/>
        </w:rPr>
        <w:t>5.1新签订合同情况</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spacing w:line="360" w:lineRule="auto"/>
        <w:ind w:firstLine="420" w:firstLineChars="200"/>
        <w:rPr>
          <w:rFonts w:ascii="Arial" w:hAnsi="Arial" w:cs="Arial"/>
        </w:rPr>
      </w:pPr>
      <w:r>
        <w:rPr>
          <w:rFonts w:hint="eastAsia" w:ascii="Arial" w:hAnsi="Arial" w:cs="Arial"/>
          <w:bCs/>
          <w:kern w:val="44"/>
          <w:szCs w:val="21"/>
          <w:lang w:eastAsia="zh-CN"/>
        </w:rPr>
        <w:t>截</w:t>
      </w:r>
      <w:r>
        <w:rPr>
          <w:rFonts w:ascii="Arial" w:hAnsi="Arial" w:cs="Arial"/>
          <w:bCs/>
          <w:kern w:val="44"/>
          <w:szCs w:val="21"/>
        </w:rPr>
        <w:t>至202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w:t>
      </w:r>
      <w:r>
        <w:rPr>
          <w:rFonts w:hint="eastAsia" w:ascii="Arial" w:hAnsi="Arial" w:cs="Arial"/>
          <w:bCs/>
          <w:kern w:val="44"/>
          <w:szCs w:val="21"/>
          <w:lang w:val="en-US" w:eastAsia="zh-CN"/>
        </w:rPr>
        <w:t>28</w:t>
      </w:r>
      <w:r>
        <w:rPr>
          <w:rFonts w:ascii="Arial" w:hAnsi="Arial" w:cs="Arial"/>
          <w:bCs/>
          <w:kern w:val="44"/>
          <w:szCs w:val="21"/>
        </w:rPr>
        <w:t>日，项目公司共计签订合同</w:t>
      </w:r>
      <w:r>
        <w:rPr>
          <w:rFonts w:hint="eastAsia" w:ascii="Arial" w:hAnsi="Arial" w:cs="Arial"/>
          <w:bCs/>
          <w:kern w:val="44"/>
          <w:szCs w:val="21"/>
          <w:lang w:val="en-US" w:eastAsia="zh-CN"/>
        </w:rPr>
        <w:t>96</w:t>
      </w:r>
      <w:r>
        <w:rPr>
          <w:rFonts w:ascii="Arial" w:hAnsi="Arial" w:cs="Arial"/>
          <w:bCs/>
          <w:kern w:val="44"/>
          <w:szCs w:val="21"/>
        </w:rPr>
        <w:t>份，合同总价</w:t>
      </w:r>
      <w:r>
        <w:rPr>
          <w:rFonts w:hint="eastAsia" w:ascii="Arial" w:hAnsi="Arial" w:cs="Arial"/>
          <w:szCs w:val="21"/>
        </w:rPr>
        <w:t>916,167,888.25</w:t>
      </w:r>
      <w:r>
        <w:rPr>
          <w:rFonts w:ascii="Arial" w:hAnsi="Arial" w:cs="Arial"/>
          <w:bCs/>
          <w:kern w:val="44"/>
          <w:szCs w:val="21"/>
        </w:rPr>
        <w:t>元。本月新签订合同</w:t>
      </w:r>
      <w:r>
        <w:rPr>
          <w:rFonts w:hint="eastAsia" w:ascii="Arial" w:hAnsi="Arial" w:cs="Arial"/>
          <w:bCs/>
          <w:kern w:val="44"/>
          <w:szCs w:val="21"/>
          <w:lang w:val="en-US" w:eastAsia="zh-CN"/>
        </w:rPr>
        <w:t>8份，</w:t>
      </w:r>
      <w:r>
        <w:rPr>
          <w:rFonts w:ascii="Arial" w:hAnsi="Arial" w:cs="Arial"/>
          <w:bCs/>
          <w:kern w:val="44"/>
          <w:szCs w:val="21"/>
        </w:rPr>
        <w:t>金额</w:t>
      </w:r>
      <w:r>
        <w:rPr>
          <w:rFonts w:hint="eastAsia" w:ascii="Arial" w:hAnsi="Arial" w:cs="Arial"/>
          <w:bCs/>
          <w:kern w:val="44"/>
          <w:szCs w:val="21"/>
        </w:rPr>
        <w:t>15,797,805.90</w:t>
      </w:r>
      <w:r>
        <w:rPr>
          <w:rFonts w:ascii="Arial" w:hAnsi="Arial" w:cs="Arial"/>
          <w:bCs/>
          <w:kern w:val="44"/>
          <w:szCs w:val="21"/>
        </w:rPr>
        <w:t>元</w:t>
      </w:r>
      <w:r>
        <w:rPr>
          <w:rFonts w:hint="eastAsia" w:ascii="Arial" w:hAnsi="Arial" w:cs="Arial"/>
          <w:bCs/>
          <w:kern w:val="44"/>
          <w:szCs w:val="21"/>
          <w:lang w:eastAsia="zh-CN"/>
        </w:rPr>
        <w:t>。</w:t>
      </w:r>
      <w:r>
        <w:rPr>
          <w:rFonts w:ascii="Arial" w:hAnsi="Arial" w:cs="Arial"/>
          <w:bCs/>
          <w:kern w:val="44"/>
          <w:szCs w:val="21"/>
        </w:rPr>
        <w:t>本月无合同结算</w:t>
      </w:r>
      <w:r>
        <w:rPr>
          <w:rFonts w:ascii="Arial" w:hAnsi="Arial" w:cs="Arial"/>
          <w:szCs w:val="21"/>
        </w:rPr>
        <w:t>，</w:t>
      </w: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月新签订合同情况如下表：</w:t>
      </w:r>
    </w:p>
    <w:p>
      <w:pPr>
        <w:spacing w:before="240" w:beforeLines="100"/>
        <w:jc w:val="center"/>
        <w:rPr>
          <w:rFonts w:ascii="Arial" w:hAnsi="Arial" w:cs="Arial"/>
          <w:b/>
          <w:color w:val="000000"/>
          <w:sz w:val="24"/>
          <w:szCs w:val="28"/>
        </w:rPr>
      </w:pPr>
      <w:r>
        <w:rPr>
          <w:rFonts w:ascii="Arial" w:hAnsi="Arial" w:cs="Arial"/>
          <w:b/>
          <w:color w:val="000000"/>
          <w:sz w:val="24"/>
          <w:szCs w:val="28"/>
        </w:rPr>
        <w:t>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月合同签订情况表</w:t>
      </w:r>
    </w:p>
    <w:tbl>
      <w:tblPr>
        <w:tblStyle w:val="18"/>
        <w:tblW w:w="9737" w:type="dxa"/>
        <w:jc w:val="center"/>
        <w:tblLayout w:type="fixed"/>
        <w:tblCellMar>
          <w:top w:w="0" w:type="dxa"/>
          <w:left w:w="0" w:type="dxa"/>
          <w:bottom w:w="0" w:type="dxa"/>
          <w:right w:w="0" w:type="dxa"/>
        </w:tblCellMar>
      </w:tblPr>
      <w:tblGrid>
        <w:gridCol w:w="524"/>
        <w:gridCol w:w="1308"/>
        <w:gridCol w:w="1668"/>
        <w:gridCol w:w="3531"/>
        <w:gridCol w:w="1442"/>
        <w:gridCol w:w="1264"/>
      </w:tblGrid>
      <w:tr>
        <w:tblPrEx>
          <w:tblCellMar>
            <w:top w:w="0" w:type="dxa"/>
            <w:left w:w="0" w:type="dxa"/>
            <w:bottom w:w="0" w:type="dxa"/>
            <w:right w:w="0" w:type="dxa"/>
          </w:tblCellMar>
        </w:tblPrEx>
        <w:trPr>
          <w:trHeight w:val="401" w:hRule="atLeast"/>
          <w:tblHeader/>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上海联创设计集团股份有限公司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海盐恒大都汇华庭项目园林综合设计合同</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甲方委托乙方海盐恒大都汇华庭项目园林综合设计等相关设计工作</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324,579.95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w:t>
            </w:r>
            <w:r>
              <w:rPr>
                <w:rFonts w:hint="eastAsia" w:ascii="Arial" w:hAnsi="Arial" w:cs="Arial"/>
                <w:b w:val="0"/>
                <w:bCs w:val="0"/>
                <w:i w:val="0"/>
                <w:color w:val="000000"/>
                <w:kern w:val="0"/>
                <w:sz w:val="18"/>
                <w:szCs w:val="18"/>
                <w:u w:val="none"/>
                <w:lang w:val="en-US" w:eastAsia="zh-CN" w:bidi="ar"/>
              </w:rPr>
              <w:t>2</w:t>
            </w:r>
            <w:r>
              <w:rPr>
                <w:rFonts w:hint="eastAsia" w:ascii="Arial" w:hAnsi="Arial" w:eastAsia="宋体" w:cs="Arial"/>
                <w:b w:val="0"/>
                <w:bCs w:val="0"/>
                <w:i w:val="0"/>
                <w:color w:val="000000"/>
                <w:kern w:val="0"/>
                <w:sz w:val="18"/>
                <w:szCs w:val="18"/>
                <w:u w:val="none"/>
                <w:lang w:val="en-US" w:eastAsia="zh-CN" w:bidi="ar"/>
              </w:rPr>
              <w:t>/</w:t>
            </w:r>
            <w:r>
              <w:rPr>
                <w:rFonts w:hint="eastAsia" w:ascii="Arial" w:hAnsi="Arial" w:cs="Arial"/>
                <w:b w:val="0"/>
                <w:bCs w:val="0"/>
                <w:i w:val="0"/>
                <w:color w:val="000000"/>
                <w:kern w:val="0"/>
                <w:sz w:val="18"/>
                <w:szCs w:val="18"/>
                <w:u w:val="none"/>
                <w:lang w:val="en-US" w:eastAsia="zh-CN" w:bidi="ar"/>
              </w:rPr>
              <w:t>2</w:t>
            </w:r>
          </w:p>
        </w:tc>
      </w:tr>
      <w:tr>
        <w:tblPrEx>
          <w:tblCellMar>
            <w:top w:w="0" w:type="dxa"/>
            <w:left w:w="0" w:type="dxa"/>
            <w:bottom w:w="0" w:type="dxa"/>
            <w:right w:w="0" w:type="dxa"/>
          </w:tblCellMar>
        </w:tblPrEx>
        <w:trPr>
          <w:cantSplit/>
          <w:trHeight w:val="978"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浙江尚都建设有限公司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《海盐恒大都汇华庭项目土石方工程施工合同》补充协议（1-赶工奖框架协议）及补充协议（2-赶工奖）</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鉴于乙方承接的《 海盐恒大都汇华庭项目土石方工程》在 2020 年 12 月的施工进度达到甲方设定的目标进度，甲方同意支付乙方赶工奖，具体赶工奖金额为：150</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917.67 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150,917.67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r>
      <w:tr>
        <w:tblPrEx>
          <w:tblCellMar>
            <w:top w:w="0" w:type="dxa"/>
            <w:left w:w="0" w:type="dxa"/>
            <w:bottom w:w="0" w:type="dxa"/>
            <w:right w:w="0" w:type="dxa"/>
          </w:tblCellMar>
        </w:tblPrEx>
        <w:trPr>
          <w:cantSplit/>
          <w:trHeight w:val="762"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江苏骏兴建设工程有限公司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《海盐恒大都汇华庭项目桩基工程施工合同》补充协议（3-赶工奖）</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鉴于乙方承接的《 海盐恒大都汇华庭项目桩基工程》在 </w:t>
            </w:r>
            <w:r>
              <w:rPr>
                <w:rFonts w:hint="default" w:ascii="Arial" w:hAnsi="Arial" w:eastAsia="宋体" w:cs="Arial"/>
                <w:b w:val="0"/>
                <w:bCs w:val="0"/>
                <w:i w:val="0"/>
                <w:color w:val="000000"/>
                <w:kern w:val="0"/>
                <w:sz w:val="18"/>
                <w:szCs w:val="18"/>
                <w:u w:val="none"/>
                <w:lang w:val="en-US" w:eastAsia="zh-CN" w:bidi="ar"/>
              </w:rPr>
              <w:t xml:space="preserve">2020 </w:t>
            </w:r>
            <w:r>
              <w:rPr>
                <w:rFonts w:hint="eastAsia" w:ascii="Arial" w:hAnsi="Arial" w:eastAsia="宋体" w:cs="Arial"/>
                <w:b w:val="0"/>
                <w:bCs w:val="0"/>
                <w:i w:val="0"/>
                <w:color w:val="000000"/>
                <w:kern w:val="0"/>
                <w:sz w:val="18"/>
                <w:szCs w:val="18"/>
                <w:u w:val="none"/>
                <w:lang w:val="en-US" w:eastAsia="zh-CN" w:bidi="ar"/>
              </w:rPr>
              <w:t xml:space="preserve">年 </w:t>
            </w:r>
            <w:r>
              <w:rPr>
                <w:rFonts w:hint="default" w:ascii="Arial" w:hAnsi="Arial" w:eastAsia="宋体" w:cs="Arial"/>
                <w:b w:val="0"/>
                <w:bCs w:val="0"/>
                <w:i w:val="0"/>
                <w:color w:val="000000"/>
                <w:kern w:val="0"/>
                <w:sz w:val="18"/>
                <w:szCs w:val="18"/>
                <w:u w:val="none"/>
                <w:lang w:val="en-US" w:eastAsia="zh-CN" w:bidi="ar"/>
              </w:rPr>
              <w:t xml:space="preserve">10 </w:t>
            </w:r>
            <w:r>
              <w:rPr>
                <w:rFonts w:hint="eastAsia" w:ascii="Arial" w:hAnsi="Arial" w:eastAsia="宋体" w:cs="Arial"/>
                <w:b w:val="0"/>
                <w:bCs w:val="0"/>
                <w:i w:val="0"/>
                <w:color w:val="000000"/>
                <w:kern w:val="0"/>
                <w:sz w:val="18"/>
                <w:szCs w:val="18"/>
                <w:u w:val="none"/>
                <w:lang w:val="en-US" w:eastAsia="zh-CN" w:bidi="ar"/>
              </w:rPr>
              <w:t>月、11月的施工进度达到甲方设定的目标进度，甲方同意支付乙方赶工奖，具体赶工奖金额为：2,163,600.21 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2,163,600.21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r>
      <w:tr>
        <w:tblPrEx>
          <w:tblCellMar>
            <w:top w:w="0" w:type="dxa"/>
            <w:left w:w="0" w:type="dxa"/>
            <w:bottom w:w="0" w:type="dxa"/>
            <w:right w:w="0" w:type="dxa"/>
          </w:tblCellMar>
        </w:tblPrEx>
        <w:trPr>
          <w:cantSplit/>
          <w:trHeight w:val="626"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浙江中材工程勘测设计有限公司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《海盐恒大都汇华庭项目勘察工程施工合同》补充协议（1-赶工奖框架协议）及补充协议（2-赶工奖）</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鉴于乙方承接的《海盐恒大都汇华庭项目勘察工程施工》在 </w:t>
            </w:r>
            <w:r>
              <w:rPr>
                <w:rFonts w:hint="default" w:ascii="Arial" w:hAnsi="Arial" w:eastAsia="宋体" w:cs="Arial"/>
                <w:b w:val="0"/>
                <w:bCs w:val="0"/>
                <w:i w:val="0"/>
                <w:color w:val="000000"/>
                <w:kern w:val="0"/>
                <w:sz w:val="18"/>
                <w:szCs w:val="18"/>
                <w:u w:val="none"/>
                <w:lang w:val="en-US" w:eastAsia="zh-CN" w:bidi="ar"/>
              </w:rPr>
              <w:t xml:space="preserve">2020 </w:t>
            </w:r>
            <w:r>
              <w:rPr>
                <w:rFonts w:hint="eastAsia" w:ascii="Arial" w:hAnsi="Arial" w:eastAsia="宋体" w:cs="Arial"/>
                <w:b w:val="0"/>
                <w:bCs w:val="0"/>
                <w:i w:val="0"/>
                <w:color w:val="000000"/>
                <w:kern w:val="0"/>
                <w:sz w:val="18"/>
                <w:szCs w:val="18"/>
                <w:u w:val="none"/>
                <w:lang w:val="en-US" w:eastAsia="zh-CN" w:bidi="ar"/>
              </w:rPr>
              <w:t xml:space="preserve">年 </w:t>
            </w:r>
            <w:r>
              <w:rPr>
                <w:rFonts w:hint="default" w:ascii="Arial" w:hAnsi="Arial" w:eastAsia="宋体" w:cs="Arial"/>
                <w:b w:val="0"/>
                <w:bCs w:val="0"/>
                <w:i w:val="0"/>
                <w:color w:val="000000"/>
                <w:kern w:val="0"/>
                <w:sz w:val="18"/>
                <w:szCs w:val="18"/>
                <w:u w:val="none"/>
                <w:lang w:val="en-US" w:eastAsia="zh-CN" w:bidi="ar"/>
              </w:rPr>
              <w:t xml:space="preserve">10 </w:t>
            </w:r>
            <w:r>
              <w:rPr>
                <w:rFonts w:hint="eastAsia" w:ascii="Arial" w:hAnsi="Arial" w:eastAsia="宋体" w:cs="Arial"/>
                <w:b w:val="0"/>
                <w:bCs w:val="0"/>
                <w:i w:val="0"/>
                <w:color w:val="000000"/>
                <w:kern w:val="0"/>
                <w:sz w:val="18"/>
                <w:szCs w:val="18"/>
                <w:u w:val="none"/>
                <w:lang w:val="en-US" w:eastAsia="zh-CN" w:bidi="ar"/>
              </w:rPr>
              <w:t>月、11月的施工进度达到甲方设定的目标进度，甲方同意支付乙方赶工奖，具体赶工奖金额为：42,851.46 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42,851.46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r>
      <w:tr>
        <w:tblPrEx>
          <w:tblCellMar>
            <w:top w:w="0" w:type="dxa"/>
            <w:left w:w="0" w:type="dxa"/>
            <w:bottom w:w="0" w:type="dxa"/>
            <w:right w:w="0" w:type="dxa"/>
          </w:tblCellMar>
        </w:tblPrEx>
        <w:trPr>
          <w:cantSplit/>
          <w:trHeight w:val="654"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江苏省苏中建设集团股份有限公司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海盐恒大都汇华庭项目主体及配套建设工程施工合同</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补充协议（1-赶工奖框架协议）及补充协议（2-赶工奖）</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鉴于乙方承接的《海盐恒大都汇华庭项目主体及配套建设工程》在 </w:t>
            </w:r>
            <w:r>
              <w:rPr>
                <w:rFonts w:hint="default" w:ascii="Arial" w:hAnsi="Arial" w:eastAsia="宋体" w:cs="Arial"/>
                <w:b w:val="0"/>
                <w:bCs w:val="0"/>
                <w:i w:val="0"/>
                <w:color w:val="000000"/>
                <w:kern w:val="0"/>
                <w:sz w:val="18"/>
                <w:szCs w:val="18"/>
                <w:u w:val="none"/>
                <w:lang w:val="en-US" w:eastAsia="zh-CN" w:bidi="ar"/>
              </w:rPr>
              <w:t xml:space="preserve">2020 </w:t>
            </w:r>
            <w:r>
              <w:rPr>
                <w:rFonts w:hint="eastAsia" w:ascii="Arial" w:hAnsi="Arial" w:eastAsia="宋体" w:cs="Arial"/>
                <w:b w:val="0"/>
                <w:bCs w:val="0"/>
                <w:i w:val="0"/>
                <w:color w:val="000000"/>
                <w:kern w:val="0"/>
                <w:sz w:val="18"/>
                <w:szCs w:val="18"/>
                <w:u w:val="none"/>
                <w:lang w:val="en-US" w:eastAsia="zh-CN" w:bidi="ar"/>
              </w:rPr>
              <w:t xml:space="preserve">年 </w:t>
            </w:r>
            <w:r>
              <w:rPr>
                <w:rFonts w:hint="default" w:ascii="Arial" w:hAnsi="Arial" w:eastAsia="宋体" w:cs="Arial"/>
                <w:b w:val="0"/>
                <w:bCs w:val="0"/>
                <w:i w:val="0"/>
                <w:color w:val="000000"/>
                <w:kern w:val="0"/>
                <w:sz w:val="18"/>
                <w:szCs w:val="18"/>
                <w:u w:val="none"/>
                <w:lang w:val="en-US" w:eastAsia="zh-CN" w:bidi="ar"/>
              </w:rPr>
              <w:t xml:space="preserve">10 </w:t>
            </w:r>
            <w:r>
              <w:rPr>
                <w:rFonts w:hint="eastAsia" w:ascii="Arial" w:hAnsi="Arial" w:eastAsia="宋体" w:cs="Arial"/>
                <w:b w:val="0"/>
                <w:bCs w:val="0"/>
                <w:i w:val="0"/>
                <w:color w:val="000000"/>
                <w:kern w:val="0"/>
                <w:sz w:val="18"/>
                <w:szCs w:val="18"/>
                <w:u w:val="none"/>
                <w:lang w:val="en-US" w:eastAsia="zh-CN" w:bidi="ar"/>
              </w:rPr>
              <w:t>月、11月的施工进度达到甲方设定的目标进度，甲方同意支付乙方赶工奖，具体赶工奖金额为： 576</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176.88 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576,176.88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r>
      <w:tr>
        <w:tblPrEx>
          <w:tblCellMar>
            <w:top w:w="0" w:type="dxa"/>
            <w:left w:w="0" w:type="dxa"/>
            <w:bottom w:w="0" w:type="dxa"/>
            <w:right w:w="0" w:type="dxa"/>
          </w:tblCellMar>
        </w:tblPrEx>
        <w:trPr>
          <w:cantSplit/>
          <w:trHeight w:val="478"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上海继昱建设工程有限公司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《海盐恒大都汇华庭项目展示区售楼处、临时样板房、商业消防工程施工合同》补充协议（1-赶工奖）</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鉴于乙方承接的《海盐恒大都汇华庭项目展示区售楼处、临时样板房、商业消防工程》在 </w:t>
            </w:r>
            <w:r>
              <w:rPr>
                <w:rFonts w:hint="default" w:ascii="Arial" w:hAnsi="Arial" w:eastAsia="宋体" w:cs="Arial"/>
                <w:b w:val="0"/>
                <w:bCs w:val="0"/>
                <w:i w:val="0"/>
                <w:color w:val="000000"/>
                <w:kern w:val="0"/>
                <w:sz w:val="18"/>
                <w:szCs w:val="18"/>
                <w:u w:val="none"/>
                <w:lang w:val="en-US" w:eastAsia="zh-CN" w:bidi="ar"/>
              </w:rPr>
              <w:t xml:space="preserve">2020 </w:t>
            </w:r>
            <w:r>
              <w:rPr>
                <w:rFonts w:hint="eastAsia" w:ascii="Arial" w:hAnsi="Arial" w:eastAsia="宋体" w:cs="Arial"/>
                <w:b w:val="0"/>
                <w:bCs w:val="0"/>
                <w:i w:val="0"/>
                <w:color w:val="000000"/>
                <w:kern w:val="0"/>
                <w:sz w:val="18"/>
                <w:szCs w:val="18"/>
                <w:u w:val="none"/>
                <w:lang w:val="en-US" w:eastAsia="zh-CN" w:bidi="ar"/>
              </w:rPr>
              <w:t>年11月的施工进度达到甲方设定的目标进度，甲方同意支付乙方赶工奖，具体赶工奖金额为：19</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679.73 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19,679.73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2021/2/22</w:t>
            </w:r>
          </w:p>
        </w:tc>
      </w:tr>
      <w:tr>
        <w:tblPrEx>
          <w:tblCellMar>
            <w:top w:w="0" w:type="dxa"/>
            <w:left w:w="0" w:type="dxa"/>
            <w:bottom w:w="0" w:type="dxa"/>
            <w:right w:w="0" w:type="dxa"/>
          </w:tblCellMar>
        </w:tblPrEx>
        <w:trPr>
          <w:cantSpli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上海房车宝信息科技有限公司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房车宝营销服务合作协议</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甲方针对目前正在开发建设的 都汇华庭项目指定乙方作为其营销服务提供方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2021/2/24</w:t>
            </w:r>
          </w:p>
        </w:tc>
      </w:tr>
      <w:tr>
        <w:tblPrEx>
          <w:tblCellMar>
            <w:top w:w="0" w:type="dxa"/>
            <w:left w:w="0" w:type="dxa"/>
            <w:bottom w:w="0" w:type="dxa"/>
            <w:right w:w="0" w:type="dxa"/>
          </w:tblCellMar>
        </w:tblPrEx>
        <w:trPr>
          <w:cantSplit/>
          <w:trHeight w:val="368" w:hRule="atLeast"/>
          <w:jc w:val="cent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恒大地产集团上海盛建置业有限公司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品牌使用及开发管理协议</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甲方向乙方支付品牌使用及开发管理费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12,520,000.00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2021/2/26</w:t>
            </w:r>
          </w:p>
        </w:tc>
      </w:tr>
    </w:tbl>
    <w:p>
      <w:pPr>
        <w:rPr>
          <w:rFonts w:ascii="Arial" w:hAnsi="Arial" w:cs="Arial"/>
        </w:rPr>
      </w:pPr>
      <w:bookmarkStart w:id="319" w:name="_Toc32286"/>
      <w:bookmarkStart w:id="320" w:name="_Toc3819"/>
      <w:bookmarkStart w:id="321" w:name="_Toc7407"/>
      <w:bookmarkStart w:id="322" w:name="_Toc1582"/>
      <w:bookmarkStart w:id="323" w:name="_Toc4356"/>
      <w:bookmarkStart w:id="324" w:name="_Toc9630"/>
      <w:bookmarkStart w:id="325" w:name="_Toc10873"/>
      <w:bookmarkStart w:id="326" w:name="_Toc28483"/>
      <w:bookmarkStart w:id="327" w:name="_Toc7756"/>
      <w:bookmarkStart w:id="328" w:name="_Toc799"/>
      <w:bookmarkStart w:id="329" w:name="_Toc4738"/>
      <w:bookmarkStart w:id="330" w:name="_Toc26465"/>
      <w:bookmarkStart w:id="331" w:name="_Toc10219"/>
      <w:bookmarkStart w:id="332" w:name="_Toc4141"/>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eastAsia="宋体" w:cs="Arial"/>
          <w:color w:val="000000"/>
          <w:sz w:val="24"/>
          <w:szCs w:val="24"/>
        </w:rPr>
      </w:pPr>
      <w:bookmarkStart w:id="333" w:name="_Toc31945"/>
      <w:bookmarkStart w:id="334" w:name="_Toc17204"/>
      <w:bookmarkStart w:id="335" w:name="_Toc22963"/>
      <w:bookmarkStart w:id="336" w:name="_Toc27074"/>
      <w:bookmarkStart w:id="337" w:name="_Toc5594"/>
      <w:bookmarkStart w:id="338" w:name="_Toc26834"/>
      <w:r>
        <w:rPr>
          <w:rFonts w:hint="default" w:eastAsia="宋体" w:cs="Arial"/>
          <w:color w:val="000000"/>
          <w:sz w:val="24"/>
          <w:szCs w:val="24"/>
        </w:rPr>
        <w:t>5.2项目合同支付情况</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spacing w:line="360" w:lineRule="auto"/>
        <w:ind w:firstLine="420" w:firstLineChars="200"/>
        <w:rPr>
          <w:rFonts w:ascii="Arial" w:hAnsi="Arial" w:cs="Arial"/>
          <w:szCs w:val="21"/>
        </w:rPr>
        <w:sectPr>
          <w:headerReference r:id="rId5" w:type="default"/>
          <w:footerReference r:id="rId6" w:type="default"/>
          <w:pgSz w:w="11905" w:h="16838"/>
          <w:pgMar w:top="1134" w:right="1134" w:bottom="1134" w:left="1134" w:header="851" w:footer="1077" w:gutter="340"/>
          <w:pgNumType w:start="1"/>
          <w:cols w:space="0" w:num="1"/>
          <w:docGrid w:linePitch="312" w:charSpace="0"/>
        </w:sectPr>
      </w:pPr>
      <w:r>
        <w:rPr>
          <w:rFonts w:ascii="Arial" w:hAnsi="Arial" w:cs="Arial"/>
          <w:szCs w:val="21"/>
        </w:rPr>
        <w:t>依据项目公司提供的合同台账，截至202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日，项目公司共签订合同</w:t>
      </w:r>
      <w:r>
        <w:rPr>
          <w:rFonts w:hint="eastAsia" w:ascii="Arial" w:hAnsi="Arial" w:cs="Arial"/>
          <w:szCs w:val="21"/>
          <w:lang w:eastAsia="zh-CN"/>
        </w:rPr>
        <w:t>、补充协议</w:t>
      </w:r>
      <w:r>
        <w:rPr>
          <w:rFonts w:ascii="Arial" w:hAnsi="Arial" w:cs="Arial"/>
          <w:szCs w:val="21"/>
        </w:rPr>
        <w:t>（含土地使用权出让合同变更协议）</w:t>
      </w:r>
      <w:r>
        <w:rPr>
          <w:rFonts w:hint="eastAsia" w:ascii="Arial" w:hAnsi="Arial" w:cs="Arial"/>
          <w:szCs w:val="21"/>
          <w:lang w:val="en-US" w:eastAsia="zh-CN"/>
        </w:rPr>
        <w:t>96</w:t>
      </w:r>
      <w:r>
        <w:rPr>
          <w:rFonts w:ascii="Arial" w:hAnsi="Arial" w:cs="Arial"/>
          <w:szCs w:val="21"/>
        </w:rPr>
        <w:t>份，合同金额共计</w:t>
      </w:r>
      <w:r>
        <w:rPr>
          <w:rFonts w:hint="eastAsia" w:ascii="Arial" w:hAnsi="Arial" w:cs="Arial"/>
          <w:szCs w:val="21"/>
        </w:rPr>
        <w:t>916,167,888.25</w:t>
      </w:r>
      <w:r>
        <w:rPr>
          <w:rFonts w:ascii="Arial" w:hAnsi="Arial" w:cs="Arial"/>
          <w:szCs w:val="21"/>
        </w:rPr>
        <w:t>元，依据合同支付</w:t>
      </w:r>
      <w:r>
        <w:rPr>
          <w:rFonts w:hint="eastAsia" w:ascii="Arial" w:hAnsi="Arial" w:cs="Arial"/>
          <w:color w:val="auto"/>
          <w:szCs w:val="21"/>
        </w:rPr>
        <w:t>621,848,469.78</w:t>
      </w:r>
      <w:r>
        <w:rPr>
          <w:rFonts w:ascii="Arial" w:hAnsi="Arial" w:cs="Arial"/>
          <w:szCs w:val="21"/>
        </w:rPr>
        <w:t>元，其中</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未支付相关合同金额</w:t>
      </w:r>
      <w:r>
        <w:rPr>
          <w:rFonts w:ascii="Arial" w:hAnsi="Arial" w:cs="Arial"/>
          <w:szCs w:val="21"/>
        </w:rPr>
        <w:t>，待支付合同金额</w:t>
      </w:r>
      <w:r>
        <w:rPr>
          <w:rFonts w:hint="eastAsia" w:ascii="Arial" w:hAnsi="Arial" w:cs="Arial"/>
          <w:color w:val="auto"/>
          <w:szCs w:val="21"/>
        </w:rPr>
        <w:t>294,319,418.47</w:t>
      </w:r>
      <w:r>
        <w:rPr>
          <w:rFonts w:hint="eastAsia" w:ascii="Arial" w:hAnsi="Arial" w:cs="Arial"/>
          <w:szCs w:val="21"/>
        </w:rPr>
        <w:t>元</w:t>
      </w:r>
      <w:r>
        <w:rPr>
          <w:rFonts w:ascii="Arial" w:hAnsi="Arial" w:cs="Arial"/>
          <w:szCs w:val="21"/>
        </w:rPr>
        <w:t>，合同支付情况详见下表：</w:t>
      </w:r>
    </w:p>
    <w:p>
      <w:pPr>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Arial" w:hAnsi="Arial" w:cs="Arial"/>
          <w:b/>
          <w:color w:val="000000"/>
          <w:sz w:val="24"/>
          <w:szCs w:val="28"/>
        </w:rPr>
      </w:pPr>
      <w:r>
        <w:rPr>
          <w:rFonts w:ascii="Arial" w:hAnsi="Arial" w:cs="Arial"/>
          <w:b/>
          <w:color w:val="000000"/>
          <w:sz w:val="24"/>
          <w:szCs w:val="28"/>
        </w:rPr>
        <w:t>合同付款情况统计表</w:t>
      </w:r>
    </w:p>
    <w:tbl>
      <w:tblPr>
        <w:tblStyle w:val="18"/>
        <w:tblW w:w="14484" w:type="dxa"/>
        <w:jc w:val="center"/>
        <w:tblLayout w:type="fixed"/>
        <w:tblCellMar>
          <w:top w:w="0" w:type="dxa"/>
          <w:left w:w="0" w:type="dxa"/>
          <w:bottom w:w="0" w:type="dxa"/>
          <w:right w:w="0" w:type="dxa"/>
        </w:tblCellMar>
      </w:tblPr>
      <w:tblGrid>
        <w:gridCol w:w="982"/>
        <w:gridCol w:w="1421"/>
        <w:gridCol w:w="1014"/>
        <w:gridCol w:w="2677"/>
        <w:gridCol w:w="3140"/>
        <w:gridCol w:w="1634"/>
        <w:gridCol w:w="1316"/>
        <w:gridCol w:w="1517"/>
        <w:gridCol w:w="783"/>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1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7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314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63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61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466"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1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7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314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3304242020A21025 号《国有建设用地使用权出让合同》变更协议</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恒大地产集团上海盛建置业有限公司、海盐县自然资源和规划局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国有建设用地使用权出让合同变更协议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i w:val="0"/>
                <w:color w:val="000000"/>
                <w:kern w:val="0"/>
                <w:sz w:val="18"/>
                <w:szCs w:val="18"/>
                <w:u w:val="none"/>
                <w:lang w:val="en-US" w:eastAsia="zh-CN" w:bidi="ar"/>
              </w:rPr>
              <w:t>506,177,100.00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20"/>
                <w:szCs w:val="20"/>
                <w:lang w:val="en-US"/>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506,177,100.00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506,177,100.00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506,177,100.00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1,825,012.46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1,111,757.49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恒沪工合字20[0.37-97]001-1、001-2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5,184.34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广州市恒合工程监理有限公司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建设工程监理合同（海盐恒大都汇华庭项目监理工程（非人防））</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3,476,202.00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海盐恒大都汇华庭项目临时道路工程施工合同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1,000,445.60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85,857.99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海盐恒大都汇华庭临时围墙工程施工合同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383,997.41</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浙江省地球物理技术应用研究所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海盐恒大都汇华庭项目桩基检测工程承包合同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593,795.00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浙江东南建设管理有限公司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海盐恒大都汇华庭项目人防监理合同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94,679.20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海盐恒大都汇华庭项目勘察工程施工合同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607,483.48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485,986.78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上海电气承广电力工程有限公司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电力安装工程设计施工承包合同(海盐恒大都汇华庭项目临时用电工程)</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565,257.28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565,257.28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海盐恒大都汇华庭基坑监测工程监测合同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213,484.00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海盐恒大都汇华庭项目人防工程施工图设计合同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147,830.14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海盐恒大都汇华庭项目施工图设计合同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4,315,677.76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895,791.64</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w:t>
            </w:r>
          </w:p>
        </w:tc>
      </w:tr>
      <w:tr>
        <w:tblPrEx>
          <w:tblCellMar>
            <w:top w:w="0" w:type="dxa"/>
            <w:left w:w="0" w:type="dxa"/>
            <w:bottom w:w="0" w:type="dxa"/>
            <w:right w:w="0" w:type="dxa"/>
          </w:tblCellMar>
        </w:tblPrEx>
        <w:trPr>
          <w:cantSplit/>
          <w:trHeight w:val="57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杭州市勘测设</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计研究院</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海盐恒大都汇华庭项目基坑支护设计合同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268,000.00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上海柏涛工程设计顾问有限公司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建筑外立面方案设计合同（海盐恒大都汇华庭项目非标立面方案设计）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1,150,000.00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575,000.00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深圳市希尔景观设计有限公司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海盐恒大都汇华庭项目园林工程设计合同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595,186.10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73,686.93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广州市白云建筑设计院有限公司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嘉兴海盐县新桥路西项目（海盐恒大都会华庭项目）规划方案设计费支付协议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70,000.00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临时使用土地合同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526,120.00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526,120.00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临时用地复垦方案</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临时用地复垦协议书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桐乡市恒诚节能技术咨询有限公司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153,000.00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嘉兴市环泰工程技术有限公司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开发建设项目水土保持方案技术咨询合同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145,000.00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嘉兴中诚工程检测有限公司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结构实体检测合同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285,523.00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恒沪它合字20[0.37-97]013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浙江省建设工程质量检验站有限公司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技 术 服 务 合 同 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恒沪工合字20[0.37-97]029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海盐恒大都汇华庭项目沉降观测工程检测合同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106,252.00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浙江施朗龙山工程设计有限公司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海盐恒大都汇华庭项目住宅及公建报建、施工图前置审图合同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451,941.60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393,189.19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深圳市建装业集团股份有限公司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海盐恒大都汇华庭项目幕墙设计工程施工图深化套图框、配合消防报审设计合同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661,139.00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3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深圳市希尔景观设计有限公司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color w:val="000000"/>
                <w:kern w:val="0"/>
                <w:sz w:val="18"/>
                <w:szCs w:val="18"/>
                <w:lang w:val="en-US" w:eastAsia="zh-CN" w:bidi="ar"/>
              </w:rPr>
              <w:t>海盐恒大都汇华庭项目周边区域园林工程设计费支付协议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恒沪物合字20[0.37-97]002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金碧物业有限公司海盐分公司（物业公司）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海盐恒大都汇华庭项目前期介入物业服务协议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2,699,856.00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恒沪它合字21[0.37-97]001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嘉兴市天华城建设计院有限公司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图审咨询合同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135,978.67</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2021/1/27</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上海柏涛工程设计顾问 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建筑外立面方案设计合同（海盐恒大都汇华庭项目小地块户型设计）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20,003.30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恒沪设合字21[0.37-97]002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上海联创设计集团股份有限公司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（海盐恒大都汇华庭项目园林综合设计合同）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324,579.95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恒沪工合字21[0.37-97]20,011-1、011-2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（《海盐恒大都汇华庭项目勘察工程施工合同》补充协议（1-赶工奖框架协议）及补充协议（2-赶工奖））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42,851.46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前期类合同合计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2"/>
                <w:sz w:val="18"/>
                <w:szCs w:val="18"/>
                <w:u w:val="none"/>
                <w:lang w:val="en-US" w:eastAsia="zh-CN" w:bidi="ar-SA"/>
              </w:rPr>
            </w:pPr>
            <w:r>
              <w:rPr>
                <w:rFonts w:hint="eastAsia" w:ascii="Arial" w:hAnsi="Arial" w:eastAsia="宋体" w:cs="Arial"/>
                <w:b/>
                <w:bCs/>
                <w:i w:val="0"/>
                <w:color w:val="000000"/>
                <w:kern w:val="0"/>
                <w:sz w:val="18"/>
                <w:szCs w:val="18"/>
                <w:u w:val="none"/>
                <w:lang w:val="en-US" w:eastAsia="zh-CN" w:bidi="ar"/>
              </w:rPr>
              <w:t>21,128,279.75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5,050,647.30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24%</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浙江尚都建设有限公司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海盐恒大都汇华庭项目土石方工程施工合同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10,607,008.00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2,067,654.37</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海盐恒大都汇华庭项目桩基工程施工合同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75,962,717.16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51,804,414.05</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68%</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海盐恒大都汇华庭项目基坑支护及降排水工程施工合同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40,551,285.55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23,622,549.89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w:t>
            </w:r>
          </w:p>
        </w:tc>
      </w:tr>
      <w:tr>
        <w:tblPrEx>
          <w:tblCellMar>
            <w:top w:w="0" w:type="dxa"/>
            <w:left w:w="0" w:type="dxa"/>
            <w:bottom w:w="0" w:type="dxa"/>
            <w:right w:w="0" w:type="dxa"/>
          </w:tblCellMar>
        </w:tblPrEx>
        <w:trPr>
          <w:cantSplit/>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江苏省苏中建设集团股份有限公司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海盐恒大都汇华庭项目主体及配套建设工程施工合同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215,000,000.00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23,119,783.20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w:t>
            </w:r>
          </w:p>
        </w:tc>
      </w:tr>
      <w:tr>
        <w:tblPrEx>
          <w:tblCellMar>
            <w:top w:w="0" w:type="dxa"/>
            <w:left w:w="0" w:type="dxa"/>
            <w:bottom w:w="0" w:type="dxa"/>
            <w:right w:w="0" w:type="dxa"/>
          </w:tblCellMar>
        </w:tblPrEx>
        <w:trPr>
          <w:cantSplit/>
          <w:trHeight w:val="6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上海继昱建设工程有限公司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海盐恒大都汇华庭售楼处临时样板房、商业消防工程施工合同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289,164.50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163,997.71</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西安高科幕墙门窗有限公司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海盐恒大都汇华庭售楼处、商业外立面幕墙工程施工合同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1,969,524.40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1,575,619.52</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嘉兴巨匠防护设备有限公司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海盐都汇华庭项目人防门供货及安装工程施工合同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720,292.65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广州恒大材料设备有限公司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90,358.19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1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深圳恒大材料设备有限公司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3,114,979.60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恒沪工合字20[0.37-97]004-1、004-2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海盐恒大都汇华庭项目桩基工程施工合同补充协议（1-赶工奖框架协议）及补充协议（2-赶工奖）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1,215,443.75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恒沪工合字20[0.37-97]007-1、007-2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海盐恒大都汇华庭项目基坑支护及降排水工程施工合同补充协议（1-赶工奖框架协议）及补充协议（2-赶工奖）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1,424,556.25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恒沪工合字20[0.37-97]007-3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海盐恒大都汇华庭项目基坑支护及降排水工程施工合同补充协议 3</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1,748,258.93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恒沪工合字21[0.37-97]20,004-3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2021/2/22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（《海盐恒大都汇华庭项目桩基工程施工合同》补充协议（3-赶工奖））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2,163,600.21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恒沪工合字21[0.37-97]20,014-1、014-2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2021/2/22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江苏省苏中建设集团股份有限公司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（海盐恒大都汇华庭项目主体及配套建设工程施工合同补充协议（1-赶工奖框架协议）及补充协议（2-赶工奖））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576,176.88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恒沪工合字21[0.37-97]20,020-1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2021/2/22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上海继昱建设工程有限公司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（《海盐恒大都汇华庭项目展示区售楼处、临时样板房、商业消防工程施工合同》补充协议（1-赶工奖））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19,679.73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恒沪工合字21[0.37-97]20,003-1、003-2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2021/2/22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浙江尚都建设有限公司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（《海盐恒大都汇华庭项目土石方工程施工合同》补充协议（1-赶工奖框架协议）及补充协议（2-赶工奖））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150,917.67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工程类合同合计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2"/>
                <w:sz w:val="18"/>
                <w:szCs w:val="18"/>
                <w:u w:val="none"/>
                <w:lang w:val="en-US" w:eastAsia="zh-CN" w:bidi="ar-SA"/>
              </w:rPr>
            </w:pPr>
            <w:r>
              <w:rPr>
                <w:rFonts w:hint="eastAsia" w:ascii="Arial" w:hAnsi="Arial" w:eastAsia="宋体" w:cs="Arial"/>
                <w:b/>
                <w:bCs/>
                <w:i w:val="0"/>
                <w:color w:val="000000"/>
                <w:kern w:val="0"/>
                <w:sz w:val="18"/>
                <w:szCs w:val="18"/>
                <w:u w:val="none"/>
                <w:lang w:val="en-US" w:eastAsia="zh-CN" w:bidi="ar"/>
              </w:rPr>
              <w:t>352,398,625.68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105,559,356.53</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sz w:val="18"/>
                <w:szCs w:val="18"/>
              </w:rPr>
            </w:pPr>
            <w:r>
              <w:rPr>
                <w:rFonts w:hint="default" w:ascii="Arial" w:hAnsi="Arial" w:eastAsia="宋体" w:cs="Arial"/>
                <w:b/>
                <w:i w:val="0"/>
                <w:color w:val="000000"/>
                <w:kern w:val="0"/>
                <w:sz w:val="18"/>
                <w:szCs w:val="18"/>
                <w:u w:val="none"/>
                <w:lang w:val="en-US" w:eastAsia="zh-CN" w:bidi="ar"/>
              </w:rPr>
              <w:t>30%</w:t>
            </w:r>
          </w:p>
        </w:tc>
      </w:tr>
      <w:tr>
        <w:tblPrEx>
          <w:tblCellMar>
            <w:top w:w="0" w:type="dxa"/>
            <w:left w:w="0" w:type="dxa"/>
            <w:bottom w:w="0" w:type="dxa"/>
            <w:right w:w="0" w:type="dxa"/>
          </w:tblCellMar>
        </w:tblPrEx>
        <w:trPr>
          <w:cantSplit/>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上海鹤琢广告有限公司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海盐恒大都汇华庭项目全案广告代理合同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235,680.19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广东天广联会展有限公司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海盐恒大都汇华庭智慧社区展示区物料包装合同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408,500.00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r>
      <w:tr>
        <w:tblPrEx>
          <w:tblCellMar>
            <w:top w:w="0" w:type="dxa"/>
            <w:left w:w="0" w:type="dxa"/>
            <w:bottom w:w="0" w:type="dxa"/>
            <w:right w:w="0" w:type="dxa"/>
          </w:tblCellMar>
        </w:tblPrEx>
        <w:trPr>
          <w:cantSplit/>
          <w:trHeight w:val="40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深圳钛铂新媒体营销股份有限公司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海盐恒大都汇华庭项目3D宣传片制作合同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135,000.00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563"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1,108,967.66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554,483.83</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137,453.04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海盐恒大都汇华庭项目售楼处小型中央空调安装施工合同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105,247.50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海盐恒大都汇华庭临时样板房小型中央空调安装施工合同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21,146.69</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湖南美致空间设计空间有限公司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海盐恒大都汇华庭项目滨河左岸销售中心室内软装工程施工合同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661,576.00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529,260.80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安徽省安泰科技股份有限公司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海盐恒大都汇华庭售楼处、临时样板房智能化工程施工合同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237,177.33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158,908.81</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171,420.39</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江门市中意灯饰水晶有限公司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海盐恒大都汇华庭售楼部艺术灯具购销合同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105,752.94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105,752.94</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海盐恒大都汇华庭项目样板房小型中央空调采购合同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31,940.26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威海山花华宝地毯有限公司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海盐恒大都汇华庭地毯采购合同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111,152.00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114,824.00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103%</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嘉兴嘉报传媒广告有限公司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南湖晚报2020年度广告合作协议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嘉兴钧策文化传媒有限公司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明日观地产2020年度广告合作协议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嘉兴爱快信息技术有限公司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禾枫说楼2020年度广告合作协议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嘉兴市广播电视集团</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嘉兴电台2020年度广告合作协议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海盐县武原街道环卫所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生活垃圾清运及处置委托协议书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3,600.00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广州市雅媞饰家装饰工程有限公司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海盐恒大都汇华庭项目高层临时MT6-2saA户型现代橙装风格样板房室内软装饰施工合同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306,125.00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南京唯启广告传媒有限公司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海盐恒大都汇华庭展示区导视系统及精神堡垒制作安装工程施工合同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150,339.80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6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嘉兴十九楼网络科技有限公司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嘉兴19楼2020年度广告合作协议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海盐恒大都汇华庭项目导视牌购销合同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237,040.00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衢州信德广告有限公司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海盐恒大都汇华庭项目商业街物料购销合同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178,650.00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178,650.00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慈溪市明城建材有限公司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海盐都汇华庭项目JDG管及配件购销合同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165,965.00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165,965.00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嘉兴嘉论网络科技有限公司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嘉论网2020年度合作广告协议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恒沪它合字20[0.37-97]010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上海大乘房地产经纪有限公司/上海易居详悦房屋销售有限公司/嘉兴永创房地产营销策划有限公司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嘉兴海盐恒大都汇华庭项目策划销售代理合同（易居）</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7,064,460.00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0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恒沪工合字20[0.37-97]028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江苏宏洁机电工程有限公司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海盐恒大都汇华庭项目临时展示区亮化工程施工合同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289,980.00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34%</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嘉兴市广播电视集团（嘉兴市广播电视台总台）</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嘉兴电台2020年度广告合作协议（嘉兴市广播电视台总台）</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上海吾林实业有限公司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海盐恒大都汇华庭项目营销物资购销合同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159,300.00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159,300.00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恒沪它合字20[0.37-97]012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2020/12/7</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房车宝信息技术（深圳）有限公司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房车宝营销服务合作协议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6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恒沪工合字20[0.37-97]015-1、015-2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海盐恒大都汇华庭售楼处室内装修工程施工合同补充协议（1-赶工奖框架协议）及补充协议（2-赶工奖）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66,538.06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恒沪工合字20[0.37-97]016-1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海盐恒大都汇华庭临时样板房室内装修工程施工合同解除协议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-137,453.04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恒沪工合字20[0.37-97]030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上海迪探节能科技有限公司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海盐恒大都汇华庭售楼处、商业、临时样板房铝合金门窗安装工程施工合同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39,668.96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恒沪购合字20[0.37-97]011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上海迪探节能科技有限公司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海盐恒大都汇华庭售楼处、商业、临时样板房铝合金门窗购销合同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225,125.74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恒沪工合字20[0.37-97]031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海盐恒大都汇华庭临时样板房室内装修工程施工合同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139,296.53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恒沪广合字20[0.37-97]009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嘉兴市广电传媒有限公司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禾点点2020年度广告合作协议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恒沪它合字20[0.37-97]014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嘉兴火舞传媒有限公司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海盐恒大都汇华庭《惊天之术 魔幻之城》活动合同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239,000.00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87,900.00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恒沪购合字21[0.37-97]001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杭州润滨礼品有限公司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（海盐恒大都汇华庭项目营销物资购销合同）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151,400.00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89,450.00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恒沪广合字21[0.37-97]001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嘉兴市艾可广告传媒有限公司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（海盐恒大都汇华庭项目电梯框架广告发布合同）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深圳市房车宝销售有限公司上海分公司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房车宝营销服务合作协议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2021/2/24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上海房车宝信息科技有限公司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房车宝营销服务合作协议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营销类合同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14,335,869.86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2,996,675.57</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21%</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海盐恒大都汇华庭项目红线外设置施工道路工程施工合同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769,321.28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592,377.38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77%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上海徐汇园林发展有限公司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海盐恒大都汇华庭园建施工合同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5,700,800.00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1,080,080.00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19%</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基础设施类合同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color w:val="000000"/>
                <w:kern w:val="0"/>
                <w:sz w:val="18"/>
                <w:szCs w:val="18"/>
                <w:lang w:val="en-US" w:eastAsia="zh-CN" w:bidi="ar"/>
              </w:rPr>
            </w:pPr>
            <w:r>
              <w:rPr>
                <w:rFonts w:hint="default" w:ascii="Arial" w:hAnsi="Arial" w:eastAsia="宋体" w:cs="Arial"/>
                <w:b/>
                <w:i w:val="0"/>
                <w:color w:val="000000"/>
                <w:kern w:val="0"/>
                <w:sz w:val="18"/>
                <w:szCs w:val="18"/>
                <w:u w:val="none"/>
                <w:lang w:val="en-US" w:eastAsia="zh-CN" w:bidi="ar"/>
              </w:rPr>
              <w:t>6,470,121.28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bCs/>
                <w:color w:val="000000"/>
                <w:kern w:val="0"/>
                <w:sz w:val="18"/>
                <w:szCs w:val="18"/>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color w:val="000000"/>
                <w:kern w:val="0"/>
                <w:sz w:val="18"/>
                <w:szCs w:val="18"/>
                <w:lang w:val="en-US" w:eastAsia="zh-CN" w:bidi="ar"/>
              </w:rPr>
            </w:pPr>
            <w:r>
              <w:rPr>
                <w:rFonts w:hint="default" w:ascii="Arial" w:hAnsi="Arial" w:eastAsia="宋体" w:cs="Arial"/>
                <w:b/>
                <w:i w:val="0"/>
                <w:color w:val="000000"/>
                <w:kern w:val="0"/>
                <w:sz w:val="18"/>
                <w:szCs w:val="18"/>
                <w:u w:val="none"/>
                <w:lang w:val="en-US" w:eastAsia="zh-CN" w:bidi="ar"/>
              </w:rPr>
              <w:t>1,672,457.38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恒沪租合字20[0.37-95]001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吴文博</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房屋租赁合同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46,800.00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恒沪物合字20[0.37-97]001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金碧物业有限公司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前期物业服务合同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2,691,091.68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管理类合同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2,737,891.68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咨询服务协议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392,233.00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98%</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恒大地产集团上海盛建置业有限公司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品牌使用及开发管理协议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12,520,000.00 </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r>
              <w:rPr>
                <w:rFonts w:hint="eastAsia" w:ascii="Arial" w:hAnsi="Arial" w:cs="Arial"/>
                <w:color w:val="000000"/>
                <w:kern w:val="0"/>
                <w:sz w:val="18"/>
                <w:szCs w:val="18"/>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r>
              <w:rPr>
                <w:rFonts w:hint="eastAsia" w:ascii="Arial" w:hAnsi="Arial" w:cs="Arial"/>
                <w:color w:val="000000"/>
                <w:kern w:val="0"/>
                <w:sz w:val="18"/>
                <w:szCs w:val="18"/>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其他类合同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12,920,000.00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392,233.00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98%</w:t>
            </w:r>
          </w:p>
        </w:tc>
      </w:tr>
      <w:tr>
        <w:tblPrEx>
          <w:tblCellMar>
            <w:top w:w="0" w:type="dxa"/>
            <w:left w:w="0" w:type="dxa"/>
            <w:bottom w:w="0" w:type="dxa"/>
            <w:right w:w="0" w:type="dxa"/>
          </w:tblCellMar>
        </w:tblPrEx>
        <w:trPr>
          <w:cantSplit/>
          <w:trHeight w:val="369" w:hRule="atLeast"/>
          <w:jc w:val="center"/>
        </w:trPr>
        <w:tc>
          <w:tcPr>
            <w:tcW w:w="9234"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63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916,167,888.25</w:t>
            </w:r>
          </w:p>
        </w:tc>
        <w:tc>
          <w:tcPr>
            <w:tcW w:w="131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bCs/>
                <w:color w:val="000000"/>
                <w:kern w:val="0"/>
                <w:sz w:val="18"/>
                <w:szCs w:val="18"/>
                <w:lang w:val="en-US"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621,848,469.78</w:t>
            </w:r>
          </w:p>
        </w:tc>
        <w:tc>
          <w:tcPr>
            <w:tcW w:w="7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6</w:t>
            </w:r>
            <w:r>
              <w:rPr>
                <w:rFonts w:hint="eastAsia" w:ascii="Arial" w:hAnsi="Arial" w:cs="Arial"/>
                <w:b/>
                <w:i w:val="0"/>
                <w:color w:val="000000"/>
                <w:kern w:val="0"/>
                <w:sz w:val="18"/>
                <w:szCs w:val="18"/>
                <w:u w:val="none"/>
                <w:lang w:val="en-US" w:eastAsia="zh-CN" w:bidi="ar"/>
              </w:rPr>
              <w:t>8</w:t>
            </w:r>
            <w:r>
              <w:rPr>
                <w:rFonts w:hint="default" w:ascii="Arial" w:hAnsi="Arial" w:eastAsia="宋体" w:cs="Arial"/>
                <w:b/>
                <w:i w:val="0"/>
                <w:color w:val="000000"/>
                <w:kern w:val="0"/>
                <w:sz w:val="18"/>
                <w:szCs w:val="18"/>
                <w:u w:val="none"/>
                <w:lang w:val="en-US" w:eastAsia="zh-CN" w:bidi="ar"/>
              </w:rPr>
              <w:t>%</w:t>
            </w:r>
          </w:p>
        </w:tc>
      </w:tr>
    </w:tbl>
    <w:p>
      <w:pPr>
        <w:ind w:left="1411" w:leftChars="303" w:right="489" w:rightChars="233" w:hanging="775" w:hangingChars="431"/>
        <w:rPr>
          <w:rFonts w:ascii="Arial" w:hAnsi="Arial" w:cs="Arial"/>
          <w:sz w:val="18"/>
          <w:szCs w:val="18"/>
        </w:rPr>
      </w:pPr>
      <w:r>
        <w:rPr>
          <w:rFonts w:ascii="Arial" w:hAnsi="Arial" w:cs="Arial"/>
          <w:sz w:val="18"/>
          <w:szCs w:val="18"/>
        </w:rPr>
        <w:t>备注：1、本表不包含项目公司签订的备案专用合同3份，分别为与平湖市东港建筑工程有限责任公司签订的《建设工程施工合同》2份，合同金额总价316,900,000.00元，此2份合同仅供双方办理无证施工处罚使用，不实际履行，双方无任何权利义务；与江苏省苏中建设集团股份有限公司签订的《建设工程施工合同》，合同金额340,000,000.00元，此合同仅供双方备案使用，不实际履行，双方无任何权利义务。</w:t>
      </w:r>
    </w:p>
    <w:p>
      <w:pPr>
        <w:numPr>
          <w:ilvl w:val="255"/>
          <w:numId w:val="0"/>
        </w:numPr>
        <w:ind w:left="401" w:leftChars="191" w:firstLine="540" w:firstLineChars="300"/>
        <w:jc w:val="left"/>
        <w:rPr>
          <w:rFonts w:ascii="Arial" w:hAnsi="Arial" w:cs="Arial"/>
          <w:bCs/>
          <w:kern w:val="44"/>
          <w:sz w:val="18"/>
          <w:szCs w:val="18"/>
        </w:rPr>
      </w:pPr>
      <w:r>
        <w:rPr>
          <w:rFonts w:ascii="Arial" w:hAnsi="Arial" w:cs="Arial"/>
          <w:sz w:val="18"/>
          <w:szCs w:val="18"/>
        </w:rPr>
        <w:t xml:space="preserve">  2、累计支付</w:t>
      </w:r>
      <w:r>
        <w:rPr>
          <w:rFonts w:ascii="Arial" w:hAnsi="Arial" w:cs="Arial"/>
          <w:bCs/>
          <w:kern w:val="44"/>
          <w:sz w:val="18"/>
          <w:szCs w:val="18"/>
        </w:rPr>
        <w:t>金额包含已开出商业承兑汇票金额。</w:t>
      </w: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sectPr>
          <w:pgSz w:w="16838" w:h="11905" w:orient="landscape"/>
          <w:pgMar w:top="1134" w:right="1134" w:bottom="1134" w:left="1134" w:header="851" w:footer="992" w:gutter="340"/>
          <w:cols w:space="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ascii="Arial" w:hAnsi="Arial" w:cs="Arial"/>
          <w:color w:val="000000"/>
          <w:sz w:val="24"/>
          <w:szCs w:val="24"/>
        </w:rPr>
      </w:pPr>
      <w:bookmarkStart w:id="339" w:name="_Toc411430359"/>
      <w:bookmarkStart w:id="340" w:name="_Toc373309851"/>
      <w:bookmarkStart w:id="341" w:name="_Toc532281663"/>
      <w:bookmarkStart w:id="342" w:name="_Toc5971"/>
      <w:bookmarkStart w:id="343" w:name="_Toc18333"/>
      <w:bookmarkStart w:id="344" w:name="_Toc19599"/>
      <w:bookmarkStart w:id="345" w:name="_Toc30482"/>
      <w:bookmarkStart w:id="346" w:name="_Toc23400"/>
      <w:bookmarkStart w:id="347" w:name="_Toc23844"/>
      <w:bookmarkStart w:id="348" w:name="_Toc5206"/>
      <w:bookmarkStart w:id="349" w:name="_Toc12986"/>
      <w:bookmarkStart w:id="350" w:name="_Toc3934"/>
      <w:bookmarkStart w:id="351" w:name="_Toc4153"/>
      <w:bookmarkStart w:id="352" w:name="_Toc535580097"/>
      <w:bookmarkStart w:id="353" w:name="_Toc45217880"/>
      <w:bookmarkStart w:id="354" w:name="_Toc3215"/>
      <w:bookmarkStart w:id="355" w:name="_Toc535508642"/>
      <w:bookmarkStart w:id="356" w:name="_Toc19240"/>
      <w:bookmarkStart w:id="357" w:name="_Toc1386"/>
      <w:bookmarkStart w:id="358" w:name="_Toc15439"/>
      <w:bookmarkStart w:id="359" w:name="_Toc6474"/>
      <w:bookmarkStart w:id="360" w:name="_Toc11712"/>
      <w:bookmarkStart w:id="361" w:name="_Toc22501"/>
      <w:bookmarkStart w:id="362" w:name="_Toc17836"/>
      <w:bookmarkStart w:id="363" w:name="_Toc15137"/>
      <w:bookmarkStart w:id="364" w:name="_Toc14038"/>
      <w:bookmarkStart w:id="365" w:name="_Toc535580029"/>
      <w:bookmarkStart w:id="366" w:name="_Toc13453"/>
      <w:bookmarkStart w:id="367" w:name="_Toc535570756"/>
      <w:bookmarkStart w:id="368" w:name="_Toc16514"/>
      <w:bookmarkStart w:id="369" w:name="_Toc11147"/>
      <w:bookmarkStart w:id="370" w:name="_Toc21061"/>
      <w:bookmarkStart w:id="371" w:name="_Toc31506"/>
      <w:bookmarkStart w:id="372" w:name="_Toc24707"/>
      <w:bookmarkStart w:id="373" w:name="_Toc1140"/>
      <w:bookmarkStart w:id="374" w:name="_Toc23345"/>
      <w:r>
        <w:rPr>
          <w:rFonts w:ascii="Arial" w:hAnsi="Arial" w:cs="Arial"/>
          <w:color w:val="000000"/>
          <w:sz w:val="24"/>
          <w:szCs w:val="24"/>
        </w:rPr>
        <w:t>6资金</w:t>
      </w:r>
      <w:bookmarkEnd w:id="339"/>
      <w:bookmarkEnd w:id="340"/>
      <w:bookmarkEnd w:id="341"/>
      <w:r>
        <w:rPr>
          <w:rFonts w:ascii="Arial" w:hAnsi="Arial" w:cs="Arial"/>
          <w:color w:val="000000"/>
          <w:sz w:val="24"/>
          <w:szCs w:val="24"/>
        </w:rPr>
        <w:t>情况</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eastAsia="宋体" w:cs="Arial"/>
          <w:color w:val="000000"/>
          <w:sz w:val="24"/>
          <w:szCs w:val="24"/>
        </w:rPr>
      </w:pPr>
      <w:bookmarkStart w:id="375" w:name="_Toc20831"/>
      <w:bookmarkStart w:id="376" w:name="_Toc6055"/>
      <w:bookmarkStart w:id="377" w:name="_Toc1758"/>
      <w:bookmarkStart w:id="378" w:name="_Toc11232"/>
      <w:bookmarkStart w:id="379" w:name="_Toc19410"/>
      <w:bookmarkStart w:id="380" w:name="_Toc2689"/>
      <w:bookmarkStart w:id="381" w:name="_Toc8487"/>
      <w:bookmarkStart w:id="382" w:name="_Toc27410"/>
      <w:bookmarkStart w:id="383" w:name="_Toc6281"/>
      <w:bookmarkStart w:id="384" w:name="_Toc535508643"/>
      <w:bookmarkStart w:id="385" w:name="_Toc11752"/>
      <w:bookmarkStart w:id="386" w:name="_Toc4446"/>
      <w:bookmarkStart w:id="387" w:name="_Toc296"/>
      <w:bookmarkStart w:id="388" w:name="_Toc15195"/>
      <w:bookmarkStart w:id="389" w:name="_Toc535580030"/>
      <w:bookmarkStart w:id="390" w:name="_Toc13085"/>
      <w:bookmarkStart w:id="391" w:name="_Toc7253"/>
      <w:bookmarkStart w:id="392" w:name="_Toc535570757"/>
      <w:bookmarkStart w:id="393" w:name="_Toc724"/>
      <w:bookmarkStart w:id="394" w:name="_Toc9084"/>
      <w:bookmarkStart w:id="395" w:name="_Toc5267"/>
      <w:bookmarkStart w:id="396" w:name="_Toc16263"/>
      <w:bookmarkStart w:id="397" w:name="_Toc4358"/>
      <w:bookmarkStart w:id="398" w:name="_Toc26270"/>
      <w:bookmarkStart w:id="399" w:name="_Toc10525"/>
      <w:bookmarkStart w:id="400" w:name="_Toc25110"/>
      <w:bookmarkStart w:id="401" w:name="_Toc45217881"/>
      <w:bookmarkStart w:id="402" w:name="_Toc20103"/>
      <w:bookmarkStart w:id="403" w:name="_Toc535580098"/>
      <w:bookmarkStart w:id="404" w:name="_Toc13970"/>
      <w:bookmarkStart w:id="405" w:name="_Toc31674"/>
      <w:bookmarkStart w:id="406" w:name="_Toc17229"/>
      <w:bookmarkStart w:id="407" w:name="_Toc5129"/>
      <w:r>
        <w:rPr>
          <w:rFonts w:hint="default" w:eastAsia="宋体" w:cs="Arial"/>
          <w:color w:val="000000"/>
          <w:sz w:val="24"/>
          <w:szCs w:val="24"/>
        </w:rPr>
        <w:t>6.1资金流出情况</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pacing w:line="480" w:lineRule="auto"/>
        <w:ind w:firstLine="420" w:firstLineChars="200"/>
        <w:rPr>
          <w:rFonts w:hint="eastAsia" w:ascii="Arial" w:hAnsi="Arial" w:eastAsia="宋体" w:cs="Arial"/>
          <w:bCs/>
          <w:kern w:val="44"/>
          <w:szCs w:val="21"/>
          <w:lang w:eastAsia="zh-CN"/>
        </w:rPr>
      </w:pPr>
      <w:r>
        <w:rPr>
          <w:rFonts w:hint="eastAsia" w:ascii="Arial" w:hAnsi="Arial" w:cs="Arial"/>
          <w:bCs/>
          <w:kern w:val="44"/>
          <w:szCs w:val="21"/>
        </w:rPr>
        <w:t>项目公司2021年2月资金支出计划3,917.60万元，实际资金支付 133.86万元，其中：工程费用支出4.56万元；管理费用支出3.72万元；财务费用支出99.26万元；营销费用26.32万元。</w:t>
      </w:r>
      <w:r>
        <w:rPr>
          <w:rFonts w:hint="eastAsia" w:ascii="Arial" w:hAnsi="Arial" w:cs="Arial"/>
          <w:bCs/>
          <w:kern w:val="44"/>
          <w:szCs w:val="21"/>
          <w:lang w:val="en-US" w:eastAsia="zh-CN"/>
        </w:rPr>
        <w:t>2</w:t>
      </w:r>
      <w:r>
        <w:rPr>
          <w:rFonts w:hint="eastAsia" w:ascii="Arial" w:hAnsi="Arial" w:cs="Arial"/>
          <w:bCs/>
          <w:kern w:val="44"/>
          <w:szCs w:val="21"/>
        </w:rPr>
        <w:t>月份资金计划金额与执行情况对比如下表所示</w:t>
      </w:r>
      <w:r>
        <w:rPr>
          <w:rFonts w:hint="eastAsia" w:ascii="Arial" w:hAnsi="Arial" w:cs="Arial"/>
          <w:bCs/>
          <w:kern w:val="44"/>
          <w:szCs w:val="21"/>
          <w:lang w:eastAsia="zh-CN"/>
        </w:rPr>
        <w:t>：</w:t>
      </w:r>
    </w:p>
    <w:tbl>
      <w:tblPr>
        <w:tblStyle w:val="18"/>
        <w:tblW w:w="9435" w:type="dxa"/>
        <w:jc w:val="center"/>
        <w:tblLayout w:type="fixed"/>
        <w:tblCellMar>
          <w:top w:w="0" w:type="dxa"/>
          <w:left w:w="108" w:type="dxa"/>
          <w:bottom w:w="0" w:type="dxa"/>
          <w:right w:w="108" w:type="dxa"/>
        </w:tblCellMar>
      </w:tblPr>
      <w:tblGrid>
        <w:gridCol w:w="1215"/>
        <w:gridCol w:w="1431"/>
        <w:gridCol w:w="1404"/>
        <w:gridCol w:w="166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项目</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4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324.97</w:t>
            </w:r>
          </w:p>
        </w:tc>
        <w:tc>
          <w:tcPr>
            <w:tcW w:w="140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0.00</w:t>
            </w:r>
          </w:p>
        </w:tc>
        <w:tc>
          <w:tcPr>
            <w:tcW w:w="16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 xml:space="preserve">          </w:t>
            </w:r>
            <w:r>
              <w:rPr>
                <w:rFonts w:hint="eastAsia" w:ascii="Arial" w:hAnsi="Arial" w:eastAsia="宋体" w:cs="Arial"/>
                <w:i w:val="0"/>
                <w:color w:val="000000"/>
                <w:kern w:val="0"/>
                <w:sz w:val="18"/>
                <w:szCs w:val="18"/>
                <w:u w:val="none"/>
                <w:lang w:val="en-US" w:eastAsia="zh-CN" w:bidi="ar"/>
              </w:rPr>
              <w:t>0.00</w:t>
            </w:r>
          </w:p>
        </w:tc>
        <w:tc>
          <w:tcPr>
            <w:tcW w:w="3720" w:type="dxa"/>
            <w:tcBorders>
              <w:top w:val="nil"/>
              <w:left w:val="nil"/>
              <w:bottom w:val="single" w:color="auto" w:sz="4" w:space="0"/>
              <w:right w:val="single" w:color="auto" w:sz="4" w:space="0"/>
            </w:tcBorders>
            <w:shd w:val="clear" w:color="auto" w:fill="auto"/>
            <w:noWrap/>
            <w:vAlign w:val="center"/>
          </w:tcPr>
          <w:p>
            <w:pPr>
              <w:pStyle w:val="17"/>
              <w:ind w:firstLine="0" w:firstLineChars="0"/>
              <w:rPr>
                <w:rFonts w:hint="eastAsia" w:ascii="Arial" w:hAnsi="Arial" w:cs="Arial"/>
                <w:color w:val="000000"/>
                <w:kern w:val="0"/>
                <w:sz w:val="18"/>
                <w:szCs w:val="18"/>
                <w:lang w:val="en-US" w:eastAsia="zh-CN" w:bidi="ar"/>
              </w:rPr>
            </w:pP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w:t>
            </w:r>
          </w:p>
        </w:tc>
        <w:tc>
          <w:tcPr>
            <w:tcW w:w="14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2,733.86</w:t>
            </w:r>
          </w:p>
        </w:tc>
        <w:tc>
          <w:tcPr>
            <w:tcW w:w="140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4.56</w:t>
            </w:r>
          </w:p>
        </w:tc>
        <w:tc>
          <w:tcPr>
            <w:tcW w:w="16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 xml:space="preserve">   </w:t>
            </w:r>
            <w:r>
              <w:rPr>
                <w:rFonts w:hint="eastAsia" w:ascii="Arial" w:hAnsi="Arial" w:eastAsia="宋体" w:cs="Arial"/>
                <w:i w:val="0"/>
                <w:color w:val="000000"/>
                <w:kern w:val="0"/>
                <w:sz w:val="18"/>
                <w:szCs w:val="18"/>
                <w:u w:val="none"/>
                <w:lang w:val="en-US" w:eastAsia="zh-CN" w:bidi="ar"/>
              </w:rPr>
              <w:t>0.17%</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2月支付工程水电费4.56万元。</w:t>
            </w:r>
          </w:p>
        </w:tc>
      </w:tr>
      <w:tr>
        <w:tblPrEx>
          <w:tblCellMar>
            <w:top w:w="0" w:type="dxa"/>
            <w:left w:w="108" w:type="dxa"/>
            <w:bottom w:w="0" w:type="dxa"/>
            <w:right w:w="108" w:type="dxa"/>
          </w:tblCellMar>
        </w:tblPrEx>
        <w:trPr>
          <w:trHeight w:val="429"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486.77</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26.32</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5.41</w:t>
            </w:r>
            <w:r>
              <w:rPr>
                <w:rFonts w:hint="eastAsia" w:ascii="Arial" w:hAnsi="Arial" w:eastAsia="宋体" w:cs="Arial"/>
                <w:i w:val="0"/>
                <w:color w:val="000000"/>
                <w:kern w:val="0"/>
                <w:sz w:val="18"/>
                <w:szCs w:val="18"/>
                <w:u w:val="none"/>
                <w:lang w:val="en-US" w:eastAsia="zh-CN" w:bidi="ar"/>
              </w:rPr>
              <w:t>%</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售楼部服装费1.89万元；沙盘模型制作费4.78万元；广告费19.65万元。</w:t>
            </w:r>
          </w:p>
        </w:tc>
      </w:tr>
      <w:tr>
        <w:tblPrEx>
          <w:tblCellMar>
            <w:top w:w="0" w:type="dxa"/>
            <w:left w:w="108" w:type="dxa"/>
            <w:bottom w:w="0" w:type="dxa"/>
            <w:right w:w="108" w:type="dxa"/>
          </w:tblCellMar>
        </w:tblPrEx>
        <w:trPr>
          <w:trHeight w:val="9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32</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3.72</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11.63</w:t>
            </w:r>
            <w:r>
              <w:rPr>
                <w:rFonts w:hint="eastAsia" w:ascii="Arial" w:hAnsi="Arial" w:eastAsia="宋体" w:cs="Arial"/>
                <w:i w:val="0"/>
                <w:color w:val="000000"/>
                <w:kern w:val="0"/>
                <w:sz w:val="18"/>
                <w:szCs w:val="18"/>
                <w:u w:val="none"/>
                <w:lang w:val="en-US" w:eastAsia="zh-CN" w:bidi="ar"/>
              </w:rPr>
              <w:t>%</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jc w:val="left"/>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发放员工工资奖金、社保、公积金等支出共计3.72万元。</w:t>
            </w:r>
          </w:p>
          <w:p>
            <w:pPr>
              <w:pStyle w:val="17"/>
              <w:ind w:firstLine="0" w:firstLineChars="0"/>
              <w:rPr>
                <w:rFonts w:hint="eastAsia" w:ascii="Arial" w:hAnsi="Arial" w:eastAsia="宋体" w:cs="Arial"/>
                <w:color w:val="000000"/>
                <w:kern w:val="0"/>
                <w:sz w:val="18"/>
                <w:szCs w:val="18"/>
                <w:lang w:val="en-US" w:eastAsia="zh-CN" w:bidi="ar"/>
              </w:rPr>
            </w:pPr>
          </w:p>
        </w:tc>
      </w:tr>
      <w:tr>
        <w:tblPrEx>
          <w:tblCellMar>
            <w:top w:w="0" w:type="dxa"/>
            <w:left w:w="108" w:type="dxa"/>
            <w:bottom w:w="0" w:type="dxa"/>
            <w:right w:w="108" w:type="dxa"/>
          </w:tblCellMar>
        </w:tblPrEx>
        <w:trPr>
          <w:trHeight w:val="53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99.26</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90.24%</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税费99.26万元。</w:t>
            </w:r>
          </w:p>
          <w:p>
            <w:pPr>
              <w:pStyle w:val="17"/>
              <w:ind w:firstLine="0" w:firstLineChars="0"/>
              <w:rPr>
                <w:rFonts w:hint="eastAsia" w:ascii="Arial" w:hAnsi="Arial" w:eastAsia="宋体" w:cs="Arial"/>
                <w:color w:val="000000"/>
                <w:kern w:val="0"/>
                <w:sz w:val="18"/>
                <w:szCs w:val="18"/>
                <w:lang w:val="en-US" w:eastAsia="zh-CN" w:bidi="ar"/>
              </w:rPr>
            </w:pPr>
            <w:r>
              <w:rPr>
                <w:rFonts w:ascii="Arial" w:hAnsi="Arial" w:eastAsia="宋体" w:cs="Arial"/>
                <w:color w:val="000000"/>
                <w:kern w:val="0"/>
                <w:sz w:val="18"/>
                <w:szCs w:val="18"/>
                <w:lang w:val="en-US" w:eastAsia="zh-CN" w:bidi="ar"/>
              </w:rPr>
              <w:t>税费支出</w:t>
            </w:r>
            <w:r>
              <w:rPr>
                <w:rFonts w:hint="eastAsia" w:ascii="Arial" w:hAnsi="Arial" w:eastAsia="宋体" w:cs="Arial"/>
                <w:color w:val="000000"/>
                <w:kern w:val="0"/>
                <w:sz w:val="18"/>
                <w:szCs w:val="18"/>
                <w:lang w:val="en-US" w:eastAsia="zh-CN" w:bidi="ar"/>
              </w:rPr>
              <w:t>以项目公司申报自动划扣，</w:t>
            </w:r>
            <w:r>
              <w:rPr>
                <w:rFonts w:ascii="Arial" w:hAnsi="Arial" w:eastAsia="宋体" w:cs="Arial"/>
                <w:color w:val="000000"/>
                <w:kern w:val="0"/>
                <w:sz w:val="18"/>
                <w:szCs w:val="18"/>
                <w:lang w:val="en-US" w:eastAsia="zh-CN" w:bidi="ar"/>
              </w:rPr>
              <w:t>符合国家相关标准</w:t>
            </w:r>
            <w:r>
              <w:rPr>
                <w:rFonts w:hint="eastAsia" w:ascii="Arial" w:hAnsi="Arial" w:eastAsia="宋体" w:cs="Arial"/>
                <w:color w:val="000000"/>
                <w:kern w:val="0"/>
                <w:sz w:val="18"/>
                <w:szCs w:val="18"/>
                <w:lang w:val="en-US" w:eastAsia="zh-CN" w:bidi="ar"/>
              </w:rPr>
              <w:t>。</w:t>
            </w:r>
          </w:p>
        </w:tc>
      </w:tr>
      <w:tr>
        <w:tblPrEx>
          <w:tblCellMar>
            <w:top w:w="0" w:type="dxa"/>
            <w:left w:w="108" w:type="dxa"/>
            <w:bottom w:w="0" w:type="dxa"/>
            <w:right w:w="108" w:type="dxa"/>
          </w:tblCellMar>
        </w:tblPrEx>
        <w:trPr>
          <w:trHeight w:val="552"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ascii="Arial" w:hAnsi="Arial" w:cs="Arial"/>
                <w:color w:val="000000"/>
                <w:kern w:val="0"/>
                <w:sz w:val="18"/>
                <w:szCs w:val="18"/>
                <w:lang w:bidi="ar"/>
              </w:rPr>
              <w:t>其他费</w:t>
            </w:r>
            <w:r>
              <w:rPr>
                <w:rFonts w:hint="eastAsia" w:ascii="Arial" w:hAnsi="Arial" w:cs="Arial"/>
                <w:color w:val="000000"/>
                <w:kern w:val="0"/>
                <w:sz w:val="18"/>
                <w:szCs w:val="18"/>
                <w:lang w:val="en-US" w:eastAsia="zh-CN" w:bidi="ar"/>
              </w:rPr>
              <w:t>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0.00</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 xml:space="preserve">            </w:t>
            </w:r>
            <w:r>
              <w:rPr>
                <w:rFonts w:hint="eastAsia" w:ascii="Arial" w:hAnsi="Arial" w:eastAsia="宋体" w:cs="Arial"/>
                <w:i w:val="0"/>
                <w:color w:val="000000"/>
                <w:kern w:val="0"/>
                <w:sz w:val="18"/>
                <w:szCs w:val="18"/>
                <w:u w:val="none"/>
                <w:lang w:val="en-US" w:eastAsia="zh-CN" w:bidi="ar"/>
              </w:rPr>
              <w:t>0.00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rPr>
                <w:rFonts w:hint="eastAsia" w:ascii="Arial" w:hAnsi="Arial" w:cs="Arial"/>
                <w:color w:val="000000"/>
                <w:kern w:val="0"/>
                <w:sz w:val="18"/>
                <w:szCs w:val="18"/>
                <w:lang w:val="en-US" w:eastAsia="zh-CN" w:bidi="ar"/>
              </w:rPr>
            </w:pP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bCs/>
                <w:sz w:val="18"/>
                <w:szCs w:val="18"/>
              </w:rPr>
            </w:pPr>
            <w:r>
              <w:rPr>
                <w:rFonts w:ascii="Arial" w:hAnsi="Arial" w:cs="Arial"/>
                <w:b/>
                <w:bCs/>
                <w:color w:val="000000"/>
                <w:kern w:val="0"/>
                <w:sz w:val="18"/>
                <w:szCs w:val="18"/>
                <w:lang w:bidi="ar"/>
              </w:rPr>
              <w:t>合计</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 xml:space="preserve">3,917.60 </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133.86</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3.42%</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textAlignment w:val="top"/>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月份，项目公司</w:t>
      </w:r>
      <w:r>
        <w:rPr>
          <w:rFonts w:hint="eastAsia" w:ascii="Arial" w:hAnsi="Arial" w:cs="Arial"/>
          <w:bCs/>
          <w:kern w:val="44"/>
          <w:szCs w:val="21"/>
          <w:lang w:eastAsia="zh-CN"/>
        </w:rPr>
        <w:t>现</w:t>
      </w:r>
      <w:r>
        <w:rPr>
          <w:rFonts w:ascii="Arial" w:hAnsi="Arial" w:cs="Arial"/>
          <w:bCs/>
          <w:kern w:val="44"/>
          <w:szCs w:val="21"/>
        </w:rPr>
        <w:t>金使用情况详见下表：</w:t>
      </w:r>
    </w:p>
    <w:p>
      <w:pPr>
        <w:spacing w:line="480" w:lineRule="auto"/>
        <w:ind w:firstLine="420" w:firstLineChars="200"/>
        <w:rPr>
          <w:rFonts w:ascii="Arial" w:hAnsi="Arial" w:cs="Arial"/>
          <w:bCs/>
          <w:kern w:val="44"/>
          <w:szCs w:val="21"/>
        </w:rPr>
        <w:sectPr>
          <w:pgSz w:w="11905" w:h="16838"/>
          <w:pgMar w:top="1134" w:right="1134" w:bottom="1134" w:left="1134" w:header="851" w:footer="992" w:gutter="340"/>
          <w:cols w:space="0" w:num="1"/>
          <w:docGrid w:linePitch="312" w:charSpace="0"/>
        </w:sectPr>
      </w:pPr>
      <w:r>
        <w:rPr>
          <w:rFonts w:ascii="Arial" w:hAnsi="Arial" w:cs="Arial"/>
          <w:bCs/>
          <w:kern w:val="44"/>
          <w:szCs w:val="21"/>
        </w:rPr>
        <w:t>（转下页）</w:t>
      </w:r>
    </w:p>
    <w:p>
      <w:pPr>
        <w:keepNext w:val="0"/>
        <w:keepLines w:val="0"/>
        <w:pageBreakBefore w:val="0"/>
        <w:widowControl w:val="0"/>
        <w:kinsoku/>
        <w:wordWrap/>
        <w:overflowPunct/>
        <w:topLinePunct w:val="0"/>
        <w:autoSpaceDE/>
        <w:autoSpaceDN/>
        <w:bidi w:val="0"/>
        <w:adjustRightInd/>
        <w:snapToGrid/>
        <w:spacing w:before="240" w:beforeLines="100"/>
        <w:jc w:val="center"/>
        <w:textAlignment w:val="auto"/>
        <w:rPr>
          <w:rFonts w:ascii="Arial" w:hAnsi="Arial" w:cs="Arial"/>
          <w:b/>
          <w:color w:val="000000"/>
          <w:sz w:val="24"/>
          <w:szCs w:val="28"/>
        </w:rPr>
      </w:pPr>
      <w:bookmarkStart w:id="408" w:name="_Toc535580031"/>
      <w:bookmarkStart w:id="409" w:name="_Toc535508644"/>
      <w:bookmarkStart w:id="410" w:name="_Toc535580099"/>
      <w:bookmarkStart w:id="411" w:name="_Toc45217882"/>
      <w:bookmarkStart w:id="412" w:name="_Toc535570758"/>
      <w:r>
        <w:rPr>
          <w:rFonts w:ascii="Arial" w:hAnsi="Arial" w:cs="Arial"/>
          <w:b/>
          <w:color w:val="000000"/>
          <w:sz w:val="24"/>
          <w:szCs w:val="28"/>
        </w:rPr>
        <w:t>项目公司现金流出明细表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989"/>
        <w:gridCol w:w="1140"/>
        <w:gridCol w:w="1786"/>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4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78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44"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金菊</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网签秘钥费用</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1,160.00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嘉兴藤王绅士服有限公司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售楼部服装</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18,900.00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上海路鸣模型设计有限公司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沙盘模型制作费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47,831.35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海盐恒悦置业有限公司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海盐鼎圣广告传媒有限公司广告费工抵房</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196,500.00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张晓杰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2,134.10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徐腾峰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drawing>
                <wp:anchor distT="0" distB="0" distL="114300" distR="114300" simplePos="0" relativeHeight="254124032" behindDoc="0" locked="0" layoutInCell="1" allowOverlap="1">
                  <wp:simplePos x="0" y="0"/>
                  <wp:positionH relativeFrom="column">
                    <wp:posOffset>685800</wp:posOffset>
                  </wp:positionH>
                  <wp:positionV relativeFrom="paragraph">
                    <wp:posOffset>0</wp:posOffset>
                  </wp:positionV>
                  <wp:extent cx="0" cy="259080"/>
                  <wp:effectExtent l="0" t="0" r="0" b="0"/>
                  <wp:wrapNone/>
                  <wp:docPr id="56" name="Host_Control__12"/>
                  <wp:cNvGraphicFramePr/>
                  <a:graphic xmlns:a="http://schemas.openxmlformats.org/drawingml/2006/main">
                    <a:graphicData uri="http://schemas.openxmlformats.org/drawingml/2006/picture">
                      <pic:pic xmlns:pic="http://schemas.openxmlformats.org/drawingml/2006/picture">
                        <pic:nvPicPr>
                          <pic:cNvPr id="56" name="Host_Control__12"/>
                          <pic:cNvPicPr/>
                        </pic:nvPicPr>
                        <pic:blipFill>
                          <a:blip r:embed="rId16"/>
                          <a:stretch>
                            <a:fillRect/>
                          </a:stretch>
                        </pic:blipFill>
                        <pic:spPr>
                          <a:xfrm>
                            <a:off x="0" y="0"/>
                            <a:ext cx="0" cy="259080"/>
                          </a:xfrm>
                          <a:prstGeom prst="rect">
                            <a:avLst/>
                          </a:prstGeom>
                          <a:noFill/>
                          <a:ln>
                            <a:noFill/>
                          </a:ln>
                        </pic:spPr>
                      </pic:pic>
                    </a:graphicData>
                  </a:graphic>
                </wp:anchor>
              </w:drawing>
            </w:r>
            <w:r>
              <w:rPr>
                <w:rFonts w:hint="eastAsia" w:ascii="Arial" w:hAnsi="Arial" w:cs="Arial"/>
                <w:color w:val="000000"/>
                <w:kern w:val="0"/>
                <w:sz w:val="18"/>
                <w:szCs w:val="18"/>
                <w:lang w:val="en-US" w:eastAsia="zh-CN" w:bidi="ar"/>
              </w:rPr>
              <w:t xml:space="preserve">2,938.10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hint="eastAsia" w:ascii="Arial" w:hAnsi="Arial" w:cs="Arial"/>
                <w:kern w:val="0"/>
                <w:sz w:val="18"/>
                <w:szCs w:val="18"/>
                <w:lang w:val="en-US" w:eastAsia="zh-CN"/>
              </w:rPr>
              <w:t>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戚一飞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2,938.10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嘉兴市住房公积金管理服务中心海盐分中心</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公积金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3,984.00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4,484.81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11,679.95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徐腾峰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奖金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戚一飞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奖金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张晓杰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奖金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待报解预算收入（财库联网集中户）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社保</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8,573.10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电费 </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9,037.52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电费 </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559.10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海盐县天仙河自来水经营有限公司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水费 </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9,371.70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25.00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中行-8270</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张晓杰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3,572.67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徐腾峰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185.00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戚一飞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185.00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电费 </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172.39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电费 </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10,294.84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税费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个人所得税</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75.14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税费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土地增值税、印花税</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394,249.98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税费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教育费附加、增值税、地方教育附加、城市维护建设税</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598,309.88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18.00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2021/2/24</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潘良玉</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奖金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10,000.00 </w:t>
            </w:r>
          </w:p>
        </w:tc>
        <w:tc>
          <w:tcPr>
            <w:tcW w:w="11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6259" w:type="dxa"/>
            <w:gridSpan w:val="4"/>
            <w:vAlign w:val="center"/>
          </w:tcPr>
          <w:p>
            <w:pPr>
              <w:widowControl/>
              <w:tabs>
                <w:tab w:val="left" w:pos="611"/>
                <w:tab w:val="center" w:pos="3984"/>
              </w:tabs>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 xml:space="preserve">1,338,679.73 </w:t>
            </w:r>
          </w:p>
        </w:tc>
      </w:tr>
    </w:tbl>
    <w:p>
      <w:pPr>
        <w:keepNext w:val="0"/>
        <w:keepLines w:val="0"/>
        <w:pageBreakBefore w:val="0"/>
        <w:widowControl w:val="0"/>
        <w:kinsoku/>
        <w:wordWrap/>
        <w:overflowPunct/>
        <w:topLinePunct w:val="0"/>
        <w:autoSpaceDE/>
        <w:autoSpaceDN/>
        <w:bidi w:val="0"/>
        <w:adjustRightInd/>
        <w:snapToGrid/>
        <w:spacing w:before="157" w:beforeLines="50" w:line="480" w:lineRule="auto"/>
        <w:ind w:firstLine="420" w:firstLineChars="200"/>
        <w:jc w:val="left"/>
        <w:textAlignment w:val="auto"/>
        <w:rPr>
          <w:rFonts w:ascii="Arial" w:hAnsi="Arial" w:cs="Arial"/>
          <w:bCs/>
          <w:kern w:val="44"/>
          <w:szCs w:val="21"/>
        </w:rPr>
        <w:sectPr>
          <w:pgSz w:w="16838" w:h="11905" w:orient="landscape"/>
          <w:pgMar w:top="1134" w:right="1134" w:bottom="1134" w:left="1134" w:header="851" w:footer="992" w:gutter="340"/>
          <w:cols w:space="0" w:num="1"/>
          <w:docGrid w:linePitch="312" w:charSpace="0"/>
        </w:sectPr>
      </w:pPr>
      <w:bookmarkStart w:id="413" w:name="_Toc10235"/>
      <w:bookmarkStart w:id="414" w:name="_Toc28402"/>
      <w:bookmarkStart w:id="415" w:name="_Toc14835"/>
      <w:bookmarkStart w:id="416" w:name="_Toc7687"/>
      <w:bookmarkStart w:id="417" w:name="_Toc15931"/>
      <w:bookmarkStart w:id="418" w:name="_Toc27392"/>
      <w:bookmarkStart w:id="419" w:name="_Toc5289"/>
      <w:bookmarkStart w:id="420" w:name="_Toc21001"/>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eastAsia="宋体" w:cs="Arial"/>
          <w:color w:val="000000"/>
          <w:sz w:val="24"/>
          <w:szCs w:val="24"/>
        </w:rPr>
      </w:pPr>
      <w:bookmarkStart w:id="421" w:name="_Toc24762"/>
      <w:bookmarkStart w:id="422" w:name="_Toc8109"/>
      <w:bookmarkStart w:id="423" w:name="_Toc31314"/>
      <w:bookmarkStart w:id="424" w:name="_Toc1729"/>
      <w:bookmarkStart w:id="425" w:name="_Toc23589"/>
      <w:bookmarkStart w:id="426" w:name="_Toc25516"/>
      <w:bookmarkStart w:id="427" w:name="_Toc12796"/>
      <w:bookmarkStart w:id="428" w:name="_Toc12848"/>
      <w:bookmarkStart w:id="429" w:name="_Toc13805"/>
      <w:bookmarkStart w:id="430" w:name="_Toc7485"/>
      <w:bookmarkStart w:id="431" w:name="_Toc31848"/>
      <w:bookmarkStart w:id="432" w:name="_Toc18885"/>
      <w:bookmarkStart w:id="433" w:name="_Toc26469"/>
      <w:bookmarkStart w:id="434" w:name="_Toc10418"/>
      <w:bookmarkStart w:id="435" w:name="_Toc7325"/>
      <w:bookmarkStart w:id="436" w:name="_Toc19143"/>
      <w:bookmarkStart w:id="437" w:name="_Toc2854"/>
      <w:bookmarkStart w:id="438" w:name="_Toc2906"/>
      <w:bookmarkStart w:id="439" w:name="_Toc29665"/>
      <w:bookmarkStart w:id="440" w:name="_Toc31214"/>
      <w:r>
        <w:rPr>
          <w:rFonts w:hint="default" w:eastAsia="宋体" w:cs="Arial"/>
          <w:color w:val="000000"/>
          <w:sz w:val="24"/>
          <w:szCs w:val="24"/>
        </w:rPr>
        <w:t>6.2资金流入情况</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line="480" w:lineRule="auto"/>
        <w:ind w:firstLine="420" w:firstLineChars="200"/>
        <w:rPr>
          <w:rFonts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2</w:t>
      </w:r>
      <w:r>
        <w:rPr>
          <w:rFonts w:hint="default" w:ascii="Arial" w:hAnsi="Arial" w:cs="Arial"/>
          <w:bCs/>
          <w:kern w:val="44"/>
          <w:szCs w:val="21"/>
        </w:rPr>
        <w:t>月期间项目公司资金流</w:t>
      </w:r>
      <w:r>
        <w:rPr>
          <w:rFonts w:hint="default" w:ascii="Arial" w:hAnsi="Arial" w:cs="Arial"/>
          <w:bCs/>
          <w:kern w:val="44"/>
          <w:szCs w:val="21"/>
          <w:lang w:val="en-US" w:eastAsia="zh-CN"/>
        </w:rPr>
        <w:t>入</w:t>
      </w:r>
      <w:r>
        <w:rPr>
          <w:rFonts w:hint="default" w:ascii="Arial" w:hAnsi="Arial" w:cs="Arial"/>
          <w:bCs/>
          <w:kern w:val="44"/>
          <w:szCs w:val="21"/>
        </w:rPr>
        <w:t>2,083,689.20元</w:t>
      </w:r>
      <w:r>
        <w:rPr>
          <w:rFonts w:hint="default" w:ascii="Arial" w:hAnsi="Arial" w:cs="Arial"/>
          <w:bCs/>
          <w:kern w:val="44"/>
          <w:szCs w:val="21"/>
          <w:lang w:eastAsia="zh-CN"/>
        </w:rPr>
        <w:t>，其中销售回款流入</w:t>
      </w:r>
      <w:r>
        <w:rPr>
          <w:rFonts w:hint="eastAsia" w:ascii="Arial" w:hAnsi="Arial" w:cs="Arial"/>
          <w:bCs/>
          <w:kern w:val="44"/>
          <w:szCs w:val="21"/>
          <w:lang w:val="en-US" w:eastAsia="zh-CN"/>
        </w:rPr>
        <w:t>2,083,687.43</w:t>
      </w:r>
      <w:r>
        <w:rPr>
          <w:rFonts w:hint="default" w:ascii="Arial" w:hAnsi="Arial" w:cs="Arial"/>
          <w:bCs/>
          <w:kern w:val="44"/>
          <w:szCs w:val="21"/>
          <w:lang w:val="en-US" w:eastAsia="zh-CN"/>
        </w:rPr>
        <w:t>元，</w:t>
      </w:r>
      <w:r>
        <w:rPr>
          <w:rFonts w:hint="default" w:ascii="Arial" w:hAnsi="Arial" w:cs="Arial"/>
          <w:szCs w:val="21"/>
          <w:lang w:eastAsia="zh-CN"/>
        </w:rPr>
        <w:t>其他</w:t>
      </w:r>
      <w:r>
        <w:rPr>
          <w:rFonts w:hint="default" w:ascii="Arial" w:hAnsi="Arial" w:cs="Arial"/>
          <w:bCs/>
          <w:kern w:val="44"/>
          <w:szCs w:val="21"/>
        </w:rPr>
        <w:t>资金流入</w:t>
      </w:r>
      <w:r>
        <w:rPr>
          <w:rFonts w:hint="eastAsia" w:ascii="Arial" w:hAnsi="Arial" w:cs="Arial"/>
          <w:b w:val="0"/>
          <w:bCs w:val="0"/>
          <w:color w:val="000000"/>
          <w:kern w:val="0"/>
          <w:sz w:val="21"/>
          <w:szCs w:val="21"/>
          <w:lang w:val="en-US" w:eastAsia="zh-CN" w:bidi="ar"/>
        </w:rPr>
        <w:t>1.77</w:t>
      </w:r>
      <w:r>
        <w:rPr>
          <w:rFonts w:hint="default" w:ascii="Arial" w:hAnsi="Arial" w:cs="Arial"/>
          <w:b w:val="0"/>
          <w:bCs w:val="0"/>
          <w:color w:val="000000"/>
          <w:kern w:val="0"/>
          <w:sz w:val="21"/>
          <w:szCs w:val="21"/>
          <w:lang w:eastAsia="zh-CN" w:bidi="ar"/>
        </w:rPr>
        <w:t>元</w:t>
      </w:r>
      <w:r>
        <w:rPr>
          <w:rFonts w:hint="default" w:ascii="Arial" w:hAnsi="Arial" w:cs="Arial"/>
          <w:szCs w:val="21"/>
        </w:rPr>
        <w:t>。</w:t>
      </w:r>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rPr>
      </w:pPr>
      <w:bookmarkStart w:id="441" w:name="_Toc5928"/>
      <w:bookmarkStart w:id="442" w:name="_Toc13623"/>
      <w:bookmarkStart w:id="443" w:name="_Toc32107"/>
      <w:bookmarkStart w:id="444" w:name="_Toc28063"/>
      <w:bookmarkStart w:id="445" w:name="_Toc32720"/>
      <w:bookmarkStart w:id="446" w:name="_Toc741"/>
      <w:bookmarkStart w:id="447" w:name="_Toc29880"/>
      <w:bookmarkStart w:id="448" w:name="_Toc23564"/>
      <w:r>
        <w:rPr>
          <w:rFonts w:hint="default" w:ascii="Arial" w:hAnsi="Arial" w:eastAsia="宋体" w:cs="Arial"/>
          <w:color w:val="000000"/>
          <w:sz w:val="24"/>
          <w:szCs w:val="24"/>
        </w:rPr>
        <w:t>6.2.1销售回款流入</w:t>
      </w:r>
      <w:bookmarkEnd w:id="441"/>
      <w:bookmarkEnd w:id="442"/>
      <w:bookmarkEnd w:id="443"/>
      <w:bookmarkEnd w:id="444"/>
      <w:bookmarkEnd w:id="445"/>
      <w:bookmarkEnd w:id="446"/>
      <w:bookmarkEnd w:id="447"/>
      <w:bookmarkEnd w:id="448"/>
    </w:p>
    <w:p>
      <w:pPr>
        <w:spacing w:line="480" w:lineRule="auto"/>
        <w:ind w:firstLine="420" w:firstLineChars="200"/>
        <w:rPr>
          <w:rFonts w:ascii="Arial" w:hAnsi="Arial" w:cs="Arial"/>
          <w:b/>
          <w:color w:val="000000"/>
          <w:sz w:val="24"/>
          <w:szCs w:val="28"/>
        </w:rPr>
      </w:pPr>
      <w:r>
        <w:rPr>
          <w:rFonts w:hint="eastAsia" w:ascii="Arial" w:hAnsi="Arial" w:cs="Arial"/>
          <w:bCs/>
          <w:kern w:val="44"/>
          <w:szCs w:val="21"/>
          <w:lang w:val="en-US" w:eastAsia="zh-CN"/>
        </w:rPr>
        <w:t>项目于2月收取意向金、定金、首付款共计2,083,687.43元，销售回款流入情况详见下表：</w:t>
      </w:r>
    </w:p>
    <w:p>
      <w:pPr>
        <w:keepNext w:val="0"/>
        <w:keepLines w:val="0"/>
        <w:pageBreakBefore w:val="0"/>
        <w:widowControl w:val="0"/>
        <w:kinsoku/>
        <w:wordWrap/>
        <w:overflowPunct/>
        <w:topLinePunct w:val="0"/>
        <w:autoSpaceDE/>
        <w:autoSpaceDN/>
        <w:bidi w:val="0"/>
        <w:adjustRightInd/>
        <w:snapToGrid/>
        <w:spacing w:before="240" w:beforeLines="100"/>
        <w:jc w:val="center"/>
        <w:textAlignment w:val="auto"/>
        <w:outlineLvl w:val="9"/>
        <w:rPr>
          <w:rFonts w:ascii="Arial" w:hAnsi="Arial" w:cs="Arial"/>
          <w:bCs/>
          <w:kern w:val="44"/>
          <w:szCs w:val="21"/>
        </w:rPr>
      </w:pPr>
      <w:bookmarkStart w:id="449" w:name="_Toc10462"/>
      <w:r>
        <w:rPr>
          <w:rFonts w:hint="eastAsia" w:ascii="Arial" w:hAnsi="Arial" w:cs="Arial"/>
          <w:b/>
          <w:color w:val="000000"/>
          <w:sz w:val="24"/>
          <w:szCs w:val="28"/>
          <w:lang w:val="en-US" w:eastAsia="zh-CN"/>
        </w:rPr>
        <w:t>销售回款</w:t>
      </w:r>
      <w:r>
        <w:rPr>
          <w:rFonts w:ascii="Arial" w:hAnsi="Arial" w:cs="Arial"/>
          <w:b/>
          <w:color w:val="000000"/>
          <w:sz w:val="24"/>
          <w:szCs w:val="28"/>
        </w:rPr>
        <w:t>流入情况表</w:t>
      </w:r>
      <w:bookmarkEnd w:id="449"/>
    </w:p>
    <w:tbl>
      <w:tblPr>
        <w:tblStyle w:val="19"/>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161,107.00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418,207.00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2021/2/4</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舟山银亿房地产开发有限公司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787,720.43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62,590.50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w:t>
            </w:r>
          </w:p>
        </w:tc>
        <w:tc>
          <w:tcPr>
            <w:tcW w:w="1172"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26,824.50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2021/2/3</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77,493.00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2021/2/4</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8,941.50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2021/2/5</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559" w:type="dxa"/>
            <w:vAlign w:val="center"/>
          </w:tcPr>
          <w:p>
            <w:pPr>
              <w:widowControl/>
              <w:jc w:val="center"/>
              <w:rPr>
                <w:rFonts w:hint="eastAsia" w:ascii="Arial" w:hAnsi="Arial" w:eastAsia="宋体" w:cs="Arial"/>
                <w:kern w:val="0"/>
                <w:sz w:val="18"/>
                <w:szCs w:val="18"/>
                <w:lang w:val="en-US" w:eastAsia="zh-CN" w:bidi="ar-SA"/>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eastAsia="宋体" w:cs="Arial"/>
                <w:kern w:val="0"/>
                <w:sz w:val="18"/>
                <w:szCs w:val="18"/>
                <w:lang w:val="en-US" w:eastAsia="zh-CN" w:bidi="ar-SA"/>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eastAsia="宋体" w:cs="Arial"/>
                <w:kern w:val="0"/>
                <w:sz w:val="18"/>
                <w:szCs w:val="18"/>
                <w:lang w:val="en-US" w:eastAsia="zh-CN" w:bidi="ar-SA"/>
              </w:rPr>
            </w:pPr>
            <w:r>
              <w:rPr>
                <w:rFonts w:hint="eastAsia" w:ascii="Arial" w:hAnsi="Arial" w:cs="Arial"/>
                <w:kern w:val="0"/>
                <w:sz w:val="18"/>
                <w:szCs w:val="18"/>
                <w:lang w:val="en-US" w:eastAsia="zh-CN"/>
              </w:rPr>
              <w:t xml:space="preserve">8,941.50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2021/2/7</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559" w:type="dxa"/>
            <w:vAlign w:val="bottom"/>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199,980.00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李磊</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2021/2/19</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5,961.00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通联支付网络服务股份有限公司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5,961.00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2021/2/18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中行-8270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林敏</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180,000.00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2021/2/24</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1559" w:type="dxa"/>
            <w:vAlign w:val="bottom"/>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宋始侃</w:t>
            </w:r>
          </w:p>
        </w:tc>
        <w:tc>
          <w:tcPr>
            <w:tcW w:w="2100"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80,000.00</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2021/2/28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108" w:type="dxa"/>
            <w:gridSpan w:val="2"/>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2,083,687.43</w:t>
            </w:r>
          </w:p>
        </w:tc>
      </w:tr>
    </w:tbl>
    <w:p>
      <w:pPr>
        <w:spacing w:line="480" w:lineRule="auto"/>
        <w:ind w:firstLine="420" w:firstLineChars="200"/>
        <w:rPr>
          <w:rFonts w:hint="eastAsia" w:ascii="Arial" w:hAnsi="Arial" w:cs="Arial"/>
          <w:bCs/>
          <w:kern w:val="44"/>
          <w:szCs w:val="21"/>
          <w:lang w:val="en-US" w:eastAsia="zh-CN"/>
        </w:rPr>
      </w:pPr>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default" w:ascii="Arial" w:hAnsi="Arial" w:eastAsia="宋体" w:cs="Arial"/>
          <w:b/>
          <w:sz w:val="24"/>
          <w:szCs w:val="24"/>
        </w:rPr>
      </w:pPr>
      <w:bookmarkStart w:id="450" w:name="_Toc6053"/>
      <w:bookmarkStart w:id="451" w:name="_Toc11226"/>
      <w:bookmarkStart w:id="452" w:name="_Toc13746"/>
      <w:bookmarkStart w:id="453" w:name="_Toc18301"/>
      <w:bookmarkStart w:id="454" w:name="_Toc23910"/>
      <w:bookmarkStart w:id="455" w:name="_Toc6725"/>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hint="default" w:ascii="Arial" w:hAnsi="Arial" w:eastAsia="宋体" w:cs="Arial"/>
          <w:b/>
          <w:sz w:val="24"/>
          <w:szCs w:val="24"/>
        </w:rPr>
      </w:pPr>
      <w:bookmarkStart w:id="456" w:name="_Toc7214"/>
      <w:bookmarkStart w:id="457" w:name="_Toc16636"/>
      <w:r>
        <w:rPr>
          <w:rFonts w:hint="default" w:ascii="Arial" w:hAnsi="Arial" w:eastAsia="宋体" w:cs="Arial"/>
          <w:b/>
          <w:sz w:val="24"/>
          <w:szCs w:val="24"/>
        </w:rPr>
        <w:t>6.2.2其他资金流入</w:t>
      </w:r>
      <w:bookmarkEnd w:id="450"/>
      <w:bookmarkEnd w:id="451"/>
      <w:bookmarkEnd w:id="452"/>
      <w:bookmarkEnd w:id="453"/>
      <w:bookmarkEnd w:id="454"/>
      <w:bookmarkEnd w:id="455"/>
      <w:bookmarkEnd w:id="456"/>
      <w:bookmarkEnd w:id="457"/>
    </w:p>
    <w:p>
      <w:pPr>
        <w:ind w:firstLine="420" w:firstLineChars="200"/>
        <w:rPr>
          <w:rFonts w:ascii="Arial" w:hAnsi="Arial" w:cs="Arial"/>
          <w:bCs/>
          <w:kern w:val="44"/>
          <w:szCs w:val="21"/>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2</w:t>
      </w:r>
      <w:r>
        <w:rPr>
          <w:rFonts w:ascii="Arial" w:hAnsi="Arial" w:cs="Arial"/>
        </w:rPr>
        <w:t>月份，项目公司</w:t>
      </w:r>
      <w:r>
        <w:rPr>
          <w:rFonts w:hint="eastAsia" w:ascii="Arial" w:hAnsi="Arial" w:cs="Arial"/>
          <w:lang w:eastAsia="zh-CN"/>
        </w:rPr>
        <w:t>其他</w:t>
      </w:r>
      <w:r>
        <w:rPr>
          <w:rFonts w:ascii="Arial" w:hAnsi="Arial" w:cs="Arial"/>
          <w:bCs/>
          <w:kern w:val="44"/>
          <w:szCs w:val="21"/>
        </w:rPr>
        <w:t>资金流入情况见下表：</w:t>
      </w:r>
    </w:p>
    <w:p>
      <w:pPr>
        <w:spacing w:before="240" w:beforeLines="100"/>
        <w:jc w:val="center"/>
        <w:outlineLvl w:val="9"/>
        <w:rPr>
          <w:rFonts w:ascii="Arial" w:hAnsi="Arial" w:cs="Arial"/>
          <w:b/>
          <w:color w:val="000000"/>
          <w:sz w:val="24"/>
          <w:szCs w:val="28"/>
        </w:rPr>
      </w:pPr>
      <w:bookmarkStart w:id="458" w:name="_Toc5888"/>
    </w:p>
    <w:p>
      <w:pPr>
        <w:keepNext w:val="0"/>
        <w:keepLines w:val="0"/>
        <w:pageBreakBefore w:val="0"/>
        <w:widowControl w:val="0"/>
        <w:kinsoku/>
        <w:wordWrap/>
        <w:overflowPunct/>
        <w:topLinePunct w:val="0"/>
        <w:autoSpaceDE/>
        <w:autoSpaceDN/>
        <w:bidi w:val="0"/>
        <w:adjustRightInd/>
        <w:snapToGrid/>
        <w:spacing w:before="240" w:beforeLines="100"/>
        <w:jc w:val="center"/>
        <w:textAlignment w:val="auto"/>
        <w:outlineLvl w:val="9"/>
        <w:rPr>
          <w:rFonts w:ascii="Arial" w:hAnsi="Arial" w:cs="Arial"/>
          <w:bCs/>
          <w:kern w:val="44"/>
          <w:szCs w:val="21"/>
        </w:rPr>
      </w:pPr>
      <w:r>
        <w:rPr>
          <w:rFonts w:ascii="Arial" w:hAnsi="Arial" w:cs="Arial"/>
          <w:b/>
          <w:color w:val="000000"/>
          <w:sz w:val="24"/>
          <w:szCs w:val="28"/>
        </w:rPr>
        <w:t>项目公司资金流入情况表</w:t>
      </w:r>
      <w:bookmarkEnd w:id="458"/>
    </w:p>
    <w:tbl>
      <w:tblPr>
        <w:tblStyle w:val="19"/>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结息</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结息</w:t>
            </w:r>
          </w:p>
        </w:tc>
        <w:tc>
          <w:tcPr>
            <w:tcW w:w="1740"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1.77</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2021/2/1</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color w:val="000000"/>
                <w:kern w:val="0"/>
                <w:sz w:val="18"/>
                <w:szCs w:val="18"/>
                <w:lang w:val="en-US" w:eastAsia="zh-CN" w:bidi="ar"/>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108" w:type="dxa"/>
            <w:gridSpan w:val="2"/>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1.77</w:t>
            </w:r>
          </w:p>
        </w:tc>
      </w:tr>
    </w:tbl>
    <w:p>
      <w:pPr>
        <w:rPr>
          <w:rFonts w:ascii="Arial" w:hAnsi="Arial" w:cs="Arial"/>
          <w:sz w:val="24"/>
        </w:rPr>
      </w:pPr>
      <w:bookmarkStart w:id="459" w:name="_Toc14659"/>
      <w:bookmarkStart w:id="460" w:name="_Toc15854"/>
      <w:bookmarkStart w:id="461" w:name="_Toc798"/>
      <w:bookmarkStart w:id="462" w:name="_Toc6152"/>
      <w:bookmarkStart w:id="463" w:name="_Toc253"/>
      <w:bookmarkStart w:id="464" w:name="_Toc24345"/>
      <w:bookmarkStart w:id="465" w:name="_Toc29613"/>
      <w:bookmarkStart w:id="466" w:name="_Toc20088"/>
      <w:bookmarkStart w:id="467" w:name="_Toc8940"/>
      <w:bookmarkStart w:id="468" w:name="_Toc5640"/>
      <w:bookmarkStart w:id="469" w:name="_Toc535580033"/>
      <w:bookmarkStart w:id="470" w:name="_Toc535570760"/>
      <w:bookmarkStart w:id="471" w:name="_Toc532281664"/>
      <w:bookmarkStart w:id="472" w:name="_Toc535508646"/>
      <w:bookmarkStart w:id="473" w:name="_Toc45217883"/>
      <w:bookmarkStart w:id="474" w:name="_Toc535580101"/>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475" w:name="_Toc25090"/>
      <w:bookmarkStart w:id="476" w:name="_Toc10218"/>
      <w:bookmarkStart w:id="477" w:name="_Toc8253"/>
      <w:bookmarkStart w:id="478" w:name="_Toc18760"/>
      <w:bookmarkStart w:id="479" w:name="_Toc17925"/>
      <w:bookmarkStart w:id="480" w:name="_Toc17010"/>
      <w:bookmarkStart w:id="481" w:name="_Toc18844"/>
      <w:bookmarkStart w:id="482" w:name="_Toc19842"/>
      <w:bookmarkStart w:id="483" w:name="_Toc1651"/>
      <w:bookmarkStart w:id="484" w:name="_Toc32349"/>
      <w:r>
        <w:rPr>
          <w:rFonts w:hint="default" w:ascii="Arial" w:hAnsi="Arial" w:eastAsia="宋体" w:cs="Arial"/>
          <w:color w:val="000000"/>
          <w:sz w:val="24"/>
          <w:szCs w:val="24"/>
        </w:rPr>
        <w:t>6.3各类保证金情况</w:t>
      </w:r>
      <w:bookmarkEnd w:id="475"/>
      <w:bookmarkEnd w:id="476"/>
      <w:bookmarkEnd w:id="477"/>
      <w:bookmarkEnd w:id="478"/>
      <w:bookmarkEnd w:id="479"/>
      <w:bookmarkEnd w:id="480"/>
      <w:bookmarkEnd w:id="481"/>
      <w:bookmarkEnd w:id="482"/>
      <w:bookmarkEnd w:id="483"/>
      <w:bookmarkEnd w:id="484"/>
    </w:p>
    <w:p>
      <w:pPr>
        <w:spacing w:line="360" w:lineRule="auto"/>
        <w:ind w:firstLine="420" w:firstLineChars="200"/>
        <w:rPr>
          <w:rFonts w:ascii="Arial" w:hAnsi="Arial" w:cs="Arial"/>
          <w:szCs w:val="21"/>
        </w:rPr>
      </w:pPr>
      <w:r>
        <w:rPr>
          <w:rFonts w:ascii="Arial" w:hAnsi="Arial" w:cs="Arial"/>
          <w:szCs w:val="21"/>
        </w:rPr>
        <w:t>截至到202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日，项目公司共收取保证金45,283.25元,无退还。该资金的具体情况如下：</w:t>
      </w:r>
    </w:p>
    <w:p>
      <w:pPr>
        <w:rPr>
          <w:rFonts w:ascii="Arial" w:hAnsi="Arial" w:cs="Arial"/>
          <w:sz w:val="24"/>
        </w:rPr>
      </w:pPr>
    </w:p>
    <w:p>
      <w:pPr>
        <w:rPr>
          <w:rFonts w:ascii="Arial" w:hAnsi="Arial" w:cs="Arial"/>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人防监理项目履约保证金</w:t>
            </w:r>
          </w:p>
        </w:tc>
        <w:tc>
          <w:tcPr>
            <w:tcW w:w="1937" w:type="dxa"/>
            <w:vAlign w:val="bottom"/>
          </w:tcPr>
          <w:p>
            <w:pPr>
              <w:jc w:val="center"/>
              <w:rPr>
                <w:rFonts w:ascii="Arial" w:hAnsi="Arial" w:cs="Arial"/>
                <w:sz w:val="18"/>
                <w:szCs w:val="18"/>
              </w:rPr>
            </w:pPr>
            <w:r>
              <w:rPr>
                <w:rFonts w:ascii="Arial" w:hAnsi="Arial" w:cs="Arial"/>
                <w:sz w:val="18"/>
                <w:szCs w:val="18"/>
              </w:rPr>
              <w:t>2,840.38</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勘察履约保证金</w:t>
            </w:r>
          </w:p>
        </w:tc>
        <w:tc>
          <w:tcPr>
            <w:tcW w:w="1937" w:type="dxa"/>
            <w:vAlign w:val="bottom"/>
          </w:tcPr>
          <w:p>
            <w:pPr>
              <w:jc w:val="center"/>
              <w:rPr>
                <w:rFonts w:ascii="Arial" w:hAnsi="Arial" w:cs="Arial"/>
                <w:sz w:val="18"/>
                <w:szCs w:val="18"/>
              </w:rPr>
            </w:pPr>
            <w:r>
              <w:rPr>
                <w:rFonts w:ascii="Arial" w:hAnsi="Arial" w:cs="Arial"/>
                <w:sz w:val="18"/>
                <w:szCs w:val="18"/>
              </w:rPr>
              <w:t>18,224.50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监测履约保证金</w:t>
            </w:r>
          </w:p>
        </w:tc>
        <w:tc>
          <w:tcPr>
            <w:tcW w:w="1937" w:type="dxa"/>
            <w:vAlign w:val="bottom"/>
          </w:tcPr>
          <w:p>
            <w:pPr>
              <w:jc w:val="center"/>
              <w:rPr>
                <w:rFonts w:ascii="Arial" w:hAnsi="Arial" w:cs="Arial"/>
                <w:sz w:val="18"/>
                <w:szCs w:val="18"/>
              </w:rPr>
            </w:pPr>
            <w:r>
              <w:rPr>
                <w:rFonts w:ascii="Arial" w:hAnsi="Arial" w:cs="Arial"/>
                <w:sz w:val="18"/>
                <w:szCs w:val="18"/>
              </w:rPr>
              <w:t>6,404.52</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履约保证金</w:t>
            </w:r>
          </w:p>
        </w:tc>
        <w:tc>
          <w:tcPr>
            <w:tcW w:w="1937" w:type="dxa"/>
            <w:vAlign w:val="bottom"/>
          </w:tcPr>
          <w:p>
            <w:pPr>
              <w:jc w:val="center"/>
              <w:rPr>
                <w:rFonts w:ascii="Arial" w:hAnsi="Arial" w:cs="Arial"/>
                <w:sz w:val="18"/>
                <w:szCs w:val="18"/>
              </w:rPr>
            </w:pPr>
            <w:r>
              <w:rPr>
                <w:rFonts w:ascii="Arial" w:hAnsi="Arial" w:cs="Arial"/>
                <w:sz w:val="18"/>
                <w:szCs w:val="18"/>
              </w:rPr>
              <w:t>17,813.85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合计</w:t>
            </w:r>
          </w:p>
        </w:tc>
        <w:tc>
          <w:tcPr>
            <w:tcW w:w="1937" w:type="dxa"/>
            <w:vAlign w:val="bottom"/>
          </w:tcPr>
          <w:p>
            <w:pPr>
              <w:widowControl/>
              <w:jc w:val="center"/>
              <w:textAlignment w:val="bottom"/>
              <w:rPr>
                <w:rFonts w:ascii="Arial" w:hAnsi="Arial" w:cs="Arial"/>
                <w:b/>
                <w:color w:val="000000"/>
                <w:sz w:val="20"/>
                <w:szCs w:val="20"/>
              </w:rPr>
            </w:pPr>
            <w:r>
              <w:rPr>
                <w:rFonts w:ascii="Arial" w:hAnsi="Arial" w:cs="Arial"/>
                <w:sz w:val="18"/>
                <w:szCs w:val="18"/>
              </w:rPr>
              <w:t>45,283.25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2754" w:type="dxa"/>
            <w:gridSpan w:val="2"/>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b/>
                <w:bCs/>
                <w:sz w:val="18"/>
                <w:szCs w:val="18"/>
              </w:rPr>
            </w:pPr>
            <w:r>
              <w:rPr>
                <w:rFonts w:ascii="Arial" w:hAnsi="Arial" w:cs="Arial"/>
                <w:b/>
                <w:bCs/>
                <w:color w:val="000000"/>
                <w:kern w:val="0"/>
                <w:sz w:val="18"/>
                <w:szCs w:val="18"/>
              </w:rPr>
              <w:t>保证金余额</w:t>
            </w:r>
          </w:p>
        </w:tc>
        <w:tc>
          <w:tcPr>
            <w:tcW w:w="1937" w:type="dxa"/>
            <w:vAlign w:val="center"/>
          </w:tcPr>
          <w:p>
            <w:pPr>
              <w:jc w:val="center"/>
              <w:rPr>
                <w:rFonts w:ascii="Arial" w:hAnsi="Arial" w:cs="Arial"/>
                <w:b/>
                <w:bCs/>
                <w:sz w:val="24"/>
              </w:rPr>
            </w:pPr>
            <w:r>
              <w:rPr>
                <w:rFonts w:ascii="Arial" w:hAnsi="Arial" w:cs="Arial"/>
                <w:b/>
                <w:bCs/>
                <w:color w:val="000000"/>
                <w:kern w:val="0"/>
                <w:sz w:val="18"/>
                <w:szCs w:val="18"/>
                <w:lang w:bidi="ar"/>
              </w:rPr>
              <w:t>45,283.25</w:t>
            </w:r>
          </w:p>
        </w:tc>
        <w:tc>
          <w:tcPr>
            <w:tcW w:w="1745" w:type="dxa"/>
            <w:vAlign w:val="center"/>
          </w:tcPr>
          <w:p>
            <w:pPr>
              <w:jc w:val="center"/>
              <w:rPr>
                <w:rFonts w:ascii="Arial" w:hAnsi="Arial" w:cs="Arial"/>
                <w:b/>
                <w:bCs/>
                <w:color w:val="000000"/>
                <w:kern w:val="0"/>
                <w:sz w:val="18"/>
                <w:szCs w:val="18"/>
                <w:lang w:bidi="ar"/>
              </w:rPr>
            </w:pPr>
            <w:r>
              <w:rPr>
                <w:rFonts w:ascii="Arial" w:hAnsi="Arial" w:cs="Arial"/>
                <w:color w:val="000000"/>
                <w:kern w:val="0"/>
                <w:sz w:val="18"/>
                <w:szCs w:val="18"/>
              </w:rPr>
              <w:t>——</w:t>
            </w:r>
          </w:p>
        </w:tc>
        <w:tc>
          <w:tcPr>
            <w:tcW w:w="2754" w:type="dxa"/>
            <w:gridSpan w:val="2"/>
            <w:vAlign w:val="center"/>
          </w:tcPr>
          <w:p>
            <w:pPr>
              <w:jc w:val="center"/>
              <w:rPr>
                <w:rFonts w:ascii="Arial" w:hAnsi="Arial" w:cs="Arial"/>
                <w:b/>
                <w:bCs/>
                <w:sz w:val="24"/>
              </w:rPr>
            </w:pPr>
            <w:r>
              <w:rPr>
                <w:rFonts w:ascii="Arial" w:hAnsi="Arial" w:cs="Arial"/>
                <w:color w:val="000000"/>
                <w:kern w:val="0"/>
                <w:sz w:val="18"/>
                <w:szCs w:val="18"/>
              </w:rPr>
              <w:t>——</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485" w:name="_Toc17908"/>
      <w:bookmarkStart w:id="486" w:name="_Toc12807"/>
      <w:bookmarkStart w:id="487" w:name="_Toc22219"/>
      <w:bookmarkStart w:id="488" w:name="_Toc15806"/>
      <w:bookmarkStart w:id="489" w:name="_Toc22479"/>
      <w:bookmarkStart w:id="490" w:name="_Toc23006"/>
      <w:bookmarkStart w:id="491" w:name="_Toc9635"/>
      <w:bookmarkStart w:id="492" w:name="_Toc10864"/>
      <w:bookmarkStart w:id="493" w:name="_Toc8246"/>
      <w:bookmarkStart w:id="494" w:name="_Toc8358"/>
      <w:bookmarkStart w:id="495" w:name="_Toc8059"/>
      <w:bookmarkStart w:id="496" w:name="_Toc26359"/>
      <w:bookmarkStart w:id="497" w:name="_Toc14227"/>
      <w:bookmarkStart w:id="498" w:name="_Toc6251"/>
      <w:bookmarkStart w:id="499" w:name="_Toc14810"/>
      <w:bookmarkStart w:id="500" w:name="_Toc25612"/>
      <w:bookmarkStart w:id="501" w:name="_Toc4806"/>
      <w:bookmarkStart w:id="502" w:name="_Toc12305"/>
      <w:r>
        <w:rPr>
          <w:rFonts w:hint="default" w:ascii="Arial" w:hAnsi="Arial" w:eastAsia="宋体" w:cs="Arial"/>
          <w:color w:val="000000"/>
          <w:sz w:val="24"/>
          <w:szCs w:val="24"/>
        </w:rPr>
        <w:t>6.4各银行账户余额</w:t>
      </w:r>
      <w:bookmarkEnd w:id="459"/>
      <w:bookmarkEnd w:id="460"/>
      <w:bookmarkEnd w:id="461"/>
      <w:bookmarkEnd w:id="462"/>
      <w:bookmarkEnd w:id="463"/>
      <w:bookmarkEnd w:id="464"/>
      <w:bookmarkEnd w:id="465"/>
      <w:bookmarkEnd w:id="466"/>
      <w:bookmarkEnd w:id="467"/>
      <w:bookmarkEnd w:id="468"/>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日，项目公司各资金账户余额总计</w:t>
      </w:r>
      <w:r>
        <w:rPr>
          <w:rFonts w:hint="eastAsia" w:ascii="Arial" w:hAnsi="Arial" w:cs="Arial"/>
          <w:szCs w:val="21"/>
        </w:rPr>
        <w:t xml:space="preserve">40,166,605.98 </w:t>
      </w:r>
      <w:r>
        <w:rPr>
          <w:rFonts w:ascii="Arial" w:hAnsi="Arial" w:cs="Arial"/>
          <w:szCs w:val="21"/>
        </w:rPr>
        <w:t>元，各账户余额见下表。</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日项目公司各银行账户余额汇总</w:t>
      </w:r>
    </w:p>
    <w:tbl>
      <w:tblPr>
        <w:tblStyle w:val="18"/>
        <w:tblW w:w="918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408"/>
        <w:gridCol w:w="261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76"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408"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1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583"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408" w:type="dxa"/>
            <w:noWrap/>
            <w:vAlign w:val="center"/>
          </w:tcPr>
          <w:p>
            <w:pPr>
              <w:jc w:val="center"/>
              <w:rPr>
                <w:rFonts w:ascii="Arial" w:hAnsi="Arial" w:cs="Arial"/>
                <w:color w:val="000000"/>
                <w:sz w:val="24"/>
              </w:rPr>
            </w:pPr>
            <w:r>
              <w:rPr>
                <w:rFonts w:ascii="Arial" w:hAnsi="Arial" w:cs="Arial"/>
                <w:sz w:val="18"/>
                <w:szCs w:val="18"/>
              </w:rPr>
              <w:t>中国建设银行股份有限公司海盐支行</w:t>
            </w:r>
          </w:p>
        </w:tc>
        <w:tc>
          <w:tcPr>
            <w:tcW w:w="2613" w:type="dxa"/>
            <w:noWrap/>
            <w:vAlign w:val="center"/>
          </w:tcPr>
          <w:p>
            <w:pPr>
              <w:jc w:val="center"/>
              <w:rPr>
                <w:rFonts w:ascii="Arial" w:hAnsi="Arial" w:cs="Arial"/>
                <w:color w:val="000000"/>
                <w:sz w:val="24"/>
              </w:rPr>
            </w:pPr>
            <w:r>
              <w:rPr>
                <w:rFonts w:ascii="Arial" w:hAnsi="Arial" w:cs="Arial"/>
                <w:sz w:val="18"/>
                <w:szCs w:val="18"/>
              </w:rPr>
              <w:t>33050163712700001027</w:t>
            </w:r>
          </w:p>
        </w:tc>
        <w:tc>
          <w:tcPr>
            <w:tcW w:w="2583" w:type="dxa"/>
            <w:noWrap/>
            <w:vAlign w:val="bottom"/>
          </w:tcPr>
          <w:p>
            <w:pPr>
              <w:widowControl/>
              <w:jc w:val="center"/>
              <w:rPr>
                <w:rFonts w:ascii="Arial" w:hAnsi="Arial" w:cs="Arial"/>
                <w:sz w:val="18"/>
                <w:szCs w:val="18"/>
                <w:lang w:val="en-US" w:eastAsia="zh-CN"/>
              </w:rPr>
            </w:pPr>
            <w:r>
              <w:rPr>
                <w:rFonts w:hint="default" w:ascii="Arial" w:hAnsi="Arial" w:cs="Arial"/>
                <w:b w:val="0"/>
                <w:bCs w:val="0"/>
                <w:kern w:val="0"/>
                <w:sz w:val="18"/>
                <w:szCs w:val="18"/>
                <w:lang w:val="en-US" w:eastAsia="zh-CN"/>
              </w:rPr>
              <w:t xml:space="preserve">2,548,921.73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3408" w:type="dxa"/>
            <w:noWrap/>
            <w:vAlign w:val="center"/>
          </w:tcPr>
          <w:p>
            <w:pPr>
              <w:jc w:val="center"/>
              <w:rPr>
                <w:rFonts w:ascii="Arial" w:hAnsi="Arial" w:cs="Arial"/>
                <w:sz w:val="18"/>
                <w:szCs w:val="18"/>
                <w:lang w:bidi="ar"/>
              </w:rPr>
            </w:pPr>
            <w:r>
              <w:rPr>
                <w:rFonts w:ascii="Arial" w:hAnsi="Arial" w:cs="Arial"/>
                <w:sz w:val="18"/>
                <w:szCs w:val="18"/>
              </w:rPr>
              <w:t>中国银行股份有限公司海盐支行</w:t>
            </w:r>
          </w:p>
        </w:tc>
        <w:tc>
          <w:tcPr>
            <w:tcW w:w="2613" w:type="dxa"/>
            <w:noWrap/>
            <w:vAlign w:val="center"/>
          </w:tcPr>
          <w:p>
            <w:pPr>
              <w:jc w:val="center"/>
              <w:rPr>
                <w:rFonts w:ascii="Arial" w:hAnsi="Arial" w:cs="Arial"/>
                <w:color w:val="000000"/>
                <w:kern w:val="0"/>
                <w:sz w:val="18"/>
                <w:szCs w:val="18"/>
                <w:lang w:bidi="ar"/>
              </w:rPr>
            </w:pPr>
            <w:r>
              <w:rPr>
                <w:rFonts w:ascii="Arial" w:hAnsi="Arial" w:cs="Arial"/>
                <w:sz w:val="18"/>
                <w:szCs w:val="18"/>
              </w:rPr>
              <w:t>374078228270</w:t>
            </w:r>
          </w:p>
        </w:tc>
        <w:tc>
          <w:tcPr>
            <w:tcW w:w="2583" w:type="dxa"/>
            <w:noWrap/>
            <w:vAlign w:val="bottom"/>
          </w:tcPr>
          <w:p>
            <w:pPr>
              <w:widowControl/>
              <w:jc w:val="center"/>
              <w:rPr>
                <w:rFonts w:ascii="Arial" w:hAnsi="Arial" w:cs="Arial"/>
                <w:sz w:val="18"/>
                <w:szCs w:val="18"/>
                <w:lang w:val="en-US" w:eastAsia="zh-CN"/>
              </w:rPr>
            </w:pPr>
            <w:r>
              <w:rPr>
                <w:rFonts w:hint="default" w:ascii="Arial" w:hAnsi="Arial" w:cs="Arial"/>
                <w:b w:val="0"/>
                <w:bCs w:val="0"/>
                <w:kern w:val="0"/>
                <w:sz w:val="18"/>
                <w:szCs w:val="18"/>
                <w:lang w:val="en-US" w:eastAsia="zh-CN"/>
              </w:rPr>
              <w:t xml:space="preserve">24,213,139.05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3408" w:type="dxa"/>
            <w:noWrap/>
            <w:vAlign w:val="center"/>
          </w:tcPr>
          <w:p>
            <w:pPr>
              <w:jc w:val="center"/>
              <w:rPr>
                <w:rFonts w:ascii="Arial" w:hAnsi="Arial" w:cs="Arial"/>
                <w:sz w:val="18"/>
                <w:szCs w:val="18"/>
                <w:lang w:bidi="ar"/>
              </w:rPr>
            </w:pPr>
            <w:r>
              <w:rPr>
                <w:rFonts w:ascii="Arial" w:hAnsi="Arial" w:cs="Arial"/>
                <w:sz w:val="18"/>
                <w:szCs w:val="18"/>
              </w:rPr>
              <w:t>中国农业银行股份有限公司海盐县支行</w:t>
            </w:r>
          </w:p>
        </w:tc>
        <w:tc>
          <w:tcPr>
            <w:tcW w:w="2613" w:type="dxa"/>
            <w:noWrap/>
            <w:vAlign w:val="center"/>
          </w:tcPr>
          <w:p>
            <w:pPr>
              <w:jc w:val="center"/>
              <w:rPr>
                <w:rFonts w:ascii="Arial" w:hAnsi="Arial" w:cs="Arial"/>
                <w:sz w:val="18"/>
                <w:szCs w:val="18"/>
              </w:rPr>
            </w:pPr>
            <w:r>
              <w:rPr>
                <w:rFonts w:ascii="Arial" w:hAnsi="Arial" w:cs="Arial"/>
                <w:sz w:val="18"/>
                <w:szCs w:val="18"/>
              </w:rPr>
              <w:t>10360101040032179</w:t>
            </w:r>
          </w:p>
        </w:tc>
        <w:tc>
          <w:tcPr>
            <w:tcW w:w="2583" w:type="dxa"/>
            <w:noWrap/>
            <w:vAlign w:val="bottom"/>
          </w:tcPr>
          <w:p>
            <w:pPr>
              <w:widowControl/>
              <w:jc w:val="center"/>
              <w:rPr>
                <w:rFonts w:hint="eastAsia" w:ascii="Arial" w:hAnsi="Arial" w:eastAsia="宋体" w:cs="Arial"/>
                <w:i w:val="0"/>
                <w:color w:val="000000"/>
                <w:kern w:val="2"/>
                <w:sz w:val="20"/>
                <w:szCs w:val="20"/>
                <w:u w:val="none"/>
                <w:lang w:val="en-US" w:eastAsia="zh-CN" w:bidi="ar-SA"/>
              </w:rPr>
            </w:pPr>
            <w:r>
              <w:rPr>
                <w:rFonts w:hint="default" w:ascii="Arial" w:hAnsi="Arial" w:cs="Arial"/>
                <w:b w:val="0"/>
                <w:bCs w:val="0"/>
                <w:kern w:val="0"/>
                <w:sz w:val="18"/>
                <w:szCs w:val="18"/>
                <w:lang w:val="en-US" w:eastAsia="zh-CN"/>
              </w:rPr>
              <w:t xml:space="preserve">199,902.27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hint="eastAsia" w:ascii="Arial" w:hAnsi="Arial" w:eastAsia="宋体" w:cs="Arial"/>
                <w:color w:val="000000"/>
                <w:sz w:val="18"/>
                <w:szCs w:val="15"/>
                <w:lang w:val="en-US" w:eastAsia="zh-CN"/>
              </w:rPr>
            </w:pPr>
            <w:r>
              <w:rPr>
                <w:rFonts w:hint="eastAsia" w:ascii="Arial" w:hAnsi="Arial" w:cs="Arial"/>
                <w:color w:val="000000"/>
                <w:sz w:val="18"/>
                <w:szCs w:val="15"/>
                <w:lang w:val="en-US" w:eastAsia="zh-CN"/>
              </w:rPr>
              <w:t>4</w:t>
            </w:r>
          </w:p>
        </w:tc>
        <w:tc>
          <w:tcPr>
            <w:tcW w:w="3408" w:type="dxa"/>
            <w:noWrap/>
            <w:vAlign w:val="center"/>
          </w:tcPr>
          <w:p>
            <w:pPr>
              <w:jc w:val="center"/>
              <w:rPr>
                <w:rFonts w:ascii="Arial" w:hAnsi="Arial" w:cs="Arial"/>
                <w:sz w:val="18"/>
                <w:szCs w:val="18"/>
              </w:rPr>
            </w:pPr>
            <w:r>
              <w:rPr>
                <w:rFonts w:hint="eastAsia" w:ascii="Arial" w:hAnsi="Arial" w:eastAsia="宋体"/>
                <w:color w:val="auto"/>
                <w:sz w:val="18"/>
                <w:szCs w:val="18"/>
              </w:rPr>
              <w:t>中国农业银行股份有限公司海盐县支行</w:t>
            </w:r>
          </w:p>
        </w:tc>
        <w:tc>
          <w:tcPr>
            <w:tcW w:w="2613" w:type="dxa"/>
            <w:noWrap/>
            <w:vAlign w:val="center"/>
          </w:tcPr>
          <w:p>
            <w:pPr>
              <w:jc w:val="center"/>
              <w:rPr>
                <w:rFonts w:ascii="Arial" w:hAnsi="Arial" w:cs="Arial"/>
                <w:sz w:val="18"/>
                <w:szCs w:val="18"/>
              </w:rPr>
            </w:pPr>
            <w:r>
              <w:rPr>
                <w:rFonts w:hint="eastAsia" w:ascii="Arial" w:hAnsi="Arial" w:eastAsia="宋体" w:cs="Arial"/>
                <w:color w:val="auto"/>
                <w:sz w:val="18"/>
                <w:szCs w:val="18"/>
                <w:lang w:val="en-US" w:eastAsia="zh-CN"/>
              </w:rPr>
              <w:t>19360101040038028</w:t>
            </w:r>
          </w:p>
        </w:tc>
        <w:tc>
          <w:tcPr>
            <w:tcW w:w="2583" w:type="dxa"/>
            <w:noWrap/>
            <w:vAlign w:val="center"/>
          </w:tcPr>
          <w:p>
            <w:pPr>
              <w:keepNext w:val="0"/>
              <w:keepLines w:val="0"/>
              <w:widowControl/>
              <w:suppressLineNumbers w:val="0"/>
              <w:jc w:val="center"/>
              <w:textAlignment w:val="center"/>
              <w:rPr>
                <w:rFonts w:hint="eastAsia" w:ascii="Arial" w:hAnsi="Arial" w:eastAsia="宋体" w:cs="Arial"/>
                <w:i w:val="0"/>
                <w:color w:val="000000"/>
                <w:kern w:val="2"/>
                <w:sz w:val="20"/>
                <w:szCs w:val="20"/>
                <w:u w:val="none"/>
                <w:lang w:val="en-US" w:eastAsia="zh-CN" w:bidi="ar-SA"/>
              </w:rPr>
            </w:pPr>
            <w:r>
              <w:rPr>
                <w:rFonts w:hint="default" w:ascii="Arial" w:hAnsi="Arial" w:cs="Arial"/>
                <w:b w:val="0"/>
                <w:bCs w:val="0"/>
                <w:kern w:val="0"/>
                <w:sz w:val="18"/>
                <w:szCs w:val="18"/>
                <w:lang w:val="en-US" w:eastAsia="zh-CN"/>
              </w:rPr>
              <w:t>13,204,642.93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b/>
                <w:color w:val="000000"/>
                <w:sz w:val="18"/>
                <w:szCs w:val="15"/>
              </w:rPr>
            </w:pPr>
          </w:p>
        </w:tc>
        <w:tc>
          <w:tcPr>
            <w:tcW w:w="3408"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1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583" w:type="dxa"/>
            <w:noWrap/>
            <w:vAlign w:val="center"/>
          </w:tcPr>
          <w:p>
            <w:pPr>
              <w:keepNext w:val="0"/>
              <w:keepLines w:val="0"/>
              <w:widowControl/>
              <w:suppressLineNumbers w:val="0"/>
              <w:jc w:val="center"/>
              <w:textAlignment w:val="bottom"/>
              <w:rPr>
                <w:rFonts w:ascii="Arial" w:hAnsi="Arial" w:cs="Arial"/>
                <w:color w:val="000000"/>
                <w:sz w:val="18"/>
                <w:szCs w:val="18"/>
              </w:rPr>
            </w:pPr>
            <w:r>
              <w:rPr>
                <w:rFonts w:hint="eastAsia" w:ascii="Arial" w:hAnsi="Arial" w:cs="Arial"/>
                <w:b/>
                <w:bCs/>
                <w:kern w:val="0"/>
                <w:sz w:val="18"/>
                <w:szCs w:val="18"/>
                <w:lang w:val="en-US" w:eastAsia="zh-CN"/>
              </w:rPr>
              <w:t>40,166,605.98</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sz w:val="24"/>
          <w:szCs w:val="24"/>
        </w:rPr>
      </w:pPr>
      <w:bookmarkStart w:id="503" w:name="_Toc100"/>
      <w:bookmarkStart w:id="504" w:name="_Toc13697"/>
      <w:bookmarkStart w:id="505" w:name="_Toc334"/>
      <w:bookmarkStart w:id="506" w:name="_Toc28705"/>
      <w:bookmarkStart w:id="507" w:name="_Toc12693"/>
      <w:bookmarkStart w:id="508" w:name="_Toc32594"/>
      <w:bookmarkStart w:id="509" w:name="_Toc23061"/>
      <w:bookmarkStart w:id="510" w:name="_Toc18260"/>
      <w:bookmarkStart w:id="511" w:name="_Toc11089"/>
      <w:bookmarkStart w:id="512" w:name="_Toc4564"/>
      <w:bookmarkStart w:id="513" w:name="_Toc22358"/>
      <w:bookmarkStart w:id="514" w:name="_Toc18031"/>
      <w:bookmarkStart w:id="515" w:name="_Toc14795"/>
      <w:bookmarkStart w:id="516" w:name="_Toc7872"/>
      <w:bookmarkStart w:id="517" w:name="_Toc8417"/>
      <w:bookmarkStart w:id="518" w:name="_Toc15728"/>
      <w:bookmarkStart w:id="519" w:name="_Toc8867"/>
      <w:bookmarkStart w:id="520" w:name="_Toc4218"/>
      <w:bookmarkStart w:id="521" w:name="_Toc24349"/>
      <w:bookmarkStart w:id="522" w:name="_Toc1673"/>
      <w:bookmarkStart w:id="523" w:name="_Toc27863"/>
      <w:bookmarkStart w:id="524" w:name="_Toc31576"/>
      <w:bookmarkStart w:id="525" w:name="_Toc22072"/>
      <w:bookmarkStart w:id="526" w:name="_Toc18101"/>
      <w:bookmarkStart w:id="527" w:name="_Toc27779"/>
      <w:bookmarkStart w:id="528" w:name="_Toc11940"/>
      <w:bookmarkStart w:id="529" w:name="_Toc704"/>
      <w:bookmarkStart w:id="530" w:name="_Toc2816"/>
      <w:r>
        <w:rPr>
          <w:rFonts w:ascii="Arial" w:hAnsi="Arial" w:cs="Arial"/>
          <w:sz w:val="24"/>
          <w:szCs w:val="24"/>
        </w:rPr>
        <w:t>7项目成本统计</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531" w:name="_Toc31871"/>
      <w:bookmarkStart w:id="532" w:name="_Toc7696"/>
      <w:bookmarkStart w:id="533" w:name="_Toc31692"/>
      <w:bookmarkStart w:id="534" w:name="_Toc13562"/>
      <w:bookmarkStart w:id="535" w:name="_Toc31081"/>
      <w:bookmarkStart w:id="536" w:name="_Toc227"/>
      <w:bookmarkStart w:id="537" w:name="_Toc4672"/>
      <w:bookmarkStart w:id="538" w:name="_Toc5703"/>
      <w:bookmarkStart w:id="539" w:name="_Toc3669"/>
      <w:bookmarkStart w:id="540" w:name="_Toc6299"/>
      <w:bookmarkStart w:id="541" w:name="_Toc19639"/>
      <w:bookmarkStart w:id="542" w:name="_Toc30894"/>
      <w:bookmarkStart w:id="543" w:name="_Toc17605"/>
      <w:bookmarkStart w:id="544" w:name="_Toc13627"/>
      <w:bookmarkStart w:id="545" w:name="_Toc15407"/>
      <w:bookmarkStart w:id="546" w:name="_Toc31778"/>
      <w:bookmarkStart w:id="547" w:name="_Toc9983"/>
      <w:bookmarkStart w:id="548" w:name="_Toc28506"/>
      <w:bookmarkStart w:id="549" w:name="_Toc12349"/>
      <w:bookmarkStart w:id="550" w:name="_Toc3228"/>
      <w:r>
        <w:rPr>
          <w:rFonts w:hint="default" w:ascii="Arial" w:hAnsi="Arial" w:eastAsia="宋体" w:cs="Arial"/>
          <w:color w:val="000000"/>
          <w:sz w:val="24"/>
          <w:szCs w:val="24"/>
        </w:rPr>
        <w:t>7.1资金使用情况统计</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spacing w:line="480" w:lineRule="auto"/>
        <w:ind w:firstLine="420" w:firstLineChars="200"/>
        <w:rPr>
          <w:rFonts w:ascii="Arial" w:hAnsi="Arial" w:cs="Arial"/>
          <w:szCs w:val="21"/>
        </w:rPr>
      </w:pPr>
      <w:r>
        <w:rPr>
          <w:rFonts w:ascii="Arial" w:hAnsi="Arial" w:cs="Arial"/>
          <w:szCs w:val="21"/>
        </w:rPr>
        <w:t>根据信托尽调报告，项目总目标成本119,832.05万元，建面单方成本约15,456.14元/㎡。截至202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日，项目已使用资金</w:t>
      </w:r>
      <w:r>
        <w:rPr>
          <w:rFonts w:hint="eastAsia" w:ascii="Arial" w:hAnsi="Arial" w:cs="Arial"/>
          <w:szCs w:val="21"/>
        </w:rPr>
        <w:t>64,</w:t>
      </w:r>
      <w:r>
        <w:rPr>
          <w:rFonts w:hint="eastAsia" w:ascii="Arial" w:hAnsi="Arial" w:cs="Arial"/>
          <w:szCs w:val="21"/>
          <w:lang w:val="en-US" w:eastAsia="zh-CN"/>
        </w:rPr>
        <w:t>916</w:t>
      </w:r>
      <w:r>
        <w:rPr>
          <w:rFonts w:hint="eastAsia" w:ascii="Arial" w:hAnsi="Arial" w:cs="Arial"/>
          <w:szCs w:val="21"/>
        </w:rPr>
        <w:t>.</w:t>
      </w:r>
      <w:r>
        <w:rPr>
          <w:rFonts w:hint="eastAsia" w:ascii="Arial" w:hAnsi="Arial" w:cs="Arial"/>
          <w:szCs w:val="21"/>
          <w:lang w:val="en-US" w:eastAsia="zh-CN"/>
        </w:rPr>
        <w:t>16</w:t>
      </w:r>
      <w:r>
        <w:rPr>
          <w:rFonts w:ascii="Arial" w:hAnsi="Arial" w:cs="Arial"/>
          <w:szCs w:val="21"/>
        </w:rPr>
        <w:t>万元，其中本期使用</w:t>
      </w:r>
      <w:r>
        <w:rPr>
          <w:rFonts w:hint="eastAsia" w:ascii="Arial" w:hAnsi="Arial" w:cs="Arial"/>
          <w:szCs w:val="21"/>
          <w:lang w:val="en-US" w:eastAsia="zh-CN"/>
        </w:rPr>
        <w:t>133.87</w:t>
      </w:r>
      <w:r>
        <w:rPr>
          <w:rFonts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01"/>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年</w:t>
            </w:r>
            <w:r>
              <w:rPr>
                <w:rFonts w:hint="eastAsia" w:ascii="Arial" w:hAnsi="Arial" w:cs="Arial"/>
                <w:b/>
                <w:bCs/>
                <w:color w:val="000000"/>
                <w:kern w:val="0"/>
                <w:sz w:val="18"/>
                <w:szCs w:val="18"/>
                <w:lang w:val="en-US" w:eastAsia="zh-CN"/>
              </w:rPr>
              <w:t>2</w:t>
            </w:r>
            <w:r>
              <w:rPr>
                <w:rFonts w:ascii="Arial" w:hAnsi="Arial" w:cs="Arial"/>
                <w:b/>
                <w:bCs/>
                <w:color w:val="000000"/>
                <w:kern w:val="0"/>
                <w:sz w:val="18"/>
                <w:szCs w:val="18"/>
              </w:rPr>
              <w:t>月份</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年</w:t>
            </w:r>
            <w:r>
              <w:rPr>
                <w:rFonts w:hint="eastAsia" w:ascii="Arial" w:hAnsi="Arial" w:cs="Arial"/>
                <w:b/>
                <w:bCs/>
                <w:color w:val="000000"/>
                <w:kern w:val="0"/>
                <w:sz w:val="18"/>
                <w:szCs w:val="18"/>
                <w:lang w:val="en-US" w:eastAsia="zh-CN"/>
              </w:rPr>
              <w:t>2</w:t>
            </w:r>
            <w:r>
              <w:rPr>
                <w:rFonts w:ascii="Arial" w:hAnsi="Arial" w:cs="Arial"/>
                <w:b/>
                <w:bCs/>
                <w:color w:val="000000"/>
                <w:kern w:val="0"/>
                <w:sz w:val="18"/>
                <w:szCs w:val="18"/>
              </w:rPr>
              <w:t>月</w:t>
            </w:r>
            <w:r>
              <w:rPr>
                <w:rFonts w:hint="eastAsia" w:ascii="Arial" w:hAnsi="Arial" w:cs="Arial"/>
                <w:b/>
                <w:bCs/>
                <w:color w:val="000000"/>
                <w:kern w:val="0"/>
                <w:sz w:val="18"/>
                <w:szCs w:val="18"/>
                <w:lang w:val="en-US" w:eastAsia="zh-CN"/>
              </w:rPr>
              <w:t>28</w:t>
            </w:r>
            <w:r>
              <w:rPr>
                <w:rFonts w:ascii="Arial" w:hAnsi="Arial" w:cs="Arial"/>
                <w:b/>
                <w:bCs/>
                <w:color w:val="000000"/>
                <w:kern w:val="0"/>
                <w:sz w:val="18"/>
                <w:szCs w:val="18"/>
              </w:rPr>
              <w:t>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525,566,943.90</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土地成本小计</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525,566,943.90</w:t>
            </w:r>
          </w:p>
        </w:tc>
        <w:tc>
          <w:tcPr>
            <w:tcW w:w="161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40" w:type="dxa"/>
            <w:gridSpan w:val="2"/>
            <w:noWrap/>
            <w:vAlign w:val="center"/>
          </w:tcPr>
          <w:p>
            <w:pPr>
              <w:rPr>
                <w:rFonts w:ascii="Arial" w:hAnsi="Arial" w:cs="Arial"/>
                <w:color w:val="000000"/>
                <w:kern w:val="0"/>
                <w:sz w:val="18"/>
                <w:szCs w:val="18"/>
                <w:lang w:bidi="ar"/>
              </w:rPr>
            </w:pPr>
          </w:p>
        </w:tc>
        <w:tc>
          <w:tcPr>
            <w:tcW w:w="2053" w:type="dxa"/>
            <w:noWrap/>
            <w:vAlign w:val="center"/>
          </w:tcPr>
          <w:p/>
        </w:tc>
        <w:tc>
          <w:tcPr>
            <w:tcW w:w="2155" w:type="dxa"/>
            <w:noWrap/>
            <w:vAlign w:val="center"/>
          </w:tcPr>
          <w:p/>
        </w:tc>
        <w:tc>
          <w:tcPr>
            <w:tcW w:w="1610"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19,990,000.00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7,079,833.04</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344,030,000.00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45,600.31</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107,535,866.04</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53,090,000.00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710,000.00</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44,430,000.00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2,813,888.21</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承诺成本小计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461,540,000.00</w:t>
            </w:r>
          </w:p>
        </w:tc>
        <w:tc>
          <w:tcPr>
            <w:tcW w:w="2053"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45,600.31</w:t>
            </w:r>
          </w:p>
        </w:tc>
        <w:tc>
          <w:tcPr>
            <w:tcW w:w="2155"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118,139,587.29</w:t>
            </w:r>
          </w:p>
        </w:tc>
        <w:tc>
          <w:tcPr>
            <w:tcW w:w="161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40" w:type="dxa"/>
            <w:gridSpan w:val="2"/>
            <w:noWrap/>
            <w:vAlign w:val="center"/>
          </w:tcPr>
          <w:p>
            <w:pPr>
              <w:rPr>
                <w:rFonts w:ascii="Arial" w:hAnsi="Arial" w:cs="Arial"/>
                <w:color w:val="000000"/>
                <w:kern w:val="0"/>
                <w:sz w:val="18"/>
                <w:szCs w:val="18"/>
                <w:lang w:bidi="ar"/>
              </w:rPr>
            </w:pPr>
          </w:p>
        </w:tc>
        <w:tc>
          <w:tcPr>
            <w:tcW w:w="2053" w:type="dxa"/>
            <w:noWrap/>
            <w:vAlign w:val="center"/>
          </w:tcPr>
          <w:p>
            <w:pPr>
              <w:jc w:val="center"/>
            </w:pPr>
          </w:p>
        </w:tc>
        <w:tc>
          <w:tcPr>
            <w:tcW w:w="2155" w:type="dxa"/>
            <w:noWrap/>
            <w:vAlign w:val="center"/>
          </w:tcPr>
          <w:p/>
        </w:tc>
        <w:tc>
          <w:tcPr>
            <w:tcW w:w="1610"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24,750,000.00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992,602.86</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1,218,580.31</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119,886,900.00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26,210,800.00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37,245.21</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7</w:t>
            </w:r>
            <w:r>
              <w:rPr>
                <w:rFonts w:hint="eastAsia"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9,114.85</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39,316,100.00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263,231.35</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3,527,414.12</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期间费用和税费小计</w:t>
            </w:r>
          </w:p>
        </w:tc>
        <w:tc>
          <w:tcPr>
            <w:tcW w:w="1801"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210,163,800.00</w:t>
            </w:r>
          </w:p>
        </w:tc>
        <w:tc>
          <w:tcPr>
            <w:tcW w:w="2053"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1,293,079.42</w:t>
            </w:r>
          </w:p>
        </w:tc>
        <w:tc>
          <w:tcPr>
            <w:tcW w:w="2155"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5,455,109.28</w:t>
            </w:r>
          </w:p>
        </w:tc>
        <w:tc>
          <w:tcPr>
            <w:tcW w:w="161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1,198,320,500.00</w:t>
            </w:r>
          </w:p>
        </w:tc>
        <w:tc>
          <w:tcPr>
            <w:tcW w:w="2053" w:type="dxa"/>
            <w:noWrap/>
            <w:vAlign w:val="center"/>
          </w:tcPr>
          <w:p>
            <w:pPr>
              <w:keepNext w:val="0"/>
              <w:keepLines w:val="0"/>
              <w:widowControl/>
              <w:suppressLineNumbers w:val="0"/>
              <w:jc w:val="center"/>
              <w:textAlignment w:val="center"/>
              <w:rPr>
                <w:rFonts w:ascii="Arial" w:hAnsi="Arial" w:cs="Arial"/>
                <w:b/>
                <w:bCs/>
                <w:color w:val="000000"/>
                <w:kern w:val="0"/>
                <w:sz w:val="18"/>
                <w:szCs w:val="18"/>
              </w:rPr>
            </w:pPr>
            <w:r>
              <w:rPr>
                <w:rFonts w:hint="default" w:ascii="Arial" w:hAnsi="Arial" w:eastAsia="宋体" w:cs="Arial"/>
                <w:b/>
                <w:i w:val="0"/>
                <w:color w:val="000000"/>
                <w:kern w:val="0"/>
                <w:sz w:val="18"/>
                <w:szCs w:val="18"/>
                <w:u w:val="none"/>
                <w:lang w:val="en-US" w:eastAsia="zh-CN" w:bidi="ar"/>
              </w:rPr>
              <w:t>1,338,679.73</w:t>
            </w:r>
          </w:p>
        </w:tc>
        <w:tc>
          <w:tcPr>
            <w:tcW w:w="2155" w:type="dxa"/>
            <w:noWrap/>
            <w:vAlign w:val="center"/>
          </w:tcPr>
          <w:p>
            <w:pPr>
              <w:keepNext w:val="0"/>
              <w:keepLines w:val="0"/>
              <w:widowControl/>
              <w:suppressLineNumbers w:val="0"/>
              <w:jc w:val="center"/>
              <w:textAlignment w:val="center"/>
              <w:rPr>
                <w:rFonts w:ascii="Arial" w:hAnsi="Arial" w:cs="Arial"/>
                <w:b/>
                <w:bCs/>
                <w:color w:val="000000"/>
                <w:kern w:val="0"/>
                <w:sz w:val="18"/>
                <w:szCs w:val="18"/>
              </w:rPr>
            </w:pPr>
            <w:r>
              <w:rPr>
                <w:rFonts w:hint="default" w:ascii="Arial" w:hAnsi="Arial" w:eastAsia="宋体" w:cs="Arial"/>
                <w:b/>
                <w:i w:val="0"/>
                <w:color w:val="000000"/>
                <w:kern w:val="0"/>
                <w:sz w:val="18"/>
                <w:szCs w:val="18"/>
                <w:u w:val="none"/>
                <w:lang w:val="en-US" w:eastAsia="zh-CN" w:bidi="ar"/>
              </w:rPr>
              <w:t>649,161,640.47</w:t>
            </w:r>
          </w:p>
        </w:tc>
        <w:tc>
          <w:tcPr>
            <w:tcW w:w="1610" w:type="dxa"/>
            <w:noWrap/>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i w:val="0"/>
                <w:color w:val="000000"/>
                <w:kern w:val="0"/>
                <w:sz w:val="18"/>
                <w:szCs w:val="18"/>
                <w:u w:val="none"/>
                <w:lang w:val="en-US" w:eastAsia="zh-CN" w:bidi="ar"/>
              </w:rPr>
              <w:t>54.17%</w:t>
            </w:r>
          </w:p>
        </w:tc>
      </w:tr>
    </w:tbl>
    <w:p>
      <w:pPr>
        <w:ind w:firstLine="360" w:firstLineChars="200"/>
        <w:jc w:val="left"/>
        <w:rPr>
          <w:rFonts w:ascii="Arial" w:hAnsi="Arial" w:cs="Arial"/>
          <w:bCs/>
          <w:kern w:val="44"/>
          <w:sz w:val="18"/>
          <w:szCs w:val="18"/>
        </w:rPr>
      </w:pPr>
      <w:r>
        <w:rPr>
          <w:rFonts w:ascii="Arial" w:hAnsi="Arial" w:cs="Arial"/>
          <w:sz w:val="18"/>
          <w:szCs w:val="18"/>
        </w:rPr>
        <w:t>注：1、项目公司目标成本</w:t>
      </w:r>
      <w:r>
        <w:rPr>
          <w:rFonts w:ascii="Arial" w:hAnsi="Arial" w:cs="Arial"/>
          <w:bCs/>
          <w:kern w:val="44"/>
          <w:sz w:val="18"/>
          <w:szCs w:val="18"/>
        </w:rPr>
        <w:t>来源于信托尽调报告；</w:t>
      </w:r>
    </w:p>
    <w:p>
      <w:pPr>
        <w:numPr>
          <w:ilvl w:val="0"/>
          <w:numId w:val="2"/>
        </w:numPr>
        <w:ind w:left="986" w:leftChars="341" w:hanging="270" w:hangingChars="150"/>
        <w:jc w:val="left"/>
        <w:rPr>
          <w:rFonts w:ascii="Arial" w:hAnsi="Arial" w:cs="Arial"/>
          <w:bCs/>
          <w:kern w:val="44"/>
          <w:sz w:val="18"/>
          <w:szCs w:val="18"/>
        </w:rPr>
      </w:pPr>
      <w:r>
        <w:rPr>
          <w:rFonts w:ascii="Arial" w:hAnsi="Arial" w:cs="Arial"/>
          <w:bCs/>
          <w:kern w:val="44"/>
          <w:sz w:val="18"/>
          <w:szCs w:val="18"/>
        </w:rPr>
        <w:t>本表金额包含已开出商业承兑汇票金额。</w:t>
      </w:r>
    </w:p>
    <w:p>
      <w:pPr>
        <w:numPr>
          <w:ilvl w:val="0"/>
          <w:numId w:val="2"/>
        </w:numPr>
        <w:ind w:left="986" w:leftChars="341" w:hanging="270" w:hangingChars="150"/>
        <w:rPr>
          <w:rStyle w:val="27"/>
          <w:rFonts w:ascii="Arial" w:hAnsi="Arial" w:cs="Arial"/>
          <w:sz w:val="18"/>
          <w:szCs w:val="18"/>
        </w:rPr>
      </w:pPr>
      <w:r>
        <w:rPr>
          <w:rStyle w:val="27"/>
          <w:rFonts w:ascii="Arial" w:hAnsi="Arial" w:cs="Arial"/>
          <w:sz w:val="18"/>
          <w:szCs w:val="18"/>
        </w:rPr>
        <w:t>累计成本中260,215,301.02元为入场前发生成本，以网银入账信息填列；</w:t>
      </w:r>
    </w:p>
    <w:p>
      <w:pPr>
        <w:numPr>
          <w:ilvl w:val="0"/>
          <w:numId w:val="2"/>
        </w:numPr>
        <w:ind w:left="986" w:leftChars="341" w:hanging="270" w:hangingChars="150"/>
        <w:rPr>
          <w:rStyle w:val="27"/>
          <w:rFonts w:ascii="Arial" w:hAnsi="Arial" w:cs="Arial"/>
          <w:sz w:val="18"/>
          <w:szCs w:val="18"/>
        </w:rPr>
      </w:pPr>
      <w:r>
        <w:rPr>
          <w:rStyle w:val="27"/>
          <w:rFonts w:ascii="Arial" w:hAnsi="Arial" w:cs="Arial"/>
          <w:sz w:val="18"/>
          <w:szCs w:val="18"/>
        </w:rPr>
        <w:t>土地成本中包含由恒大地产集团上海盛建置业有限公司支付的海盐县20-033号地块土拍保证金101,110,000.00元，契税15,438,401.6元，土地滞纳金3,951,442.30元；</w:t>
      </w:r>
    </w:p>
    <w:p>
      <w:pPr>
        <w:numPr>
          <w:ilvl w:val="0"/>
          <w:numId w:val="2"/>
        </w:numPr>
        <w:ind w:left="986" w:leftChars="341" w:hanging="270" w:hangingChars="150"/>
        <w:jc w:val="left"/>
        <w:rPr>
          <w:rFonts w:ascii="Arial" w:hAnsi="Arial" w:cs="Arial"/>
          <w:bCs/>
          <w:kern w:val="44"/>
          <w:sz w:val="18"/>
          <w:szCs w:val="18"/>
        </w:rPr>
      </w:pPr>
      <w:r>
        <w:rPr>
          <w:rStyle w:val="27"/>
          <w:rFonts w:ascii="Arial" w:hAnsi="Arial" w:cs="Arial"/>
          <w:sz w:val="18"/>
          <w:szCs w:val="18"/>
        </w:rPr>
        <w:t>截至1月</w:t>
      </w:r>
      <w:r>
        <w:rPr>
          <w:rStyle w:val="27"/>
          <w:rFonts w:hint="eastAsia" w:ascii="Arial" w:hAnsi="Arial" w:cs="Arial"/>
          <w:sz w:val="18"/>
          <w:szCs w:val="18"/>
          <w:lang w:val="en-US" w:eastAsia="zh-CN"/>
        </w:rPr>
        <w:t>31</w:t>
      </w:r>
      <w:r>
        <w:rPr>
          <w:rStyle w:val="27"/>
          <w:rFonts w:ascii="Arial" w:hAnsi="Arial" w:cs="Arial"/>
          <w:sz w:val="18"/>
          <w:szCs w:val="18"/>
        </w:rPr>
        <w:t>日，偿还上海颖骏投资管理有限公司借款</w:t>
      </w:r>
      <w:r>
        <w:rPr>
          <w:rStyle w:val="27"/>
          <w:rFonts w:hint="eastAsia" w:ascii="Arial" w:hAnsi="Arial" w:cs="Arial"/>
          <w:sz w:val="18"/>
          <w:szCs w:val="18"/>
        </w:rPr>
        <w:t>373,800,000.00</w:t>
      </w:r>
      <w:r>
        <w:rPr>
          <w:rStyle w:val="27"/>
          <w:rFonts w:ascii="Arial" w:hAnsi="Arial" w:cs="Arial"/>
          <w:sz w:val="18"/>
          <w:szCs w:val="18"/>
        </w:rPr>
        <w:t>元，未计入项目成本；</w:t>
      </w:r>
    </w:p>
    <w:p>
      <w:pPr>
        <w:numPr>
          <w:ilvl w:val="0"/>
          <w:numId w:val="2"/>
        </w:numPr>
        <w:ind w:left="986" w:leftChars="341" w:hanging="270" w:hangingChars="150"/>
        <w:jc w:val="left"/>
        <w:rPr>
          <w:rFonts w:ascii="Arial" w:hAnsi="Arial" w:cs="Arial"/>
          <w:bCs/>
          <w:kern w:val="44"/>
          <w:sz w:val="18"/>
          <w:szCs w:val="18"/>
        </w:rPr>
      </w:pPr>
      <w:r>
        <w:rPr>
          <w:rStyle w:val="27"/>
          <w:rFonts w:hint="eastAsia" w:ascii="Arial" w:hAnsi="Arial" w:cs="Arial"/>
          <w:sz w:val="18"/>
          <w:szCs w:val="18"/>
          <w:lang w:eastAsia="zh-CN"/>
        </w:rPr>
        <w:t>财务费用中包含税费和银行手续费。</w:t>
      </w:r>
    </w:p>
    <w:p>
      <w:pPr>
        <w:numPr>
          <w:ilvl w:val="0"/>
          <w:numId w:val="2"/>
        </w:numPr>
        <w:ind w:left="986" w:leftChars="341" w:hanging="270" w:hangingChars="150"/>
        <w:jc w:val="left"/>
        <w:rPr>
          <w:rFonts w:ascii="Arial" w:hAnsi="Arial" w:cs="Arial"/>
          <w:bCs/>
          <w:kern w:val="44"/>
          <w:sz w:val="18"/>
          <w:szCs w:val="18"/>
        </w:rPr>
      </w:pPr>
      <w:r>
        <w:rPr>
          <w:rStyle w:val="27"/>
          <w:rFonts w:hint="eastAsia" w:ascii="Arial" w:hAnsi="Arial" w:cs="Arial"/>
          <w:sz w:val="18"/>
          <w:szCs w:val="18"/>
          <w:lang w:val="en-US" w:eastAsia="zh-CN"/>
        </w:rPr>
        <w:t>原计入管理费用的工程水电费4万元在本期调整入建安工程费。</w:t>
      </w:r>
    </w:p>
    <w:p>
      <w:pPr>
        <w:numPr>
          <w:ilvl w:val="255"/>
          <w:numId w:val="0"/>
        </w:numPr>
        <w:ind w:left="401" w:leftChars="191"/>
        <w:rPr>
          <w:rStyle w:val="27"/>
          <w:rFonts w:ascii="Arial" w:hAnsi="Arial" w:cs="Arial"/>
          <w:sz w:val="18"/>
          <w:szCs w:val="18"/>
        </w:rPr>
      </w:pPr>
    </w:p>
    <w:p>
      <w:pPr>
        <w:spacing w:line="480" w:lineRule="auto"/>
        <w:ind w:firstLine="420" w:firstLineChars="200"/>
        <w:rPr>
          <w:rFonts w:hint="eastAsia" w:ascii="Arial" w:hAnsi="Arial" w:cs="Arial"/>
          <w:color w:val="auto"/>
          <w:szCs w:val="21"/>
          <w:lang w:val="en-US" w:eastAsia="zh-CN"/>
        </w:rPr>
      </w:pPr>
      <w:r>
        <w:rPr>
          <w:rFonts w:ascii="Arial" w:hAnsi="Arial" w:cs="Arial"/>
          <w:color w:val="auto"/>
          <w:szCs w:val="21"/>
        </w:rPr>
        <w:t>本期</w:t>
      </w:r>
      <w:r>
        <w:rPr>
          <w:rFonts w:hint="eastAsia" w:ascii="Arial" w:hAnsi="Arial" w:cs="Arial"/>
          <w:color w:val="auto"/>
          <w:szCs w:val="21"/>
          <w:lang w:val="en-US" w:eastAsia="zh-CN"/>
        </w:rPr>
        <w:t>支付工程水电费45,600.31元；售楼处服装费18,900.00元；沙盘模型制作费47,831.35元；广告费</w:t>
      </w:r>
      <w:r>
        <w:rPr>
          <w:rFonts w:hint="eastAsia" w:ascii="Arial" w:hAnsi="Arial" w:cs="Arial"/>
          <w:color w:val="auto"/>
          <w:szCs w:val="21"/>
        </w:rPr>
        <w:t>196,500.00</w:t>
      </w:r>
      <w:r>
        <w:rPr>
          <w:rFonts w:hint="eastAsia" w:ascii="Arial" w:hAnsi="Arial" w:cs="Arial"/>
          <w:color w:val="auto"/>
          <w:szCs w:val="21"/>
          <w:lang w:val="en-US" w:eastAsia="zh-CN"/>
        </w:rPr>
        <w:t>元；工资、奖金、公积金社保</w:t>
      </w:r>
      <w:r>
        <w:rPr>
          <w:rFonts w:hint="eastAsia" w:ascii="Arial" w:hAnsi="Arial" w:cs="Arial"/>
          <w:color w:val="auto"/>
          <w:szCs w:val="21"/>
        </w:rPr>
        <w:t>37,245.21</w:t>
      </w:r>
      <w:r>
        <w:rPr>
          <w:rFonts w:hint="eastAsia" w:ascii="Arial" w:hAnsi="Arial" w:cs="Arial"/>
          <w:color w:val="auto"/>
          <w:szCs w:val="21"/>
          <w:lang w:val="en-US" w:eastAsia="zh-CN"/>
        </w:rPr>
        <w:t>元；税费</w:t>
      </w:r>
      <w:r>
        <w:rPr>
          <w:rFonts w:hint="eastAsia" w:ascii="Arial" w:hAnsi="Arial" w:cs="Arial"/>
          <w:color w:val="auto"/>
          <w:szCs w:val="21"/>
        </w:rPr>
        <w:t>992,559.86</w:t>
      </w:r>
      <w:r>
        <w:rPr>
          <w:rFonts w:hint="eastAsia" w:ascii="Arial" w:hAnsi="Arial" w:cs="Arial"/>
          <w:color w:val="auto"/>
          <w:szCs w:val="21"/>
          <w:lang w:val="en-US" w:eastAsia="zh-CN"/>
        </w:rPr>
        <w:t>元；手续费43.00元。</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551" w:name="_Toc15975"/>
      <w:bookmarkStart w:id="552" w:name="_Toc28088"/>
      <w:bookmarkStart w:id="553" w:name="_Toc25000"/>
      <w:bookmarkStart w:id="554" w:name="_Toc13482"/>
      <w:bookmarkStart w:id="555" w:name="_Toc21185"/>
      <w:bookmarkStart w:id="556" w:name="_Toc14088"/>
      <w:bookmarkStart w:id="557" w:name="_Toc1768"/>
      <w:bookmarkStart w:id="558" w:name="_Toc6979"/>
      <w:bookmarkStart w:id="559" w:name="_Toc24068"/>
      <w:bookmarkStart w:id="560" w:name="_Toc11558"/>
      <w:bookmarkStart w:id="561" w:name="_Toc28279"/>
      <w:bookmarkStart w:id="562" w:name="_Toc6163"/>
      <w:bookmarkStart w:id="563" w:name="_Toc12080"/>
      <w:bookmarkStart w:id="564" w:name="_Toc20100"/>
      <w:bookmarkStart w:id="565" w:name="_Toc6261"/>
      <w:bookmarkStart w:id="566" w:name="_Toc30221"/>
      <w:bookmarkStart w:id="567" w:name="_Toc6818"/>
      <w:bookmarkStart w:id="568" w:name="_Toc9290"/>
      <w:bookmarkStart w:id="569" w:name="_Toc32372"/>
      <w:bookmarkStart w:id="570" w:name="_Toc30404"/>
      <w:r>
        <w:rPr>
          <w:rFonts w:hint="default" w:ascii="Arial" w:hAnsi="Arial" w:eastAsia="宋体" w:cs="Arial"/>
          <w:color w:val="000000"/>
          <w:sz w:val="24"/>
          <w:szCs w:val="24"/>
        </w:rPr>
        <w:t>7.2合约成本统计</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spacing w:line="480" w:lineRule="auto"/>
        <w:ind w:firstLine="420" w:firstLineChars="200"/>
        <w:rPr>
          <w:rFonts w:ascii="Arial" w:hAnsi="Arial" w:cs="Arial"/>
          <w:szCs w:val="21"/>
        </w:rPr>
      </w:pPr>
      <w:r>
        <w:rPr>
          <w:rFonts w:ascii="Arial" w:hAnsi="Arial" w:cs="Arial"/>
          <w:szCs w:val="21"/>
        </w:rPr>
        <w:t>依据项目公司提供的合同台账，截至202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日，项目公司已签订合同</w:t>
      </w:r>
      <w:r>
        <w:rPr>
          <w:rFonts w:hint="eastAsia" w:ascii="Arial" w:hAnsi="Arial" w:cs="Arial"/>
          <w:szCs w:val="21"/>
          <w:lang w:val="en-US" w:eastAsia="zh-CN"/>
        </w:rPr>
        <w:t>96</w:t>
      </w:r>
      <w:r>
        <w:rPr>
          <w:rFonts w:ascii="Arial" w:hAnsi="Arial" w:cs="Arial"/>
          <w:szCs w:val="21"/>
        </w:rPr>
        <w:t>份（含土地使用权出让合同变更协议），合同</w:t>
      </w:r>
      <w:r>
        <w:rPr>
          <w:rFonts w:hint="eastAsia" w:ascii="Arial" w:hAnsi="Arial" w:cs="Arial"/>
          <w:szCs w:val="21"/>
          <w:lang w:eastAsia="zh-CN"/>
        </w:rPr>
        <w:t>成本</w:t>
      </w:r>
      <w:r>
        <w:rPr>
          <w:rFonts w:ascii="Arial" w:hAnsi="Arial" w:cs="Arial"/>
          <w:szCs w:val="21"/>
        </w:rPr>
        <w:t>共计</w:t>
      </w:r>
      <w:r>
        <w:rPr>
          <w:rFonts w:hint="eastAsia" w:ascii="Arial" w:hAnsi="Arial" w:cs="Arial"/>
          <w:szCs w:val="21"/>
        </w:rPr>
        <w:t>935,557,732.15</w:t>
      </w:r>
      <w:r>
        <w:rPr>
          <w:rFonts w:ascii="Arial" w:hAnsi="Arial" w:cs="Arial"/>
          <w:szCs w:val="21"/>
        </w:rPr>
        <w:t>元，占目标成本的</w:t>
      </w:r>
      <w:r>
        <w:rPr>
          <w:rFonts w:hint="eastAsia" w:ascii="Arial" w:hAnsi="Arial" w:cs="Arial"/>
          <w:szCs w:val="21"/>
        </w:rPr>
        <w:t>7</w:t>
      </w:r>
      <w:r>
        <w:rPr>
          <w:rFonts w:hint="eastAsia" w:ascii="Arial" w:hAnsi="Arial" w:cs="Arial"/>
          <w:szCs w:val="21"/>
          <w:lang w:val="en-US" w:eastAsia="zh-CN"/>
        </w:rPr>
        <w:t>8</w:t>
      </w:r>
      <w:r>
        <w:rPr>
          <w:rFonts w:hint="eastAsia" w:ascii="Arial" w:hAnsi="Arial" w:cs="Arial"/>
          <w:szCs w:val="21"/>
        </w:rPr>
        <w:t>.</w:t>
      </w:r>
      <w:r>
        <w:rPr>
          <w:rFonts w:hint="eastAsia" w:ascii="Arial" w:hAnsi="Arial" w:cs="Arial"/>
          <w:szCs w:val="21"/>
          <w:lang w:val="en-US" w:eastAsia="zh-CN"/>
        </w:rPr>
        <w:t>07</w:t>
      </w:r>
      <w:r>
        <w:rPr>
          <w:rFonts w:ascii="Arial" w:hAnsi="Arial" w:cs="Arial"/>
          <w:szCs w:val="21"/>
        </w:rPr>
        <w:t>%；依据合同支付</w:t>
      </w:r>
      <w:r>
        <w:rPr>
          <w:rFonts w:hint="eastAsia" w:ascii="Arial" w:hAnsi="Arial" w:cs="Arial"/>
          <w:szCs w:val="21"/>
        </w:rPr>
        <w:t>641,238,313.68</w:t>
      </w:r>
      <w:r>
        <w:rPr>
          <w:rFonts w:ascii="Arial" w:hAnsi="Arial" w:cs="Arial"/>
          <w:szCs w:val="21"/>
          <w:lang w:bidi="ar"/>
        </w:rPr>
        <w:t>元</w:t>
      </w:r>
      <w:r>
        <w:rPr>
          <w:rFonts w:ascii="Arial" w:hAnsi="Arial" w:cs="Arial"/>
          <w:szCs w:val="21"/>
        </w:rPr>
        <w:t>，待支付合同金额</w:t>
      </w:r>
      <w:r>
        <w:rPr>
          <w:rFonts w:hint="eastAsia" w:ascii="Arial" w:hAnsi="Arial" w:cs="Arial"/>
          <w:szCs w:val="21"/>
        </w:rPr>
        <w:t>294,319,418.47</w:t>
      </w:r>
      <w:r>
        <w:rPr>
          <w:rFonts w:ascii="Arial" w:hAnsi="Arial" w:cs="Arial"/>
          <w:szCs w:val="21"/>
        </w:rPr>
        <w:t>元，合同支付情况详见下表：</w:t>
      </w:r>
    </w:p>
    <w:tbl>
      <w:tblPr>
        <w:tblStyle w:val="18"/>
        <w:tblW w:w="9201" w:type="dxa"/>
        <w:jc w:val="center"/>
        <w:tblLayout w:type="fixed"/>
        <w:tblCellMar>
          <w:top w:w="0" w:type="dxa"/>
          <w:left w:w="0" w:type="dxa"/>
          <w:bottom w:w="0" w:type="dxa"/>
          <w:right w:w="0" w:type="dxa"/>
        </w:tblCellMar>
      </w:tblPr>
      <w:tblGrid>
        <w:gridCol w:w="1356"/>
        <w:gridCol w:w="528"/>
        <w:gridCol w:w="1525"/>
        <w:gridCol w:w="1608"/>
        <w:gridCol w:w="1258"/>
        <w:gridCol w:w="1528"/>
        <w:gridCol w:w="1398"/>
      </w:tblGrid>
      <w:tr>
        <w:tblPrEx>
          <w:tblCellMar>
            <w:top w:w="0" w:type="dxa"/>
            <w:left w:w="0" w:type="dxa"/>
            <w:bottom w:w="0" w:type="dxa"/>
            <w:right w:w="0" w:type="dxa"/>
          </w:tblCellMar>
        </w:tblPrEx>
        <w:trPr>
          <w:cantSplit/>
          <w:trHeight w:val="522" w:hRule="atLeast"/>
          <w:tblHeader/>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土地合同</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土地类合同小计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303"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前期类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w:t>
            </w:r>
            <w:r>
              <w:rPr>
                <w:rFonts w:hint="eastAsia" w:ascii="Arial" w:hAnsi="Arial" w:cs="Arial"/>
                <w:i w:val="0"/>
                <w:color w:val="000000"/>
                <w:kern w:val="0"/>
                <w:sz w:val="18"/>
                <w:szCs w:val="18"/>
                <w:u w:val="none"/>
                <w:lang w:val="en-US" w:eastAsia="zh-CN" w:bidi="ar"/>
              </w:rPr>
              <w:t>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21,128,279.75</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19,990,000.00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106.45%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5,050,647.30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25.27%</w:t>
            </w:r>
          </w:p>
        </w:tc>
      </w:tr>
      <w:tr>
        <w:tblPrEx>
          <w:tblCellMar>
            <w:top w:w="0" w:type="dxa"/>
            <w:left w:w="0" w:type="dxa"/>
            <w:bottom w:w="0" w:type="dxa"/>
            <w:right w:w="0" w:type="dxa"/>
          </w:tblCellMar>
        </w:tblPrEx>
        <w:trPr>
          <w:trHeight w:val="455"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工程类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6</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352,398,625.68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344,030,000.00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102.39%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i w:val="0"/>
                <w:color w:val="000000"/>
                <w:kern w:val="0"/>
                <w:sz w:val="18"/>
                <w:szCs w:val="18"/>
                <w:u w:val="none"/>
                <w:lang w:val="en-US" w:eastAsia="zh-CN" w:bidi="ar"/>
              </w:rPr>
              <w:t>105,559,356.53</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30.68%</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基础设施类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6,470,121.28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53,090,000.00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12.19%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1,672,457.38</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3.15%</w:t>
            </w:r>
          </w:p>
        </w:tc>
      </w:tr>
      <w:tr>
        <w:tblPrEx>
          <w:tblCellMar>
            <w:top w:w="0" w:type="dxa"/>
            <w:left w:w="0" w:type="dxa"/>
            <w:bottom w:w="0" w:type="dxa"/>
            <w:right w:w="0" w:type="dxa"/>
          </w:tblCellMar>
        </w:tblPrEx>
        <w:trPr>
          <w:trHeight w:val="539"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公共配套设施类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44,430,000.00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承诺成本类合同小计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color w:val="000000"/>
                <w:kern w:val="0"/>
                <w:sz w:val="18"/>
                <w:szCs w:val="18"/>
                <w:lang w:val="en-US" w:bidi="ar"/>
              </w:rPr>
            </w:pPr>
            <w:r>
              <w:rPr>
                <w:rFonts w:hint="eastAsia" w:ascii="Arial" w:hAnsi="Arial" w:eastAsia="宋体" w:cs="Arial"/>
                <w:b/>
                <w:i w:val="0"/>
                <w:color w:val="000000"/>
                <w:kern w:val="0"/>
                <w:sz w:val="18"/>
                <w:szCs w:val="18"/>
                <w:u w:val="none"/>
                <w:lang w:val="en-US" w:eastAsia="zh-CN" w:bidi="ar"/>
              </w:rPr>
              <w:t>50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379,997,026.71</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461,540,000.00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Arial" w:hAnsi="Arial" w:eastAsia="宋体" w:cs="Arial"/>
                <w:b/>
                <w:i w:val="0"/>
                <w:color w:val="000000"/>
                <w:kern w:val="0"/>
                <w:sz w:val="18"/>
                <w:szCs w:val="18"/>
                <w:u w:val="none"/>
                <w:lang w:val="en-US" w:eastAsia="zh-CN" w:bidi="ar"/>
              </w:rPr>
              <w:t>82.33%</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112,282,461.21</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24.33%</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2,737,891.68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26,210,800.00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10.45%</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w:t>
            </w:r>
            <w:r>
              <w:rPr>
                <w:rFonts w:hint="eastAsia" w:ascii="Arial" w:hAnsi="Arial" w:cs="Arial"/>
                <w:i w:val="0"/>
                <w:color w:val="000000"/>
                <w:kern w:val="0"/>
                <w:sz w:val="18"/>
                <w:szCs w:val="18"/>
                <w:u w:val="none"/>
                <w:lang w:val="en-US" w:eastAsia="zh-CN" w:bidi="ar"/>
              </w:rPr>
              <w:t>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14,335,869.86</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39,316,100.00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36.46%</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2,996,675.57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7.62%</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其他类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cs="Arial"/>
                <w:i w:val="0"/>
                <w:color w:val="000000"/>
                <w:kern w:val="0"/>
                <w:sz w:val="18"/>
                <w:szCs w:val="18"/>
                <w:u w:val="none"/>
                <w:lang w:val="en-US" w:eastAsia="zh-CN" w:bidi="ar"/>
              </w:rPr>
              <w:t>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12,920,000.00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lang w:bidi="ar"/>
              </w:rPr>
            </w:pP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392,233.00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144,636,900.00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期间费用和税费类成本合同小计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w:t>
            </w:r>
            <w:r>
              <w:rPr>
                <w:rFonts w:hint="eastAsia" w:ascii="Arial" w:hAnsi="Arial" w:cs="Arial"/>
                <w:b/>
                <w:i w:val="0"/>
                <w:color w:val="000000"/>
                <w:kern w:val="0"/>
                <w:sz w:val="18"/>
                <w:szCs w:val="18"/>
                <w:u w:val="none"/>
                <w:lang w:val="en-US" w:eastAsia="zh-CN" w:bidi="ar"/>
              </w:rPr>
              <w:t>5</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29,993,761.54</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210,163,800.00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cs="Arial"/>
                <w:b/>
                <w:i w:val="0"/>
                <w:color w:val="000000"/>
                <w:kern w:val="0"/>
                <w:sz w:val="18"/>
                <w:szCs w:val="18"/>
                <w:u w:val="none"/>
                <w:lang w:val="en-US" w:eastAsia="zh-CN" w:bidi="ar"/>
              </w:rPr>
              <w:t>14.27</w:t>
            </w:r>
            <w:r>
              <w:rPr>
                <w:rFonts w:hint="default" w:ascii="Arial" w:hAnsi="Arial" w:eastAsia="宋体" w:cs="Arial"/>
                <w:b/>
                <w:i w:val="0"/>
                <w:color w:val="000000"/>
                <w:kern w:val="0"/>
                <w:sz w:val="18"/>
                <w:szCs w:val="18"/>
                <w:u w:val="none"/>
                <w:lang w:val="en-US" w:eastAsia="zh-CN"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3,388,908.57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1.61%</w:t>
            </w:r>
          </w:p>
        </w:tc>
      </w:tr>
      <w:tr>
        <w:tblPrEx>
          <w:tblCellMar>
            <w:top w:w="0" w:type="dxa"/>
            <w:left w:w="0" w:type="dxa"/>
            <w:bottom w:w="0" w:type="dxa"/>
            <w:right w:w="0" w:type="dxa"/>
          </w:tblCellMar>
        </w:tblPrEx>
        <w:trPr>
          <w:trHeight w:val="27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合计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bidi="ar"/>
              </w:rPr>
            </w:pPr>
            <w:r>
              <w:rPr>
                <w:rFonts w:hint="eastAsia" w:ascii="Arial" w:hAnsi="Arial" w:cs="Arial"/>
                <w:b/>
                <w:i w:val="0"/>
                <w:color w:val="000000"/>
                <w:kern w:val="0"/>
                <w:sz w:val="18"/>
                <w:szCs w:val="18"/>
                <w:u w:val="none"/>
                <w:lang w:val="en-US" w:eastAsia="zh-CN" w:bidi="ar"/>
              </w:rPr>
              <w:t>96</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b/>
                <w:i w:val="0"/>
                <w:color w:val="000000"/>
                <w:kern w:val="0"/>
                <w:sz w:val="18"/>
                <w:szCs w:val="18"/>
                <w:u w:val="none"/>
                <w:lang w:val="en-US" w:eastAsia="zh-CN" w:bidi="ar"/>
              </w:rPr>
              <w:t>935,557,732.15</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b/>
                <w:i w:val="0"/>
                <w:color w:val="000000"/>
                <w:kern w:val="0"/>
                <w:sz w:val="18"/>
                <w:szCs w:val="18"/>
                <w:u w:val="none"/>
                <w:lang w:val="en-US" w:eastAsia="zh-CN" w:bidi="ar"/>
              </w:rPr>
              <w:t>1,198,320,500.00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7</w:t>
            </w:r>
            <w:r>
              <w:rPr>
                <w:rFonts w:hint="eastAsia" w:ascii="Arial" w:hAnsi="Arial" w:cs="Arial"/>
                <w:b/>
                <w:i w:val="0"/>
                <w:color w:val="000000"/>
                <w:kern w:val="0"/>
                <w:sz w:val="18"/>
                <w:szCs w:val="18"/>
                <w:u w:val="none"/>
                <w:lang w:val="en-US" w:eastAsia="zh-CN" w:bidi="ar"/>
              </w:rPr>
              <w:t>8</w:t>
            </w:r>
            <w:r>
              <w:rPr>
                <w:rFonts w:hint="default" w:ascii="Arial" w:hAnsi="Arial" w:eastAsia="宋体" w:cs="Arial"/>
                <w:b/>
                <w:i w:val="0"/>
                <w:color w:val="000000"/>
                <w:kern w:val="0"/>
                <w:sz w:val="18"/>
                <w:szCs w:val="18"/>
                <w:u w:val="none"/>
                <w:lang w:val="en-US" w:eastAsia="zh-CN" w:bidi="ar"/>
              </w:rPr>
              <w:t>.</w:t>
            </w:r>
            <w:r>
              <w:rPr>
                <w:rFonts w:hint="eastAsia" w:ascii="Arial" w:hAnsi="Arial" w:cs="Arial"/>
                <w:b/>
                <w:i w:val="0"/>
                <w:color w:val="000000"/>
                <w:kern w:val="0"/>
                <w:sz w:val="18"/>
                <w:szCs w:val="18"/>
                <w:u w:val="none"/>
                <w:lang w:val="en-US" w:eastAsia="zh-CN" w:bidi="ar"/>
              </w:rPr>
              <w:t>07</w:t>
            </w:r>
            <w:r>
              <w:rPr>
                <w:rFonts w:hint="default" w:ascii="Arial" w:hAnsi="Arial" w:eastAsia="宋体" w:cs="Arial"/>
                <w:b/>
                <w:i w:val="0"/>
                <w:color w:val="000000"/>
                <w:kern w:val="0"/>
                <w:sz w:val="18"/>
                <w:szCs w:val="18"/>
                <w:u w:val="none"/>
                <w:lang w:val="en-US" w:eastAsia="zh-CN"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641,238,313.68</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53.51%</w:t>
            </w:r>
          </w:p>
        </w:tc>
      </w:tr>
    </w:tbl>
    <w:p>
      <w:pPr>
        <w:ind w:left="1030" w:leftChars="170" w:hanging="673" w:hangingChars="374"/>
        <w:jc w:val="left"/>
        <w:rPr>
          <w:rFonts w:ascii="Arial" w:hAnsi="Arial" w:cs="Arial"/>
          <w:bCs/>
          <w:kern w:val="44"/>
          <w:sz w:val="18"/>
          <w:szCs w:val="18"/>
        </w:rPr>
      </w:pPr>
      <w:bookmarkStart w:id="571" w:name="_Toc22315"/>
      <w:bookmarkStart w:id="572" w:name="_Toc27161"/>
      <w:bookmarkStart w:id="573" w:name="_Toc25830"/>
      <w:r>
        <w:rPr>
          <w:rFonts w:ascii="Arial" w:hAnsi="Arial" w:cs="Arial"/>
          <w:sz w:val="18"/>
          <w:szCs w:val="18"/>
        </w:rPr>
        <w:t>注：1、根据2020年4月26日项目公司与海盐县自然资源和规划局签订的《国有建设用地使用权出让合同补充合同》，项目公司承担原合同中受让人（即恒大地产集团上海盛建置业有限公司</w:t>
      </w:r>
      <w:r>
        <w:rPr>
          <w:rStyle w:val="27"/>
          <w:rFonts w:ascii="Arial" w:hAnsi="Arial" w:cs="Arial"/>
          <w:sz w:val="18"/>
          <w:szCs w:val="18"/>
        </w:rPr>
        <w:t>）</w:t>
      </w:r>
      <w:r>
        <w:rPr>
          <w:rFonts w:ascii="Arial" w:hAnsi="Arial" w:cs="Arial"/>
          <w:sz w:val="18"/>
          <w:szCs w:val="18"/>
        </w:rPr>
        <w:t>的一切权利和义务</w:t>
      </w:r>
      <w:r>
        <w:rPr>
          <w:rFonts w:ascii="Arial" w:hAnsi="Arial" w:cs="Arial"/>
          <w:bCs/>
          <w:kern w:val="44"/>
          <w:sz w:val="18"/>
          <w:szCs w:val="18"/>
        </w:rPr>
        <w:t>。</w:t>
      </w:r>
    </w:p>
    <w:p>
      <w:pPr>
        <w:numPr>
          <w:ilvl w:val="0"/>
          <w:numId w:val="3"/>
        </w:numPr>
        <w:ind w:left="680"/>
        <w:jc w:val="left"/>
        <w:rPr>
          <w:rFonts w:ascii="Arial" w:hAnsi="Arial" w:cs="Arial"/>
          <w:bCs/>
          <w:kern w:val="44"/>
          <w:sz w:val="18"/>
          <w:szCs w:val="18"/>
        </w:rPr>
      </w:pPr>
      <w:r>
        <w:rPr>
          <w:rFonts w:ascii="Arial" w:hAnsi="Arial" w:cs="Arial"/>
          <w:bCs/>
          <w:kern w:val="44"/>
          <w:sz w:val="18"/>
          <w:szCs w:val="18"/>
        </w:rPr>
        <w:t>土地合同金额含契税、印花税15,438,401.60元，土地滞纳金3,951,442.30元。</w:t>
      </w:r>
    </w:p>
    <w:p>
      <w:pPr>
        <w:numPr>
          <w:ilvl w:val="0"/>
          <w:numId w:val="3"/>
        </w:numPr>
        <w:ind w:left="680" w:leftChars="0"/>
        <w:jc w:val="left"/>
        <w:rPr>
          <w:rFonts w:ascii="Arial" w:hAnsi="Arial" w:cs="Arial"/>
          <w:bCs/>
          <w:kern w:val="44"/>
          <w:sz w:val="18"/>
          <w:szCs w:val="18"/>
        </w:rPr>
      </w:pPr>
      <w:r>
        <w:rPr>
          <w:rFonts w:ascii="Arial" w:hAnsi="Arial" w:cs="Arial"/>
          <w:bCs/>
          <w:kern w:val="44"/>
          <w:sz w:val="18"/>
          <w:szCs w:val="18"/>
        </w:rPr>
        <w:t>本表中累计支付金额包含已开出商业承兑汇票金额，未考虑其后期发生的贴现金额。</w:t>
      </w:r>
    </w:p>
    <w:p>
      <w:pPr>
        <w:numPr>
          <w:ilvl w:val="0"/>
          <w:numId w:val="3"/>
        </w:numPr>
        <w:ind w:left="680" w:leftChars="0"/>
        <w:jc w:val="left"/>
        <w:rPr>
          <w:rFonts w:ascii="Arial" w:hAnsi="Arial" w:cs="Arial"/>
          <w:bCs/>
          <w:kern w:val="44"/>
          <w:sz w:val="18"/>
          <w:szCs w:val="18"/>
        </w:rPr>
      </w:pPr>
      <w:r>
        <w:rPr>
          <w:rFonts w:hint="eastAsia" w:ascii="Arial" w:hAnsi="Arial" w:cs="Arial"/>
          <w:bCs/>
          <w:kern w:val="44"/>
          <w:sz w:val="18"/>
          <w:szCs w:val="18"/>
          <w:lang w:eastAsia="zh-CN"/>
        </w:rPr>
        <w:t>不包含</w:t>
      </w:r>
      <w:r>
        <w:rPr>
          <w:rFonts w:hint="eastAsia" w:ascii="Arial" w:hAnsi="Arial" w:cs="Arial"/>
          <w:bCs/>
          <w:kern w:val="44"/>
          <w:sz w:val="18"/>
          <w:szCs w:val="18"/>
          <w:lang w:val="en-US" w:eastAsia="zh-CN"/>
        </w:rPr>
        <w:t>3份备案合同。</w:t>
      </w:r>
    </w:p>
    <w:p>
      <w:pPr>
        <w:spacing w:line="480" w:lineRule="auto"/>
        <w:ind w:firstLine="420" w:firstLineChars="200"/>
        <w:rPr>
          <w:rFonts w:ascii="Arial" w:hAnsi="Arial" w:cs="Arial"/>
          <w:szCs w:val="21"/>
        </w:rPr>
      </w:pPr>
      <w:bookmarkStart w:id="574" w:name="_Toc6327"/>
      <w:bookmarkStart w:id="575" w:name="_Toc24511"/>
      <w:bookmarkStart w:id="576" w:name="_Toc21443"/>
      <w:bookmarkStart w:id="577" w:name="_Toc7010"/>
      <w:bookmarkStart w:id="578" w:name="_Toc20226"/>
      <w:bookmarkStart w:id="579" w:name="_Toc22573"/>
      <w:bookmarkStart w:id="580" w:name="_Toc32680"/>
      <w:bookmarkStart w:id="581" w:name="_Toc30520"/>
      <w:bookmarkStart w:id="582" w:name="_Toc12337"/>
    </w:p>
    <w:p>
      <w:pPr>
        <w:spacing w:line="480" w:lineRule="auto"/>
        <w:ind w:firstLine="420" w:firstLineChars="200"/>
        <w:rPr>
          <w:rFonts w:ascii="Arial" w:hAnsi="Arial" w:cs="Arial"/>
          <w:color w:val="auto"/>
          <w:szCs w:val="21"/>
        </w:rPr>
      </w:pPr>
      <w:r>
        <w:rPr>
          <w:rFonts w:ascii="Arial" w:hAnsi="Arial" w:cs="Arial"/>
          <w:color w:val="auto"/>
          <w:szCs w:val="21"/>
        </w:rPr>
        <w:t>本期签订合同</w:t>
      </w:r>
      <w:r>
        <w:rPr>
          <w:rFonts w:hint="eastAsia" w:ascii="Arial" w:hAnsi="Arial" w:cs="Arial"/>
          <w:color w:val="auto"/>
          <w:szCs w:val="21"/>
          <w:lang w:val="en-US" w:eastAsia="zh-CN"/>
        </w:rPr>
        <w:t>8</w:t>
      </w:r>
      <w:r>
        <w:rPr>
          <w:rFonts w:ascii="Arial" w:hAnsi="Arial" w:cs="Arial"/>
          <w:color w:val="auto"/>
          <w:szCs w:val="21"/>
        </w:rPr>
        <w:t>份，合同总额</w:t>
      </w:r>
      <w:r>
        <w:rPr>
          <w:rFonts w:hint="eastAsia" w:ascii="Arial" w:hAnsi="Arial" w:cs="Arial"/>
          <w:color w:val="auto"/>
          <w:szCs w:val="21"/>
        </w:rPr>
        <w:t>15,797,805.90</w:t>
      </w:r>
      <w:r>
        <w:rPr>
          <w:rFonts w:ascii="Arial" w:hAnsi="Arial" w:cs="Arial"/>
          <w:color w:val="auto"/>
          <w:szCs w:val="21"/>
        </w:rPr>
        <w:t>元，</w:t>
      </w:r>
      <w:r>
        <w:rPr>
          <w:rFonts w:hint="eastAsia" w:ascii="Arial" w:hAnsi="Arial" w:cs="Arial"/>
          <w:color w:val="auto"/>
          <w:szCs w:val="21"/>
          <w:lang w:val="en-US" w:eastAsia="zh-CN"/>
        </w:rPr>
        <w:t>承诺成本</w:t>
      </w:r>
      <w:r>
        <w:rPr>
          <w:rFonts w:ascii="Arial" w:hAnsi="Arial" w:cs="Arial"/>
          <w:color w:val="auto"/>
          <w:szCs w:val="21"/>
        </w:rPr>
        <w:t>合同金额增加</w:t>
      </w:r>
      <w:r>
        <w:rPr>
          <w:rFonts w:hint="eastAsia" w:ascii="Arial" w:hAnsi="Arial" w:cs="Arial"/>
          <w:color w:val="auto"/>
          <w:szCs w:val="21"/>
        </w:rPr>
        <w:t>3,277,805.90</w:t>
      </w:r>
      <w:r>
        <w:rPr>
          <w:rFonts w:ascii="Arial" w:hAnsi="Arial" w:cs="Arial"/>
          <w:color w:val="auto"/>
          <w:szCs w:val="21"/>
        </w:rPr>
        <w:t>元</w:t>
      </w:r>
      <w:r>
        <w:rPr>
          <w:rFonts w:hint="eastAsia" w:ascii="Arial" w:hAnsi="Arial" w:cs="Arial"/>
          <w:color w:val="auto"/>
          <w:szCs w:val="21"/>
          <w:lang w:eastAsia="zh-CN"/>
        </w:rPr>
        <w:t>，</w:t>
      </w:r>
      <w:r>
        <w:rPr>
          <w:rFonts w:hint="eastAsia" w:ascii="Arial" w:hAnsi="Arial" w:cs="Arial"/>
          <w:color w:val="auto"/>
          <w:szCs w:val="21"/>
          <w:lang w:val="en-US" w:eastAsia="zh-CN"/>
        </w:rPr>
        <w:t>均为前期及工程类合同</w:t>
      </w:r>
      <w:r>
        <w:rPr>
          <w:rFonts w:ascii="Arial" w:hAnsi="Arial" w:cs="Arial"/>
          <w:color w:val="auto"/>
          <w:szCs w:val="21"/>
        </w:rPr>
        <w:t>；</w:t>
      </w:r>
      <w:r>
        <w:rPr>
          <w:rFonts w:hint="eastAsia" w:ascii="Arial" w:hAnsi="Arial" w:cs="Arial"/>
          <w:color w:val="auto"/>
          <w:szCs w:val="21"/>
          <w:lang w:val="en-US" w:eastAsia="zh-CN"/>
        </w:rPr>
        <w:t>期间费用和税费类成本</w:t>
      </w:r>
      <w:r>
        <w:rPr>
          <w:rFonts w:ascii="Arial" w:hAnsi="Arial" w:cs="Arial"/>
          <w:color w:val="auto"/>
          <w:szCs w:val="21"/>
        </w:rPr>
        <w:t>合同金额增加</w:t>
      </w:r>
      <w:r>
        <w:rPr>
          <w:rFonts w:hint="eastAsia" w:ascii="Arial" w:hAnsi="Arial" w:cs="Arial"/>
          <w:color w:val="auto"/>
          <w:szCs w:val="21"/>
        </w:rPr>
        <w:t>12,520,000.00</w:t>
      </w:r>
      <w:r>
        <w:rPr>
          <w:rFonts w:ascii="Arial" w:hAnsi="Arial" w:cs="Arial"/>
          <w:color w:val="auto"/>
          <w:szCs w:val="21"/>
        </w:rPr>
        <w:t>元，为</w:t>
      </w:r>
      <w:r>
        <w:rPr>
          <w:rFonts w:hint="eastAsia" w:ascii="Arial" w:hAnsi="Arial" w:cs="Arial"/>
          <w:color w:val="auto"/>
          <w:szCs w:val="21"/>
          <w:lang w:val="en-US" w:eastAsia="zh-CN"/>
        </w:rPr>
        <w:t>品牌使用及开发管理协议</w:t>
      </w:r>
      <w:r>
        <w:rPr>
          <w:rFonts w:ascii="Arial" w:hAnsi="Arial" w:cs="Arial"/>
          <w:color w:val="auto"/>
          <w:szCs w:val="21"/>
        </w:rPr>
        <w:t>。</w:t>
      </w:r>
    </w:p>
    <w:p>
      <w:pPr>
        <w:pStyle w:val="3"/>
        <w:keepNext/>
        <w:keepLines/>
        <w:spacing w:before="300" w:after="300" w:line="360" w:lineRule="exact"/>
        <w:ind w:firstLine="482" w:firstLineChars="200"/>
        <w:jc w:val="left"/>
        <w:outlineLvl w:val="1"/>
        <w:rPr>
          <w:rFonts w:hint="default" w:ascii="Arial" w:hAnsi="Arial" w:eastAsia="宋体" w:cs="Arial"/>
          <w:color w:val="000000"/>
          <w:sz w:val="24"/>
          <w:szCs w:val="24"/>
          <w:lang w:val="en-US" w:eastAsia="zh-CN"/>
        </w:rPr>
      </w:pPr>
      <w:bookmarkStart w:id="583" w:name="_Toc6450"/>
      <w:bookmarkStart w:id="584" w:name="_Toc9417"/>
      <w:bookmarkStart w:id="585" w:name="_Toc5702"/>
      <w:bookmarkStart w:id="586" w:name="_Toc31715"/>
      <w:bookmarkStart w:id="587" w:name="_Toc31519"/>
      <w:bookmarkStart w:id="588" w:name="_Toc10295"/>
      <w:bookmarkStart w:id="589" w:name="_Toc30783"/>
      <w:bookmarkStart w:id="590" w:name="_Toc16781"/>
      <w:r>
        <w:rPr>
          <w:rFonts w:hint="default" w:ascii="Arial" w:hAnsi="Arial" w:eastAsia="宋体" w:cs="Arial"/>
          <w:color w:val="000000"/>
          <w:sz w:val="24"/>
          <w:szCs w:val="24"/>
        </w:rPr>
        <w:t>7.</w:t>
      </w:r>
      <w:r>
        <w:rPr>
          <w:rFonts w:hint="eastAsia" w:ascii="Arial" w:hAnsi="Arial" w:eastAsia="宋体" w:cs="Arial"/>
          <w:color w:val="000000"/>
          <w:sz w:val="24"/>
          <w:szCs w:val="24"/>
          <w:lang w:val="en-US" w:eastAsia="zh-CN"/>
        </w:rPr>
        <w:t>3商票使用情况统计</w:t>
      </w:r>
      <w:bookmarkEnd w:id="583"/>
      <w:bookmarkEnd w:id="584"/>
      <w:bookmarkEnd w:id="585"/>
    </w:p>
    <w:p>
      <w:pPr>
        <w:spacing w:line="480" w:lineRule="auto"/>
        <w:ind w:firstLine="420" w:firstLineChars="200"/>
        <w:rPr>
          <w:rFonts w:ascii="Arial" w:hAnsi="Arial" w:cs="Arial"/>
          <w:color w:val="auto"/>
          <w:szCs w:val="21"/>
        </w:rPr>
      </w:pPr>
      <w:r>
        <w:rPr>
          <w:rFonts w:ascii="Arial" w:hAnsi="Arial" w:cs="Arial"/>
          <w:color w:val="auto"/>
          <w:szCs w:val="21"/>
        </w:rPr>
        <w:t>截至202</w:t>
      </w:r>
      <w:r>
        <w:rPr>
          <w:rFonts w:hint="eastAsia" w:ascii="Arial" w:hAnsi="Arial" w:cs="Arial"/>
          <w:color w:val="auto"/>
          <w:szCs w:val="21"/>
          <w:lang w:val="en-US" w:eastAsia="zh-CN"/>
        </w:rPr>
        <w:t>1</w:t>
      </w:r>
      <w:r>
        <w:rPr>
          <w:rFonts w:ascii="Arial" w:hAnsi="Arial" w:cs="Arial"/>
          <w:color w:val="auto"/>
          <w:szCs w:val="21"/>
        </w:rPr>
        <w:t>年</w:t>
      </w:r>
      <w:r>
        <w:rPr>
          <w:rFonts w:hint="eastAsia" w:ascii="Arial" w:hAnsi="Arial" w:cs="Arial"/>
          <w:color w:val="auto"/>
          <w:szCs w:val="21"/>
          <w:lang w:val="en-US" w:eastAsia="zh-CN"/>
        </w:rPr>
        <w:t>2</w:t>
      </w:r>
      <w:r>
        <w:rPr>
          <w:rFonts w:ascii="Arial" w:hAnsi="Arial" w:cs="Arial"/>
          <w:color w:val="auto"/>
          <w:szCs w:val="21"/>
        </w:rPr>
        <w:t>月</w:t>
      </w:r>
      <w:r>
        <w:rPr>
          <w:rFonts w:hint="eastAsia" w:ascii="Arial" w:hAnsi="Arial" w:cs="Arial"/>
          <w:color w:val="auto"/>
          <w:szCs w:val="21"/>
          <w:lang w:val="en-US" w:eastAsia="zh-CN"/>
        </w:rPr>
        <w:t>28</w:t>
      </w:r>
      <w:r>
        <w:rPr>
          <w:rFonts w:ascii="Arial" w:hAnsi="Arial" w:cs="Arial"/>
          <w:color w:val="auto"/>
          <w:szCs w:val="21"/>
        </w:rPr>
        <w:t>日，项目公司共开具</w:t>
      </w:r>
      <w:r>
        <w:rPr>
          <w:rFonts w:hint="eastAsia" w:ascii="Arial" w:hAnsi="Arial" w:cs="Arial"/>
          <w:color w:val="auto"/>
          <w:szCs w:val="21"/>
          <w:lang w:val="en-US" w:eastAsia="zh-CN"/>
        </w:rPr>
        <w:t>95</w:t>
      </w:r>
      <w:r>
        <w:rPr>
          <w:rFonts w:ascii="Arial" w:hAnsi="Arial" w:cs="Arial"/>
          <w:color w:val="auto"/>
          <w:szCs w:val="21"/>
        </w:rPr>
        <w:t>张商业承兑汇票，汇票总金额</w:t>
      </w:r>
      <w:r>
        <w:rPr>
          <w:rFonts w:hint="eastAsia" w:ascii="Arial" w:hAnsi="Arial" w:cs="Arial"/>
          <w:color w:val="auto"/>
          <w:szCs w:val="21"/>
        </w:rPr>
        <w:t xml:space="preserve">111,057,901.59 </w:t>
      </w:r>
      <w:r>
        <w:rPr>
          <w:rFonts w:ascii="Arial" w:hAnsi="Arial" w:cs="Arial"/>
          <w:color w:val="auto"/>
          <w:szCs w:val="21"/>
        </w:rPr>
        <w:t>元，根据项目公司提供的补贴利率</w:t>
      </w:r>
      <w:r>
        <w:rPr>
          <w:rFonts w:hint="eastAsia" w:ascii="Arial" w:hAnsi="Arial" w:cs="Arial"/>
          <w:color w:val="auto"/>
          <w:szCs w:val="21"/>
          <w:lang w:val="en-US" w:eastAsia="zh-CN"/>
        </w:rPr>
        <w:t>1年期</w:t>
      </w:r>
      <w:r>
        <w:rPr>
          <w:rFonts w:ascii="Arial" w:hAnsi="Arial" w:cs="Arial"/>
          <w:color w:val="auto"/>
          <w:szCs w:val="21"/>
        </w:rPr>
        <w:t>12%</w:t>
      </w:r>
      <w:r>
        <w:rPr>
          <w:rFonts w:hint="eastAsia" w:ascii="Arial" w:hAnsi="Arial" w:cs="Arial"/>
          <w:color w:val="auto"/>
          <w:szCs w:val="21"/>
        </w:rPr>
        <w:t xml:space="preserve"> </w:t>
      </w:r>
      <w:r>
        <w:rPr>
          <w:rFonts w:ascii="Arial" w:hAnsi="Arial" w:cs="Arial"/>
          <w:color w:val="auto"/>
          <w:szCs w:val="21"/>
        </w:rPr>
        <w:t>，</w:t>
      </w:r>
      <w:r>
        <w:rPr>
          <w:rFonts w:hint="eastAsia" w:ascii="Arial" w:hAnsi="Arial" w:cs="Arial"/>
          <w:color w:val="auto"/>
          <w:szCs w:val="21"/>
          <w:lang w:val="en-US" w:eastAsia="zh-CN"/>
        </w:rPr>
        <w:t>9个月期6%,6个月期4%，</w:t>
      </w:r>
      <w:r>
        <w:rPr>
          <w:rFonts w:ascii="Arial" w:hAnsi="Arial" w:cs="Arial"/>
          <w:color w:val="auto"/>
          <w:szCs w:val="21"/>
        </w:rPr>
        <w:t>预计将增加对施工方的补贴成本</w:t>
      </w:r>
      <w:r>
        <w:rPr>
          <w:rFonts w:hint="eastAsia" w:ascii="Arial" w:hAnsi="Arial" w:cs="Arial"/>
          <w:color w:val="auto"/>
          <w:szCs w:val="21"/>
        </w:rPr>
        <w:t>15,260,821.97</w:t>
      </w:r>
      <w:r>
        <w:rPr>
          <w:rFonts w:ascii="Arial" w:hAnsi="Arial" w:cs="Arial"/>
          <w:color w:val="auto"/>
          <w:szCs w:val="21"/>
        </w:rPr>
        <w:t>元。</w:t>
      </w:r>
    </w:p>
    <w:p>
      <w:pPr>
        <w:keepNext w:val="0"/>
        <w:keepLines w:val="0"/>
        <w:pageBreakBefore w:val="0"/>
        <w:widowControl w:val="0"/>
        <w:kinsoku/>
        <w:wordWrap/>
        <w:overflowPunct/>
        <w:topLinePunct w:val="0"/>
        <w:autoSpaceDE/>
        <w:autoSpaceDN/>
        <w:bidi w:val="0"/>
        <w:adjustRightInd/>
        <w:snapToGrid/>
        <w:spacing w:before="240" w:beforeLines="100"/>
        <w:ind w:firstLine="2650" w:firstLineChars="1100"/>
        <w:jc w:val="both"/>
        <w:textAlignment w:val="auto"/>
        <w:outlineLvl w:val="9"/>
        <w:rPr>
          <w:rFonts w:ascii="Arial" w:hAnsi="Arial" w:cs="Arial"/>
          <w:b/>
          <w:color w:val="000000"/>
          <w:sz w:val="24"/>
          <w:szCs w:val="28"/>
        </w:rPr>
      </w:pPr>
      <w:bookmarkStart w:id="591" w:name="_Toc21045"/>
      <w:bookmarkStart w:id="592" w:name="_Toc18066"/>
      <w:r>
        <w:rPr>
          <w:rFonts w:ascii="Arial" w:hAnsi="Arial" w:cs="Arial"/>
          <w:b/>
          <w:color w:val="000000"/>
          <w:sz w:val="24"/>
          <w:szCs w:val="28"/>
        </w:rPr>
        <w:t>商业承兑汇票统计表</w:t>
      </w:r>
      <w:bookmarkEnd w:id="591"/>
      <w:bookmarkEnd w:id="592"/>
    </w:p>
    <w:tbl>
      <w:tblPr>
        <w:tblStyle w:val="19"/>
        <w:tblW w:w="10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3288"/>
        <w:gridCol w:w="1957"/>
        <w:gridCol w:w="1848"/>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641" w:type="dxa"/>
            <w:vAlign w:val="center"/>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vAlign w:val="center"/>
          </w:tcPr>
          <w:p>
            <w:pPr>
              <w:widowControl/>
              <w:jc w:val="center"/>
              <w:rPr>
                <w:rFonts w:ascii="Arial" w:hAnsi="Arial" w:cs="Arial"/>
                <w:b/>
                <w:bCs/>
                <w:color w:val="auto"/>
                <w:kern w:val="44"/>
                <w:sz w:val="18"/>
                <w:szCs w:val="18"/>
              </w:rPr>
            </w:pPr>
            <w:r>
              <w:rPr>
                <w:rFonts w:ascii="Arial" w:hAnsi="Arial" w:cs="Arial"/>
                <w:b/>
                <w:bCs/>
                <w:color w:val="auto"/>
                <w:kern w:val="44"/>
                <w:sz w:val="18"/>
                <w:szCs w:val="18"/>
              </w:rPr>
              <w:t>出票时间</w:t>
            </w:r>
          </w:p>
        </w:tc>
        <w:tc>
          <w:tcPr>
            <w:tcW w:w="3288" w:type="dxa"/>
            <w:vAlign w:val="center"/>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1957" w:type="dxa"/>
            <w:vAlign w:val="center"/>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848" w:type="dxa"/>
            <w:vAlign w:val="center"/>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257" w:type="dxa"/>
            <w:vAlign w:val="center"/>
          </w:tcPr>
          <w:p>
            <w:pPr>
              <w:widowControl/>
              <w:jc w:val="center"/>
              <w:rPr>
                <w:rFonts w:hint="eastAsia" w:ascii="Arial" w:hAnsi="Arial" w:eastAsia="宋体" w:cs="Arial"/>
                <w:b/>
                <w:bCs/>
                <w:kern w:val="44"/>
                <w:sz w:val="18"/>
                <w:szCs w:val="18"/>
                <w:lang w:eastAsia="zh-CN"/>
              </w:rPr>
            </w:pPr>
            <w:r>
              <w:rPr>
                <w:rFonts w:hint="eastAsia" w:ascii="Arial" w:hAnsi="Arial" w:cs="Arial"/>
                <w:b/>
                <w:bCs/>
                <w:kern w:val="44"/>
                <w:sz w:val="18"/>
                <w:szCs w:val="18"/>
                <w:lang w:eastAsia="zh-CN"/>
              </w:rPr>
              <w:t>商票到期日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2020/8/21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2,000,000.00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2020/8/26</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5,000,000.00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2020/9/24</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湖南美致空间设计工程有限公司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销售中心室内软装工程施工进度款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198,472.80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2020/9/30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4,871,302.06</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2020/9/30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10,128,697.94</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2020/9/30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南京长岛建设工程有限公司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售楼处室内装修工程施工</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554,483.83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2020/10/21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江苏博森建筑设计有限公司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项目施工图设计费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895,791.64</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2020/10/22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杭州市勘测设计研究院</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基坑支护设计费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268,000.00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2020/10/23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10,440,000.00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2020/10/28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10,180,003.50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西安高科幕墙门窗有限公司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售楼处、商业外立面幕墙工程施工工程款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1,575,619.52</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上海徐汇园林发展有限公司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园建施工工程款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200,000.00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浙江中材工程勘测设计有限公司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项目勘察工程款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200,000.00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安徽省安泰科技股份有限公司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庭售楼处、临时样板房智能化工程施工工程款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158,908.81</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上海继昱建设工程有限公司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售楼处临时样板房、商业消防工程施工工程款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163,997.71</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上海鹤琢广告有限公司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项目全案广告代理费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148,391.23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17</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5,000,000.00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18</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2020/11/18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主体施工工程款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4,801,473.96</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19</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2020/12/9</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上海苏宁易购销售有限公司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营销中心饮水机</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396.00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上海锋艺广告传播有限公司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示范区开放包装物料采购货款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61,600.00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2020/12/10</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广东特立会展科技有限公司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智慧社区包装款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172,000.00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上海鹤琢广告有限公司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2020年8月份全案广告公司月费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87,288.96</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浙江中材工程勘测设计有限公司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勘察工程进度款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157,095.49</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2020/12/16</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上海徐汇园林发展有限公司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展示区园建工程进度款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510,000.00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2020/12/16</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上海煜铂广告有限公司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围蔽进度款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510,000.00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2020/12/16</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上海电气承广电力工程有限公司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临时用电工程进度款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565,257.28</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2020/12/18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浙江尚都建设有限公司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土石方工程进度款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1,257,647.23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28</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2020/12/25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浙江施朗龙山工程设计有限公司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审图费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393,189.19</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29</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浙江中材工程勘测设计有限公司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勘察工程施工进度款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128,891.29</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30</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2021/1/11</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上海徐汇园林发展有限公司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园建施工进度款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185,040.00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杭州润滨礼品有限公司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营销物资</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89,450.00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上海吾林实业有限公司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营销物资</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159,300.00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总包进度款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604,154.62</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嘉兴火舞传媒有限公司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《惊天之术 魔幻之城》活动费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87,900.00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慈溪市明城建材有限公司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JDG管及配件费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175,471.60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总包进度款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604,154.62</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37</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2021/1/14</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威海山花华宝地毯有限公司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地毯采购款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114,824.00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38</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2021/1/14</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衢州信德广告有限公司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商业街物料费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178,650.00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39</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2021/1/14</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上海徐汇园林发展有限公司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园建施工进度款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185,040.00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40</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7,903,480.23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2021/1/13</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6,000,000.00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1,875,623.91</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桩基工程施工进度款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8,027,856.30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2021/1/15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江苏骏兴建设工程有限公司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基坑支护及降排水工程进度款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4,000,000.00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江门市中意灯饰水晶有限公司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售楼部艺术灯具款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105,752.94</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上海柏涛工程设计顾问有限公司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建筑外立面方案设计费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575,000.00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47</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深圳市希尔景观设计有限公司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园林工程设计进度款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73,686.93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48</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2021/1/22</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总包进度款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1,200,000.00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49</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2021/1/25</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广州市白云建筑设计院有限公司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项目规划方案设计费</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70,000.00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2021/1/26</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上海煜铂广告有限公司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项目围蔽工程施工进度款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601,757.49</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51</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2021/1/27</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江苏宏洁智慧科技有限公司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项目临时展示区亮化工程进度款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100,000.00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52</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2021/1/27</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浙江华坤建设有限公司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项目临时道路工程施工、红外线施工进度款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678,235.37</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53</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2021/1/27</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恒大农牧集团有限公司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恒大冰泉费用</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114,008.00</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54</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总包进度款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8,840,006.07</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55</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总包进度款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7,069,993.93</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2021/10/28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56</w:t>
            </w:r>
          </w:p>
        </w:tc>
        <w:tc>
          <w:tcPr>
            <w:tcW w:w="1148" w:type="dxa"/>
            <w:vAlign w:val="center"/>
          </w:tcPr>
          <w:p>
            <w:pPr>
              <w:keepNext w:val="0"/>
              <w:keepLines w:val="0"/>
              <w:widowControl/>
              <w:suppressLineNumbers w:val="0"/>
              <w:jc w:val="center"/>
              <w:textAlignment w:val="center"/>
              <w:rPr>
                <w:rFonts w:ascii="Arial" w:hAnsi="Arial" w:cs="Arial"/>
                <w:b/>
                <w:bCs/>
                <w:color w:val="auto"/>
                <w:kern w:val="44"/>
                <w:sz w:val="18"/>
                <w:szCs w:val="18"/>
              </w:rPr>
            </w:pPr>
            <w:r>
              <w:rPr>
                <w:rFonts w:hint="default" w:ascii="Arial" w:hAnsi="Arial" w:eastAsia="宋体" w:cs="Arial"/>
                <w:i w:val="0"/>
                <w:color w:val="000000"/>
                <w:kern w:val="0"/>
                <w:sz w:val="18"/>
                <w:szCs w:val="18"/>
                <w:u w:val="none"/>
                <w:lang w:val="en-US" w:eastAsia="zh-CN" w:bidi="ar"/>
              </w:rPr>
              <w:t>2021/1/28</w:t>
            </w:r>
          </w:p>
        </w:tc>
        <w:tc>
          <w:tcPr>
            <w:tcW w:w="328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浙江尚都建设有限公司</w:t>
            </w:r>
          </w:p>
        </w:tc>
        <w:tc>
          <w:tcPr>
            <w:tcW w:w="1957"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eastAsia" w:ascii="宋体" w:hAnsi="宋体" w:eastAsia="宋体" w:cs="宋体"/>
                <w:i w:val="0"/>
                <w:color w:val="000000"/>
                <w:kern w:val="0"/>
                <w:sz w:val="18"/>
                <w:szCs w:val="18"/>
                <w:u w:val="none"/>
                <w:lang w:val="en-US" w:eastAsia="zh-CN" w:bidi="ar"/>
              </w:rPr>
              <w:t>土石方工程进度款</w:t>
            </w:r>
          </w:p>
        </w:tc>
        <w:tc>
          <w:tcPr>
            <w:tcW w:w="1848" w:type="dxa"/>
            <w:vAlign w:val="center"/>
          </w:tcPr>
          <w:p>
            <w:pPr>
              <w:keepNext w:val="0"/>
              <w:keepLines w:val="0"/>
              <w:widowControl/>
              <w:suppressLineNumbers w:val="0"/>
              <w:jc w:val="center"/>
              <w:textAlignment w:val="center"/>
              <w:rPr>
                <w:rFonts w:ascii="Arial" w:hAnsi="Arial" w:cs="Arial"/>
                <w:b/>
                <w:bCs/>
                <w:kern w:val="44"/>
                <w:sz w:val="18"/>
                <w:szCs w:val="18"/>
              </w:rPr>
            </w:pPr>
            <w:r>
              <w:rPr>
                <w:rFonts w:hint="default" w:ascii="Arial" w:hAnsi="Arial" w:eastAsia="宋体" w:cs="Arial"/>
                <w:i w:val="0"/>
                <w:color w:val="000000"/>
                <w:kern w:val="0"/>
                <w:sz w:val="18"/>
                <w:szCs w:val="18"/>
                <w:u w:val="none"/>
                <w:lang w:val="en-US" w:eastAsia="zh-CN" w:bidi="ar"/>
              </w:rPr>
              <w:t>810,007.14</w:t>
            </w:r>
          </w:p>
        </w:tc>
        <w:tc>
          <w:tcPr>
            <w:tcW w:w="1257" w:type="dxa"/>
            <w:vAlign w:val="center"/>
          </w:tcPr>
          <w:p>
            <w:pPr>
              <w:keepNext w:val="0"/>
              <w:keepLines w:val="0"/>
              <w:widowControl/>
              <w:suppressLineNumbers w:val="0"/>
              <w:jc w:val="center"/>
              <w:textAlignment w:val="center"/>
              <w:rPr>
                <w:rFonts w:hint="eastAsia" w:ascii="Arial" w:hAnsi="Arial" w:cs="Arial"/>
                <w:b/>
                <w:bCs/>
                <w:kern w:val="44"/>
                <w:sz w:val="18"/>
                <w:szCs w:val="18"/>
                <w:lang w:eastAsia="zh-CN"/>
              </w:rPr>
            </w:pPr>
            <w:r>
              <w:rPr>
                <w:rFonts w:hint="default" w:ascii="Arial" w:hAnsi="Arial" w:eastAsia="宋体" w:cs="Arial"/>
                <w:i w:val="0"/>
                <w:color w:val="000000"/>
                <w:kern w:val="0"/>
                <w:sz w:val="18"/>
                <w:szCs w:val="18"/>
                <w:u w:val="none"/>
                <w:lang w:val="en-US" w:eastAsia="zh-CN" w:bidi="ar"/>
              </w:rPr>
              <w:t>2022/1/28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034" w:type="dxa"/>
            <w:gridSpan w:val="4"/>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合计</w:t>
            </w:r>
          </w:p>
        </w:tc>
        <w:tc>
          <w:tcPr>
            <w:tcW w:w="1848" w:type="dxa"/>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111,057,901.59</w:t>
            </w:r>
          </w:p>
        </w:tc>
        <w:tc>
          <w:tcPr>
            <w:tcW w:w="1257"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593" w:name="_Toc17633"/>
      <w:bookmarkStart w:id="594" w:name="_Toc12968"/>
      <w:bookmarkStart w:id="595" w:name="_Toc21877"/>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r>
        <w:rPr>
          <w:rFonts w:ascii="Arial" w:hAnsi="Arial" w:cs="Arial"/>
          <w:color w:val="000000"/>
          <w:sz w:val="24"/>
          <w:szCs w:val="24"/>
        </w:rPr>
        <w:t>8项目销售情况</w:t>
      </w:r>
      <w:bookmarkEnd w:id="571"/>
      <w:bookmarkEnd w:id="572"/>
      <w:bookmarkEnd w:id="573"/>
      <w:bookmarkEnd w:id="574"/>
      <w:bookmarkEnd w:id="575"/>
      <w:bookmarkEnd w:id="576"/>
      <w:bookmarkEnd w:id="577"/>
      <w:bookmarkEnd w:id="578"/>
      <w:bookmarkEnd w:id="579"/>
      <w:bookmarkEnd w:id="580"/>
      <w:bookmarkEnd w:id="581"/>
      <w:bookmarkEnd w:id="582"/>
      <w:bookmarkEnd w:id="586"/>
      <w:bookmarkEnd w:id="587"/>
      <w:bookmarkEnd w:id="588"/>
      <w:bookmarkEnd w:id="589"/>
      <w:bookmarkEnd w:id="590"/>
      <w:bookmarkEnd w:id="593"/>
      <w:bookmarkEnd w:id="594"/>
      <w:bookmarkEnd w:id="595"/>
    </w:p>
    <w:p>
      <w:pPr>
        <w:pStyle w:val="3"/>
        <w:keepNext/>
        <w:keepLines/>
        <w:spacing w:before="300" w:after="300" w:line="360" w:lineRule="exact"/>
        <w:jc w:val="left"/>
        <w:outlineLvl w:val="1"/>
        <w:rPr>
          <w:rFonts w:hint="default" w:ascii="Arial" w:hAnsi="Arial" w:eastAsia="宋体" w:cs="Arial"/>
          <w:color w:val="000000"/>
          <w:sz w:val="24"/>
          <w:szCs w:val="24"/>
        </w:rPr>
      </w:pPr>
      <w:bookmarkStart w:id="596" w:name="_Toc21740"/>
      <w:bookmarkStart w:id="597" w:name="_Toc10336"/>
      <w:bookmarkStart w:id="598" w:name="_Toc28731"/>
      <w:bookmarkStart w:id="599" w:name="_Toc8301"/>
      <w:bookmarkStart w:id="600" w:name="_Toc28522"/>
      <w:bookmarkStart w:id="601" w:name="_Toc30791"/>
      <w:bookmarkStart w:id="602" w:name="_Toc12338"/>
      <w:bookmarkStart w:id="603" w:name="_Toc4437"/>
      <w:bookmarkStart w:id="604" w:name="_Toc132"/>
      <w:bookmarkStart w:id="605" w:name="_Toc10106"/>
      <w:bookmarkStart w:id="606" w:name="_Toc8645"/>
      <w:bookmarkStart w:id="607" w:name="_Toc25619"/>
      <w:bookmarkStart w:id="608" w:name="_Toc4043"/>
      <w:bookmarkStart w:id="609" w:name="_Toc3357"/>
      <w:bookmarkStart w:id="610" w:name="_Toc4050"/>
      <w:bookmarkStart w:id="611" w:name="_Toc19753"/>
      <w:bookmarkStart w:id="612" w:name="_Toc13124"/>
      <w:bookmarkStart w:id="613" w:name="_Toc9619"/>
      <w:bookmarkStart w:id="614" w:name="_Toc19898"/>
      <w:bookmarkStart w:id="615" w:name="_Toc23954"/>
      <w:r>
        <w:rPr>
          <w:rFonts w:hint="default" w:ascii="Arial" w:hAnsi="Arial" w:eastAsia="宋体" w:cs="Arial"/>
          <w:color w:val="000000"/>
          <w:sz w:val="24"/>
          <w:szCs w:val="24"/>
        </w:rPr>
        <w:t>8.1当地销售政策（预售政策、限购限售、限价政策描述）</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616" w:name="_Toc19572"/>
      <w:r>
        <w:rPr>
          <w:rFonts w:ascii="Arial" w:hAnsi="Arial" w:cs="Arial"/>
        </w:rPr>
        <w:t>（1）预售政策：</w:t>
      </w:r>
      <w:bookmarkEnd w:id="61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r>
        <w:rPr>
          <w:rFonts w:ascii="Arial" w:hAnsi="Arial" w:cs="Arial"/>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617" w:name="_Toc496"/>
      <w:r>
        <w:rPr>
          <w:rFonts w:ascii="Arial" w:hAnsi="Arial" w:cs="Arial"/>
        </w:rPr>
        <w:t>（2）限购政策：</w:t>
      </w:r>
      <w:bookmarkEnd w:id="61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r>
        <w:rPr>
          <w:rFonts w:ascii="Arial" w:hAnsi="Arial" w:cs="Arial"/>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618" w:name="_Toc24916"/>
      <w:r>
        <w:rPr>
          <w:rFonts w:ascii="Arial" w:hAnsi="Arial" w:cs="Arial"/>
        </w:rPr>
        <w:t>（3）限价政策：</w:t>
      </w:r>
      <w:bookmarkEnd w:id="618"/>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619" w:name="_Toc2350"/>
      <w:bookmarkStart w:id="620" w:name="_Toc21015"/>
      <w:bookmarkStart w:id="621" w:name="_Toc12917"/>
      <w:bookmarkStart w:id="622" w:name="_Toc18788"/>
      <w:bookmarkStart w:id="623" w:name="_Toc9486"/>
      <w:bookmarkStart w:id="624" w:name="_Toc6280"/>
      <w:bookmarkStart w:id="625" w:name="_Toc30969"/>
      <w:bookmarkStart w:id="626" w:name="_Toc14026"/>
      <w:bookmarkStart w:id="627" w:name="_Toc20320"/>
      <w:bookmarkStart w:id="628" w:name="_Toc7694"/>
      <w:bookmarkStart w:id="629" w:name="_Toc7311"/>
      <w:bookmarkStart w:id="630" w:name="_Toc32570"/>
      <w:r>
        <w:rPr>
          <w:rFonts w:ascii="Arial" w:hAnsi="Arial" w:cs="Arial"/>
        </w:rPr>
        <w:t>根据不同区域情况限价，但限价逐步放松。办理价格备案时，先由房地产商自行申报价格，再由行业协会定价，最后由区住建局报市房管中心进行三区会议与三部门会议决定最终的定价。</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631" w:name="_Toc12423"/>
      <w:bookmarkStart w:id="632" w:name="_Toc2219"/>
      <w:bookmarkStart w:id="633" w:name="_Toc17267"/>
      <w:bookmarkStart w:id="634" w:name="_Toc20118"/>
      <w:bookmarkStart w:id="635" w:name="_Toc9586"/>
      <w:bookmarkStart w:id="636" w:name="_Toc24251"/>
      <w:bookmarkStart w:id="637" w:name="_Toc23842"/>
      <w:bookmarkStart w:id="638" w:name="_Toc13779"/>
      <w:r>
        <w:rPr>
          <w:rFonts w:eastAsia="宋体" w:cs="Arial"/>
          <w:color w:val="000000"/>
          <w:sz w:val="24"/>
          <w:szCs w:val="24"/>
        </w:rPr>
        <w:t>8</w:t>
      </w:r>
      <w:r>
        <w:rPr>
          <w:rFonts w:hint="default" w:ascii="Arial" w:hAnsi="Arial" w:eastAsia="宋体" w:cs="Arial"/>
          <w:color w:val="000000"/>
          <w:sz w:val="24"/>
          <w:szCs w:val="24"/>
        </w:rPr>
        <w:t>.2项目销售及营销推广计划</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numPr>
          <w:ilvl w:val="0"/>
          <w:numId w:val="4"/>
        </w:numPr>
        <w:spacing w:line="480" w:lineRule="auto"/>
        <w:ind w:firstLine="420" w:firstLineChars="200"/>
        <w:rPr>
          <w:rFonts w:ascii="Arial" w:hAnsi="Arial" w:cs="Arial"/>
        </w:rPr>
      </w:pPr>
      <w:r>
        <w:rPr>
          <w:rFonts w:hint="eastAsia" w:ascii="Arial" w:hAnsi="Arial" w:cs="Arial"/>
          <w:lang w:eastAsia="zh-CN"/>
        </w:rPr>
        <w:t>项目</w:t>
      </w:r>
      <w:r>
        <w:rPr>
          <w:rFonts w:hint="eastAsia" w:ascii="Arial" w:hAnsi="Arial" w:cs="Arial"/>
          <w:lang w:val="en-US" w:eastAsia="zh-CN"/>
        </w:rPr>
        <w:t>公司拟于3月取得第二批预售证。</w:t>
      </w:r>
    </w:p>
    <w:p>
      <w:pPr>
        <w:numPr>
          <w:ilvl w:val="0"/>
          <w:numId w:val="4"/>
        </w:numPr>
        <w:spacing w:line="480" w:lineRule="auto"/>
        <w:ind w:firstLine="420" w:firstLineChars="200"/>
        <w:rPr>
          <w:rFonts w:ascii="Arial" w:hAnsi="Arial" w:cs="Arial"/>
        </w:rPr>
      </w:pPr>
      <w:r>
        <w:rPr>
          <w:rFonts w:hint="eastAsia" w:ascii="Arial" w:hAnsi="Arial" w:cs="Arial"/>
          <w:lang w:val="en-US" w:eastAsia="zh-CN"/>
        </w:rPr>
        <w:t>售楼处举办相关活动推广销售。</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639" w:name="_Toc4827"/>
      <w:bookmarkStart w:id="640" w:name="_Toc24661"/>
      <w:bookmarkStart w:id="641" w:name="_Toc11607"/>
      <w:bookmarkStart w:id="642" w:name="_Toc16066"/>
      <w:bookmarkStart w:id="643" w:name="_Toc15769"/>
      <w:bookmarkStart w:id="644" w:name="_Toc8166"/>
      <w:bookmarkStart w:id="645" w:name="_Toc18851"/>
      <w:bookmarkStart w:id="646" w:name="_Toc19320"/>
      <w:bookmarkStart w:id="647" w:name="_Toc7891"/>
      <w:bookmarkStart w:id="648" w:name="_Toc11635"/>
      <w:bookmarkStart w:id="649" w:name="_Toc18913"/>
      <w:bookmarkStart w:id="650" w:name="_Toc7994"/>
      <w:bookmarkStart w:id="651" w:name="_Toc7896"/>
      <w:bookmarkStart w:id="652" w:name="_Toc13053"/>
      <w:bookmarkStart w:id="653" w:name="_Toc21807"/>
      <w:bookmarkStart w:id="654" w:name="_Toc22308"/>
      <w:bookmarkStart w:id="655" w:name="_Toc18718"/>
      <w:bookmarkStart w:id="656" w:name="_Toc6721"/>
      <w:bookmarkStart w:id="657" w:name="_Toc3051"/>
      <w:bookmarkStart w:id="658" w:name="_Toc18882"/>
      <w:r>
        <w:rPr>
          <w:rFonts w:eastAsia="宋体" w:cs="Arial"/>
          <w:color w:val="000000"/>
          <w:sz w:val="24"/>
          <w:szCs w:val="24"/>
        </w:rPr>
        <w:t>8.3项目销售情况统计</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项目于2021年1月10日开售，推出可售住宅及商业315套，可售面积32714.33㎡。根据项目公司提供的销售台账，截至2021年2月28日可售住宅及商业已售82套，已售面积共计8708.37㎡，占已取得可售面积的27%，累计出售合同价12,566.73万元，累计已售回款1,365.63万元，占出售合同总价的11%。</w:t>
      </w:r>
    </w:p>
    <w:p>
      <w:pPr>
        <w:spacing w:before="0" w:beforeLines="-2147483648" w:line="480" w:lineRule="auto"/>
        <w:ind w:firstLine="420" w:firstLineChars="200"/>
        <w:jc w:val="left"/>
        <w:rPr>
          <w:rFonts w:hint="eastAsia" w:ascii="Arial" w:hAnsi="Arial" w:eastAsia="宋体"/>
          <w:b/>
          <w:color w:val="000000"/>
          <w:sz w:val="24"/>
          <w:szCs w:val="21"/>
          <w:lang w:val="en-US" w:eastAsia="zh-CN"/>
        </w:rPr>
      </w:pPr>
      <w:r>
        <w:rPr>
          <w:rFonts w:hint="eastAsia" w:ascii="Arial" w:hAnsi="Arial" w:cs="Arial"/>
          <w:bCs/>
          <w:kern w:val="44"/>
          <w:szCs w:val="21"/>
          <w:lang w:val="en-US" w:eastAsia="zh-CN"/>
        </w:rPr>
        <w:t>截至2021年2月28日销售情况见下表：</w:t>
      </w:r>
    </w:p>
    <w:p>
      <w:pPr>
        <w:spacing w:before="240" w:beforeLines="100"/>
        <w:ind w:firstLine="482" w:firstLineChars="200"/>
        <w:jc w:val="center"/>
        <w:rPr>
          <w:rFonts w:hint="default" w:ascii="Arial" w:hAnsi="Arial" w:eastAsia="宋体"/>
          <w:b/>
          <w:color w:val="000000"/>
          <w:sz w:val="24"/>
          <w:szCs w:val="21"/>
          <w:lang w:val="en-US" w:eastAsia="zh-CN"/>
        </w:rPr>
      </w:pPr>
      <w:r>
        <w:rPr>
          <w:rFonts w:hint="eastAsia" w:ascii="Arial" w:hAnsi="Arial" w:eastAsia="宋体"/>
          <w:b/>
          <w:color w:val="000000"/>
          <w:sz w:val="24"/>
          <w:szCs w:val="21"/>
          <w:lang w:val="en-US" w:eastAsia="zh-CN"/>
        </w:rPr>
        <w:t>截至2021年</w:t>
      </w:r>
      <w:r>
        <w:rPr>
          <w:rFonts w:hint="eastAsia" w:ascii="Arial" w:hAnsi="Arial"/>
          <w:b/>
          <w:color w:val="000000"/>
          <w:sz w:val="24"/>
          <w:szCs w:val="21"/>
          <w:lang w:val="en-US" w:eastAsia="zh-CN"/>
        </w:rPr>
        <w:t>2</w:t>
      </w:r>
      <w:r>
        <w:rPr>
          <w:rFonts w:hint="eastAsia" w:ascii="Arial" w:hAnsi="Arial" w:eastAsia="宋体"/>
          <w:b/>
          <w:color w:val="000000"/>
          <w:sz w:val="24"/>
          <w:szCs w:val="21"/>
          <w:lang w:val="en-US" w:eastAsia="zh-CN"/>
        </w:rPr>
        <w:t>月</w:t>
      </w:r>
      <w:r>
        <w:rPr>
          <w:rFonts w:hint="eastAsia" w:ascii="Arial" w:hAnsi="Arial"/>
          <w:b/>
          <w:color w:val="000000"/>
          <w:sz w:val="24"/>
          <w:szCs w:val="21"/>
          <w:lang w:val="en-US" w:eastAsia="zh-CN"/>
        </w:rPr>
        <w:t>28</w:t>
      </w:r>
      <w:r>
        <w:rPr>
          <w:rFonts w:hint="eastAsia" w:ascii="Arial" w:hAnsi="Arial" w:eastAsia="宋体"/>
          <w:b/>
          <w:color w:val="000000"/>
          <w:sz w:val="24"/>
          <w:szCs w:val="21"/>
          <w:lang w:val="en-US" w:eastAsia="zh-CN"/>
        </w:rPr>
        <w:t>日销售情况</w:t>
      </w:r>
    </w:p>
    <w:tbl>
      <w:tblPr>
        <w:tblStyle w:val="18"/>
        <w:tblW w:w="0" w:type="auto"/>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8"/>
        <w:gridCol w:w="1068"/>
        <w:gridCol w:w="1320"/>
        <w:gridCol w:w="972"/>
        <w:gridCol w:w="1260"/>
        <w:gridCol w:w="1404"/>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vMerge w:val="restart"/>
            <w:tcBorders>
              <w:top w:val="single" w:color="auto" w:sz="6" w:space="0"/>
              <w:left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p>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产品/项目</w:t>
            </w:r>
          </w:p>
        </w:tc>
        <w:tc>
          <w:tcPr>
            <w:tcW w:w="2388"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可售情况</w:t>
            </w:r>
          </w:p>
        </w:tc>
        <w:tc>
          <w:tcPr>
            <w:tcW w:w="5124" w:type="dxa"/>
            <w:gridSpan w:val="4"/>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已售情况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vMerge w:val="continue"/>
            <w:tcBorders>
              <w:left w:val="single" w:color="auto" w:sz="6" w:space="0"/>
              <w:bottom w:val="single" w:color="auto" w:sz="4"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套数</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面积（㎡）</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套数</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面积（㎡）</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合同价（万元）</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已售回款（万元）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住宅及商业</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315</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32714.33</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82</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8708.37</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12,566.73</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1,365.63</w:t>
            </w:r>
          </w:p>
        </w:tc>
      </w:tr>
    </w:tbl>
    <w:p>
      <w:pPr>
        <w:numPr>
          <w:ilvl w:val="255"/>
          <w:numId w:val="0"/>
        </w:numPr>
        <w:spacing w:line="360" w:lineRule="auto"/>
        <w:ind w:firstLine="420" w:firstLineChars="200"/>
        <w:rPr>
          <w:rFonts w:hint="default" w:ascii="Arial" w:hAnsi="Arial" w:eastAsia="宋体" w:cs="Arial"/>
          <w:lang w:val="en-US" w:eastAsia="zh-CN"/>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Arial" w:hAnsi="Arial" w:eastAsia="宋体" w:cs="Arial"/>
          <w:sz w:val="24"/>
        </w:rPr>
      </w:pPr>
      <w:bookmarkStart w:id="659" w:name="_Toc12598"/>
      <w:bookmarkStart w:id="660" w:name="_Toc30477"/>
      <w:bookmarkStart w:id="661" w:name="_Toc32039"/>
      <w:bookmarkStart w:id="662" w:name="_Toc1494"/>
      <w:bookmarkStart w:id="663" w:name="_Toc29917"/>
      <w:bookmarkStart w:id="664" w:name="_Toc22077"/>
      <w:bookmarkStart w:id="665" w:name="_Toc19692"/>
      <w:bookmarkStart w:id="666" w:name="_Toc1937"/>
      <w:bookmarkStart w:id="667" w:name="_Toc7161"/>
      <w:bookmarkStart w:id="668" w:name="_Toc23901"/>
      <w:bookmarkStart w:id="669" w:name="_Toc3967"/>
      <w:bookmarkStart w:id="670" w:name="_Toc11401"/>
      <w:bookmarkStart w:id="671" w:name="_Toc3192"/>
      <w:bookmarkStart w:id="672" w:name="_Toc19387"/>
      <w:r>
        <w:rPr>
          <w:rFonts w:hint="default" w:ascii="Arial" w:hAnsi="Arial" w:eastAsia="宋体" w:cs="Arial"/>
          <w:sz w:val="24"/>
        </w:rPr>
        <w:t>9下期关注重点</w:t>
      </w:r>
      <w:bookmarkEnd w:id="659"/>
      <w:bookmarkEnd w:id="660"/>
      <w:bookmarkEnd w:id="661"/>
      <w:bookmarkEnd w:id="662"/>
      <w:bookmarkEnd w:id="663"/>
      <w:bookmarkEnd w:id="664"/>
      <w:bookmarkEnd w:id="665"/>
      <w:bookmarkEnd w:id="666"/>
      <w:bookmarkEnd w:id="667"/>
      <w:bookmarkEnd w:id="668"/>
      <w:bookmarkEnd w:id="669"/>
      <w:bookmarkEnd w:id="670"/>
    </w:p>
    <w:p>
      <w:pPr>
        <w:numPr>
          <w:ilvl w:val="255"/>
          <w:numId w:val="0"/>
        </w:num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综上所述，基于目前海盐都汇华庭项目运营状况，后续工作中将对下列事项进行重点关注：</w:t>
      </w:r>
    </w:p>
    <w:p>
      <w:pPr>
        <w:numPr>
          <w:ilvl w:val="0"/>
          <w:numId w:val="5"/>
        </w:numPr>
        <w:spacing w:line="480" w:lineRule="auto"/>
        <w:ind w:left="845" w:firstLine="0"/>
        <w:jc w:val="left"/>
        <w:rPr>
          <w:rFonts w:ascii="Arial" w:hAnsi="Arial" w:cs="Arial"/>
          <w:szCs w:val="21"/>
        </w:rPr>
      </w:pPr>
      <w:r>
        <w:rPr>
          <w:rFonts w:hint="eastAsia" w:ascii="Arial" w:hAnsi="Arial" w:cs="Arial"/>
          <w:szCs w:val="21"/>
          <w:lang w:val="en-US" w:eastAsia="zh-CN"/>
        </w:rPr>
        <w:t>关注项目第二批预售证办理情况；</w:t>
      </w:r>
    </w:p>
    <w:p>
      <w:pPr>
        <w:numPr>
          <w:ilvl w:val="0"/>
          <w:numId w:val="5"/>
        </w:numPr>
        <w:spacing w:line="480" w:lineRule="auto"/>
        <w:ind w:left="845" w:firstLine="0"/>
        <w:jc w:val="left"/>
        <w:rPr>
          <w:rFonts w:ascii="Arial" w:hAnsi="Arial" w:cs="Arial"/>
          <w:szCs w:val="21"/>
        </w:rPr>
      </w:pPr>
      <w:r>
        <w:rPr>
          <w:rFonts w:ascii="Arial" w:hAnsi="Arial" w:cs="Arial"/>
          <w:szCs w:val="21"/>
        </w:rPr>
        <w:t>关注海盐都汇华庭项目工程土方合同、桩基合同、基坑支护合同，加强合同实施过程产值计量审核工作，避免超工作量、超进度付款；要求留存施工过程必要的资料，保证实际工程量复核的依据性，避免合同结算金额偏高，发生项目利润的转移情况；</w:t>
      </w:r>
    </w:p>
    <w:p>
      <w:pPr>
        <w:numPr>
          <w:ilvl w:val="0"/>
          <w:numId w:val="5"/>
        </w:numPr>
        <w:spacing w:line="480" w:lineRule="auto"/>
        <w:ind w:left="845" w:firstLine="0"/>
        <w:jc w:val="left"/>
        <w:rPr>
          <w:rFonts w:ascii="Arial" w:hAnsi="Arial" w:cs="Arial"/>
          <w:szCs w:val="21"/>
        </w:rPr>
      </w:pPr>
      <w:r>
        <w:rPr>
          <w:rFonts w:hint="eastAsia" w:ascii="Arial" w:hAnsi="Arial" w:cs="Arial"/>
          <w:szCs w:val="21"/>
          <w:lang w:val="en-US" w:eastAsia="zh-CN"/>
        </w:rPr>
        <w:t>关注项目销售回款事宜；</w:t>
      </w:r>
    </w:p>
    <w:p>
      <w:pPr>
        <w:numPr>
          <w:ilvl w:val="0"/>
          <w:numId w:val="5"/>
        </w:numPr>
        <w:spacing w:line="480" w:lineRule="auto"/>
        <w:ind w:left="845" w:firstLine="0"/>
        <w:jc w:val="left"/>
        <w:rPr>
          <w:rFonts w:ascii="Arial" w:hAnsi="Arial" w:cs="Arial"/>
          <w:szCs w:val="21"/>
        </w:rPr>
      </w:pPr>
      <w:r>
        <w:rPr>
          <w:rFonts w:hint="eastAsia" w:ascii="Arial" w:hAnsi="Arial" w:cs="Arial"/>
          <w:szCs w:val="21"/>
          <w:lang w:val="en-US" w:eastAsia="zh-CN"/>
        </w:rPr>
        <w:t>关注项目公司银行按揭准入情况；</w:t>
      </w:r>
    </w:p>
    <w:p>
      <w:pPr>
        <w:numPr>
          <w:ilvl w:val="0"/>
          <w:numId w:val="5"/>
        </w:numPr>
        <w:spacing w:line="480" w:lineRule="auto"/>
        <w:ind w:left="845" w:firstLine="0"/>
        <w:jc w:val="left"/>
        <w:rPr>
          <w:rFonts w:ascii="Arial" w:hAnsi="Arial" w:cs="Arial"/>
          <w:szCs w:val="21"/>
        </w:rPr>
      </w:pPr>
      <w:r>
        <w:rPr>
          <w:rFonts w:ascii="Arial" w:hAnsi="Arial" w:cs="Arial"/>
          <w:szCs w:val="21"/>
        </w:rPr>
        <w:t>关注项目公司资金余额及资金使用情况、资金计划完成情况。</w:t>
      </w:r>
    </w:p>
    <w:p>
      <w:pPr>
        <w:spacing w:before="300" w:after="300" w:line="360" w:lineRule="exact"/>
        <w:jc w:val="left"/>
        <w:rPr>
          <w:rFonts w:ascii="Arial" w:hAnsi="Arial" w:cs="Arial"/>
          <w:color w:val="000000"/>
          <w:sz w:val="24"/>
        </w:rPr>
      </w:pPr>
      <w:bookmarkStart w:id="673" w:name="_Toc32094"/>
      <w:bookmarkStart w:id="674" w:name="_Toc28903"/>
      <w:bookmarkStart w:id="675" w:name="_Toc19608"/>
      <w:bookmarkStart w:id="676" w:name="_Toc25198"/>
      <w:bookmarkStart w:id="677" w:name="_Toc13942"/>
      <w:bookmarkStart w:id="678" w:name="_Toc30408"/>
      <w:bookmarkStart w:id="679" w:name="_Toc20278"/>
      <w:bookmarkStart w:id="680" w:name="_Toc20853"/>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681" w:name="_Toc28889"/>
      <w:bookmarkStart w:id="682" w:name="_Toc26948"/>
      <w:bookmarkStart w:id="683" w:name="_Toc21529"/>
      <w:bookmarkStart w:id="684" w:name="_Toc6235"/>
      <w:bookmarkStart w:id="685" w:name="_Toc16420"/>
      <w:bookmarkStart w:id="686" w:name="_Toc25349"/>
      <w:bookmarkStart w:id="687" w:name="_Toc8931"/>
      <w:bookmarkStart w:id="688" w:name="_Toc21930"/>
      <w:bookmarkStart w:id="689" w:name="_Toc4123"/>
      <w:bookmarkStart w:id="690" w:name="_Toc8356"/>
      <w:r>
        <w:rPr>
          <w:rFonts w:ascii="Arial" w:hAnsi="Arial" w:cs="Arial"/>
          <w:color w:val="000000"/>
          <w:sz w:val="24"/>
          <w:szCs w:val="24"/>
        </w:rPr>
        <w:t>附件</w:t>
      </w:r>
      <w:bookmarkEnd w:id="469"/>
      <w:bookmarkEnd w:id="470"/>
      <w:bookmarkEnd w:id="471"/>
      <w:bookmarkEnd w:id="472"/>
      <w:bookmarkEnd w:id="473"/>
      <w:bookmarkEnd w:id="474"/>
      <w:bookmarkEnd w:id="523"/>
      <w:bookmarkEnd w:id="524"/>
      <w:bookmarkEnd w:id="525"/>
      <w:bookmarkEnd w:id="526"/>
      <w:bookmarkEnd w:id="527"/>
      <w:bookmarkEnd w:id="528"/>
      <w:bookmarkEnd w:id="529"/>
      <w:bookmarkEnd w:id="53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ascii="Arial" w:hAnsi="Arial" w:cs="Arial"/>
          <w:b/>
          <w:color w:val="000000"/>
          <w:sz w:val="24"/>
        </w:rPr>
      </w:pPr>
      <w:bookmarkStart w:id="691" w:name="_Toc535508647"/>
      <w:bookmarkStart w:id="692" w:name="_Toc535580034"/>
      <w:bookmarkStart w:id="693" w:name="_Toc535570761"/>
      <w:bookmarkStart w:id="694" w:name="_Toc532281665"/>
      <w:bookmarkStart w:id="695" w:name="_Toc535580102"/>
      <w:bookmarkStart w:id="696" w:name="_Toc31415"/>
      <w:bookmarkStart w:id="697" w:name="_Toc30228"/>
      <w:bookmarkStart w:id="698" w:name="_Toc8634"/>
      <w:bookmarkStart w:id="699" w:name="_Toc21470"/>
      <w:bookmarkStart w:id="700" w:name="_Toc4762"/>
      <w:bookmarkStart w:id="701" w:name="_Toc6866"/>
      <w:bookmarkStart w:id="702" w:name="_Toc30197"/>
      <w:bookmarkStart w:id="703" w:name="_Toc25953"/>
      <w:bookmarkStart w:id="704" w:name="_Toc30857"/>
      <w:bookmarkStart w:id="705" w:name="_Toc7476"/>
      <w:bookmarkStart w:id="706" w:name="_Toc4198"/>
      <w:bookmarkStart w:id="707" w:name="_Toc1108"/>
      <w:bookmarkStart w:id="708" w:name="_Toc30895"/>
      <w:bookmarkStart w:id="709" w:name="_Toc16889"/>
      <w:bookmarkStart w:id="710" w:name="_Toc45217884"/>
      <w:bookmarkStart w:id="711" w:name="_Toc27000"/>
      <w:bookmarkStart w:id="712" w:name="_Toc14516"/>
      <w:bookmarkStart w:id="713" w:name="_Toc27512"/>
      <w:bookmarkStart w:id="714" w:name="_Toc1075"/>
      <w:bookmarkStart w:id="715" w:name="_Toc2233"/>
      <w:bookmarkStart w:id="716" w:name="_Toc26405"/>
      <w:bookmarkStart w:id="717" w:name="_Toc11405"/>
      <w:bookmarkStart w:id="718" w:name="_Toc21458"/>
      <w:bookmarkStart w:id="719" w:name="_Toc21475"/>
      <w:bookmarkStart w:id="720" w:name="_Toc16241"/>
      <w:bookmarkStart w:id="721" w:name="_Toc20523"/>
      <w:bookmarkStart w:id="722" w:name="_Toc10565"/>
      <w:bookmarkStart w:id="723" w:name="_Toc8254"/>
      <w:bookmarkStart w:id="724" w:name="_Toc8410"/>
      <w:r>
        <w:rPr>
          <w:rFonts w:eastAsia="宋体" w:cs="Arial"/>
          <w:sz w:val="24"/>
        </w:rPr>
        <w:t>附件一</w:t>
      </w:r>
      <w:bookmarkEnd w:id="691"/>
      <w:bookmarkEnd w:id="692"/>
      <w:bookmarkEnd w:id="693"/>
      <w:bookmarkEnd w:id="694"/>
      <w:bookmarkEnd w:id="695"/>
      <w:r>
        <w:rPr>
          <w:rFonts w:eastAsia="宋体" w:cs="Arial"/>
          <w:sz w:val="24"/>
        </w:rPr>
        <w:t xml:space="preserve"> 项目公司对账单</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Start w:id="725" w:name="_Toc535570762"/>
      <w:bookmarkStart w:id="726" w:name="_Toc535580035"/>
      <w:bookmarkStart w:id="727" w:name="_Toc45217885"/>
      <w:bookmarkStart w:id="728" w:name="_Toc535508648"/>
      <w:bookmarkStart w:id="729" w:name="_Toc535580103"/>
      <w:bookmarkStart w:id="730" w:name="_Toc514075669"/>
    </w:p>
    <w:p>
      <w:pPr>
        <w:jc w:val="center"/>
        <w:rPr>
          <w:rFonts w:ascii="Arial" w:hAnsi="Arial" w:cs="Arial"/>
          <w:b/>
          <w:color w:val="000000"/>
          <w:sz w:val="24"/>
        </w:rPr>
      </w:pPr>
      <w:r>
        <w:rPr>
          <w:rFonts w:ascii="Arial" w:hAnsi="Arial" w:cs="Arial"/>
          <w:b/>
          <w:color w:val="000000"/>
          <w:sz w:val="24"/>
        </w:rPr>
        <w:t>中国建设银行海盐支行（1027）账户</w:t>
      </w:r>
      <w:r>
        <w:rPr>
          <w:rFonts w:hint="eastAsia" w:ascii="Arial" w:hAnsi="Arial" w:cs="Arial"/>
          <w:b/>
          <w:color w:val="000000"/>
          <w:sz w:val="24"/>
          <w:lang w:val="en-US" w:eastAsia="zh-CN"/>
        </w:rPr>
        <w:t>2</w:t>
      </w:r>
      <w:r>
        <w:rPr>
          <w:rFonts w:ascii="Arial" w:hAnsi="Arial" w:cs="Arial"/>
          <w:b/>
          <w:color w:val="000000"/>
          <w:sz w:val="24"/>
        </w:rPr>
        <w:t>月份银行对账单</w:t>
      </w:r>
    </w:p>
    <w:p>
      <w:pPr>
        <w:rPr>
          <w:rFonts w:ascii="Arial" w:hAnsi="Arial" w:cs="Arial"/>
        </w:rPr>
      </w:pPr>
    </w:p>
    <w:p>
      <w:pPr>
        <w:rPr>
          <w:rFonts w:hint="default" w:ascii="Arial" w:hAnsi="Arial" w:eastAsia="宋体" w:cs="Arial"/>
          <w:lang w:eastAsia="zh-CN"/>
        </w:rPr>
      </w:pPr>
      <w:r>
        <w:rPr>
          <w:rFonts w:hint="default" w:ascii="Arial" w:hAnsi="Arial" w:eastAsia="宋体" w:cs="Arial"/>
          <w:lang w:eastAsia="zh-CN"/>
        </w:rPr>
        <w:drawing>
          <wp:inline distT="0" distB="0" distL="114300" distR="114300">
            <wp:extent cx="5901690" cy="3136900"/>
            <wp:effectExtent l="0" t="0" r="11430" b="2540"/>
            <wp:docPr id="1" name="图片 1" descr="d80c87668e3c8817da103f7b6070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80c87668e3c8817da103f7b6070fe5"/>
                    <pic:cNvPicPr>
                      <a:picLocks noChangeAspect="1"/>
                    </pic:cNvPicPr>
                  </pic:nvPicPr>
                  <pic:blipFill>
                    <a:blip r:embed="rId17"/>
                    <a:stretch>
                      <a:fillRect/>
                    </a:stretch>
                  </pic:blipFill>
                  <pic:spPr>
                    <a:xfrm>
                      <a:off x="0" y="0"/>
                      <a:ext cx="5901690" cy="3136900"/>
                    </a:xfrm>
                    <a:prstGeom prst="rect">
                      <a:avLst/>
                    </a:prstGeom>
                  </pic:spPr>
                </pic:pic>
              </a:graphicData>
            </a:graphic>
          </wp:inline>
        </w:drawing>
      </w:r>
      <w:r>
        <w:rPr>
          <w:rFonts w:hint="default" w:ascii="Arial" w:hAnsi="Arial" w:eastAsia="宋体" w:cs="Arial"/>
          <w:lang w:eastAsia="zh-CN"/>
        </w:rPr>
        <w:drawing>
          <wp:inline distT="0" distB="0" distL="114300" distR="114300">
            <wp:extent cx="5902960" cy="2641600"/>
            <wp:effectExtent l="0" t="0" r="10160" b="10160"/>
            <wp:docPr id="2" name="图片 2" descr="1c84f9646027278e7a9087506728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84f9646027278e7a9087506728a2d"/>
                    <pic:cNvPicPr>
                      <a:picLocks noChangeAspect="1"/>
                    </pic:cNvPicPr>
                  </pic:nvPicPr>
                  <pic:blipFill>
                    <a:blip r:embed="rId18"/>
                    <a:stretch>
                      <a:fillRect/>
                    </a:stretch>
                  </pic:blipFill>
                  <pic:spPr>
                    <a:xfrm>
                      <a:off x="0" y="0"/>
                      <a:ext cx="5902960" cy="2641600"/>
                    </a:xfrm>
                    <a:prstGeom prst="rect">
                      <a:avLst/>
                    </a:prstGeom>
                  </pic:spPr>
                </pic:pic>
              </a:graphicData>
            </a:graphic>
          </wp:inline>
        </w:drawing>
      </w:r>
    </w:p>
    <w:p>
      <w:pPr>
        <w:rPr>
          <w:rFonts w:ascii="Arial" w:hAnsi="Arial" w:cs="Arial"/>
        </w:rPr>
      </w:pPr>
    </w:p>
    <w:p>
      <w:pPr>
        <w:spacing w:before="240" w:beforeLines="100" w:after="300" w:line="360" w:lineRule="exact"/>
        <w:jc w:val="center"/>
        <w:rPr>
          <w:rFonts w:ascii="Arial" w:hAnsi="Arial" w:cs="Arial"/>
          <w:b/>
          <w:color w:val="000000"/>
          <w:sz w:val="24"/>
        </w:rPr>
      </w:pPr>
    </w:p>
    <w:p>
      <w:pPr>
        <w:spacing w:before="240" w:beforeLines="100" w:after="300" w:line="360" w:lineRule="exact"/>
        <w:jc w:val="center"/>
        <w:rPr>
          <w:rFonts w:ascii="Arial" w:hAnsi="Arial" w:cs="Arial"/>
          <w:b/>
          <w:color w:val="000000"/>
          <w:sz w:val="24"/>
        </w:rPr>
      </w:pPr>
    </w:p>
    <w:p>
      <w:pPr>
        <w:spacing w:before="240" w:beforeLines="100" w:after="300" w:line="360" w:lineRule="exact"/>
        <w:jc w:val="center"/>
        <w:rPr>
          <w:rFonts w:ascii="Arial" w:hAnsi="Arial" w:cs="Arial"/>
          <w:b/>
          <w:color w:val="000000"/>
          <w:sz w:val="24"/>
        </w:rPr>
      </w:pPr>
    </w:p>
    <w:p>
      <w:pPr>
        <w:spacing w:before="240" w:beforeLines="100" w:after="300" w:line="360" w:lineRule="exact"/>
        <w:jc w:val="center"/>
        <w:rPr>
          <w:rFonts w:ascii="Arial" w:hAnsi="Arial" w:cs="Arial"/>
          <w:b/>
          <w:color w:val="000000"/>
          <w:sz w:val="24"/>
        </w:rPr>
      </w:pPr>
      <w:r>
        <w:rPr>
          <w:rFonts w:ascii="Arial" w:hAnsi="Arial" w:cs="Arial"/>
          <w:b/>
          <w:color w:val="000000"/>
          <w:sz w:val="24"/>
        </w:rPr>
        <w:t>中国银行海盐支行（8270）账户</w:t>
      </w:r>
      <w:r>
        <w:rPr>
          <w:rFonts w:hint="eastAsia" w:ascii="Arial" w:hAnsi="Arial" w:cs="Arial"/>
          <w:b/>
          <w:color w:val="000000"/>
          <w:sz w:val="24"/>
          <w:lang w:val="en-US" w:eastAsia="zh-CN"/>
        </w:rPr>
        <w:t>2</w:t>
      </w:r>
      <w:r>
        <w:rPr>
          <w:rFonts w:ascii="Arial" w:hAnsi="Arial" w:cs="Arial"/>
          <w:b/>
          <w:color w:val="000000"/>
          <w:sz w:val="24"/>
        </w:rPr>
        <w:t>月份银行对账单</w:t>
      </w:r>
    </w:p>
    <w:p>
      <w:pP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895340" cy="1979930"/>
            <wp:effectExtent l="0" t="0" r="2540" b="1270"/>
            <wp:docPr id="4" name="图片 4" descr="982dde3ec78bc2c8e3cf55a43194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2dde3ec78bc2c8e3cf55a43194d49"/>
                    <pic:cNvPicPr>
                      <a:picLocks noChangeAspect="1"/>
                    </pic:cNvPicPr>
                  </pic:nvPicPr>
                  <pic:blipFill>
                    <a:blip r:embed="rId19"/>
                    <a:stretch>
                      <a:fillRect/>
                    </a:stretch>
                  </pic:blipFill>
                  <pic:spPr>
                    <a:xfrm>
                      <a:off x="0" y="0"/>
                      <a:ext cx="5895340" cy="1979930"/>
                    </a:xfrm>
                    <a:prstGeom prst="rect">
                      <a:avLst/>
                    </a:prstGeom>
                  </pic:spPr>
                </pic:pic>
              </a:graphicData>
            </a:graphic>
          </wp:inline>
        </w:drawing>
      </w:r>
    </w:p>
    <w:p>
      <w:pPr>
        <w:rPr>
          <w:rFonts w:ascii="Arial" w:hAnsi="Arial" w:cs="Arial"/>
        </w:rPr>
      </w:pPr>
    </w:p>
    <w:p>
      <w:pPr>
        <w:rPr>
          <w:rFonts w:ascii="Arial" w:hAnsi="Arial" w:cs="Arial"/>
        </w:rPr>
      </w:pPr>
    </w:p>
    <w:p>
      <w:pPr>
        <w:jc w:val="center"/>
        <w:rPr>
          <w:rFonts w:ascii="Arial" w:hAnsi="Arial" w:cs="Arial"/>
          <w:b/>
          <w:bCs/>
          <w:sz w:val="24"/>
          <w:szCs w:val="32"/>
        </w:rPr>
      </w:pPr>
      <w:bookmarkStart w:id="731" w:name="_Toc16621"/>
      <w:bookmarkStart w:id="732" w:name="_Toc31430"/>
      <w:bookmarkStart w:id="733" w:name="_Toc18594"/>
      <w:bookmarkStart w:id="734" w:name="_Toc4409"/>
      <w:bookmarkStart w:id="735" w:name="_Toc11274"/>
      <w:bookmarkStart w:id="736" w:name="_Toc32603"/>
      <w:bookmarkStart w:id="737" w:name="_Toc31887"/>
      <w:bookmarkStart w:id="738" w:name="_Toc31902"/>
      <w:bookmarkStart w:id="739" w:name="_Toc187"/>
      <w:bookmarkStart w:id="740" w:name="_Toc7546"/>
      <w:bookmarkStart w:id="741" w:name="_Toc28754"/>
      <w:bookmarkStart w:id="742" w:name="_Toc1033"/>
      <w:bookmarkStart w:id="743" w:name="_Toc7415"/>
      <w:bookmarkStart w:id="744" w:name="_Toc32270"/>
      <w:bookmarkStart w:id="745" w:name="_Toc16357"/>
      <w:bookmarkStart w:id="746" w:name="_Toc18186"/>
      <w:r>
        <w:rPr>
          <w:rFonts w:ascii="Arial" w:hAnsi="Arial" w:cs="Arial"/>
          <w:b/>
          <w:bCs/>
          <w:sz w:val="24"/>
          <w:szCs w:val="32"/>
        </w:rPr>
        <w:t>中国农业银行海盐县支行（2179）账户</w:t>
      </w:r>
      <w:r>
        <w:rPr>
          <w:rFonts w:hint="eastAsia" w:ascii="Arial" w:hAnsi="Arial" w:cs="Arial"/>
          <w:b/>
          <w:bCs/>
          <w:sz w:val="24"/>
          <w:szCs w:val="32"/>
          <w:lang w:val="en-US" w:eastAsia="zh-CN"/>
        </w:rPr>
        <w:t>2</w:t>
      </w:r>
      <w:r>
        <w:rPr>
          <w:rFonts w:ascii="Arial" w:hAnsi="Arial" w:cs="Arial"/>
          <w:b/>
          <w:bCs/>
          <w:sz w:val="24"/>
          <w:szCs w:val="32"/>
        </w:rPr>
        <w:t>月份银行账单</w:t>
      </w:r>
      <w:bookmarkEnd w:id="731"/>
    </w:p>
    <w:p>
      <w:pPr>
        <w:rPr>
          <w:rFonts w:ascii="Arial" w:hAnsi="Arial" w:cs="Arial"/>
          <w:b/>
          <w:bCs/>
          <w:sz w:val="24"/>
          <w:szCs w:val="32"/>
        </w:rPr>
      </w:pPr>
    </w:p>
    <w:p>
      <w:pPr>
        <w:rPr>
          <w:rFonts w:hint="default" w:ascii="Arial" w:hAnsi="Arial" w:eastAsia="宋体" w:cs="Arial"/>
          <w:b/>
          <w:bCs/>
          <w:sz w:val="24"/>
          <w:szCs w:val="32"/>
          <w:lang w:eastAsia="zh-CN"/>
        </w:rPr>
      </w:pPr>
      <w:r>
        <w:rPr>
          <w:rFonts w:hint="default" w:ascii="Arial" w:hAnsi="Arial" w:eastAsia="宋体" w:cs="Arial"/>
          <w:b/>
          <w:bCs/>
          <w:sz w:val="24"/>
          <w:szCs w:val="32"/>
          <w:lang w:eastAsia="zh-CN"/>
        </w:rPr>
        <w:drawing>
          <wp:inline distT="0" distB="0" distL="114300" distR="114300">
            <wp:extent cx="5897245" cy="4006850"/>
            <wp:effectExtent l="0" t="0" r="635" b="1270"/>
            <wp:docPr id="5" name="图片 5" descr="e3cb740b3049adb324ed305eda1a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cb740b3049adb324ed305eda1a5d6"/>
                    <pic:cNvPicPr>
                      <a:picLocks noChangeAspect="1"/>
                    </pic:cNvPicPr>
                  </pic:nvPicPr>
                  <pic:blipFill>
                    <a:blip r:embed="rId20"/>
                    <a:stretch>
                      <a:fillRect/>
                    </a:stretch>
                  </pic:blipFill>
                  <pic:spPr>
                    <a:xfrm>
                      <a:off x="0" y="0"/>
                      <a:ext cx="5897245" cy="400685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6610" cy="4353560"/>
            <wp:effectExtent l="0" t="0" r="1270" b="5080"/>
            <wp:docPr id="9" name="图片 9" descr="6f6ff796249e1ee092282f027670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f6ff796249e1ee092282f027670af2"/>
                    <pic:cNvPicPr>
                      <a:picLocks noChangeAspect="1"/>
                    </pic:cNvPicPr>
                  </pic:nvPicPr>
                  <pic:blipFill>
                    <a:blip r:embed="rId21"/>
                    <a:stretch>
                      <a:fillRect/>
                    </a:stretch>
                  </pic:blipFill>
                  <pic:spPr>
                    <a:xfrm>
                      <a:off x="0" y="0"/>
                      <a:ext cx="5896610" cy="435356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6610" cy="2746375"/>
            <wp:effectExtent l="0" t="0" r="1270" b="12065"/>
            <wp:docPr id="13" name="图片 13" descr="6ecb09c9ebbc249c5516d3ee0a74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cb09c9ebbc249c5516d3ee0a74bc0"/>
                    <pic:cNvPicPr>
                      <a:picLocks noChangeAspect="1"/>
                    </pic:cNvPicPr>
                  </pic:nvPicPr>
                  <pic:blipFill>
                    <a:blip r:embed="rId22"/>
                    <a:stretch>
                      <a:fillRect/>
                    </a:stretch>
                  </pic:blipFill>
                  <pic:spPr>
                    <a:xfrm>
                      <a:off x="0" y="0"/>
                      <a:ext cx="5896610" cy="2746375"/>
                    </a:xfrm>
                    <a:prstGeom prst="rect">
                      <a:avLst/>
                    </a:prstGeom>
                  </pic:spPr>
                </pic:pic>
              </a:graphicData>
            </a:graphic>
          </wp:inline>
        </w:drawing>
      </w:r>
    </w:p>
    <w:p>
      <w:pPr>
        <w:rPr>
          <w:rFonts w:hint="eastAsia" w:ascii="Arial" w:hAnsi="Arial" w:eastAsia="宋体" w:cs="Arial"/>
          <w:b/>
          <w:bCs/>
          <w:sz w:val="24"/>
          <w:szCs w:val="32"/>
          <w:lang w:eastAsia="zh-CN"/>
        </w:rPr>
      </w:pPr>
    </w:p>
    <w:p>
      <w:pPr>
        <w:rPr>
          <w:rFonts w:ascii="Arial" w:hAnsi="Arial" w:cs="Arial"/>
          <w:b/>
          <w:bCs/>
          <w:sz w:val="24"/>
          <w:szCs w:val="32"/>
        </w:rPr>
      </w:pPr>
    </w:p>
    <w:p>
      <w:pPr>
        <w:rPr>
          <w:rFonts w:hint="default" w:ascii="Arial" w:hAnsi="Arial" w:eastAsia="宋体" w:cs="Arial"/>
          <w:b/>
          <w:bCs/>
          <w:sz w:val="24"/>
          <w:szCs w:val="32"/>
          <w:lang w:eastAsia="zh-CN"/>
        </w:rPr>
      </w:pPr>
    </w:p>
    <w:p>
      <w:pPr>
        <w:rPr>
          <w:rFonts w:ascii="Arial" w:hAnsi="Arial" w:cs="Arial"/>
          <w:b/>
          <w:bCs/>
          <w:sz w:val="24"/>
          <w:szCs w:val="32"/>
        </w:rPr>
      </w:pPr>
    </w:p>
    <w:p>
      <w:pPr>
        <w:rPr>
          <w:rFonts w:hint="eastAsia" w:ascii="Arial" w:hAnsi="Arial" w:eastAsia="宋体" w:cs="Arial"/>
          <w:b/>
          <w:bCs/>
          <w:sz w:val="24"/>
          <w:szCs w:val="32"/>
          <w:lang w:eastAsia="zh-CN"/>
        </w:rPr>
      </w:pPr>
    </w:p>
    <w:p>
      <w:pPr>
        <w:rPr>
          <w:rFonts w:hint="eastAsia" w:ascii="Arial" w:hAnsi="Arial" w:eastAsia="宋体" w:cs="Arial"/>
          <w:b/>
          <w:bCs/>
          <w:sz w:val="24"/>
          <w:szCs w:val="32"/>
          <w:lang w:eastAsia="zh-CN"/>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ind w:firstLine="1205" w:firstLineChars="500"/>
        <w:rPr>
          <w:rFonts w:hint="eastAsia" w:ascii="Arial" w:hAnsi="Arial" w:eastAsia="宋体" w:cs="Arial"/>
          <w:b/>
          <w:bCs/>
          <w:sz w:val="24"/>
          <w:szCs w:val="32"/>
          <w:lang w:eastAsia="zh-CN"/>
        </w:rPr>
      </w:pPr>
      <w:r>
        <w:rPr>
          <w:rFonts w:ascii="Arial" w:hAnsi="Arial" w:cs="Arial"/>
          <w:b/>
          <w:bCs/>
          <w:sz w:val="24"/>
          <w:szCs w:val="32"/>
        </w:rPr>
        <w:t>中国农业银行海盐县支行（</w:t>
      </w:r>
      <w:r>
        <w:rPr>
          <w:rFonts w:hint="eastAsia" w:ascii="Arial" w:hAnsi="Arial" w:cs="Arial"/>
          <w:b/>
          <w:bCs/>
          <w:sz w:val="24"/>
          <w:szCs w:val="32"/>
          <w:lang w:val="en-US" w:eastAsia="zh-CN"/>
        </w:rPr>
        <w:t>8028</w:t>
      </w:r>
      <w:r>
        <w:rPr>
          <w:rFonts w:ascii="Arial" w:hAnsi="Arial" w:cs="Arial"/>
          <w:b/>
          <w:bCs/>
          <w:sz w:val="24"/>
          <w:szCs w:val="32"/>
        </w:rPr>
        <w:t>）</w:t>
      </w:r>
      <w:r>
        <w:rPr>
          <w:rFonts w:hint="eastAsia" w:ascii="Arial" w:hAnsi="Arial" w:cs="Arial"/>
          <w:b/>
          <w:bCs/>
          <w:sz w:val="24"/>
          <w:szCs w:val="32"/>
          <w:lang w:val="en-US" w:eastAsia="zh-CN"/>
        </w:rPr>
        <w:t>预售资金监管</w:t>
      </w:r>
      <w:r>
        <w:rPr>
          <w:rFonts w:ascii="Arial" w:hAnsi="Arial" w:cs="Arial"/>
          <w:b/>
          <w:bCs/>
          <w:sz w:val="24"/>
          <w:szCs w:val="32"/>
        </w:rPr>
        <w:t>账户</w:t>
      </w:r>
      <w:r>
        <w:rPr>
          <w:rFonts w:hint="eastAsia" w:ascii="Arial" w:hAnsi="Arial" w:cs="Arial"/>
          <w:b/>
          <w:bCs/>
          <w:sz w:val="24"/>
          <w:szCs w:val="32"/>
          <w:lang w:val="en-US" w:eastAsia="zh-CN"/>
        </w:rPr>
        <w:t>2</w:t>
      </w:r>
      <w:r>
        <w:rPr>
          <w:rFonts w:ascii="Arial" w:hAnsi="Arial" w:cs="Arial"/>
          <w:b/>
          <w:bCs/>
          <w:sz w:val="24"/>
          <w:szCs w:val="32"/>
        </w:rPr>
        <w:t>月份银行账单</w:t>
      </w:r>
    </w:p>
    <w:p>
      <w:pPr>
        <w:rPr>
          <w:rFonts w:hint="default" w:ascii="Arial" w:hAnsi="Arial" w:cs="Arial"/>
          <w:b/>
          <w:bCs/>
          <w:sz w:val="24"/>
          <w:szCs w:val="32"/>
        </w:rPr>
      </w:pP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900420" cy="4095115"/>
            <wp:effectExtent l="0" t="0" r="12700" b="4445"/>
            <wp:docPr id="15" name="图片 15" descr="344d06a03c1b666d3dc43bd985ad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4d06a03c1b666d3dc43bd985ad17f"/>
                    <pic:cNvPicPr>
                      <a:picLocks noChangeAspect="1"/>
                    </pic:cNvPicPr>
                  </pic:nvPicPr>
                  <pic:blipFill>
                    <a:blip r:embed="rId23"/>
                    <a:stretch>
                      <a:fillRect/>
                    </a:stretch>
                  </pic:blipFill>
                  <pic:spPr>
                    <a:xfrm>
                      <a:off x="0" y="0"/>
                      <a:ext cx="5900420" cy="4095115"/>
                    </a:xfrm>
                    <a:prstGeom prst="rect">
                      <a:avLst/>
                    </a:prstGeom>
                  </pic:spPr>
                </pic:pic>
              </a:graphicData>
            </a:graphic>
          </wp:inline>
        </w:drawing>
      </w:r>
      <w:r>
        <w:rPr>
          <w:rFonts w:hint="eastAsia" w:ascii="Arial" w:hAnsi="Arial" w:eastAsia="宋体" w:cs="Arial"/>
          <w:b/>
          <w:bCs/>
          <w:sz w:val="24"/>
          <w:szCs w:val="32"/>
          <w:lang w:eastAsia="zh-CN"/>
        </w:rPr>
        <w:drawing>
          <wp:inline distT="0" distB="0" distL="114300" distR="114300">
            <wp:extent cx="5895340" cy="4028440"/>
            <wp:effectExtent l="0" t="0" r="2540" b="10160"/>
            <wp:docPr id="19" name="图片 19" descr="5cabdcb6866d5b66744d2fdafc58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abdcb6866d5b66744d2fdafc58a5d"/>
                    <pic:cNvPicPr>
                      <a:picLocks noChangeAspect="1"/>
                    </pic:cNvPicPr>
                  </pic:nvPicPr>
                  <pic:blipFill>
                    <a:blip r:embed="rId24"/>
                    <a:stretch>
                      <a:fillRect/>
                    </a:stretch>
                  </pic:blipFill>
                  <pic:spPr>
                    <a:xfrm>
                      <a:off x="0" y="0"/>
                      <a:ext cx="5895340" cy="4028440"/>
                    </a:xfrm>
                    <a:prstGeom prst="rect">
                      <a:avLst/>
                    </a:prstGeom>
                  </pic:spPr>
                </pic:pic>
              </a:graphicData>
            </a:graphic>
          </wp:inline>
        </w:drawing>
      </w:r>
    </w:p>
    <w:p>
      <w:pPr>
        <w:rPr>
          <w:rFonts w:hint="default" w:ascii="Arial" w:hAnsi="Arial" w:cs="Arial"/>
          <w:b/>
          <w:bCs/>
          <w:sz w:val="24"/>
          <w:szCs w:val="32"/>
        </w:rPr>
      </w:pPr>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ascii="Arial" w:hAnsi="Arial" w:cs="Arial"/>
          <w:b/>
          <w:bCs/>
          <w:sz w:val="24"/>
          <w:szCs w:val="32"/>
        </w:rPr>
      </w:pPr>
      <w:bookmarkStart w:id="747" w:name="_Toc232"/>
      <w:bookmarkStart w:id="748" w:name="_Toc17186"/>
      <w:bookmarkStart w:id="749" w:name="_Toc25540"/>
      <w:bookmarkStart w:id="750" w:name="_Toc23444"/>
      <w:bookmarkStart w:id="751" w:name="_Toc3045"/>
      <w:bookmarkStart w:id="752" w:name="_Toc1560"/>
      <w:bookmarkStart w:id="753" w:name="_Toc21324"/>
      <w:bookmarkStart w:id="754" w:name="_Toc32674"/>
      <w:r>
        <w:rPr>
          <w:rFonts w:eastAsia="宋体" w:cs="Arial"/>
          <w:sz w:val="24"/>
        </w:rPr>
        <w:t>附件二 用印登记薄</w:t>
      </w:r>
      <w:bookmarkEnd w:id="747"/>
      <w:bookmarkEnd w:id="748"/>
      <w:bookmarkEnd w:id="749"/>
      <w:bookmarkEnd w:id="750"/>
      <w:bookmarkEnd w:id="751"/>
      <w:bookmarkEnd w:id="752"/>
      <w:bookmarkEnd w:id="753"/>
      <w:bookmarkEnd w:id="754"/>
    </w:p>
    <w:p>
      <w:pPr>
        <w:ind w:firstLine="2168" w:firstLineChars="900"/>
        <w:outlineLvl w:val="9"/>
        <w:rPr>
          <w:rFonts w:ascii="Arial" w:hAnsi="Arial" w:cs="Arial"/>
          <w:b/>
          <w:bCs/>
          <w:sz w:val="24"/>
          <w:szCs w:val="32"/>
        </w:rPr>
      </w:pPr>
      <w:bookmarkStart w:id="755" w:name="_Toc25601"/>
      <w:bookmarkStart w:id="756" w:name="_Toc27346"/>
      <w:r>
        <w:rPr>
          <w:rFonts w:ascii="Arial" w:hAnsi="Arial" w:cs="Arial"/>
          <w:b/>
          <w:bCs/>
          <w:sz w:val="24"/>
          <w:szCs w:val="32"/>
        </w:rPr>
        <w:t>项目公司202</w:t>
      </w:r>
      <w:r>
        <w:rPr>
          <w:rFonts w:hint="eastAsia" w:ascii="Arial" w:hAnsi="Arial" w:cs="Arial"/>
          <w:b/>
          <w:bCs/>
          <w:sz w:val="24"/>
          <w:szCs w:val="32"/>
          <w:lang w:val="en-US" w:eastAsia="zh-CN"/>
        </w:rPr>
        <w:t>1</w:t>
      </w:r>
      <w:r>
        <w:rPr>
          <w:rFonts w:ascii="Arial" w:hAnsi="Arial" w:cs="Arial"/>
          <w:b/>
          <w:bCs/>
          <w:sz w:val="24"/>
          <w:szCs w:val="32"/>
        </w:rPr>
        <w:t>年</w:t>
      </w:r>
      <w:r>
        <w:rPr>
          <w:rFonts w:hint="eastAsia" w:ascii="Arial" w:hAnsi="Arial" w:cs="Arial"/>
          <w:b/>
          <w:bCs/>
          <w:sz w:val="24"/>
          <w:szCs w:val="32"/>
          <w:lang w:val="en-US" w:eastAsia="zh-CN"/>
        </w:rPr>
        <w:t>2</w:t>
      </w:r>
      <w:r>
        <w:rPr>
          <w:rFonts w:ascii="Arial" w:hAnsi="Arial" w:cs="Arial"/>
          <w:b/>
          <w:bCs/>
          <w:sz w:val="24"/>
          <w:szCs w:val="32"/>
        </w:rPr>
        <w:t>月份用印登记簿</w:t>
      </w:r>
      <w:bookmarkEnd w:id="755"/>
      <w:bookmarkEnd w:id="756"/>
    </w:p>
    <w:p>
      <w:pPr>
        <w:ind w:firstLine="1928" w:firstLineChars="800"/>
        <w:rPr>
          <w:rFonts w:ascii="Arial" w:hAnsi="Arial" w:cs="Arial"/>
          <w:b/>
          <w:bCs/>
          <w:sz w:val="24"/>
          <w:szCs w:val="32"/>
        </w:rPr>
      </w:pPr>
    </w:p>
    <w:p>
      <w:pPr>
        <w:ind w:firstLine="1680" w:firstLineChars="800"/>
        <w:rPr>
          <w:rFonts w:ascii="Arial" w:hAnsi="Arial" w:cs="Arial"/>
          <w:b/>
          <w:bCs/>
          <w:sz w:val="24"/>
          <w:szCs w:val="32"/>
        </w:rPr>
      </w:pPr>
      <w:r>
        <w:drawing>
          <wp:anchor distT="0" distB="0" distL="114300" distR="114300" simplePos="0" relativeHeight="254125056" behindDoc="0" locked="0" layoutInCell="1" allowOverlap="1">
            <wp:simplePos x="0" y="0"/>
            <wp:positionH relativeFrom="column">
              <wp:posOffset>0</wp:posOffset>
            </wp:positionH>
            <wp:positionV relativeFrom="paragraph">
              <wp:posOffset>76200</wp:posOffset>
            </wp:positionV>
            <wp:extent cx="5898515" cy="2503170"/>
            <wp:effectExtent l="0" t="0" r="14605" b="1143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5898515" cy="2503170"/>
                    </a:xfrm>
                    <a:prstGeom prst="rect">
                      <a:avLst/>
                    </a:prstGeom>
                    <a:noFill/>
                    <a:ln>
                      <a:noFill/>
                    </a:ln>
                  </pic:spPr>
                </pic:pic>
              </a:graphicData>
            </a:graphic>
          </wp:anchor>
        </w:drawing>
      </w:r>
    </w:p>
    <w:p>
      <w:pPr>
        <w:ind w:firstLine="1928" w:firstLineChars="800"/>
        <w:rPr>
          <w:rFonts w:ascii="Arial" w:hAnsi="Arial" w:cs="Arial"/>
          <w:b/>
          <w:bCs/>
          <w:sz w:val="24"/>
          <w:szCs w:val="32"/>
        </w:rPr>
      </w:pPr>
    </w:p>
    <w:p>
      <w:pPr>
        <w:ind w:firstLine="2409" w:firstLineChars="1000"/>
        <w:rPr>
          <w:rFonts w:hint="eastAsia" w:ascii="Arial" w:hAnsi="Arial" w:eastAsia="宋体" w:cs="Arial"/>
          <w:b/>
          <w:bCs/>
          <w:sz w:val="24"/>
          <w:szCs w:val="32"/>
          <w:lang w:eastAsia="zh-CN"/>
        </w:rPr>
      </w:pPr>
      <w:r>
        <w:rPr>
          <w:rFonts w:hint="eastAsia" w:ascii="Arial" w:hAnsi="Arial" w:cs="Arial"/>
          <w:b/>
          <w:bCs/>
          <w:sz w:val="24"/>
          <w:szCs w:val="32"/>
          <w:lang w:eastAsia="zh-CN"/>
        </w:rPr>
        <w:tab/>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r>
        <w:drawing>
          <wp:inline distT="0" distB="0" distL="114300" distR="114300">
            <wp:extent cx="5903595" cy="1575435"/>
            <wp:effectExtent l="0" t="0" r="9525"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5903595" cy="1575435"/>
                    </a:xfrm>
                    <a:prstGeom prst="rect">
                      <a:avLst/>
                    </a:prstGeom>
                    <a:noFill/>
                    <a:ln>
                      <a:noFill/>
                    </a:ln>
                  </pic:spPr>
                </pic:pic>
              </a:graphicData>
            </a:graphic>
          </wp:inline>
        </w:drawing>
      </w: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bookmarkEnd w:id="725"/>
    <w:bookmarkEnd w:id="726"/>
    <w:bookmarkEnd w:id="727"/>
    <w:bookmarkEnd w:id="728"/>
    <w:bookmarkEnd w:id="729"/>
    <w:bookmarkEnd w:id="730"/>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Pr>
        <w:tabs>
          <w:tab w:val="left" w:pos="766"/>
        </w:tabs>
        <w:bidi w:val="0"/>
        <w:jc w:val="left"/>
        <w:rPr>
          <w:rFonts w:hint="default"/>
          <w:lang w:val="en-US" w:eastAsia="zh-CN"/>
        </w:rPr>
      </w:pPr>
    </w:p>
    <w:sectPr>
      <w:pgSz w:w="11905" w:h="16838"/>
      <w:pgMar w:top="1134"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304165" cy="1828800"/>
              <wp:effectExtent l="0" t="0" r="635" b="6350"/>
              <wp:wrapNone/>
              <wp:docPr id="3" name="文本框 3"/>
              <wp:cNvGraphicFramePr/>
              <a:graphic xmlns:a="http://schemas.openxmlformats.org/drawingml/2006/main">
                <a:graphicData uri="http://schemas.microsoft.com/office/word/2010/wordprocessingShape">
                  <wps:wsp>
                    <wps:cNvSpPr txBox="1"/>
                    <wps:spPr>
                      <a:xfrm>
                        <a:off x="0" y="0"/>
                        <a:ext cx="304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23.95pt;mso-position-horizontal:center;mso-position-horizontal-relative:margin;z-index:251658240;mso-width-relative:page;mso-height-relative:page;" filled="f" stroked="f" coordsize="21600,21600" o:gfxdata="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xvi40wAAAAQBAAAPAAAAAAAAAAEAIAAAACIAAABkcnMvZG93bnJldi54bWxQSwEC&#10;FAAUAAAACACHTuJAtIiTBDICAABWBAAADgAAAAAAAAABACAAAAAiAQAAZHJzL2Uyb0RvYy54bWxQ&#10;SwUGAAAAAAYABgBZAQAAxg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tabs>
        <w:tab w:val="left" w:pos="2988"/>
        <w:tab w:val="clear" w:pos="4153"/>
        <w:tab w:val="clear" w:pos="8306"/>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ascii="Arial" w:hAnsi="Arial"/>
      </w:rPr>
      <w:drawing>
        <wp:inline distT="0" distB="0" distL="0" distR="0">
          <wp:extent cx="5904230" cy="40830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4230" cy="4083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tabs>
        <w:tab w:val="center" w:pos="4708"/>
        <w:tab w:val="right" w:pos="9297"/>
      </w:tabs>
      <w:kinsoku/>
      <w:wordWrap/>
      <w:overflowPunct/>
      <w:topLinePunct w:val="0"/>
      <w:autoSpaceDE/>
      <w:autoSpaceDN/>
      <w:bidi w:val="0"/>
      <w:adjustRightInd/>
      <w:snapToGrid w:val="0"/>
      <w:spacing w:after="0" w:afterLines="150" w:line="360" w:lineRule="auto"/>
      <w:jc w:val="center"/>
      <w:textAlignment w:val="auto"/>
      <w:rPr>
        <w:rFonts w:hint="eastAsia" w:ascii="Arial" w:hAnsi="Arial"/>
        <w:lang w:eastAsia="zh-CN"/>
      </w:rPr>
    </w:pPr>
    <w:r>
      <w:rPr>
        <w:rFonts w:hint="eastAsia" w:ascii="Arial" w:hAnsi="Arial"/>
      </w:rPr>
      <w:t>202</w:t>
    </w:r>
    <w:r>
      <w:rPr>
        <w:rFonts w:hint="eastAsia" w:ascii="Arial" w:hAnsi="Arial"/>
        <w:lang w:val="en-US" w:eastAsia="zh-CN"/>
      </w:rPr>
      <w:t>1</w:t>
    </w:r>
    <w:r>
      <w:rPr>
        <w:rFonts w:hint="eastAsia" w:ascii="Arial" w:hAnsi="Arial"/>
      </w:rPr>
      <w:t>年</w:t>
    </w:r>
    <w:r>
      <w:rPr>
        <w:rFonts w:hint="eastAsia" w:ascii="Arial" w:hAnsi="Arial"/>
        <w:lang w:val="en-US" w:eastAsia="zh-CN"/>
      </w:rPr>
      <w:t>2</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8F933A"/>
    <w:multiLevelType w:val="singleLevel"/>
    <w:tmpl w:val="E18F933A"/>
    <w:lvl w:ilvl="0" w:tentative="0">
      <w:start w:val="1"/>
      <w:numFmt w:val="decimal"/>
      <w:suff w:val="nothing"/>
      <w:lvlText w:val="%1、"/>
      <w:lvlJc w:val="left"/>
    </w:lvl>
  </w:abstractNum>
  <w:abstractNum w:abstractNumId="1">
    <w:nsid w:val="28E360B2"/>
    <w:multiLevelType w:val="singleLevel"/>
    <w:tmpl w:val="28E360B2"/>
    <w:lvl w:ilvl="0" w:tentative="0">
      <w:start w:val="1"/>
      <w:numFmt w:val="decimal"/>
      <w:suff w:val="nothing"/>
      <w:lvlText w:val="（%1）"/>
      <w:lvlJc w:val="left"/>
    </w:lvl>
  </w:abstractNum>
  <w:abstractNum w:abstractNumId="2">
    <w:nsid w:val="6B7CB1FF"/>
    <w:multiLevelType w:val="singleLevel"/>
    <w:tmpl w:val="6B7CB1FF"/>
    <w:lvl w:ilvl="0" w:tentative="0">
      <w:start w:val="2"/>
      <w:numFmt w:val="decimal"/>
      <w:suff w:val="nothing"/>
      <w:lvlText w:val="%1、"/>
      <w:lvlJc w:val="left"/>
      <w:pPr>
        <w:ind w:left="807" w:firstLine="0"/>
      </w:pPr>
    </w:lvl>
  </w:abstractNum>
  <w:abstractNum w:abstractNumId="3">
    <w:nsid w:val="7037D5BF"/>
    <w:multiLevelType w:val="singleLevel"/>
    <w:tmpl w:val="7037D5BF"/>
    <w:lvl w:ilvl="0" w:tentative="0">
      <w:start w:val="2"/>
      <w:numFmt w:val="decimal"/>
      <w:suff w:val="nothing"/>
      <w:lvlText w:val="%1、"/>
      <w:lvlJc w:val="left"/>
    </w:lvl>
  </w:abstractNum>
  <w:abstractNum w:abstractNumId="4">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17D"/>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3A"/>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8DF"/>
    <w:rsid w:val="000F7E30"/>
    <w:rsid w:val="00100566"/>
    <w:rsid w:val="00100690"/>
    <w:rsid w:val="001018BB"/>
    <w:rsid w:val="00102F26"/>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15EB"/>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170"/>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838"/>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BA1"/>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4262"/>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4DAD"/>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9A4"/>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5D0"/>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3FF"/>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57338"/>
    <w:rsid w:val="00661029"/>
    <w:rsid w:val="00661559"/>
    <w:rsid w:val="006615A7"/>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04E"/>
    <w:rsid w:val="006A15C5"/>
    <w:rsid w:val="006A20F3"/>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8FE"/>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6722"/>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6159"/>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534"/>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762"/>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5CC"/>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4D75"/>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5FF0"/>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2764"/>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6D8B"/>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12A8"/>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595"/>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82A"/>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888"/>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356A"/>
    <w:rsid w:val="00D14F01"/>
    <w:rsid w:val="00D15877"/>
    <w:rsid w:val="00D15D5F"/>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4EE2"/>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703"/>
    <w:rsid w:val="00DA7DF5"/>
    <w:rsid w:val="00DB1876"/>
    <w:rsid w:val="00DB1A1A"/>
    <w:rsid w:val="00DB1AD8"/>
    <w:rsid w:val="00DB1DC4"/>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5C9"/>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2C21"/>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3CC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044AA9"/>
    <w:rsid w:val="013170C7"/>
    <w:rsid w:val="013F0EBB"/>
    <w:rsid w:val="01554AEA"/>
    <w:rsid w:val="01604E69"/>
    <w:rsid w:val="016C5DB9"/>
    <w:rsid w:val="0175574C"/>
    <w:rsid w:val="01782DD9"/>
    <w:rsid w:val="01870754"/>
    <w:rsid w:val="01DB4FEB"/>
    <w:rsid w:val="01FA5D51"/>
    <w:rsid w:val="02991399"/>
    <w:rsid w:val="02B57280"/>
    <w:rsid w:val="02CF55CB"/>
    <w:rsid w:val="02D96E9C"/>
    <w:rsid w:val="03892F63"/>
    <w:rsid w:val="0399657F"/>
    <w:rsid w:val="041E2163"/>
    <w:rsid w:val="04417EB8"/>
    <w:rsid w:val="045D7B7F"/>
    <w:rsid w:val="046E49AD"/>
    <w:rsid w:val="04980C22"/>
    <w:rsid w:val="04FC2880"/>
    <w:rsid w:val="05970196"/>
    <w:rsid w:val="05F23F9E"/>
    <w:rsid w:val="0615112B"/>
    <w:rsid w:val="06240B17"/>
    <w:rsid w:val="062863C9"/>
    <w:rsid w:val="062C546A"/>
    <w:rsid w:val="067D1F18"/>
    <w:rsid w:val="069A6125"/>
    <w:rsid w:val="06B07493"/>
    <w:rsid w:val="06D07E7C"/>
    <w:rsid w:val="06F158BA"/>
    <w:rsid w:val="07032BC8"/>
    <w:rsid w:val="073E16B5"/>
    <w:rsid w:val="07D9532A"/>
    <w:rsid w:val="0817766E"/>
    <w:rsid w:val="086E3FA4"/>
    <w:rsid w:val="087A51EF"/>
    <w:rsid w:val="08DA6B3A"/>
    <w:rsid w:val="08E26D94"/>
    <w:rsid w:val="08E8282B"/>
    <w:rsid w:val="08F36FFF"/>
    <w:rsid w:val="09406EB8"/>
    <w:rsid w:val="09787FD3"/>
    <w:rsid w:val="09C2003A"/>
    <w:rsid w:val="09F7514D"/>
    <w:rsid w:val="0A81732A"/>
    <w:rsid w:val="0A900832"/>
    <w:rsid w:val="0AD05FBA"/>
    <w:rsid w:val="0B0F3EAF"/>
    <w:rsid w:val="0B3C222D"/>
    <w:rsid w:val="0C27353B"/>
    <w:rsid w:val="0C7410DF"/>
    <w:rsid w:val="0C8177B9"/>
    <w:rsid w:val="0CA3372C"/>
    <w:rsid w:val="0CDE09C1"/>
    <w:rsid w:val="0CE622A7"/>
    <w:rsid w:val="0CEE43B0"/>
    <w:rsid w:val="0D234F27"/>
    <w:rsid w:val="0D4F491D"/>
    <w:rsid w:val="0D6407D8"/>
    <w:rsid w:val="0DBC5A8F"/>
    <w:rsid w:val="0DDA2C30"/>
    <w:rsid w:val="0DEA1FFE"/>
    <w:rsid w:val="0E320BD4"/>
    <w:rsid w:val="0EDB5967"/>
    <w:rsid w:val="0F043B1F"/>
    <w:rsid w:val="0F3D090D"/>
    <w:rsid w:val="0F4A3D7D"/>
    <w:rsid w:val="0FDA2DA5"/>
    <w:rsid w:val="10115648"/>
    <w:rsid w:val="101A4443"/>
    <w:rsid w:val="1040121F"/>
    <w:rsid w:val="104677A9"/>
    <w:rsid w:val="106B45BE"/>
    <w:rsid w:val="106F6C1F"/>
    <w:rsid w:val="109115E9"/>
    <w:rsid w:val="10C23AED"/>
    <w:rsid w:val="10DB63A2"/>
    <w:rsid w:val="111250F6"/>
    <w:rsid w:val="11216537"/>
    <w:rsid w:val="115F795E"/>
    <w:rsid w:val="11C30A5F"/>
    <w:rsid w:val="12403CC3"/>
    <w:rsid w:val="126602EB"/>
    <w:rsid w:val="12734C17"/>
    <w:rsid w:val="12823B1E"/>
    <w:rsid w:val="12B40A7B"/>
    <w:rsid w:val="12F233EC"/>
    <w:rsid w:val="13196194"/>
    <w:rsid w:val="13232C47"/>
    <w:rsid w:val="13521872"/>
    <w:rsid w:val="135A3E0C"/>
    <w:rsid w:val="137A69A0"/>
    <w:rsid w:val="13C226A9"/>
    <w:rsid w:val="13F26917"/>
    <w:rsid w:val="14117697"/>
    <w:rsid w:val="141315DE"/>
    <w:rsid w:val="145843D6"/>
    <w:rsid w:val="14CD6F19"/>
    <w:rsid w:val="15102186"/>
    <w:rsid w:val="15260040"/>
    <w:rsid w:val="154F5CC0"/>
    <w:rsid w:val="15E6701E"/>
    <w:rsid w:val="15FA5DE0"/>
    <w:rsid w:val="160509C6"/>
    <w:rsid w:val="164360AB"/>
    <w:rsid w:val="168F199E"/>
    <w:rsid w:val="16AE6365"/>
    <w:rsid w:val="16BA4525"/>
    <w:rsid w:val="16E121C7"/>
    <w:rsid w:val="17234B3E"/>
    <w:rsid w:val="178335F2"/>
    <w:rsid w:val="179761F3"/>
    <w:rsid w:val="184B7500"/>
    <w:rsid w:val="1866540E"/>
    <w:rsid w:val="18B606E4"/>
    <w:rsid w:val="18BC737D"/>
    <w:rsid w:val="19933513"/>
    <w:rsid w:val="19CE1C54"/>
    <w:rsid w:val="1A094EDD"/>
    <w:rsid w:val="1A5C3CEF"/>
    <w:rsid w:val="1A665AF4"/>
    <w:rsid w:val="1A775446"/>
    <w:rsid w:val="1AA83D19"/>
    <w:rsid w:val="1AFF48A0"/>
    <w:rsid w:val="1B0F3034"/>
    <w:rsid w:val="1B575B73"/>
    <w:rsid w:val="1B9C2A32"/>
    <w:rsid w:val="1BCC366E"/>
    <w:rsid w:val="1BD6664F"/>
    <w:rsid w:val="1BE26DA0"/>
    <w:rsid w:val="1C327510"/>
    <w:rsid w:val="1CAF7B8A"/>
    <w:rsid w:val="1CD9079B"/>
    <w:rsid w:val="1DA4263B"/>
    <w:rsid w:val="1E234AFE"/>
    <w:rsid w:val="1E5B3C92"/>
    <w:rsid w:val="1EC62975"/>
    <w:rsid w:val="1ED77C10"/>
    <w:rsid w:val="1F2D462E"/>
    <w:rsid w:val="1F640436"/>
    <w:rsid w:val="205E75C9"/>
    <w:rsid w:val="219E1358"/>
    <w:rsid w:val="21AF0E24"/>
    <w:rsid w:val="21DF06D5"/>
    <w:rsid w:val="21F02190"/>
    <w:rsid w:val="22114E37"/>
    <w:rsid w:val="225425D1"/>
    <w:rsid w:val="229600D1"/>
    <w:rsid w:val="22BA711F"/>
    <w:rsid w:val="23095F49"/>
    <w:rsid w:val="2331247F"/>
    <w:rsid w:val="23550F8C"/>
    <w:rsid w:val="236026AA"/>
    <w:rsid w:val="23A538FB"/>
    <w:rsid w:val="2408403F"/>
    <w:rsid w:val="24171C8A"/>
    <w:rsid w:val="24500D63"/>
    <w:rsid w:val="245933AF"/>
    <w:rsid w:val="24F4424C"/>
    <w:rsid w:val="250D3C8F"/>
    <w:rsid w:val="25236084"/>
    <w:rsid w:val="252B5FC2"/>
    <w:rsid w:val="25354DDB"/>
    <w:rsid w:val="254E0A64"/>
    <w:rsid w:val="254F2443"/>
    <w:rsid w:val="25804016"/>
    <w:rsid w:val="25D25D02"/>
    <w:rsid w:val="25E37608"/>
    <w:rsid w:val="25F55100"/>
    <w:rsid w:val="261D394C"/>
    <w:rsid w:val="26397E27"/>
    <w:rsid w:val="26415852"/>
    <w:rsid w:val="267F6708"/>
    <w:rsid w:val="269027FB"/>
    <w:rsid w:val="2699078F"/>
    <w:rsid w:val="26D71F19"/>
    <w:rsid w:val="27830210"/>
    <w:rsid w:val="27852689"/>
    <w:rsid w:val="278A7BF4"/>
    <w:rsid w:val="278C09C4"/>
    <w:rsid w:val="27965412"/>
    <w:rsid w:val="27B036DA"/>
    <w:rsid w:val="27CF69F2"/>
    <w:rsid w:val="28460664"/>
    <w:rsid w:val="287C7EC1"/>
    <w:rsid w:val="28BB7861"/>
    <w:rsid w:val="293F0D0F"/>
    <w:rsid w:val="29431DF5"/>
    <w:rsid w:val="29601090"/>
    <w:rsid w:val="2998246D"/>
    <w:rsid w:val="29BE4201"/>
    <w:rsid w:val="29CD2380"/>
    <w:rsid w:val="29E64B5A"/>
    <w:rsid w:val="29F80803"/>
    <w:rsid w:val="2A4916AA"/>
    <w:rsid w:val="2A5F13A7"/>
    <w:rsid w:val="2A683C5C"/>
    <w:rsid w:val="2A756091"/>
    <w:rsid w:val="2A8C0D11"/>
    <w:rsid w:val="2ADE4328"/>
    <w:rsid w:val="2AF560A3"/>
    <w:rsid w:val="2AF80D31"/>
    <w:rsid w:val="2B2C3506"/>
    <w:rsid w:val="2B407474"/>
    <w:rsid w:val="2BA77ACD"/>
    <w:rsid w:val="2BB6759E"/>
    <w:rsid w:val="2BE24CB3"/>
    <w:rsid w:val="2C1D6847"/>
    <w:rsid w:val="2C243E80"/>
    <w:rsid w:val="2C2D252B"/>
    <w:rsid w:val="2CFB41EA"/>
    <w:rsid w:val="2D3A453D"/>
    <w:rsid w:val="2D4B6F2A"/>
    <w:rsid w:val="2D9464C0"/>
    <w:rsid w:val="2D95466D"/>
    <w:rsid w:val="2D9A0DC4"/>
    <w:rsid w:val="2E08737A"/>
    <w:rsid w:val="2E1E3D5D"/>
    <w:rsid w:val="2E223B82"/>
    <w:rsid w:val="2E3038C8"/>
    <w:rsid w:val="2E3E3820"/>
    <w:rsid w:val="2E4C13EA"/>
    <w:rsid w:val="2E550246"/>
    <w:rsid w:val="2E8E15EE"/>
    <w:rsid w:val="2EB53984"/>
    <w:rsid w:val="2F1211F2"/>
    <w:rsid w:val="2F2840D0"/>
    <w:rsid w:val="2F3F1AD3"/>
    <w:rsid w:val="2F7B573E"/>
    <w:rsid w:val="2F7D0C29"/>
    <w:rsid w:val="2F8C210E"/>
    <w:rsid w:val="2F9F67D9"/>
    <w:rsid w:val="2FBA75DF"/>
    <w:rsid w:val="2FF43E05"/>
    <w:rsid w:val="30525399"/>
    <w:rsid w:val="30763125"/>
    <w:rsid w:val="30AD0CCF"/>
    <w:rsid w:val="30E420B7"/>
    <w:rsid w:val="315057E3"/>
    <w:rsid w:val="31731E86"/>
    <w:rsid w:val="31781E8C"/>
    <w:rsid w:val="317B3D11"/>
    <w:rsid w:val="31BA39E7"/>
    <w:rsid w:val="31E34C1E"/>
    <w:rsid w:val="32297FC8"/>
    <w:rsid w:val="32317D65"/>
    <w:rsid w:val="32406077"/>
    <w:rsid w:val="3282558C"/>
    <w:rsid w:val="3289393E"/>
    <w:rsid w:val="329F249C"/>
    <w:rsid w:val="32D83005"/>
    <w:rsid w:val="330F20C9"/>
    <w:rsid w:val="335A7960"/>
    <w:rsid w:val="33A9120B"/>
    <w:rsid w:val="33A93C1D"/>
    <w:rsid w:val="33B9042E"/>
    <w:rsid w:val="33D84283"/>
    <w:rsid w:val="33F431D8"/>
    <w:rsid w:val="34383373"/>
    <w:rsid w:val="34551D54"/>
    <w:rsid w:val="345F3141"/>
    <w:rsid w:val="35041505"/>
    <w:rsid w:val="35190580"/>
    <w:rsid w:val="351B7570"/>
    <w:rsid w:val="355405FD"/>
    <w:rsid w:val="36106061"/>
    <w:rsid w:val="361D0567"/>
    <w:rsid w:val="36557A4D"/>
    <w:rsid w:val="36611E27"/>
    <w:rsid w:val="369C252F"/>
    <w:rsid w:val="36DB20F6"/>
    <w:rsid w:val="36E6417C"/>
    <w:rsid w:val="37304602"/>
    <w:rsid w:val="37782CA7"/>
    <w:rsid w:val="37FD7C7A"/>
    <w:rsid w:val="381C3960"/>
    <w:rsid w:val="385F3379"/>
    <w:rsid w:val="38BB44C3"/>
    <w:rsid w:val="38C36755"/>
    <w:rsid w:val="391B6ABA"/>
    <w:rsid w:val="39346A07"/>
    <w:rsid w:val="399F7AD0"/>
    <w:rsid w:val="39C662A8"/>
    <w:rsid w:val="39CA1A7E"/>
    <w:rsid w:val="39CB0770"/>
    <w:rsid w:val="39EA7E85"/>
    <w:rsid w:val="3A9A4B54"/>
    <w:rsid w:val="3AE171E7"/>
    <w:rsid w:val="3B312BDA"/>
    <w:rsid w:val="3B37092D"/>
    <w:rsid w:val="3B3B7393"/>
    <w:rsid w:val="3B666714"/>
    <w:rsid w:val="3B7A510F"/>
    <w:rsid w:val="3BE302E3"/>
    <w:rsid w:val="3C674DD9"/>
    <w:rsid w:val="3C880AFC"/>
    <w:rsid w:val="3CB1783F"/>
    <w:rsid w:val="3CC57180"/>
    <w:rsid w:val="3D254283"/>
    <w:rsid w:val="3D78431E"/>
    <w:rsid w:val="3DB339AA"/>
    <w:rsid w:val="3DE74BA9"/>
    <w:rsid w:val="3DF232D1"/>
    <w:rsid w:val="3E1E70E2"/>
    <w:rsid w:val="3E334035"/>
    <w:rsid w:val="3E3F0477"/>
    <w:rsid w:val="3E496E4C"/>
    <w:rsid w:val="3E4A5E2D"/>
    <w:rsid w:val="3E4C43B4"/>
    <w:rsid w:val="3E820261"/>
    <w:rsid w:val="3EB85A7B"/>
    <w:rsid w:val="3ECF5E1E"/>
    <w:rsid w:val="3F5C58C3"/>
    <w:rsid w:val="3F625768"/>
    <w:rsid w:val="3F750840"/>
    <w:rsid w:val="3F8019BC"/>
    <w:rsid w:val="3F8C2B34"/>
    <w:rsid w:val="3FA45A3E"/>
    <w:rsid w:val="3FF853F5"/>
    <w:rsid w:val="40065F53"/>
    <w:rsid w:val="402D65F0"/>
    <w:rsid w:val="40813BD8"/>
    <w:rsid w:val="408950D8"/>
    <w:rsid w:val="40A765B6"/>
    <w:rsid w:val="4157002E"/>
    <w:rsid w:val="41FC0B2F"/>
    <w:rsid w:val="4207772A"/>
    <w:rsid w:val="423E6FAD"/>
    <w:rsid w:val="42581C92"/>
    <w:rsid w:val="428B231C"/>
    <w:rsid w:val="42CA3365"/>
    <w:rsid w:val="42E32EF9"/>
    <w:rsid w:val="43374FA1"/>
    <w:rsid w:val="437826B9"/>
    <w:rsid w:val="438C7876"/>
    <w:rsid w:val="43D86912"/>
    <w:rsid w:val="43FA436A"/>
    <w:rsid w:val="44711BCF"/>
    <w:rsid w:val="44842986"/>
    <w:rsid w:val="453E67B5"/>
    <w:rsid w:val="455A6B89"/>
    <w:rsid w:val="456253A9"/>
    <w:rsid w:val="456A582D"/>
    <w:rsid w:val="45765A14"/>
    <w:rsid w:val="45925657"/>
    <w:rsid w:val="45FD5586"/>
    <w:rsid w:val="462C5ED1"/>
    <w:rsid w:val="464F0DCF"/>
    <w:rsid w:val="46615537"/>
    <w:rsid w:val="466337E2"/>
    <w:rsid w:val="46A4605B"/>
    <w:rsid w:val="46B2675B"/>
    <w:rsid w:val="46EE61F7"/>
    <w:rsid w:val="473F759D"/>
    <w:rsid w:val="47A14CAA"/>
    <w:rsid w:val="47DE386A"/>
    <w:rsid w:val="480A13E9"/>
    <w:rsid w:val="483F35A9"/>
    <w:rsid w:val="484D375C"/>
    <w:rsid w:val="48B72FDF"/>
    <w:rsid w:val="493D23AD"/>
    <w:rsid w:val="495444D4"/>
    <w:rsid w:val="496568E3"/>
    <w:rsid w:val="49900FE6"/>
    <w:rsid w:val="49F74E1C"/>
    <w:rsid w:val="4A601595"/>
    <w:rsid w:val="4A991F2D"/>
    <w:rsid w:val="4A9C4E0A"/>
    <w:rsid w:val="4AA37417"/>
    <w:rsid w:val="4B344BD1"/>
    <w:rsid w:val="4B6657CC"/>
    <w:rsid w:val="4B8C41F9"/>
    <w:rsid w:val="4BF5793A"/>
    <w:rsid w:val="4C524559"/>
    <w:rsid w:val="4C7F1079"/>
    <w:rsid w:val="4C9129A8"/>
    <w:rsid w:val="4CB907A4"/>
    <w:rsid w:val="4CD371F5"/>
    <w:rsid w:val="4CED2587"/>
    <w:rsid w:val="4D2B18A8"/>
    <w:rsid w:val="4D300E54"/>
    <w:rsid w:val="4DA03E00"/>
    <w:rsid w:val="4DDE1271"/>
    <w:rsid w:val="4E135A9E"/>
    <w:rsid w:val="4E4B309B"/>
    <w:rsid w:val="4E686007"/>
    <w:rsid w:val="4E951200"/>
    <w:rsid w:val="4EA25D4A"/>
    <w:rsid w:val="4F6668BF"/>
    <w:rsid w:val="4F70218E"/>
    <w:rsid w:val="4F86571D"/>
    <w:rsid w:val="4F8B369D"/>
    <w:rsid w:val="4FD5289B"/>
    <w:rsid w:val="50276223"/>
    <w:rsid w:val="50E241E9"/>
    <w:rsid w:val="513561EC"/>
    <w:rsid w:val="51922A96"/>
    <w:rsid w:val="519D49A6"/>
    <w:rsid w:val="51B4466B"/>
    <w:rsid w:val="51FE09DF"/>
    <w:rsid w:val="522159A3"/>
    <w:rsid w:val="52A37768"/>
    <w:rsid w:val="52D15C72"/>
    <w:rsid w:val="5410371C"/>
    <w:rsid w:val="5438070C"/>
    <w:rsid w:val="544042A5"/>
    <w:rsid w:val="547B3292"/>
    <w:rsid w:val="54F63923"/>
    <w:rsid w:val="55324D77"/>
    <w:rsid w:val="555C20B0"/>
    <w:rsid w:val="55BE42C8"/>
    <w:rsid w:val="56F9126E"/>
    <w:rsid w:val="570B20FD"/>
    <w:rsid w:val="572D33D7"/>
    <w:rsid w:val="57580D59"/>
    <w:rsid w:val="57E636D9"/>
    <w:rsid w:val="57ED4D68"/>
    <w:rsid w:val="57FC07F2"/>
    <w:rsid w:val="585B347F"/>
    <w:rsid w:val="58947689"/>
    <w:rsid w:val="589C052C"/>
    <w:rsid w:val="589D2613"/>
    <w:rsid w:val="58FE37B0"/>
    <w:rsid w:val="5911195C"/>
    <w:rsid w:val="599E0D91"/>
    <w:rsid w:val="59A778E3"/>
    <w:rsid w:val="5A45693E"/>
    <w:rsid w:val="5A5000F8"/>
    <w:rsid w:val="5A820290"/>
    <w:rsid w:val="5A8748F2"/>
    <w:rsid w:val="5AC271BE"/>
    <w:rsid w:val="5AD35AEB"/>
    <w:rsid w:val="5AE1388D"/>
    <w:rsid w:val="5AEC360D"/>
    <w:rsid w:val="5B051053"/>
    <w:rsid w:val="5B1B2EBC"/>
    <w:rsid w:val="5B1F4A2F"/>
    <w:rsid w:val="5B28242F"/>
    <w:rsid w:val="5B2E00B5"/>
    <w:rsid w:val="5B40481E"/>
    <w:rsid w:val="5BB21CB9"/>
    <w:rsid w:val="5BE06073"/>
    <w:rsid w:val="5C13385D"/>
    <w:rsid w:val="5C1A30BA"/>
    <w:rsid w:val="5C83620D"/>
    <w:rsid w:val="5D0E1DA3"/>
    <w:rsid w:val="5D1251CE"/>
    <w:rsid w:val="5D2D797D"/>
    <w:rsid w:val="5D3A3B20"/>
    <w:rsid w:val="5D7F7876"/>
    <w:rsid w:val="5D9221E2"/>
    <w:rsid w:val="5DF319F5"/>
    <w:rsid w:val="5DFC2E7E"/>
    <w:rsid w:val="5E441C23"/>
    <w:rsid w:val="5E55682D"/>
    <w:rsid w:val="5E89766F"/>
    <w:rsid w:val="5EED6BDB"/>
    <w:rsid w:val="5F0850FC"/>
    <w:rsid w:val="5F2353B3"/>
    <w:rsid w:val="5F26010C"/>
    <w:rsid w:val="5F641B58"/>
    <w:rsid w:val="5FEB5A87"/>
    <w:rsid w:val="5FF71C4F"/>
    <w:rsid w:val="60090E62"/>
    <w:rsid w:val="601B0C63"/>
    <w:rsid w:val="601E2B14"/>
    <w:rsid w:val="60926E0C"/>
    <w:rsid w:val="613D74A8"/>
    <w:rsid w:val="61651A88"/>
    <w:rsid w:val="61B62F43"/>
    <w:rsid w:val="61CD118C"/>
    <w:rsid w:val="622C75C3"/>
    <w:rsid w:val="624A0B5E"/>
    <w:rsid w:val="62BD3652"/>
    <w:rsid w:val="62FF77AD"/>
    <w:rsid w:val="63281093"/>
    <w:rsid w:val="634B564C"/>
    <w:rsid w:val="638B2C06"/>
    <w:rsid w:val="63CE11F6"/>
    <w:rsid w:val="641C24AD"/>
    <w:rsid w:val="64AF12B4"/>
    <w:rsid w:val="64BD5C2D"/>
    <w:rsid w:val="64F91426"/>
    <w:rsid w:val="653A4D7A"/>
    <w:rsid w:val="65405E5B"/>
    <w:rsid w:val="6551380A"/>
    <w:rsid w:val="655B7BCE"/>
    <w:rsid w:val="659257C0"/>
    <w:rsid w:val="65BF522B"/>
    <w:rsid w:val="65DB5319"/>
    <w:rsid w:val="65DD004A"/>
    <w:rsid w:val="65F67D40"/>
    <w:rsid w:val="66452E90"/>
    <w:rsid w:val="665F79B4"/>
    <w:rsid w:val="66763764"/>
    <w:rsid w:val="66B24009"/>
    <w:rsid w:val="66C8070F"/>
    <w:rsid w:val="66D80480"/>
    <w:rsid w:val="671E12BA"/>
    <w:rsid w:val="675D2845"/>
    <w:rsid w:val="67CC7328"/>
    <w:rsid w:val="681A79B6"/>
    <w:rsid w:val="681F381D"/>
    <w:rsid w:val="68244975"/>
    <w:rsid w:val="682722B1"/>
    <w:rsid w:val="68390C87"/>
    <w:rsid w:val="68720836"/>
    <w:rsid w:val="687A5777"/>
    <w:rsid w:val="688151E5"/>
    <w:rsid w:val="6890349D"/>
    <w:rsid w:val="68B2666D"/>
    <w:rsid w:val="68F63A1C"/>
    <w:rsid w:val="694A7457"/>
    <w:rsid w:val="698E0397"/>
    <w:rsid w:val="69E10A8F"/>
    <w:rsid w:val="6A0D7C41"/>
    <w:rsid w:val="6A132D4E"/>
    <w:rsid w:val="6A815976"/>
    <w:rsid w:val="6A8D01C8"/>
    <w:rsid w:val="6AED1721"/>
    <w:rsid w:val="6AFB70A7"/>
    <w:rsid w:val="6B2A7A8B"/>
    <w:rsid w:val="6B2B7C2F"/>
    <w:rsid w:val="6B7312D6"/>
    <w:rsid w:val="6C67537E"/>
    <w:rsid w:val="6CA37E67"/>
    <w:rsid w:val="6CC85A53"/>
    <w:rsid w:val="6CF823CF"/>
    <w:rsid w:val="6E6A7949"/>
    <w:rsid w:val="6E845A9D"/>
    <w:rsid w:val="6EF02FF3"/>
    <w:rsid w:val="6F34658A"/>
    <w:rsid w:val="6F927C7C"/>
    <w:rsid w:val="6FC9635A"/>
    <w:rsid w:val="6FDB6C87"/>
    <w:rsid w:val="70273ED1"/>
    <w:rsid w:val="70306175"/>
    <w:rsid w:val="703736E1"/>
    <w:rsid w:val="707970A0"/>
    <w:rsid w:val="70873147"/>
    <w:rsid w:val="708F673E"/>
    <w:rsid w:val="71183585"/>
    <w:rsid w:val="71272AEC"/>
    <w:rsid w:val="71744B8E"/>
    <w:rsid w:val="7183321F"/>
    <w:rsid w:val="71CE6683"/>
    <w:rsid w:val="71EA57EA"/>
    <w:rsid w:val="72735549"/>
    <w:rsid w:val="728A0A7E"/>
    <w:rsid w:val="72C54B02"/>
    <w:rsid w:val="72F970D3"/>
    <w:rsid w:val="731004AA"/>
    <w:rsid w:val="732C725C"/>
    <w:rsid w:val="73554C4F"/>
    <w:rsid w:val="73CC3522"/>
    <w:rsid w:val="73CF63E4"/>
    <w:rsid w:val="740118E2"/>
    <w:rsid w:val="74276CF9"/>
    <w:rsid w:val="74327526"/>
    <w:rsid w:val="744312D9"/>
    <w:rsid w:val="74495AA8"/>
    <w:rsid w:val="7491249D"/>
    <w:rsid w:val="74A10226"/>
    <w:rsid w:val="74AF373F"/>
    <w:rsid w:val="74B82954"/>
    <w:rsid w:val="74D35BC0"/>
    <w:rsid w:val="74E31148"/>
    <w:rsid w:val="75297AA2"/>
    <w:rsid w:val="752C188F"/>
    <w:rsid w:val="757D7034"/>
    <w:rsid w:val="7596349D"/>
    <w:rsid w:val="75C01CEA"/>
    <w:rsid w:val="75DF0BB5"/>
    <w:rsid w:val="7617147E"/>
    <w:rsid w:val="76223FC1"/>
    <w:rsid w:val="764B0E16"/>
    <w:rsid w:val="76970B0C"/>
    <w:rsid w:val="769F51D5"/>
    <w:rsid w:val="76C2115B"/>
    <w:rsid w:val="76EC3357"/>
    <w:rsid w:val="76EF2E52"/>
    <w:rsid w:val="77010F03"/>
    <w:rsid w:val="771E06E8"/>
    <w:rsid w:val="772F023B"/>
    <w:rsid w:val="77506082"/>
    <w:rsid w:val="77D606BF"/>
    <w:rsid w:val="77D867A4"/>
    <w:rsid w:val="77EA3A4F"/>
    <w:rsid w:val="7820504F"/>
    <w:rsid w:val="786F4988"/>
    <w:rsid w:val="788C2878"/>
    <w:rsid w:val="79654BF8"/>
    <w:rsid w:val="79696BC8"/>
    <w:rsid w:val="7969772E"/>
    <w:rsid w:val="79C71432"/>
    <w:rsid w:val="7A03083A"/>
    <w:rsid w:val="7A223A31"/>
    <w:rsid w:val="7A4D6CAA"/>
    <w:rsid w:val="7AB816CE"/>
    <w:rsid w:val="7ABE383B"/>
    <w:rsid w:val="7AF440F1"/>
    <w:rsid w:val="7B3022E5"/>
    <w:rsid w:val="7B457EE6"/>
    <w:rsid w:val="7B6404BC"/>
    <w:rsid w:val="7BB319B6"/>
    <w:rsid w:val="7BD4780C"/>
    <w:rsid w:val="7C072F4A"/>
    <w:rsid w:val="7C2537A6"/>
    <w:rsid w:val="7C2A67AD"/>
    <w:rsid w:val="7C5C41DA"/>
    <w:rsid w:val="7C7D6082"/>
    <w:rsid w:val="7C820FD1"/>
    <w:rsid w:val="7C995CFB"/>
    <w:rsid w:val="7D535676"/>
    <w:rsid w:val="7D6A4640"/>
    <w:rsid w:val="7D8734A8"/>
    <w:rsid w:val="7DBF4A07"/>
    <w:rsid w:val="7DD12013"/>
    <w:rsid w:val="7E162AF5"/>
    <w:rsid w:val="7E2E6D43"/>
    <w:rsid w:val="7E4563D8"/>
    <w:rsid w:val="7E672F5B"/>
    <w:rsid w:val="7F134748"/>
    <w:rsid w:val="7F14353C"/>
    <w:rsid w:val="7F571FBB"/>
    <w:rsid w:val="7FA85A80"/>
    <w:rsid w:val="7FB13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g-button"/>
    <w:basedOn w:val="20"/>
    <w:qFormat/>
    <w:uiPriority w:val="0"/>
  </w:style>
  <w:style w:type="character" w:customStyle="1" w:styleId="48">
    <w:name w:val="compare"/>
    <w:basedOn w:val="20"/>
    <w:qFormat/>
    <w:uiPriority w:val="0"/>
  </w:style>
  <w:style w:type="character" w:customStyle="1" w:styleId="49">
    <w:name w:val="in"/>
    <w:basedOn w:val="20"/>
    <w:qFormat/>
    <w:uiPriority w:val="0"/>
    <w:rPr>
      <w:color w:val="FFFFFF"/>
      <w:shd w:val="clear" w:color="auto" w:fill="C0BDBA"/>
    </w:rPr>
  </w:style>
  <w:style w:type="character" w:customStyle="1" w:styleId="50">
    <w:name w:val="compare_added"/>
    <w:basedOn w:val="20"/>
    <w:qFormat/>
    <w:uiPriority w:val="0"/>
  </w:style>
  <w:style w:type="character" w:customStyle="1" w:styleId="51">
    <w:name w:val="g-input-selectbox"/>
    <w:basedOn w:val="20"/>
    <w:qFormat/>
    <w:uiPriority w:val="0"/>
  </w:style>
  <w:style w:type="character" w:customStyle="1" w:styleId="52">
    <w:name w:val="g-button-2-2"/>
    <w:basedOn w:val="20"/>
    <w:qFormat/>
    <w:uiPriority w:val="0"/>
  </w:style>
  <w:style w:type="character" w:customStyle="1" w:styleId="53">
    <w:name w:val="on"/>
    <w:basedOn w:val="20"/>
    <w:qFormat/>
    <w:uiPriority w:val="0"/>
    <w:rPr>
      <w:color w:val="FFFFFF"/>
      <w:shd w:val="clear" w:color="auto" w:fill="F17817"/>
    </w:rPr>
  </w:style>
  <w:style w:type="character" w:customStyle="1" w:styleId="54">
    <w:name w:val="font21"/>
    <w:basedOn w:val="20"/>
    <w:qFormat/>
    <w:uiPriority w:val="0"/>
    <w:rPr>
      <w:rFonts w:hint="eastAsia" w:ascii="宋体" w:hAnsi="宋体" w:eastAsia="宋体" w:cs="宋体"/>
      <w:color w:val="000000"/>
      <w:sz w:val="20"/>
      <w:szCs w:val="20"/>
      <w:u w:val="none"/>
    </w:rPr>
  </w:style>
  <w:style w:type="character" w:customStyle="1" w:styleId="55">
    <w:name w:val="font11"/>
    <w:basedOn w:val="20"/>
    <w:qFormat/>
    <w:uiPriority w:val="0"/>
    <w:rPr>
      <w:rFonts w:hint="eastAsia" w:ascii="宋体" w:hAnsi="宋体" w:eastAsia="宋体" w:cs="宋体"/>
      <w:color w:val="000000"/>
      <w:sz w:val="20"/>
      <w:szCs w:val="20"/>
      <w:u w:val="none"/>
    </w:rPr>
  </w:style>
  <w:style w:type="character" w:customStyle="1" w:styleId="56">
    <w:name w:val="font31"/>
    <w:basedOn w:val="20"/>
    <w:qFormat/>
    <w:uiPriority w:val="0"/>
    <w:rPr>
      <w:rFonts w:ascii="Arial" w:hAnsi="Arial" w:cs="Arial"/>
      <w:color w:val="000000"/>
      <w:sz w:val="20"/>
      <w:szCs w:val="20"/>
      <w:u w:val="none"/>
    </w:rPr>
  </w:style>
  <w:style w:type="character" w:customStyle="1" w:styleId="57">
    <w:name w:val="font51"/>
    <w:basedOn w:val="20"/>
    <w:qFormat/>
    <w:uiPriority w:val="0"/>
    <w:rPr>
      <w:rFonts w:ascii="Arial" w:hAnsi="Arial" w:cs="Arial"/>
      <w:color w:val="000000"/>
      <w:sz w:val="20"/>
      <w:szCs w:val="20"/>
      <w:u w:val="none"/>
    </w:rPr>
  </w:style>
  <w:style w:type="character" w:customStyle="1" w:styleId="58">
    <w:name w:val="font41"/>
    <w:basedOn w:val="20"/>
    <w:qFormat/>
    <w:uiPriority w:val="0"/>
    <w:rPr>
      <w:rFonts w:hint="eastAsia" w:ascii="宋体" w:hAnsi="宋体" w:eastAsia="宋体" w:cs="宋体"/>
      <w:color w:val="000000"/>
      <w:sz w:val="20"/>
      <w:szCs w:val="20"/>
      <w:u w:val="none"/>
    </w:rPr>
  </w:style>
  <w:style w:type="character" w:customStyle="1" w:styleId="59">
    <w:name w:val="font01"/>
    <w:basedOn w:val="20"/>
    <w:qFormat/>
    <w:uiPriority w:val="0"/>
    <w:rPr>
      <w:rFonts w:hint="eastAsia" w:ascii="宋体" w:hAnsi="宋体" w:eastAsia="宋体" w:cs="宋体"/>
      <w:color w:val="000000"/>
      <w:sz w:val="20"/>
      <w:szCs w:val="20"/>
      <w:u w:val="none"/>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WPSOffice手动目录 2"/>
    <w:qFormat/>
    <w:uiPriority w:val="0"/>
    <w:pPr>
      <w:ind w:leftChars="200"/>
    </w:pPr>
    <w:rPr>
      <w:rFonts w:ascii="Times New Roman" w:hAnsi="Times New Roman" w:eastAsia="宋体" w:cs="Times New Roman"/>
      <w:sz w:val="20"/>
      <w:szCs w:val="20"/>
    </w:rPr>
  </w:style>
  <w:style w:type="paragraph" w:customStyle="1" w:styleId="6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13987</Words>
  <Characters>20951</Characters>
  <Lines>171</Lines>
  <Paragraphs>48</Paragraphs>
  <TotalTime>12</TotalTime>
  <ScaleCrop>false</ScaleCrop>
  <LinksUpToDate>false</LinksUpToDate>
  <CharactersWithSpaces>21832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2020-10-22T03:04:00Z</dcterms:created>
  <dc:creator>walkinnet</dc:creator>
  <cp:lastModifiedBy>远^_^</cp:lastModifiedBy>
  <cp:lastPrinted>2020-10-23T08:01:00Z</cp:lastPrinted>
  <dcterms:modified xsi:type="dcterms:W3CDTF">2021-03-05T02:15:39Z</dcterms:modified>
  <dc:title>信托计划监管报告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