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hint="eastAsia" w:ascii="宋体" w:hAnsi="宋体" w:eastAsia="宋体" w:cs="宋体"/>
          <w:b/>
          <w:sz w:val="44"/>
          <w:szCs w:val="44"/>
          <w:lang w:val="en-US" w:eastAsia="zh-CN"/>
        </w:rPr>
      </w:pPr>
      <w:r>
        <w:rPr>
          <w:rFonts w:hint="eastAsia" w:ascii="宋体" w:hAnsi="宋体" w:cs="宋体"/>
          <w:b/>
          <w:sz w:val="44"/>
          <w:szCs w:val="44"/>
          <w:lang w:val="en-US" w:eastAsia="zh-CN"/>
        </w:rPr>
        <w:t xml:space="preserve"> </w:t>
      </w: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ind w:left="945" w:leftChars="450"/>
        <w:rPr>
          <w:rFonts w:hint="eastAsia" w:ascii="宋体" w:hAnsi="宋体" w:cs="宋体"/>
          <w:b/>
          <w:sz w:val="44"/>
          <w:szCs w:val="44"/>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jc w:val="center"/>
        <w:rPr>
          <w:rFonts w:hint="eastAsia" w:ascii="宋体" w:hAnsi="宋体" w:cs="宋体"/>
          <w:b/>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eastAsia="宋体" w:cs="Arial"/>
          <w:b/>
          <w:sz w:val="36"/>
          <w:lang w:eastAsia="zh-CN"/>
        </w:rPr>
      </w:pPr>
      <w:r>
        <w:rPr>
          <w:rFonts w:hint="default" w:ascii="Arial" w:hAnsi="Arial" w:cs="Arial"/>
          <w:b/>
          <w:sz w:val="36"/>
          <w:lang w:val="en-US" w:eastAsia="zh-CN"/>
        </w:rPr>
        <w:t>光信·光坤·鸿佳</w:t>
      </w:r>
      <w:r>
        <w:rPr>
          <w:rFonts w:hint="default" w:ascii="Arial" w:hAnsi="Arial" w:eastAsia="宋体" w:cs="Arial"/>
          <w:b/>
          <w:sz w:val="36"/>
          <w:lang w:val="en-US" w:eastAsia="zh-CN"/>
        </w:rPr>
        <w:t>1</w:t>
      </w:r>
      <w:r>
        <w:rPr>
          <w:rFonts w:hint="default" w:ascii="Arial" w:hAnsi="Arial" w:cs="Arial"/>
          <w:b/>
          <w:sz w:val="36"/>
          <w:lang w:val="en-US" w:eastAsia="zh-CN"/>
        </w:rPr>
        <w:t>号</w:t>
      </w:r>
      <w:r>
        <w:rPr>
          <w:rFonts w:hint="default" w:ascii="Arial" w:hAnsi="Arial" w:cs="Arial"/>
          <w:b/>
          <w:sz w:val="36"/>
        </w:rPr>
        <w:t>集合资金信托计划</w:t>
      </w:r>
      <w:r>
        <w:rPr>
          <w:rFonts w:hint="default" w:ascii="Arial" w:hAnsi="Arial" w:cs="Arial"/>
          <w:b/>
          <w:sz w:val="36"/>
          <w:lang w:eastAsia="zh-CN"/>
        </w:rPr>
        <w:t>（</w:t>
      </w:r>
      <w:r>
        <w:rPr>
          <w:rFonts w:hint="default" w:ascii="Arial" w:hAnsi="Arial" w:cs="Arial"/>
          <w:b/>
          <w:sz w:val="36"/>
          <w:lang w:val="en-US" w:eastAsia="zh-CN"/>
        </w:rPr>
        <w:t>001</w:t>
      </w:r>
      <w:r>
        <w:rPr>
          <w:rFonts w:hint="default" w:ascii="Arial" w:hAnsi="Arial" w:cs="Arial"/>
          <w:b/>
          <w:sz w:val="36"/>
          <w:lang w:eastAsia="zh-CN"/>
        </w:rPr>
        <w:t>）</w:t>
      </w:r>
    </w:p>
    <w:p>
      <w:pPr>
        <w:spacing w:line="480" w:lineRule="auto"/>
        <w:jc w:val="center"/>
        <w:rPr>
          <w:rFonts w:hint="default" w:ascii="宋体" w:hAnsi="宋体" w:eastAsia="宋体" w:cs="宋体"/>
          <w:b/>
          <w:sz w:val="36"/>
          <w:lang w:val="en-US" w:eastAsia="zh-CN"/>
        </w:rPr>
      </w:pPr>
      <w:r>
        <w:rPr>
          <w:rFonts w:hint="default" w:ascii="Arial" w:hAnsi="Arial" w:cs="Arial"/>
          <w:b/>
          <w:sz w:val="36"/>
          <w:lang w:val="en-US" w:eastAsia="zh-CN"/>
        </w:rPr>
        <w:t>202</w:t>
      </w:r>
      <w:r>
        <w:rPr>
          <w:rFonts w:hint="eastAsia" w:ascii="Arial" w:hAnsi="Arial" w:cs="Arial"/>
          <w:b/>
          <w:sz w:val="36"/>
          <w:lang w:val="en-US" w:eastAsia="zh-CN"/>
        </w:rPr>
        <w:t>1年09</w:t>
      </w:r>
      <w:r>
        <w:rPr>
          <w:rFonts w:hint="eastAsia" w:ascii="宋体" w:hAnsi="宋体" w:cs="宋体"/>
          <w:b/>
          <w:sz w:val="36"/>
          <w:lang w:val="en-US" w:eastAsia="zh-CN"/>
        </w:rPr>
        <w:t>月监管报告</w:t>
      </w: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cs="宋体"/>
          <w:b/>
          <w:sz w:val="24"/>
        </w:rPr>
      </w:pPr>
    </w:p>
    <w:p>
      <w:pPr>
        <w:spacing w:line="480" w:lineRule="auto"/>
        <w:jc w:val="left"/>
        <w:rPr>
          <w:rFonts w:hint="eastAsia" w:ascii="宋体" w:hAnsi="宋体" w:eastAsia="宋体" w:cs="宋体"/>
          <w:b/>
          <w:szCs w:val="28"/>
          <w:lang w:eastAsia="zh-CN"/>
        </w:rPr>
      </w:pPr>
      <w:r>
        <w:rPr>
          <w:rFonts w:hint="eastAsia" w:ascii="宋体" w:hAnsi="宋体" w:cs="宋体"/>
          <w:b/>
          <w:szCs w:val="28"/>
        </w:rPr>
        <w:t>项</w:t>
      </w:r>
      <w:r>
        <w:rPr>
          <w:rFonts w:hint="default" w:ascii="Arial" w:hAnsi="Arial" w:cs="Arial"/>
          <w:b/>
          <w:szCs w:val="28"/>
        </w:rPr>
        <w:t>目名称：</w:t>
      </w:r>
      <w:r>
        <w:rPr>
          <w:rFonts w:hint="default" w:ascii="Arial" w:hAnsi="Arial" w:cs="Arial"/>
          <w:b/>
          <w:szCs w:val="28"/>
          <w:lang w:val="en-US" w:eastAsia="zh-CN"/>
        </w:rPr>
        <w:t>光信·光坤·鸿佳1号</w:t>
      </w:r>
      <w:r>
        <w:rPr>
          <w:rFonts w:hint="default" w:ascii="Arial" w:hAnsi="Arial" w:cs="Arial"/>
          <w:b/>
          <w:szCs w:val="28"/>
        </w:rPr>
        <w:t>集合资金信托计划</w:t>
      </w:r>
      <w:r>
        <w:rPr>
          <w:rFonts w:hint="default" w:ascii="Arial" w:hAnsi="Arial" w:cs="Arial"/>
          <w:b/>
          <w:szCs w:val="28"/>
          <w:lang w:eastAsia="zh-CN"/>
        </w:rPr>
        <w:t>（</w:t>
      </w:r>
      <w:r>
        <w:rPr>
          <w:rFonts w:hint="default" w:ascii="Arial" w:hAnsi="Arial" w:cs="Arial"/>
          <w:b/>
          <w:szCs w:val="28"/>
          <w:lang w:val="en-US" w:eastAsia="zh-CN"/>
        </w:rPr>
        <w:t>001</w:t>
      </w:r>
      <w:r>
        <w:rPr>
          <w:rFonts w:hint="default" w:ascii="Arial" w:hAnsi="Arial" w:cs="Arial"/>
          <w:b/>
          <w:szCs w:val="28"/>
          <w:lang w:eastAsia="zh-CN"/>
        </w:rPr>
        <w:t>）</w:t>
      </w:r>
    </w:p>
    <w:p>
      <w:pPr>
        <w:spacing w:line="480" w:lineRule="auto"/>
        <w:jc w:val="left"/>
        <w:rPr>
          <w:rFonts w:hint="eastAsia" w:ascii="宋体" w:hAnsi="宋体" w:cs="宋体"/>
          <w:b/>
          <w:szCs w:val="28"/>
          <w:lang w:val="en-US" w:eastAsia="zh-CN"/>
        </w:rPr>
      </w:pPr>
      <w:r>
        <w:rPr>
          <w:rFonts w:hint="eastAsia" w:ascii="宋体" w:hAnsi="宋体" w:cs="宋体"/>
          <w:b/>
          <w:szCs w:val="28"/>
        </w:rPr>
        <w:t>委托方：</w:t>
      </w:r>
      <w:r>
        <w:rPr>
          <w:rFonts w:hint="eastAsia" w:ascii="宋体" w:hAnsi="宋体" w:cs="宋体"/>
          <w:b/>
          <w:szCs w:val="28"/>
          <w:lang w:val="en-US" w:eastAsia="zh-CN"/>
        </w:rPr>
        <w:t>光大兴陇信托有限责任公司</w:t>
      </w:r>
    </w:p>
    <w:p>
      <w:pPr>
        <w:spacing w:line="480" w:lineRule="auto"/>
        <w:jc w:val="left"/>
        <w:rPr>
          <w:rFonts w:hint="eastAsia" w:ascii="宋体" w:hAnsi="宋体" w:cs="宋体"/>
          <w:b/>
          <w:szCs w:val="28"/>
        </w:rPr>
      </w:pPr>
      <w:r>
        <w:rPr>
          <w:rFonts w:hint="eastAsia" w:ascii="宋体" w:hAnsi="宋体" w:cs="宋体"/>
          <w:b/>
          <w:szCs w:val="28"/>
        </w:rPr>
        <w:t>受托方：北京康信君安资产管理有限公司</w:t>
      </w:r>
    </w:p>
    <w:p>
      <w:pPr>
        <w:spacing w:line="480" w:lineRule="auto"/>
        <w:jc w:val="left"/>
        <w:rPr>
          <w:rFonts w:hint="eastAsia" w:ascii="宋体" w:hAnsi="宋体" w:eastAsia="宋体" w:cs="宋体"/>
          <w:b/>
          <w:szCs w:val="28"/>
          <w:lang w:eastAsia="zh-CN"/>
        </w:rPr>
      </w:pPr>
      <w:r>
        <w:rPr>
          <w:rFonts w:hint="eastAsia" w:ascii="宋体" w:hAnsi="宋体" w:cs="宋体"/>
          <w:b/>
          <w:szCs w:val="28"/>
        </w:rPr>
        <w:t>监管人员：</w:t>
      </w:r>
      <w:r>
        <w:rPr>
          <w:rFonts w:hint="eastAsia" w:ascii="宋体" w:hAnsi="宋体" w:cs="宋体"/>
          <w:b/>
          <w:szCs w:val="28"/>
          <w:lang w:val="en-US" w:eastAsia="zh-CN"/>
        </w:rPr>
        <w:t>许叶萍</w:t>
      </w:r>
    </w:p>
    <w:p>
      <w:pPr>
        <w:spacing w:line="480" w:lineRule="auto"/>
        <w:jc w:val="left"/>
        <w:rPr>
          <w:rFonts w:hint="default" w:ascii="宋体" w:hAnsi="宋体" w:eastAsia="宋体" w:cs="宋体"/>
          <w:b/>
          <w:szCs w:val="28"/>
          <w:lang w:val="en-US" w:eastAsia="zh-CN"/>
        </w:rPr>
      </w:pPr>
      <w:r>
        <w:rPr>
          <w:rFonts w:hint="eastAsia" w:ascii="宋体" w:hAnsi="宋体" w:cs="宋体"/>
          <w:b/>
          <w:szCs w:val="28"/>
        </w:rPr>
        <w:t>日期：</w:t>
      </w:r>
      <w:r>
        <w:rPr>
          <w:rFonts w:hint="eastAsia" w:ascii="Arial" w:hAnsi="Arial" w:cs="Arial"/>
          <w:b/>
          <w:szCs w:val="28"/>
          <w:lang w:val="en-US" w:eastAsia="zh-CN"/>
        </w:rPr>
        <w:t>二〇二一年十月九日</w:t>
      </w:r>
    </w:p>
    <w:p>
      <w:pPr>
        <w:spacing w:line="480" w:lineRule="auto"/>
        <w:jc w:val="left"/>
        <w:rPr>
          <w:rFonts w:hint="eastAsia" w:ascii="宋体" w:hAnsi="宋体" w:cs="宋体"/>
          <w:b/>
          <w:szCs w:val="28"/>
        </w:rPr>
      </w:pPr>
    </w:p>
    <w:p>
      <w:pPr>
        <w:pStyle w:val="8"/>
        <w:spacing w:line="480" w:lineRule="auto"/>
        <w:ind w:left="221"/>
        <w:jc w:val="center"/>
        <w:rPr>
          <w:rFonts w:hint="eastAsia" w:ascii="宋体" w:hAnsi="宋体" w:cs="宋体"/>
          <w:b/>
          <w:sz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start="1"/>
          <w:cols w:space="720" w:num="1"/>
          <w:docGrid w:type="lines" w:linePitch="312" w:charSpace="0"/>
        </w:sectPr>
      </w:pPr>
    </w:p>
    <w:p>
      <w:pPr>
        <w:spacing w:before="0" w:after="0" w:line="360" w:lineRule="auto"/>
        <w:ind w:left="0" w:leftChars="0" w:right="0" w:righ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目录</w:t>
      </w:r>
    </w:p>
    <w:p>
      <w:pPr>
        <w:pStyle w:val="7"/>
        <w:tabs>
          <w:tab w:val="right" w:leader="dot" w:pos="9298"/>
        </w:tabs>
        <w:spacing w:line="360" w:lineRule="auto"/>
        <w:rPr>
          <w:rFonts w:hint="default" w:ascii="Arial" w:hAnsi="Arial" w:eastAsia="宋体" w:cs="Arial"/>
        </w:rPr>
      </w:pPr>
      <w:r>
        <w:rPr>
          <w:rFonts w:hint="default" w:ascii="Arial" w:hAnsi="Arial" w:eastAsia="宋体" w:cs="Arial"/>
          <w:sz w:val="21"/>
          <w:szCs w:val="21"/>
          <w:lang w:val="en-US" w:eastAsia="zh-CN"/>
        </w:rPr>
        <w:fldChar w:fldCharType="begin"/>
      </w:r>
      <w:r>
        <w:rPr>
          <w:rFonts w:hint="default" w:ascii="Arial" w:hAnsi="Arial" w:eastAsia="宋体" w:cs="Arial"/>
          <w:sz w:val="21"/>
          <w:szCs w:val="21"/>
          <w:lang w:val="en-US" w:eastAsia="zh-CN"/>
        </w:rPr>
        <w:instrText xml:space="preserve">TOC \o "1-1" \h \u </w:instrText>
      </w:r>
      <w:r>
        <w:rPr>
          <w:rFonts w:hint="default" w:ascii="Arial" w:hAnsi="Arial" w:eastAsia="宋体" w:cs="Arial"/>
          <w:sz w:val="21"/>
          <w:szCs w:val="21"/>
          <w:lang w:val="en-US" w:eastAsia="zh-CN"/>
        </w:rPr>
        <w:fldChar w:fldCharType="separate"/>
      </w: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_Toc32385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1项目基本情况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_Toc32385 \h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_Toc9596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2重大事项披露</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_Toc9596 \h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_Toc28584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3项目进展情况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_Toc28584 \h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_Toc28091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3.1项目五证办理情况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_Toc28091 \h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_Toc20460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3.2项目施工进度情况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_Toc20460 \h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_Toc32135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3.3项目开发进度节点</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_Toc32135 \h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_Toc31712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4印鉴使用情况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_Toc31712 \h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_Toc8266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5合同签订情况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_Toc8266 \h </w:instrText>
      </w:r>
      <w:r>
        <w:rPr>
          <w:rFonts w:hint="default" w:ascii="Arial" w:hAnsi="Arial" w:eastAsia="宋体" w:cs="Arial"/>
        </w:rPr>
        <w:fldChar w:fldCharType="separate"/>
      </w:r>
      <w:r>
        <w:rPr>
          <w:rFonts w:hint="default" w:ascii="Arial" w:hAnsi="Arial" w:eastAsia="宋体" w:cs="Arial"/>
        </w:rPr>
        <w:t>11</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_Toc30168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6项目营销情况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_Toc30168 \h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_Toc2362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6.1项目销售情况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_Toc2362 \h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_Toc15780 </w:instrText>
      </w:r>
      <w:r>
        <w:rPr>
          <w:rFonts w:hint="default" w:ascii="Arial" w:hAnsi="Arial" w:eastAsia="宋体" w:cs="Arial"/>
          <w:szCs w:val="21"/>
          <w:lang w:val="en-US" w:eastAsia="zh-CN"/>
        </w:rPr>
        <w:fldChar w:fldCharType="separate"/>
      </w:r>
      <w:r>
        <w:rPr>
          <w:rFonts w:hint="default" w:ascii="Arial" w:hAnsi="Arial" w:eastAsia="宋体" w:cs="Arial"/>
          <w:bCs/>
          <w:kern w:val="44"/>
          <w:szCs w:val="24"/>
          <w:lang w:val="en-US" w:eastAsia="zh-CN" w:bidi="ar-SA"/>
        </w:rPr>
        <w:t>6.2当地房地产政策</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_Toc15780 \h </w:instrText>
      </w:r>
      <w:r>
        <w:rPr>
          <w:rFonts w:hint="default" w:ascii="Arial" w:hAnsi="Arial" w:eastAsia="宋体" w:cs="Arial"/>
        </w:rPr>
        <w:fldChar w:fldCharType="separate"/>
      </w:r>
      <w:r>
        <w:rPr>
          <w:rFonts w:hint="default" w:ascii="Arial" w:hAnsi="Arial" w:eastAsia="宋体" w:cs="Arial"/>
        </w:rPr>
        <w:t>26</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_Toc5287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6.3周边竞品项目情况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_Toc5287 \h </w:instrText>
      </w:r>
      <w:r>
        <w:rPr>
          <w:rFonts w:hint="default" w:ascii="Arial" w:hAnsi="Arial" w:eastAsia="宋体" w:cs="Arial"/>
        </w:rPr>
        <w:fldChar w:fldCharType="separate"/>
      </w:r>
      <w:r>
        <w:rPr>
          <w:rFonts w:hint="default" w:ascii="Arial" w:hAnsi="Arial" w:eastAsia="宋体" w:cs="Arial"/>
        </w:rPr>
        <w:t>27</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_Toc13065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7资金情况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_Toc13065 \h </w:instrText>
      </w:r>
      <w:r>
        <w:rPr>
          <w:rFonts w:hint="default" w:ascii="Arial" w:hAnsi="Arial" w:eastAsia="宋体" w:cs="Arial"/>
        </w:rPr>
        <w:fldChar w:fldCharType="separate"/>
      </w:r>
      <w:r>
        <w:rPr>
          <w:rFonts w:hint="default" w:ascii="Arial" w:hAnsi="Arial" w:eastAsia="宋体" w:cs="Arial"/>
        </w:rPr>
        <w:t>27</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_Toc11542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7.1资金流出情况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_Toc11542 \h </w:instrText>
      </w:r>
      <w:r>
        <w:rPr>
          <w:rFonts w:hint="default" w:ascii="Arial" w:hAnsi="Arial" w:eastAsia="宋体" w:cs="Arial"/>
        </w:rPr>
        <w:fldChar w:fldCharType="separate"/>
      </w:r>
      <w:r>
        <w:rPr>
          <w:rFonts w:hint="default" w:ascii="Arial" w:hAnsi="Arial" w:eastAsia="宋体" w:cs="Arial"/>
        </w:rPr>
        <w:t>28</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_Toc16641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7.2资金流入情况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_Toc16641 \h </w:instrText>
      </w:r>
      <w:r>
        <w:rPr>
          <w:rFonts w:hint="default" w:ascii="Arial" w:hAnsi="Arial" w:eastAsia="宋体" w:cs="Arial"/>
        </w:rPr>
        <w:fldChar w:fldCharType="separate"/>
      </w:r>
      <w:r>
        <w:rPr>
          <w:rFonts w:hint="default" w:ascii="Arial" w:hAnsi="Arial" w:eastAsia="宋体" w:cs="Arial"/>
        </w:rPr>
        <w:t>36</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_Toc14842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7.3资金结算</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_Toc14842 \h </w:instrText>
      </w:r>
      <w:r>
        <w:rPr>
          <w:rFonts w:hint="default" w:ascii="Arial" w:hAnsi="Arial" w:eastAsia="宋体" w:cs="Arial"/>
        </w:rPr>
        <w:fldChar w:fldCharType="separate"/>
      </w:r>
      <w:r>
        <w:rPr>
          <w:rFonts w:hint="default" w:ascii="Arial" w:hAnsi="Arial" w:eastAsia="宋体" w:cs="Arial"/>
        </w:rPr>
        <w:t>42</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_Toc16400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8月度监管总结</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_Toc16400 \h </w:instrText>
      </w:r>
      <w:r>
        <w:rPr>
          <w:rFonts w:hint="default" w:ascii="Arial" w:hAnsi="Arial" w:eastAsia="宋体" w:cs="Arial"/>
        </w:rPr>
        <w:fldChar w:fldCharType="separate"/>
      </w:r>
      <w:r>
        <w:rPr>
          <w:rFonts w:hint="default" w:ascii="Arial" w:hAnsi="Arial" w:eastAsia="宋体" w:cs="Arial"/>
        </w:rPr>
        <w:t>43</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_Toc27960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9附件</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_Toc27960 \h </w:instrText>
      </w:r>
      <w:r>
        <w:rPr>
          <w:rFonts w:hint="default" w:ascii="Arial" w:hAnsi="Arial" w:eastAsia="宋体" w:cs="Arial"/>
        </w:rPr>
        <w:fldChar w:fldCharType="separate"/>
      </w:r>
      <w:r>
        <w:rPr>
          <w:rFonts w:hint="default" w:ascii="Arial" w:hAnsi="Arial" w:eastAsia="宋体" w:cs="Arial"/>
        </w:rPr>
        <w:t>44</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_Toc12337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附件一：银行账户流水</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_Toc12337 \h </w:instrText>
      </w:r>
      <w:r>
        <w:rPr>
          <w:rFonts w:hint="default" w:ascii="Arial" w:hAnsi="Arial" w:eastAsia="宋体" w:cs="Arial"/>
        </w:rPr>
        <w:fldChar w:fldCharType="separate"/>
      </w:r>
      <w:r>
        <w:rPr>
          <w:rFonts w:hint="default" w:ascii="Arial" w:hAnsi="Arial" w:eastAsia="宋体" w:cs="Arial"/>
        </w:rPr>
        <w:t>44</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_Toc11749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附件二：共管资料移交清单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_Toc11749 \h </w:instrText>
      </w:r>
      <w:r>
        <w:rPr>
          <w:rFonts w:hint="default" w:ascii="Arial" w:hAnsi="Arial" w:eastAsia="宋体" w:cs="Arial"/>
        </w:rPr>
        <w:fldChar w:fldCharType="separate"/>
      </w:r>
      <w:r>
        <w:rPr>
          <w:rFonts w:hint="default" w:ascii="Arial" w:hAnsi="Arial" w:eastAsia="宋体" w:cs="Arial"/>
        </w:rPr>
        <w:t>58</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pStyle w:val="7"/>
        <w:tabs>
          <w:tab w:val="right" w:leader="dot" w:pos="9298"/>
        </w:tabs>
        <w:spacing w:line="360" w:lineRule="auto"/>
        <w:ind w:firstLine="210" w:firstLineChars="100"/>
        <w:rPr>
          <w:rFonts w:hint="default" w:ascii="Arial" w:hAnsi="Arial" w:eastAsia="宋体" w:cs="Arial"/>
        </w:rPr>
      </w:pPr>
      <w:r>
        <w:rPr>
          <w:rFonts w:hint="default" w:ascii="Arial" w:hAnsi="Arial" w:eastAsia="宋体" w:cs="Arial"/>
          <w:szCs w:val="21"/>
          <w:lang w:val="en-US" w:eastAsia="zh-CN"/>
        </w:rPr>
        <w:fldChar w:fldCharType="begin"/>
      </w:r>
      <w:r>
        <w:rPr>
          <w:rFonts w:hint="default" w:ascii="Arial" w:hAnsi="Arial" w:eastAsia="宋体" w:cs="Arial"/>
          <w:szCs w:val="21"/>
          <w:lang w:val="en-US" w:eastAsia="zh-CN"/>
        </w:rPr>
        <w:instrText xml:space="preserve"> HYPERLINK \l _Toc12064 </w:instrText>
      </w:r>
      <w:r>
        <w:rPr>
          <w:rFonts w:hint="default" w:ascii="Arial" w:hAnsi="Arial" w:eastAsia="宋体" w:cs="Arial"/>
          <w:szCs w:val="21"/>
          <w:lang w:val="en-US" w:eastAsia="zh-CN"/>
        </w:rPr>
        <w:fldChar w:fldCharType="separate"/>
      </w:r>
      <w:r>
        <w:rPr>
          <w:rFonts w:hint="default" w:ascii="Arial" w:hAnsi="Arial" w:eastAsia="宋体" w:cs="Arial"/>
          <w:szCs w:val="24"/>
          <w:lang w:val="en-US" w:eastAsia="zh-CN"/>
        </w:rPr>
        <w:t>附件三：本期用印登记簿影像</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_Toc12064 \h </w:instrText>
      </w:r>
      <w:r>
        <w:rPr>
          <w:rFonts w:hint="default" w:ascii="Arial" w:hAnsi="Arial" w:eastAsia="宋体" w:cs="Arial"/>
        </w:rPr>
        <w:fldChar w:fldCharType="separate"/>
      </w:r>
      <w:r>
        <w:rPr>
          <w:rFonts w:hint="default" w:ascii="Arial" w:hAnsi="Arial" w:eastAsia="宋体" w:cs="Arial"/>
        </w:rPr>
        <w:t>60</w:t>
      </w:r>
      <w:r>
        <w:rPr>
          <w:rFonts w:hint="default" w:ascii="Arial" w:hAnsi="Arial" w:eastAsia="宋体" w:cs="Arial"/>
        </w:rPr>
        <w:fldChar w:fldCharType="end"/>
      </w:r>
      <w:r>
        <w:rPr>
          <w:rFonts w:hint="default" w:ascii="Arial" w:hAnsi="Arial" w:eastAsia="宋体" w:cs="Arial"/>
          <w:szCs w:val="21"/>
          <w:lang w:val="en-US" w:eastAsia="zh-CN"/>
        </w:rPr>
        <w:fldChar w:fldCharType="end"/>
      </w:r>
    </w:p>
    <w:p>
      <w:pPr>
        <w:spacing w:line="360" w:lineRule="auto"/>
        <w:outlineLvl w:val="9"/>
        <w:rPr>
          <w:rFonts w:hint="default" w:ascii="Arial" w:hAnsi="Arial" w:eastAsia="宋体" w:cs="Arial"/>
          <w:lang w:val="en-US" w:eastAsia="zh-CN"/>
        </w:rPr>
      </w:pPr>
      <w:r>
        <w:rPr>
          <w:rFonts w:hint="default" w:ascii="Arial" w:hAnsi="Arial" w:eastAsia="宋体" w:cs="Arial"/>
          <w:szCs w:val="21"/>
          <w:lang w:val="en-US" w:eastAsia="zh-CN"/>
        </w:rPr>
        <w:fldChar w:fldCharType="end"/>
      </w: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outlineLvl w:val="9"/>
        <w:rPr>
          <w:rFonts w:hint="default"/>
          <w:lang w:val="en-US" w:eastAsia="zh-CN"/>
        </w:rPr>
      </w:pPr>
    </w:p>
    <w:p>
      <w:pPr>
        <w:spacing w:line="360" w:lineRule="auto"/>
        <w:jc w:val="left"/>
        <w:rPr>
          <w:rFonts w:hint="eastAsia" w:ascii="宋体" w:hAnsi="宋体" w:cs="宋体"/>
          <w:bCs/>
          <w:kern w:val="44"/>
        </w:rPr>
      </w:pPr>
    </w:p>
    <w:p>
      <w:pPr>
        <w:spacing w:line="360" w:lineRule="auto"/>
        <w:jc w:val="left"/>
        <w:rPr>
          <w:rFonts w:hint="eastAsia" w:ascii="宋体" w:hAnsi="宋体" w:cs="宋体"/>
          <w:bCs/>
          <w:kern w:val="44"/>
        </w:rPr>
        <w:sectPr>
          <w:headerReference r:id="rId5" w:type="default"/>
          <w:footerReference r:id="rId6"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pPr>
    </w:p>
    <w:p>
      <w:pPr>
        <w:spacing w:line="360" w:lineRule="auto"/>
        <w:jc w:val="left"/>
        <w:rPr>
          <w:rFonts w:hint="eastAsia" w:ascii="宋体" w:hAnsi="宋体" w:cs="宋体"/>
          <w:bCs/>
          <w:kern w:val="44"/>
        </w:rPr>
      </w:pPr>
      <w:r>
        <w:rPr>
          <w:rFonts w:hint="eastAsia" w:ascii="宋体" w:hAnsi="宋体" w:cs="宋体"/>
          <w:bCs/>
          <w:kern w:val="44"/>
        </w:rPr>
        <w:t>方便阅读之目的，本报告中将部分名称简写为：</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·项目公司：</w:t>
      </w:r>
      <w:r>
        <w:rPr>
          <w:rFonts w:hint="eastAsia" w:ascii="宋体" w:hAnsi="宋体" w:cs="宋体"/>
          <w:bCs/>
          <w:kern w:val="44"/>
          <w:lang w:val="en-US" w:eastAsia="zh-CN"/>
        </w:rPr>
        <w:t>重庆渝煌达实业</w:t>
      </w:r>
      <w:r>
        <w:rPr>
          <w:rFonts w:hint="eastAsia" w:ascii="宋体" w:hAnsi="宋体" w:cs="宋体"/>
          <w:bCs/>
          <w:kern w:val="44"/>
        </w:rPr>
        <w:t>有限公司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w:t>
      </w:r>
      <w:r>
        <w:rPr>
          <w:rFonts w:hint="eastAsia" w:ascii="宋体" w:hAnsi="宋体" w:cs="宋体"/>
          <w:bCs/>
          <w:kern w:val="44"/>
          <w:lang w:val="en-US" w:eastAsia="zh-CN"/>
        </w:rPr>
        <w:t>光大</w:t>
      </w:r>
      <w:r>
        <w:rPr>
          <w:rFonts w:hint="eastAsia" w:ascii="宋体" w:hAnsi="宋体" w:cs="宋体"/>
          <w:bCs/>
          <w:kern w:val="44"/>
        </w:rPr>
        <w:t>信托：</w:t>
      </w:r>
      <w:r>
        <w:rPr>
          <w:rFonts w:hint="eastAsia" w:ascii="宋体" w:hAnsi="宋体" w:cs="宋体"/>
          <w:bCs/>
          <w:kern w:val="44"/>
          <w:lang w:val="en-US" w:eastAsia="zh-CN"/>
        </w:rPr>
        <w:t>光大兴陇信托有限责任</w:t>
      </w:r>
      <w:r>
        <w:rPr>
          <w:rFonts w:hint="eastAsia" w:ascii="宋体" w:hAnsi="宋体" w:cs="宋体"/>
          <w:bCs/>
          <w:kern w:val="44"/>
        </w:rPr>
        <w:t>公司</w:t>
      </w:r>
    </w:p>
    <w:p>
      <w:pPr>
        <w:spacing w:line="360" w:lineRule="auto"/>
        <w:ind w:firstLine="420" w:firstLineChars="200"/>
        <w:jc w:val="left"/>
        <w:rPr>
          <w:rFonts w:hint="eastAsia" w:ascii="宋体" w:hAnsi="宋体" w:cs="宋体"/>
          <w:bCs/>
          <w:kern w:val="44"/>
        </w:rPr>
      </w:pPr>
      <w:r>
        <w:rPr>
          <w:rFonts w:hint="eastAsia" w:ascii="宋体" w:hAnsi="宋体" w:cs="宋体"/>
          <w:bCs/>
          <w:kern w:val="44"/>
        </w:rPr>
        <w:t>·康信</w:t>
      </w:r>
      <w:r>
        <w:rPr>
          <w:rFonts w:hint="eastAsia" w:ascii="宋体" w:hAnsi="宋体" w:cs="宋体"/>
          <w:bCs/>
          <w:kern w:val="44"/>
          <w:lang w:eastAsia="zh-CN"/>
        </w:rPr>
        <w:t>君安</w:t>
      </w:r>
      <w:r>
        <w:rPr>
          <w:rFonts w:hint="eastAsia" w:ascii="宋体" w:hAnsi="宋体" w:cs="宋体"/>
          <w:bCs/>
          <w:kern w:val="44"/>
        </w:rPr>
        <w:t>：北京康信君安资产管理有限公司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宋体" w:hAnsi="宋体" w:eastAsia="宋体" w:cs="宋体"/>
          <w:sz w:val="24"/>
          <w:szCs w:val="24"/>
          <w:lang w:val="en-US" w:eastAsia="zh-CN"/>
        </w:rPr>
      </w:pPr>
      <w:bookmarkStart w:id="0" w:name="_Toc32385"/>
      <w:r>
        <w:rPr>
          <w:rFonts w:hint="default" w:ascii="Arial" w:hAnsi="Arial" w:eastAsia="宋体" w:cs="Arial"/>
          <w:sz w:val="24"/>
          <w:szCs w:val="24"/>
          <w:lang w:val="en-US" w:eastAsia="zh-CN"/>
        </w:rPr>
        <w:t>1</w:t>
      </w:r>
      <w:r>
        <w:rPr>
          <w:rFonts w:hint="eastAsia" w:ascii="宋体" w:hAnsi="宋体" w:eastAsia="宋体" w:cs="宋体"/>
          <w:sz w:val="24"/>
          <w:szCs w:val="24"/>
          <w:lang w:val="en-US" w:eastAsia="zh-CN"/>
        </w:rPr>
        <w:t>项目基本情况</w:t>
      </w:r>
      <w:bookmarkEnd w:id="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Arial" w:hAnsi="Arial" w:cs="Arial"/>
          <w:bCs/>
          <w:kern w:val="44"/>
          <w:lang w:val="en-US" w:eastAsia="zh-CN"/>
        </w:rPr>
      </w:pPr>
      <w:r>
        <w:rPr>
          <w:rFonts w:hint="default" w:ascii="Arial" w:hAnsi="Arial" w:cs="Arial"/>
          <w:bCs/>
          <w:kern w:val="44"/>
          <w:lang w:val="en-US" w:eastAsia="zh-CN"/>
        </w:rPr>
        <w:t>标的项目为项目公司建设的重庆西永晓岸云起项目，项目位于重庆市沙坪坝区西永板块，交通便利，通达性良好，距离重庆西站12.9KM，重庆北站20.5KM，解放碑23.6KM，距离江北机场31.7KM，南侧靠西永大道，北侧临学成大道，西侧为龙凤溪，东侧为待开发用地，区域地势平坦，便于项目开发建设。项目对面开发项目有朗基水印三生项目、电建泷悦华府项目等，成熟度较高。</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default" w:ascii="Arial" w:hAnsi="Arial" w:cs="Arial"/>
          <w:bCs/>
          <w:kern w:val="44"/>
          <w:lang w:val="en-US" w:eastAsia="zh-CN"/>
        </w:rPr>
        <w:t>项目占地面积11.67万平方米，总建筑面积24.53万平方米，容积率为1.5。地上计容面积为17.52万平方米，包括洋房、高层、叠拼和底商等；地下建筑面积7.02万平方米，包括普通地下车库及人防车库。项目将分三宗独立地块分别开发，每宗地详细规划条件在工规证阶段确定。项目规划为高层、洋房、叠墅，户型为刚改及首改为主，再改为辅，三至四房，80-140㎡产品为主</w:t>
      </w:r>
      <w:r>
        <w:rPr>
          <w:rFonts w:hint="eastAsia" w:ascii="宋体" w:hAnsi="宋体" w:cs="宋体"/>
          <w:bCs/>
          <w:kern w:val="44"/>
          <w:lang w:val="en-US"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cs="宋体"/>
          <w:bCs/>
          <w:kern w:val="44"/>
          <w:lang w:val="en-US" w:eastAsia="zh-CN"/>
        </w:rPr>
      </w:pPr>
      <w:r>
        <w:rPr>
          <w:rFonts w:hint="eastAsia" w:ascii="宋体" w:hAnsi="宋体" w:cs="宋体"/>
          <w:bCs/>
          <w:kern w:val="44"/>
          <w:lang w:val="en-US" w:eastAsia="zh-CN"/>
        </w:rPr>
        <w:t>施工总承包单位：重庆华硕建设有限公司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监理单位：重庆康盛监理咨询有限公司</w:t>
      </w:r>
    </w:p>
    <w:p>
      <w:pPr>
        <w:spacing w:line="360" w:lineRule="auto"/>
        <w:jc w:val="center"/>
        <w:rPr>
          <w:rFonts w:hint="eastAsia" w:ascii="宋体" w:hAnsi="宋体" w:eastAsia="宋体" w:cs="宋体"/>
          <w:b/>
          <w:sz w:val="18"/>
          <w:szCs w:val="18"/>
        </w:rPr>
      </w:pPr>
      <w:r>
        <w:rPr>
          <w:rFonts w:hint="eastAsia" w:ascii="宋体" w:hAnsi="宋体" w:eastAsia="宋体" w:cs="宋体"/>
          <w:b/>
          <w:sz w:val="18"/>
          <w:szCs w:val="18"/>
        </w:rPr>
        <w:drawing>
          <wp:inline distT="0" distB="0" distL="0" distR="0">
            <wp:extent cx="5907405" cy="2719070"/>
            <wp:effectExtent l="0" t="0" r="5715" b="8890"/>
            <wp:docPr id="1026" name="图片 69" descr="C:\Users\Kaisa\Desktop\微信图片_20200910115926.png"/>
            <wp:cNvGraphicFramePr/>
            <a:graphic xmlns:a="http://schemas.openxmlformats.org/drawingml/2006/main">
              <a:graphicData uri="http://schemas.openxmlformats.org/drawingml/2006/picture">
                <pic:pic xmlns:pic="http://schemas.openxmlformats.org/drawingml/2006/picture">
                  <pic:nvPicPr>
                    <pic:cNvPr id="1026" name="图片 69" descr="C:\Users\Kaisa\Desktop\微信图片_20200910115926.png"/>
                    <pic:cNvPicPr/>
                  </pic:nvPicPr>
                  <pic:blipFill>
                    <a:blip r:embed="rId9" cstate="print"/>
                    <a:srcRect/>
                    <a:stretch>
                      <a:fillRect/>
                    </a:stretch>
                  </pic:blipFill>
                  <pic:spPr>
                    <a:xfrm>
                      <a:off x="0" y="0"/>
                      <a:ext cx="5907405" cy="2719070"/>
                    </a:xfrm>
                    <a:prstGeom prst="rect">
                      <a:avLst/>
                    </a:prstGeom>
                    <a:ln>
                      <a:noFill/>
                    </a:ln>
                  </pic:spPr>
                </pic:pic>
              </a:graphicData>
            </a:graphic>
          </wp:inline>
        </w:drawing>
      </w:r>
    </w:p>
    <w:p>
      <w:pPr>
        <w:spacing w:line="240" w:lineRule="auto"/>
        <w:jc w:val="center"/>
        <w:rPr>
          <w:rFonts w:hint="eastAsia" w:ascii="宋体" w:hAnsi="宋体" w:cs="宋体"/>
          <w:b/>
          <w:sz w:val="18"/>
          <w:szCs w:val="18"/>
          <w:lang w:val="en-US" w:eastAsia="zh-CN"/>
        </w:rPr>
      </w:pPr>
      <w:r>
        <w:rPr>
          <w:rFonts w:hint="eastAsia" w:ascii="宋体" w:hAnsi="宋体" w:cs="宋体"/>
          <w:b/>
          <w:sz w:val="18"/>
          <w:szCs w:val="18"/>
          <w:lang w:val="en-US" w:eastAsia="zh-CN"/>
        </w:rPr>
        <w:t>项目楼号图</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bookmarkStart w:id="1" w:name="_Toc9596"/>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重大事项披露</w:t>
      </w:r>
      <w:bookmarkEnd w:id="1"/>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bCs/>
          <w:kern w:val="44"/>
          <w:lang w:val="en-US" w:eastAsia="zh-CN"/>
        </w:rPr>
      </w:pPr>
      <w:bookmarkStart w:id="2" w:name="_Toc28584"/>
      <w:r>
        <w:rPr>
          <w:rFonts w:hint="eastAsia" w:ascii="Arial" w:hAnsi="Arial" w:cs="Arial"/>
          <w:bCs/>
          <w:kern w:val="44"/>
          <w:lang w:val="en-US" w:eastAsia="zh-CN"/>
        </w:rPr>
        <w:t>项目公司晓岸云起3期总包单位已入场，总包合同已于2021年09月14日用印。</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bCs/>
          <w:kern w:val="44"/>
          <w:lang w:val="en-US" w:eastAsia="zh-CN"/>
        </w:rPr>
      </w:pPr>
      <w:r>
        <w:rPr>
          <w:rFonts w:hint="eastAsia" w:ascii="Arial" w:hAnsi="Arial" w:cs="Arial"/>
          <w:bCs/>
          <w:kern w:val="44"/>
          <w:lang w:val="en-US" w:eastAsia="zh-CN"/>
        </w:rPr>
        <w:t>项目公司于2021年09月21日归还光大银行季度利息2,065,655.55元，归还汉口银行季度利息2,343,000.00元，均为银行自动扣款。</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bCs/>
          <w:kern w:val="44"/>
          <w:lang w:val="en-US" w:eastAsia="zh-CN"/>
        </w:rPr>
      </w:pPr>
      <w:r>
        <w:rPr>
          <w:rFonts w:hint="eastAsia" w:ascii="Arial" w:hAnsi="Arial" w:cs="Arial"/>
          <w:bCs/>
          <w:kern w:val="44"/>
          <w:lang w:val="en-US" w:eastAsia="zh-CN"/>
        </w:rPr>
        <w:t>项目公司于2021年09月24日归还光大银行开发贷本金2,000.00万元。</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bCs/>
          <w:kern w:val="44"/>
          <w:lang w:val="en-US" w:eastAsia="zh-CN"/>
        </w:rPr>
      </w:pPr>
      <w:r>
        <w:rPr>
          <w:rFonts w:hint="eastAsia" w:ascii="Arial" w:hAnsi="Arial" w:cs="Arial"/>
          <w:bCs/>
          <w:kern w:val="44"/>
          <w:lang w:val="en-US" w:eastAsia="zh-CN"/>
        </w:rPr>
        <w:t>项目公司于2021年09月28日购买2601汉口银行预售资金监管账户23份转账支票、27份结算业务委托书，该账户支票与结算业务委托书于2021年09月28日交接，共管资料交接清单详见附件二。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bCs/>
          <w:kern w:val="44"/>
          <w:lang w:val="en-US" w:eastAsia="zh-CN"/>
        </w:rPr>
      </w:pPr>
      <w:r>
        <w:rPr>
          <w:rFonts w:hint="eastAsia" w:ascii="Arial" w:hAnsi="Arial" w:cs="Arial"/>
          <w:bCs/>
          <w:kern w:val="44"/>
          <w:lang w:val="en-US" w:eastAsia="zh-CN"/>
        </w:rPr>
        <w:t>项目公司原计划2021年09月底左右办理晓岸云起2期14#、29#楼预售许可证，因工程施工进度问题，2021年09月份项目公司未办理任何楼栋的预售许可证。未取得相应楼栋预售证之前，项目公司会持续将客户房款收入基本户中（未监管）。</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bCs/>
          <w:kern w:val="44"/>
          <w:lang w:val="en-US" w:eastAsia="zh-CN"/>
        </w:rPr>
      </w:pPr>
      <w:r>
        <w:rPr>
          <w:rFonts w:hint="eastAsia" w:ascii="Arial" w:hAnsi="Arial" w:cs="Arial"/>
          <w:bCs/>
          <w:kern w:val="44"/>
          <w:lang w:val="en-US" w:eastAsia="zh-CN"/>
        </w:rPr>
        <w:t>投后监管协议中晓岸云起3期预售证约定的取得时间节点为2021年09月份，3期的施工许可证约定的取得时间节点为2021年07月份，宽限期2个月，截至2021年09月30日晓岸云起3期施工证暂未取得，故预售证的取得节点往后推迟。</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bCs/>
          <w:kern w:val="44"/>
          <w:lang w:val="en-US" w:eastAsia="zh-CN"/>
        </w:rPr>
      </w:pPr>
      <w:r>
        <w:rPr>
          <w:rFonts w:hint="eastAsia" w:ascii="Arial" w:hAnsi="Arial" w:cs="Arial"/>
          <w:bCs/>
          <w:kern w:val="44"/>
          <w:lang w:val="en-US" w:eastAsia="zh-CN"/>
        </w:rPr>
        <w:t>佳兆业集团重庆公司目前正在和珑樾壹号项目的监管单位山东高速协商退场事宜，山东高速方原计划于2021年09月底前退场，因实际还款情况，项目公司与山东高速协商国庆节后再沟通退场事宜。</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eastAsia" w:ascii="Arial" w:hAnsi="Arial" w:eastAsia="宋体" w:cs="Arial"/>
          <w:sz w:val="24"/>
          <w:szCs w:val="24"/>
          <w:lang w:val="en-US" w:eastAsia="zh-CN"/>
        </w:rPr>
      </w:pPr>
      <w:r>
        <w:rPr>
          <w:rFonts w:hint="eastAsia" w:ascii="Arial" w:hAnsi="Arial" w:eastAsia="宋体" w:cs="Arial"/>
          <w:sz w:val="24"/>
          <w:szCs w:val="24"/>
          <w:lang w:val="en-US" w:eastAsia="zh-CN"/>
        </w:rPr>
        <w:t>3项目进展情况</w:t>
      </w:r>
      <w:bookmarkEnd w:id="2"/>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3" w:name="_Toc28091"/>
      <w:r>
        <w:rPr>
          <w:rFonts w:hint="eastAsia" w:ascii="Arial" w:hAnsi="Arial" w:eastAsia="宋体" w:cs="Arial"/>
          <w:b/>
          <w:bCs/>
          <w:kern w:val="44"/>
          <w:sz w:val="24"/>
          <w:szCs w:val="24"/>
          <w:lang w:val="en-US" w:eastAsia="zh-CN" w:bidi="ar-SA"/>
        </w:rPr>
        <w:t>3.1项目五证办理情况</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firstLine="420" w:firstLineChars="200"/>
        <w:jc w:val="left"/>
        <w:textAlignment w:val="auto"/>
        <w:rPr>
          <w:rFonts w:hint="eastAsia" w:ascii="Arial" w:hAnsi="Arial" w:cs="Arial"/>
          <w:kern w:val="0"/>
          <w:sz w:val="21"/>
          <w:szCs w:val="21"/>
          <w:lang w:val="en-US" w:eastAsia="zh-CN" w:bidi="ar-SA"/>
        </w:rPr>
      </w:pPr>
      <w:r>
        <w:rPr>
          <w:rFonts w:hint="eastAsia" w:ascii="Arial" w:hAnsi="Arial" w:cs="Arial"/>
          <w:kern w:val="0"/>
          <w:sz w:val="21"/>
          <w:szCs w:val="21"/>
          <w:lang w:val="en-US" w:eastAsia="zh-CN" w:bidi="ar-SA"/>
        </w:rPr>
        <w:t>截至2021年09月30日，该项目具体证照办理进度情况如下：</w:t>
      </w:r>
    </w:p>
    <w:p>
      <w:pPr>
        <w:keepNext w:val="0"/>
        <w:keepLines w:val="0"/>
        <w:pageBreakBefore w:val="0"/>
        <w:widowControl w:val="0"/>
        <w:numPr>
          <w:ilvl w:val="0"/>
          <w:numId w:val="0"/>
        </w:numPr>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bCs/>
          <w:kern w:val="44"/>
          <w:sz w:val="24"/>
          <w:szCs w:val="44"/>
        </w:rPr>
      </w:pPr>
      <w:r>
        <w:rPr>
          <w:rFonts w:hint="eastAsia" w:ascii="宋体" w:hAnsi="宋体" w:cs="宋体"/>
          <w:b/>
          <w:bCs/>
          <w:kern w:val="44"/>
          <w:sz w:val="24"/>
          <w:szCs w:val="44"/>
          <w:lang w:val="en-US" w:eastAsia="zh-CN"/>
        </w:rPr>
        <w:t>项目公司</w:t>
      </w:r>
      <w:r>
        <w:rPr>
          <w:rFonts w:hint="eastAsia" w:ascii="宋体" w:hAnsi="宋体" w:eastAsia="宋体" w:cs="宋体"/>
          <w:b/>
          <w:bCs/>
          <w:kern w:val="44"/>
          <w:sz w:val="24"/>
          <w:szCs w:val="44"/>
          <w:lang w:val="en-US" w:eastAsia="zh-CN"/>
        </w:rPr>
        <w:t>证照</w:t>
      </w:r>
      <w:r>
        <w:rPr>
          <w:rFonts w:hint="eastAsia" w:ascii="宋体" w:hAnsi="宋体" w:eastAsia="宋体" w:cs="宋体"/>
          <w:b/>
          <w:bCs/>
          <w:kern w:val="44"/>
          <w:sz w:val="24"/>
          <w:szCs w:val="44"/>
        </w:rPr>
        <w:t>办理进度情况表</w:t>
      </w:r>
    </w:p>
    <w:tbl>
      <w:tblPr>
        <w:tblStyle w:val="9"/>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280"/>
        <w:gridCol w:w="1750"/>
        <w:gridCol w:w="130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597"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28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75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取证日期</w:t>
            </w:r>
          </w:p>
        </w:tc>
        <w:tc>
          <w:tcPr>
            <w:tcW w:w="1300" w:type="dxa"/>
            <w:vAlign w:val="center"/>
          </w:tcPr>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cs="Arial"/>
                <w:b/>
                <w:bCs/>
                <w:color w:val="000000"/>
                <w:sz w:val="18"/>
                <w:szCs w:val="18"/>
              </w:rPr>
            </w:pPr>
            <w:r>
              <w:rPr>
                <w:rFonts w:ascii="Arial" w:hAnsi="Arial" w:cs="Arial"/>
                <w:b/>
                <w:bCs/>
                <w:color w:val="000000"/>
                <w:sz w:val="18"/>
                <w:szCs w:val="18"/>
              </w:rPr>
              <w:t>证载面积</w:t>
            </w:r>
          </w:p>
        </w:tc>
        <w:tc>
          <w:tcPr>
            <w:tcW w:w="4040" w:type="dxa"/>
            <w:vAlign w:val="center"/>
          </w:tcPr>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97" w:type="dxa"/>
            <w:vMerge w:val="restart"/>
            <w:vAlign w:val="center"/>
          </w:tcPr>
          <w:p>
            <w:pPr>
              <w:jc w:val="center"/>
              <w:textAlignment w:val="center"/>
              <w:rPr>
                <w:rFonts w:hint="eastAsia" w:ascii="宋体" w:hAnsi="宋体" w:eastAsia="宋体" w:cs="宋体"/>
                <w:b w:val="0"/>
                <w:bCs w:val="0"/>
                <w:color w:val="000000"/>
                <w:sz w:val="18"/>
                <w:szCs w:val="18"/>
                <w:lang w:val="en-US" w:eastAsia="zh-CN"/>
              </w:rPr>
            </w:pPr>
            <w:r>
              <w:rPr>
                <w:rFonts w:hint="default" w:ascii="Arial" w:hAnsi="Arial" w:eastAsia="宋体" w:cs="Arial"/>
                <w:b w:val="0"/>
                <w:bCs w:val="0"/>
                <w:color w:val="000000"/>
                <w:sz w:val="18"/>
                <w:szCs w:val="18"/>
                <w:lang w:val="en-US" w:eastAsia="zh-CN"/>
              </w:rPr>
              <w:t>1</w:t>
            </w: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不动产权证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w:t>
            </w:r>
            <w:r>
              <w:rPr>
                <w:rFonts w:hint="default" w:ascii="Arial" w:hAnsi="Arial" w:eastAsia="宋体" w:cs="Arial"/>
                <w:color w:val="000000"/>
                <w:sz w:val="18"/>
                <w:szCs w:val="18"/>
                <w:lang w:val="en-US" w:eastAsia="zh-CN"/>
              </w:rPr>
              <w:t>10</w:t>
            </w:r>
            <w:r>
              <w:rPr>
                <w:rFonts w:hint="default" w:ascii="Arial" w:hAnsi="Arial" w:eastAsia="宋体" w:cs="Arial"/>
                <w:color w:val="000000"/>
                <w:sz w:val="18"/>
                <w:szCs w:val="18"/>
              </w:rPr>
              <w:t>月2</w:t>
            </w:r>
            <w:r>
              <w:rPr>
                <w:rFonts w:hint="default" w:ascii="Arial" w:hAnsi="Arial" w:eastAsia="宋体" w:cs="Arial"/>
                <w:color w:val="000000"/>
                <w:sz w:val="18"/>
                <w:szCs w:val="18"/>
                <w:lang w:val="en-US" w:eastAsia="zh-CN"/>
              </w:rPr>
              <w:t>2</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lang w:val="en-US" w:eastAsia="zh-CN"/>
              </w:rPr>
              <w:t>20835㎡</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渝（2020）沙坪坝区不动产权第001071148</w:t>
            </w:r>
            <w:r>
              <w:rPr>
                <w:rFonts w:hint="default" w:ascii="Arial" w:hAnsi="Arial" w:cs="Arial"/>
                <w:color w:val="000000"/>
                <w:sz w:val="18"/>
                <w:szCs w:val="18"/>
                <w:lang w:val="en-US" w:eastAsia="zh-CN"/>
              </w:rPr>
              <w:t>号</w:t>
            </w:r>
          </w:p>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w:t>
            </w:r>
            <w:r>
              <w:rPr>
                <w:rFonts w:hint="default" w:ascii="Arial" w:hAnsi="Arial" w:eastAsia="宋体" w:cs="Arial"/>
                <w:color w:val="000000"/>
                <w:sz w:val="18"/>
                <w:szCs w:val="18"/>
                <w:lang w:val="en-US" w:eastAsia="zh-CN"/>
              </w:rPr>
              <w:t>沙坪坝区西永组团W分区W09-1/04地块</w:t>
            </w:r>
            <w:r>
              <w:rPr>
                <w:rFonts w:hint="default" w:ascii="Arial" w:hAnsi="Arial" w:eastAsia="宋体"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48179㎡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渝（2020）沙坪坝区不动产权第001071654号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（沙坪坝区西永组团W分区W08-3/05地块）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宋体" w:hAnsi="宋体" w:eastAsia="宋体" w:cs="宋体"/>
                <w:b w:val="0"/>
                <w:bCs w:val="0"/>
                <w:color w:val="000000"/>
                <w:sz w:val="18"/>
                <w:szCs w:val="18"/>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2020年10月22日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47759㎡</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渝（2020）沙坪坝区不动产权第001071400号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2</w:t>
            </w:r>
          </w:p>
        </w:tc>
        <w:tc>
          <w:tcPr>
            <w:tcW w:w="1280" w:type="dxa"/>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建设用地规划许可证</w:t>
            </w:r>
          </w:p>
        </w:tc>
        <w:tc>
          <w:tcPr>
            <w:tcW w:w="1750" w:type="dxa"/>
            <w:vAlign w:val="center"/>
          </w:tcPr>
          <w:p>
            <w:pPr>
              <w:jc w:val="center"/>
              <w:textAlignment w:val="center"/>
              <w:rPr>
                <w:rFonts w:hint="default" w:ascii="Arial" w:hAnsi="Arial" w:eastAsia="宋体" w:cs="Arial"/>
                <w:color w:val="000000"/>
                <w:sz w:val="18"/>
                <w:szCs w:val="18"/>
              </w:rPr>
            </w:pPr>
            <w:r>
              <w:rPr>
                <w:rFonts w:hint="default" w:ascii="Arial" w:hAnsi="Arial" w:eastAsia="宋体" w:cs="Arial"/>
                <w:color w:val="000000"/>
                <w:sz w:val="18"/>
                <w:szCs w:val="18"/>
              </w:rPr>
              <w:t>2020年0</w:t>
            </w:r>
            <w:r>
              <w:rPr>
                <w:rFonts w:hint="default" w:ascii="Arial" w:hAnsi="Arial" w:eastAsia="宋体" w:cs="Arial"/>
                <w:color w:val="000000"/>
                <w:sz w:val="18"/>
                <w:szCs w:val="18"/>
                <w:lang w:val="en-US" w:eastAsia="zh-CN"/>
              </w:rPr>
              <w:t>7</w:t>
            </w:r>
            <w:r>
              <w:rPr>
                <w:rFonts w:hint="default" w:ascii="Arial" w:hAnsi="Arial" w:eastAsia="宋体" w:cs="Arial"/>
                <w:color w:val="000000"/>
                <w:sz w:val="18"/>
                <w:szCs w:val="18"/>
              </w:rPr>
              <w:t>月</w:t>
            </w:r>
            <w:r>
              <w:rPr>
                <w:rFonts w:hint="default" w:ascii="Arial" w:hAnsi="Arial" w:eastAsia="宋体" w:cs="Arial"/>
                <w:color w:val="000000"/>
                <w:sz w:val="18"/>
                <w:szCs w:val="18"/>
                <w:lang w:val="en-US" w:eastAsia="zh-CN"/>
              </w:rPr>
              <w:t>29</w:t>
            </w:r>
            <w:r>
              <w:rPr>
                <w:rFonts w:hint="default" w:ascii="Arial" w:hAnsi="Arial" w:eastAsia="宋体"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116773㎡</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地字第500106202000019号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3</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建设工程规划许可证</w:t>
            </w: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43377㎡</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建字第500106202000094号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（沙坪坝区西永组团W分区W09-1/04地块佳兆业·晓岸云起一期）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2020年11月06日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101581.86㎡</w:t>
            </w:r>
          </w:p>
        </w:tc>
        <w:tc>
          <w:tcPr>
            <w:tcW w:w="4040" w:type="dxa"/>
            <w:vAlign w:val="center"/>
          </w:tcPr>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建字第500106202000093号</w:t>
            </w:r>
          </w:p>
          <w:p>
            <w:pPr>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rPr>
            </w:pPr>
            <w:r>
              <w:rPr>
                <w:rFonts w:ascii="Arial" w:hAnsi="Arial" w:cs="Arial"/>
                <w:color w:val="000000"/>
                <w:sz w:val="18"/>
                <w:szCs w:val="18"/>
              </w:rPr>
              <w:t>2020年</w:t>
            </w:r>
            <w:r>
              <w:rPr>
                <w:rFonts w:hint="eastAsia" w:ascii="Arial" w:hAnsi="Arial" w:cs="Arial"/>
                <w:color w:val="000000"/>
                <w:sz w:val="18"/>
                <w:szCs w:val="18"/>
                <w:lang w:val="en-US" w:eastAsia="zh-CN"/>
              </w:rPr>
              <w:t>11</w:t>
            </w:r>
            <w:r>
              <w:rPr>
                <w:rFonts w:ascii="Arial" w:hAnsi="Arial" w:cs="Arial"/>
                <w:color w:val="000000"/>
                <w:sz w:val="18"/>
                <w:szCs w:val="18"/>
              </w:rPr>
              <w:t>月0</w:t>
            </w:r>
            <w:r>
              <w:rPr>
                <w:rFonts w:hint="eastAsia" w:ascii="Arial" w:hAnsi="Arial" w:cs="Arial"/>
                <w:color w:val="000000"/>
                <w:sz w:val="18"/>
                <w:szCs w:val="18"/>
                <w:lang w:val="en-US" w:eastAsia="zh-CN"/>
              </w:rPr>
              <w:t>6</w:t>
            </w:r>
            <w:r>
              <w:rPr>
                <w:rFonts w:ascii="Arial" w:hAnsi="Arial" w:cs="Arial"/>
                <w:color w:val="000000"/>
                <w:sz w:val="18"/>
                <w:szCs w:val="18"/>
              </w:rPr>
              <w:t>日</w:t>
            </w:r>
          </w:p>
        </w:tc>
        <w:tc>
          <w:tcPr>
            <w:tcW w:w="1300" w:type="dxa"/>
            <w:vAlign w:val="center"/>
          </w:tcPr>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100787.84㎡</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建字第500106202000114号</w:t>
            </w:r>
          </w:p>
          <w:p>
            <w:pPr>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w:t>
            </w:r>
            <w:r>
              <w:rPr>
                <w:rFonts w:hint="eastAsia" w:ascii="Arial" w:hAnsi="Arial" w:cs="Arial"/>
                <w:color w:val="auto"/>
                <w:sz w:val="18"/>
                <w:szCs w:val="18"/>
                <w:lang w:val="en-US" w:eastAsia="zh-CN"/>
              </w:rPr>
              <w:t>08-3/05地</w:t>
            </w:r>
            <w:r>
              <w:rPr>
                <w:rFonts w:hint="eastAsia" w:ascii="Arial" w:hAnsi="Arial" w:cs="Arial"/>
                <w:color w:val="000000"/>
                <w:sz w:val="18"/>
                <w:szCs w:val="18"/>
                <w:lang w:val="en-US" w:eastAsia="zh-CN"/>
              </w:rPr>
              <w:t>块佳兆业·晓岸云起三期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eastAsia" w:ascii="Arial" w:hAnsi="Arial" w:eastAsia="宋体" w:cs="Arial"/>
                <w:b w:val="0"/>
                <w:bCs w:val="0"/>
                <w:color w:val="000000"/>
                <w:sz w:val="18"/>
                <w:szCs w:val="18"/>
                <w:lang w:val="en-US" w:eastAsia="zh-CN"/>
              </w:rPr>
            </w:pPr>
            <w:r>
              <w:rPr>
                <w:rFonts w:hint="eastAsia" w:ascii="Arial" w:hAnsi="Arial" w:eastAsia="宋体" w:cs="Arial"/>
                <w:b w:val="0"/>
                <w:bCs w:val="0"/>
                <w:color w:val="000000"/>
                <w:sz w:val="18"/>
                <w:szCs w:val="18"/>
                <w:lang w:val="en-US" w:eastAsia="zh-CN"/>
              </w:rPr>
              <w:t>4</w:t>
            </w:r>
          </w:p>
        </w:tc>
        <w:tc>
          <w:tcPr>
            <w:tcW w:w="1280" w:type="dxa"/>
            <w:vMerge w:val="restart"/>
            <w:vAlign w:val="center"/>
          </w:tcPr>
          <w:p>
            <w:pPr>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rPr>
              <w:t>施工许可证</w:t>
            </w:r>
          </w:p>
        </w:tc>
        <w:tc>
          <w:tcPr>
            <w:tcW w:w="175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cs="Arial"/>
                <w:color w:val="000000"/>
                <w:sz w:val="18"/>
                <w:szCs w:val="18"/>
                <w:lang w:val="en-US" w:eastAsia="zh-CN"/>
              </w:rPr>
              <w:t>2021年01月05日</w:t>
            </w:r>
          </w:p>
        </w:tc>
        <w:tc>
          <w:tcPr>
            <w:tcW w:w="1300" w:type="dxa"/>
            <w:vAlign w:val="center"/>
          </w:tcPr>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val="en-US" w:eastAsia="zh-CN"/>
              </w:rPr>
              <w:t>43377㎡</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编号：500106202101050101</w:t>
            </w:r>
          </w:p>
          <w:p>
            <w:pPr>
              <w:jc w:val="center"/>
              <w:textAlignment w:val="center"/>
              <w:rPr>
                <w:rFonts w:hint="eastAsia" w:ascii="宋体" w:hAnsi="宋体" w:eastAsia="宋体" w:cs="宋体"/>
                <w:color w:val="000000"/>
                <w:sz w:val="18"/>
                <w:szCs w:val="18"/>
              </w:rPr>
            </w:pPr>
            <w:r>
              <w:rPr>
                <w:rFonts w:hint="eastAsia" w:ascii="Arial" w:hAnsi="Arial" w:cs="Arial"/>
                <w:color w:val="000000"/>
                <w:sz w:val="18"/>
                <w:szCs w:val="18"/>
                <w:lang w:eastAsia="zh-CN"/>
              </w:rPr>
              <w:t>（</w:t>
            </w:r>
            <w:r>
              <w:rPr>
                <w:rFonts w:hint="eastAsia" w:ascii="Arial" w:hAnsi="Arial" w:cs="Arial"/>
                <w:color w:val="000000"/>
                <w:sz w:val="18"/>
                <w:szCs w:val="18"/>
                <w:lang w:val="en-US" w:eastAsia="zh-CN"/>
              </w:rPr>
              <w:t>沙坪坝区西永组团W分区W09-1/04地块佳兆业·晓岸云起一期</w:t>
            </w:r>
            <w:r>
              <w:rPr>
                <w:rFonts w:hint="eastAsia" w:ascii="Arial" w:hAnsi="Arial" w:cs="Arial"/>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97" w:type="dxa"/>
            <w:vMerge w:val="continue"/>
            <w:vAlign w:val="center"/>
          </w:tcPr>
          <w:p>
            <w:pPr>
              <w:jc w:val="center"/>
              <w:textAlignment w:val="center"/>
              <w:rPr>
                <w:rFonts w:hint="eastAsia" w:ascii="Arial" w:hAnsi="Arial" w:eastAsia="宋体" w:cs="Arial"/>
                <w:b w:val="0"/>
                <w:bCs w:val="0"/>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2021年01月08日</w:t>
            </w:r>
          </w:p>
        </w:tc>
        <w:tc>
          <w:tcPr>
            <w:tcW w:w="130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101581.86㎡</w:t>
            </w:r>
          </w:p>
        </w:tc>
        <w:tc>
          <w:tcPr>
            <w:tcW w:w="4040" w:type="dxa"/>
            <w:vAlign w:val="center"/>
          </w:tcPr>
          <w:p>
            <w:pPr>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编号：500106202101080101</w:t>
            </w:r>
          </w:p>
          <w:p>
            <w:pPr>
              <w:jc w:val="center"/>
              <w:textAlignment w:val="center"/>
              <w:rPr>
                <w:rFonts w:hint="eastAsia" w:ascii="Arial" w:hAnsi="Arial" w:cs="Arial"/>
                <w:color w:val="000000"/>
                <w:sz w:val="18"/>
                <w:szCs w:val="18"/>
                <w:lang w:eastAsia="zh-CN"/>
              </w:rPr>
            </w:pPr>
            <w:r>
              <w:rPr>
                <w:rFonts w:hint="default" w:ascii="Arial" w:hAnsi="Arial" w:eastAsia="宋体" w:cs="Arial"/>
                <w:color w:val="000000"/>
                <w:sz w:val="18"/>
                <w:szCs w:val="18"/>
                <w:lang w:val="en-US" w:eastAsia="zh-CN"/>
              </w:rPr>
              <w:t>（沙坪坝区西永组团W分区W08-4/05地块佳兆业·晓岸云起二期）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restart"/>
            <w:vAlign w:val="center"/>
          </w:tcPr>
          <w:p>
            <w:pPr>
              <w:jc w:val="center"/>
              <w:textAlignment w:val="center"/>
              <w:rPr>
                <w:rFonts w:hint="eastAsia" w:ascii="Arial" w:hAnsi="Arial" w:eastAsia="宋体" w:cs="Arial"/>
                <w:b/>
                <w:bCs/>
                <w:color w:val="000000"/>
                <w:sz w:val="18"/>
                <w:szCs w:val="18"/>
                <w:lang w:val="en-US" w:eastAsia="zh-CN" w:bidi="ar"/>
              </w:rPr>
            </w:pPr>
            <w:r>
              <w:rPr>
                <w:rFonts w:hint="eastAsia" w:ascii="Arial" w:hAnsi="Arial" w:eastAsia="宋体" w:cs="Arial"/>
                <w:b/>
                <w:bCs/>
                <w:color w:val="000000"/>
                <w:sz w:val="18"/>
                <w:szCs w:val="18"/>
                <w:lang w:val="en-US" w:eastAsia="zh-CN" w:bidi="ar"/>
              </w:rPr>
              <w:t>5</w:t>
            </w:r>
          </w:p>
          <w:p>
            <w:pPr>
              <w:jc w:val="center"/>
              <w:textAlignment w:val="center"/>
              <w:rPr>
                <w:rFonts w:hint="default" w:ascii="Arial" w:hAnsi="Arial" w:eastAsia="宋体" w:cs="Arial"/>
                <w:b w:val="0"/>
                <w:bCs w:val="0"/>
                <w:color w:val="000000"/>
                <w:sz w:val="18"/>
                <w:szCs w:val="18"/>
                <w:lang w:val="en-US" w:eastAsia="zh-CN"/>
              </w:rPr>
            </w:pPr>
          </w:p>
        </w:tc>
        <w:tc>
          <w:tcPr>
            <w:tcW w:w="1280" w:type="dxa"/>
            <w:vMerge w:val="restart"/>
            <w:vAlign w:val="center"/>
          </w:tcPr>
          <w:p>
            <w:pPr>
              <w:jc w:val="center"/>
              <w:textAlignment w:val="center"/>
              <w:rPr>
                <w:rFonts w:hint="eastAsia" w:ascii="宋体" w:hAnsi="宋体" w:eastAsia="宋体" w:cs="宋体"/>
                <w:color w:val="000000"/>
                <w:sz w:val="18"/>
                <w:szCs w:val="18"/>
                <w:lang w:val="en-US" w:eastAsia="zh-CN" w:bidi="ar"/>
              </w:rPr>
            </w:pPr>
            <w:r>
              <w:rPr>
                <w:rFonts w:hint="eastAsia" w:ascii="宋体" w:hAnsi="宋体" w:eastAsia="宋体" w:cs="宋体"/>
                <w:color w:val="000000"/>
                <w:sz w:val="18"/>
                <w:szCs w:val="18"/>
                <w:lang w:bidi="ar"/>
              </w:rPr>
              <w:t>商品房预售许可证</w:t>
            </w:r>
          </w:p>
          <w:p>
            <w:pPr>
              <w:jc w:val="center"/>
              <w:textAlignment w:val="center"/>
              <w:rPr>
                <w:rFonts w:hint="eastAsia" w:ascii="宋体" w:hAnsi="宋体" w:eastAsia="宋体" w:cs="宋体"/>
                <w:color w:val="000000"/>
                <w:sz w:val="18"/>
                <w:szCs w:val="18"/>
                <w:lang w:val="en-US" w:eastAsia="zh-CN"/>
              </w:rPr>
            </w:pPr>
          </w:p>
        </w:tc>
        <w:tc>
          <w:tcPr>
            <w:tcW w:w="1750" w:type="dxa"/>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2021年01月21日</w:t>
            </w:r>
          </w:p>
        </w:tc>
        <w:tc>
          <w:tcPr>
            <w:tcW w:w="1300" w:type="dxa"/>
            <w:vAlign w:val="center"/>
          </w:tcPr>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13350.52㎡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渝住建委（2021）预字第（70）号</w:t>
            </w:r>
          </w:p>
          <w:p>
            <w:pPr>
              <w:jc w:val="center"/>
              <w:textAlignment w:val="center"/>
              <w:rPr>
                <w:rFonts w:hint="eastAsia" w:ascii="宋体" w:hAnsi="宋体" w:eastAsia="宋体" w:cs="宋体"/>
                <w:color w:val="000000"/>
                <w:sz w:val="18"/>
                <w:szCs w:val="18"/>
                <w:lang w:val="en-US" w:eastAsia="zh-CN" w:bidi="ar"/>
              </w:rPr>
            </w:pPr>
            <w:r>
              <w:rPr>
                <w:rFonts w:hint="eastAsia" w:ascii="Arial" w:hAnsi="Arial" w:cs="Arial"/>
                <w:color w:val="000000"/>
                <w:sz w:val="18"/>
                <w:szCs w:val="18"/>
                <w:lang w:val="en-US" w:eastAsia="zh-CN" w:bidi="ar"/>
              </w:rPr>
              <w:t>（晓岸云起一期3#、6#、7#楼预售证）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2021年02月25日</w:t>
            </w:r>
          </w:p>
        </w:tc>
        <w:tc>
          <w:tcPr>
            <w:tcW w:w="130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5717.14㎡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渝住建委（2021）预字第（179）号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（晓岸云起一期8#楼预售证）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2021年03月11日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2077.77㎡</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渝住建委（2021）预字第（227）号</w:t>
            </w:r>
          </w:p>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（晓岸云起一期4#楼）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2021年03月30日</w:t>
            </w:r>
          </w:p>
        </w:tc>
        <w:tc>
          <w:tcPr>
            <w:tcW w:w="1300" w:type="dxa"/>
            <w:vAlign w:val="center"/>
          </w:tcPr>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5716.22㎡</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渝住建委（2021）预字第（377）号</w:t>
            </w:r>
          </w:p>
          <w:p>
            <w:pPr>
              <w:jc w:val="center"/>
              <w:textAlignment w:val="center"/>
              <w:rPr>
                <w:rFonts w:hint="default"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bookmarkStart w:id="4" w:name="_Toc535570751"/>
            <w:bookmarkStart w:id="5" w:name="_Toc535580092"/>
            <w:bookmarkStart w:id="6" w:name="_Toc535508637"/>
            <w:bookmarkStart w:id="7" w:name="_Toc535580024"/>
            <w:bookmarkStart w:id="8" w:name="_Toc532281658"/>
            <w:bookmarkStart w:id="9" w:name="_Toc37668494"/>
            <w:bookmarkStart w:id="10" w:name="_Toc27618"/>
            <w:bookmarkStart w:id="11" w:name="_Toc9247"/>
            <w:bookmarkStart w:id="12" w:name="_Toc23200"/>
            <w:bookmarkStart w:id="13" w:name="_Toc19421"/>
            <w:bookmarkStart w:id="14" w:name="_Toc19231"/>
            <w:bookmarkStart w:id="15" w:name="_Toc15976"/>
            <w:bookmarkStart w:id="16" w:name="_Toc20410"/>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2021年04月13日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2332.90㎡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渝住建委（2021）预字第（429）号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2021年04月23日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2853.78㎡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渝住建委（2021）预字第（513）号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（晓岸云起二期20#楼）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2021年04月28日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5716.98㎡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渝住建委（2021）预字第（561）号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4666.20㎡</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渝住建委（2021）预字第（754）号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（晓岸云起二期22、23#楼）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2021年05月28日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2853.88㎡</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渝住建委（2021）预字第（777）号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2021年06月17日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5422.74㎡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渝住建委（2021）预字第（883）号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2021年07月20日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5715.76㎡</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渝住建委（2021）预字第（1069）号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（晓岸云起二期15#楼）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vMerge w:val="continue"/>
            <w:vAlign w:val="center"/>
          </w:tcPr>
          <w:p>
            <w:pPr>
              <w:jc w:val="center"/>
              <w:textAlignment w:val="center"/>
              <w:rPr>
                <w:rFonts w:hint="eastAsia" w:ascii="Arial" w:hAnsi="Arial" w:eastAsia="宋体" w:cs="Arial"/>
                <w:b/>
                <w:bCs/>
                <w:color w:val="000000"/>
                <w:sz w:val="18"/>
                <w:szCs w:val="18"/>
                <w:lang w:val="en-US" w:eastAsia="zh-CN"/>
              </w:rPr>
            </w:pPr>
          </w:p>
        </w:tc>
        <w:tc>
          <w:tcPr>
            <w:tcW w:w="1280" w:type="dxa"/>
            <w:vMerge w:val="continue"/>
            <w:vAlign w:val="center"/>
          </w:tcPr>
          <w:p>
            <w:pPr>
              <w:jc w:val="center"/>
              <w:textAlignment w:val="center"/>
              <w:rPr>
                <w:rFonts w:hint="eastAsia" w:ascii="宋体" w:hAnsi="宋体" w:eastAsia="宋体" w:cs="宋体"/>
                <w:color w:val="000000"/>
                <w:sz w:val="18"/>
                <w:szCs w:val="18"/>
              </w:rPr>
            </w:pPr>
          </w:p>
        </w:tc>
        <w:tc>
          <w:tcPr>
            <w:tcW w:w="175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2021年08月18日</w:t>
            </w:r>
          </w:p>
        </w:tc>
        <w:tc>
          <w:tcPr>
            <w:tcW w:w="1300" w:type="dxa"/>
            <w:vAlign w:val="center"/>
          </w:tcPr>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5287.64㎡</w:t>
            </w:r>
          </w:p>
        </w:tc>
        <w:tc>
          <w:tcPr>
            <w:tcW w:w="4040" w:type="dxa"/>
            <w:vAlign w:val="center"/>
          </w:tcPr>
          <w:p>
            <w:pPr>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渝住建委（2021）预字第（1219）号</w:t>
            </w:r>
          </w:p>
          <w:p>
            <w:pPr>
              <w:jc w:val="center"/>
              <w:textAlignment w:val="center"/>
              <w:rPr>
                <w:rFonts w:hint="eastAsia" w:ascii="Arial" w:hAnsi="Arial" w:eastAsia="宋体" w:cs="Arial"/>
                <w:color w:val="000000"/>
                <w:sz w:val="18"/>
                <w:szCs w:val="18"/>
                <w:lang w:val="en-US" w:eastAsia="zh-CN" w:bidi="ar"/>
              </w:rPr>
            </w:pPr>
            <w:r>
              <w:rPr>
                <w:rFonts w:hint="eastAsia" w:ascii="Arial" w:hAnsi="Arial" w:cs="Arial"/>
                <w:color w:val="000000"/>
                <w:sz w:val="18"/>
                <w:szCs w:val="18"/>
                <w:lang w:val="en-US" w:eastAsia="zh-CN" w:bidi="ar"/>
              </w:rPr>
              <w:t>（晓岸云起二期24#楼）</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b/>
          <w:bCs/>
          <w:sz w:val="24"/>
          <w:szCs w:val="24"/>
        </w:rPr>
      </w:pPr>
      <w:bookmarkStart w:id="17" w:name="_Toc20460"/>
      <w:r>
        <w:rPr>
          <w:rFonts w:hint="default" w:ascii="Arial" w:hAnsi="Arial" w:eastAsia="宋体" w:cs="Arial"/>
          <w:b/>
          <w:bCs/>
          <w:kern w:val="44"/>
          <w:sz w:val="24"/>
          <w:szCs w:val="24"/>
          <w:lang w:val="en-US" w:eastAsia="zh-CN" w:bidi="ar-SA"/>
        </w:rPr>
        <w:t>3.2</w:t>
      </w:r>
      <w:bookmarkEnd w:id="4"/>
      <w:bookmarkEnd w:id="5"/>
      <w:bookmarkEnd w:id="6"/>
      <w:bookmarkEnd w:id="7"/>
      <w:bookmarkEnd w:id="8"/>
      <w:bookmarkEnd w:id="9"/>
      <w:bookmarkEnd w:id="10"/>
      <w:r>
        <w:rPr>
          <w:rFonts w:hint="eastAsia" w:ascii="Arial" w:hAnsi="Arial" w:eastAsia="宋体" w:cs="Arial"/>
          <w:b/>
          <w:bCs/>
          <w:kern w:val="44"/>
          <w:sz w:val="24"/>
          <w:szCs w:val="24"/>
          <w:lang w:val="en-US" w:eastAsia="zh-CN" w:bidi="ar-SA"/>
        </w:rPr>
        <w:t>项目施工进度情况</w:t>
      </w:r>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before="315" w:beforeLines="100" w:line="240" w:lineRule="auto"/>
        <w:jc w:val="center"/>
        <w:textAlignment w:val="auto"/>
        <w:rPr>
          <w:rStyle w:val="12"/>
          <w:rFonts w:hint="eastAsia" w:ascii="宋体" w:hAnsi="宋体" w:cs="宋体"/>
          <w:b/>
          <w:bCs/>
          <w:color w:val="auto"/>
          <w:sz w:val="24"/>
          <w:szCs w:val="24"/>
        </w:rPr>
      </w:pPr>
      <w:r>
        <w:rPr>
          <w:rFonts w:hint="eastAsia" w:ascii="宋体" w:hAnsi="宋体" w:eastAsia="宋体" w:cs="宋体"/>
          <w:b/>
          <w:bCs/>
          <w:sz w:val="24"/>
          <w:szCs w:val="24"/>
        </w:rPr>
        <w:t>标的项目</w:t>
      </w:r>
      <w:r>
        <w:rPr>
          <w:rFonts w:hint="default" w:ascii="Arial" w:hAnsi="Arial" w:eastAsia="宋体" w:cs="Arial"/>
          <w:b/>
          <w:bCs/>
          <w:sz w:val="24"/>
          <w:szCs w:val="24"/>
        </w:rPr>
        <w:t>202</w:t>
      </w:r>
      <w:r>
        <w:rPr>
          <w:rFonts w:hint="eastAsia" w:ascii="Arial" w:hAnsi="Arial" w:cs="Arial"/>
          <w:b/>
          <w:bCs/>
          <w:sz w:val="24"/>
          <w:szCs w:val="24"/>
          <w:lang w:val="en-US" w:eastAsia="zh-CN"/>
        </w:rPr>
        <w:t>1年09</w:t>
      </w:r>
      <w:r>
        <w:rPr>
          <w:rFonts w:hint="eastAsia" w:ascii="宋体" w:hAnsi="宋体" w:eastAsia="宋体" w:cs="宋体"/>
          <w:b/>
          <w:bCs/>
          <w:sz w:val="24"/>
          <w:szCs w:val="24"/>
        </w:rPr>
        <w:t>月施工进度表</w:t>
      </w:r>
    </w:p>
    <w:tbl>
      <w:tblPr>
        <w:tblStyle w:val="9"/>
        <w:tblW w:w="8836"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17"/>
        <w:gridCol w:w="734"/>
        <w:gridCol w:w="756"/>
        <w:gridCol w:w="6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trPr>
        <w:tc>
          <w:tcPr>
            <w:tcW w:w="417"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序号</w:t>
            </w:r>
          </w:p>
        </w:tc>
        <w:tc>
          <w:tcPr>
            <w:tcW w:w="617"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工程名称</w:t>
            </w:r>
          </w:p>
        </w:tc>
        <w:tc>
          <w:tcPr>
            <w:tcW w:w="734"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栋号</w:t>
            </w:r>
          </w:p>
        </w:tc>
        <w:tc>
          <w:tcPr>
            <w:tcW w:w="756" w:type="dxa"/>
            <w:vAlign w:val="center"/>
          </w:tcPr>
          <w:p>
            <w:pPr>
              <w:widowControl/>
              <w:spacing w:line="240" w:lineRule="auto"/>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楼层</w:t>
            </w:r>
          </w:p>
        </w:tc>
        <w:tc>
          <w:tcPr>
            <w:tcW w:w="6312" w:type="dxa"/>
            <w:vAlign w:val="center"/>
          </w:tcPr>
          <w:p>
            <w:pPr>
              <w:widowControl/>
              <w:spacing w:line="240" w:lineRule="auto"/>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本期形象进度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1</w:t>
            </w:r>
          </w:p>
        </w:tc>
        <w:tc>
          <w:tcPr>
            <w:tcW w:w="617" w:type="dxa"/>
            <w:vMerge w:val="restart"/>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b/>
                <w:bCs/>
                <w:color w:val="000000"/>
                <w:sz w:val="18"/>
                <w:szCs w:val="18"/>
              </w:rPr>
              <w:t>一期</w:t>
            </w: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ind w:left="0" w:leftChars="0"/>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6层砌体完成60%，8层砌体完成20%，2、3、4层砌筑砌完成（差后塞，条板完成），5层条板完成50%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2</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2层砌筑完成，3、4、5、6砌筑完成（差后塞），7层砖砌完成（差后塞），8层条板完成50%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3</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3#</w:t>
            </w:r>
            <w:r>
              <w:rPr>
                <w:rFonts w:hint="eastAsia" w:ascii="宋体" w:hAnsi="宋体" w:eastAsia="宋体" w:cs="宋体"/>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砌体完成，构造柱浇筑完成</w:t>
            </w:r>
            <w:r>
              <w:rPr>
                <w:rFonts w:hint="default" w:ascii="Arial" w:hAnsi="Arial" w:eastAsia="宋体" w:cs="Arial"/>
                <w:color w:val="auto"/>
                <w:sz w:val="18"/>
                <w:szCs w:val="18"/>
                <w:lang w:eastAsia="zh-CN"/>
              </w:rPr>
              <w:t>，</w:t>
            </w:r>
            <w:r>
              <w:rPr>
                <w:rFonts w:hint="default" w:ascii="Arial" w:hAnsi="Arial" w:eastAsia="宋体" w:cs="Arial"/>
                <w:color w:val="auto"/>
                <w:sz w:val="18"/>
                <w:szCs w:val="18"/>
              </w:rPr>
              <w:t>6-7层挂网完成20%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4</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5、6、7层构造柱浇筑完成，7、6、5、4、3、2层砖砌完成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5</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5#楼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sz w:val="18"/>
                <w:szCs w:val="18"/>
              </w:rPr>
              <w:t>基础地梁浇筑完成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6</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6#楼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室</w:t>
            </w:r>
            <w:r>
              <w:rPr>
                <w:rFonts w:hint="default" w:ascii="Arial" w:hAnsi="Arial" w:eastAsia="宋体" w:cs="Arial"/>
                <w:color w:val="auto"/>
                <w:sz w:val="18"/>
                <w:szCs w:val="18"/>
              </w:rPr>
              <w:t>内墙抹灰</w:t>
            </w:r>
            <w:r>
              <w:rPr>
                <w:rFonts w:hint="default" w:ascii="Arial" w:hAnsi="Arial" w:eastAsia="宋体" w:cs="Arial"/>
                <w:color w:val="auto"/>
                <w:sz w:val="18"/>
                <w:szCs w:val="18"/>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7</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7#楼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室内墙抹灰完成2层外墙抹灰完成40%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8</w:t>
            </w:r>
          </w:p>
        </w:tc>
        <w:tc>
          <w:tcPr>
            <w:tcW w:w="617" w:type="dxa"/>
            <w:vMerge w:val="continue"/>
            <w:vAlign w:val="center"/>
          </w:tcPr>
          <w:p>
            <w:pPr>
              <w:widowControl/>
              <w:jc w:val="center"/>
              <w:textAlignment w:val="center"/>
              <w:rPr>
                <w:rFonts w:hint="eastAsia" w:ascii="宋体" w:hAnsi="宋体" w:eastAsia="宋体" w:cs="宋体"/>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 xml:space="preserve">室内抹灰完成，外墙挂网完成，甩浆完成 70% </w:t>
            </w:r>
            <w:r>
              <w:rPr>
                <w:rFonts w:hint="default" w:ascii="Arial" w:hAnsi="Arial" w:eastAsia="宋体" w:cs="Arial"/>
                <w:color w:val="0000FF"/>
                <w:sz w:val="18"/>
                <w:szCs w:val="18"/>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1层模板支撑完成80%，钢筋绑扎完成20%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10</w:t>
            </w:r>
          </w:p>
        </w:tc>
        <w:tc>
          <w:tcPr>
            <w:tcW w:w="617" w:type="dxa"/>
            <w:vMerge w:val="restart"/>
            <w:vAlign w:val="center"/>
          </w:tcPr>
          <w:p>
            <w:pPr>
              <w:widowControl/>
              <w:jc w:val="center"/>
              <w:textAlignment w:val="center"/>
              <w:rPr>
                <w:rFonts w:hint="eastAsia" w:ascii="宋体" w:hAnsi="宋体" w:eastAsia="宋体" w:cs="宋体"/>
                <w:b/>
                <w:bCs/>
                <w:color w:val="000000"/>
                <w:sz w:val="18"/>
                <w:szCs w:val="18"/>
                <w:lang w:val="en-US" w:eastAsia="zh-CN"/>
              </w:rPr>
            </w:pPr>
            <w:r>
              <w:rPr>
                <w:rFonts w:hint="eastAsia" w:ascii="宋体" w:hAnsi="宋体" w:cs="宋体"/>
                <w:b/>
                <w:bCs/>
                <w:color w:val="000000"/>
                <w:sz w:val="18"/>
                <w:szCs w:val="18"/>
                <w:lang w:val="en-US" w:eastAsia="zh-CN"/>
              </w:rPr>
              <w:t>二期</w:t>
            </w: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11#楼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2F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sz w:val="18"/>
                <w:szCs w:val="18"/>
              </w:rPr>
              <w:t>售房部全部完成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12#楼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砌体完成，除3楼外其余室内抹灰完成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12</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13#楼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砌体完成，2、3、4、5墙面抹灰完成，1、6层墙面抹灰施工中，7、8层抹灰基层施工中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13</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14#楼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1层结构施工完成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14</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15#楼</w:t>
            </w:r>
          </w:p>
        </w:tc>
        <w:tc>
          <w:tcPr>
            <w:tcW w:w="756" w:type="dxa"/>
            <w:vAlign w:val="top"/>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结构封顶</w:t>
            </w:r>
            <w:r>
              <w:rPr>
                <w:rFonts w:hint="default" w:ascii="Arial" w:hAnsi="Arial" w:eastAsia="宋体" w:cs="Arial"/>
                <w:color w:val="auto"/>
                <w:sz w:val="18"/>
                <w:szCs w:val="18"/>
                <w:lang w:eastAsia="zh-CN"/>
              </w:rPr>
              <w:t>，</w:t>
            </w:r>
            <w:r>
              <w:rPr>
                <w:rFonts w:hint="default" w:ascii="Arial" w:hAnsi="Arial" w:eastAsia="宋体" w:cs="Arial"/>
                <w:color w:val="auto"/>
                <w:sz w:val="18"/>
                <w:szCs w:val="18"/>
                <w:lang w:val="en-US" w:eastAsia="zh-CN"/>
              </w:rPr>
              <w:t>施工电梯基础浇筑完成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15</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17#楼</w:t>
            </w:r>
          </w:p>
        </w:tc>
        <w:tc>
          <w:tcPr>
            <w:tcW w:w="756" w:type="dxa"/>
            <w:vAlign w:val="top"/>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color w:val="auto"/>
                <w:sz w:val="18"/>
                <w:szCs w:val="18"/>
              </w:rPr>
            </w:pPr>
            <w:r>
              <w:rPr>
                <w:rFonts w:hint="default" w:ascii="Arial" w:hAnsi="Arial" w:eastAsia="宋体" w:cs="Arial"/>
                <w:color w:val="auto"/>
                <w:sz w:val="18"/>
                <w:szCs w:val="18"/>
                <w:lang w:val="en-US" w:eastAsia="zh-CN"/>
              </w:rPr>
              <w:t>2层结构施工完成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16</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18#楼</w:t>
            </w:r>
          </w:p>
        </w:tc>
        <w:tc>
          <w:tcPr>
            <w:tcW w:w="756" w:type="dxa"/>
            <w:vAlign w:val="top"/>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color w:val="auto"/>
                <w:sz w:val="18"/>
                <w:szCs w:val="18"/>
              </w:rPr>
            </w:pPr>
            <w:r>
              <w:rPr>
                <w:rFonts w:hint="default" w:ascii="Arial" w:hAnsi="Arial" w:eastAsia="宋体" w:cs="Arial"/>
                <w:color w:val="auto"/>
                <w:sz w:val="18"/>
                <w:szCs w:val="18"/>
                <w:lang w:val="en-US" w:eastAsia="zh-CN"/>
              </w:rPr>
              <w:t>负1层柱墙钢筋绑扎完成，梁板支模加固施工中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17</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19</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8F/-1F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1层砌体条板完成，2</w:t>
            </w:r>
            <w:r>
              <w:rPr>
                <w:rFonts w:hint="default" w:ascii="Arial" w:hAnsi="Arial" w:eastAsia="宋体" w:cs="Arial"/>
                <w:color w:val="auto"/>
                <w:sz w:val="18"/>
                <w:szCs w:val="18"/>
                <w:lang w:eastAsia="zh-CN"/>
              </w:rPr>
              <w:t>、</w:t>
            </w:r>
            <w:r>
              <w:rPr>
                <w:rFonts w:hint="default" w:ascii="Arial" w:hAnsi="Arial" w:eastAsia="宋体" w:cs="Arial"/>
                <w:color w:val="auto"/>
                <w:sz w:val="18"/>
                <w:szCs w:val="18"/>
                <w:lang w:val="en-US" w:eastAsia="zh-CN"/>
              </w:rPr>
              <w:t>3</w:t>
            </w:r>
            <w:r>
              <w:rPr>
                <w:rFonts w:hint="default" w:ascii="Arial" w:hAnsi="Arial" w:eastAsia="宋体" w:cs="Arial"/>
                <w:color w:val="auto"/>
                <w:sz w:val="18"/>
                <w:szCs w:val="18"/>
              </w:rPr>
              <w:t>层砌体完成，条板安装施工中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18</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0</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二次结构施工完成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19</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1</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sz w:val="18"/>
                <w:szCs w:val="18"/>
              </w:rPr>
              <w:t>主体封顶完成，门窗收口完成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eastAsia="宋体" w:cs="Arial"/>
                <w:sz w:val="18"/>
                <w:szCs w:val="18"/>
                <w:lang w:val="en-US" w:eastAsia="zh-CN"/>
              </w:rPr>
            </w:pPr>
            <w:r>
              <w:rPr>
                <w:rFonts w:hint="eastAsia" w:ascii="Arial" w:hAnsi="Arial" w:cs="Arial"/>
                <w:sz w:val="18"/>
                <w:szCs w:val="18"/>
                <w:lang w:val="en-US" w:eastAsia="zh-CN"/>
              </w:rPr>
              <w:t>20</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eastAsia="宋体" w:cs="Arial"/>
                <w:color w:val="000000"/>
                <w:sz w:val="18"/>
                <w:szCs w:val="18"/>
                <w:lang w:val="en-US" w:eastAsia="zh-CN" w:bidi="ar-SA"/>
              </w:rPr>
            </w:pPr>
            <w:r>
              <w:rPr>
                <w:rFonts w:hint="eastAsia" w:ascii="Arial" w:hAnsi="Arial" w:eastAsia="宋体" w:cs="Arial"/>
                <w:color w:val="000000"/>
                <w:sz w:val="18"/>
                <w:szCs w:val="18"/>
                <w:lang w:val="en-US" w:eastAsia="zh-CN"/>
              </w:rPr>
              <w:t>2</w:t>
            </w:r>
            <w:r>
              <w:rPr>
                <w:rFonts w:hint="eastAsia" w:ascii="Arial" w:hAnsi="Arial" w:cs="Arial"/>
                <w:color w:val="000000"/>
                <w:sz w:val="18"/>
                <w:szCs w:val="18"/>
                <w:lang w:val="en-US" w:eastAsia="zh-CN"/>
              </w:rPr>
              <w:t>2</w:t>
            </w:r>
            <w:r>
              <w:rPr>
                <w:rFonts w:hint="eastAsia" w:ascii="Arial" w:hAnsi="Arial" w:eastAsia="宋体" w:cs="Arial"/>
                <w:color w:val="000000"/>
                <w:sz w:val="18"/>
                <w:szCs w:val="18"/>
                <w:lang w:val="en-US" w:eastAsia="zh-CN"/>
              </w:rPr>
              <w:t>#楼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8</w:t>
            </w:r>
            <w:r>
              <w:rPr>
                <w:rFonts w:hint="default"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主体封顶完成，</w:t>
            </w:r>
            <w:r>
              <w:rPr>
                <w:rFonts w:hint="default" w:ascii="Arial" w:hAnsi="Arial" w:eastAsia="宋体" w:cs="Arial"/>
                <w:color w:val="auto"/>
                <w:sz w:val="18"/>
                <w:szCs w:val="18"/>
                <w:lang w:val="en-US" w:eastAsia="zh-CN"/>
              </w:rPr>
              <w:t>5层砌体完成50%，一二层二次结构完成50%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21</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bidi="ar-SA"/>
              </w:rPr>
            </w:pPr>
            <w:r>
              <w:rPr>
                <w:rFonts w:hint="eastAsia" w:ascii="Arial" w:hAnsi="Arial" w:cs="Arial"/>
                <w:color w:val="000000"/>
                <w:sz w:val="18"/>
                <w:szCs w:val="18"/>
                <w:lang w:val="en-US" w:eastAsia="zh-CN"/>
              </w:rPr>
              <w:t>23#楼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rPr>
              <w:t>主体封顶完成，</w:t>
            </w:r>
            <w:r>
              <w:rPr>
                <w:rFonts w:hint="default" w:ascii="Arial" w:hAnsi="Arial" w:eastAsia="宋体" w:cs="Arial"/>
                <w:color w:val="auto"/>
                <w:sz w:val="18"/>
                <w:szCs w:val="18"/>
                <w:lang w:val="en-US" w:eastAsia="zh-CN"/>
              </w:rPr>
              <w:t>5层砌体完成20%，一二层二次结构完成50%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22</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24#楼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主体封顶完成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23</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25#楼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bidi="ar-SA"/>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color w:val="auto"/>
                <w:sz w:val="18"/>
                <w:szCs w:val="18"/>
              </w:rPr>
            </w:pPr>
            <w:r>
              <w:rPr>
                <w:rFonts w:hint="default" w:ascii="Arial" w:hAnsi="Arial" w:eastAsia="宋体" w:cs="Arial"/>
                <w:sz w:val="18"/>
                <w:szCs w:val="18"/>
              </w:rPr>
              <w:t>超前钻施工完成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17" w:type="dxa"/>
            <w:vAlign w:val="center"/>
          </w:tcPr>
          <w:p>
            <w:pPr>
              <w:widowControl/>
              <w:jc w:val="center"/>
              <w:rPr>
                <w:rFonts w:hint="default" w:ascii="Arial" w:hAnsi="Arial" w:cs="Arial"/>
                <w:sz w:val="18"/>
                <w:szCs w:val="18"/>
                <w:lang w:val="en-US" w:eastAsia="zh-CN"/>
              </w:rPr>
            </w:pPr>
            <w:r>
              <w:rPr>
                <w:rFonts w:hint="eastAsia" w:ascii="Arial" w:hAnsi="Arial" w:cs="Arial"/>
                <w:sz w:val="18"/>
                <w:szCs w:val="18"/>
                <w:lang w:val="en-US" w:eastAsia="zh-CN"/>
              </w:rPr>
              <w:t>24</w:t>
            </w:r>
          </w:p>
        </w:tc>
        <w:tc>
          <w:tcPr>
            <w:tcW w:w="617" w:type="dxa"/>
            <w:vMerge w:val="continue"/>
            <w:vAlign w:val="center"/>
          </w:tcPr>
          <w:p>
            <w:pPr>
              <w:widowControl/>
              <w:jc w:val="center"/>
              <w:textAlignment w:val="center"/>
              <w:rPr>
                <w:rFonts w:hint="eastAsia" w:ascii="宋体" w:hAnsi="宋体" w:eastAsia="宋体" w:cs="宋体"/>
                <w:b/>
                <w:bCs/>
                <w:color w:val="000000"/>
                <w:sz w:val="18"/>
                <w:szCs w:val="18"/>
              </w:rPr>
            </w:pPr>
          </w:p>
        </w:tc>
        <w:tc>
          <w:tcPr>
            <w:tcW w:w="734" w:type="dxa"/>
            <w:vAlign w:val="center"/>
          </w:tcPr>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29#楼</w:t>
            </w:r>
          </w:p>
        </w:tc>
        <w:tc>
          <w:tcPr>
            <w:tcW w:w="756" w:type="dxa"/>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eastAsia="宋体" w:cs="Arial"/>
                <w:color w:val="000000"/>
                <w:sz w:val="18"/>
                <w:szCs w:val="18"/>
                <w:lang w:val="en-US" w:eastAsia="zh-CN"/>
              </w:rPr>
              <w:t>6</w:t>
            </w:r>
            <w:r>
              <w:rPr>
                <w:rFonts w:hint="eastAsia" w:ascii="Arial" w:hAnsi="Arial" w:eastAsia="宋体" w:cs="Arial"/>
                <w:color w:val="000000"/>
                <w:sz w:val="18"/>
                <w:szCs w:val="18"/>
                <w:lang w:val="en-US" w:eastAsia="zh-CN"/>
              </w:rPr>
              <w:t>F/-1F</w:t>
            </w:r>
          </w:p>
        </w:tc>
        <w:tc>
          <w:tcPr>
            <w:tcW w:w="6312" w:type="dxa"/>
            <w:vAlign w:val="center"/>
          </w:tcPr>
          <w:p>
            <w:pPr>
              <w:jc w:val="center"/>
              <w:rPr>
                <w:rFonts w:hint="default" w:ascii="Arial" w:hAnsi="Arial" w:eastAsia="宋体" w:cs="Arial"/>
                <w:sz w:val="18"/>
                <w:szCs w:val="18"/>
                <w:lang w:val="en-US" w:eastAsia="zh-CN" w:bidi="ar-SA"/>
              </w:rPr>
            </w:pPr>
            <w:r>
              <w:rPr>
                <w:rFonts w:hint="default" w:ascii="Arial" w:hAnsi="Arial" w:eastAsia="宋体" w:cs="Arial"/>
                <w:color w:val="auto"/>
                <w:sz w:val="18"/>
                <w:szCs w:val="18"/>
                <w:lang w:val="en-US" w:eastAsia="zh-CN"/>
              </w:rPr>
              <w:t>一层结构施工完成</w:t>
            </w:r>
          </w:p>
        </w:tc>
      </w:tr>
    </w:tbl>
    <w:p>
      <w:pPr>
        <w:keepNext w:val="0"/>
        <w:keepLines w:val="0"/>
        <w:pageBreakBefore w:val="0"/>
        <w:widowControl w:val="0"/>
        <w:kinsoku/>
        <w:wordWrap/>
        <w:overflowPunct/>
        <w:topLinePunct w:val="0"/>
        <w:autoSpaceDE/>
        <w:autoSpaceDN/>
        <w:bidi w:val="0"/>
        <w:adjustRightInd/>
        <w:snapToGrid/>
        <w:spacing w:before="316" w:beforeLines="100" w:line="480" w:lineRule="auto"/>
        <w:textAlignment w:val="auto"/>
        <w:rPr>
          <w:rFonts w:hint="eastAsia" w:ascii="宋体" w:hAnsi="宋体" w:eastAsia="宋体" w:cs="宋体"/>
        </w:rPr>
      </w:pPr>
      <w:r>
        <w:rPr>
          <w:rFonts w:hint="eastAsia" w:ascii="宋体" w:hAnsi="宋体" w:eastAsia="宋体" w:cs="宋体"/>
        </w:rPr>
        <w:t>标的项目现场照片（</w:t>
      </w:r>
      <w:r>
        <w:rPr>
          <w:rFonts w:hint="default" w:ascii="Arial" w:hAnsi="Arial" w:eastAsia="宋体" w:cs="Arial"/>
        </w:rPr>
        <w:t>202</w:t>
      </w:r>
      <w:r>
        <w:rPr>
          <w:rFonts w:hint="eastAsia" w:ascii="Arial" w:hAnsi="Arial" w:cs="Arial"/>
          <w:lang w:val="en-US" w:eastAsia="zh-CN"/>
        </w:rPr>
        <w:t>1</w:t>
      </w:r>
      <w:r>
        <w:rPr>
          <w:rFonts w:hint="eastAsia" w:ascii="宋体" w:hAnsi="宋体" w:eastAsia="宋体" w:cs="宋体"/>
        </w:rPr>
        <w:t>年</w:t>
      </w:r>
      <w:r>
        <w:rPr>
          <w:rFonts w:hint="eastAsia" w:ascii="Arial" w:hAnsi="Arial" w:cs="Arial"/>
          <w:lang w:val="en-US" w:eastAsia="zh-CN"/>
        </w:rPr>
        <w:t>09</w:t>
      </w:r>
      <w:r>
        <w:rPr>
          <w:rFonts w:hint="eastAsia" w:ascii="宋体" w:hAnsi="宋体" w:eastAsia="宋体" w:cs="宋体"/>
        </w:rPr>
        <w:t>月</w:t>
      </w:r>
      <w:r>
        <w:rPr>
          <w:rFonts w:hint="eastAsia" w:ascii="Arial" w:hAnsi="Arial" w:cs="Arial"/>
          <w:lang w:val="en-US" w:eastAsia="zh-CN"/>
        </w:rPr>
        <w:t>28</w:t>
      </w:r>
      <w:r>
        <w:rPr>
          <w:rFonts w:hint="eastAsia" w:ascii="宋体" w:hAnsi="宋体" w:eastAsia="宋体" w:cs="宋体"/>
        </w:rPr>
        <w:t>日</w:t>
      </w:r>
      <w:r>
        <w:rPr>
          <w:rFonts w:hint="eastAsia" w:ascii="宋体" w:hAnsi="宋体" w:cs="宋体"/>
          <w:lang w:val="en-US" w:eastAsia="zh-CN"/>
        </w:rPr>
        <w:t>拍摄</w:t>
      </w:r>
      <w:r>
        <w:rPr>
          <w:rFonts w:hint="eastAsia" w:ascii="宋体" w:hAnsi="宋体" w:eastAsia="宋体" w:cs="宋体"/>
        </w:rPr>
        <w:t>）：</w:t>
      </w:r>
    </w:p>
    <w:p>
      <w:pPr>
        <w:ind w:left="2100" w:hanging="2100" w:hangingChars="1000"/>
        <w:jc w:val="both"/>
        <w:rPr>
          <w:rFonts w:cs="宋体"/>
        </w:rPr>
      </w:pPr>
      <w:r>
        <w:rPr>
          <w:rFonts w:hint="eastAsia" w:eastAsia="宋体" w:cs="宋体"/>
          <w:lang w:eastAsia="zh-CN"/>
        </w:rPr>
        <w:drawing>
          <wp:inline distT="0" distB="0" distL="114300" distR="114300">
            <wp:extent cx="2736215" cy="2303780"/>
            <wp:effectExtent l="0" t="0" r="6985" b="12700"/>
            <wp:docPr id="38" name="图片 38" descr="3c6807ac228939df07043fda0efa23d"/>
            <wp:cNvGraphicFramePr/>
            <a:graphic xmlns:a="http://schemas.openxmlformats.org/drawingml/2006/main">
              <a:graphicData uri="http://schemas.openxmlformats.org/drawingml/2006/picture">
                <pic:pic xmlns:pic="http://schemas.openxmlformats.org/drawingml/2006/picture">
                  <pic:nvPicPr>
                    <pic:cNvPr id="38" name="图片 38" descr="3c6807ac228939df07043fda0efa23d"/>
                    <pic:cNvPicPr/>
                  </pic:nvPicPr>
                  <pic:blipFill>
                    <a:blip r:embed="rId10"/>
                    <a:stretch>
                      <a:fillRect/>
                    </a:stretch>
                  </pic:blipFill>
                  <pic:spPr>
                    <a:xfrm>
                      <a:off x="0" y="0"/>
                      <a:ext cx="2736215" cy="2303780"/>
                    </a:xfrm>
                    <a:prstGeom prst="rect">
                      <a:avLst/>
                    </a:prstGeom>
                  </pic:spPr>
                </pic:pic>
              </a:graphicData>
            </a:graphic>
          </wp:inline>
        </w:drawing>
      </w:r>
      <w:r>
        <w:rPr>
          <w:rFonts w:hint="eastAsia" w:cs="宋体"/>
          <w:lang w:val="en-US" w:eastAsia="zh-CN"/>
        </w:rPr>
        <w:t xml:space="preserve">      </w:t>
      </w:r>
      <w:r>
        <w:rPr>
          <w:rFonts w:cs="宋体"/>
        </w:rPr>
        <w:drawing>
          <wp:inline distT="0" distB="0" distL="114300" distR="114300">
            <wp:extent cx="2736215" cy="2303780"/>
            <wp:effectExtent l="0" t="0" r="6985" b="12700"/>
            <wp:docPr id="39" name="图片 39" descr="c38e25257c9fc4611a80812ba470953"/>
            <wp:cNvGraphicFramePr/>
            <a:graphic xmlns:a="http://schemas.openxmlformats.org/drawingml/2006/main">
              <a:graphicData uri="http://schemas.openxmlformats.org/drawingml/2006/picture">
                <pic:pic xmlns:pic="http://schemas.openxmlformats.org/drawingml/2006/picture">
                  <pic:nvPicPr>
                    <pic:cNvPr id="39" name="图片 39" descr="c38e25257c9fc4611a80812ba470953"/>
                    <pic:cNvPicPr/>
                  </pic:nvPicPr>
                  <pic:blipFill>
                    <a:blip r:embed="rId11"/>
                    <a:stretch>
                      <a:fillRect/>
                    </a:stretch>
                  </pic:blipFill>
                  <pic:spPr>
                    <a:xfrm>
                      <a:off x="0" y="0"/>
                      <a:ext cx="2736215" cy="2303780"/>
                    </a:xfrm>
                    <a:prstGeom prst="rect">
                      <a:avLst/>
                    </a:prstGeom>
                  </pic:spPr>
                </pic:pic>
              </a:graphicData>
            </a:graphic>
          </wp:inline>
        </w:drawing>
      </w:r>
      <w:r>
        <w:rPr>
          <w:rFonts w:hint="eastAsia"/>
          <w:lang w:val="en-US" w:eastAsia="zh-CN"/>
        </w:rPr>
        <w:t xml:space="preserve">     </w:t>
      </w:r>
    </w:p>
    <w:p>
      <w:pPr>
        <w:ind w:firstLine="1265" w:firstLineChars="700"/>
        <w:jc w:val="both"/>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一</w:t>
      </w:r>
      <w:r>
        <w:rPr>
          <w:rFonts w:hint="eastAsia" w:ascii="宋体" w:hAnsi="宋体" w:eastAsia="宋体" w:cs="宋体"/>
          <w:b/>
          <w:bCs/>
          <w:sz w:val="18"/>
          <w:szCs w:val="18"/>
        </w:rPr>
        <w:t>期</w:t>
      </w:r>
      <w:r>
        <w:rPr>
          <w:rFonts w:hint="eastAsia" w:ascii="宋体" w:hAnsi="宋体" w:eastAsia="宋体" w:cs="宋体"/>
          <w:b/>
          <w:bCs/>
          <w:sz w:val="18"/>
          <w:szCs w:val="18"/>
          <w:lang w:eastAsia="zh-CN"/>
        </w:rPr>
        <w:t>（</w:t>
      </w:r>
      <w:r>
        <w:rPr>
          <w:rFonts w:hint="default" w:ascii="Arial" w:hAnsi="Arial" w:eastAsia="宋体" w:cs="Arial"/>
          <w:b/>
          <w:bCs/>
          <w:sz w:val="18"/>
          <w:szCs w:val="18"/>
          <w:lang w:val="en-US" w:eastAsia="zh-CN"/>
        </w:rPr>
        <w:t>W09-1/04</w:t>
      </w:r>
      <w:r>
        <w:rPr>
          <w:rFonts w:hint="eastAsia" w:ascii="宋体" w:hAnsi="宋体" w:eastAsia="宋体" w:cs="宋体"/>
          <w:b/>
          <w:bCs/>
          <w:sz w:val="18"/>
          <w:szCs w:val="18"/>
          <w:lang w:val="en-US" w:eastAsia="zh-CN"/>
        </w:rPr>
        <w:t>地块）</w:t>
      </w:r>
      <w:r>
        <w:rPr>
          <w:rFonts w:hint="eastAsia" w:ascii="宋体" w:hAnsi="宋体" w:cs="宋体"/>
          <w:b/>
          <w:bCs/>
          <w:sz w:val="18"/>
          <w:szCs w:val="18"/>
          <w:lang w:val="en-US" w:eastAsia="zh-CN"/>
        </w:rPr>
        <w:t xml:space="preserve">                                  </w:t>
      </w:r>
      <w:r>
        <w:rPr>
          <w:rFonts w:hint="eastAsia" w:ascii="宋体" w:hAnsi="宋体" w:eastAsia="宋体" w:cs="宋体"/>
          <w:b/>
          <w:bCs/>
          <w:sz w:val="18"/>
          <w:szCs w:val="18"/>
          <w:lang w:val="en-US" w:eastAsia="zh-CN"/>
        </w:rPr>
        <w:t>二期（</w:t>
      </w:r>
      <w:r>
        <w:rPr>
          <w:rFonts w:hint="default" w:ascii="Arial" w:hAnsi="Arial" w:eastAsia="宋体" w:cs="Arial"/>
          <w:b/>
          <w:bCs/>
          <w:sz w:val="18"/>
          <w:szCs w:val="18"/>
          <w:lang w:val="en-US" w:eastAsia="zh-CN"/>
        </w:rPr>
        <w:t>W08-4/05</w:t>
      </w:r>
      <w:r>
        <w:rPr>
          <w:rFonts w:hint="eastAsia" w:ascii="宋体" w:hAnsi="宋体" w:eastAsia="宋体" w:cs="宋体"/>
          <w:b/>
          <w:bCs/>
          <w:sz w:val="18"/>
          <w:szCs w:val="18"/>
          <w:lang w:val="en-US" w:eastAsia="zh-CN"/>
        </w:rPr>
        <w:t>地块）</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bCs/>
          <w:kern w:val="44"/>
          <w:sz w:val="24"/>
          <w:szCs w:val="24"/>
          <w:lang w:val="en-US" w:eastAsia="zh-CN" w:bidi="ar-SA"/>
        </w:rPr>
      </w:pPr>
      <w:bookmarkStart w:id="18" w:name="_Toc24230"/>
      <w:bookmarkStart w:id="19" w:name="_Toc8868"/>
      <w:bookmarkStart w:id="20" w:name="_Toc31176"/>
      <w:bookmarkStart w:id="21" w:name="_Toc14957"/>
      <w:bookmarkStart w:id="22" w:name="_Toc23808"/>
      <w:bookmarkStart w:id="23" w:name="_Toc6513"/>
      <w:bookmarkStart w:id="24" w:name="_Toc32135"/>
      <w:r>
        <w:rPr>
          <w:rFonts w:hint="default" w:ascii="Arial" w:hAnsi="Arial" w:eastAsia="宋体" w:cs="Arial"/>
          <w:b/>
          <w:bCs/>
          <w:kern w:val="44"/>
          <w:sz w:val="24"/>
          <w:szCs w:val="24"/>
          <w:lang w:val="en-US" w:eastAsia="zh-CN" w:bidi="ar-SA"/>
        </w:rPr>
        <w:t>3.3</w:t>
      </w:r>
      <w:r>
        <w:rPr>
          <w:rFonts w:hint="eastAsia" w:ascii="Arial" w:hAnsi="Arial" w:eastAsia="宋体" w:cs="Arial"/>
          <w:b/>
          <w:bCs/>
          <w:kern w:val="44"/>
          <w:sz w:val="24"/>
          <w:szCs w:val="24"/>
          <w:lang w:val="en-US" w:eastAsia="zh-CN" w:bidi="ar-SA"/>
        </w:rPr>
        <w:t>项目</w:t>
      </w:r>
      <w:bookmarkEnd w:id="18"/>
      <w:bookmarkEnd w:id="19"/>
      <w:bookmarkEnd w:id="20"/>
      <w:bookmarkEnd w:id="21"/>
      <w:bookmarkEnd w:id="22"/>
      <w:bookmarkEnd w:id="23"/>
      <w:r>
        <w:rPr>
          <w:rFonts w:hint="eastAsia" w:ascii="Arial" w:hAnsi="Arial" w:eastAsia="宋体" w:cs="Arial"/>
          <w:b/>
          <w:bCs/>
          <w:kern w:val="44"/>
          <w:sz w:val="24"/>
          <w:szCs w:val="24"/>
          <w:lang w:val="en-US" w:eastAsia="zh-CN" w:bidi="ar-SA"/>
        </w:rPr>
        <w:t>开发进度节点</w:t>
      </w:r>
      <w:bookmarkEnd w:id="24"/>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1"/>
        <w:rPr>
          <w:rFonts w:hint="eastAsia" w:ascii="宋体" w:hAnsi="宋体" w:eastAsia="宋体" w:cs="宋体"/>
          <w:b/>
          <w:bCs/>
          <w:sz w:val="21"/>
          <w:szCs w:val="21"/>
          <w:lang w:val="en-US" w:eastAsia="zh-CN"/>
        </w:rPr>
      </w:pPr>
      <w:bookmarkStart w:id="25" w:name="_Toc12901"/>
      <w:r>
        <w:rPr>
          <w:rFonts w:hint="eastAsia" w:ascii="宋体" w:hAnsi="宋体" w:eastAsia="宋体" w:cs="宋体"/>
          <w:b/>
          <w:bCs/>
          <w:sz w:val="21"/>
          <w:szCs w:val="21"/>
          <w:lang w:val="en-US" w:eastAsia="zh-CN"/>
        </w:rPr>
        <w:t>项目开发进度时间节点</w:t>
      </w:r>
      <w:bookmarkEnd w:id="25"/>
    </w:p>
    <w:tbl>
      <w:tblPr>
        <w:tblStyle w:val="9"/>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275"/>
        <w:gridCol w:w="971"/>
        <w:gridCol w:w="1143"/>
        <w:gridCol w:w="1140"/>
        <w:gridCol w:w="1138"/>
        <w:gridCol w:w="116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351"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运营节点</w:t>
            </w:r>
          </w:p>
        </w:tc>
        <w:tc>
          <w:tcPr>
            <w:tcW w:w="2114" w:type="dxa"/>
            <w:gridSpan w:val="2"/>
            <w:vAlign w:val="center"/>
          </w:tcPr>
          <w:p>
            <w:pPr>
              <w:jc w:val="center"/>
              <w:textAlignment w:val="center"/>
              <w:rPr>
                <w:rFonts w:hint="eastAsia" w:ascii="宋体" w:hAnsi="宋体" w:eastAsia="宋体" w:cs="宋体"/>
                <w:b/>
                <w:bCs/>
                <w:color w:val="000000"/>
                <w:sz w:val="18"/>
                <w:szCs w:val="18"/>
                <w:lang w:eastAsia="zh-CN"/>
              </w:rPr>
            </w:pPr>
            <w:r>
              <w:rPr>
                <w:rFonts w:hint="eastAsia" w:ascii="宋体" w:hAnsi="宋体" w:eastAsia="宋体" w:cs="宋体"/>
                <w:b/>
                <w:bCs/>
                <w:color w:val="000000"/>
                <w:sz w:val="18"/>
                <w:szCs w:val="18"/>
                <w:lang w:val="en-US" w:eastAsia="zh-CN"/>
              </w:rPr>
              <w:t>一期（</w:t>
            </w:r>
            <w:r>
              <w:rPr>
                <w:rFonts w:hint="default" w:ascii="Arial" w:hAnsi="Arial" w:eastAsia="宋体" w:cs="Arial"/>
                <w:b/>
                <w:bCs/>
                <w:color w:val="000000"/>
                <w:sz w:val="18"/>
                <w:szCs w:val="18"/>
                <w:lang w:val="en-US" w:eastAsia="zh-CN"/>
              </w:rPr>
              <w:t>W09-1/04</w:t>
            </w:r>
            <w:r>
              <w:rPr>
                <w:rFonts w:hint="eastAsia" w:ascii="宋体" w:hAnsi="宋体" w:eastAsia="宋体" w:cs="宋体"/>
                <w:b/>
                <w:bCs/>
                <w:color w:val="000000"/>
                <w:sz w:val="18"/>
                <w:szCs w:val="18"/>
                <w:lang w:val="en-US" w:eastAsia="zh-CN"/>
              </w:rPr>
              <w:t>地块）</w:t>
            </w:r>
          </w:p>
        </w:tc>
        <w:tc>
          <w:tcPr>
            <w:tcW w:w="2278"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二期（</w:t>
            </w:r>
            <w:r>
              <w:rPr>
                <w:rFonts w:hint="eastAsia" w:ascii="Arial" w:hAnsi="Arial" w:eastAsia="宋体" w:cs="Arial"/>
                <w:b/>
                <w:bCs/>
                <w:color w:val="000000"/>
                <w:sz w:val="18"/>
                <w:szCs w:val="18"/>
                <w:lang w:val="en-US" w:eastAsia="zh-CN"/>
              </w:rPr>
              <w:t>W08-4/05</w:t>
            </w:r>
            <w:r>
              <w:rPr>
                <w:rFonts w:hint="eastAsia" w:ascii="宋体" w:hAnsi="宋体" w:eastAsia="宋体" w:cs="宋体"/>
                <w:b/>
                <w:bCs/>
                <w:color w:val="000000"/>
                <w:sz w:val="18"/>
                <w:szCs w:val="18"/>
                <w:lang w:val="en-US" w:eastAsia="zh-CN"/>
              </w:rPr>
              <w:t>地块）</w:t>
            </w:r>
          </w:p>
        </w:tc>
        <w:tc>
          <w:tcPr>
            <w:tcW w:w="2289" w:type="dxa"/>
            <w:gridSpan w:val="2"/>
            <w:vAlign w:val="center"/>
          </w:tcPr>
          <w:p>
            <w:pPr>
              <w:jc w:val="center"/>
              <w:textAlignment w:val="center"/>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三期（</w:t>
            </w:r>
            <w:r>
              <w:rPr>
                <w:rFonts w:hint="eastAsia" w:ascii="Arial" w:hAnsi="Arial" w:eastAsia="宋体" w:cs="Arial"/>
                <w:b/>
                <w:bCs/>
                <w:color w:val="000000"/>
                <w:sz w:val="18"/>
                <w:szCs w:val="18"/>
                <w:lang w:val="en-US" w:eastAsia="zh-CN"/>
              </w:rPr>
              <w:t>W08-3/05</w:t>
            </w:r>
            <w:r>
              <w:rPr>
                <w:rFonts w:hint="eastAsia" w:ascii="宋体" w:hAnsi="宋体" w:eastAsia="宋体" w:cs="宋体"/>
                <w:b/>
                <w:bCs/>
                <w:color w:val="000000"/>
                <w:sz w:val="18"/>
                <w:szCs w:val="18"/>
                <w:lang w:val="en-US" w:eastAsia="zh-CN"/>
              </w:rPr>
              <w:t>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土地移交</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default" w:ascii="Arial" w:hAnsi="Arial" w:eastAsia="宋体" w:cs="Arial"/>
                <w:color w:val="000000"/>
                <w:sz w:val="18"/>
                <w:szCs w:val="18"/>
                <w:lang w:val="en-US" w:eastAsia="zh-CN"/>
              </w:rPr>
              <w:t>2020</w:t>
            </w:r>
            <w:r>
              <w:rPr>
                <w:rFonts w:hint="eastAsia" w:ascii="宋体" w:hAnsi="宋体" w:eastAsia="宋体" w:cs="宋体"/>
                <w:color w:val="000000"/>
                <w:sz w:val="18"/>
                <w:szCs w:val="18"/>
                <w:lang w:val="en-US" w:eastAsia="zh-CN"/>
              </w:rPr>
              <w:t>年</w:t>
            </w:r>
            <w:r>
              <w:rPr>
                <w:rFonts w:hint="default" w:ascii="Arial" w:hAnsi="Arial" w:eastAsia="宋体" w:cs="Arial"/>
                <w:color w:val="000000"/>
                <w:sz w:val="18"/>
                <w:szCs w:val="18"/>
                <w:lang w:val="en-US" w:eastAsia="zh-CN"/>
              </w:rPr>
              <w:t>07</w:t>
            </w:r>
            <w:r>
              <w:rPr>
                <w:rFonts w:hint="eastAsia" w:ascii="宋体" w:hAnsi="宋体" w:eastAsia="宋体" w:cs="宋体"/>
                <w:color w:val="000000"/>
                <w:sz w:val="18"/>
                <w:szCs w:val="18"/>
                <w:lang w:val="en-US" w:eastAsia="zh-CN"/>
              </w:rPr>
              <w:t>月</w:t>
            </w:r>
          </w:p>
        </w:tc>
        <w:tc>
          <w:tcPr>
            <w:tcW w:w="2278" w:type="dxa"/>
            <w:gridSpan w:val="2"/>
            <w:vAlign w:val="center"/>
          </w:tcPr>
          <w:p>
            <w:pPr>
              <w:jc w:val="center"/>
              <w:textAlignment w:val="center"/>
              <w:rPr>
                <w:rFonts w:hint="eastAsia" w:ascii="宋体" w:hAnsi="宋体" w:eastAsia="宋体" w:cs="宋体"/>
                <w:color w:val="000000"/>
                <w:sz w:val="18"/>
                <w:szCs w:val="18"/>
              </w:rPr>
            </w:pPr>
          </w:p>
        </w:tc>
        <w:tc>
          <w:tcPr>
            <w:tcW w:w="2289" w:type="dxa"/>
            <w:gridSpan w:val="2"/>
            <w:vAlign w:val="center"/>
          </w:tcPr>
          <w:p>
            <w:pPr>
              <w:jc w:val="center"/>
              <w:textAlignment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取得施工证</w:t>
            </w:r>
          </w:p>
        </w:tc>
        <w:tc>
          <w:tcPr>
            <w:tcW w:w="2114"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取得预售证</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2021年03月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主体封顶</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2021年12月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竣工备案</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2022年07月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毛坯/改造交付</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2022年08月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2023年09月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1" w:type="dxa"/>
            <w:gridSpan w:val="2"/>
            <w:vAlign w:val="center"/>
          </w:tcPr>
          <w:p>
            <w:pPr>
              <w:jc w:val="center"/>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val="en-US" w:eastAsia="zh-CN"/>
              </w:rPr>
              <w:t>工程结算</w:t>
            </w:r>
          </w:p>
        </w:tc>
        <w:tc>
          <w:tcPr>
            <w:tcW w:w="2114"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78"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c>
          <w:tcPr>
            <w:tcW w:w="2289" w:type="dxa"/>
            <w:gridSpan w:val="2"/>
            <w:vAlign w:val="center"/>
          </w:tcPr>
          <w:p>
            <w:pPr>
              <w:jc w:val="center"/>
              <w:textAlignment w:val="center"/>
              <w:rPr>
                <w:rFonts w:hint="eastAsia" w:ascii="Arial" w:hAnsi="Arial" w:eastAsia="宋体" w:cs="Arial"/>
                <w:color w:val="000000"/>
                <w:sz w:val="18"/>
                <w:szCs w:val="18"/>
                <w:lang w:val="en-US" w:eastAsia="zh-CN"/>
              </w:rPr>
            </w:pPr>
            <w:r>
              <w:rPr>
                <w:rFonts w:hint="eastAsia" w:ascii="Arial" w:hAnsi="Arial" w:eastAsia="宋体" w:cs="Arial"/>
                <w:color w:val="000000"/>
                <w:sz w:val="18"/>
                <w:szCs w:val="18"/>
                <w:lang w:val="en-US" w:eastAsia="zh-CN"/>
              </w:rPr>
              <w:t>2024年04月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产品类型</w:t>
            </w:r>
          </w:p>
        </w:tc>
        <w:tc>
          <w:tcPr>
            <w:tcW w:w="1275"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建筑面积</w:t>
            </w:r>
            <w:r>
              <w:rPr>
                <w:rFonts w:hint="eastAsia" w:ascii="宋体" w:hAnsi="宋体" w:cs="宋体"/>
                <w:color w:val="000000"/>
                <w:sz w:val="18"/>
                <w:szCs w:val="18"/>
                <w:lang w:val="en-US" w:eastAsia="zh-CN"/>
              </w:rPr>
              <w:t>(</w:t>
            </w:r>
            <w:r>
              <w:rPr>
                <w:rFonts w:hint="default" w:ascii="Arial" w:hAnsi="Arial" w:eastAsia="宋体" w:cs="Arial"/>
                <w:color w:val="000000"/>
                <w:sz w:val="18"/>
                <w:szCs w:val="18"/>
                <w:lang w:val="en-US" w:eastAsia="zh-CN"/>
              </w:rPr>
              <w:t>㎡</w:t>
            </w:r>
            <w:r>
              <w:rPr>
                <w:rFonts w:hint="eastAsia" w:ascii="宋体" w:hAnsi="宋体" w:eastAsia="宋体" w:cs="宋体"/>
                <w:color w:val="000000"/>
                <w:sz w:val="18"/>
                <w:szCs w:val="18"/>
                <w:lang w:val="en-US" w:eastAsia="zh-CN"/>
              </w:rPr>
              <w:t>）</w:t>
            </w:r>
          </w:p>
        </w:tc>
        <w:tc>
          <w:tcPr>
            <w:tcW w:w="971"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可售面积（㎡）</w:t>
            </w:r>
          </w:p>
        </w:tc>
        <w:tc>
          <w:tcPr>
            <w:tcW w:w="1143"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项目开工</w:t>
            </w:r>
          </w:p>
        </w:tc>
        <w:tc>
          <w:tcPr>
            <w:tcW w:w="114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主体开工</w:t>
            </w:r>
          </w:p>
        </w:tc>
        <w:tc>
          <w:tcPr>
            <w:tcW w:w="1138"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开盘</w:t>
            </w:r>
          </w:p>
        </w:tc>
        <w:tc>
          <w:tcPr>
            <w:tcW w:w="1160"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竣工备案</w:t>
            </w:r>
          </w:p>
        </w:tc>
        <w:tc>
          <w:tcPr>
            <w:tcW w:w="1129"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毛坯入伙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洋房（一期暂定）</w:t>
            </w:r>
          </w:p>
        </w:tc>
        <w:tc>
          <w:tcPr>
            <w:tcW w:w="1275" w:type="dxa"/>
            <w:vAlign w:val="center"/>
          </w:tcPr>
          <w:p>
            <w:pPr>
              <w:jc w:val="center"/>
              <w:rPr>
                <w:rFonts w:hint="eastAsia" w:ascii="宋体" w:hAnsi="宋体" w:eastAsia="宋体" w:cs="宋体"/>
                <w:bCs/>
                <w:sz w:val="18"/>
                <w:szCs w:val="18"/>
                <w:lang w:val="en-US" w:eastAsia="zh-CN" w:bidi="ar-SA"/>
              </w:rPr>
            </w:pPr>
            <w:r>
              <w:rPr>
                <w:rFonts w:hint="default" w:ascii="Arial" w:hAnsi="Arial" w:eastAsia="宋体" w:cs="Arial"/>
                <w:bCs/>
                <w:sz w:val="18"/>
                <w:szCs w:val="18"/>
              </w:rPr>
              <w:t>43867.19</w:t>
            </w:r>
          </w:p>
        </w:tc>
        <w:tc>
          <w:tcPr>
            <w:tcW w:w="971"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42284.05</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w:t>
            </w:r>
            <w:r>
              <w:rPr>
                <w:rFonts w:hint="eastAsia" w:ascii="Arial" w:hAnsi="Arial" w:cs="Arial"/>
                <w:bCs/>
                <w:sz w:val="18"/>
                <w:szCs w:val="18"/>
                <w:lang w:val="en-US" w:eastAsia="zh-CN"/>
              </w:rPr>
              <w:t>09</w:t>
            </w:r>
            <w:r>
              <w:rPr>
                <w:rFonts w:hint="eastAsia" w:ascii="Arial" w:hAnsi="Arial" w:eastAsia="宋体" w:cs="Arial"/>
                <w:bCs/>
                <w:sz w:val="18"/>
                <w:szCs w:val="18"/>
              </w:rPr>
              <w:t>/</w:t>
            </w:r>
            <w:r>
              <w:rPr>
                <w:rFonts w:hint="eastAsia" w:ascii="Arial" w:hAnsi="Arial" w:cs="Arial"/>
                <w:bCs/>
                <w:sz w:val="18"/>
                <w:szCs w:val="18"/>
                <w:lang w:val="en-US" w:eastAsia="zh-CN"/>
              </w:rPr>
              <w:t>09</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w:t>
            </w:r>
            <w:r>
              <w:rPr>
                <w:rFonts w:hint="eastAsia" w:ascii="Arial" w:hAnsi="Arial" w:cs="Arial"/>
                <w:bCs/>
                <w:sz w:val="18"/>
                <w:szCs w:val="18"/>
                <w:lang w:val="en-US" w:eastAsia="zh-CN"/>
              </w:rPr>
              <w:t>0</w:t>
            </w:r>
            <w:r>
              <w:rPr>
                <w:rFonts w:hint="eastAsia" w:ascii="Arial" w:hAnsi="Arial" w:eastAsia="宋体" w:cs="Arial"/>
                <w:bCs/>
                <w:sz w:val="18"/>
                <w:szCs w:val="18"/>
              </w:rPr>
              <w:t>3</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w:t>
            </w:r>
            <w:r>
              <w:rPr>
                <w:rFonts w:hint="eastAsia" w:ascii="Arial" w:hAnsi="Arial" w:eastAsia="宋体" w:cs="Arial"/>
                <w:bCs/>
                <w:sz w:val="18"/>
                <w:szCs w:val="18"/>
              </w:rPr>
              <w:t>1/30</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07</w:t>
            </w:r>
            <w:r>
              <w:rPr>
                <w:rFonts w:hint="eastAsia" w:ascii="Arial" w:hAnsi="Arial" w:eastAsia="宋体" w:cs="Arial"/>
                <w:bCs/>
                <w:sz w:val="18"/>
                <w:szCs w:val="18"/>
              </w:rPr>
              <w:t>/30</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08</w:t>
            </w:r>
            <w:r>
              <w:rPr>
                <w:rFonts w:hint="eastAsia" w:ascii="Arial" w:hAnsi="Arial" w:eastAsia="宋体" w:cs="Arial"/>
                <w:bCs/>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洋房/洋墅（二期暂定）</w:t>
            </w:r>
          </w:p>
        </w:tc>
        <w:tc>
          <w:tcPr>
            <w:tcW w:w="1275"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102684.03</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98851</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2020/11/12</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03</w:t>
            </w:r>
            <w:r>
              <w:rPr>
                <w:rFonts w:hint="eastAsia" w:ascii="Arial" w:hAnsi="Arial" w:eastAsia="宋体" w:cs="Arial"/>
                <w:bCs/>
                <w:sz w:val="18"/>
                <w:szCs w:val="18"/>
              </w:rPr>
              <w:t>/30</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06</w:t>
            </w:r>
            <w:r>
              <w:rPr>
                <w:rFonts w:hint="eastAsia" w:ascii="Arial" w:hAnsi="Arial" w:eastAsia="宋体" w:cs="Arial"/>
                <w:bCs/>
                <w:sz w:val="18"/>
                <w:szCs w:val="18"/>
              </w:rPr>
              <w:t>/29</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05</w:t>
            </w:r>
            <w:r>
              <w:rPr>
                <w:rFonts w:hint="eastAsia" w:ascii="Arial" w:hAnsi="Arial" w:eastAsia="宋体" w:cs="Arial"/>
                <w:bCs/>
                <w:sz w:val="18"/>
                <w:szCs w:val="18"/>
              </w:rPr>
              <w:t>/14</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2023/</w:t>
            </w:r>
            <w:r>
              <w:rPr>
                <w:rFonts w:hint="eastAsia" w:ascii="Arial" w:hAnsi="Arial" w:cs="Arial"/>
                <w:bCs/>
                <w:sz w:val="18"/>
                <w:szCs w:val="18"/>
                <w:lang w:val="en-US" w:eastAsia="zh-CN"/>
              </w:rPr>
              <w:t>06</w:t>
            </w:r>
            <w:r>
              <w:rPr>
                <w:rFonts w:hint="eastAsia" w:ascii="Arial" w:hAnsi="Arial" w:eastAsia="宋体" w:cs="Arial"/>
                <w:bCs/>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Align w:val="center"/>
          </w:tcPr>
          <w:p>
            <w:pPr>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洋房（三期暂定）</w:t>
            </w:r>
          </w:p>
        </w:tc>
        <w:tc>
          <w:tcPr>
            <w:tcW w:w="1275"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101288</w:t>
            </w:r>
            <w:r>
              <w:rPr>
                <w:rFonts w:hint="eastAsia" w:ascii="Arial" w:hAnsi="Arial" w:cs="Arial"/>
                <w:bCs/>
                <w:sz w:val="18"/>
                <w:szCs w:val="18"/>
                <w:lang w:val="en-US" w:eastAsia="zh-CN"/>
              </w:rPr>
              <w:t>.00</w:t>
            </w:r>
          </w:p>
        </w:tc>
        <w:tc>
          <w:tcPr>
            <w:tcW w:w="971" w:type="dxa"/>
            <w:vAlign w:val="center"/>
          </w:tcPr>
          <w:p>
            <w:pPr>
              <w:jc w:val="center"/>
              <w:rPr>
                <w:rFonts w:hint="default" w:ascii="Arial" w:hAnsi="Arial" w:eastAsia="宋体" w:cs="Arial"/>
                <w:bCs/>
                <w:sz w:val="18"/>
                <w:szCs w:val="18"/>
                <w:lang w:val="en-US" w:eastAsia="zh-CN"/>
              </w:rPr>
            </w:pPr>
            <w:r>
              <w:rPr>
                <w:rFonts w:hint="eastAsia" w:ascii="Arial" w:hAnsi="Arial" w:eastAsia="宋体" w:cs="Arial"/>
                <w:bCs/>
                <w:sz w:val="18"/>
                <w:szCs w:val="18"/>
              </w:rPr>
              <w:t>96738</w:t>
            </w:r>
            <w:r>
              <w:rPr>
                <w:rFonts w:hint="eastAsia" w:ascii="Arial" w:hAnsi="Arial" w:cs="Arial"/>
                <w:bCs/>
                <w:sz w:val="18"/>
                <w:szCs w:val="18"/>
                <w:lang w:val="en-US" w:eastAsia="zh-CN"/>
              </w:rPr>
              <w:t>.00</w:t>
            </w:r>
          </w:p>
        </w:tc>
        <w:tc>
          <w:tcPr>
            <w:tcW w:w="1143"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2021/</w:t>
            </w:r>
            <w:r>
              <w:rPr>
                <w:rFonts w:hint="eastAsia" w:ascii="Arial" w:hAnsi="Arial" w:cs="Arial"/>
                <w:bCs/>
                <w:sz w:val="18"/>
                <w:szCs w:val="18"/>
                <w:lang w:val="en-US" w:eastAsia="zh-CN"/>
              </w:rPr>
              <w:t>10</w:t>
            </w:r>
            <w:r>
              <w:rPr>
                <w:rFonts w:hint="eastAsia" w:ascii="Arial" w:hAnsi="Arial" w:eastAsia="宋体" w:cs="Arial"/>
                <w:bCs/>
                <w:sz w:val="18"/>
                <w:szCs w:val="18"/>
              </w:rPr>
              <w:t>/23</w:t>
            </w:r>
          </w:p>
        </w:tc>
        <w:tc>
          <w:tcPr>
            <w:tcW w:w="114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2</w:t>
            </w:r>
            <w:r>
              <w:rPr>
                <w:rFonts w:hint="eastAsia" w:ascii="Arial" w:hAnsi="Arial" w:eastAsia="宋体" w:cs="Arial"/>
                <w:bCs/>
                <w:sz w:val="18"/>
                <w:szCs w:val="18"/>
              </w:rPr>
              <w:t>/</w:t>
            </w:r>
            <w:r>
              <w:rPr>
                <w:rFonts w:hint="eastAsia" w:ascii="Arial" w:hAnsi="Arial" w:cs="Arial"/>
                <w:bCs/>
                <w:sz w:val="18"/>
                <w:szCs w:val="18"/>
                <w:lang w:val="en-US" w:eastAsia="zh-CN"/>
              </w:rPr>
              <w:t>0</w:t>
            </w:r>
            <w:r>
              <w:rPr>
                <w:rFonts w:hint="eastAsia" w:ascii="Arial" w:hAnsi="Arial" w:eastAsia="宋体" w:cs="Arial"/>
                <w:bCs/>
                <w:sz w:val="18"/>
                <w:szCs w:val="18"/>
              </w:rPr>
              <w:t>2/11</w:t>
            </w:r>
          </w:p>
        </w:tc>
        <w:tc>
          <w:tcPr>
            <w:tcW w:w="1138"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2022/</w:t>
            </w:r>
            <w:r>
              <w:rPr>
                <w:rFonts w:hint="eastAsia" w:ascii="Arial" w:hAnsi="Arial" w:cs="Arial"/>
                <w:bCs/>
                <w:sz w:val="18"/>
                <w:szCs w:val="18"/>
                <w:lang w:val="en-US" w:eastAsia="zh-CN"/>
              </w:rPr>
              <w:t>04</w:t>
            </w:r>
            <w:r>
              <w:rPr>
                <w:rFonts w:hint="eastAsia" w:ascii="Arial" w:hAnsi="Arial" w:eastAsia="宋体" w:cs="Arial"/>
                <w:bCs/>
                <w:sz w:val="18"/>
                <w:szCs w:val="18"/>
              </w:rPr>
              <w:t>/28</w:t>
            </w:r>
          </w:p>
        </w:tc>
        <w:tc>
          <w:tcPr>
            <w:tcW w:w="1160"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w:t>
            </w:r>
            <w:r>
              <w:rPr>
                <w:rFonts w:hint="eastAsia" w:ascii="Arial" w:hAnsi="Arial" w:cs="Arial"/>
                <w:bCs/>
                <w:sz w:val="18"/>
                <w:szCs w:val="18"/>
                <w:lang w:val="en-US" w:eastAsia="zh-CN"/>
              </w:rPr>
              <w:t>4/0</w:t>
            </w:r>
            <w:r>
              <w:rPr>
                <w:rFonts w:hint="eastAsia" w:ascii="Arial" w:hAnsi="Arial" w:eastAsia="宋体" w:cs="Arial"/>
                <w:bCs/>
                <w:sz w:val="18"/>
                <w:szCs w:val="18"/>
              </w:rPr>
              <w:t>2/13</w:t>
            </w:r>
          </w:p>
        </w:tc>
        <w:tc>
          <w:tcPr>
            <w:tcW w:w="1129" w:type="dxa"/>
            <w:vAlign w:val="center"/>
          </w:tcPr>
          <w:p>
            <w:pPr>
              <w:jc w:val="center"/>
              <w:rPr>
                <w:rFonts w:hint="eastAsia" w:ascii="Arial" w:hAnsi="Arial" w:eastAsia="宋体" w:cs="Arial"/>
                <w:bCs/>
                <w:sz w:val="18"/>
                <w:szCs w:val="18"/>
                <w:lang w:val="en-US" w:eastAsia="zh-CN"/>
              </w:rPr>
            </w:pPr>
            <w:r>
              <w:rPr>
                <w:rFonts w:hint="eastAsia" w:ascii="Arial" w:hAnsi="Arial" w:eastAsia="宋体" w:cs="Arial"/>
                <w:bCs/>
                <w:sz w:val="18"/>
                <w:szCs w:val="18"/>
              </w:rPr>
              <w:t>2024/</w:t>
            </w:r>
            <w:r>
              <w:rPr>
                <w:rFonts w:hint="eastAsia" w:ascii="Arial" w:hAnsi="Arial" w:cs="Arial"/>
                <w:bCs/>
                <w:sz w:val="18"/>
                <w:szCs w:val="18"/>
                <w:lang w:val="en-US" w:eastAsia="zh-CN"/>
              </w:rPr>
              <w:t>03</w:t>
            </w:r>
            <w:r>
              <w:rPr>
                <w:rFonts w:hint="eastAsia" w:ascii="Arial" w:hAnsi="Arial" w:eastAsia="宋体" w:cs="Arial"/>
                <w:bCs/>
                <w:sz w:val="18"/>
                <w:szCs w:val="18"/>
              </w:rPr>
              <w:t>/14</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6" w:name="_Toc31712"/>
      <w:bookmarkStart w:id="27" w:name="_Toc8154"/>
      <w:r>
        <w:rPr>
          <w:rFonts w:hint="default" w:ascii="Arial" w:hAnsi="Arial" w:eastAsia="宋体" w:cs="Arial"/>
          <w:sz w:val="24"/>
          <w:szCs w:val="24"/>
          <w:lang w:val="en-US" w:eastAsia="zh-CN"/>
        </w:rPr>
        <w:t>4</w:t>
      </w:r>
      <w:r>
        <w:rPr>
          <w:rFonts w:hint="eastAsia" w:ascii="宋体" w:hAnsi="宋体" w:eastAsia="宋体" w:cs="宋体"/>
          <w:sz w:val="24"/>
          <w:szCs w:val="24"/>
          <w:lang w:val="en-US" w:eastAsia="zh-CN"/>
        </w:rPr>
        <w:t>印鉴使用情况</w:t>
      </w:r>
      <w:bookmarkEnd w:id="26"/>
      <w:bookmarkEnd w:id="27"/>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ascii="Arial" w:hAnsi="Arial" w:cs="Arial"/>
          <w:b/>
          <w:bCs/>
          <w:sz w:val="24"/>
          <w:szCs w:val="24"/>
        </w:rPr>
      </w:pPr>
      <w:r>
        <w:rPr>
          <w:rFonts w:hint="eastAsia" w:ascii="宋体" w:hAnsi="宋体" w:cs="宋体"/>
          <w:bCs/>
          <w:kern w:val="44"/>
        </w:rPr>
        <w:t>对于印章的使用，项目公司人员按照监管协议规定，履行印章使用流程，填写印章使用登记表，康</w:t>
      </w:r>
      <w:r>
        <w:rPr>
          <w:rFonts w:hint="eastAsia" w:ascii="宋体" w:hAnsi="宋体" w:cs="宋体"/>
          <w:bCs/>
          <w:kern w:val="44"/>
          <w:lang w:eastAsia="zh-CN"/>
        </w:rPr>
        <w:t>信君安</w:t>
      </w:r>
      <w:r>
        <w:rPr>
          <w:rFonts w:hint="eastAsia" w:ascii="宋体" w:hAnsi="宋体" w:cs="宋体"/>
          <w:bCs/>
          <w:kern w:val="44"/>
        </w:rPr>
        <w:t>监管人员了解用印事由，重大事项</w:t>
      </w:r>
      <w:r>
        <w:rPr>
          <w:rFonts w:hint="eastAsia" w:ascii="宋体" w:hAnsi="宋体" w:cs="宋体"/>
          <w:bCs/>
          <w:kern w:val="44"/>
          <w:lang w:val="en-US" w:eastAsia="zh-CN"/>
        </w:rPr>
        <w:t>由康信君安公司审核后</w:t>
      </w:r>
      <w:r>
        <w:rPr>
          <w:rFonts w:hint="eastAsia" w:ascii="宋体" w:hAnsi="宋体" w:cs="宋体"/>
          <w:bCs/>
          <w:kern w:val="44"/>
        </w:rPr>
        <w:t>通过邮件等方式向</w:t>
      </w:r>
      <w:r>
        <w:rPr>
          <w:rFonts w:hint="eastAsia" w:ascii="宋体" w:hAnsi="宋体" w:cs="宋体"/>
          <w:bCs/>
          <w:kern w:val="44"/>
          <w:lang w:val="en-US" w:eastAsia="zh-CN"/>
        </w:rPr>
        <w:t>光大</w:t>
      </w:r>
      <w:r>
        <w:rPr>
          <w:rFonts w:hint="eastAsia" w:ascii="宋体" w:hAnsi="宋体" w:cs="宋体"/>
          <w:bCs/>
          <w:kern w:val="44"/>
        </w:rPr>
        <w:t>信托有关人员提交用印申请，待</w:t>
      </w:r>
      <w:r>
        <w:rPr>
          <w:rFonts w:hint="eastAsia" w:ascii="宋体" w:hAnsi="宋体" w:cs="宋体"/>
          <w:bCs/>
          <w:kern w:val="44"/>
          <w:lang w:val="en-US" w:eastAsia="zh-CN"/>
        </w:rPr>
        <w:t>光大</w:t>
      </w:r>
      <w:r>
        <w:rPr>
          <w:rFonts w:hint="eastAsia" w:ascii="宋体" w:hAnsi="宋体" w:cs="宋体"/>
          <w:bCs/>
          <w:kern w:val="44"/>
        </w:rPr>
        <w:t>信托有关人员批复后方给予盖章。使用情况详见下表</w:t>
      </w:r>
      <w:r>
        <w:rPr>
          <w:rFonts w:hint="eastAsia" w:ascii="宋体" w:hAnsi="宋体" w:cs="宋体"/>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bCs/>
          <w:sz w:val="24"/>
          <w:szCs w:val="24"/>
        </w:rPr>
      </w:pPr>
      <w:r>
        <w:rPr>
          <w:rFonts w:ascii="Arial" w:hAnsi="Arial" w:cs="Arial"/>
          <w:b/>
          <w:bCs/>
          <w:sz w:val="24"/>
          <w:szCs w:val="24"/>
        </w:rPr>
        <w:t>本期印章使用统计表</w:t>
      </w:r>
    </w:p>
    <w:tbl>
      <w:tblPr>
        <w:tblStyle w:val="9"/>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43"/>
        <w:gridCol w:w="2087"/>
        <w:gridCol w:w="4024"/>
        <w:gridCol w:w="846"/>
        <w:gridCol w:w="729"/>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jc w:val="center"/>
        </w:trPr>
        <w:tc>
          <w:tcPr>
            <w:tcW w:w="943"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日期</w:t>
            </w:r>
          </w:p>
        </w:tc>
        <w:tc>
          <w:tcPr>
            <w:tcW w:w="2087"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用印事由</w:t>
            </w:r>
          </w:p>
        </w:tc>
        <w:tc>
          <w:tcPr>
            <w:tcW w:w="4024" w:type="dxa"/>
            <w:vAlign w:val="center"/>
          </w:tcPr>
          <w:p>
            <w:pPr>
              <w:jc w:val="center"/>
              <w:rPr>
                <w:rFonts w:hint="eastAsia" w:ascii="宋体" w:hAnsi="宋体" w:eastAsia="宋体" w:cs="宋体"/>
                <w:b/>
                <w:bCs/>
                <w:color w:val="000000"/>
                <w:sz w:val="18"/>
                <w:szCs w:val="18"/>
              </w:rPr>
            </w:pPr>
            <w:r>
              <w:rPr>
                <w:rFonts w:hint="eastAsia" w:ascii="宋体" w:hAnsi="宋体" w:eastAsia="宋体" w:cs="宋体"/>
                <w:b/>
                <w:bCs/>
                <w:sz w:val="18"/>
                <w:szCs w:val="18"/>
              </w:rPr>
              <w:t>用印材料及份数</w:t>
            </w:r>
          </w:p>
        </w:tc>
        <w:tc>
          <w:tcPr>
            <w:tcW w:w="846"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印鉴名称</w:t>
            </w:r>
          </w:p>
        </w:tc>
        <w:tc>
          <w:tcPr>
            <w:tcW w:w="729"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人</w:t>
            </w:r>
          </w:p>
        </w:tc>
        <w:tc>
          <w:tcPr>
            <w:tcW w:w="689" w:type="dxa"/>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经办</w:t>
            </w:r>
            <w:r>
              <w:rPr>
                <w:rFonts w:hint="eastAsia" w:ascii="宋体" w:hAnsi="宋体" w:cs="宋体"/>
                <w:b/>
                <w:bCs/>
                <w:sz w:val="18"/>
                <w:szCs w:val="18"/>
                <w:lang w:val="en-US" w:eastAsia="zh-CN"/>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1</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11套个人住房借款合同/按揭贷款合同用印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个人购房（车位）借款及担保合同-民生银行（11*3份）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1</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6份增值税发票用印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重庆增值税普通发票（01038460-01038465）（6份）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发票章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9"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02</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1份汉口银行转账支票1份汉口银行结算业务委托书用印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汉口银行转账支票（02990457）（1份）、汉口银行结算业务委托书（02709955）（1份）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02</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关于1期有限电视申请用印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重庆佳兆业晓岸云起项目一期有线电视申请（2份）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周易</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9"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1份外包人员服务协议用印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外包人员服务协议（4份）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龙柳</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关于引进交通银行作为按揭合作银行，相关立项资料用印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企业信用信息及其他相关信息查询使用和提供授权书、营业执照正副本、法人身份证、股权关系、章程及股东会决议、土地出让合同及变更协议、土地款缴纳发票、土地证-1期2期3期、建设用地规划许可证、工程规划许可证及经济指标计算书-1期2期3期、施工许可证-1期2期、资质证书正副本、投资备案证、建设项目环境影响登记表、总平图及现场照片、财务报表、基本账户存款信息、截至8月31日前已取得的预售许可证等（以上各2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6"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12套网签合同用印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商品房买卖合同（一户一次性付款12*5份，商贷12*6份、公积金12*7份）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重庆市不动产登记申请书（12*2份）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商品房权属登记授权委托书（12*2份）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增量房交易契税和印花税税务代理协议（12*3份）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11套补充协议用印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补充协议（二）-增加首付款（一户一次性付款11*5份，商贷11*6份、公积金11*7份）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5"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2份汉口银行支票1份汉口银行结算业务委托书用印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汉口银行转账支票（02990458、02990459）（2份）、汉口银行结算业务委托书（02709956）（1份）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刘筱芸</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9套个人住房借款合同/按揭贷款合同用印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个人购房（车位）借款及担保合同-民生银行（9*3份）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8"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6套住房公积金贷款合同用印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重庆市住房公积金个人住房贷款借款抵押合同-建行（6*4份）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关于员工的实习证明、介绍信、劳动合同、保密协议等资料的用印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实习证明（6份）、介绍信（3份）、劳动合同（6份）、保密协议（6份）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龙柳</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06</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汉口银行存款余额调节表用印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汉口银行存款余额调节表-2021年7月、汉口银行存款余额调节表-2021年8月（以上各1份）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崔海燕</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06</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11套网签合同用印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商品房买卖合同（一户一次性付款11*5份，商贷11*6份、公积金11*7份）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重庆市不动产登记申请书（11*2份）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商品房权属登记授权委托书（11*2份）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增量房交易契税和印花税税务代理协议（11*3份）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06</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10套补充协议用印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补充协议（二）-增加首付款（一户一次性付款10*5份，商贷10*6份、公积金10*7份）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2021/09/07</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1份工程造价咨询合同用印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重庆佳兆业晓岸云起项目2021年度工程造价咨询服务合同（5份）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殷浩然</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2021/09/07</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2份工程合同的用印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重庆佳兆业晓岸云起项目一期门窗、百叶供货及安装工程施工合同（5份）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重庆佳兆业晓岸云起项目二期门窗、百叶供货及安装工程施工合同（5份）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殷浩然</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9"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2021/09/07</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关于办理2期精装修施工许可证缴纳农民工工资保障金相关保函合同等资料用印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委托出具分离式保函合同（3份）、关于同意查询和报送信用信息的函（2份）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唐凯</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2021/09/07</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2份转账支票和1份结算业务委托书用印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汉口银行转账支票（02990460、02990462）（2份）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汉口银行单位结算业务委托书（02709957）（1份）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崔海燕</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2021/09/07</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关于向光大银行提供晓岸云起3期开发贷相关资料用印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营业执照正副本（10份）、股权结构（2份）、法人身份证（3份）、企业征信信息提供及查询授权书（2份）、渝煌达资本金情况专项审计报告、香港总冠到佳兆业关系（2份）、企业信用报告（2份）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章程、备案通知书、财务报表、暂定资质证书正副本、用地规划许可证、土地证-1期2期3期、工规证及经济指标计算书-3期、土地出让合同及变更协议、土地款缴款回单、、晓岸云起3期成本销售利润测算、晓岸云起3期现金流测算、法人简历、晓岸云起投资备案证、基本账户存款信息、国有建设用地使用权成交确认书、项目图、建设项目环境影响登记表等（以上各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谢凤</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2021/09/07</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2套补充协议用印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补充协议（二）-增加首付款（罗吉姿）（6份）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补充协议（二）-增加首付款（王燕）（6份）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6"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晓岸云起3期施工用水水表申请资料用印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重庆市大学城水务技术开发有限公司新装用水申请表（1份）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曾月琴</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王莎莎</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62"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商品房买卖合同（一户一次性付款2*5份，商贷2*6份、公积金2*7份）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重庆市不动产登记申请书（2*2份）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商品房权属登记授权委托书 （2*2份）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增量房交易契税和印花税税务代理协议（2*3份）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宋显伟</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9"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3套补充协议用印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补充协议（二）-增加首付款（温馨）（6份）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补充协议（二）-增加首付款（谭丽萍）（6份）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补充协议（二）-增加首付款（余术成）（1份）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宋显伟</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8</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4套个人住房借款合同/按揭贷款合同用印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中国光大银行个人贷款合同（4*4份）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3份补充协议用印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重庆佳兆业晓岸云起项目2021年度零星物料制作合同补充协议一（5份）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重庆佳兆业晓岸云起项目2021年8-2022年1月渠道销售合同（闹海）补充协议三（5份）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重庆佳兆业晓岸云起2021年8月-2022年1月渠道销售合同(到家了）补充协议四（5份）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徐侥</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3张转账支票1份结算业务委托书用印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汉口银行转账支票（02990463、02990464、02990465）（3份）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汉口银行单位结算业务委托书（02709958）（1份）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1套网签合同用印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商品房买卖合同（一户一次性付款1*5份，商贷1*6份、公积金1*7份）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重庆市不动产登记申请书（1*2份）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商品房权属登记授权委托书（1*2份）</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增量房交易契税和印花税税务代理协议（1*3份）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9/10</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关于办理民工保函申报事宜相关招标文件等资料用印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佳兆业晓岸云起（西永）主体精装修工程招标文件（1份）、法人身份证（1份）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唐凯</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9/10</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向光大银行提交滨江新城项目车位分割相关资料用印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申请（3份）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谢凤</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9/10</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关于晓岸云起3期工程项目数字化申请表及施工人员投保情况说明用印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重庆市工程项目数字化试点申请表（6份）、投保情况说明（1份）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周易</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2021/09/13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关于劳动合同、保密协议用印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劳动合同、保密协议（各4份）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龙柳</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罗灿</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2021/09/13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关于向光大银行提交3期开发贷补充资料用印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渝煌达2020年12月财务报表（1份）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谢凤</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2021/09/13</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4套网签合同用印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商品房买卖合同（一户一次性付款4*5份，商贷4*6份、公积金4*7份）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重庆市不动产登记申请书（4*2份）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商品房权属登记授权委托书（4*2份）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增量房交易契税和印花税税务代理协议（4*3份）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4"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2021/09/13</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eastAsia" w:ascii="Arial" w:hAnsi="Arial"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套补充协议用印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补充协议（二）-增加首付款（刘迅、唐熙冉）（6份）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补充协议（二）-增加首付款（冯泽平）（6份）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补充协议（二）-增加首付款（杨晶杰）（6份）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8"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2021/09/14</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1份以房抵款终止协议用印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三方协议书（华硕）终止协议（8份）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徐侥</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2021/09/14</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1份案场物业服务合同补充协议和晓岸云起3期总包合同用印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重庆佳兆业·晓岸云起项目2020年案场物业服务合同补充协议二（5份）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重庆佳兆业晓岸云起三期项目施工总承包合同（6份）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公章</w:t>
            </w:r>
            <w:r>
              <w:rPr>
                <w:rFonts w:hint="default" w:ascii="Arial" w:hAnsi="Arial" w:eastAsia="宋体" w:cs="Arial"/>
                <w:b w:val="0"/>
                <w:bCs w:val="0"/>
                <w:i w:val="0"/>
                <w:iCs w:val="0"/>
                <w:color w:val="000000"/>
                <w:kern w:val="0"/>
                <w:sz w:val="18"/>
                <w:szCs w:val="18"/>
                <w:u w:val="none"/>
                <w:lang w:val="en-US" w:eastAsia="zh-CN" w:bidi="ar"/>
              </w:rPr>
              <w:br w:type="textWrapping"/>
            </w:r>
            <w:r>
              <w:rPr>
                <w:rFonts w:hint="default" w:ascii="Arial" w:hAnsi="Arial" w:eastAsia="宋体" w:cs="Arial"/>
                <w:b w:val="0"/>
                <w:bCs w:val="0"/>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徐侥</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2021/09/15</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商品房买卖合同（一户一次性付款1*5份，商贷1*6份、公积金1*7份）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重庆市不动产登记申请书（1份）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7"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2021/09/15</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关于实习生实习报告、的劳动合同、保密协议等用印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实习报告、的劳动合同、保密协议（以上各1份）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龙柳</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2021/09/15</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关于晓岸云起3期工程项目数字化建造试点建设计划的用印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工程项目数字化建造试点建设计划（6份）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周易</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2021/09/16</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2份汉口银行支票1份汉口银行结算业务委托书用印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汉口银行转账支票（02990466、02990467）（2份）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汉口银行单位结算业务委托书（02709959）（1份）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莫燕翔</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2"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2021/09/17</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1份以房抵款三方协议补充协议、2份分销合同补充协议用印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三方协议书（大墅）补充协议二（7份）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重庆佳兆业晓岸云起项目2021年8-2022年1月渠道销售合同（闹海）补充协议四（5份）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重庆佳兆业晓岸云起2021年8月-2022年1月渠道销售合同(到家了）补充协议五（5份）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徐侥</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2021/09/17</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关于500份销售收据用印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销售收据（0101851-0102200、0102751-0102900）（20*25份）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周莉</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58"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2021/09/18</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1份汉口银行结算业务委托书用印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汉口银行单位结算业务委托书（02709960）（1份）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刘筱芸</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2021/09/18</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关于1份佣金冲抵协议书的用印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佣金冲抵协议书-到家了（7份）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余俊西</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2021/09/18</w:t>
            </w:r>
          </w:p>
        </w:tc>
        <w:tc>
          <w:tcPr>
            <w:tcW w:w="2087"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关于2份进场通知书用印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进场通知书-优居、塘鹅（各2份）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程雪康</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张庆</w:t>
            </w:r>
          </w:p>
        </w:tc>
        <w:tc>
          <w:tcPr>
            <w:tcW w:w="689"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2021/09/18</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2套网签合同用印</w:t>
            </w:r>
          </w:p>
        </w:tc>
        <w:tc>
          <w:tcPr>
            <w:tcW w:w="4024" w:type="dxa"/>
            <w:vAlign w:val="center"/>
          </w:tcPr>
          <w:p>
            <w:pPr>
              <w:keepNext w:val="0"/>
              <w:keepLines w:val="0"/>
              <w:widowControl/>
              <w:suppressLineNumbers w:val="0"/>
              <w:jc w:val="left"/>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商品房买卖合同（一户一次性付款2*5份，商贷2*6份、公积金2*7份）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重庆市不动产登记申请书（2*2份）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 （2*2份）</w:t>
            </w:r>
          </w:p>
        </w:tc>
        <w:tc>
          <w:tcPr>
            <w:tcW w:w="846"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2021/09/18</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2套补充协议用印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补充协议（二）-增加首付款（陈婷瑶）（7份）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补充协议-按揭转一次性（杨永红）（5份）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2021/09/22</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关于办理电信天翼云业务相关资料用印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授权委托书、渝煌达营业执照、天翼云业务办理申请确认函等（以上各1份）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黄荣杰</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2021/09/22</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商品房买卖合同（一户一次性付款2*5份，商贷2*6份、公积金2*7份）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重庆市不动产登记申请书（2*2份）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 （2*2份）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2021/09/22</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3套补充协议用印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补充协议（二）-增加首付款（谢小兰）（6份）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补充协议（二）-增加首付款（叶渝滔）（6份）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补充协议（二）-增加首付款（朱光辉、江小燕）（6份）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bookmarkStart w:id="28" w:name="_Toc5771"/>
            <w:r>
              <w:rPr>
                <w:rFonts w:hint="default" w:ascii="Arial" w:hAnsi="Arial" w:eastAsia="宋体" w:cs="Arial"/>
                <w:b w:val="0"/>
                <w:bCs w:val="0"/>
                <w:i w:val="0"/>
                <w:iCs w:val="0"/>
                <w:color w:val="000000"/>
                <w:kern w:val="0"/>
                <w:sz w:val="18"/>
                <w:szCs w:val="18"/>
                <w:u w:val="none"/>
                <w:lang w:val="en-US" w:eastAsia="zh-CN" w:bidi="ar"/>
              </w:rPr>
              <w:t>2021/09/24</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1份西永项目办公区装修工程结算资料用印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工程竣工结算造价表-三联（1份）、竣工结算造价协议清单（1份）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王莎莎</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成本部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2021/09/24</w:t>
            </w:r>
          </w:p>
        </w:tc>
        <w:tc>
          <w:tcPr>
            <w:tcW w:w="2087"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1套网签合同用印</w:t>
            </w:r>
          </w:p>
        </w:tc>
        <w:tc>
          <w:tcPr>
            <w:tcW w:w="4024" w:type="dxa"/>
            <w:vAlign w:val="center"/>
          </w:tcPr>
          <w:p>
            <w:pPr>
              <w:keepNext w:val="0"/>
              <w:keepLines w:val="0"/>
              <w:widowControl/>
              <w:suppressLineNumbers w:val="0"/>
              <w:jc w:val="left"/>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商品房买卖合同（一户一次性付款1*5份，商贷1*6份、公积金1*7份）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重庆市不动产登记申请书（1*2份）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商品房权属登记授权委托书（1*2份）</w:t>
            </w:r>
          </w:p>
        </w:tc>
        <w:tc>
          <w:tcPr>
            <w:tcW w:w="846"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合同章</w:t>
            </w:r>
          </w:p>
        </w:tc>
        <w:tc>
          <w:tcPr>
            <w:tcW w:w="72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宋显伟</w:t>
            </w:r>
          </w:p>
        </w:tc>
        <w:tc>
          <w:tcPr>
            <w:tcW w:w="689" w:type="dxa"/>
            <w:vAlign w:val="center"/>
          </w:tcPr>
          <w:p>
            <w:pPr>
              <w:keepNext w:val="0"/>
              <w:keepLines w:val="0"/>
              <w:widowControl/>
              <w:suppressLineNumbers w:val="0"/>
              <w:jc w:val="center"/>
              <w:textAlignment w:val="center"/>
              <w:rPr>
                <w:rFonts w:hint="eastAsia" w:ascii="Arial" w:hAnsi="Arial" w:eastAsia="宋体" w:cs="Arial"/>
                <w:b w:val="0"/>
                <w:bCs w:val="0"/>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2021/09/27</w:t>
            </w:r>
          </w:p>
        </w:tc>
        <w:tc>
          <w:tcPr>
            <w:tcW w:w="208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1份汉口银行空白凭证请领单用印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汉口银行空白凭证请领单（1份）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法人章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财务章</w:t>
            </w:r>
          </w:p>
        </w:tc>
        <w:tc>
          <w:tcPr>
            <w:tcW w:w="72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崔海燕</w:t>
            </w:r>
          </w:p>
        </w:tc>
        <w:tc>
          <w:tcPr>
            <w:tcW w:w="68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2021/09/28</w:t>
            </w:r>
          </w:p>
        </w:tc>
        <w:tc>
          <w:tcPr>
            <w:tcW w:w="208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44套个人住房借款合同/按揭贷款合同用印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个人购房借款/担保合同-汉口银行（6*5份）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个人购房/购车借款及担保合同-邮政银行（15*5份）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个人住房（商业用房）借款合同-建设银行（8*4份）</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个人购房（车位）借款及担保合同-民生银行（15*2份）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2021/09/28</w:t>
            </w:r>
          </w:p>
        </w:tc>
        <w:tc>
          <w:tcPr>
            <w:tcW w:w="208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4套住房公积金贷款合同用印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重庆市住房公积金个人住房贷款借款抵押合同-建行（4*4份）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张雪梅</w:t>
            </w:r>
          </w:p>
        </w:tc>
        <w:tc>
          <w:tcPr>
            <w:tcW w:w="68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2021/09/29</w:t>
            </w:r>
          </w:p>
        </w:tc>
        <w:tc>
          <w:tcPr>
            <w:tcW w:w="208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1份工程合同用印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重庆佳兆业晓岸云起项目一二期外墙涂料供货合同（5份）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殷浩然</w:t>
            </w:r>
          </w:p>
        </w:tc>
        <w:tc>
          <w:tcPr>
            <w:tcW w:w="68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2021/09/29</w:t>
            </w:r>
          </w:p>
        </w:tc>
        <w:tc>
          <w:tcPr>
            <w:tcW w:w="208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晓岸云起3期塑胶管材及管件采购合同用印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重庆佳兆业晓岸云起项目三期塑胶管材及管件采购合同（5份）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72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殷浩然</w:t>
            </w:r>
          </w:p>
        </w:tc>
        <w:tc>
          <w:tcPr>
            <w:tcW w:w="68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2021/09/29</w:t>
            </w:r>
          </w:p>
        </w:tc>
        <w:tc>
          <w:tcPr>
            <w:tcW w:w="208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关于办理晓岸云起3期施工许可证备案合同等相关资料用印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建设工程施工合同（</w:t>
            </w:r>
            <w:r>
              <w:rPr>
                <w:rFonts w:hint="eastAsia" w:ascii="Arial" w:hAnsi="Arial" w:cs="Arial"/>
                <w:i w:val="0"/>
                <w:iCs w:val="0"/>
                <w:color w:val="000000"/>
                <w:kern w:val="0"/>
                <w:sz w:val="18"/>
                <w:szCs w:val="18"/>
                <w:u w:val="none"/>
                <w:lang w:val="en-US" w:eastAsia="zh-CN" w:bidi="ar"/>
              </w:rPr>
              <w:t>备案合同，</w:t>
            </w:r>
            <w:r>
              <w:rPr>
                <w:rFonts w:hint="default" w:ascii="Arial" w:hAnsi="Arial" w:eastAsia="宋体" w:cs="Arial"/>
                <w:i w:val="0"/>
                <w:iCs w:val="0"/>
                <w:color w:val="000000"/>
                <w:kern w:val="0"/>
                <w:sz w:val="18"/>
                <w:szCs w:val="18"/>
                <w:u w:val="none"/>
                <w:lang w:val="en-US" w:eastAsia="zh-CN" w:bidi="ar"/>
              </w:rPr>
              <w:t>一批次、二批次各6份）、建设工程直接发包确认书（一批次、二批次各4份）、建设工程安全文明施工措施费支付计划（一批次、二批次各2份）、补充协议一（一批次、二批次各6份）、建设工程开工前安全生产条件审核表（一批次、二批次各3份）、建筑工程施工许可申请表（一批次、二批次各3份）、危险性较大的分部分项工程清单及管理措施（一批次、二批次各5份）、晓岸云起3期工程规划许可证（2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刘小倩</w:t>
            </w:r>
          </w:p>
        </w:tc>
        <w:tc>
          <w:tcPr>
            <w:tcW w:w="68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2021/09/29</w:t>
            </w:r>
          </w:p>
        </w:tc>
        <w:tc>
          <w:tcPr>
            <w:tcW w:w="208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关于办理预售资金首付款监管资金提前使用手续相关资料</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预售资金首付款监管资金提前使用申请表（20份）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李航</w:t>
            </w:r>
          </w:p>
        </w:tc>
        <w:tc>
          <w:tcPr>
            <w:tcW w:w="68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 w:hRule="atLeast"/>
          <w:jc w:val="center"/>
        </w:trPr>
        <w:tc>
          <w:tcPr>
            <w:tcW w:w="943" w:type="dxa"/>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kern w:val="0"/>
                <w:sz w:val="18"/>
                <w:szCs w:val="18"/>
                <w:u w:val="none"/>
                <w:lang w:val="en-US" w:eastAsia="zh-CN" w:bidi="ar"/>
              </w:rPr>
            </w:pPr>
            <w:r>
              <w:rPr>
                <w:rFonts w:hint="default" w:ascii="Arial" w:hAnsi="Arial" w:eastAsia="宋体" w:cs="Arial"/>
                <w:b w:val="0"/>
                <w:bCs w:val="0"/>
                <w:i w:val="0"/>
                <w:iCs w:val="0"/>
                <w:color w:val="000000"/>
                <w:kern w:val="0"/>
                <w:sz w:val="18"/>
                <w:szCs w:val="18"/>
                <w:u w:val="none"/>
                <w:lang w:val="en-US" w:eastAsia="zh-CN" w:bidi="ar"/>
              </w:rPr>
              <w:t>2021/09/29</w:t>
            </w:r>
          </w:p>
        </w:tc>
        <w:tc>
          <w:tcPr>
            <w:tcW w:w="208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关于晓岸云起项目监管资金支付工程款相关合同的复印件等资料的用印</w:t>
            </w:r>
          </w:p>
        </w:tc>
        <w:tc>
          <w:tcPr>
            <w:tcW w:w="4024" w:type="dxa"/>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本次付款明细台账、与收款单位签订的合同关键页、项目公司内部合同付款审批流程、发票复印件等资料（542份）</w:t>
            </w:r>
          </w:p>
        </w:tc>
        <w:tc>
          <w:tcPr>
            <w:tcW w:w="84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公章</w:t>
            </w:r>
          </w:p>
        </w:tc>
        <w:tc>
          <w:tcPr>
            <w:tcW w:w="72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曾月琴</w:t>
            </w:r>
          </w:p>
        </w:tc>
        <w:tc>
          <w:tcPr>
            <w:tcW w:w="689"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工程部</w:t>
            </w:r>
          </w:p>
        </w:tc>
      </w:tr>
    </w:tbl>
    <w:p>
      <w:pPr>
        <w:keepNext w:val="0"/>
        <w:keepLines w:val="0"/>
        <w:pageBreakBefore w:val="0"/>
        <w:widowControl w:val="0"/>
        <w:kinsoku/>
        <w:wordWrap/>
        <w:overflowPunct/>
        <w:topLinePunct w:val="0"/>
        <w:autoSpaceDE/>
        <w:autoSpaceDN/>
        <w:bidi w:val="0"/>
        <w:adjustRightInd/>
        <w:snapToGrid/>
        <w:spacing w:before="312" w:beforeLines="100"/>
        <w:jc w:val="center"/>
        <w:textAlignment w:val="auto"/>
        <w:rPr>
          <w:rFonts w:hint="eastAsia" w:ascii="Arial" w:hAnsi="Arial" w:cs="Arial"/>
          <w:b/>
          <w:bCs/>
          <w:sz w:val="24"/>
          <w:szCs w:val="24"/>
        </w:rPr>
      </w:pPr>
      <w:r>
        <w:rPr>
          <w:rFonts w:hint="eastAsia" w:ascii="Arial" w:hAnsi="Arial" w:cs="Arial"/>
          <w:b/>
          <w:bCs/>
          <w:sz w:val="24"/>
          <w:szCs w:val="24"/>
        </w:rPr>
        <w:t>印章证照外出使用情况表</w:t>
      </w:r>
      <w:bookmarkEnd w:id="28"/>
    </w:p>
    <w:tbl>
      <w:tblPr>
        <w:tblStyle w:val="9"/>
        <w:tblW w:w="9348" w:type="dxa"/>
        <w:tblInd w:w="1" w:type="dxa"/>
        <w:tblLayout w:type="fixed"/>
        <w:tblCellMar>
          <w:top w:w="15" w:type="dxa"/>
          <w:left w:w="15" w:type="dxa"/>
          <w:bottom w:w="15" w:type="dxa"/>
          <w:right w:w="15" w:type="dxa"/>
        </w:tblCellMar>
      </w:tblPr>
      <w:tblGrid>
        <w:gridCol w:w="972"/>
        <w:gridCol w:w="2483"/>
        <w:gridCol w:w="2712"/>
        <w:gridCol w:w="1789"/>
        <w:gridCol w:w="636"/>
        <w:gridCol w:w="756"/>
      </w:tblGrid>
      <w:tr>
        <w:tblPrEx>
          <w:tblCellMar>
            <w:top w:w="15" w:type="dxa"/>
            <w:left w:w="15" w:type="dxa"/>
            <w:bottom w:w="15" w:type="dxa"/>
            <w:right w:w="15" w:type="dxa"/>
          </w:tblCellMar>
        </w:tblPrEx>
        <w:trPr>
          <w:trHeight w:val="302" w:hRule="atLeast"/>
          <w:tblHeader/>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外出日期</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事由</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印鉴证照名称</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外出机构</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经办人</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b/>
                <w:sz w:val="18"/>
                <w:szCs w:val="18"/>
              </w:rPr>
            </w:pPr>
            <w:r>
              <w:rPr>
                <w:rFonts w:hint="eastAsia" w:ascii="宋体" w:hAnsi="宋体" w:eastAsia="宋体" w:cs="宋体"/>
                <w:b/>
                <w:sz w:val="18"/>
                <w:szCs w:val="18"/>
              </w:rPr>
              <w:t>部门</w:t>
            </w:r>
          </w:p>
        </w:tc>
      </w:tr>
      <w:tr>
        <w:tblPrEx>
          <w:tblCellMar>
            <w:top w:w="15" w:type="dxa"/>
            <w:left w:w="15" w:type="dxa"/>
            <w:bottom w:w="15" w:type="dxa"/>
            <w:right w:w="15" w:type="dxa"/>
          </w:tblCellMar>
        </w:tblPrEx>
        <w:trPr>
          <w:trHeight w:val="299" w:hRule="atLeast"/>
        </w:trPr>
        <w:tc>
          <w:tcPr>
            <w:tcW w:w="9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bidi="ar-SA"/>
              </w:rPr>
              <w:t>-</w:t>
            </w:r>
          </w:p>
        </w:tc>
        <w:tc>
          <w:tcPr>
            <w:tcW w:w="248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w:t>
            </w:r>
          </w:p>
        </w:tc>
        <w:tc>
          <w:tcPr>
            <w:tcW w:w="27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w:t>
            </w:r>
          </w:p>
        </w:tc>
        <w:tc>
          <w:tcPr>
            <w:tcW w:w="178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w:t>
            </w:r>
          </w:p>
        </w:tc>
        <w:tc>
          <w:tcPr>
            <w:tcW w:w="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bidi="ar-SA"/>
              </w:rPr>
              <w:t>-</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29" w:name="_Toc8266"/>
      <w:bookmarkStart w:id="30" w:name="_Toc25379"/>
      <w:r>
        <w:rPr>
          <w:rFonts w:hint="default" w:ascii="Arial" w:hAnsi="Arial" w:eastAsia="宋体" w:cs="Arial"/>
          <w:sz w:val="24"/>
          <w:szCs w:val="24"/>
          <w:lang w:val="en-US" w:eastAsia="zh-CN"/>
        </w:rPr>
        <w:t>5</w:t>
      </w:r>
      <w:r>
        <w:rPr>
          <w:rFonts w:hint="eastAsia" w:ascii="宋体" w:hAnsi="宋体" w:eastAsia="宋体" w:cs="宋体"/>
          <w:sz w:val="24"/>
          <w:szCs w:val="24"/>
          <w:lang w:val="en-US" w:eastAsia="zh-CN"/>
        </w:rPr>
        <w:t>合同签订情况</w:t>
      </w:r>
      <w:bookmarkEnd w:id="29"/>
      <w:bookmarkEnd w:id="3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Cs/>
          <w:kern w:val="44"/>
        </w:rPr>
      </w:pPr>
      <w:r>
        <w:rPr>
          <w:rFonts w:hint="eastAsia" w:ascii="Arial" w:hAnsi="Arial" w:cs="Arial"/>
          <w:bCs/>
          <w:kern w:val="44"/>
          <w:lang w:eastAsia="zh-CN"/>
        </w:rPr>
        <w:t>2021年09月01日至2021年09月30日</w:t>
      </w:r>
      <w:r>
        <w:rPr>
          <w:rFonts w:hint="eastAsia" w:ascii="Arial" w:hAnsi="Arial" w:eastAsia="宋体" w:cs="Arial"/>
          <w:bCs/>
          <w:kern w:val="44"/>
        </w:rPr>
        <w:t>期</w:t>
      </w:r>
      <w:r>
        <w:rPr>
          <w:rFonts w:hint="eastAsia" w:ascii="宋体" w:hAnsi="宋体" w:eastAsia="宋体" w:cs="宋体"/>
          <w:bCs/>
          <w:kern w:val="44"/>
        </w:rPr>
        <w:t>间，项目公司共</w:t>
      </w:r>
      <w:r>
        <w:rPr>
          <w:rFonts w:hint="eastAsia" w:ascii="Arial" w:hAnsi="Arial" w:eastAsia="宋体" w:cs="Arial"/>
          <w:bCs/>
          <w:kern w:val="44"/>
        </w:rPr>
        <w:t>签订</w:t>
      </w:r>
      <w:r>
        <w:rPr>
          <w:rFonts w:hint="eastAsia" w:ascii="Arial" w:hAnsi="Arial" w:cs="Arial"/>
          <w:bCs/>
          <w:kern w:val="44"/>
          <w:lang w:val="en-US" w:eastAsia="zh-CN"/>
        </w:rPr>
        <w:t>23</w:t>
      </w:r>
      <w:r>
        <w:rPr>
          <w:rFonts w:hint="eastAsia" w:ascii="Arial" w:hAnsi="Arial" w:eastAsia="宋体" w:cs="Arial"/>
          <w:bCs/>
          <w:kern w:val="44"/>
        </w:rPr>
        <w:t>份合同。</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宋体" w:hAnsi="宋体" w:eastAsia="宋体" w:cs="宋体"/>
        </w:rPr>
      </w:pPr>
      <w:bookmarkStart w:id="31" w:name="_Toc14527"/>
      <w:r>
        <w:rPr>
          <w:rFonts w:hint="default" w:ascii="Arial" w:hAnsi="Arial" w:eastAsia="宋体" w:cs="Arial"/>
          <w:b/>
          <w:bCs/>
          <w:sz w:val="24"/>
          <w:szCs w:val="32"/>
        </w:rPr>
        <w:t>202</w:t>
      </w:r>
      <w:r>
        <w:rPr>
          <w:rFonts w:hint="eastAsia" w:ascii="Arial" w:hAnsi="Arial" w:cs="Arial"/>
          <w:b/>
          <w:bCs/>
          <w:sz w:val="24"/>
          <w:szCs w:val="32"/>
          <w:lang w:val="en-US" w:eastAsia="zh-CN"/>
        </w:rPr>
        <w:t>1</w:t>
      </w:r>
      <w:r>
        <w:rPr>
          <w:rFonts w:hint="eastAsia" w:ascii="宋体" w:hAnsi="宋体" w:eastAsia="宋体" w:cs="宋体"/>
          <w:b/>
          <w:bCs/>
          <w:sz w:val="24"/>
          <w:szCs w:val="32"/>
        </w:rPr>
        <w:t>年</w:t>
      </w:r>
      <w:r>
        <w:rPr>
          <w:rFonts w:hint="eastAsia" w:ascii="Arial" w:hAnsi="Arial" w:cs="Arial"/>
          <w:b/>
          <w:bCs/>
          <w:sz w:val="24"/>
          <w:szCs w:val="32"/>
          <w:lang w:val="en-US" w:eastAsia="zh-CN"/>
        </w:rPr>
        <w:t>09</w:t>
      </w:r>
      <w:bookmarkStart w:id="72" w:name="_GoBack"/>
      <w:bookmarkEnd w:id="72"/>
      <w:r>
        <w:rPr>
          <w:rFonts w:hint="eastAsia" w:ascii="Arial" w:hAnsi="Arial" w:cs="Arial"/>
          <w:b/>
          <w:bCs/>
          <w:sz w:val="24"/>
          <w:szCs w:val="32"/>
          <w:lang w:val="en-US" w:eastAsia="zh-CN"/>
        </w:rPr>
        <w:t>月合</w:t>
      </w:r>
      <w:r>
        <w:rPr>
          <w:rFonts w:hint="eastAsia" w:ascii="宋体" w:hAnsi="宋体" w:eastAsia="宋体" w:cs="宋体"/>
          <w:b/>
          <w:bCs/>
          <w:sz w:val="24"/>
          <w:szCs w:val="32"/>
        </w:rPr>
        <w:t>同签订情况</w:t>
      </w:r>
      <w:bookmarkEnd w:id="31"/>
    </w:p>
    <w:tbl>
      <w:tblPr>
        <w:tblStyle w:val="9"/>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
        <w:gridCol w:w="969"/>
        <w:gridCol w:w="1271"/>
        <w:gridCol w:w="1103"/>
        <w:gridCol w:w="4318"/>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blHeader/>
          <w:jc w:val="center"/>
        </w:trPr>
        <w:tc>
          <w:tcPr>
            <w:tcW w:w="225"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522" w:type="pct"/>
            <w:tcBorders>
              <w:tl2br w:val="nil"/>
              <w:tr2bl w:val="nil"/>
            </w:tcBorders>
            <w:shd w:val="clear" w:color="auto" w:fill="auto"/>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用印日期</w:t>
            </w:r>
          </w:p>
        </w:tc>
        <w:tc>
          <w:tcPr>
            <w:tcW w:w="68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对方单位</w:t>
            </w:r>
          </w:p>
        </w:tc>
        <w:tc>
          <w:tcPr>
            <w:tcW w:w="595"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合同名称</w:t>
            </w:r>
          </w:p>
        </w:tc>
        <w:tc>
          <w:tcPr>
            <w:tcW w:w="233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center"/>
              <w:textAlignment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合同主要内容</w:t>
            </w:r>
          </w:p>
        </w:tc>
        <w:tc>
          <w:tcPr>
            <w:tcW w:w="640" w:type="pct"/>
            <w:tcBorders>
              <w:tl2br w:val="nil"/>
              <w:tr2bl w:val="nil"/>
            </w:tcBorders>
            <w:shd w:val="clear" w:color="auto" w:fill="auto"/>
            <w:tcMar>
              <w:top w:w="15" w:type="dxa"/>
              <w:left w:w="15" w:type="dxa"/>
              <w:right w:w="15" w:type="dxa"/>
            </w:tcMar>
            <w:vAlign w:val="center"/>
          </w:tcPr>
          <w:p>
            <w:pPr>
              <w:widowControl/>
              <w:spacing w:line="240" w:lineRule="exact"/>
              <w:ind w:left="-1800" w:leftChars="-857" w:firstLine="1626" w:firstLineChars="900"/>
              <w:jc w:val="right"/>
              <w:textAlignment w:val="center"/>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 xml:space="preserve">  合同金额（元）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lang w:val="en-US" w:eastAsia="zh-CN"/>
              </w:rPr>
              <w:t>1</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2021/09/03</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重庆市佳兆业物业管理有限公司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外包人员服务协议</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1、服务方式：乙方按甲方目标项目的建设计划、销售计划及销售需求，为甲方提供专业案场辅助人员</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2、服务期限：本框架协议首个合同期限为1年，自2021年08月01日至2022年12月31日止，合同期满后，若双方未书面终止或重新签署服务协议，本协议将自动延续一年</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3、服务费标准：包含人工成本、服务酬金及法定税费，合同暂定总价1969万元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4、甲方存在服务需求时，需提前30日告知乙方所需的服务人员数量、类型、服务专项及相关需求，乙方收到后，向甲方发出服务费报价方案，甲方确认按报价方案后，甲乙双方按报价方案执行</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19,690,000.00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2021/09/07</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重庆和勤工程咨询有限公司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重庆佳兆业晓岸云起项目2021年度工程造价咨询服务合同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1、工程名称：重庆佳兆业晓岸云起项目2021年度造价咨询服务</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2、合作期限：自本合同签订之日起至乙方完成承包范围内造价咨询服务工作且经甲方验收合格之日止，具体时间以甲方通知另行要求的时间为准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3、本项目造价咨询服务类别按综合单价包干方式计取，本合同暂定总价为：764,160.35元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4、付款方式：乙方须在付款节点当月10日前提交付款申请，经甲方审核无误后45天内支付咨询费</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764,160.35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3</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2021/09/07</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重庆市银泉实业有限公司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重庆佳兆业晓岸云起项目一期门窗、百叶供货及安装工程施工合同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1、工程名称：重庆佳兆业晓岸云起项目一期门窗、百叶供货及安装工程施工合同，一期总建筑面积为43377㎡，总占地面积为20835㎡</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2、工期要求：暂定2021年08月20日进场，实际进场时间已甲方下发开工令为准，工程工期150个日历天，如有调整，以甲方项目部书面通知为准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3、本合同含税暂定/固定总价为：4,638,899.89元，其中材料及加工费3,247,229.92元，安装费1,391,669.97元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4、付款方式：乙方需在到达付款节点所在月份的10日前提交付款申请，提交申请经甲方及监理方审核无误后45天内支付</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4,638,899.89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4</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2021/09/07</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重庆市银泉实业有限公司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重庆佳兆业晓岸云起项目二期门窗、百叶供货及安装工程施工合同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1、工程名称：重庆佳兆业晓岸云起项目二期门窗、百叶供货及安装工程施工合同，二期总建筑面积为101581.86㎡，总占地面积为47759㎡</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2、工期要求：暂定2021年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9月20日进场，实际进场时间已甲方下发开工令为准，工程工期240个日历天，如有调整，以甲方项目部书面通知为准</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3、本合同含税暂定/固定总价：10,007,311.36元，其中材料及加工费7,005,117.95元，安装费3,002,193.41元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4、付款方式：乙方需在到达付款节点所在月份的10日前提交付款申请，提交申请经甲方及监理方审核无误后45天内支付</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10,007,311.36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5</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2021/09/07</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厦门信息集团融资担保有限责任公司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委托出具分离式保函合同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委托事项：甲方委托乙方向中国建设银行股份有限公司厦门市分行（以下简称银行）出具受益人（权利人）为重庆市沙坪坝区住房和城乡建设委员会、工程名称为佳兆业·晓岸云起二期主体精装修工程、保函金额为人民币（大写）壹佰叁拾贰万捌仟元零角零分的银行分离式保函</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2、分离式保函担保的本金金额：1,328,000.00元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3、保证期间：自分离式保函生效之日起至银行承担主合同（分离式保函对应主合同，下同）项下保函的付款义务之日后两年止。银行在保函项下多次付款的，保证期间至乙方最后一次付款日后两年止</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乙方指定的保证金和手续费收取银行帐户：担保费收取银行帐户：（户名：厦门信息集团融资担保有限责任公司，账号：35101535001059596666）；保证金收取银行帐户：（户名：厦门信息集团融资担保有限责任公司，账号：35101535001059596666）</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5、甲方应向乙方缴纳手续费，手续费按保函金额的/‰收取，手续费金额为：33,200.00元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6、甲方实际控制人/法定代表人/项目负责人对本协议中甲方应负的债务承担无限连带责任，作为乙方向银行申请出具分离式保函的反担保</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分离式保函担保的本金金额：1,328,000.00元</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手续费：33,200.00元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6</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2021/09/09</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重庆永亘文化传播有限公司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重庆佳兆业晓岸云起项目2021年度零星物料制作合同补充协议一</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甲乙双方签订了重庆佳兆业晓岸云起项目2021年度零星物料制作合同（简称为“原合同”）。现经甲乙双方友好协商，签订补充协议。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1、根据甲方零星物料采买要求，双方协商增加物料采买金额，本次增加含税总金额为160,000.00元，本次增加金额后，原合同金额变更为860,000.00万元整</w:t>
            </w:r>
            <w:r>
              <w:rPr>
                <w:rFonts w:hint="eastAsia" w:ascii="Arial" w:hAnsi="Arial"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本次增加含税总金额为160,000.00元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7</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2021/09/09</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重庆闹海科技有限公司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重庆佳兆业晓岸云起项目2021年8-2022年1月渠道销售合同（闹海）补充协议三</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甲乙双方签订了重庆佳兆业晓岸云起项目2021年8-2022年1月渠道销售合同（闹海）、补充协议一、补充协议二（简称为“原合同”）。现经甲乙双方友好协商，特签订补充协议。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一、重庆佳兆业晓岸云起项目，洋房和洋墅产品，14#楼通提1.5%，其余楼栋：1-2套2.5%，3套及以上3%，认购计提，签约发放。</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二、本补充协议执行时间为：2021年09月01日至2021年09月30日。</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洋房和洋墅产品，14#楼通提1.5%，其余楼栋：1-2套2.5%，3套及以上3%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8</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2021/09/09</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重庆到家了网络科技有限公司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重庆佳兆业晓岸云起2021年8月-2022年1月渠道销售合同(到家了）补充协议四</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甲乙双方签订了重庆佳兆业晓岸云起2021年8月-2022年1月渠道销售合同(到家了）、补充协议一、补充协议二、补充协议三（简称为“原合同”）。现经甲乙双方友好协商，，特签订补充协议。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一、重庆佳兆业晓岸云起项目，洋房和洋墅产品，14#楼通提1.5%，其余楼栋：1-2套2.5%，3套及以上3%，认购计提，签约发放。</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二、本补充协议执行时间为：2021年09月01日至2021年09月30日。</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洋房和洋墅产品，14#楼通提1.5%，其余楼栋：1-2套2.5%，3套及以上3%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9</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2021/09/14</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甲方：重庆渝煌达实业有限公司（开发商）</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乙方：重庆华硕建设有限公司（施工方）</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丙方：重庆琨洲润置业发展有限公司（抵款房屋开发商）</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三方协议书（华硕）终止协议</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甲方、乙方、丙方三方经共同协商，就签订的《三方协议书（华硕）》（CQ-YBS-GCHT-2020-026）（以下简称原合同）中关于合同终止事宜达成以下协议，供三方共同遵守：</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甲、乙、丙三方协商一致，同意解除原合同的进度款互换房产事宜，自本协议签订之日起，原合同约定的甲、乙、丙三方所有权力、义务即为终止，原合同对甲、乙、丙三方不再具有任何约束力及法律效力，任何一方均无权以任何方式追究对方的赔偿及违约责任。</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（原合同：三方约定以琨洲润公司所开发的位于重庆市璧山区的“重庆佳兆业樾伴山项目一期”项目商品房4套抵扣渝煌达应向华硕建设支付的工程款，抵扣房款总金额3,425,103.00元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10</w:t>
            </w:r>
          </w:p>
        </w:tc>
        <w:tc>
          <w:tcPr>
            <w:tcW w:w="522" w:type="pct"/>
            <w:tcBorders>
              <w:tl2br w:val="nil"/>
              <w:tr2bl w:val="nil"/>
            </w:tcBorders>
            <w:shd w:val="clear" w:color="auto" w:fill="auto"/>
            <w:tcMar>
              <w:top w:w="15" w:type="dxa"/>
              <w:left w:w="15" w:type="dxa"/>
              <w:right w:w="15" w:type="dxa"/>
            </w:tcMar>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2021/09/14</w:t>
            </w:r>
          </w:p>
        </w:tc>
        <w:tc>
          <w:tcPr>
            <w:tcW w:w="68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重庆市佳兆业物业管理有限公司</w:t>
            </w:r>
          </w:p>
        </w:tc>
        <w:tc>
          <w:tcPr>
            <w:tcW w:w="5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重庆佳兆业·晓岸云起项目2020年案场物业服务合同补充协议二</w:t>
            </w:r>
          </w:p>
        </w:tc>
        <w:tc>
          <w:tcPr>
            <w:tcW w:w="233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项目2020年案场物业服务合同（简称为“原合同”），重庆佳兆业·晓岸云起项目2020年案场物业服务合同补充合同一（简称为“补充协议一”）。甲乙双方根据甲方现场需求，经甲乙双方友好协商，特签订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一、合作期限：本协议执行时间3个月，暂定为2021年09月14日-2021年12月13日，实际执行时间以甲方通知为准。</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二、合同金额：原补充协议一最终确定月度人员配合费为含税252,507.40元/月，现根据双方协商将月度费用调整为含税243,856.00元/月（具体人员配置详附件清单），本协议二在原补充协议一基础上月度优化金额8,651.40元/月，执行期三个月合计优化金额含税25,954.20元，本补充协议签订后原合同金额变更为含税2,809,347.28元，税率6%。</w:t>
            </w:r>
          </w:p>
        </w:tc>
        <w:tc>
          <w:tcPr>
            <w:tcW w:w="6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将月度费用调整为含税243,856.00元/月,本补充协议签订后原合同金额变更为含税2,809,347.28元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eastAsia="宋体" w:cs="Arial"/>
                <w:color w:val="000000"/>
                <w:kern w:val="0"/>
                <w:sz w:val="18"/>
                <w:szCs w:val="18"/>
                <w:lang w:val="en-US" w:eastAsia="zh-CN"/>
              </w:rPr>
            </w:pPr>
            <w:bookmarkStart w:id="32" w:name="_Toc27950"/>
            <w:bookmarkStart w:id="33" w:name="_Toc535580096"/>
            <w:bookmarkStart w:id="34" w:name="_Toc535580028"/>
            <w:bookmarkStart w:id="35" w:name="_Toc535508641"/>
            <w:bookmarkStart w:id="36" w:name="_Toc535570755"/>
            <w:bookmarkStart w:id="37" w:name="_Toc373309851"/>
            <w:bookmarkStart w:id="38" w:name="_Toc411430359"/>
            <w:r>
              <w:rPr>
                <w:rFonts w:hint="eastAsia" w:ascii="Arial" w:hAnsi="Arial" w:cs="Arial"/>
                <w:color w:val="000000"/>
                <w:kern w:val="0"/>
                <w:sz w:val="18"/>
                <w:szCs w:val="18"/>
                <w:lang w:val="en-US" w:eastAsia="zh-CN"/>
              </w:rPr>
              <w:t>11</w:t>
            </w:r>
          </w:p>
        </w:tc>
        <w:tc>
          <w:tcPr>
            <w:tcW w:w="522" w:type="pct"/>
            <w:vAlign w:val="center"/>
          </w:tcPr>
          <w:p>
            <w:pPr>
              <w:widowControl/>
              <w:jc w:val="center"/>
              <w:rPr>
                <w:rFonts w:hint="eastAsia" w:ascii="Arial" w:hAnsi="Arial" w:eastAsia="宋体" w:cs="Arial"/>
                <w:bCs/>
                <w:sz w:val="18"/>
                <w:szCs w:val="18"/>
                <w:lang w:val="en-US" w:eastAsia="zh-CN" w:bidi="ar-SA"/>
              </w:rPr>
            </w:pPr>
            <w:r>
              <w:rPr>
                <w:rFonts w:hint="default" w:ascii="Arial" w:hAnsi="Arial" w:eastAsia="宋体" w:cs="Arial"/>
                <w:bCs/>
                <w:sz w:val="18"/>
                <w:szCs w:val="18"/>
                <w:lang w:val="en-US" w:eastAsia="zh-CN"/>
              </w:rPr>
              <w:t>2021/09/14</w:t>
            </w:r>
          </w:p>
        </w:tc>
        <w:tc>
          <w:tcPr>
            <w:tcW w:w="685" w:type="pct"/>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重庆华硕建设有限公司</w:t>
            </w:r>
          </w:p>
        </w:tc>
        <w:tc>
          <w:tcPr>
            <w:tcW w:w="595" w:type="pct"/>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重庆佳兆业晓岸云起三期项目施工总承包合同</w:t>
            </w:r>
          </w:p>
        </w:tc>
        <w:tc>
          <w:tcPr>
            <w:tcW w:w="2330" w:type="pct"/>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1、本次承包范围为：重庆佳兆业哓岸云起项目三期主体工程，建筑面积约103976㎡，地下室建筑面积约30962㎡；地上建筑面积约73014㎡</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2、开工日期及开工条件：甲方提供现状条件及工作面，当本期工程项目现场具备开工条件时由监理和甲方在开工前5天向乙方发出书面开工令，并以开工令确定的日期作为实际开工日期</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3、合同总工期：重庆佳兆业晓岸云起三期项目主体工程（含室外工程）从开工之日起至竣工验收备案通过之日止，总工期为741个日历天。开工日期与合同约定不一致的，总工期不变</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4、合同总价：重庆佳兆业晓岸云起三期项目属乙方承包范围内的所有工程内容（不含室外工程）合同暂定总价为200,171,290.76元；其中：主体工程价172,017,776.43 元。主体工程含税包干措施费（含规费）：270.77元/平米</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5、工程款支付约定：</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5.1乙方于合同签订后14天内向甲方提交金额不低于人民币100万的履约保证金或者保函。工程竣工并验收合格后，且双方结算完毕后，乙方将申请资料及履约保函收据提交甲方确认后30个工作日内一次性免息退还乙方</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5.2甲乙双方同意采取人工费分账支付付款方式：乙方分别设立工资专用账户与其他工程款账户，其中工资专用账户专项用于人工费支付。甲方于每月30日之前将上月人工费付至乙方工资专用账户，人工费之外的其他工程款按本合同约定付至乙方其他工程款账户，关于已支付的民工工资，甲方有权直接于乙方下期进度款及结算款中进行扣除</w:t>
            </w:r>
            <w:r>
              <w:rPr>
                <w:rFonts w:hint="eastAsia" w:ascii="Arial" w:hAnsi="Arial" w:cs="Arial"/>
                <w:i w:val="0"/>
                <w:iCs w:val="0"/>
                <w:color w:val="000000"/>
                <w:kern w:val="0"/>
                <w:sz w:val="18"/>
                <w:szCs w:val="18"/>
                <w:u w:val="none"/>
                <w:lang w:val="en-US" w:eastAsia="zh-CN" w:bidi="ar"/>
              </w:rPr>
              <w:t>。</w:t>
            </w:r>
          </w:p>
        </w:tc>
        <w:tc>
          <w:tcPr>
            <w:tcW w:w="0" w:type="auto"/>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200,171,290.76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12</w:t>
            </w:r>
          </w:p>
        </w:tc>
        <w:tc>
          <w:tcPr>
            <w:tcW w:w="522" w:type="pct"/>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2021/09/17</w:t>
            </w:r>
          </w:p>
        </w:tc>
        <w:tc>
          <w:tcPr>
            <w:tcW w:w="685" w:type="pct"/>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甲方：重庆渝煌达实业有限公司（开发商）</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乙方：重庆大墅园林景观工程有限公司（施工方）</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丙方：重庆琨洲润置业发展有限公司（抵款房屋开发商）</w:t>
            </w:r>
          </w:p>
        </w:tc>
        <w:tc>
          <w:tcPr>
            <w:tcW w:w="595" w:type="pct"/>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三方协议书（大墅）补充协议二</w:t>
            </w:r>
          </w:p>
        </w:tc>
        <w:tc>
          <w:tcPr>
            <w:tcW w:w="2330" w:type="pct"/>
            <w:vAlign w:val="center"/>
          </w:tcPr>
          <w:p>
            <w:pPr>
              <w:keepNext w:val="0"/>
              <w:keepLines w:val="0"/>
              <w:widowControl/>
              <w:suppressLineNumbers w:val="0"/>
              <w:jc w:val="lef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甲乙丙三方签署了合同编号为 CQ-YBS-GCHT-2020-028的《三方协议书（大墅）》（简称“原合同”），CQ-YBS-GCHT-2020-028-BC01的《三方协议书（大墅）补充协议一》（简称“原补充协议一”），现经三方协商一致签订本《三方协议书（大墅）补充协议二》。</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一、原合同约定抵扣房源信息：重庆璧山樾伴山项目一期商品房3套（22号楼-2-502、28号楼-2-702、22号楼-2-901）；申请抵款金额：2,490,975.00元。</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二、原补充协议一约定撤销原合同抵扣房源中的樾伴山项目1套28号楼28-2-702（原合同抵款金额844,009.00元）；现经三方协商一致，取消原补充协议一的撤销房源约定，继续按原合同抵房要求执行。</w:t>
            </w:r>
          </w:p>
        </w:tc>
        <w:tc>
          <w:tcPr>
            <w:tcW w:w="0" w:type="auto"/>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取消原补充协议一的撤销房源（金额844,009.00元）约定，继续按原合同抵房要求执行（抵款金额：2,490,975.00元）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13</w:t>
            </w:r>
          </w:p>
        </w:tc>
        <w:tc>
          <w:tcPr>
            <w:tcW w:w="522" w:type="pct"/>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2021/09/17</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重庆闹海科技有限公司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重庆佳兆业晓岸云起项目2021年8-2022年1月渠道销售合同（闹海）补充协议四</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甲乙双方签订了重庆佳兆业晓岸云起项目2021年8-2022年1月渠道销售合同（闹海）、补充协议一、补充协议二、补充协议三，简称为“原合同”。现经甲乙双方友好协商，签订此补充协议。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一、重庆佳兆业晓岸云起项目9月分销佣金政策调整为：洋房和洋墅产品，分销成交1-5套2.5%；6套及以上通提3%，认购计提，签约发放。</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二、本协议内容与原合同发生冲突时，以本协议为准。本补充协议未列明条款及未提及的双方的权利和义务均按原合同执行。</w:t>
            </w:r>
          </w:p>
        </w:tc>
        <w:tc>
          <w:tcPr>
            <w:tcW w:w="0" w:type="auto"/>
            <w:vAlign w:val="center"/>
          </w:tcPr>
          <w:p>
            <w:pPr>
              <w:keepNext w:val="0"/>
              <w:keepLines w:val="0"/>
              <w:widowControl/>
              <w:suppressLineNumbers w:val="0"/>
              <w:jc w:val="right"/>
              <w:textAlignment w:val="center"/>
              <w:rPr>
                <w:rFonts w:hint="default"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洋房和洋墅产品，分销成交1-5套2.5%；6套及以上通提3%，认购计提，签约发放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14</w:t>
            </w:r>
          </w:p>
        </w:tc>
        <w:tc>
          <w:tcPr>
            <w:tcW w:w="522" w:type="pct"/>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2021/09/17</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重庆到家了网络科技有限公司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重庆佳兆业晓岸云起2021年8月-2022年1月渠道销售合同(到家了）补充协议五</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甲乙双方签订了重庆佳兆业晓岸云起2021年8月-2022年1月渠道销售合同(到家了）、补充协议一、补充协议二、补充协议三、补充协议四，简称为“原合同”。现经甲乙双方友好协商，签订此补充协议。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一、重庆佳兆业晓岸云起项目9月分销佣金政策调整为：洋房和洋墅产品，分销成交1-5套2.5%；6套及以上通提3%，认购计提，签约发放。</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二、本协议内容与原合同发生冲突时，以本协议为准。本补充协议未列明条款及未提及的双方的权利和义务均按原合同执行。</w:t>
            </w:r>
          </w:p>
        </w:tc>
        <w:tc>
          <w:tcPr>
            <w:tcW w:w="0" w:type="auto"/>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洋房和洋墅产品，分销成交1-5套2.5%；6套及以上通提3%，认购计提，签约发放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15</w:t>
            </w:r>
          </w:p>
        </w:tc>
        <w:tc>
          <w:tcPr>
            <w:tcW w:w="522" w:type="pct"/>
            <w:vAlign w:val="center"/>
          </w:tcPr>
          <w:p>
            <w:pPr>
              <w:widowControl/>
              <w:jc w:val="center"/>
              <w:rPr>
                <w:rFonts w:hint="default" w:ascii="Arial" w:hAnsi="Arial" w:eastAsia="宋体" w:cs="Arial"/>
                <w:bCs/>
                <w:sz w:val="18"/>
                <w:szCs w:val="18"/>
                <w:lang w:val="en-US" w:eastAsia="zh-CN" w:bidi="ar-SA"/>
              </w:rPr>
            </w:pPr>
            <w:r>
              <w:rPr>
                <w:rFonts w:hint="default" w:ascii="Arial" w:hAnsi="Arial" w:eastAsia="宋体" w:cs="Arial"/>
                <w:bCs/>
                <w:sz w:val="18"/>
                <w:szCs w:val="18"/>
                <w:lang w:val="en-US" w:eastAsia="zh-CN"/>
              </w:rPr>
              <w:t>2021/09/18</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甲方1：重庆鼎铸实业发展有限公司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甲方2：重庆市仁有置业有限公司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甲方3：重庆新兆鑫实业有限公司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甲方4：重庆琨洲润置业发展有限公司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甲方5：重庆佳兆业房地产开发有限公司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甲方6：重庆渝煌达实业有限公司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乙方：重庆到家了网络科技有限公司 (简称“乙方”)</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佣金冲抵协议书</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甲乙双方签订相关分销合同，乙方为甲方在重庆市开发的《佳兆业滨江新城》、《佳兆业滨江四季》、《佳兆业篆山熙园》、《佳兆业凤鸣水岸》、《佳兆业晓岸云起》、《佳兆业樾伴山》 、《佳兆业珑樾壹号》项目的销售代理商。双方本着平等自愿、公平互信的原则，经友好协商，就双方佣金结算和冲抵事宜，达成如下协议：</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1、经甲、乙双方确认，甲方未付乙方的佣金款金额为19,509,701.19元，其中已达到结算条件且未付佣金金额为17,951,758.22元。其中渝煌达《佳兆业晓岸云起》项目未付佣金金额2,154,576.38元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2、甲、乙双方一致同意，甲方用指定房源“佳兆业珑樾壹号项目案场可售房源”的应收房款冲抵本协议第一条所述已达到结算条件且未付的佣金。</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若自本协议签订之日起至2021年10月31日止（以下简称“销售期限”）上述佣金未能全部完成冲抵，则本协议终止，甲方应自协议终止之日起【30】日内向乙方支付未能冲抵的全部剩余佣金，甲方逾期支付的，按照每日千分之一的比例向乙方支付违约金。</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4、对于上述指定房源一次性付款购买的，甲方在与购房者签订正式《商品房买卖合同》后将抵付房款全部支付给乙方</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5、对于上述指定房源按揭贷款购买的，甲方应积极配合购房者办理银行贷款等相关手续，并于购房者签订正式《商品房买卖合同》后将首付房款全部支付给乙方，【60】日内将剩余抵付房款全部支付给乙方。若银行未能于购房者签订正式《商品房买卖合同》后【60】日内将剩余抵付房款支付给甲方，那么由甲方将剩余抵付房款支付给乙方</w:t>
            </w:r>
            <w:r>
              <w:rPr>
                <w:rFonts w:hint="eastAsia" w:ascii="Arial" w:hAnsi="Arial" w:cs="Arial"/>
                <w:i w:val="0"/>
                <w:iCs w:val="0"/>
                <w:color w:val="000000"/>
                <w:kern w:val="0"/>
                <w:sz w:val="18"/>
                <w:szCs w:val="18"/>
                <w:u w:val="none"/>
                <w:lang w:val="en-US" w:eastAsia="zh-CN" w:bidi="ar"/>
              </w:rPr>
              <w:t>。</w:t>
            </w:r>
          </w:p>
        </w:tc>
        <w:tc>
          <w:tcPr>
            <w:tcW w:w="0" w:type="auto"/>
            <w:vAlign w:val="center"/>
          </w:tcPr>
          <w:p>
            <w:pPr>
              <w:keepNext w:val="0"/>
              <w:keepLines w:val="0"/>
              <w:widowControl/>
              <w:suppressLineNumbers w:val="0"/>
              <w:jc w:val="right"/>
              <w:textAlignment w:val="center"/>
              <w:rPr>
                <w:rFonts w:hint="default" w:ascii="Arial" w:hAnsi="Arial" w:eastAsia="宋体" w:cs="Arial"/>
                <w:i w:val="0"/>
                <w:iCs w:val="0"/>
                <w:color w:val="000000"/>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用“佳兆业珑樾壹号项目案场可售房源”的应收房款冲抵渝煌达《佳兆业晓岸云起》项目未付佣金金额2,154,576.38元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bookmarkStart w:id="39" w:name="_Toc30168"/>
            <w:r>
              <w:rPr>
                <w:rFonts w:hint="eastAsia" w:ascii="Arial" w:hAnsi="Arial" w:cs="Arial"/>
                <w:color w:val="000000"/>
                <w:kern w:val="0"/>
                <w:sz w:val="18"/>
                <w:szCs w:val="18"/>
                <w:lang w:val="en-US" w:eastAsia="zh-CN"/>
              </w:rPr>
              <w:t>16</w:t>
            </w:r>
          </w:p>
        </w:tc>
        <w:tc>
          <w:tcPr>
            <w:tcW w:w="522" w:type="pct"/>
            <w:vAlign w:val="center"/>
          </w:tcPr>
          <w:p>
            <w:pPr>
              <w:keepNext w:val="0"/>
              <w:keepLines w:val="0"/>
              <w:widowControl/>
              <w:suppressLineNumbers w:val="0"/>
              <w:jc w:val="center"/>
              <w:textAlignment w:val="center"/>
              <w:rPr>
                <w:rFonts w:hint="default" w:ascii="Arial" w:hAnsi="Arial" w:eastAsia="宋体" w:cs="Arial"/>
                <w:b w:val="0"/>
                <w:bCs w:val="0"/>
                <w:i w:val="0"/>
                <w:iCs w:val="0"/>
                <w:color w:val="000000"/>
                <w:sz w:val="18"/>
                <w:szCs w:val="18"/>
                <w:u w:val="none"/>
                <w:lang w:val="en-US" w:eastAsia="zh-CN" w:bidi="ar-SA"/>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9/29</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江西嘉达建材有限公司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重庆佳兆业晓岸云起项目一二期外墙涂料供货合同</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1、供货内容：甲方指定乙方为佳兆业晓岸云起项目一二期项目外墙涂料的供应商，本合同约定乙方供货产品为由三棵树涂料股份有限公司生产的  三棵树牌系列产品，乙方须按甲方的要求保证质量的情况下进行供货</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交货时间：乙方收到甲方确认的书面订货通知单约定时间交货，或约定交货日期为：接到甲方书面通知后30日立天内完成全部供货，供货周期至整个外墙工程结束（分批交货则约定分批交货日期）。当有项目订货需求时，甲方应提前12天通知乙方，以便于乙方备货</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3、本合同含税总价暂定为：905,267.63元</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4、付款方式：乙方需在到达付款节点所在月份的10日前提交付款申请，提交申请经甲方及监理方审核无误后45天内支付</w:t>
            </w:r>
            <w:r>
              <w:rPr>
                <w:rFonts w:hint="eastAsia" w:ascii="Arial" w:hAnsi="Arial" w:cs="Arial"/>
                <w:i w:val="0"/>
                <w:iCs w:val="0"/>
                <w:color w:val="000000"/>
                <w:kern w:val="0"/>
                <w:sz w:val="18"/>
                <w:szCs w:val="18"/>
                <w:u w:val="none"/>
                <w:lang w:val="en-US" w:eastAsia="zh-CN" w:bidi="ar"/>
              </w:rPr>
              <w:t>。</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905,267.63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17</w:t>
            </w:r>
          </w:p>
        </w:tc>
        <w:tc>
          <w:tcPr>
            <w:tcW w:w="522" w:type="pct"/>
            <w:vAlign w:val="center"/>
          </w:tcPr>
          <w:p>
            <w:pPr>
              <w:widowControl/>
              <w:jc w:val="center"/>
              <w:rPr>
                <w:rFonts w:hint="default" w:ascii="Arial" w:hAnsi="Arial" w:eastAsia="宋体" w:cs="Arial"/>
                <w:bCs/>
                <w:sz w:val="18"/>
                <w:szCs w:val="18"/>
                <w:lang w:val="en-US" w:eastAsia="zh-CN"/>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9/29</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深圳开源实业发展有限公司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重庆佳兆业晓岸云起项目三期塑胶管材及管件采购合同</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1、供货方式：甲方指定乙方为重庆佳兆业晓岸云起项目三期项目塑胶管材及管件的供应商，本合同约定乙方供货产品为由康泰塑胶科技集团有限公司生产的康泰牌系列管材管件</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2、交货时间：自本合同生效后，乙方收到甲方确认的书面订货通知单约定时间交货，或约定交货日期不超过30日历天（分批交货则约定分批交货日期）</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3、工期要求：当有项目订货需求时，甲方应至少提前20天通知乙方，以便于乙方备货</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4、本合同暂定含税总价为：2,212,341.42元</w:t>
            </w:r>
            <w:r>
              <w:rPr>
                <w:rFonts w:hint="eastAsia" w:ascii="Arial" w:hAnsi="Arial" w:cs="Arial"/>
                <w:i w:val="0"/>
                <w:iCs w:val="0"/>
                <w:color w:val="000000"/>
                <w:kern w:val="0"/>
                <w:sz w:val="18"/>
                <w:szCs w:val="18"/>
                <w:u w:val="none"/>
                <w:lang w:val="en-US" w:eastAsia="zh-CN" w:bidi="ar"/>
              </w:rPr>
              <w:t>。</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2,212,341.42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18</w:t>
            </w:r>
          </w:p>
        </w:tc>
        <w:tc>
          <w:tcPr>
            <w:tcW w:w="522" w:type="pct"/>
            <w:vAlign w:val="center"/>
          </w:tcPr>
          <w:p>
            <w:pPr>
              <w:widowControl/>
              <w:jc w:val="center"/>
              <w:rPr>
                <w:rFonts w:hint="default" w:ascii="Arial" w:hAnsi="Arial" w:eastAsia="宋体" w:cs="Arial"/>
                <w:bCs/>
                <w:sz w:val="18"/>
                <w:szCs w:val="18"/>
                <w:lang w:val="en-US" w:eastAsia="zh-CN"/>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9/29</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重庆华硕建设有限公司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Style w:val="16"/>
                <w:rFonts w:hint="default" w:ascii="Arial" w:hAnsi="Arial" w:eastAsia="宋体" w:cs="Arial"/>
                <w:sz w:val="18"/>
                <w:szCs w:val="18"/>
                <w:lang w:val="en-US" w:eastAsia="zh-CN" w:bidi="ar"/>
              </w:rPr>
              <w:t>建设工程施工合同</w:t>
            </w:r>
            <w:r>
              <w:rPr>
                <w:rStyle w:val="16"/>
                <w:rFonts w:hint="default" w:ascii="Arial" w:hAnsi="Arial" w:eastAsia="宋体" w:cs="Arial"/>
                <w:sz w:val="18"/>
                <w:szCs w:val="18"/>
                <w:lang w:val="en-US" w:eastAsia="zh-CN" w:bidi="ar"/>
              </w:rPr>
              <w:br w:type="textWrapping"/>
            </w:r>
            <w:r>
              <w:rPr>
                <w:rStyle w:val="16"/>
                <w:rFonts w:hint="default" w:ascii="Arial" w:hAnsi="Arial" w:eastAsia="宋体" w:cs="Arial"/>
                <w:sz w:val="18"/>
                <w:szCs w:val="18"/>
                <w:lang w:val="en-US" w:eastAsia="zh-CN" w:bidi="ar"/>
              </w:rPr>
              <w:t>（</w:t>
            </w:r>
            <w:r>
              <w:rPr>
                <w:rStyle w:val="16"/>
                <w:rFonts w:hint="default" w:ascii="Arial" w:hAnsi="Arial" w:eastAsia="宋体" w:cs="Arial"/>
                <w:i w:val="0"/>
                <w:iCs w:val="0"/>
                <w:color w:val="000000"/>
                <w:sz w:val="18"/>
                <w:szCs w:val="18"/>
                <w:lang w:val="en-US" w:eastAsia="zh-CN" w:bidi="ar"/>
              </w:rPr>
              <w:t>第一批次备案合同，不具有付款义务</w:t>
            </w:r>
            <w:r>
              <w:rPr>
                <w:rStyle w:val="16"/>
                <w:rFonts w:hint="default" w:ascii="Arial" w:hAnsi="Arial" w:eastAsia="宋体" w:cs="Arial"/>
                <w:sz w:val="18"/>
                <w:szCs w:val="18"/>
                <w:lang w:val="en-US" w:eastAsia="zh-CN" w:bidi="ar"/>
              </w:rPr>
              <w:t>）</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1、工程名称：佳兆业·晓岸云起三期(33-34、39#楼及车库）</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2、总建筑面积：15914.31平方米</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3、合同工期：计划开工日期2021年10月15日，计划竣工日期2023年12月31日；工期总日历天数822天</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4、签约合同价为：19,100,000.00元，其中安全文明施工费710,000.00元</w:t>
            </w:r>
            <w:r>
              <w:rPr>
                <w:rFonts w:hint="eastAsia" w:ascii="Arial" w:hAnsi="Arial" w:cs="Arial"/>
                <w:i w:val="0"/>
                <w:iCs w:val="0"/>
                <w:color w:val="000000"/>
                <w:kern w:val="0"/>
                <w:sz w:val="18"/>
                <w:szCs w:val="18"/>
                <w:u w:val="none"/>
                <w:lang w:val="en-US" w:eastAsia="zh-CN" w:bidi="ar"/>
              </w:rPr>
              <w:t>。</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19,100,000.00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19</w:t>
            </w:r>
          </w:p>
        </w:tc>
        <w:tc>
          <w:tcPr>
            <w:tcW w:w="522" w:type="pct"/>
            <w:vAlign w:val="center"/>
          </w:tcPr>
          <w:p>
            <w:pPr>
              <w:widowControl/>
              <w:jc w:val="center"/>
              <w:rPr>
                <w:rFonts w:hint="default" w:ascii="Arial" w:hAnsi="Arial" w:eastAsia="宋体" w:cs="Arial"/>
                <w:bCs/>
                <w:sz w:val="18"/>
                <w:szCs w:val="18"/>
                <w:lang w:val="en-US" w:eastAsia="zh-CN"/>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9/29</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重庆华硕建设有限公司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建设工程直接发包确认书</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甲乙双方确定佳兆业·晓岸云起三期(33-34、39#楼及车库）工程的承包金额、工期、工程范围、面积等事宜签订《建设工程直接发包确认书》</w:t>
            </w:r>
            <w:r>
              <w:rPr>
                <w:rFonts w:hint="eastAsia" w:ascii="Arial" w:hAnsi="Arial" w:cs="Arial"/>
                <w:i w:val="0"/>
                <w:iCs w:val="0"/>
                <w:color w:val="000000"/>
                <w:kern w:val="0"/>
                <w:sz w:val="18"/>
                <w:szCs w:val="18"/>
                <w:u w:val="none"/>
                <w:lang w:val="en-US" w:eastAsia="zh-CN" w:bidi="ar"/>
              </w:rPr>
              <w:t>。</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20</w:t>
            </w:r>
          </w:p>
        </w:tc>
        <w:tc>
          <w:tcPr>
            <w:tcW w:w="522" w:type="pct"/>
            <w:vAlign w:val="center"/>
          </w:tcPr>
          <w:p>
            <w:pPr>
              <w:widowControl/>
              <w:jc w:val="center"/>
              <w:rPr>
                <w:rFonts w:hint="default" w:ascii="Arial" w:hAnsi="Arial" w:eastAsia="宋体" w:cs="Arial"/>
                <w:bCs/>
                <w:sz w:val="18"/>
                <w:szCs w:val="18"/>
                <w:lang w:val="en-US" w:eastAsia="zh-CN"/>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9/29</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重庆华硕建设有限公司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补充协议一</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甲、乙双方就重庆佳兆业·晓岸云起三期(33-34、39#楼及车库）项目主体工程于2021年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月30日签订《建设工程施工合同》，合同编号：Jzy-xy-006、建设工程发包确认书，编号：Jzy-xy-006-01以及建设工程安全文明施工措施费支付计划，编号：Jzy-xy-006-02；双方根据工程的具体情况，签订本补充协议，具体协议内容如下：</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1、原合同仅限于本工程办理施工许可证进行备案时用，不作为任何计价依据且不用于任何施工结算。</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21</w:t>
            </w:r>
          </w:p>
        </w:tc>
        <w:tc>
          <w:tcPr>
            <w:tcW w:w="522" w:type="pct"/>
            <w:vAlign w:val="center"/>
          </w:tcPr>
          <w:p>
            <w:pPr>
              <w:widowControl/>
              <w:jc w:val="center"/>
              <w:rPr>
                <w:rFonts w:hint="default" w:ascii="Arial" w:hAnsi="Arial" w:eastAsia="宋体" w:cs="Arial"/>
                <w:bCs/>
                <w:sz w:val="18"/>
                <w:szCs w:val="18"/>
                <w:lang w:val="en-US" w:eastAsia="zh-CN"/>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9/29</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重庆华硕建设有限公司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Style w:val="16"/>
                <w:rFonts w:hint="default" w:ascii="Arial" w:hAnsi="Arial" w:eastAsia="宋体" w:cs="Arial"/>
                <w:sz w:val="18"/>
                <w:szCs w:val="18"/>
                <w:lang w:val="en-US" w:eastAsia="zh-CN" w:bidi="ar"/>
              </w:rPr>
              <w:t>建设工程施工合同</w:t>
            </w:r>
            <w:r>
              <w:rPr>
                <w:rStyle w:val="16"/>
                <w:rFonts w:hint="default" w:ascii="Arial" w:hAnsi="Arial" w:eastAsia="宋体" w:cs="Arial"/>
                <w:sz w:val="18"/>
                <w:szCs w:val="18"/>
                <w:lang w:val="en-US" w:eastAsia="zh-CN" w:bidi="ar"/>
              </w:rPr>
              <w:br w:type="textWrapping"/>
            </w:r>
            <w:r>
              <w:rPr>
                <w:rStyle w:val="16"/>
                <w:rFonts w:hint="default" w:ascii="Arial" w:hAnsi="Arial" w:eastAsia="宋体" w:cs="Arial"/>
                <w:sz w:val="18"/>
                <w:szCs w:val="18"/>
                <w:lang w:val="en-US" w:eastAsia="zh-CN" w:bidi="ar"/>
              </w:rPr>
              <w:t>（</w:t>
            </w:r>
            <w:r>
              <w:rPr>
                <w:rStyle w:val="16"/>
                <w:rFonts w:hint="default" w:ascii="Arial" w:hAnsi="Arial" w:eastAsia="宋体" w:cs="Arial"/>
                <w:i w:val="0"/>
                <w:iCs w:val="0"/>
                <w:color w:val="000000"/>
                <w:sz w:val="18"/>
                <w:szCs w:val="18"/>
                <w:lang w:val="en-US" w:eastAsia="zh-CN" w:bidi="ar"/>
              </w:rPr>
              <w:t>第二批次备案合同，不具有付款义务</w:t>
            </w:r>
            <w:r>
              <w:rPr>
                <w:rStyle w:val="16"/>
                <w:rFonts w:hint="default" w:ascii="Arial" w:hAnsi="Arial" w:eastAsia="宋体" w:cs="Arial"/>
                <w:sz w:val="18"/>
                <w:szCs w:val="18"/>
                <w:lang w:val="en-US" w:eastAsia="zh-CN" w:bidi="ar"/>
              </w:rPr>
              <w:t>）</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1、工程名称：佳兆业·晓岸云起三期(30-32、35-38、40-50#楼及车库）</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2、总建筑面积：84873.53平方米</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3、合同工期：计划开工日期2021年10月15日，计划竣工日期2023年12月31日；工期总日历天数822天</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4、签约合同价为：101,850,000.00元，其中安全文明施工费：3,810,000.00元</w:t>
            </w:r>
            <w:r>
              <w:rPr>
                <w:rFonts w:hint="eastAsia" w:ascii="Arial" w:hAnsi="Arial" w:cs="Arial"/>
                <w:i w:val="0"/>
                <w:iCs w:val="0"/>
                <w:color w:val="000000"/>
                <w:kern w:val="0"/>
                <w:sz w:val="18"/>
                <w:szCs w:val="18"/>
                <w:u w:val="none"/>
                <w:lang w:val="en-US" w:eastAsia="zh-CN" w:bidi="ar"/>
              </w:rPr>
              <w:t>。</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101,850,000.00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22</w:t>
            </w:r>
          </w:p>
        </w:tc>
        <w:tc>
          <w:tcPr>
            <w:tcW w:w="522" w:type="pct"/>
            <w:vAlign w:val="center"/>
          </w:tcPr>
          <w:p>
            <w:pPr>
              <w:widowControl/>
              <w:jc w:val="center"/>
              <w:rPr>
                <w:rFonts w:hint="default" w:ascii="Arial" w:hAnsi="Arial" w:eastAsia="宋体" w:cs="Arial"/>
                <w:bCs/>
                <w:sz w:val="18"/>
                <w:szCs w:val="18"/>
                <w:lang w:val="en-US" w:eastAsia="zh-CN"/>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9/29</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重庆华硕建设有限公司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建设工程直接发包确认书</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甲乙双方确定佳兆业·晓岸云起三期(30-32、35-38、40-50#楼及车库）工程的承包金额、工期、工程范围、面积等事宜签订《建设工程直接发包确认书》</w:t>
            </w:r>
            <w:r>
              <w:rPr>
                <w:rFonts w:hint="eastAsia" w:ascii="Arial" w:hAnsi="Arial" w:cs="Arial"/>
                <w:i w:val="0"/>
                <w:iCs w:val="0"/>
                <w:color w:val="000000"/>
                <w:kern w:val="0"/>
                <w:sz w:val="18"/>
                <w:szCs w:val="18"/>
                <w:u w:val="none"/>
                <w:lang w:val="en-US" w:eastAsia="zh-CN" w:bidi="ar"/>
              </w:rPr>
              <w:t>。</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225" w:type="pct"/>
            <w:vAlign w:val="center"/>
          </w:tcPr>
          <w:p>
            <w:pPr>
              <w:widowControl/>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23</w:t>
            </w:r>
          </w:p>
        </w:tc>
        <w:tc>
          <w:tcPr>
            <w:tcW w:w="522" w:type="pct"/>
            <w:vAlign w:val="center"/>
          </w:tcPr>
          <w:p>
            <w:pPr>
              <w:widowControl/>
              <w:jc w:val="center"/>
              <w:rPr>
                <w:rFonts w:hint="default" w:ascii="Arial" w:hAnsi="Arial" w:eastAsia="宋体" w:cs="Arial"/>
                <w:bCs/>
                <w:sz w:val="18"/>
                <w:szCs w:val="18"/>
                <w:lang w:val="en-US" w:eastAsia="zh-CN"/>
              </w:rPr>
            </w:pPr>
            <w:r>
              <w:rPr>
                <w:rFonts w:hint="default" w:ascii="Arial" w:hAnsi="Arial" w:eastAsia="宋体" w:cs="Arial"/>
                <w:b w:val="0"/>
                <w:bCs w:val="0"/>
                <w:i w:val="0"/>
                <w:iCs w:val="0"/>
                <w:color w:val="000000"/>
                <w:kern w:val="0"/>
                <w:sz w:val="18"/>
                <w:szCs w:val="18"/>
                <w:u w:val="none"/>
                <w:lang w:val="en-US" w:eastAsia="zh-CN" w:bidi="ar"/>
              </w:rPr>
              <w:t>2021/</w:t>
            </w:r>
            <w:r>
              <w:rPr>
                <w:rFonts w:hint="eastAsia" w:ascii="Arial" w:hAnsi="Arial" w:cs="Arial"/>
                <w:b w:val="0"/>
                <w:bCs w:val="0"/>
                <w:i w:val="0"/>
                <w:iCs w:val="0"/>
                <w:color w:val="000000"/>
                <w:kern w:val="0"/>
                <w:sz w:val="18"/>
                <w:szCs w:val="18"/>
                <w:u w:val="none"/>
                <w:lang w:val="en-US" w:eastAsia="zh-CN" w:bidi="ar"/>
              </w:rPr>
              <w:t>0</w:t>
            </w:r>
            <w:r>
              <w:rPr>
                <w:rFonts w:hint="default" w:ascii="Arial" w:hAnsi="Arial" w:eastAsia="宋体" w:cs="Arial"/>
                <w:b w:val="0"/>
                <w:bCs w:val="0"/>
                <w:i w:val="0"/>
                <w:iCs w:val="0"/>
                <w:color w:val="000000"/>
                <w:kern w:val="0"/>
                <w:sz w:val="18"/>
                <w:szCs w:val="18"/>
                <w:u w:val="none"/>
                <w:lang w:val="en-US" w:eastAsia="zh-CN" w:bidi="ar"/>
              </w:rPr>
              <w:t>9/29</w:t>
            </w:r>
          </w:p>
        </w:tc>
        <w:tc>
          <w:tcPr>
            <w:tcW w:w="68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重庆华硕建设有限公司</w:t>
            </w:r>
          </w:p>
        </w:tc>
        <w:tc>
          <w:tcPr>
            <w:tcW w:w="595" w:type="pct"/>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补充协议一</w:t>
            </w:r>
          </w:p>
        </w:tc>
        <w:tc>
          <w:tcPr>
            <w:tcW w:w="2330" w:type="pct"/>
            <w:vAlign w:val="center"/>
          </w:tcPr>
          <w:p>
            <w:pPr>
              <w:keepNext w:val="0"/>
              <w:keepLines w:val="0"/>
              <w:widowControl/>
              <w:suppressLineNumbers w:val="0"/>
              <w:jc w:val="lef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甲、乙双方就重庆佳兆业·晓岸云起三期(30-32、35-38、40-50#楼及车库）项目主体工程于2021年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月30日签订《建设工程施工合同》，合同编号：Jzy-xy-007、建设工程发包确认书，编号：Jzy-xy-007-01以及建设工程安全文明施工措施费支付计划，编号：Jzy-xy-007-02；经双方本着平等协商，互惠互利的原则，根据工程的具体情况，签订本补充协议，具体协议内容如下：</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1、原合同仅限于本工程办理施工许可证进行备案时用，不作为任何计价依据且不用于任何施工结算。</w:t>
            </w:r>
          </w:p>
        </w:tc>
        <w:tc>
          <w:tcPr>
            <w:tcW w:w="640" w:type="pct"/>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6</w:t>
      </w:r>
      <w:r>
        <w:rPr>
          <w:rFonts w:hint="eastAsia" w:ascii="宋体" w:hAnsi="宋体" w:eastAsia="宋体" w:cs="宋体"/>
          <w:sz w:val="24"/>
          <w:szCs w:val="24"/>
          <w:lang w:val="en-US" w:eastAsia="zh-CN"/>
        </w:rPr>
        <w:t>项目</w:t>
      </w:r>
      <w:r>
        <w:rPr>
          <w:rFonts w:hint="eastAsia" w:ascii="宋体" w:hAnsi="宋体" w:cs="宋体"/>
          <w:sz w:val="24"/>
          <w:szCs w:val="24"/>
          <w:lang w:val="en-US" w:eastAsia="zh-CN"/>
        </w:rPr>
        <w:t>营销</w:t>
      </w:r>
      <w:r>
        <w:rPr>
          <w:rFonts w:hint="eastAsia" w:ascii="宋体" w:hAnsi="宋体" w:eastAsia="宋体" w:cs="宋体"/>
          <w:sz w:val="24"/>
          <w:szCs w:val="24"/>
          <w:lang w:val="en-US" w:eastAsia="zh-CN"/>
        </w:rPr>
        <w:t>情况</w:t>
      </w:r>
      <w:bookmarkEnd w:id="32"/>
      <w:bookmarkEnd w:id="33"/>
      <w:bookmarkEnd w:id="34"/>
      <w:bookmarkEnd w:id="35"/>
      <w:bookmarkEnd w:id="36"/>
      <w:bookmarkEnd w:id="39"/>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9"/>
        <w:rPr>
          <w:rFonts w:hint="eastAsia"/>
        </w:rPr>
      </w:pPr>
      <w:r>
        <w:rPr>
          <w:rFonts w:hint="eastAsia" w:ascii="Arial" w:hAnsi="Arial" w:eastAsia="宋体" w:cs="Arial"/>
          <w:b/>
          <w:bCs/>
          <w:sz w:val="24"/>
          <w:szCs w:val="32"/>
          <w:lang w:val="en-US" w:eastAsia="zh-CN"/>
        </w:rPr>
        <w:t>项目公司</w:t>
      </w:r>
      <w:r>
        <w:rPr>
          <w:rFonts w:hint="eastAsia" w:ascii="Arial" w:hAnsi="Arial" w:cs="Arial"/>
          <w:b/>
          <w:bCs/>
          <w:sz w:val="24"/>
          <w:szCs w:val="32"/>
          <w:lang w:val="en-US" w:eastAsia="zh-CN"/>
        </w:rPr>
        <w:t>晓岸云起</w:t>
      </w:r>
      <w:r>
        <w:rPr>
          <w:rFonts w:hint="eastAsia" w:ascii="Arial" w:hAnsi="Arial" w:eastAsia="宋体" w:cs="Arial"/>
          <w:b/>
          <w:bCs/>
          <w:sz w:val="24"/>
          <w:szCs w:val="32"/>
          <w:lang w:val="en-US" w:eastAsia="zh-CN"/>
        </w:rPr>
        <w:t>开盘情况表</w:t>
      </w:r>
    </w:p>
    <w:tbl>
      <w:tblPr>
        <w:tblStyle w:val="10"/>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382"/>
        <w:gridCol w:w="1789"/>
        <w:gridCol w:w="1396"/>
        <w:gridCol w:w="1648"/>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7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项目名称</w:t>
            </w:r>
          </w:p>
        </w:tc>
        <w:tc>
          <w:tcPr>
            <w:tcW w:w="13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楼栋号</w:t>
            </w:r>
          </w:p>
        </w:tc>
        <w:tc>
          <w:tcPr>
            <w:tcW w:w="1789"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开盘日期</w:t>
            </w:r>
          </w:p>
        </w:tc>
        <w:tc>
          <w:tcPr>
            <w:tcW w:w="1396"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可售房源/套</w:t>
            </w:r>
          </w:p>
        </w:tc>
        <w:tc>
          <w:tcPr>
            <w:tcW w:w="1648"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建筑面积/㎡</w:t>
            </w:r>
          </w:p>
        </w:tc>
        <w:tc>
          <w:tcPr>
            <w:tcW w:w="1582" w:type="dxa"/>
          </w:tcPr>
          <w:p>
            <w:pPr>
              <w:widowControl/>
              <w:jc w:val="center"/>
              <w:rPr>
                <w:rFonts w:hint="default" w:ascii="Arial" w:hAnsi="Arial" w:cs="Arial"/>
                <w:b/>
                <w:sz w:val="18"/>
                <w:szCs w:val="18"/>
                <w:lang w:val="en-US" w:eastAsia="zh-CN"/>
              </w:rPr>
            </w:pPr>
            <w:r>
              <w:rPr>
                <w:rFonts w:hint="eastAsia" w:ascii="Arial" w:hAnsi="Arial" w:cs="Arial"/>
                <w:b/>
                <w:sz w:val="18"/>
                <w:szCs w:val="18"/>
                <w:lang w:val="en-US" w:eastAsia="zh-CN"/>
              </w:rPr>
              <w:t>总货值约/万元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restart"/>
            <w:vAlign w:val="center"/>
          </w:tcPr>
          <w:p>
            <w:pPr>
              <w:jc w:val="center"/>
              <w:textAlignment w:val="center"/>
              <w:rPr>
                <w:rFonts w:hint="eastAsia" w:ascii="宋体" w:hAnsi="宋体" w:eastAsia="宋体" w:cs="宋体"/>
                <w:color w:val="000000"/>
                <w:sz w:val="18"/>
                <w:szCs w:val="18"/>
                <w:lang w:val="en-US" w:eastAsia="zh-CN" w:bidi="ar"/>
              </w:rPr>
            </w:pPr>
          </w:p>
          <w:p>
            <w:pPr>
              <w:jc w:val="center"/>
              <w:textAlignment w:val="center"/>
              <w:rPr>
                <w:rFonts w:hint="default"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晓岸云起一期</w:t>
            </w: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3#、6#、7#楼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2021年01月30日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140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13350.52</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18,713.00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bidi="ar"/>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8#楼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2021年02月27日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5717.14</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8,014.00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bidi="ar"/>
              </w:rPr>
            </w:pPr>
          </w:p>
        </w:tc>
        <w:tc>
          <w:tcPr>
            <w:tcW w:w="1382"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4#楼</w:t>
            </w:r>
          </w:p>
        </w:tc>
        <w:tc>
          <w:tcPr>
            <w:tcW w:w="1789"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2021年03月12日</w:t>
            </w:r>
          </w:p>
        </w:tc>
        <w:tc>
          <w:tcPr>
            <w:tcW w:w="1396"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w:t>
            </w:r>
          </w:p>
        </w:tc>
        <w:tc>
          <w:tcPr>
            <w:tcW w:w="1648" w:type="dxa"/>
          </w:tcPr>
          <w:p>
            <w:pPr>
              <w:widowControl/>
              <w:jc w:val="center"/>
              <w:rPr>
                <w:rFonts w:hint="default" w:ascii="Arial" w:hAnsi="Arial" w:cs="Arial"/>
                <w:b w:val="0"/>
                <w:bCs/>
                <w:sz w:val="18"/>
                <w:szCs w:val="18"/>
                <w:lang w:val="en-US" w:eastAsia="zh-CN"/>
              </w:rPr>
            </w:pPr>
            <w:r>
              <w:rPr>
                <w:rFonts w:hint="eastAsia" w:ascii="Arial" w:hAnsi="Arial" w:cs="Arial"/>
                <w:b w:val="0"/>
                <w:bCs/>
                <w:sz w:val="18"/>
                <w:szCs w:val="18"/>
                <w:lang w:val="en-US" w:eastAsia="zh-CN"/>
              </w:rPr>
              <w:t>2077.77</w:t>
            </w:r>
          </w:p>
        </w:tc>
        <w:tc>
          <w:tcPr>
            <w:tcW w:w="1582" w:type="dxa"/>
          </w:tcPr>
          <w:p>
            <w:pPr>
              <w:widowControl/>
              <w:jc w:val="right"/>
              <w:rPr>
                <w:rFonts w:hint="default" w:ascii="Arial" w:hAnsi="Arial" w:cs="Arial"/>
                <w:b w:val="0"/>
                <w:bCs/>
                <w:sz w:val="18"/>
                <w:szCs w:val="18"/>
                <w:lang w:val="en-US" w:eastAsia="zh-CN"/>
              </w:rPr>
            </w:pPr>
            <w:r>
              <w:rPr>
                <w:rFonts w:hint="eastAsia" w:ascii="Arial" w:hAnsi="Arial" w:cs="Arial"/>
                <w:b w:val="0"/>
                <w:bCs/>
                <w:sz w:val="18"/>
                <w:szCs w:val="18"/>
                <w:lang w:val="en-US" w:eastAsia="zh-CN"/>
              </w:rPr>
              <w:t>2,955.00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1#楼</w:t>
            </w:r>
          </w:p>
        </w:tc>
        <w:tc>
          <w:tcPr>
            <w:tcW w:w="1789"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2021年06月19日</w:t>
            </w:r>
          </w:p>
        </w:tc>
        <w:tc>
          <w:tcPr>
            <w:tcW w:w="1396"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5422.74</w:t>
            </w:r>
          </w:p>
        </w:tc>
        <w:tc>
          <w:tcPr>
            <w:tcW w:w="1582" w:type="dxa"/>
            <w:vAlign w:val="center"/>
          </w:tcPr>
          <w:p>
            <w:pPr>
              <w:keepNext w:val="0"/>
              <w:keepLines w:val="0"/>
              <w:widowControl/>
              <w:suppressLineNumbers w:val="0"/>
              <w:jc w:val="right"/>
              <w:textAlignment w:val="center"/>
              <w:rPr>
                <w:rFonts w:hint="eastAsia" w:ascii="Arial" w:hAnsi="Arial" w:cs="Arial"/>
                <w:b w:val="0"/>
                <w:bCs/>
                <w:sz w:val="18"/>
                <w:szCs w:val="18"/>
                <w:lang w:val="en-US" w:eastAsia="zh-CN"/>
              </w:rPr>
            </w:pPr>
            <w:r>
              <w:rPr>
                <w:rFonts w:hint="eastAsia" w:ascii="Arial" w:hAnsi="Arial" w:cs="Arial"/>
                <w:b w:val="0"/>
                <w:bCs/>
                <w:sz w:val="18"/>
                <w:szCs w:val="18"/>
                <w:lang w:val="en-US" w:eastAsia="zh-CN"/>
              </w:rPr>
              <w:t xml:space="preserve">7,917.00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restart"/>
            <w:vAlign w:val="center"/>
          </w:tcPr>
          <w:p>
            <w:pPr>
              <w:jc w:val="center"/>
              <w:textAlignment w:val="center"/>
              <w:rPr>
                <w:rFonts w:hint="eastAsia" w:ascii="宋体" w:hAnsi="宋体" w:eastAsia="宋体" w:cs="宋体"/>
                <w:color w:val="000000"/>
                <w:sz w:val="18"/>
                <w:szCs w:val="18"/>
                <w:lang w:val="en-US" w:eastAsia="zh-CN" w:bidi="ar"/>
              </w:rPr>
            </w:pPr>
          </w:p>
          <w:p>
            <w:pPr>
              <w:jc w:val="center"/>
              <w:textAlignment w:val="center"/>
              <w:rPr>
                <w:rFonts w:hint="default" w:ascii="宋体" w:hAnsi="宋体" w:eastAsia="宋体" w:cs="宋体"/>
                <w:color w:val="000000"/>
                <w:sz w:val="18"/>
                <w:szCs w:val="18"/>
                <w:lang w:val="en-US" w:eastAsia="zh-CN" w:bidi="ar"/>
              </w:rPr>
            </w:pPr>
            <w:r>
              <w:rPr>
                <w:rFonts w:hint="eastAsia" w:ascii="宋体" w:hAnsi="宋体" w:eastAsia="宋体" w:cs="宋体"/>
                <w:color w:val="000000"/>
                <w:sz w:val="18"/>
                <w:szCs w:val="18"/>
                <w:lang w:val="en-US" w:eastAsia="zh-CN" w:bidi="ar"/>
              </w:rPr>
              <w:t>晓岸云起</w:t>
            </w:r>
            <w:r>
              <w:rPr>
                <w:rFonts w:hint="eastAsia" w:ascii="宋体" w:hAnsi="宋体" w:cs="宋体"/>
                <w:color w:val="000000"/>
                <w:sz w:val="18"/>
                <w:szCs w:val="18"/>
                <w:lang w:val="en-US" w:eastAsia="zh-CN" w:bidi="ar"/>
              </w:rPr>
              <w:t>二</w:t>
            </w:r>
            <w:r>
              <w:rPr>
                <w:rFonts w:hint="eastAsia" w:ascii="宋体" w:hAnsi="宋体" w:eastAsia="宋体" w:cs="宋体"/>
                <w:color w:val="000000"/>
                <w:sz w:val="18"/>
                <w:szCs w:val="18"/>
                <w:lang w:val="en-US" w:eastAsia="zh-CN" w:bidi="ar"/>
              </w:rPr>
              <w:t>期</w:t>
            </w:r>
          </w:p>
          <w:p>
            <w:pPr>
              <w:jc w:val="center"/>
              <w:textAlignment w:val="center"/>
              <w:rPr>
                <w:rFonts w:hint="default"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12#楼</w:t>
            </w:r>
          </w:p>
        </w:tc>
        <w:tc>
          <w:tcPr>
            <w:tcW w:w="1789"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2021年03月31日</w:t>
            </w:r>
          </w:p>
        </w:tc>
        <w:tc>
          <w:tcPr>
            <w:tcW w:w="1396"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64</w:t>
            </w:r>
          </w:p>
        </w:tc>
        <w:tc>
          <w:tcPr>
            <w:tcW w:w="1648"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5716.22</w:t>
            </w:r>
          </w:p>
        </w:tc>
        <w:tc>
          <w:tcPr>
            <w:tcW w:w="1582" w:type="dxa"/>
            <w:vAlign w:val="top"/>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21#楼</w:t>
            </w:r>
          </w:p>
        </w:tc>
        <w:tc>
          <w:tcPr>
            <w:tcW w:w="1789"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2021年04月16日</w:t>
            </w:r>
          </w:p>
        </w:tc>
        <w:tc>
          <w:tcPr>
            <w:tcW w:w="1396"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18</w:t>
            </w:r>
          </w:p>
        </w:tc>
        <w:tc>
          <w:tcPr>
            <w:tcW w:w="1648"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2332.90</w:t>
            </w:r>
          </w:p>
        </w:tc>
        <w:tc>
          <w:tcPr>
            <w:tcW w:w="1582" w:type="dxa"/>
            <w:vAlign w:val="top"/>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3,656.00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20#楼</w:t>
            </w:r>
          </w:p>
        </w:tc>
        <w:tc>
          <w:tcPr>
            <w:tcW w:w="1789"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2021年04月25日</w:t>
            </w:r>
          </w:p>
        </w:tc>
        <w:tc>
          <w:tcPr>
            <w:tcW w:w="139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2853.78 </w:t>
            </w:r>
          </w:p>
        </w:tc>
        <w:tc>
          <w:tcPr>
            <w:tcW w:w="158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4,331.00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top"/>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13#楼</w:t>
            </w:r>
          </w:p>
        </w:tc>
        <w:tc>
          <w:tcPr>
            <w:tcW w:w="1789"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2021年04月29日</w:t>
            </w:r>
          </w:p>
        </w:tc>
        <w:tc>
          <w:tcPr>
            <w:tcW w:w="139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64</w:t>
            </w:r>
          </w:p>
        </w:tc>
        <w:tc>
          <w:tcPr>
            <w:tcW w:w="164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5716.98 </w:t>
            </w:r>
          </w:p>
        </w:tc>
        <w:tc>
          <w:tcPr>
            <w:tcW w:w="158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8,214.00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22#、23#楼</w:t>
            </w:r>
          </w:p>
        </w:tc>
        <w:tc>
          <w:tcPr>
            <w:tcW w:w="1789"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2021年05月29日</w:t>
            </w:r>
          </w:p>
        </w:tc>
        <w:tc>
          <w:tcPr>
            <w:tcW w:w="139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36</w:t>
            </w:r>
          </w:p>
        </w:tc>
        <w:tc>
          <w:tcPr>
            <w:tcW w:w="164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4666.20 </w:t>
            </w:r>
          </w:p>
        </w:tc>
        <w:tc>
          <w:tcPr>
            <w:tcW w:w="158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7,523.00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19#楼</w:t>
            </w:r>
          </w:p>
        </w:tc>
        <w:tc>
          <w:tcPr>
            <w:tcW w:w="1789"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2021年05月31日</w:t>
            </w:r>
          </w:p>
        </w:tc>
        <w:tc>
          <w:tcPr>
            <w:tcW w:w="1396"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22</w:t>
            </w:r>
          </w:p>
        </w:tc>
        <w:tc>
          <w:tcPr>
            <w:tcW w:w="1648"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2853.88 </w:t>
            </w:r>
          </w:p>
        </w:tc>
        <w:tc>
          <w:tcPr>
            <w:tcW w:w="1582" w:type="dxa"/>
            <w:vAlign w:val="center"/>
          </w:tcPr>
          <w:p>
            <w:pPr>
              <w:widowControl/>
              <w:jc w:val="right"/>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 xml:space="preserve">4,509.00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15#楼</w:t>
            </w:r>
          </w:p>
        </w:tc>
        <w:tc>
          <w:tcPr>
            <w:tcW w:w="1789"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2021年07月20日</w:t>
            </w:r>
          </w:p>
        </w:tc>
        <w:tc>
          <w:tcPr>
            <w:tcW w:w="1396"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64</w:t>
            </w:r>
          </w:p>
        </w:tc>
        <w:tc>
          <w:tcPr>
            <w:tcW w:w="1648" w:type="dxa"/>
            <w:vAlign w:val="center"/>
          </w:tcPr>
          <w:p>
            <w:pPr>
              <w:widowControl/>
              <w:jc w:val="center"/>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5715.76</w:t>
            </w:r>
          </w:p>
        </w:tc>
        <w:tc>
          <w:tcPr>
            <w:tcW w:w="1582" w:type="dxa"/>
            <w:vAlign w:val="center"/>
          </w:tcPr>
          <w:p>
            <w:pPr>
              <w:widowControl/>
              <w:jc w:val="right"/>
              <w:rPr>
                <w:rFonts w:hint="default" w:ascii="Arial" w:hAnsi="Arial" w:eastAsia="宋体" w:cs="Arial"/>
                <w:b w:val="0"/>
                <w:bCs/>
                <w:sz w:val="18"/>
                <w:szCs w:val="18"/>
                <w:lang w:val="en-US" w:eastAsia="zh-CN" w:bidi="ar-SA"/>
              </w:rPr>
            </w:pPr>
            <w:r>
              <w:rPr>
                <w:rFonts w:hint="eastAsia" w:ascii="Arial" w:hAnsi="Arial" w:cs="Arial"/>
                <w:b w:val="0"/>
                <w:bCs/>
                <w:sz w:val="18"/>
                <w:szCs w:val="18"/>
                <w:lang w:val="en-US" w:eastAsia="zh-CN"/>
              </w:rPr>
              <w:t>8,459.00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6" w:type="dxa"/>
            <w:vMerge w:val="continue"/>
            <w:vAlign w:val="top"/>
          </w:tcPr>
          <w:p>
            <w:pPr>
              <w:jc w:val="center"/>
              <w:textAlignment w:val="center"/>
              <w:rPr>
                <w:rFonts w:hint="eastAsia" w:ascii="宋体" w:hAnsi="宋体" w:eastAsia="宋体" w:cs="宋体"/>
                <w:color w:val="000000"/>
                <w:sz w:val="18"/>
                <w:szCs w:val="18"/>
                <w:lang w:val="en-US" w:eastAsia="zh-CN" w:bidi="ar"/>
              </w:rPr>
            </w:pPr>
          </w:p>
        </w:tc>
        <w:tc>
          <w:tcPr>
            <w:tcW w:w="1382" w:type="dxa"/>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val="0"/>
                <w:bCs/>
                <w:sz w:val="18"/>
                <w:szCs w:val="18"/>
                <w:lang w:val="en-US" w:eastAsia="zh-CN"/>
              </w:rPr>
              <w:t>24#楼</w:t>
            </w:r>
          </w:p>
        </w:tc>
        <w:tc>
          <w:tcPr>
            <w:tcW w:w="1789" w:type="dxa"/>
            <w:vAlign w:val="center"/>
          </w:tcPr>
          <w:p>
            <w:pPr>
              <w:keepNext w:val="0"/>
              <w:keepLines w:val="0"/>
              <w:widowControl/>
              <w:suppressLineNumbers w:val="0"/>
              <w:jc w:val="center"/>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2021年</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8月</w:t>
            </w:r>
            <w:r>
              <w:rPr>
                <w:rFonts w:hint="eastAsia" w:ascii="Arial" w:hAnsi="Arial"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日</w:t>
            </w:r>
          </w:p>
        </w:tc>
        <w:tc>
          <w:tcPr>
            <w:tcW w:w="1396" w:type="dxa"/>
            <w:vAlign w:val="center"/>
          </w:tcPr>
          <w:p>
            <w:pPr>
              <w:keepNext w:val="0"/>
              <w:keepLines w:val="0"/>
              <w:widowControl/>
              <w:suppressLineNumbers w:val="0"/>
              <w:jc w:val="center"/>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56</w:t>
            </w:r>
          </w:p>
        </w:tc>
        <w:tc>
          <w:tcPr>
            <w:tcW w:w="1648" w:type="dxa"/>
            <w:vAlign w:val="center"/>
          </w:tcPr>
          <w:p>
            <w:pPr>
              <w:keepNext w:val="0"/>
              <w:keepLines w:val="0"/>
              <w:widowControl/>
              <w:suppressLineNumbers w:val="0"/>
              <w:jc w:val="center"/>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5287.64</w:t>
            </w:r>
          </w:p>
        </w:tc>
        <w:tc>
          <w:tcPr>
            <w:tcW w:w="1582" w:type="dxa"/>
            <w:vAlign w:val="center"/>
          </w:tcPr>
          <w:p>
            <w:pPr>
              <w:keepNext w:val="0"/>
              <w:keepLines w:val="0"/>
              <w:widowControl/>
              <w:suppressLineNumbers w:val="0"/>
              <w:jc w:val="right"/>
              <w:textAlignment w:val="center"/>
              <w:rPr>
                <w:rFonts w:hint="eastAsia" w:ascii="Arial" w:hAnsi="Arial" w:eastAsia="宋体" w:cs="Arial"/>
                <w:b w:val="0"/>
                <w:bCs/>
                <w:sz w:val="18"/>
                <w:szCs w:val="18"/>
                <w:lang w:val="en-US" w:eastAsia="zh-CN" w:bidi="ar-SA"/>
              </w:rPr>
            </w:pPr>
            <w:r>
              <w:rPr>
                <w:rFonts w:hint="default" w:ascii="Arial" w:hAnsi="Arial" w:eastAsia="宋体" w:cs="Arial"/>
                <w:i w:val="0"/>
                <w:iCs w:val="0"/>
                <w:color w:val="000000"/>
                <w:kern w:val="0"/>
                <w:sz w:val="18"/>
                <w:szCs w:val="18"/>
                <w:u w:val="none"/>
                <w:lang w:val="en-US" w:eastAsia="zh-CN" w:bidi="ar"/>
              </w:rPr>
              <w:t xml:space="preserve">7,931.00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647" w:type="dxa"/>
            <w:gridSpan w:val="3"/>
            <w:vAlign w:val="center"/>
          </w:tcPr>
          <w:p>
            <w:pPr>
              <w:widowControl/>
              <w:jc w:val="center"/>
              <w:rPr>
                <w:rFonts w:hint="eastAsia" w:ascii="Arial" w:hAnsi="Arial" w:eastAsia="宋体" w:cs="Arial"/>
                <w:b w:val="0"/>
                <w:bCs/>
                <w:sz w:val="18"/>
                <w:szCs w:val="18"/>
                <w:lang w:val="en-US" w:eastAsia="zh-CN" w:bidi="ar-SA"/>
              </w:rPr>
            </w:pPr>
            <w:r>
              <w:rPr>
                <w:rFonts w:hint="eastAsia" w:ascii="Arial" w:hAnsi="Arial" w:cs="Arial"/>
                <w:b/>
                <w:bCs w:val="0"/>
                <w:sz w:val="18"/>
                <w:szCs w:val="18"/>
                <w:lang w:val="en-US" w:eastAsia="zh-CN"/>
              </w:rPr>
              <w:t>合计</w:t>
            </w:r>
          </w:p>
        </w:tc>
        <w:tc>
          <w:tcPr>
            <w:tcW w:w="1396" w:type="dxa"/>
            <w:vAlign w:val="center"/>
          </w:tcPr>
          <w:p>
            <w:pPr>
              <w:keepNext w:val="0"/>
              <w:keepLines w:val="0"/>
              <w:widowControl/>
              <w:suppressLineNumbers w:val="0"/>
              <w:jc w:val="center"/>
              <w:textAlignment w:val="center"/>
              <w:rPr>
                <w:rFonts w:hint="default" w:ascii="Arial" w:hAnsi="Arial" w:eastAsia="宋体" w:cs="Arial"/>
                <w:b/>
                <w:bCs w:val="0"/>
                <w:color w:val="auto"/>
                <w:sz w:val="18"/>
                <w:szCs w:val="18"/>
                <w:lang w:val="en-US" w:eastAsia="zh-CN" w:bidi="ar-SA"/>
              </w:rPr>
            </w:pPr>
            <w:r>
              <w:rPr>
                <w:rFonts w:hint="eastAsia" w:ascii="Arial" w:hAnsi="Arial" w:cs="Arial"/>
                <w:b/>
                <w:bCs/>
                <w:i w:val="0"/>
                <w:iCs w:val="0"/>
                <w:color w:val="auto"/>
                <w:kern w:val="0"/>
                <w:sz w:val="18"/>
                <w:szCs w:val="18"/>
                <w:u w:val="none"/>
                <w:lang w:val="en-US" w:eastAsia="zh-CN" w:bidi="ar"/>
              </w:rPr>
              <w:t>634</w:t>
            </w:r>
          </w:p>
        </w:tc>
        <w:tc>
          <w:tcPr>
            <w:tcW w:w="1648" w:type="dxa"/>
            <w:vAlign w:val="center"/>
          </w:tcPr>
          <w:p>
            <w:pPr>
              <w:keepNext w:val="0"/>
              <w:keepLines w:val="0"/>
              <w:widowControl/>
              <w:suppressLineNumbers w:val="0"/>
              <w:jc w:val="center"/>
              <w:textAlignment w:val="center"/>
              <w:rPr>
                <w:rFonts w:hint="default" w:ascii="Arial" w:hAnsi="Arial" w:eastAsia="宋体" w:cs="Arial"/>
                <w:b/>
                <w:bCs w:val="0"/>
                <w:color w:val="auto"/>
                <w:sz w:val="18"/>
                <w:szCs w:val="18"/>
                <w:lang w:val="en-US" w:eastAsia="zh-CN" w:bidi="ar-SA"/>
              </w:rPr>
            </w:pPr>
            <w:r>
              <w:rPr>
                <w:rFonts w:hint="eastAsia" w:ascii="Arial" w:hAnsi="Arial" w:cs="Arial"/>
                <w:b/>
                <w:bCs/>
                <w:i w:val="0"/>
                <w:iCs w:val="0"/>
                <w:color w:val="auto"/>
                <w:kern w:val="0"/>
                <w:sz w:val="18"/>
                <w:szCs w:val="18"/>
                <w:u w:val="none"/>
                <w:lang w:val="en-US" w:eastAsia="zh-CN" w:bidi="ar"/>
              </w:rPr>
              <w:t>61711.53</w:t>
            </w:r>
            <w:r>
              <w:rPr>
                <w:rFonts w:hint="default" w:ascii="Arial" w:hAnsi="Arial" w:eastAsia="宋体" w:cs="Arial"/>
                <w:b/>
                <w:bCs/>
                <w:i w:val="0"/>
                <w:iCs w:val="0"/>
                <w:color w:val="auto"/>
                <w:kern w:val="0"/>
                <w:sz w:val="18"/>
                <w:szCs w:val="18"/>
                <w:u w:val="none"/>
                <w:lang w:val="en-US" w:eastAsia="zh-CN" w:bidi="ar"/>
              </w:rPr>
              <w:t xml:space="preserve"> </w:t>
            </w:r>
          </w:p>
        </w:tc>
        <w:tc>
          <w:tcPr>
            <w:tcW w:w="1582" w:type="dxa"/>
            <w:vAlign w:val="center"/>
          </w:tcPr>
          <w:p>
            <w:pPr>
              <w:keepNext w:val="0"/>
              <w:keepLines w:val="0"/>
              <w:widowControl/>
              <w:suppressLineNumbers w:val="0"/>
              <w:jc w:val="right"/>
              <w:textAlignment w:val="center"/>
              <w:rPr>
                <w:rFonts w:hint="default" w:ascii="Arial" w:hAnsi="Arial" w:eastAsia="宋体" w:cs="Arial"/>
                <w:b/>
                <w:bCs w:val="0"/>
                <w:color w:val="auto"/>
                <w:sz w:val="18"/>
                <w:szCs w:val="18"/>
                <w:lang w:val="en-US" w:eastAsia="zh-CN" w:bidi="ar-SA"/>
              </w:rPr>
            </w:pPr>
            <w:r>
              <w:rPr>
                <w:rFonts w:hint="eastAsia" w:ascii="Arial" w:hAnsi="Arial" w:cs="Arial"/>
                <w:b/>
                <w:bCs/>
                <w:i w:val="0"/>
                <w:iCs w:val="0"/>
                <w:color w:val="auto"/>
                <w:kern w:val="0"/>
                <w:sz w:val="18"/>
                <w:szCs w:val="18"/>
                <w:u w:val="none"/>
                <w:lang w:val="en-US" w:eastAsia="zh-CN" w:bidi="ar"/>
              </w:rPr>
              <w:t>90</w:t>
            </w:r>
            <w:r>
              <w:rPr>
                <w:rFonts w:hint="default" w:ascii="Arial" w:hAnsi="Arial" w:eastAsia="宋体" w:cs="Arial"/>
                <w:b/>
                <w:bCs/>
                <w:i w:val="0"/>
                <w:iCs w:val="0"/>
                <w:color w:val="auto"/>
                <w:kern w:val="0"/>
                <w:sz w:val="18"/>
                <w:szCs w:val="18"/>
                <w:u w:val="none"/>
                <w:lang w:val="en-US" w:eastAsia="zh-CN" w:bidi="ar"/>
              </w:rPr>
              <w:t>,</w:t>
            </w:r>
            <w:r>
              <w:rPr>
                <w:rFonts w:hint="eastAsia" w:ascii="Arial" w:hAnsi="Arial" w:cs="Arial"/>
                <w:b/>
                <w:bCs/>
                <w:i w:val="0"/>
                <w:iCs w:val="0"/>
                <w:color w:val="auto"/>
                <w:kern w:val="0"/>
                <w:sz w:val="18"/>
                <w:szCs w:val="18"/>
                <w:u w:val="none"/>
                <w:lang w:val="en-US" w:eastAsia="zh-CN" w:bidi="ar"/>
              </w:rPr>
              <w:t>225</w:t>
            </w:r>
            <w:r>
              <w:rPr>
                <w:rFonts w:hint="default" w:ascii="Arial" w:hAnsi="Arial" w:eastAsia="宋体" w:cs="Arial"/>
                <w:b/>
                <w:bCs/>
                <w:i w:val="0"/>
                <w:iCs w:val="0"/>
                <w:color w:val="auto"/>
                <w:kern w:val="0"/>
                <w:sz w:val="18"/>
                <w:szCs w:val="18"/>
                <w:u w:val="none"/>
                <w:lang w:val="en-US" w:eastAsia="zh-CN" w:bidi="ar"/>
              </w:rPr>
              <w:t xml:space="preserve">.00 </w:t>
            </w: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40" w:name="_Toc2362"/>
      <w:r>
        <w:rPr>
          <w:rFonts w:hint="default" w:ascii="Arial" w:hAnsi="Arial" w:eastAsia="宋体" w:cs="Arial"/>
          <w:b/>
          <w:bCs/>
          <w:kern w:val="44"/>
          <w:sz w:val="24"/>
          <w:szCs w:val="24"/>
          <w:lang w:val="en-US" w:eastAsia="zh-CN" w:bidi="ar-SA"/>
        </w:rPr>
        <w:t>6.1</w:t>
      </w:r>
      <w:r>
        <w:rPr>
          <w:rFonts w:hint="eastAsia" w:ascii="Arial" w:hAnsi="Arial" w:eastAsia="宋体" w:cs="Arial"/>
          <w:b/>
          <w:bCs/>
          <w:kern w:val="44"/>
          <w:sz w:val="24"/>
          <w:szCs w:val="24"/>
          <w:lang w:val="en-US" w:eastAsia="zh-CN" w:bidi="ar-SA"/>
        </w:rPr>
        <w:t>项目销售情况</w:t>
      </w:r>
      <w:bookmarkEnd w:id="40"/>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2021年01月30日（开盘时间）至2021年09月30日，晓岸云起项目共网签695套，网签面积67783.82㎡，网签总额983,519,016.00元。（截至2021年08月31日网签数据640套，因2021年07月、08月有7位客户退房，故截至2021年09月30日晓岸云起项目共网签695套。）</w:t>
      </w:r>
    </w:p>
    <w:p>
      <w:pPr>
        <w:numPr>
          <w:ilvl w:val="0"/>
          <w:numId w:val="0"/>
        </w:numPr>
        <w:spacing w:line="480" w:lineRule="auto"/>
        <w:ind w:firstLine="420" w:firstLineChars="200"/>
        <w:rPr>
          <w:rFonts w:hint="eastAsia" w:ascii="Arial" w:hAnsi="Arial" w:cs="Arial"/>
          <w:lang w:val="en-US" w:eastAsia="zh-CN"/>
        </w:rPr>
      </w:pPr>
      <w:r>
        <w:rPr>
          <w:rFonts w:hint="eastAsia" w:ascii="Arial" w:hAnsi="Arial" w:cs="Arial"/>
          <w:lang w:val="en-US" w:eastAsia="zh-CN"/>
        </w:rPr>
        <w:t>（备注：网签合计套数比可售房源套数多的原因：住宅销售数据的统计依据于项目公司提供的其内部明源系统的销售数据，因项目公司未拿预售证先收客户房款，收款后将客户信息登录在明源系统内，故我司统计销售情况时出现网签合计数比项目公司目前可售房源套数多的情况。）</w:t>
      </w:r>
    </w:p>
    <w:p>
      <w:pPr>
        <w:numPr>
          <w:ilvl w:val="0"/>
          <w:numId w:val="0"/>
        </w:numPr>
        <w:spacing w:line="480" w:lineRule="auto"/>
        <w:ind w:firstLine="420" w:firstLineChars="200"/>
        <w:rPr>
          <w:rFonts w:hint="default" w:ascii="Arial" w:hAnsi="Arial" w:cs="Arial"/>
          <w:lang w:val="en-US" w:eastAsia="zh-CN"/>
        </w:rPr>
      </w:pPr>
      <w:r>
        <w:rPr>
          <w:rFonts w:hint="default" w:ascii="Arial" w:hAnsi="Arial" w:cs="Arial"/>
          <w:lang w:val="en-US" w:eastAsia="zh-CN"/>
        </w:rPr>
        <w:t>2021年</w:t>
      </w:r>
      <w:r>
        <w:rPr>
          <w:rFonts w:hint="eastAsia" w:ascii="Arial" w:hAnsi="Arial" w:cs="Arial"/>
          <w:lang w:val="en-US" w:eastAsia="zh-CN"/>
        </w:rPr>
        <w:t>09</w:t>
      </w:r>
      <w:r>
        <w:rPr>
          <w:rFonts w:hint="default" w:ascii="Arial" w:hAnsi="Arial" w:cs="Arial"/>
          <w:lang w:val="en-US" w:eastAsia="zh-CN"/>
        </w:rPr>
        <w:t>月份</w:t>
      </w:r>
      <w:r>
        <w:rPr>
          <w:rFonts w:hint="eastAsia" w:ascii="Arial" w:hAnsi="Arial" w:cs="Arial"/>
          <w:lang w:val="en-US" w:eastAsia="zh-CN"/>
        </w:rPr>
        <w:t>，项目公司共</w:t>
      </w:r>
      <w:r>
        <w:rPr>
          <w:rFonts w:hint="default" w:ascii="Arial" w:hAnsi="Arial" w:cs="Arial"/>
          <w:lang w:val="en-US" w:eastAsia="zh-CN"/>
        </w:rPr>
        <w:t>网签</w:t>
      </w:r>
      <w:r>
        <w:rPr>
          <w:rFonts w:hint="eastAsia" w:ascii="Arial" w:hAnsi="Arial" w:cs="Arial"/>
          <w:lang w:val="en-US" w:eastAsia="zh-CN"/>
        </w:rPr>
        <w:t>62</w:t>
      </w:r>
      <w:r>
        <w:rPr>
          <w:rFonts w:hint="default" w:ascii="Arial" w:hAnsi="Arial" w:cs="Arial"/>
          <w:lang w:val="en-US" w:eastAsia="zh-CN"/>
        </w:rPr>
        <w:t>套，网签面积</w:t>
      </w:r>
      <w:r>
        <w:rPr>
          <w:rFonts w:hint="eastAsia" w:ascii="Arial" w:hAnsi="Arial" w:cs="Arial"/>
          <w:lang w:val="en-US" w:eastAsia="zh-CN"/>
        </w:rPr>
        <w:t>5874.74</w:t>
      </w:r>
      <w:r>
        <w:rPr>
          <w:rFonts w:hint="default" w:ascii="Arial" w:hAnsi="Arial" w:cs="Arial"/>
          <w:lang w:val="en-US" w:eastAsia="zh-CN"/>
        </w:rPr>
        <w:t>㎡，网签总额</w:t>
      </w:r>
      <w:r>
        <w:rPr>
          <w:rFonts w:hint="eastAsia" w:ascii="Arial" w:hAnsi="Arial" w:cs="Arial"/>
          <w:lang w:val="en-US" w:eastAsia="zh-CN"/>
        </w:rPr>
        <w:t>85</w:t>
      </w:r>
      <w:r>
        <w:rPr>
          <w:rFonts w:hint="default" w:ascii="Arial" w:hAnsi="Arial" w:cs="Arial"/>
          <w:lang w:val="en-US" w:eastAsia="zh-CN"/>
        </w:rPr>
        <w:t>,</w:t>
      </w:r>
      <w:r>
        <w:rPr>
          <w:rFonts w:hint="eastAsia" w:ascii="Arial" w:hAnsi="Arial" w:cs="Arial"/>
          <w:lang w:val="en-US" w:eastAsia="zh-CN"/>
        </w:rPr>
        <w:t>574</w:t>
      </w:r>
      <w:r>
        <w:rPr>
          <w:rFonts w:hint="default" w:ascii="Arial" w:hAnsi="Arial" w:cs="Arial"/>
          <w:lang w:val="en-US" w:eastAsia="zh-CN"/>
        </w:rPr>
        <w:t>,</w:t>
      </w:r>
      <w:r>
        <w:rPr>
          <w:rFonts w:hint="eastAsia" w:ascii="Arial" w:hAnsi="Arial" w:cs="Arial"/>
          <w:lang w:val="en-US" w:eastAsia="zh-CN"/>
        </w:rPr>
        <w:t>042.00</w:t>
      </w:r>
      <w:r>
        <w:rPr>
          <w:rFonts w:hint="default" w:ascii="Arial" w:hAnsi="Arial" w:cs="Arial"/>
          <w:lang w:val="en-US" w:eastAsia="zh-CN"/>
        </w:rPr>
        <w:t>元</w:t>
      </w:r>
      <w:r>
        <w:rPr>
          <w:rFonts w:hint="eastAsia" w:ascii="Arial" w:hAnsi="Arial" w:cs="Arial"/>
          <w:lang w:val="en-US" w:eastAsia="zh-CN"/>
        </w:rPr>
        <w:t>。本期销售资金流入合计114</w:t>
      </w:r>
      <w:r>
        <w:rPr>
          <w:rFonts w:hint="default" w:ascii="Arial" w:hAnsi="Arial" w:cs="Arial"/>
          <w:lang w:val="en-US" w:eastAsia="zh-CN"/>
        </w:rPr>
        <w:t>,</w:t>
      </w:r>
      <w:r>
        <w:rPr>
          <w:rFonts w:hint="eastAsia" w:ascii="Arial" w:hAnsi="Arial" w:cs="Arial"/>
          <w:lang w:val="en-US" w:eastAsia="zh-CN"/>
        </w:rPr>
        <w:t>188</w:t>
      </w:r>
      <w:r>
        <w:rPr>
          <w:rFonts w:hint="default" w:ascii="Arial" w:hAnsi="Arial" w:cs="Arial"/>
          <w:lang w:val="en-US" w:eastAsia="zh-CN"/>
        </w:rPr>
        <w:t>,</w:t>
      </w:r>
      <w:r>
        <w:rPr>
          <w:rFonts w:hint="eastAsia" w:ascii="Arial" w:hAnsi="Arial" w:cs="Arial"/>
          <w:lang w:val="en-US" w:eastAsia="zh-CN"/>
        </w:rPr>
        <w:t>328.09元。</w:t>
      </w:r>
    </w:p>
    <w:p>
      <w:pPr>
        <w:keepNext w:val="0"/>
        <w:keepLines w:val="0"/>
        <w:pageBreakBefore w:val="0"/>
        <w:widowControl w:val="0"/>
        <w:kinsoku/>
        <w:wordWrap/>
        <w:overflowPunct/>
        <w:topLinePunct w:val="0"/>
        <w:autoSpaceDE/>
        <w:autoSpaceDN/>
        <w:bidi w:val="0"/>
        <w:adjustRightInd/>
        <w:snapToGrid/>
        <w:spacing w:before="315"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w:t>
      </w:r>
      <w:r>
        <w:rPr>
          <w:rFonts w:hint="eastAsia" w:ascii="Arial" w:hAnsi="Arial" w:eastAsia="宋体" w:cs="Arial"/>
          <w:b/>
          <w:bCs/>
          <w:sz w:val="24"/>
          <w:szCs w:val="32"/>
        </w:rPr>
        <w:t>住宅销售情况</w:t>
      </w:r>
      <w:r>
        <w:rPr>
          <w:rFonts w:hint="eastAsia" w:ascii="Arial" w:hAnsi="Arial" w:eastAsia="宋体" w:cs="Arial"/>
          <w:b/>
          <w:bCs/>
          <w:sz w:val="24"/>
          <w:szCs w:val="32"/>
          <w:lang w:val="en-US" w:eastAsia="zh-CN"/>
        </w:rPr>
        <w:t>表</w:t>
      </w:r>
    </w:p>
    <w:tbl>
      <w:tblPr>
        <w:tblStyle w:val="10"/>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50"/>
        <w:gridCol w:w="1662"/>
        <w:gridCol w:w="1018"/>
        <w:gridCol w:w="1226"/>
        <w:gridCol w:w="1534"/>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blHeader/>
        </w:trPr>
        <w:tc>
          <w:tcPr>
            <w:tcW w:w="1117"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日期</w:t>
            </w:r>
          </w:p>
        </w:tc>
        <w:tc>
          <w:tcPr>
            <w:tcW w:w="95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bidi="ar-SA"/>
              </w:rPr>
              <w:t>认购套数（套）</w:t>
            </w:r>
          </w:p>
        </w:tc>
        <w:tc>
          <w:tcPr>
            <w:tcW w:w="1662"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认购总额/元</w:t>
            </w:r>
          </w:p>
        </w:tc>
        <w:tc>
          <w:tcPr>
            <w:tcW w:w="1018"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网签套数/套</w:t>
            </w:r>
          </w:p>
        </w:tc>
        <w:tc>
          <w:tcPr>
            <w:tcW w:w="1226"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网签面积/㎡</w:t>
            </w:r>
          </w:p>
        </w:tc>
        <w:tc>
          <w:tcPr>
            <w:tcW w:w="1534"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网签总额/元</w:t>
            </w:r>
          </w:p>
        </w:tc>
        <w:tc>
          <w:tcPr>
            <w:tcW w:w="1720" w:type="dxa"/>
            <w:vAlign w:val="center"/>
          </w:tcPr>
          <w:p>
            <w:pPr>
              <w:widowControl/>
              <w:jc w:val="center"/>
              <w:rPr>
                <w:rFonts w:hint="default" w:ascii="Arial" w:hAnsi="Arial" w:eastAsia="宋体" w:cs="Arial"/>
                <w:b/>
                <w:sz w:val="18"/>
                <w:szCs w:val="18"/>
                <w:lang w:val="en-US" w:eastAsia="zh-CN" w:bidi="ar-SA"/>
              </w:rPr>
            </w:pPr>
            <w:r>
              <w:rPr>
                <w:rFonts w:hint="default" w:ascii="Arial" w:hAnsi="Arial" w:cs="Arial"/>
                <w:b/>
                <w:sz w:val="18"/>
                <w:szCs w:val="18"/>
                <w:lang w:val="en-US" w:eastAsia="zh-CN"/>
              </w:rPr>
              <w:t>销售回款总额/元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2021/09/02</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0</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0.00</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3</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261.67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4,254,274.00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1,207,881.00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2021/09/07</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1,432,282.00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99.41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1,432,282.00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430,282.00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2021/09/08</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1,432,282.00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99.41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1,432,282.00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432,282.00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2021/09/11</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1,541,806.00 </w:t>
            </w:r>
          </w:p>
        </w:tc>
        <w:tc>
          <w:tcPr>
            <w:tcW w:w="1018"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0.00</w:t>
            </w:r>
          </w:p>
        </w:tc>
        <w:tc>
          <w:tcPr>
            <w:tcW w:w="1534" w:type="dxa"/>
            <w:vAlign w:val="center"/>
          </w:tcPr>
          <w:p>
            <w:pPr>
              <w:jc w:val="right"/>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0.00</w:t>
            </w:r>
          </w:p>
        </w:tc>
        <w:tc>
          <w:tcPr>
            <w:tcW w:w="1720" w:type="dxa"/>
            <w:vAlign w:val="center"/>
          </w:tcPr>
          <w:p>
            <w:pPr>
              <w:jc w:val="right"/>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9/13</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1,137,615.00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79.51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1,137,615.00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341,615.00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9/14</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2,189,843.00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138.51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2,189,843.00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438,834.00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9/16</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1,903,727.00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534" w:type="dxa"/>
            <w:vAlign w:val="center"/>
          </w:tcPr>
          <w:p>
            <w:pPr>
              <w:jc w:val="right"/>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0.00</w:t>
            </w:r>
          </w:p>
        </w:tc>
        <w:tc>
          <w:tcPr>
            <w:tcW w:w="1720" w:type="dxa"/>
            <w:vAlign w:val="center"/>
          </w:tcPr>
          <w:p>
            <w:pPr>
              <w:jc w:val="right"/>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9/17</w:t>
            </w:r>
          </w:p>
        </w:tc>
        <w:tc>
          <w:tcPr>
            <w:tcW w:w="950"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1,145,566.00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534" w:type="dxa"/>
            <w:vAlign w:val="center"/>
          </w:tcPr>
          <w:p>
            <w:pPr>
              <w:jc w:val="right"/>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0.00</w:t>
            </w:r>
          </w:p>
        </w:tc>
        <w:tc>
          <w:tcPr>
            <w:tcW w:w="1720" w:type="dxa"/>
            <w:vAlign w:val="center"/>
          </w:tcPr>
          <w:p>
            <w:pPr>
              <w:jc w:val="right"/>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9/18</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1,955,423.00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120.08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1,955,423.00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587,423.00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9/19</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17</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21,748,655.00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462.14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6,398,999.00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1,332,268.00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9/20</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1,357,046.00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w:t>
            </w:r>
          </w:p>
        </w:tc>
        <w:tc>
          <w:tcPr>
            <w:tcW w:w="122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639.09 </w:t>
            </w:r>
          </w:p>
        </w:tc>
        <w:tc>
          <w:tcPr>
            <w:tcW w:w="1534"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8,898,574.00 </w:t>
            </w:r>
          </w:p>
        </w:tc>
        <w:tc>
          <w:tcPr>
            <w:tcW w:w="172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2,745,285.00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9/21</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4,847,329.00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12</w:t>
            </w:r>
          </w:p>
        </w:tc>
        <w:tc>
          <w:tcPr>
            <w:tcW w:w="122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1108.66 </w:t>
            </w:r>
          </w:p>
        </w:tc>
        <w:tc>
          <w:tcPr>
            <w:tcW w:w="1534"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15,704,750.00 </w:t>
            </w:r>
          </w:p>
        </w:tc>
        <w:tc>
          <w:tcPr>
            <w:tcW w:w="172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3,190,172.00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9/22</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4,823,630.00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22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317.81 </w:t>
            </w:r>
          </w:p>
        </w:tc>
        <w:tc>
          <w:tcPr>
            <w:tcW w:w="1534"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4,823,630.00 </w:t>
            </w:r>
          </w:p>
        </w:tc>
        <w:tc>
          <w:tcPr>
            <w:tcW w:w="172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1,409,807.00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9/23</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3,777,999.00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22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272.76 </w:t>
            </w:r>
          </w:p>
        </w:tc>
        <w:tc>
          <w:tcPr>
            <w:tcW w:w="1534"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3,777,999.00 </w:t>
            </w:r>
          </w:p>
        </w:tc>
        <w:tc>
          <w:tcPr>
            <w:tcW w:w="172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762,655.00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9/24</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5,494,713.00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p>
        </w:tc>
        <w:tc>
          <w:tcPr>
            <w:tcW w:w="122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233.93 </w:t>
            </w:r>
          </w:p>
        </w:tc>
        <w:tc>
          <w:tcPr>
            <w:tcW w:w="1534"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3,577,369.00 </w:t>
            </w:r>
          </w:p>
        </w:tc>
        <w:tc>
          <w:tcPr>
            <w:tcW w:w="172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715,474.00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9/25</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4,791,242.00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324.85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4,791,242.00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959,168.00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9/26</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2,596,546.00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w:t>
            </w:r>
          </w:p>
        </w:tc>
        <w:tc>
          <w:tcPr>
            <w:tcW w:w="1226"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0.00</w:t>
            </w:r>
          </w:p>
        </w:tc>
        <w:tc>
          <w:tcPr>
            <w:tcW w:w="1534" w:type="dxa"/>
            <w:vAlign w:val="center"/>
          </w:tcPr>
          <w:p>
            <w:pPr>
              <w:jc w:val="right"/>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0.00</w:t>
            </w:r>
          </w:p>
        </w:tc>
        <w:tc>
          <w:tcPr>
            <w:tcW w:w="1720" w:type="dxa"/>
            <w:vAlign w:val="center"/>
          </w:tcPr>
          <w:p>
            <w:pPr>
              <w:jc w:val="right"/>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9/27</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3,683,568.00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454.43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6,280,114.00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1,299,848.00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9/28</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3,594,451.00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380.88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5,511,795.00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3,047,371.00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9/29</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3,676,758.00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352.27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5,218,564.00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1,205,137.00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1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9/30</w:t>
            </w:r>
          </w:p>
        </w:tc>
        <w:tc>
          <w:tcPr>
            <w:tcW w:w="950"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w:t>
            </w:r>
          </w:p>
        </w:tc>
        <w:tc>
          <w:tcPr>
            <w:tcW w:w="1662"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8,189,287.00 </w:t>
            </w:r>
          </w:p>
        </w:tc>
        <w:tc>
          <w:tcPr>
            <w:tcW w:w="101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w:t>
            </w:r>
          </w:p>
        </w:tc>
        <w:tc>
          <w:tcPr>
            <w:tcW w:w="122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529.33 </w:t>
            </w:r>
          </w:p>
        </w:tc>
        <w:tc>
          <w:tcPr>
            <w:tcW w:w="1534"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8,189,287.00 </w:t>
            </w:r>
          </w:p>
        </w:tc>
        <w:tc>
          <w:tcPr>
            <w:tcW w:w="172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1,664,439.00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117" w:type="dxa"/>
            <w:vAlign w:val="center"/>
          </w:tcPr>
          <w:p>
            <w:pPr>
              <w:widowControl/>
              <w:jc w:val="center"/>
              <w:rPr>
                <w:rFonts w:hint="default" w:ascii="Arial" w:hAnsi="Arial" w:cs="Arial"/>
                <w:b/>
                <w:bCs w:val="0"/>
                <w:sz w:val="18"/>
                <w:szCs w:val="18"/>
                <w:lang w:val="en-US" w:eastAsia="zh-CN"/>
              </w:rPr>
            </w:pPr>
            <w:r>
              <w:rPr>
                <w:rFonts w:hint="default" w:ascii="Arial" w:hAnsi="Arial" w:cs="Arial"/>
                <w:b/>
                <w:bCs w:val="0"/>
                <w:sz w:val="18"/>
                <w:szCs w:val="18"/>
                <w:lang w:val="en-US" w:eastAsia="zh-CN"/>
              </w:rPr>
              <w:t>合计</w:t>
            </w:r>
          </w:p>
        </w:tc>
        <w:tc>
          <w:tcPr>
            <w:tcW w:w="950"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59</w:t>
            </w:r>
          </w:p>
        </w:tc>
        <w:tc>
          <w:tcPr>
            <w:tcW w:w="1662"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81</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319</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768.00</w:t>
            </w:r>
          </w:p>
        </w:tc>
        <w:tc>
          <w:tcPr>
            <w:tcW w:w="1018" w:type="dxa"/>
            <w:vAlign w:val="center"/>
          </w:tcPr>
          <w:p>
            <w:pPr>
              <w:widowControl/>
              <w:jc w:val="center"/>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62</w:t>
            </w:r>
          </w:p>
        </w:tc>
        <w:tc>
          <w:tcPr>
            <w:tcW w:w="1226" w:type="dxa"/>
            <w:vAlign w:val="center"/>
          </w:tcPr>
          <w:p>
            <w:pPr>
              <w:keepNext w:val="0"/>
              <w:keepLines w:val="0"/>
              <w:widowControl/>
              <w:suppressLineNumbers w:val="0"/>
              <w:jc w:val="center"/>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5874.74</w:t>
            </w:r>
          </w:p>
        </w:tc>
        <w:tc>
          <w:tcPr>
            <w:tcW w:w="1534" w:type="dxa"/>
            <w:vAlign w:val="center"/>
          </w:tcPr>
          <w:p>
            <w:pPr>
              <w:keepNext w:val="0"/>
              <w:keepLines w:val="0"/>
              <w:widowControl/>
              <w:suppressLineNumbers w:val="0"/>
              <w:jc w:val="right"/>
              <w:textAlignment w:val="center"/>
              <w:rPr>
                <w:rFonts w:hint="default" w:ascii="Arial" w:hAnsi="Arial" w:cs="Arial"/>
                <w:b/>
                <w:bCs w:val="0"/>
                <w:sz w:val="18"/>
                <w:szCs w:val="18"/>
                <w:lang w:val="en-US" w:eastAsia="zh-CN"/>
              </w:rPr>
            </w:pPr>
            <w:r>
              <w:rPr>
                <w:rFonts w:hint="eastAsia" w:ascii="Arial" w:hAnsi="Arial" w:cs="Arial"/>
                <w:b/>
                <w:bCs w:val="0"/>
                <w:sz w:val="18"/>
                <w:szCs w:val="18"/>
                <w:lang w:val="en-US" w:eastAsia="zh-CN" w:bidi="ar-SA"/>
              </w:rPr>
              <w:t>85</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574</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042.00</w:t>
            </w:r>
          </w:p>
        </w:tc>
        <w:tc>
          <w:tcPr>
            <w:tcW w:w="1720" w:type="dxa"/>
            <w:vAlign w:val="center"/>
          </w:tcPr>
          <w:p>
            <w:pPr>
              <w:widowControl/>
              <w:jc w:val="right"/>
              <w:rPr>
                <w:rFonts w:hint="default" w:ascii="Arial" w:hAnsi="Arial" w:cs="Arial"/>
                <w:b/>
                <w:bCs w:val="0"/>
                <w:sz w:val="18"/>
                <w:szCs w:val="18"/>
                <w:lang w:val="en-US" w:eastAsia="zh-CN" w:bidi="ar-SA"/>
              </w:rPr>
            </w:pPr>
            <w:r>
              <w:rPr>
                <w:rFonts w:hint="eastAsia" w:ascii="Arial" w:hAnsi="Arial" w:cs="Arial"/>
                <w:b/>
                <w:bCs w:val="0"/>
                <w:sz w:val="18"/>
                <w:szCs w:val="18"/>
                <w:lang w:val="en-US" w:eastAsia="zh-CN" w:bidi="ar-SA"/>
              </w:rPr>
              <w:t>21</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769</w:t>
            </w:r>
            <w:r>
              <w:rPr>
                <w:rFonts w:hint="default" w:ascii="Arial" w:hAnsi="Arial" w:cs="Arial"/>
                <w:b/>
                <w:bCs w:val="0"/>
                <w:sz w:val="18"/>
                <w:szCs w:val="18"/>
                <w:lang w:val="en-US" w:eastAsia="zh-CN" w:bidi="ar-SA"/>
              </w:rPr>
              <w:t>,</w:t>
            </w:r>
            <w:r>
              <w:rPr>
                <w:rFonts w:hint="eastAsia" w:ascii="Arial" w:hAnsi="Arial" w:cs="Arial"/>
                <w:b/>
                <w:bCs w:val="0"/>
                <w:sz w:val="18"/>
                <w:szCs w:val="18"/>
                <w:lang w:val="en-US" w:eastAsia="zh-CN" w:bidi="ar-SA"/>
              </w:rPr>
              <w:t>941.00</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eastAsia="宋体" w:cs="Arial"/>
          <w:b/>
          <w:bCs/>
          <w:sz w:val="24"/>
          <w:szCs w:val="32"/>
          <w:lang w:val="en-US" w:eastAsia="zh-CN"/>
        </w:rPr>
      </w:pPr>
      <w:r>
        <w:rPr>
          <w:rFonts w:hint="eastAsia" w:ascii="宋体" w:hAnsi="宋体" w:eastAsia="宋体" w:cs="宋体"/>
          <w:b/>
          <w:bCs w:val="0"/>
          <w:sz w:val="18"/>
          <w:szCs w:val="18"/>
          <w:lang w:val="en-US" w:eastAsia="zh-CN"/>
        </w:rPr>
        <w:t>备注：以上数据</w:t>
      </w:r>
      <w:r>
        <w:rPr>
          <w:rFonts w:hint="eastAsia" w:ascii="宋体" w:hAnsi="宋体" w:cs="宋体"/>
          <w:b/>
          <w:bCs w:val="0"/>
          <w:sz w:val="18"/>
          <w:szCs w:val="18"/>
          <w:lang w:val="en-US" w:eastAsia="zh-CN"/>
        </w:rPr>
        <w:t>依据</w:t>
      </w:r>
      <w:r>
        <w:rPr>
          <w:rFonts w:hint="eastAsia" w:ascii="宋体" w:hAnsi="宋体" w:eastAsia="宋体" w:cs="宋体"/>
          <w:b/>
          <w:bCs w:val="0"/>
          <w:sz w:val="18"/>
          <w:szCs w:val="18"/>
          <w:lang w:val="en-US" w:eastAsia="zh-CN"/>
        </w:rPr>
        <w:t>项目公司</w:t>
      </w:r>
      <w:r>
        <w:rPr>
          <w:rFonts w:hint="eastAsia" w:ascii="宋体" w:hAnsi="宋体" w:cs="宋体"/>
          <w:b/>
          <w:bCs w:val="0"/>
          <w:sz w:val="18"/>
          <w:szCs w:val="18"/>
          <w:lang w:val="en-US" w:eastAsia="zh-CN"/>
        </w:rPr>
        <w:t>最新</w:t>
      </w:r>
      <w:r>
        <w:rPr>
          <w:rFonts w:hint="eastAsia" w:ascii="宋体" w:hAnsi="宋体" w:eastAsia="宋体" w:cs="宋体"/>
          <w:b/>
          <w:bCs w:val="0"/>
          <w:sz w:val="18"/>
          <w:szCs w:val="18"/>
          <w:lang w:val="en-US" w:eastAsia="zh-CN"/>
        </w:rPr>
        <w:t>发送过来</w:t>
      </w:r>
      <w:r>
        <w:rPr>
          <w:rFonts w:hint="eastAsia" w:ascii="宋体" w:hAnsi="宋体" w:cs="宋体"/>
          <w:b/>
          <w:bCs w:val="0"/>
          <w:sz w:val="18"/>
          <w:szCs w:val="18"/>
          <w:lang w:val="en-US" w:eastAsia="zh-CN"/>
        </w:rPr>
        <w:t>的销售</w:t>
      </w:r>
      <w:r>
        <w:rPr>
          <w:rFonts w:hint="eastAsia" w:ascii="宋体" w:hAnsi="宋体" w:eastAsia="宋体" w:cs="宋体"/>
          <w:b/>
          <w:bCs w:val="0"/>
          <w:sz w:val="18"/>
          <w:szCs w:val="18"/>
          <w:lang w:val="en-US" w:eastAsia="zh-CN"/>
        </w:rPr>
        <w:t>数据</w:t>
      </w:r>
      <w:r>
        <w:rPr>
          <w:rFonts w:hint="eastAsia" w:ascii="宋体" w:hAnsi="宋体" w:cs="宋体"/>
          <w:b/>
          <w:bCs w:val="0"/>
          <w:sz w:val="18"/>
          <w:szCs w:val="18"/>
          <w:lang w:val="en-US" w:eastAsia="zh-CN"/>
        </w:rPr>
        <w:t>统计。</w:t>
      </w:r>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eastAsia" w:ascii="Arial" w:hAnsi="Arial" w:eastAsia="宋体" w:cs="Arial"/>
          <w:b/>
          <w:bCs/>
          <w:sz w:val="24"/>
          <w:szCs w:val="32"/>
          <w:lang w:val="en-US" w:eastAsia="zh-CN"/>
        </w:rPr>
      </w:pPr>
      <w:r>
        <w:rPr>
          <w:rFonts w:hint="eastAsia" w:ascii="Arial" w:hAnsi="Arial" w:eastAsia="宋体" w:cs="Arial"/>
          <w:b/>
          <w:bCs/>
          <w:sz w:val="24"/>
          <w:szCs w:val="32"/>
          <w:lang w:val="en-US" w:eastAsia="zh-CN"/>
        </w:rPr>
        <w:t>本期销售资金流入明细表</w:t>
      </w:r>
    </w:p>
    <w:tbl>
      <w:tblPr>
        <w:tblStyle w:val="9"/>
        <w:tblW w:w="9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98"/>
        <w:gridCol w:w="1667"/>
        <w:gridCol w:w="1791"/>
        <w:gridCol w:w="3035"/>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blHeader/>
          <w:jc w:val="center"/>
        </w:trPr>
        <w:tc>
          <w:tcPr>
            <w:tcW w:w="1098"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收款日期</w:t>
            </w:r>
          </w:p>
        </w:tc>
        <w:tc>
          <w:tcPr>
            <w:tcW w:w="1667"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资金用途</w:t>
            </w:r>
          </w:p>
        </w:tc>
        <w:tc>
          <w:tcPr>
            <w:tcW w:w="179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金额（元）</w:t>
            </w:r>
          </w:p>
        </w:tc>
        <w:tc>
          <w:tcPr>
            <w:tcW w:w="3035"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付款方</w:t>
            </w:r>
          </w:p>
        </w:tc>
        <w:tc>
          <w:tcPr>
            <w:tcW w:w="1631" w:type="dxa"/>
            <w:vAlign w:val="center"/>
          </w:tcPr>
          <w:p>
            <w:pPr>
              <w:widowControl/>
              <w:jc w:val="center"/>
              <w:textAlignment w:val="center"/>
              <w:rPr>
                <w:rFonts w:hint="default" w:ascii="Arial" w:hAnsi="Arial" w:cs="Arial"/>
                <w:b/>
                <w:sz w:val="18"/>
                <w:szCs w:val="18"/>
              </w:rPr>
            </w:pPr>
            <w:r>
              <w:rPr>
                <w:rFonts w:hint="default"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1,081,501.00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801,806.00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7"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582,364.00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尹瑞森</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陈大珍</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杨业名</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徐勇</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932,000.00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曹恺</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239,522.00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967,288.00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1,144,920.00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1,714,880.00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273,578.00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771,994.00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1"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1,079,000.00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戴天苹</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3,131,820.00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1,932,274.00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1,587,604.00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237,128.00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273,578.00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913,398.00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179,940.00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694,000.00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罗毅</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540,000.00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刘芳鲜</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6"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冉从锦</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6"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568,000.00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杨娟</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向波</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马克信</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个贷系统平账专户（马宁）</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560,000.00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个贷系统平账专户（黄睿）</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个贷系统平账专户（冉崇莲）</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个贷系统平账专户（唐慈航）</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个贷系统平账专户（陈茜）</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647,000.00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个贷系统平账专户（陶辉灿）</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个贷系统平账专户（潘思臣）</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629,000.00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个贷系统平账专户（詹兴旺）</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个贷系统平账专户（张黎）</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1,387,000.00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个贷系统平账专户（熊倩）</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698,000.00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个贷系统平账专户（宋莉莉）</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755,000.00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个贷系统平账专户（王菁）</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个贷系统平账专户（罗滔）</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910,000.00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个贷系统平账专户（陈建）</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个贷系统平账专户（闵华琴）</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个贷系统平账专户（王亚楠）</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992,000.00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个贷系统平账专户（颜丽婷）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1,142,000.00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个贷系统平账专户（张静）</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932,000.00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个贷系统平账专户（鲜毅）</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1,010,000.00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个贷系统平账专户（靳永志）</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个贷系统平账专户（陈显国）</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142,980.00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553,794.00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批量账务集中处理（马宁）</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批量账务集中处理（潘思臣）</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批量账务集中处理（陈茜）</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批量账务集中处理（陶辉灿）</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批量账务集中处理（黄睿）</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134,980.00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267,262.00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382,262.00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730,000.00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李圣达</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390,000.00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杨晶杰</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2021/09/13</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297,317.00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2021/09/13</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539,373.00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593,000.00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个贷系统平账专户（胡乾龙）</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个贷系统平账专户（胡乾龙）</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2021/09/14</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99,980.00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王龙</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王朝润</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杨春燕</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张建军</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341,595.00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470,000.00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个贷系统平账专户（赵敏）</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806,000.00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个贷系统平账专户（赵红菊）</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1,010,000.00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个贷系统平账专户（陈小丽）</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个贷系统平账专户（邓丹丹）</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820,000.00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温馨</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1,010,000.00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谭文静</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468,000.00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秦婉</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955,000.00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程贡</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批量账务集中处理（赵敏）</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725,000.00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137,751.00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王朝润</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王龙</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276,928.00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陈燚</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谢绍伟</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791,066.00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徐玉挺</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57,751.00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徐玉挺</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屈涛</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278,949.00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白太春</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陈婷瑶</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谢绍伟</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420,897.00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张建军</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957,000.00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875,000.00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840,000.00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1,020,000.00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703,000.00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880,000.00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794,000.00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（发放贷款-620079000000212）</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989,000.00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（发放贷款-620079000000213）</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890,000.00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（发放贷款-620079000000214）</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（发放贷款-620079000000215）</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1,537,000.00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（发放贷款-620079000000216）</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737,000.00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（发放贷款-620079000000217）</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（发放贷款-620079000000218）</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985,000.00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（发放贷款-620079000000219）</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胡平安</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924,000.00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王钰婷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王修奎</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周杭</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（发放贷款-620079000000220）</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1,002,000.00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（发放贷款-620079000000221）</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（发放贷款-620079000000222）</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谢绍伟</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477,549.00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186,161.00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屈涛</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25,386.00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杨春燕</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熊志鹏</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刘令</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朱红兴</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2021/09/19</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谢清英</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周灶</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赵云</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2021/09/20</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王润妮</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郑平</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黄甫刚</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余秦</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2021/09/22</w:t>
            </w:r>
          </w:p>
        </w:tc>
        <w:tc>
          <w:tcPr>
            <w:tcW w:w="1667"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 </w:t>
            </w:r>
          </w:p>
        </w:tc>
        <w:tc>
          <w:tcPr>
            <w:tcW w:w="303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李斌</w:t>
            </w:r>
          </w:p>
        </w:tc>
        <w:tc>
          <w:tcPr>
            <w:tcW w:w="1631"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389,550.00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熊志鹏</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249,422.00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刘令</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3,917,818.00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250,835.00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赵云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2021/09/22</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688,000.00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张露月</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179,546.00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395,383.00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160,313.00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330,726.00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154,425.00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王润妮</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546,940.00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48,230.00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李斌</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920,901.00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刘一蒙</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肖梅</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刘里</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杨晶杰</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361,789.00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黄甫刚</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简青</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2021/09/26</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1,372,713.00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郑平</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2021/09/27</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29,980.00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个贷系统平账专户（李婷）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370,000.00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个贷系统平账专户（贾运红）</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265,000.00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个贷系统平账专户（常鑫博）</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个贷系统平账专户（马鑫）</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925,000.00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刘迅</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931,000.00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余术成</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方清瑜</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罗吉姿</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844,000.00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（发放贷款-620079000000232）</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854,000.00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（发放贷款-620079000000233）</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860,000.00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（发放贷款-620079000000234）</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789,690.09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144,000.00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郑平</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814,902.00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魏新</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1,141,125.00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何阳</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229,979.00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徐家华</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张六成</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210,000.00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李建党</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637,000.00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（发放贷款-620079000000235）</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187,000.00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个贷系统平账专户（漆雪松）</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737,324.00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61,571.00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兰彤</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1,522,981.00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刘春</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204,768.00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徐家华</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客户打款（预约金）</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1,095,981.00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广州合利宝支付科技有限公司备付金</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jc w:val="center"/>
        </w:trPr>
        <w:tc>
          <w:tcPr>
            <w:tcW w:w="109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2021/09/30</w:t>
            </w:r>
          </w:p>
        </w:tc>
        <w:tc>
          <w:tcPr>
            <w:tcW w:w="1667"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客户购房款</w:t>
            </w:r>
          </w:p>
        </w:tc>
        <w:tc>
          <w:tcPr>
            <w:tcW w:w="1791"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216,000.00 </w:t>
            </w:r>
          </w:p>
        </w:tc>
        <w:tc>
          <w:tcPr>
            <w:tcW w:w="303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林玉</w:t>
            </w:r>
          </w:p>
        </w:tc>
        <w:tc>
          <w:tcPr>
            <w:tcW w:w="1631"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0911建行基本户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2" w:hRule="atLeast"/>
          <w:jc w:val="center"/>
        </w:trPr>
        <w:tc>
          <w:tcPr>
            <w:tcW w:w="2765" w:type="dxa"/>
            <w:gridSpan w:val="2"/>
            <w:vAlign w:val="center"/>
          </w:tcPr>
          <w:p>
            <w:pPr>
              <w:widowControl/>
              <w:jc w:val="center"/>
              <w:rPr>
                <w:rFonts w:hint="default" w:ascii="Arial" w:hAnsi="Arial" w:cs="Arial"/>
                <w:b/>
                <w:bCs w:val="0"/>
                <w:sz w:val="18"/>
                <w:szCs w:val="18"/>
              </w:rPr>
            </w:pPr>
            <w:r>
              <w:rPr>
                <w:rFonts w:hint="default" w:ascii="Arial" w:hAnsi="Arial" w:cs="Arial"/>
                <w:b/>
                <w:bCs w:val="0"/>
                <w:sz w:val="18"/>
                <w:szCs w:val="18"/>
              </w:rPr>
              <w:t>合计</w:t>
            </w:r>
          </w:p>
        </w:tc>
        <w:tc>
          <w:tcPr>
            <w:tcW w:w="1791" w:type="dxa"/>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lang w:val="en-US" w:eastAsia="zh-CN" w:bidi="ar-SA"/>
              </w:rPr>
            </w:pPr>
            <w:r>
              <w:rPr>
                <w:rFonts w:hint="eastAsia" w:ascii="Arial" w:hAnsi="Arial" w:cs="Arial"/>
                <w:b/>
                <w:bCs/>
                <w:i w:val="0"/>
                <w:color w:val="000000"/>
                <w:kern w:val="0"/>
                <w:sz w:val="18"/>
                <w:szCs w:val="18"/>
                <w:u w:val="none"/>
                <w:lang w:val="en-US" w:eastAsia="zh-CN"/>
              </w:rPr>
              <w:t>114</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188</w:t>
            </w:r>
            <w:r>
              <w:rPr>
                <w:rFonts w:hint="default" w:ascii="Arial" w:hAnsi="Arial" w:eastAsia="宋体" w:cs="Arial"/>
                <w:b/>
                <w:bCs/>
                <w:i w:val="0"/>
                <w:color w:val="000000"/>
                <w:kern w:val="0"/>
                <w:sz w:val="18"/>
                <w:szCs w:val="18"/>
                <w:u w:val="none"/>
                <w:lang w:val="en-US" w:eastAsia="zh-CN"/>
              </w:rPr>
              <w:t>,</w:t>
            </w:r>
            <w:r>
              <w:rPr>
                <w:rFonts w:hint="eastAsia" w:ascii="Arial" w:hAnsi="Arial" w:cs="Arial"/>
                <w:b/>
                <w:bCs/>
                <w:i w:val="0"/>
                <w:color w:val="000000"/>
                <w:kern w:val="0"/>
                <w:sz w:val="18"/>
                <w:szCs w:val="18"/>
                <w:u w:val="none"/>
                <w:lang w:val="en-US" w:eastAsia="zh-CN"/>
              </w:rPr>
              <w:t>328.09</w:t>
            </w:r>
            <w:r>
              <w:rPr>
                <w:rFonts w:hint="default" w:ascii="Arial" w:hAnsi="Arial" w:eastAsia="宋体" w:cs="Arial"/>
                <w:b/>
                <w:bCs/>
                <w:i w:val="0"/>
                <w:color w:val="000000"/>
                <w:kern w:val="0"/>
                <w:sz w:val="18"/>
                <w:szCs w:val="18"/>
                <w:u w:val="none"/>
                <w:lang w:val="en-US" w:eastAsia="zh-CN"/>
              </w:rPr>
              <w:t xml:space="preserve"> </w:t>
            </w:r>
          </w:p>
        </w:tc>
        <w:tc>
          <w:tcPr>
            <w:tcW w:w="3035" w:type="dxa"/>
            <w:vAlign w:val="center"/>
          </w:tcPr>
          <w:p>
            <w:pPr>
              <w:widowControl/>
              <w:jc w:val="right"/>
              <w:rPr>
                <w:rFonts w:hint="default" w:ascii="Arial" w:hAnsi="Arial" w:cs="Arial"/>
                <w:b/>
                <w:sz w:val="18"/>
                <w:szCs w:val="18"/>
              </w:rPr>
            </w:pPr>
          </w:p>
        </w:tc>
        <w:tc>
          <w:tcPr>
            <w:tcW w:w="1631" w:type="dxa"/>
            <w:vAlign w:val="center"/>
          </w:tcPr>
          <w:p>
            <w:pPr>
              <w:widowControl/>
              <w:jc w:val="center"/>
              <w:rPr>
                <w:rFonts w:hint="default" w:ascii="Arial" w:hAnsi="Arial" w:cs="Arial"/>
                <w:bCs/>
                <w:sz w:val="18"/>
                <w:szCs w:val="18"/>
              </w:rPr>
            </w:pPr>
          </w:p>
        </w:tc>
      </w:tr>
    </w:tbl>
    <w:p>
      <w:pPr>
        <w:keepNext/>
        <w:keepLines w:val="0"/>
        <w:pageBreakBefore w:val="0"/>
        <w:widowControl w:val="0"/>
        <w:kinsoku/>
        <w:wordWrap/>
        <w:overflowPunct/>
        <w:topLinePunct w:val="0"/>
        <w:autoSpaceDE/>
        <w:autoSpaceDN/>
        <w:bidi w:val="0"/>
        <w:adjustRightInd/>
        <w:snapToGrid/>
        <w:spacing w:before="0" w:after="0" w:line="240" w:lineRule="auto"/>
        <w:textAlignment w:val="auto"/>
        <w:outlineLvl w:val="9"/>
        <w:rPr>
          <w:rFonts w:hint="default" w:ascii="Arial" w:hAnsi="Arial" w:eastAsia="宋体" w:cs="Arial"/>
          <w:b/>
          <w:bCs/>
          <w:kern w:val="44"/>
          <w:sz w:val="24"/>
          <w:szCs w:val="24"/>
          <w:lang w:val="en-US" w:eastAsia="zh-CN" w:bidi="ar-SA"/>
        </w:rPr>
      </w:pPr>
      <w:bookmarkStart w:id="41" w:name="_Toc17583"/>
      <w:r>
        <w:rPr>
          <w:rFonts w:hint="eastAsia" w:ascii="宋体" w:hAnsi="宋体" w:eastAsia="宋体" w:cs="宋体"/>
          <w:b/>
          <w:bCs/>
          <w:kern w:val="0"/>
          <w:sz w:val="18"/>
          <w:szCs w:val="18"/>
          <w:lang w:val="en-US" w:eastAsia="zh-CN"/>
        </w:rPr>
        <w:t>备注</w:t>
      </w:r>
      <w:r>
        <w:rPr>
          <w:rFonts w:hint="default" w:ascii="Arial" w:hAnsi="Arial" w:eastAsia="宋体" w:cs="Arial"/>
          <w:b/>
          <w:bCs/>
          <w:kern w:val="0"/>
          <w:sz w:val="18"/>
          <w:szCs w:val="18"/>
          <w:lang w:val="en-US" w:eastAsia="zh-CN"/>
        </w:rPr>
        <w:t>：</w:t>
      </w:r>
      <w:r>
        <w:rPr>
          <w:rFonts w:hint="default" w:ascii="Arial" w:hAnsi="Arial" w:cs="Arial"/>
          <w:b/>
          <w:bCs/>
          <w:kern w:val="0"/>
          <w:sz w:val="18"/>
          <w:szCs w:val="18"/>
          <w:lang w:val="en-US" w:eastAsia="zh-CN"/>
        </w:rPr>
        <w:t>0911基本户的统计</w:t>
      </w:r>
      <w:r>
        <w:rPr>
          <w:rFonts w:hint="default" w:ascii="Arial" w:hAnsi="Arial" w:eastAsia="宋体" w:cs="Arial"/>
          <w:b/>
          <w:bCs/>
          <w:kern w:val="0"/>
          <w:sz w:val="18"/>
          <w:szCs w:val="18"/>
          <w:lang w:val="en-US" w:eastAsia="zh-CN"/>
        </w:rPr>
        <w:t>依据</w:t>
      </w:r>
      <w:r>
        <w:rPr>
          <w:rFonts w:hint="default" w:ascii="Arial" w:hAnsi="Arial" w:cs="Arial"/>
          <w:b/>
          <w:bCs/>
          <w:kern w:val="0"/>
          <w:sz w:val="18"/>
          <w:szCs w:val="18"/>
          <w:lang w:val="en-US" w:eastAsia="zh-CN"/>
        </w:rPr>
        <w:t>于</w:t>
      </w:r>
      <w:r>
        <w:rPr>
          <w:rFonts w:hint="eastAsia" w:ascii="宋体" w:hAnsi="宋体" w:cs="宋体"/>
          <w:b/>
          <w:bCs/>
          <w:kern w:val="0"/>
          <w:sz w:val="18"/>
          <w:szCs w:val="18"/>
          <w:lang w:val="en-US" w:eastAsia="zh-CN"/>
        </w:rPr>
        <w:t>项目公司提供的</w:t>
      </w:r>
      <w:r>
        <w:rPr>
          <w:rFonts w:hint="eastAsia" w:ascii="宋体" w:hAnsi="宋体" w:eastAsia="宋体" w:cs="宋体"/>
          <w:b/>
          <w:bCs/>
          <w:kern w:val="0"/>
          <w:sz w:val="18"/>
          <w:szCs w:val="18"/>
          <w:lang w:val="en-US" w:eastAsia="zh-CN"/>
        </w:rPr>
        <w:t>银行流水</w:t>
      </w:r>
      <w:r>
        <w:rPr>
          <w:rFonts w:hint="eastAsia" w:ascii="宋体" w:hAnsi="宋体" w:cs="宋体"/>
          <w:b/>
          <w:bCs/>
          <w:kern w:val="0"/>
          <w:sz w:val="18"/>
          <w:szCs w:val="18"/>
          <w:lang w:val="en-US" w:eastAsia="zh-CN"/>
        </w:rPr>
        <w:t>。</w:t>
      </w:r>
    </w:p>
    <w:p>
      <w:pPr>
        <w:pStyle w:val="3"/>
        <w:keepNext/>
        <w:keepLines w:val="0"/>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Arial" w:hAnsi="Arial" w:cs="Arial"/>
          <w:bCs/>
          <w:kern w:val="44"/>
          <w:lang w:val="en-US" w:eastAsia="zh-CN"/>
        </w:rPr>
      </w:pPr>
      <w:bookmarkStart w:id="42" w:name="_Toc15780"/>
      <w:r>
        <w:rPr>
          <w:rFonts w:hint="default" w:ascii="Arial" w:hAnsi="Arial" w:eastAsia="宋体" w:cs="Arial"/>
          <w:b/>
          <w:bCs/>
          <w:kern w:val="44"/>
          <w:sz w:val="24"/>
          <w:szCs w:val="24"/>
          <w:lang w:val="en-US" w:eastAsia="zh-CN" w:bidi="ar-SA"/>
        </w:rPr>
        <w:t>6.2</w:t>
      </w:r>
      <w:r>
        <w:rPr>
          <w:rFonts w:hint="eastAsia" w:ascii="Arial" w:hAnsi="Arial" w:eastAsia="宋体" w:cs="Arial"/>
          <w:b/>
          <w:bCs/>
          <w:kern w:val="44"/>
          <w:sz w:val="24"/>
          <w:szCs w:val="24"/>
          <w:lang w:val="en-US" w:eastAsia="zh-CN" w:bidi="ar-SA"/>
        </w:rPr>
        <w:t>当地房地产政策</w:t>
      </w:r>
      <w:bookmarkEnd w:id="4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（1）</w:t>
      </w:r>
      <w:r>
        <w:rPr>
          <w:rFonts w:hint="eastAsia" w:ascii="宋体" w:hAnsi="宋体" w:cs="宋体"/>
          <w:bCs/>
          <w:kern w:val="44"/>
          <w:lang w:val="en-US" w:eastAsia="zh-CN"/>
        </w:rPr>
        <w:t>重庆市房产税政策</w:t>
      </w:r>
      <w:bookmarkEnd w:id="4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目前重庆市对渝中区、江北区、沙坪坝区、九龙坡区、大渡口区、南岸区、北碚区、渝北区、巴南区等</w:t>
      </w:r>
      <w:r>
        <w:rPr>
          <w:rFonts w:hint="default" w:ascii="Arial" w:hAnsi="Arial" w:cs="Arial"/>
          <w:bCs/>
          <w:kern w:val="44"/>
          <w:lang w:val="en-US" w:eastAsia="zh-CN"/>
        </w:rPr>
        <w:t>9</w:t>
      </w:r>
      <w:r>
        <w:rPr>
          <w:rFonts w:hint="eastAsia" w:ascii="宋体" w:hAnsi="宋体" w:cs="宋体"/>
          <w:bCs/>
          <w:kern w:val="44"/>
          <w:lang w:val="en-US" w:eastAsia="zh-CN"/>
        </w:rPr>
        <w:t>个主城区实施房产税试点工作。房产税征税对象包括：个人拥有的独栋商品住宅，个人新购的高档住房和在重庆市同时无户籍、无企业、无工作的个人新购的首套及以上的普通住房。未列入征税范围的个人高档住房、多套普通住房，将适时纳入征税范围。</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default" w:ascii="Arial" w:hAnsi="Arial" w:cs="Arial"/>
          <w:bCs/>
          <w:kern w:val="44"/>
          <w:lang w:val="en-US" w:eastAsia="zh-CN"/>
        </w:rPr>
      </w:pPr>
      <w:bookmarkStart w:id="43" w:name="_Toc5292"/>
      <w:r>
        <w:rPr>
          <w:rFonts w:hint="eastAsia" w:ascii="宋体" w:hAnsi="宋体" w:cs="宋体"/>
          <w:bCs/>
          <w:kern w:val="44"/>
          <w:lang w:val="en-US" w:eastAsia="zh-CN"/>
        </w:rPr>
        <w:t>独栋商品住宅和高档住房建筑面积交易单价在上两年主城九区新建商品住房成交建筑面积均</w:t>
      </w:r>
      <w:r>
        <w:rPr>
          <w:rFonts w:hint="default" w:ascii="Arial" w:hAnsi="Arial" w:cs="Arial"/>
          <w:bCs/>
          <w:kern w:val="44"/>
          <w:lang w:val="en-US" w:eastAsia="zh-CN"/>
        </w:rPr>
        <w:t>价3倍以下的住房，税率为0.5%；3倍(含3倍)至4倍的，税率为1%</w:t>
      </w:r>
      <w:r>
        <w:rPr>
          <w:rFonts w:hint="eastAsia" w:ascii="Arial" w:hAnsi="Arial" w:cs="Arial"/>
          <w:bCs/>
          <w:kern w:val="44"/>
          <w:lang w:val="en-US" w:eastAsia="zh-CN"/>
        </w:rPr>
        <w:t>；</w:t>
      </w:r>
      <w:r>
        <w:rPr>
          <w:rFonts w:hint="default" w:ascii="Arial" w:hAnsi="Arial" w:cs="Arial"/>
          <w:bCs/>
          <w:kern w:val="44"/>
          <w:lang w:val="en-US" w:eastAsia="zh-CN"/>
        </w:rPr>
        <w:t>4倍(含4倍)以上的税率为1.2%。</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outlineLvl w:val="1"/>
        <w:rPr>
          <w:rFonts w:hint="eastAsia" w:ascii="宋体" w:hAnsi="宋体" w:cs="宋体"/>
          <w:bCs/>
          <w:kern w:val="44"/>
          <w:lang w:val="en-US" w:eastAsia="zh-CN"/>
        </w:rPr>
      </w:pPr>
      <w:r>
        <w:rPr>
          <w:rFonts w:hint="default" w:ascii="Arial" w:hAnsi="Arial" w:cs="Arial"/>
          <w:bCs/>
          <w:kern w:val="44"/>
          <w:lang w:val="en-US" w:eastAsia="zh-CN"/>
        </w:rPr>
        <w:t>（2）</w:t>
      </w:r>
      <w:r>
        <w:rPr>
          <w:rFonts w:hint="eastAsia" w:ascii="宋体" w:hAnsi="宋体" w:cs="宋体"/>
          <w:bCs/>
          <w:kern w:val="44"/>
          <w:lang w:val="en-US" w:eastAsia="zh-CN"/>
        </w:rPr>
        <w:t>重庆市购房调控政策</w:t>
      </w:r>
      <w:bookmarkEnd w:id="43"/>
      <w:r>
        <w:rPr>
          <w:rFonts w:hint="eastAsia" w:ascii="宋体" w:hAnsi="宋体" w:cs="宋体"/>
          <w:bCs/>
          <w:kern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Arial" w:hAnsi="Arial" w:cs="Arial"/>
          <w:bCs/>
          <w:kern w:val="44"/>
          <w:lang w:val="en-US" w:eastAsia="zh-CN"/>
        </w:rPr>
        <w:t>对于无户籍、无企业、无工作的“三无人员”已经出台限贷政策，对不能提供连续1年</w:t>
      </w:r>
      <w:r>
        <w:rPr>
          <w:rFonts w:hint="eastAsia" w:ascii="宋体" w:hAnsi="宋体" w:cs="宋体"/>
          <w:bCs/>
          <w:kern w:val="44"/>
          <w:lang w:val="en-US" w:eastAsia="zh-CN"/>
        </w:rPr>
        <w:t>“重庆纳税证明”或“社保缴费证明”的三无人员，银行不得对其发放住房按揭贷款，并且每年至少缴纳千分之五的房产税。</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宋体" w:hAnsi="宋体" w:cs="宋体"/>
          <w:bCs/>
          <w:kern w:val="44"/>
          <w:lang w:val="en-US" w:eastAsia="zh-CN"/>
        </w:rPr>
      </w:pPr>
      <w:r>
        <w:rPr>
          <w:rFonts w:hint="eastAsia" w:ascii="宋体" w:hAnsi="宋体" w:cs="宋体"/>
          <w:bCs/>
          <w:kern w:val="44"/>
          <w:lang w:val="en-US" w:eastAsia="zh-CN"/>
        </w:rPr>
        <w:t>重庆主城区范围内（渝中区、江北区、沙坪坝区、九龙坡区、大渡口区、南岸区、北碚区、渝北区、巴南区、两江新区）新购买的新建商品住房和二手住房，须取得《不动产权证》满两年后才能上市交易。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房管部门对房地产开发企业土地竞买资金来源进行审查，严禁利用银行贷款、债券融资、信托资金、保险资金等资金用于缴纳竞买保证金。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 xml:space="preserve">金融机构对已拥有2套住房且相应购房贷款均未结清的居民家庭，继续暂停发放个人住房贷款。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ascii="Arial" w:hAnsi="Arial" w:cs="Arial"/>
          <w:bCs/>
          <w:kern w:val="44"/>
          <w:lang w:val="en-US" w:eastAsia="zh-CN"/>
        </w:rPr>
      </w:pPr>
      <w:r>
        <w:rPr>
          <w:rFonts w:hint="eastAsia" w:ascii="Arial" w:hAnsi="Arial" w:cs="Arial"/>
          <w:bCs/>
          <w:kern w:val="44"/>
          <w:lang w:val="en-US" w:eastAsia="zh-CN"/>
        </w:rPr>
        <w:t>房贷首套房首付比例为20%-30%，二套房首付比例为50%-70%，执行利率为基准利率的1.1倍。各地区首付比例会有差别。一手房按揭套次、实际按揭利率、按揭成数及按揭年限最终以银行审批为准（一般情况下：首套房贷，普通住房首付不低于30%，执行基准利率；二套房贷首付均不低于60%，执行基准利率上浮10%；三套房不准入）。</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default" w:ascii="宋体" w:hAnsi="宋体" w:eastAsia="宋体" w:cs="宋体"/>
          <w:b/>
          <w:bCs/>
          <w:kern w:val="44"/>
          <w:szCs w:val="24"/>
          <w:lang w:val="en-US" w:eastAsia="zh-CN" w:bidi="ar-SA"/>
        </w:rPr>
      </w:pPr>
      <w:bookmarkStart w:id="44" w:name="_Toc5287"/>
      <w:r>
        <w:rPr>
          <w:rFonts w:hint="default" w:ascii="Arial" w:hAnsi="Arial" w:eastAsia="宋体" w:cs="Arial"/>
          <w:sz w:val="24"/>
          <w:szCs w:val="24"/>
          <w:lang w:val="en-US" w:eastAsia="zh-CN"/>
        </w:rPr>
        <w:t>6.3</w:t>
      </w:r>
      <w:r>
        <w:rPr>
          <w:rFonts w:hint="eastAsia" w:ascii="宋体" w:hAnsi="宋体" w:eastAsia="宋体" w:cs="宋体"/>
          <w:sz w:val="24"/>
          <w:szCs w:val="24"/>
          <w:lang w:val="en-US" w:eastAsia="zh-CN"/>
        </w:rPr>
        <w:t>周边竞品项目情况</w:t>
      </w:r>
      <w:bookmarkEnd w:id="44"/>
    </w:p>
    <w:p>
      <w:pPr>
        <w:keepNext w:val="0"/>
        <w:keepLines w:val="0"/>
        <w:pageBreakBefore w:val="0"/>
        <w:widowControl w:val="0"/>
        <w:kinsoku/>
        <w:wordWrap/>
        <w:overflowPunct/>
        <w:topLinePunct w:val="0"/>
        <w:autoSpaceDE/>
        <w:autoSpaceDN/>
        <w:bidi w:val="0"/>
        <w:adjustRightInd/>
        <w:snapToGrid/>
        <w:spacing w:before="316" w:beforeLines="100" w:line="240" w:lineRule="auto"/>
        <w:ind w:firstLine="0" w:firstLineChars="0"/>
        <w:jc w:val="center"/>
        <w:textAlignment w:val="auto"/>
        <w:outlineLvl w:val="1"/>
        <w:rPr>
          <w:rFonts w:hint="default" w:ascii="Arial" w:hAnsi="Arial" w:eastAsia="宋体" w:cs="Arial"/>
          <w:b/>
          <w:bCs/>
          <w:sz w:val="24"/>
          <w:szCs w:val="32"/>
          <w:lang w:val="en-US" w:eastAsia="zh-CN"/>
        </w:rPr>
      </w:pPr>
      <w:bookmarkStart w:id="45" w:name="_Toc19750"/>
      <w:bookmarkStart w:id="46" w:name="_Toc1260"/>
      <w:r>
        <w:rPr>
          <w:rFonts w:hint="eastAsia" w:ascii="Arial" w:hAnsi="Arial" w:eastAsia="宋体" w:cs="Arial"/>
          <w:b/>
          <w:bCs/>
          <w:sz w:val="24"/>
          <w:szCs w:val="32"/>
          <w:lang w:val="en-US" w:eastAsia="zh-CN"/>
        </w:rPr>
        <w:t>周边主力竞品项目调研</w:t>
      </w:r>
      <w:bookmarkEnd w:id="45"/>
      <w:bookmarkEnd w:id="46"/>
    </w:p>
    <w:tbl>
      <w:tblPr>
        <w:tblStyle w:val="10"/>
        <w:tblW w:w="0" w:type="auto"/>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375"/>
        <w:gridCol w:w="6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639"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序号</w:t>
            </w:r>
          </w:p>
        </w:tc>
        <w:tc>
          <w:tcPr>
            <w:tcW w:w="1375"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项目</w:t>
            </w:r>
          </w:p>
        </w:tc>
        <w:tc>
          <w:tcPr>
            <w:tcW w:w="6801"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outlineLvl w:val="9"/>
              <w:rPr>
                <w:rFonts w:hint="default" w:ascii="宋体" w:hAnsi="宋体" w:eastAsia="宋体" w:cs="宋体"/>
                <w:b/>
                <w:bCs/>
                <w:color w:val="000000"/>
                <w:kern w:val="0"/>
                <w:sz w:val="18"/>
                <w:szCs w:val="18"/>
                <w:lang w:val="en-US" w:eastAsia="zh-CN"/>
              </w:rPr>
            </w:pPr>
            <w:r>
              <w:rPr>
                <w:rFonts w:hint="eastAsia" w:ascii="宋体" w:hAnsi="宋体" w:cs="宋体"/>
                <w:b/>
                <w:bCs/>
                <w:color w:val="000000"/>
                <w:kern w:val="0"/>
                <w:sz w:val="18"/>
                <w:szCs w:val="18"/>
                <w:lang w:val="en-US" w:eastAsia="zh-CN"/>
              </w:rPr>
              <w:t>竞品情况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1</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印未来</w:t>
            </w:r>
          </w:p>
        </w:tc>
        <w:tc>
          <w:tcPr>
            <w:tcW w:w="6801"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w:t>
            </w:r>
            <w:r>
              <w:rPr>
                <w:rFonts w:hint="eastAsia" w:ascii="Arial" w:hAnsi="Arial" w:cs="Arial"/>
                <w:color w:val="000000"/>
                <w:kern w:val="0"/>
                <w:sz w:val="18"/>
                <w:szCs w:val="18"/>
                <w:lang w:val="en-US" w:eastAsia="zh-CN"/>
              </w:rPr>
              <w:t>9</w:t>
            </w:r>
            <w:r>
              <w:rPr>
                <w:rFonts w:hint="default" w:ascii="Arial" w:hAnsi="Arial" w:eastAsia="宋体" w:cs="Arial"/>
                <w:color w:val="000000"/>
                <w:kern w:val="0"/>
                <w:sz w:val="18"/>
                <w:szCs w:val="18"/>
                <w:lang w:val="en-US" w:eastAsia="zh-CN"/>
              </w:rPr>
              <w:t>月：成交</w:t>
            </w:r>
            <w:r>
              <w:rPr>
                <w:rFonts w:hint="eastAsia" w:ascii="Arial" w:hAnsi="Arial" w:cs="Arial"/>
                <w:color w:val="000000"/>
                <w:kern w:val="0"/>
                <w:sz w:val="18"/>
                <w:szCs w:val="18"/>
                <w:lang w:val="en-US" w:eastAsia="zh-CN"/>
              </w:rPr>
              <w:t>0</w:t>
            </w:r>
            <w:r>
              <w:rPr>
                <w:rFonts w:hint="default" w:ascii="Arial" w:hAnsi="Arial" w:eastAsia="宋体" w:cs="Arial"/>
                <w:color w:val="000000"/>
                <w:kern w:val="0"/>
                <w:sz w:val="18"/>
                <w:szCs w:val="18"/>
                <w:lang w:val="en-US" w:eastAsia="zh-CN"/>
              </w:rPr>
              <w:t>套，</w:t>
            </w:r>
            <w:r>
              <w:rPr>
                <w:rFonts w:hint="eastAsia" w:ascii="Arial" w:hAnsi="Arial" w:cs="Arial"/>
                <w:color w:val="000000"/>
                <w:kern w:val="0"/>
                <w:sz w:val="18"/>
                <w:szCs w:val="18"/>
                <w:lang w:val="en-US" w:eastAsia="zh-CN"/>
              </w:rPr>
              <w:t>目前可售房源</w:t>
            </w:r>
            <w:r>
              <w:rPr>
                <w:rFonts w:hint="default" w:ascii="Arial" w:hAnsi="Arial" w:eastAsia="宋体" w:cs="Arial"/>
                <w:color w:val="000000"/>
                <w:kern w:val="0"/>
                <w:sz w:val="18"/>
                <w:szCs w:val="18"/>
                <w:lang w:val="en-US" w:eastAsia="zh-CN"/>
              </w:rPr>
              <w:t>已售罄</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占地大小：79亩 ，容积率：1.5</w:t>
            </w:r>
            <w:r>
              <w:rPr>
                <w:rFonts w:hint="default" w:ascii="Arial" w:hAnsi="Arial" w:eastAsia="宋体" w:cs="Arial"/>
                <w:color w:val="000000"/>
                <w:kern w:val="0"/>
                <w:sz w:val="18"/>
                <w:szCs w:val="18"/>
                <w:lang w:val="en-US" w:eastAsia="zh-CN"/>
              </w:rPr>
              <w:br w:type="textWrapping"/>
            </w:r>
            <w:r>
              <w:rPr>
                <w:rFonts w:hint="default" w:ascii="Arial" w:hAnsi="Arial" w:eastAsia="宋体" w:cs="Arial"/>
                <w:color w:val="000000"/>
                <w:kern w:val="0"/>
                <w:sz w:val="18"/>
                <w:szCs w:val="18"/>
                <w:lang w:val="en-US" w:eastAsia="zh-CN"/>
              </w:rPr>
              <w:t>产品类型：</w:t>
            </w:r>
            <w:r>
              <w:rPr>
                <w:rFonts w:hint="default" w:ascii="Arial" w:hAnsi="Arial" w:eastAsia="宋体" w:cs="Arial"/>
                <w:i w:val="0"/>
                <w:iCs w:val="0"/>
                <w:caps w:val="0"/>
                <w:color w:val="303133"/>
                <w:spacing w:val="0"/>
                <w:sz w:val="18"/>
                <w:szCs w:val="18"/>
                <w:shd w:val="clear" w:fill="FFFFFF"/>
              </w:rPr>
              <w:t>建面80</w:t>
            </w:r>
            <w:r>
              <w:rPr>
                <w:rFonts w:hint="default" w:ascii="Arial" w:hAnsi="Arial" w:cs="Arial"/>
                <w:i w:val="0"/>
                <w:iCs w:val="0"/>
                <w:caps w:val="0"/>
                <w:color w:val="303133"/>
                <w:spacing w:val="0"/>
                <w:sz w:val="18"/>
                <w:szCs w:val="18"/>
                <w:shd w:val="clear" w:fill="FFFFFF"/>
                <w:lang w:val="en-US" w:eastAsia="zh-CN"/>
              </w:rPr>
              <w:t>㎡-</w:t>
            </w:r>
            <w:r>
              <w:rPr>
                <w:rFonts w:hint="default" w:ascii="Arial" w:hAnsi="Arial" w:eastAsia="宋体" w:cs="Arial"/>
                <w:i w:val="0"/>
                <w:iCs w:val="0"/>
                <w:caps w:val="0"/>
                <w:color w:val="303133"/>
                <w:spacing w:val="0"/>
                <w:sz w:val="18"/>
                <w:szCs w:val="18"/>
                <w:shd w:val="clear" w:fill="FFFFFF"/>
              </w:rPr>
              <w:t>9</w:t>
            </w:r>
            <w:r>
              <w:rPr>
                <w:rFonts w:hint="default" w:ascii="Arial" w:hAnsi="Arial" w:eastAsia="宋体" w:cs="Arial"/>
                <w:color w:val="000000"/>
                <w:kern w:val="0"/>
                <w:sz w:val="18"/>
                <w:szCs w:val="18"/>
                <w:lang w:val="en-US" w:eastAsia="zh-CN"/>
              </w:rPr>
              <w:t>9㎡，总户数880户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2</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金科博翠宸章（</w:t>
            </w:r>
            <w:r>
              <w:rPr>
                <w:rFonts w:hint="default" w:ascii="Arial" w:hAnsi="Arial" w:eastAsia="宋体" w:cs="Arial"/>
                <w:i w:val="0"/>
                <w:iCs w:val="0"/>
                <w:caps w:val="0"/>
                <w:color w:val="333333"/>
                <w:spacing w:val="0"/>
                <w:sz w:val="18"/>
                <w:szCs w:val="18"/>
                <w:shd w:val="clear" w:fill="FFFFFF"/>
              </w:rPr>
              <w:t>别名：金科天宸誉璟</w:t>
            </w:r>
            <w:r>
              <w:rPr>
                <w:rFonts w:hint="default" w:ascii="Arial" w:hAnsi="Arial" w:eastAsia="宋体" w:cs="Arial"/>
                <w:i w:val="0"/>
                <w:iCs w:val="0"/>
                <w:caps w:val="0"/>
                <w:color w:val="333333"/>
                <w:spacing w:val="0"/>
                <w:sz w:val="18"/>
                <w:szCs w:val="18"/>
                <w:shd w:val="clear" w:fill="FFFFFF"/>
                <w:lang w:eastAsia="zh-CN"/>
              </w:rPr>
              <w:t>）</w:t>
            </w:r>
          </w:p>
        </w:tc>
        <w:tc>
          <w:tcPr>
            <w:tcW w:w="6801" w:type="dxa"/>
            <w:vAlign w:val="center"/>
          </w:tcPr>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w:t>
            </w:r>
            <w:r>
              <w:rPr>
                <w:rFonts w:hint="eastAsia" w:ascii="Arial" w:hAnsi="Arial" w:cs="Arial"/>
                <w:color w:val="000000"/>
                <w:kern w:val="0"/>
                <w:sz w:val="18"/>
                <w:szCs w:val="18"/>
                <w:lang w:val="en-US" w:eastAsia="zh-CN"/>
              </w:rPr>
              <w:t>9</w:t>
            </w:r>
            <w:r>
              <w:rPr>
                <w:rFonts w:hint="default" w:ascii="Arial" w:hAnsi="Arial" w:eastAsia="宋体" w:cs="Arial"/>
                <w:color w:val="000000"/>
                <w:kern w:val="0"/>
                <w:sz w:val="18"/>
                <w:szCs w:val="18"/>
                <w:lang w:val="en-US" w:eastAsia="zh-CN"/>
              </w:rPr>
              <w:t>月：成交</w:t>
            </w:r>
            <w:r>
              <w:rPr>
                <w:rFonts w:hint="eastAsia" w:ascii="Arial" w:hAnsi="Arial" w:cs="Arial"/>
                <w:color w:val="000000"/>
                <w:kern w:val="0"/>
                <w:sz w:val="18"/>
                <w:szCs w:val="18"/>
                <w:lang w:val="en-US" w:eastAsia="zh-CN"/>
              </w:rPr>
              <w:t>60</w:t>
            </w:r>
            <w:r>
              <w:rPr>
                <w:rFonts w:hint="default" w:ascii="Arial" w:hAnsi="Arial" w:eastAsia="宋体" w:cs="Arial"/>
                <w:color w:val="000000"/>
                <w:kern w:val="0"/>
                <w:sz w:val="18"/>
                <w:szCs w:val="18"/>
                <w:lang w:val="en-US" w:eastAsia="zh-CN"/>
              </w:rPr>
              <w:t>套，均价</w:t>
            </w:r>
            <w:r>
              <w:rPr>
                <w:rFonts w:hint="eastAsia" w:ascii="Arial" w:hAnsi="Arial" w:cs="Arial"/>
                <w:color w:val="000000"/>
                <w:kern w:val="0"/>
                <w:sz w:val="18"/>
                <w:szCs w:val="18"/>
                <w:lang w:val="en-US" w:eastAsia="zh-CN"/>
              </w:rPr>
              <w:t>15947</w:t>
            </w:r>
            <w:r>
              <w:rPr>
                <w:rFonts w:hint="default" w:ascii="Arial" w:hAnsi="Arial" w:eastAsia="宋体" w:cs="Arial"/>
                <w:color w:val="000000"/>
                <w:kern w:val="0"/>
                <w:sz w:val="18"/>
                <w:szCs w:val="18"/>
                <w:lang w:val="en-US" w:eastAsia="zh-CN"/>
              </w:rPr>
              <w:t>元/㎡</w:t>
            </w:r>
          </w:p>
          <w:p>
            <w:pPr>
              <w:keepNext w:val="0"/>
              <w:keepLines w:val="0"/>
              <w:widowControl/>
              <w:suppressLineNumbers w:val="0"/>
              <w:jc w:val="left"/>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占地大小：80亩 ，容积率：1.5</w:t>
            </w:r>
            <w:r>
              <w:rPr>
                <w:rFonts w:hint="default" w:ascii="Arial" w:hAnsi="Arial" w:eastAsia="宋体" w:cs="Arial"/>
                <w:color w:val="000000"/>
                <w:kern w:val="0"/>
                <w:sz w:val="18"/>
                <w:szCs w:val="18"/>
                <w:lang w:val="en-US" w:eastAsia="zh-CN"/>
              </w:rPr>
              <w:br w:type="textWrapping"/>
            </w:r>
            <w:r>
              <w:rPr>
                <w:rFonts w:hint="default" w:ascii="Arial" w:hAnsi="Arial" w:eastAsia="宋体" w:cs="Arial"/>
                <w:color w:val="000000"/>
                <w:kern w:val="0"/>
                <w:sz w:val="18"/>
                <w:szCs w:val="18"/>
                <w:lang w:val="en-US" w:eastAsia="zh-CN"/>
              </w:rPr>
              <w:t>产品类型：在售套内面积70-110</w:t>
            </w:r>
            <w:r>
              <w:rPr>
                <w:rFonts w:hint="default" w:ascii="Arial" w:hAnsi="Arial" w:cs="Arial"/>
                <w:i w:val="0"/>
                <w:iCs w:val="0"/>
                <w:caps w:val="0"/>
                <w:color w:val="303133"/>
                <w:spacing w:val="0"/>
                <w:sz w:val="18"/>
                <w:szCs w:val="18"/>
                <w:shd w:val="clear" w:fill="FFFFFF"/>
                <w:lang w:val="en-US" w:eastAsia="zh-CN"/>
              </w:rPr>
              <w:t>㎡</w:t>
            </w:r>
            <w:r>
              <w:rPr>
                <w:rFonts w:hint="default" w:ascii="Arial" w:hAnsi="Arial" w:eastAsia="宋体" w:cs="Arial"/>
                <w:color w:val="000000"/>
                <w:kern w:val="0"/>
                <w:sz w:val="18"/>
                <w:szCs w:val="18"/>
                <w:lang w:val="en-US" w:eastAsia="zh-CN"/>
              </w:rPr>
              <w:t>，套内约18000-21000元/</w:t>
            </w:r>
            <w:r>
              <w:rPr>
                <w:rFonts w:hint="default" w:ascii="Arial" w:hAnsi="Arial" w:cs="Arial"/>
                <w:i w:val="0"/>
                <w:iCs w:val="0"/>
                <w:caps w:val="0"/>
                <w:color w:val="303133"/>
                <w:spacing w:val="0"/>
                <w:sz w:val="18"/>
                <w:szCs w:val="18"/>
                <w:shd w:val="clear"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bookmarkStart w:id="47" w:name="_Toc532281663"/>
            <w:bookmarkStart w:id="48" w:name="_Toc16137"/>
            <w:bookmarkStart w:id="49" w:name="_Toc535570756"/>
            <w:bookmarkStart w:id="50" w:name="_Toc535508642"/>
            <w:bookmarkStart w:id="51" w:name="_Toc535580097"/>
            <w:bookmarkStart w:id="52" w:name="_Toc535580029"/>
            <w:r>
              <w:rPr>
                <w:rFonts w:hint="eastAsia" w:ascii="Arial" w:hAnsi="Arial" w:cs="Arial"/>
                <w:color w:val="000000"/>
                <w:kern w:val="0"/>
                <w:sz w:val="18"/>
                <w:szCs w:val="18"/>
                <w:lang w:val="en-US" w:eastAsia="zh-CN"/>
              </w:rPr>
              <w:t>3</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龙湖学宸名著</w:t>
            </w:r>
          </w:p>
        </w:tc>
        <w:tc>
          <w:tcPr>
            <w:tcW w:w="6801"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w:t>
            </w:r>
            <w:r>
              <w:rPr>
                <w:rFonts w:hint="eastAsia" w:ascii="Arial" w:hAnsi="Arial" w:eastAsia="宋体" w:cs="Arial"/>
                <w:color w:val="000000"/>
                <w:kern w:val="0"/>
                <w:sz w:val="18"/>
                <w:szCs w:val="18"/>
                <w:lang w:val="en-US" w:eastAsia="zh-CN"/>
              </w:rPr>
              <w:t>9</w:t>
            </w:r>
            <w:r>
              <w:rPr>
                <w:rFonts w:hint="default" w:ascii="Arial" w:hAnsi="Arial" w:eastAsia="宋体" w:cs="Arial"/>
                <w:color w:val="000000"/>
                <w:kern w:val="0"/>
                <w:sz w:val="18"/>
                <w:szCs w:val="18"/>
                <w:lang w:val="en-US" w:eastAsia="zh-CN"/>
              </w:rPr>
              <w:t>月：成交</w:t>
            </w:r>
            <w:r>
              <w:rPr>
                <w:rFonts w:hint="eastAsia" w:ascii="Arial" w:hAnsi="Arial" w:eastAsia="宋体" w:cs="Arial"/>
                <w:color w:val="000000"/>
                <w:kern w:val="0"/>
                <w:sz w:val="18"/>
                <w:szCs w:val="18"/>
                <w:lang w:val="en-US" w:eastAsia="zh-CN"/>
              </w:rPr>
              <w:t>61</w:t>
            </w:r>
            <w:r>
              <w:rPr>
                <w:rFonts w:hint="default" w:ascii="Arial" w:hAnsi="Arial" w:eastAsia="宋体" w:cs="Arial"/>
                <w:color w:val="000000"/>
                <w:kern w:val="0"/>
                <w:sz w:val="18"/>
                <w:szCs w:val="18"/>
                <w:lang w:val="en-US" w:eastAsia="zh-CN"/>
              </w:rPr>
              <w:t>套，均价</w:t>
            </w:r>
            <w:r>
              <w:rPr>
                <w:rFonts w:hint="eastAsia" w:ascii="Arial" w:hAnsi="Arial" w:eastAsia="宋体" w:cs="Arial"/>
                <w:color w:val="000000"/>
                <w:kern w:val="0"/>
                <w:sz w:val="18"/>
                <w:szCs w:val="18"/>
                <w:lang w:val="en-US" w:eastAsia="zh-CN"/>
              </w:rPr>
              <w:t>15741</w:t>
            </w:r>
            <w:r>
              <w:rPr>
                <w:rFonts w:hint="default" w:ascii="Arial" w:hAnsi="Arial" w:eastAsia="宋体" w:cs="Arial"/>
                <w:color w:val="000000"/>
                <w:kern w:val="0"/>
                <w:sz w:val="18"/>
                <w:szCs w:val="18"/>
                <w:lang w:val="en-US" w:eastAsia="zh-CN"/>
              </w:rPr>
              <w:t>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在售产品：洋房建面约 86-87㎡</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eastAsia" w:ascii="Arial" w:hAnsi="Arial" w:eastAsia="宋体" w:cs="Arial"/>
                <w:color w:val="000000"/>
                <w:kern w:val="0"/>
                <w:sz w:val="18"/>
                <w:szCs w:val="18"/>
                <w:lang w:val="en-US" w:eastAsia="zh-CN"/>
              </w:rPr>
              <w:t>2021年09月</w:t>
            </w:r>
            <w:r>
              <w:rPr>
                <w:rFonts w:hint="default" w:ascii="Arial" w:hAnsi="Arial" w:eastAsia="宋体" w:cs="Arial"/>
                <w:color w:val="000000"/>
                <w:kern w:val="0"/>
                <w:sz w:val="18"/>
                <w:szCs w:val="18"/>
                <w:lang w:val="en-US" w:eastAsia="zh-CN"/>
              </w:rPr>
              <w:t>在售装修洋房，建面均价约为17650元/㎡，总价约159-205万元/套，主推建面约为97-111㎡；在售清水洋房，主推建面约为86-87㎡，建面均价约为16000元/㎡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4</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禹州博学家</w:t>
            </w:r>
          </w:p>
        </w:tc>
        <w:tc>
          <w:tcPr>
            <w:tcW w:w="6801"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w:t>
            </w:r>
            <w:r>
              <w:rPr>
                <w:rFonts w:hint="eastAsia" w:ascii="Arial" w:hAnsi="Arial" w:eastAsia="宋体" w:cs="Arial"/>
                <w:color w:val="000000"/>
                <w:kern w:val="0"/>
                <w:sz w:val="18"/>
                <w:szCs w:val="18"/>
                <w:lang w:val="en-US" w:eastAsia="zh-CN"/>
              </w:rPr>
              <w:t>9</w:t>
            </w:r>
            <w:r>
              <w:rPr>
                <w:rFonts w:hint="default" w:ascii="Arial" w:hAnsi="Arial" w:eastAsia="宋体" w:cs="Arial"/>
                <w:color w:val="000000"/>
                <w:kern w:val="0"/>
                <w:sz w:val="18"/>
                <w:szCs w:val="18"/>
                <w:lang w:val="en-US" w:eastAsia="zh-CN"/>
              </w:rPr>
              <w:t>月：成交</w:t>
            </w:r>
            <w:r>
              <w:rPr>
                <w:rFonts w:hint="eastAsia" w:ascii="Arial" w:hAnsi="Arial" w:eastAsia="宋体" w:cs="Arial"/>
                <w:color w:val="000000"/>
                <w:kern w:val="0"/>
                <w:sz w:val="18"/>
                <w:szCs w:val="18"/>
                <w:lang w:val="en-US" w:eastAsia="zh-CN"/>
              </w:rPr>
              <w:t>41</w:t>
            </w:r>
            <w:r>
              <w:rPr>
                <w:rFonts w:hint="default" w:ascii="Arial" w:hAnsi="Arial" w:eastAsia="宋体" w:cs="Arial"/>
                <w:color w:val="000000"/>
                <w:kern w:val="0"/>
                <w:sz w:val="18"/>
                <w:szCs w:val="18"/>
                <w:lang w:val="en-US" w:eastAsia="zh-CN"/>
              </w:rPr>
              <w:t>套，均价14</w:t>
            </w:r>
            <w:r>
              <w:rPr>
                <w:rFonts w:hint="eastAsia" w:ascii="Arial" w:hAnsi="Arial" w:eastAsia="宋体" w:cs="Arial"/>
                <w:color w:val="000000"/>
                <w:kern w:val="0"/>
                <w:sz w:val="18"/>
                <w:szCs w:val="18"/>
                <w:lang w:val="en-US" w:eastAsia="zh-CN"/>
              </w:rPr>
              <w:t>210</w:t>
            </w:r>
            <w:r>
              <w:rPr>
                <w:rFonts w:hint="default" w:ascii="Arial" w:hAnsi="Arial" w:eastAsia="宋体" w:cs="Arial"/>
                <w:color w:val="000000"/>
                <w:kern w:val="0"/>
                <w:sz w:val="18"/>
                <w:szCs w:val="18"/>
                <w:lang w:val="en-US" w:eastAsia="zh-CN"/>
              </w:rPr>
              <w:t>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在售墅境洋房，套内约67-100㎡，套内均价约14000元/㎡，总价约94万-195万元/套；青年学墅，套内约105-112㎡，套内均价约17000元/㎡，总价约185万-215万元/套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val="en-US" w:eastAsia="zh-CN"/>
              </w:rPr>
              <w:t>5</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花样年-霍克尼</w:t>
            </w:r>
          </w:p>
        </w:tc>
        <w:tc>
          <w:tcPr>
            <w:tcW w:w="6801"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w:t>
            </w:r>
            <w:r>
              <w:rPr>
                <w:rFonts w:hint="eastAsia" w:ascii="Arial" w:hAnsi="Arial" w:eastAsia="宋体" w:cs="Arial"/>
                <w:color w:val="000000"/>
                <w:kern w:val="0"/>
                <w:sz w:val="18"/>
                <w:szCs w:val="18"/>
                <w:lang w:val="en-US" w:eastAsia="zh-CN"/>
              </w:rPr>
              <w:t>9</w:t>
            </w:r>
            <w:r>
              <w:rPr>
                <w:rFonts w:hint="default" w:ascii="Arial" w:hAnsi="Arial" w:eastAsia="宋体" w:cs="Arial"/>
                <w:color w:val="000000"/>
                <w:kern w:val="0"/>
                <w:sz w:val="18"/>
                <w:szCs w:val="18"/>
                <w:lang w:val="en-US" w:eastAsia="zh-CN"/>
              </w:rPr>
              <w:t>月：成交2</w:t>
            </w:r>
            <w:r>
              <w:rPr>
                <w:rFonts w:hint="eastAsia" w:ascii="Arial" w:hAnsi="Arial" w:eastAsia="宋体" w:cs="Arial"/>
                <w:color w:val="000000"/>
                <w:kern w:val="0"/>
                <w:sz w:val="18"/>
                <w:szCs w:val="18"/>
                <w:lang w:val="en-US" w:eastAsia="zh-CN"/>
              </w:rPr>
              <w:t>6</w:t>
            </w:r>
            <w:r>
              <w:rPr>
                <w:rFonts w:hint="default" w:ascii="Arial" w:hAnsi="Arial" w:eastAsia="宋体" w:cs="Arial"/>
                <w:color w:val="000000"/>
                <w:kern w:val="0"/>
                <w:sz w:val="18"/>
                <w:szCs w:val="18"/>
                <w:lang w:val="en-US" w:eastAsia="zh-CN"/>
              </w:rPr>
              <w:t>套，均价15</w:t>
            </w:r>
            <w:r>
              <w:rPr>
                <w:rFonts w:hint="eastAsia" w:ascii="Arial" w:hAnsi="Arial" w:eastAsia="宋体" w:cs="Arial"/>
                <w:color w:val="000000"/>
                <w:kern w:val="0"/>
                <w:sz w:val="18"/>
                <w:szCs w:val="18"/>
                <w:lang w:val="en-US" w:eastAsia="zh-CN"/>
              </w:rPr>
              <w:t>264</w:t>
            </w:r>
            <w:r>
              <w:rPr>
                <w:rFonts w:hint="default" w:ascii="Arial" w:hAnsi="Arial" w:eastAsia="宋体" w:cs="Arial"/>
                <w:color w:val="000000"/>
                <w:kern w:val="0"/>
                <w:sz w:val="18"/>
                <w:szCs w:val="18"/>
                <w:lang w:val="en-US" w:eastAsia="zh-CN"/>
              </w:rPr>
              <w:t>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在售产品：洋房建面126-142㎡</w:t>
            </w:r>
            <w:r>
              <w:rPr>
                <w:rFonts w:hint="eastAsia" w:ascii="Arial" w:hAnsi="Arial" w:eastAsia="宋体" w:cs="Arial"/>
                <w:color w:val="000000"/>
                <w:kern w:val="0"/>
                <w:sz w:val="18"/>
                <w:szCs w:val="18"/>
                <w:lang w:val="en-US" w:eastAsia="zh-CN"/>
              </w:rPr>
              <w:t>，总户数：681户</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项目总占地7.6万方，总建筑面积约17.9万方，容积率约1.5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639"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cs="Arial"/>
                <w:color w:val="000000"/>
                <w:kern w:val="0"/>
                <w:sz w:val="18"/>
                <w:szCs w:val="18"/>
                <w:lang w:val="en-US" w:eastAsia="zh-CN"/>
              </w:rPr>
            </w:pPr>
            <w:bookmarkStart w:id="53" w:name="_Toc13065"/>
            <w:r>
              <w:rPr>
                <w:rFonts w:hint="eastAsia" w:ascii="Arial" w:hAnsi="Arial" w:cs="Arial"/>
                <w:color w:val="000000"/>
                <w:kern w:val="0"/>
                <w:sz w:val="18"/>
                <w:szCs w:val="18"/>
                <w:lang w:val="en-US" w:eastAsia="zh-CN"/>
              </w:rPr>
              <w:t>6</w:t>
            </w:r>
          </w:p>
        </w:tc>
        <w:tc>
          <w:tcPr>
            <w:tcW w:w="1375" w:type="dxa"/>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Arial" w:hAnsi="Arial" w:eastAsia="宋体" w:cs="Arial"/>
                <w:color w:val="000000"/>
                <w:kern w:val="0"/>
                <w:sz w:val="18"/>
                <w:szCs w:val="18"/>
                <w:lang w:val="en-US" w:eastAsia="zh-CN"/>
              </w:rPr>
            </w:pPr>
            <w:r>
              <w:rPr>
                <w:rFonts w:hint="default" w:ascii="Arial" w:hAnsi="Arial" w:eastAsia="宋体" w:cs="Arial"/>
                <w:i w:val="0"/>
                <w:iCs w:val="0"/>
                <w:caps w:val="0"/>
                <w:color w:val="333333"/>
                <w:spacing w:val="0"/>
                <w:sz w:val="18"/>
                <w:szCs w:val="18"/>
                <w:shd w:val="clear" w:fill="FFFFFF"/>
              </w:rPr>
              <w:t>佳兆业</w:t>
            </w:r>
            <w:r>
              <w:rPr>
                <w:rFonts w:hint="eastAsia" w:ascii="Arial" w:hAnsi="Arial" w:cs="Arial"/>
                <w:i w:val="0"/>
                <w:iCs w:val="0"/>
                <w:caps w:val="0"/>
                <w:color w:val="333333"/>
                <w:spacing w:val="0"/>
                <w:sz w:val="18"/>
                <w:szCs w:val="18"/>
                <w:shd w:val="clear" w:fill="FFFFFF"/>
                <w:lang w:val="en-US" w:eastAsia="zh-CN"/>
              </w:rPr>
              <w:t>·</w:t>
            </w:r>
            <w:r>
              <w:rPr>
                <w:rFonts w:hint="default" w:ascii="Arial" w:hAnsi="Arial" w:eastAsia="宋体" w:cs="Arial"/>
                <w:i w:val="0"/>
                <w:iCs w:val="0"/>
                <w:caps w:val="0"/>
                <w:color w:val="333333"/>
                <w:spacing w:val="0"/>
                <w:sz w:val="18"/>
                <w:szCs w:val="18"/>
                <w:shd w:val="clear" w:fill="FFFFFF"/>
              </w:rPr>
              <w:t>珑樾壹号</w:t>
            </w:r>
          </w:p>
        </w:tc>
        <w:tc>
          <w:tcPr>
            <w:tcW w:w="6801" w:type="dxa"/>
            <w:vAlign w:val="center"/>
          </w:tcPr>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2021年0</w:t>
            </w:r>
            <w:r>
              <w:rPr>
                <w:rFonts w:hint="eastAsia" w:ascii="Arial" w:hAnsi="Arial" w:eastAsia="宋体" w:cs="Arial"/>
                <w:color w:val="000000"/>
                <w:kern w:val="0"/>
                <w:sz w:val="18"/>
                <w:szCs w:val="18"/>
                <w:lang w:val="en-US" w:eastAsia="zh-CN"/>
              </w:rPr>
              <w:t>9</w:t>
            </w:r>
            <w:r>
              <w:rPr>
                <w:rFonts w:hint="default" w:ascii="Arial" w:hAnsi="Arial" w:eastAsia="宋体" w:cs="Arial"/>
                <w:color w:val="000000"/>
                <w:kern w:val="0"/>
                <w:sz w:val="18"/>
                <w:szCs w:val="18"/>
                <w:lang w:val="en-US" w:eastAsia="zh-CN"/>
              </w:rPr>
              <w:t>月：成交</w:t>
            </w:r>
            <w:r>
              <w:rPr>
                <w:rFonts w:hint="eastAsia" w:ascii="Arial" w:hAnsi="Arial" w:eastAsia="宋体" w:cs="Arial"/>
                <w:color w:val="000000"/>
                <w:kern w:val="0"/>
                <w:sz w:val="18"/>
                <w:szCs w:val="18"/>
                <w:lang w:val="en-US" w:eastAsia="zh-CN"/>
              </w:rPr>
              <w:t>22</w:t>
            </w:r>
            <w:r>
              <w:rPr>
                <w:rFonts w:hint="default" w:ascii="Arial" w:hAnsi="Arial" w:eastAsia="宋体" w:cs="Arial"/>
                <w:color w:val="000000"/>
                <w:kern w:val="0"/>
                <w:sz w:val="18"/>
                <w:szCs w:val="18"/>
                <w:lang w:val="en-US" w:eastAsia="zh-CN"/>
              </w:rPr>
              <w:t>套，均价1</w:t>
            </w:r>
            <w:r>
              <w:rPr>
                <w:rFonts w:hint="eastAsia" w:ascii="Arial" w:hAnsi="Arial" w:eastAsia="宋体" w:cs="Arial"/>
                <w:color w:val="000000"/>
                <w:kern w:val="0"/>
                <w:sz w:val="18"/>
                <w:szCs w:val="18"/>
                <w:lang w:val="en-US" w:eastAsia="zh-CN"/>
              </w:rPr>
              <w:t>6885</w:t>
            </w:r>
            <w:r>
              <w:rPr>
                <w:rFonts w:hint="default" w:ascii="Arial" w:hAnsi="Arial" w:eastAsia="宋体" w:cs="Arial"/>
                <w:color w:val="000000"/>
                <w:kern w:val="0"/>
                <w:sz w:val="18"/>
                <w:szCs w:val="18"/>
                <w:lang w:val="en-US" w:eastAsia="zh-CN"/>
              </w:rPr>
              <w:t>元/㎡</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占地面积：57460㎡，总户数780户</w:t>
            </w:r>
          </w:p>
          <w:p>
            <w:pPr>
              <w:keepNext w:val="0"/>
              <w:keepLines w:val="0"/>
              <w:pageBreakBefore w:val="0"/>
              <w:widowControl/>
              <w:kinsoku/>
              <w:wordWrap/>
              <w:overflowPunct/>
              <w:topLinePunct w:val="0"/>
              <w:autoSpaceDE/>
              <w:autoSpaceDN/>
              <w:bidi w:val="0"/>
              <w:adjustRightInd/>
              <w:snapToGrid/>
              <w:jc w:val="left"/>
              <w:textAlignment w:val="center"/>
              <w:rPr>
                <w:rFonts w:hint="default" w:ascii="Arial" w:hAnsi="Arial" w:eastAsia="宋体" w:cs="Arial"/>
                <w:color w:val="000000"/>
                <w:kern w:val="0"/>
                <w:sz w:val="18"/>
                <w:szCs w:val="18"/>
                <w:lang w:val="en-US" w:eastAsia="zh-CN"/>
              </w:rPr>
            </w:pPr>
            <w:r>
              <w:rPr>
                <w:rFonts w:hint="default" w:ascii="Arial" w:hAnsi="Arial" w:eastAsia="宋体" w:cs="Arial"/>
                <w:color w:val="000000"/>
                <w:kern w:val="0"/>
                <w:sz w:val="18"/>
                <w:szCs w:val="18"/>
                <w:lang w:val="en-US" w:eastAsia="zh-CN"/>
              </w:rPr>
              <w:t>臻装地暖小洋房持续在售，建面约89-99㎡，建面均价约18000元/㎡</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r>
        <w:rPr>
          <w:rFonts w:hint="default" w:ascii="Arial" w:hAnsi="Arial" w:eastAsia="宋体" w:cs="Arial"/>
          <w:sz w:val="24"/>
          <w:szCs w:val="24"/>
          <w:lang w:val="en-US" w:eastAsia="zh-CN"/>
        </w:rPr>
        <w:t>7</w:t>
      </w:r>
      <w:r>
        <w:rPr>
          <w:rFonts w:hint="eastAsia" w:ascii="宋体" w:hAnsi="宋体" w:eastAsia="宋体" w:cs="宋体"/>
          <w:sz w:val="24"/>
          <w:szCs w:val="24"/>
          <w:lang w:val="en-US" w:eastAsia="zh-CN"/>
        </w:rPr>
        <w:t>资金</w:t>
      </w:r>
      <w:bookmarkEnd w:id="37"/>
      <w:bookmarkEnd w:id="38"/>
      <w:bookmarkEnd w:id="47"/>
      <w:bookmarkStart w:id="54" w:name="_Toc535932782"/>
      <w:bookmarkStart w:id="55" w:name="_Toc535580030"/>
      <w:bookmarkStart w:id="56" w:name="_Toc535570757"/>
      <w:bookmarkStart w:id="57" w:name="_Toc535580098"/>
      <w:bookmarkStart w:id="58" w:name="_Toc535508643"/>
      <w:r>
        <w:rPr>
          <w:rFonts w:hint="eastAsia" w:ascii="宋体" w:hAnsi="宋体" w:eastAsia="宋体" w:cs="宋体"/>
          <w:sz w:val="24"/>
          <w:szCs w:val="24"/>
          <w:lang w:val="en-US" w:eastAsia="zh-CN"/>
        </w:rPr>
        <w:t>情况</w:t>
      </w:r>
      <w:bookmarkEnd w:id="48"/>
      <w:bookmarkEnd w:id="53"/>
    </w:p>
    <w:p>
      <w:p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上期项目公司</w:t>
      </w:r>
      <w:r>
        <w:rPr>
          <w:rFonts w:hint="eastAsia" w:ascii="Arial" w:hAnsi="Arial" w:cs="Arial"/>
          <w:bCs/>
          <w:kern w:val="44"/>
          <w:highlight w:val="none"/>
          <w:lang w:val="en-US" w:eastAsia="zh-CN"/>
        </w:rPr>
        <w:t>监管账户</w:t>
      </w:r>
      <w:r>
        <w:rPr>
          <w:rFonts w:hint="eastAsia" w:ascii="Arial" w:hAnsi="Arial" w:cs="Arial"/>
          <w:bCs/>
          <w:kern w:val="44"/>
          <w:lang w:val="en-US" w:eastAsia="zh-CN"/>
        </w:rPr>
        <w:t>资金余额合计28,240,979.67元，其中8996光大预售资金监管账户余额为4,268,586.82元，0828邮政按揭账户余额为13,216.65元，7471农商行按揭账户余额为5,502.46元，0475建行按揭账户余额为955.13元，8166光大专用户余额为7,969.37元，2452汉口银行按揭户账户余额为7,150.40元，2601汉口银行预售资金监管户余额为17,832,048.60元，2204兴业银行按揭账户余额为7,988.80元，4896民生银行按揭账户余额为4,837,561.44元，0049大连银行按揭账户余额为1,260,000.00元，2473成都银行按揭账户余额为0.00元。</w:t>
      </w:r>
    </w:p>
    <w:p>
      <w:pPr>
        <w:spacing w:line="480" w:lineRule="auto"/>
        <w:ind w:firstLine="420" w:firstLineChars="200"/>
        <w:contextualSpacing/>
        <w:rPr>
          <w:rFonts w:hint="default" w:ascii="Arial" w:hAnsi="Arial" w:cs="Arial"/>
          <w:bCs/>
          <w:kern w:val="44"/>
          <w:lang w:val="en-US" w:eastAsia="zh-CN"/>
        </w:rPr>
      </w:pPr>
      <w:r>
        <w:rPr>
          <w:rFonts w:hint="eastAsia" w:ascii="Arial" w:hAnsi="Arial" w:cs="Arial"/>
          <w:bCs/>
          <w:kern w:val="44"/>
          <w:lang w:val="en-US" w:eastAsia="zh-CN"/>
        </w:rPr>
        <w:t>本期监管范围内资金流出总额合计118,278,374.85元，资金流入总额合计117,126,913.01元。</w:t>
      </w:r>
      <w:bookmarkStart w:id="59" w:name="_Toc30328"/>
      <w:r>
        <w:rPr>
          <w:rFonts w:hint="eastAsia" w:ascii="Arial" w:hAnsi="Arial" w:cs="Arial"/>
          <w:bCs/>
          <w:kern w:val="44"/>
          <w:lang w:val="en-US" w:eastAsia="zh-CN"/>
        </w:rPr>
        <w:t>截至2021年09月30日监管账户资金余额合计27,089,517.83元，其中8996光大预售资金监管账户余额为4,412,599.96元，0828邮政按揭账户余额为7,367.45元，7471农商行按揭账户余额为5,531.22元，0475建行按揭账户余额为192,144.50元，8166光大专用户余额为7,965.48元，2452汉口银行按揭户账户余额为5,597,646.85元，2601汉口银行预售资金监管户余额为16,847,536.39元，2204兴业银行按揭账户余额为7,657.91元，4896民生银行按揭账户余额为1,392.85元，0049大连银行按揭账户余额为9,675.22元，2473成都银行按揭账户余额为0.00元。</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0" w:name="_Toc11542"/>
      <w:r>
        <w:rPr>
          <w:rFonts w:hint="default" w:ascii="Arial" w:hAnsi="Arial" w:eastAsia="宋体" w:cs="Arial"/>
          <w:b/>
          <w:sz w:val="24"/>
          <w:szCs w:val="24"/>
          <w:lang w:val="en-US" w:eastAsia="zh-CN"/>
        </w:rPr>
        <w:t>7.1</w:t>
      </w:r>
      <w:r>
        <w:rPr>
          <w:rFonts w:hint="eastAsia" w:ascii="Arial" w:hAnsi="Arial" w:eastAsia="宋体" w:cs="Arial"/>
          <w:b/>
          <w:sz w:val="24"/>
          <w:szCs w:val="24"/>
          <w:lang w:val="en-US" w:eastAsia="zh-CN"/>
        </w:rPr>
        <w:t>资金流出情况</w:t>
      </w:r>
      <w:bookmarkEnd w:id="59"/>
      <w:bookmarkEnd w:id="60"/>
    </w:p>
    <w:p>
      <w:pPr>
        <w:spacing w:line="480" w:lineRule="auto"/>
        <w:ind w:firstLine="420" w:firstLineChars="200"/>
        <w:rPr>
          <w:rFonts w:hint="default" w:ascii="Arial" w:hAnsi="Arial" w:cs="Arial"/>
          <w:bCs/>
          <w:kern w:val="44"/>
          <w:lang w:val="en-US" w:eastAsia="zh-CN"/>
        </w:rPr>
      </w:pPr>
      <w:bookmarkStart w:id="61" w:name="_Toc4698"/>
      <w:r>
        <w:rPr>
          <w:rFonts w:hint="eastAsia" w:ascii="Arial" w:hAnsi="Arial" w:cs="Arial"/>
          <w:bCs/>
          <w:kern w:val="44"/>
          <w:lang w:val="en-US" w:eastAsia="zh-CN"/>
        </w:rPr>
        <w:t>2021年09月01日至2021年09月30日监管范围内资金流出总额合计118,278,374.85元，其中8996光大银行预售资金监管账户资金流出合计2,065,655.55元，2601汉口银行预售资金监管账户资金流出合计14,230,000.00元，8166光大专用户资金流出合计10.00元，0828邮政按揭户资金流出合计19,288,241.30元，0475建行按揭户资金流出合计23,580,244.40元，7471农商行按揭户资金流出合计20.00元，2452汉口按揭户资金流出合计21,803,389.20元，2204兴业按揭户资金流出合计15,230,014.00元，</w:t>
      </w:r>
      <w:r>
        <w:rPr>
          <w:rFonts w:hint="default" w:ascii="Arial" w:hAnsi="Arial" w:cs="Arial"/>
          <w:bCs/>
          <w:kern w:val="44"/>
          <w:lang w:val="en-US" w:eastAsia="zh-CN"/>
        </w:rPr>
        <w:t>4896民生按揭户</w:t>
      </w:r>
      <w:r>
        <w:rPr>
          <w:rFonts w:hint="eastAsia" w:ascii="Arial" w:hAnsi="Arial" w:cs="Arial"/>
          <w:bCs/>
          <w:kern w:val="44"/>
          <w:lang w:val="en-US" w:eastAsia="zh-CN"/>
        </w:rPr>
        <w:t>资金流出合计20,830,310.40元，0049大连按揭户资金流出合计1,250,490.00元。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资金流出明细表</w:t>
      </w:r>
    </w:p>
    <w:tbl>
      <w:tblPr>
        <w:tblStyle w:val="9"/>
        <w:tblW w:w="9248"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68"/>
        <w:gridCol w:w="1732"/>
        <w:gridCol w:w="1440"/>
        <w:gridCol w:w="2338"/>
        <w:gridCol w:w="11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8" w:hRule="atLeast"/>
          <w:tblHeader/>
        </w:trPr>
        <w:tc>
          <w:tcPr>
            <w:tcW w:w="1068"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支付</w:t>
            </w:r>
            <w:r>
              <w:rPr>
                <w:rFonts w:ascii="Arial" w:hAnsi="Arial" w:cs="Arial"/>
                <w:b/>
                <w:sz w:val="18"/>
                <w:szCs w:val="18"/>
              </w:rPr>
              <w:t>日期</w:t>
            </w:r>
          </w:p>
        </w:tc>
        <w:tc>
          <w:tcPr>
            <w:tcW w:w="1732"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440"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2338" w:type="dxa"/>
            <w:vAlign w:val="center"/>
          </w:tcPr>
          <w:p>
            <w:pPr>
              <w:widowControl/>
              <w:jc w:val="center"/>
              <w:textAlignment w:val="center"/>
              <w:rPr>
                <w:rFonts w:ascii="Arial" w:hAnsi="Arial" w:cs="Arial"/>
                <w:b/>
                <w:sz w:val="18"/>
                <w:szCs w:val="18"/>
              </w:rPr>
            </w:pPr>
            <w:r>
              <w:rPr>
                <w:rFonts w:ascii="Arial" w:hAnsi="Arial" w:cs="Arial"/>
                <w:b/>
                <w:sz w:val="18"/>
                <w:szCs w:val="18"/>
              </w:rPr>
              <w:t>收款方</w:t>
            </w:r>
          </w:p>
        </w:tc>
        <w:tc>
          <w:tcPr>
            <w:tcW w:w="1104" w:type="dxa"/>
            <w:vAlign w:val="center"/>
          </w:tcPr>
          <w:p>
            <w:pPr>
              <w:widowControl/>
              <w:jc w:val="center"/>
              <w:textAlignment w:val="center"/>
              <w:rPr>
                <w:rFonts w:ascii="Arial" w:hAnsi="Arial" w:cs="Arial"/>
                <w:b/>
                <w:sz w:val="18"/>
                <w:szCs w:val="18"/>
              </w:rPr>
            </w:pPr>
            <w:r>
              <w:rPr>
                <w:rFonts w:ascii="Arial" w:hAnsi="Arial" w:cs="Arial"/>
                <w:b/>
                <w:sz w:val="18"/>
                <w:szCs w:val="18"/>
              </w:rPr>
              <w:t>用款类型</w:t>
            </w:r>
          </w:p>
        </w:tc>
        <w:tc>
          <w:tcPr>
            <w:tcW w:w="1566"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流出账户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张友娥</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张友娥</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张友娥</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6"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28,029.00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雷健</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4"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雷健</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雷健</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8"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周杭</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周杭</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2"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周杭</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8"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163,598.00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周杭</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周杭</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28,029.00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余术成</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余术成</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1"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余术成</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169,968.00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温馨</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温馨</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28,029.00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王修奎</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30,000.00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曾德琼</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27,741.00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任薇</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任薇</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任薇</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87,741.00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杨晶杰</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杨晶杰</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滕德明</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滕德明</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5"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27,029.00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滕德明</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1"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1"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滕德明</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9"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滕德明</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7"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eastAsia"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滕德明</w:t>
            </w:r>
          </w:p>
        </w:tc>
        <w:tc>
          <w:tcPr>
            <w:tcW w:w="1104" w:type="dxa"/>
            <w:vAlign w:val="center"/>
          </w:tcPr>
          <w:p>
            <w:pPr>
              <w:jc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滕德明</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滕德明</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王钰婷</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王钰婷</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李杰</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李杰</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110,000.00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刘里</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刘里</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陈小丽</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陈小丽</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68,820.00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陈小丽</w:t>
            </w:r>
          </w:p>
        </w:tc>
        <w:tc>
          <w:tcPr>
            <w:tcW w:w="1104" w:type="dxa"/>
            <w:vAlign w:val="center"/>
          </w:tcPr>
          <w:p>
            <w:pPr>
              <w:tabs>
                <w:tab w:val="left" w:pos="371"/>
              </w:tabs>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170,846.00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赵红菊</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赵红菊</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曾德琼</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曾德琼</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王修奎</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王修奎</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1,210,000.00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24.20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备付佳兆业其他项目款项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1,210,000.00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106.40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备付佳兆业其他项目款项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6,650,000.00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重庆佳兆业房地产开发有限公司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备付佳兆业其他项目款项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1,250,000.00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重庆佳兆业房地产开发有限公司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2,540,000.00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460,000.00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归还佳兆业西南集团借款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3,000,000.00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50,282.00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杨瑶</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杨瑶</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杨瑶</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50,282.00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冉启蕾</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5,566.00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贾宝春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冉启蕾</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冉启蕾</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贾宝春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贾宝春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贾宝春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贾宝春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贾宝春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贾宝春</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刘一蒙</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23,598.00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刘一蒙</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刘一蒙</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邓丹丹</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170,000.00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邓丹丹</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28,029.00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肖梅</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60,000.00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冯泽平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冯泽平</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162,000.00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方清瑜</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方清瑜</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杨永红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50,649.00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杨永红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杨永红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杨永红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杨永红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190,000.00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杨永红</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杨声巧</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退房款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106,664.00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杨声巧</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收费退缴</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15.00</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短信通服务费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10.00</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短信通知手续费收入（对公）</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对公资金划转跨行同城</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24.40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对公资金划转跨行异地</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330,000.00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4,670,000.00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归还区域借款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备付其他项目管理费用等</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2,940,000.00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重庆佳兆业房地产开发有限公司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47.04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备还其他项目保理公司借款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7,610,000.00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重庆佳兆业房地产开发有限公司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备还其他项目保理公司借款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重庆佳兆业房地产开发有限公司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1,930,000.00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备付其他项目还本付息及工程款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3,400,000.00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备付其他项目还本付息及工程款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重庆佳兆业房地产开发有限公司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46.40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2021/09/13</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重庆佳兆业房地产开发有限公司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730,000.00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37.00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1,850,000.00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短信通费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3,080,000.00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1,040,000.00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580,000.00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(2452汉口按揭户)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32.40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1,620,000.00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104.60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备付其他项目还本付息及其他款项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5,230,000.00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成都盛安恒业商贸有限公司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备付其他项目还本付息及其他款项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备付其他项目还本付息及其他款项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3,120,000.00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49.92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精灵信使服务费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备付其他项目还本付息及其他款项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3,380,000.00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备付光大银行还本付息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2,070,000.00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重庆渝煌达实业有限公司（8996光大预售资金监管户）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备付光大银行还本付息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2,070,000.00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重庆渝煌达实业有限公司（佳兆业·晓岸云起项目商品房预售资金监管账户）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28.40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备付其他项目还本付息及其他款项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1,420,000.00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贷款批量扣款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462,000.00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重庆渝煌达实业有限公司（汉口银行季度利息扣款）</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贷款批量扣款</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1,881,000.00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重庆渝煌达实业有限公司（汉口银行季度利息扣款）</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2,065,655.55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应收中长期贷款利息</w:t>
            </w:r>
          </w:p>
        </w:tc>
        <w:tc>
          <w:tcPr>
            <w:tcW w:w="1104" w:type="dxa"/>
            <w:vAlign w:val="center"/>
          </w:tcPr>
          <w:p>
            <w:pPr>
              <w:jc w:val="center"/>
              <w:rPr>
                <w:rFonts w:hint="default" w:ascii="Arial" w:hAnsi="Arial" w:eastAsia="宋体" w:cs="Arial"/>
                <w:i w:val="0"/>
                <w:iCs w:val="0"/>
                <w:color w:val="000000"/>
                <w:kern w:val="0"/>
                <w:sz w:val="18"/>
                <w:szCs w:val="18"/>
                <w:u w:val="none"/>
                <w:lang w:val="en-US" w:eastAsia="zh-CN" w:bidi="ar"/>
              </w:rPr>
            </w:pPr>
            <w:r>
              <w:rPr>
                <w:rFonts w:hint="eastAsia" w:ascii="Arial" w:hAnsi="Arial"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备还光大银行本金</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7,710,000.00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不同账户资金调拨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2021/09/25</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现金管理业务手续费收入</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103.10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集团客户现金管理收入</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网银证书收费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企业网银证书服务年费</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网银证书收费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企业网银证书服务年费</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网银证书收费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企业网银证书服务年费</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77.80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备付佳兆业还本付息</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3,890,000.00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备付其他项目营销费用</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备付其他项目营销费用</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3,790,000.00 </w:t>
            </w:r>
          </w:p>
        </w:tc>
        <w:tc>
          <w:tcPr>
            <w:tcW w:w="233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资金往来</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1" w:hRule="atLeast"/>
        </w:trPr>
        <w:tc>
          <w:tcPr>
            <w:tcW w:w="1068"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732"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手续费</w:t>
            </w:r>
          </w:p>
        </w:tc>
        <w:tc>
          <w:tcPr>
            <w:tcW w:w="1440"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60.64 </w:t>
            </w:r>
          </w:p>
        </w:tc>
        <w:tc>
          <w:tcPr>
            <w:tcW w:w="2338"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10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财务费用</w:t>
            </w:r>
          </w:p>
        </w:tc>
        <w:tc>
          <w:tcPr>
            <w:tcW w:w="1566"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2800" w:type="dxa"/>
            <w:gridSpan w:val="2"/>
            <w:vAlign w:val="center"/>
          </w:tcPr>
          <w:p>
            <w:pPr>
              <w:widowControl/>
              <w:jc w:val="center"/>
              <w:rPr>
                <w:rFonts w:hint="default" w:ascii="Arial" w:hAnsi="Arial" w:cs="Arial"/>
                <w:b/>
                <w:bCs w:val="0"/>
                <w:sz w:val="18"/>
                <w:szCs w:val="18"/>
                <w:lang w:val="en-US" w:eastAsia="zh-CN"/>
              </w:rPr>
            </w:pPr>
            <w:r>
              <w:rPr>
                <w:rFonts w:hint="eastAsia" w:ascii="Arial" w:hAnsi="Arial" w:cs="Arial"/>
                <w:b/>
                <w:bCs w:val="0"/>
                <w:sz w:val="18"/>
                <w:szCs w:val="18"/>
                <w:lang w:val="en-US" w:eastAsia="zh-CN"/>
              </w:rPr>
              <w:t>合计</w:t>
            </w:r>
          </w:p>
        </w:tc>
        <w:tc>
          <w:tcPr>
            <w:tcW w:w="1440" w:type="dxa"/>
            <w:vAlign w:val="center"/>
          </w:tcPr>
          <w:p>
            <w:pPr>
              <w:widowControl/>
              <w:jc w:val="right"/>
              <w:rPr>
                <w:rFonts w:hint="default" w:ascii="Arial" w:hAnsi="Arial" w:cs="Arial"/>
                <w:b/>
                <w:bCs w:val="0"/>
                <w:sz w:val="18"/>
                <w:szCs w:val="18"/>
                <w:lang w:val="en-US" w:eastAsia="zh-CN"/>
              </w:rPr>
            </w:pPr>
            <w:r>
              <w:rPr>
                <w:rFonts w:hint="eastAsia" w:ascii="Arial" w:hAnsi="Arial" w:cs="Arial"/>
                <w:b/>
                <w:bCs w:val="0"/>
                <w:sz w:val="18"/>
                <w:szCs w:val="18"/>
                <w:lang w:val="en-US" w:eastAsia="zh-CN"/>
              </w:rPr>
              <w:t>118,278,374.85</w:t>
            </w:r>
          </w:p>
        </w:tc>
        <w:tc>
          <w:tcPr>
            <w:tcW w:w="2338" w:type="dxa"/>
            <w:vAlign w:val="bottom"/>
          </w:tcPr>
          <w:p>
            <w:pPr>
              <w:widowControl/>
              <w:jc w:val="center"/>
              <w:rPr>
                <w:rFonts w:hint="eastAsia" w:ascii="Arial" w:hAnsi="Arial" w:cs="Arial"/>
                <w:bCs/>
                <w:sz w:val="18"/>
                <w:szCs w:val="18"/>
                <w:lang w:val="en-US" w:eastAsia="zh-CN"/>
              </w:rPr>
            </w:pPr>
          </w:p>
        </w:tc>
        <w:tc>
          <w:tcPr>
            <w:tcW w:w="1104" w:type="dxa"/>
            <w:vAlign w:val="center"/>
          </w:tcPr>
          <w:p>
            <w:pPr>
              <w:widowControl/>
              <w:jc w:val="center"/>
              <w:rPr>
                <w:rFonts w:hint="eastAsia" w:ascii="Arial" w:hAnsi="Arial" w:cs="Arial"/>
                <w:bCs/>
                <w:sz w:val="18"/>
                <w:szCs w:val="18"/>
                <w:lang w:val="en-US" w:eastAsia="zh-CN"/>
              </w:rPr>
            </w:pPr>
          </w:p>
        </w:tc>
        <w:tc>
          <w:tcPr>
            <w:tcW w:w="1566" w:type="dxa"/>
            <w:vAlign w:val="center"/>
          </w:tcPr>
          <w:p>
            <w:pPr>
              <w:widowControl/>
              <w:jc w:val="center"/>
              <w:rPr>
                <w:rFonts w:hint="eastAsia" w:ascii="Arial" w:hAnsi="Arial" w:cs="Arial"/>
                <w:bCs/>
                <w:sz w:val="18"/>
                <w:szCs w:val="18"/>
                <w:lang w:val="en-US" w:eastAsia="zh-CN"/>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Arial" w:hAnsi="Arial" w:eastAsia="宋体" w:cs="Arial"/>
          <w:b/>
          <w:sz w:val="24"/>
          <w:szCs w:val="24"/>
          <w:lang w:val="en-US" w:eastAsia="zh-CN"/>
        </w:rPr>
      </w:pPr>
      <w:bookmarkStart w:id="62" w:name="_Toc16641"/>
      <w:r>
        <w:rPr>
          <w:rFonts w:hint="default" w:ascii="Arial" w:hAnsi="Arial" w:eastAsia="宋体" w:cs="Arial"/>
          <w:b/>
          <w:sz w:val="24"/>
          <w:szCs w:val="24"/>
          <w:lang w:val="en-US" w:eastAsia="zh-CN"/>
        </w:rPr>
        <w:t>7.2</w:t>
      </w:r>
      <w:r>
        <w:rPr>
          <w:rFonts w:hint="eastAsia" w:ascii="Arial" w:hAnsi="Arial" w:eastAsia="宋体" w:cs="Arial"/>
          <w:b/>
          <w:sz w:val="24"/>
          <w:szCs w:val="24"/>
          <w:lang w:val="en-US" w:eastAsia="zh-CN"/>
        </w:rPr>
        <w:t>资金流入情况</w:t>
      </w:r>
      <w:bookmarkEnd w:id="54"/>
      <w:bookmarkEnd w:id="55"/>
      <w:bookmarkEnd w:id="56"/>
      <w:bookmarkEnd w:id="57"/>
      <w:bookmarkEnd w:id="58"/>
      <w:bookmarkEnd w:id="61"/>
      <w:bookmarkEnd w:id="62"/>
      <w:bookmarkStart w:id="63" w:name="_Toc23703"/>
    </w:p>
    <w:p>
      <w:pPr>
        <w:keepNext w:val="0"/>
        <w:keepLines w:val="0"/>
        <w:pageBreakBefore w:val="0"/>
        <w:widowControl w:val="0"/>
        <w:kinsoku/>
        <w:wordWrap/>
        <w:overflowPunct/>
        <w:topLinePunct w:val="0"/>
        <w:autoSpaceDE/>
        <w:autoSpaceDN/>
        <w:bidi w:val="0"/>
        <w:adjustRightInd/>
        <w:snapToGrid/>
        <w:spacing w:before="316" w:beforeLines="100" w:line="480" w:lineRule="auto"/>
        <w:ind w:firstLine="420" w:firstLineChars="200"/>
        <w:textAlignment w:val="auto"/>
        <w:rPr>
          <w:rFonts w:hint="default" w:ascii="Arial" w:hAnsi="Arial" w:cs="Arial"/>
          <w:bCs/>
          <w:kern w:val="44"/>
          <w:lang w:val="en-US" w:eastAsia="zh-CN"/>
        </w:rPr>
      </w:pPr>
      <w:r>
        <w:rPr>
          <w:rFonts w:hint="eastAsia" w:ascii="Arial" w:hAnsi="Arial" w:cs="Arial"/>
          <w:bCs/>
          <w:kern w:val="44"/>
          <w:lang w:eastAsia="zh-CN"/>
        </w:rPr>
        <w:t>2021年09月01日至2021年09月30日</w:t>
      </w:r>
      <w:r>
        <w:rPr>
          <w:rFonts w:hint="eastAsia" w:ascii="Arial" w:hAnsi="Arial" w:cs="Arial"/>
          <w:bCs/>
          <w:kern w:val="44"/>
          <w:lang w:val="en-US" w:eastAsia="zh-CN"/>
        </w:rPr>
        <w:t>监管范围内资金流入合计117,126,913.01元，其中8996光大银行预售资金监管账户资金流入合计2,209,668.69元，2601汉口银行预售资金监管账户资金流入合计13,245,487.79元，0828邮政按揭户资金流入合计19,282,392.10元，0475建行按揭户资金流入合计23,771,433.77元，2452汉口按揭户资金流入合计27,393,885.65元，2204兴业按揭户资金流入合计15,229,683.11元，4896民生按揭户资金流入合计15,994,141.81元，0049大连按揭户资金流入合计165.22元，8166光大专用户资金流入合计6.11元，7471农商行按揭户资金流入合计48.76元。</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ascii="Arial" w:hAnsi="Arial" w:cs="Arial"/>
          <w:b/>
          <w:sz w:val="24"/>
          <w:szCs w:val="28"/>
        </w:rPr>
      </w:pPr>
      <w:r>
        <w:rPr>
          <w:rFonts w:hint="eastAsia" w:ascii="Arial" w:hAnsi="Arial" w:cs="Arial"/>
          <w:b/>
          <w:sz w:val="24"/>
          <w:szCs w:val="28"/>
        </w:rPr>
        <w:t>本期监管范围</w:t>
      </w:r>
      <w:r>
        <w:rPr>
          <w:rFonts w:hint="eastAsia" w:ascii="Arial" w:hAnsi="Arial" w:cs="Arial"/>
          <w:b/>
          <w:sz w:val="24"/>
          <w:szCs w:val="28"/>
          <w:lang w:val="en-US" w:eastAsia="zh-CN"/>
        </w:rPr>
        <w:t>内</w:t>
      </w:r>
      <w:r>
        <w:rPr>
          <w:rFonts w:ascii="Arial" w:hAnsi="Arial" w:cs="Arial"/>
          <w:b/>
          <w:sz w:val="24"/>
          <w:szCs w:val="28"/>
        </w:rPr>
        <w:t>资金</w:t>
      </w:r>
      <w:r>
        <w:rPr>
          <w:rFonts w:hint="eastAsia" w:ascii="Arial" w:hAnsi="Arial" w:cs="Arial"/>
          <w:b/>
          <w:sz w:val="24"/>
          <w:szCs w:val="28"/>
        </w:rPr>
        <w:t>流入</w:t>
      </w:r>
      <w:r>
        <w:rPr>
          <w:rFonts w:ascii="Arial" w:hAnsi="Arial" w:cs="Arial"/>
          <w:b/>
          <w:sz w:val="24"/>
          <w:szCs w:val="28"/>
        </w:rPr>
        <w:t>明细表</w:t>
      </w:r>
    </w:p>
    <w:tbl>
      <w:tblPr>
        <w:tblStyle w:val="9"/>
        <w:tblW w:w="9222" w:type="dxa"/>
        <w:tblInd w:w="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233"/>
        <w:gridCol w:w="1385"/>
        <w:gridCol w:w="1826"/>
        <w:gridCol w:w="3024"/>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tblHeader/>
        </w:trPr>
        <w:tc>
          <w:tcPr>
            <w:tcW w:w="1233" w:type="dxa"/>
            <w:vAlign w:val="center"/>
          </w:tcPr>
          <w:p>
            <w:pPr>
              <w:widowControl/>
              <w:jc w:val="center"/>
              <w:textAlignment w:val="center"/>
              <w:rPr>
                <w:rFonts w:ascii="Arial" w:hAnsi="Arial" w:cs="Arial"/>
                <w:b/>
                <w:sz w:val="18"/>
                <w:szCs w:val="18"/>
              </w:rPr>
            </w:pPr>
            <w:r>
              <w:rPr>
                <w:rFonts w:hint="eastAsia" w:ascii="Arial" w:hAnsi="Arial" w:cs="Arial"/>
                <w:b/>
                <w:sz w:val="18"/>
                <w:szCs w:val="18"/>
              </w:rPr>
              <w:t>收款</w:t>
            </w:r>
            <w:r>
              <w:rPr>
                <w:rFonts w:ascii="Arial" w:hAnsi="Arial" w:cs="Arial"/>
                <w:b/>
                <w:sz w:val="18"/>
                <w:szCs w:val="18"/>
              </w:rPr>
              <w:t>日期</w:t>
            </w:r>
          </w:p>
        </w:tc>
        <w:tc>
          <w:tcPr>
            <w:tcW w:w="1385" w:type="dxa"/>
            <w:vAlign w:val="center"/>
          </w:tcPr>
          <w:p>
            <w:pPr>
              <w:widowControl/>
              <w:jc w:val="center"/>
              <w:textAlignment w:val="center"/>
              <w:rPr>
                <w:rFonts w:ascii="Arial" w:hAnsi="Arial" w:cs="Arial"/>
                <w:b/>
                <w:sz w:val="18"/>
                <w:szCs w:val="18"/>
              </w:rPr>
            </w:pPr>
            <w:r>
              <w:rPr>
                <w:rFonts w:ascii="Arial" w:hAnsi="Arial" w:cs="Arial"/>
                <w:b/>
                <w:sz w:val="18"/>
                <w:szCs w:val="18"/>
              </w:rPr>
              <w:t>资金用途</w:t>
            </w:r>
          </w:p>
        </w:tc>
        <w:tc>
          <w:tcPr>
            <w:tcW w:w="1826" w:type="dxa"/>
            <w:vAlign w:val="center"/>
          </w:tcPr>
          <w:p>
            <w:pPr>
              <w:widowControl/>
              <w:jc w:val="center"/>
              <w:textAlignment w:val="center"/>
              <w:rPr>
                <w:rFonts w:ascii="Arial" w:hAnsi="Arial" w:cs="Arial"/>
                <w:b/>
                <w:sz w:val="18"/>
                <w:szCs w:val="18"/>
              </w:rPr>
            </w:pPr>
            <w:r>
              <w:rPr>
                <w:rFonts w:ascii="Arial" w:hAnsi="Arial" w:cs="Arial"/>
                <w:b/>
                <w:sz w:val="18"/>
                <w:szCs w:val="18"/>
              </w:rPr>
              <w:t>金额（元）</w:t>
            </w:r>
          </w:p>
        </w:tc>
        <w:tc>
          <w:tcPr>
            <w:tcW w:w="3024"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付款方</w:t>
            </w:r>
          </w:p>
        </w:tc>
        <w:tc>
          <w:tcPr>
            <w:tcW w:w="1754" w:type="dxa"/>
            <w:vAlign w:val="center"/>
          </w:tcPr>
          <w:p>
            <w:pPr>
              <w:widowControl/>
              <w:jc w:val="center"/>
              <w:textAlignment w:val="center"/>
              <w:rPr>
                <w:rFonts w:hint="eastAsia" w:ascii="Arial" w:hAnsi="Arial" w:cs="Arial"/>
                <w:b/>
                <w:sz w:val="18"/>
                <w:szCs w:val="18"/>
              </w:rPr>
            </w:pPr>
            <w:r>
              <w:rPr>
                <w:rFonts w:hint="eastAsia" w:ascii="Arial" w:hAnsi="Arial" w:cs="Arial"/>
                <w:b/>
                <w:sz w:val="18"/>
                <w:szCs w:val="18"/>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801,806.00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582,364.00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备退房款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2,560,000.00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备退房款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备退房款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尹瑞森</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陈大珍</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杨业名</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徐勇</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932,000.00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曹恺</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备退房款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备退房款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239,522.00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967,288.00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2</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1,210,000.00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2,540,000.00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273,578.00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771,994.00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1,079,000.00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戴天苹</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备退房款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5,000,000.00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四川佳兆业置业有限公司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备退房款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重庆渝煌达实业有限公司（0911建行基本户）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1,932,274.00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1,587,604.00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237,128.00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273,578.00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913,398.00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179,940.00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7</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694,000.00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罗毅</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540,000.00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刘芳鲜</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冉从锦</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568,000.00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杨娟</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向波</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马克信</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4,670,000.00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个贷系统平账专户（马宁）</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560,000.00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个贷系统平账专户（黄睿）</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个贷系统平账专户（冉崇莲）</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个贷系统平账专户（唐慈航）</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229,000.00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个贷系统平账专户（陈茜）</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647,000.00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个贷系统平账专户（陶辉灿）</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个贷系统平账专户（潘思臣）</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629,000.00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个贷系统平账专户（詹兴旺）</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个贷系统平账专户（张黎）</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1,387,000.00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个贷系统平账专户（熊倩）</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698,000.00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个贷系统平账专户（宋莉莉）</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755,000.00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个贷系统平账专户（王菁）</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个贷系统平账专户（罗滔）</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910,000.00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个贷系统平账专户（陈建）</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个贷系统平账专户（闵华琴）</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个贷系统平账专户（王亚楠）</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992,000.00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个贷系统平账专户（颜丽婷）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1,142,000.00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个贷系统平账专户（张静）</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932,000.00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个贷系统平账专户（鲜毅）</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1,010,000.00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个贷系统平账专户（靳永志）</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8</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个贷系统平账专户（陈显国）</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批量账务集中处理（马宁）</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批量账务集中处理（潘思臣）</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批量账务集中处理（陈茜）</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批量账务集中处理（陶辉灿）</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批量账务集中处理（黄睿）</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134,980.00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267,262.00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w:t>
            </w:r>
            <w:r>
              <w:rPr>
                <w:rFonts w:hint="eastAsia" w:ascii="Arial" w:hAnsi="Arial"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9</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9"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382,262.00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2021/09/10</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730,000.00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李圣达</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2021/09/13</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539,373.00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593,000.00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个贷系统平账专户（胡乾龙）</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2021/09/14</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个贷系统平账专户（胡乾龙）</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341,595.00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470,000.00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个贷系统平账专户（赵敏）</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806,000.00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个贷系统平账专户（赵红菊）</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1,010,000.00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个贷系统平账专户（陈小丽）</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个贷系统平账专户（邓丹丹）</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820,000.00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温馨</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2021/09/15</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1,010,000.00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谭文静</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468,000.00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秦婉</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955,000.00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程贡</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批量账务集中处理（赵敏）</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1,040,000.00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商品房预售资金监管拨付</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580,000.00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重庆渝煌达实业有限公司佳兆业·晓岸云起商品房预售资金监管账户</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385"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725,000.00 </w:t>
            </w:r>
          </w:p>
        </w:tc>
        <w:tc>
          <w:tcPr>
            <w:tcW w:w="302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2021/09/16</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830,000.00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750,000.00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957,000.00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3"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650,000.00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875,000.00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840,000.00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1,020,000.00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703,000.00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880,000.00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1,050,000.00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300,000.00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450,000.00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794,000.00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（发放贷款-620079000000212）</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989,000.00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（发放贷款-620079000000213）</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890,000.00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（发放贷款-620079000000214）</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850,000.00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（发放贷款-620079000000215）</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1,537,000.00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（发放贷款-620079000000216）</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737,000.00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（发放贷款-620079000000217）</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（发放贷款-620079000000218）</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985,000.00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（发放贷款-620079000000219）</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870,000.00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胡平安</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924,000.00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王钰婷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王修奎</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400,000.00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周杭</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630,000.00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（发放贷款-620079000000220）</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1,002,000.00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（发放贷款-620079000000221）</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749,000.00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（发放贷款-620079000000222）</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49,980.00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转账退回-收款人户名有误</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2,070,000.00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其他汇出汇款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2021/09/18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往来款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2,070,000.00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重庆渝煌达实业有限公司（2204兴业按揭户）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季度结息</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1,392.10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活期结息</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48.76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7471农商行按揭户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1,433.77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1,141.81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存款利息</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683.11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165.22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应付一般活期存款息</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0049大连按揭户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结息入账</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453.79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结息入账</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1,259.65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结息入账</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1,198.04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结息入账</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2,719.11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结息入账</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2,164.05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结息入账</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1,970.73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结息入账</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1,905.82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结息入账</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777.60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结息入账</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6,885.65 </w:t>
            </w:r>
          </w:p>
        </w:tc>
        <w:tc>
          <w:tcPr>
            <w:tcW w:w="3024" w:type="dxa"/>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6.11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应付单位活期存款利息</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8166光大专用户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2021/09/21</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结息</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4,688.69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应付单位活期存款利息</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8996光大银行预售资金监管账户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2021/09/22</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799,000.00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2021/09/22</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790,000.00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（贷款发放）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2204兴业按揭户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688,000.00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张露月</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179,546.00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395,383.00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160,313.00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2021/09/23</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330,726.00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920,901.00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刘一蒙</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肖梅</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700,000.00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刘里</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2021/09/24</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660,000.00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杨晶杰</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0828邮政按揭户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2021/09/27</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29,980.00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530,000.00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个贷系统平账专户（李婷）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370,000.00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个贷系统平账专户（贾运红）</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265,000.00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个贷系统平账专户（常鑫博）</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420,000.00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个贷系统平账专户（马鑫）</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925,000.00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刘迅</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931,000.00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余术成</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1,000,000.00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方清瑜</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930,000.00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罗吉姿</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4896民生按揭户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844,000.00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（发放贷款-620079000000232）</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854,000.00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（发放贷款-620079000000233）</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2021/09/28</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860,000.00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（发放贷款-620079000000234）</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2021/09/29</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637,000.00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（发放贷款-620079000000235）</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2452汉口银行按揭户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2021/09/30</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按揭回款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187,000.00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个贷系统平账专户（漆雪松）</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0475建行按揭户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0" w:hRule="atLeast"/>
        </w:trPr>
        <w:tc>
          <w:tcPr>
            <w:tcW w:w="1233"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2021/09/30</w:t>
            </w:r>
          </w:p>
        </w:tc>
        <w:tc>
          <w:tcPr>
            <w:tcW w:w="1385"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销售回款</w:t>
            </w:r>
          </w:p>
        </w:tc>
        <w:tc>
          <w:tcPr>
            <w:tcW w:w="1826" w:type="dxa"/>
            <w:vAlign w:val="center"/>
          </w:tcPr>
          <w:p>
            <w:pPr>
              <w:keepNext w:val="0"/>
              <w:keepLines w:val="0"/>
              <w:widowControl/>
              <w:suppressLineNumbers w:val="0"/>
              <w:jc w:val="right"/>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 xml:space="preserve">737,324.00 </w:t>
            </w:r>
          </w:p>
        </w:tc>
        <w:tc>
          <w:tcPr>
            <w:tcW w:w="302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代理汉口银行预售商品房监管资金待清算账户</w:t>
            </w:r>
          </w:p>
        </w:tc>
        <w:tc>
          <w:tcPr>
            <w:tcW w:w="1754" w:type="dxa"/>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iCs w:val="0"/>
                <w:color w:val="000000"/>
                <w:kern w:val="0"/>
                <w:sz w:val="18"/>
                <w:szCs w:val="18"/>
                <w:u w:val="none"/>
                <w:lang w:val="en-US" w:eastAsia="zh-CN" w:bidi="ar"/>
              </w:rPr>
              <w:t>2601汉口预售资金监管账户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7" w:hRule="atLeast"/>
        </w:trPr>
        <w:tc>
          <w:tcPr>
            <w:tcW w:w="2618" w:type="dxa"/>
            <w:gridSpan w:val="2"/>
            <w:vAlign w:val="center"/>
          </w:tcPr>
          <w:p>
            <w:pPr>
              <w:widowControl/>
              <w:jc w:val="center"/>
              <w:textAlignment w:val="center"/>
              <w:rPr>
                <w:rFonts w:hint="default" w:ascii="宋体" w:hAnsi="宋体" w:eastAsia="宋体" w:cs="宋体"/>
                <w:b/>
                <w:bCs/>
                <w:color w:val="000000"/>
                <w:sz w:val="20"/>
                <w:szCs w:val="20"/>
                <w:lang w:val="en-US" w:eastAsia="zh-CN"/>
              </w:rPr>
            </w:pPr>
            <w:r>
              <w:rPr>
                <w:rFonts w:hint="eastAsia" w:ascii="宋体" w:hAnsi="宋体" w:cs="宋体"/>
                <w:b/>
                <w:bCs/>
                <w:color w:val="000000"/>
                <w:sz w:val="20"/>
                <w:szCs w:val="20"/>
                <w:lang w:val="en-US" w:eastAsia="zh-CN"/>
              </w:rPr>
              <w:t>合计</w:t>
            </w:r>
          </w:p>
        </w:tc>
        <w:tc>
          <w:tcPr>
            <w:tcW w:w="1826" w:type="dxa"/>
            <w:vAlign w:val="center"/>
          </w:tcPr>
          <w:p>
            <w:pPr>
              <w:keepNext w:val="0"/>
              <w:keepLines w:val="0"/>
              <w:widowControl/>
              <w:suppressLineNumbers w:val="0"/>
              <w:jc w:val="right"/>
              <w:textAlignment w:val="center"/>
              <w:rPr>
                <w:rFonts w:hint="default" w:ascii="宋体" w:hAnsi="宋体" w:eastAsia="宋体" w:cs="宋体"/>
                <w:b/>
                <w:bCs/>
                <w:i w:val="0"/>
                <w:color w:val="000000"/>
                <w:sz w:val="22"/>
                <w:szCs w:val="22"/>
                <w:u w:val="none"/>
                <w:lang w:val="en-US" w:eastAsia="zh-CN" w:bidi="ar-SA"/>
              </w:rPr>
            </w:pPr>
            <w:r>
              <w:rPr>
                <w:rFonts w:hint="eastAsia" w:ascii="Arial" w:hAnsi="Arial" w:cs="Arial"/>
                <w:b/>
                <w:bCs w:val="0"/>
                <w:sz w:val="18"/>
                <w:szCs w:val="18"/>
                <w:lang w:val="en-US" w:eastAsia="zh-CN"/>
              </w:rPr>
              <w:t>117,126,913.01</w:t>
            </w:r>
          </w:p>
        </w:tc>
        <w:tc>
          <w:tcPr>
            <w:tcW w:w="3024" w:type="dxa"/>
            <w:vAlign w:val="center"/>
          </w:tcPr>
          <w:p>
            <w:pPr>
              <w:widowControl/>
              <w:jc w:val="center"/>
              <w:textAlignment w:val="center"/>
              <w:rPr>
                <w:rFonts w:hint="eastAsia" w:ascii="宋体" w:hAnsi="宋体" w:cs="宋体"/>
                <w:color w:val="000000"/>
                <w:sz w:val="20"/>
                <w:szCs w:val="20"/>
              </w:rPr>
            </w:pPr>
          </w:p>
        </w:tc>
        <w:tc>
          <w:tcPr>
            <w:tcW w:w="1754" w:type="dxa"/>
            <w:vAlign w:val="center"/>
          </w:tcPr>
          <w:p>
            <w:pPr>
              <w:widowControl/>
              <w:jc w:val="center"/>
              <w:textAlignment w:val="center"/>
              <w:rPr>
                <w:rFonts w:hint="eastAsia" w:ascii="宋体" w:hAnsi="宋体" w:cs="宋体"/>
                <w:color w:val="000000"/>
                <w:sz w:val="20"/>
                <w:szCs w:val="20"/>
              </w:rPr>
            </w:pPr>
          </w:p>
        </w:tc>
      </w:tr>
    </w:tbl>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lang w:val="en-US" w:eastAsia="zh-CN"/>
        </w:rPr>
      </w:pPr>
      <w:bookmarkStart w:id="64" w:name="_Toc14842"/>
      <w:r>
        <w:rPr>
          <w:rFonts w:hint="default" w:ascii="Arial" w:hAnsi="Arial" w:eastAsia="宋体" w:cs="Arial"/>
          <w:sz w:val="24"/>
          <w:szCs w:val="24"/>
          <w:lang w:val="en-US" w:eastAsia="zh-CN"/>
        </w:rPr>
        <w:t>7.3</w:t>
      </w:r>
      <w:bookmarkEnd w:id="63"/>
      <w:r>
        <w:rPr>
          <w:rFonts w:hint="eastAsia" w:ascii="宋体" w:hAnsi="宋体" w:eastAsia="宋体" w:cs="宋体"/>
          <w:sz w:val="24"/>
          <w:szCs w:val="24"/>
          <w:lang w:val="en-US" w:eastAsia="zh-CN"/>
        </w:rPr>
        <w:t>资金结算</w:t>
      </w:r>
      <w:bookmarkEnd w:id="64"/>
    </w:p>
    <w:p>
      <w:pPr>
        <w:spacing w:line="480" w:lineRule="auto"/>
        <w:ind w:firstLine="420" w:firstLineChars="200"/>
        <w:rPr>
          <w:rFonts w:hint="eastAsia" w:ascii="宋体" w:hAnsi="宋体" w:eastAsia="宋体" w:cs="宋体"/>
          <w:b/>
          <w:sz w:val="24"/>
          <w:lang w:val="en-US" w:eastAsia="zh-CN"/>
        </w:rPr>
      </w:pPr>
      <w:bookmarkStart w:id="65" w:name="_Toc7955"/>
      <w:r>
        <w:rPr>
          <w:rFonts w:hint="eastAsia" w:ascii="Arial" w:hAnsi="Arial" w:cs="Arial"/>
          <w:bCs/>
          <w:kern w:val="44"/>
          <w:lang w:eastAsia="zh-CN"/>
        </w:rPr>
        <w:t>截至2021年09月30日</w:t>
      </w:r>
      <w:r>
        <w:rPr>
          <w:rFonts w:ascii="Arial" w:hAnsi="Arial" w:cs="Arial"/>
          <w:bCs/>
          <w:kern w:val="44"/>
        </w:rPr>
        <w:t>，项目公司</w:t>
      </w:r>
      <w:r>
        <w:rPr>
          <w:rFonts w:hint="eastAsia" w:ascii="Arial" w:hAnsi="Arial" w:cs="Arial"/>
          <w:bCs/>
          <w:kern w:val="44"/>
          <w:lang w:val="en-US" w:eastAsia="zh-CN"/>
        </w:rPr>
        <w:t>各监管账户余额共计27,089,517.83元，</w:t>
      </w:r>
      <w:r>
        <w:rPr>
          <w:rFonts w:hint="eastAsia" w:ascii="Arial" w:hAnsi="Arial" w:cs="Arial"/>
          <w:bCs/>
          <w:kern w:val="44"/>
          <w:lang w:eastAsia="zh-CN"/>
        </w:rPr>
        <w:t>账</w:t>
      </w:r>
      <w:r>
        <w:rPr>
          <w:rFonts w:ascii="Arial" w:hAnsi="Arial" w:cs="Arial"/>
          <w:bCs/>
          <w:kern w:val="44"/>
        </w:rPr>
        <w:t>户余额见下表</w:t>
      </w:r>
      <w:r>
        <w:rPr>
          <w:rFonts w:hint="eastAsia" w:ascii="Arial" w:hAnsi="Arial" w:cs="Arial"/>
          <w:bCs/>
          <w:kern w:val="44"/>
          <w:lang w:eastAsia="zh-CN"/>
        </w:rPr>
        <w:t>：</w:t>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宋体" w:hAnsi="宋体" w:cs="宋体"/>
          <w:b/>
          <w:sz w:val="24"/>
        </w:rPr>
      </w:pPr>
      <w:r>
        <w:rPr>
          <w:rFonts w:hint="eastAsia" w:ascii="宋体" w:hAnsi="宋体" w:cs="宋体"/>
          <w:b/>
          <w:sz w:val="24"/>
          <w:lang w:val="en-US" w:eastAsia="zh-CN"/>
        </w:rPr>
        <w:t>各监管</w:t>
      </w:r>
      <w:r>
        <w:rPr>
          <w:rFonts w:hint="eastAsia" w:ascii="宋体" w:hAnsi="宋体" w:cs="宋体"/>
          <w:b/>
          <w:sz w:val="24"/>
        </w:rPr>
        <w:t>银行账户余额表</w:t>
      </w:r>
    </w:p>
    <w:tbl>
      <w:tblPr>
        <w:tblStyle w:val="9"/>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171"/>
        <w:gridCol w:w="265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blHeader/>
        </w:trPr>
        <w:tc>
          <w:tcPr>
            <w:tcW w:w="672" w:type="dxa"/>
            <w:vAlign w:val="center"/>
          </w:tcPr>
          <w:p>
            <w:pPr>
              <w:jc w:val="center"/>
              <w:rPr>
                <w:rFonts w:hint="eastAsia" w:ascii="宋体" w:hAnsi="宋体" w:cs="宋体"/>
                <w:b/>
                <w:sz w:val="18"/>
                <w:szCs w:val="18"/>
              </w:rPr>
            </w:pPr>
            <w:r>
              <w:rPr>
                <w:rFonts w:hint="eastAsia" w:ascii="宋体" w:hAnsi="宋体" w:cs="宋体"/>
                <w:b/>
                <w:sz w:val="18"/>
                <w:szCs w:val="18"/>
              </w:rPr>
              <w:t>序号</w:t>
            </w:r>
          </w:p>
        </w:tc>
        <w:tc>
          <w:tcPr>
            <w:tcW w:w="4171" w:type="dxa"/>
            <w:vAlign w:val="center"/>
          </w:tcPr>
          <w:p>
            <w:pPr>
              <w:jc w:val="center"/>
              <w:rPr>
                <w:rFonts w:hint="eastAsia" w:ascii="宋体" w:hAnsi="宋体" w:cs="宋体"/>
                <w:b/>
                <w:sz w:val="18"/>
                <w:szCs w:val="18"/>
              </w:rPr>
            </w:pPr>
            <w:r>
              <w:rPr>
                <w:rFonts w:hint="eastAsia" w:ascii="宋体" w:hAnsi="宋体" w:cs="宋体"/>
                <w:b/>
                <w:sz w:val="18"/>
                <w:szCs w:val="18"/>
              </w:rPr>
              <w:t>开户行</w:t>
            </w:r>
          </w:p>
        </w:tc>
        <w:tc>
          <w:tcPr>
            <w:tcW w:w="2651" w:type="dxa"/>
            <w:vAlign w:val="center"/>
          </w:tcPr>
          <w:p>
            <w:pPr>
              <w:jc w:val="center"/>
              <w:rPr>
                <w:rFonts w:hint="eastAsia" w:ascii="宋体" w:hAnsi="宋体" w:cs="宋体"/>
                <w:b/>
                <w:sz w:val="18"/>
                <w:szCs w:val="18"/>
              </w:rPr>
            </w:pPr>
            <w:r>
              <w:rPr>
                <w:rFonts w:hint="eastAsia" w:ascii="宋体" w:hAnsi="宋体" w:cs="宋体"/>
                <w:b/>
                <w:sz w:val="18"/>
                <w:szCs w:val="18"/>
              </w:rPr>
              <w:t>账号</w:t>
            </w:r>
          </w:p>
        </w:tc>
        <w:tc>
          <w:tcPr>
            <w:tcW w:w="1710" w:type="dxa"/>
            <w:vAlign w:val="center"/>
          </w:tcPr>
          <w:p>
            <w:pPr>
              <w:jc w:val="center"/>
              <w:rPr>
                <w:rFonts w:hint="eastAsia" w:ascii="宋体" w:hAnsi="宋体" w:cs="宋体"/>
                <w:b/>
                <w:sz w:val="18"/>
                <w:szCs w:val="18"/>
              </w:rPr>
            </w:pPr>
            <w:r>
              <w:rPr>
                <w:rFonts w:hint="eastAsia" w:ascii="宋体" w:hAnsi="宋体"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中国光大银行沙坪坝支行</w:t>
            </w:r>
          </w:p>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（晓岸云起1期预售资金监管账户）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39460180800778996</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4,412,599.96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2</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中国邮政储蓄银行大渡口支行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950006010018450828</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7,367.45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重庆农村商业银行大渡口支行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0504040120010027471</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5,531.22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4</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中国建设银行股份有限公司重庆大渡口建设支行 </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50050110380000000475 </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192,144.50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5</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中国光大银行南坪支行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39470188000378166</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7,965.48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汉口银行重庆分行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620011000552452</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5,597,646.85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9" w:hRule="atLeast"/>
        </w:trPr>
        <w:tc>
          <w:tcPr>
            <w:tcW w:w="672"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7</w:t>
            </w:r>
          </w:p>
        </w:tc>
        <w:tc>
          <w:tcPr>
            <w:tcW w:w="4171" w:type="dxa"/>
            <w:vAlign w:val="center"/>
          </w:tcPr>
          <w:p>
            <w:pPr>
              <w:widowControl/>
              <w:jc w:val="center"/>
              <w:rPr>
                <w:rFonts w:hint="eastAsia" w:ascii="Arial" w:hAnsi="Arial" w:cs="Arial"/>
                <w:bCs/>
                <w:sz w:val="18"/>
                <w:szCs w:val="18"/>
                <w:lang w:val="en-US" w:eastAsia="zh-CN"/>
              </w:rPr>
            </w:pPr>
            <w:r>
              <w:rPr>
                <w:rFonts w:hint="eastAsia" w:ascii="Arial" w:hAnsi="Arial" w:cs="Arial"/>
                <w:bCs/>
                <w:sz w:val="18"/>
                <w:szCs w:val="18"/>
                <w:lang w:val="en-US" w:eastAsia="zh-CN"/>
              </w:rPr>
              <w:t>汉口银行重庆分行</w:t>
            </w:r>
          </w:p>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（晓岸云起2期预售资金监管账户）</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620011000552601</w:t>
            </w:r>
          </w:p>
        </w:tc>
        <w:tc>
          <w:tcPr>
            <w:tcW w:w="171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 xml:space="preserve">16,847,536.39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8</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兴业银行重庆解放碑支行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346240100100072204</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7,657.91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9</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中国民生银行股份有限公司重庆分行营业部</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633054896</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 xml:space="preserve">1,392.85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10</w:t>
            </w:r>
          </w:p>
        </w:tc>
        <w:tc>
          <w:tcPr>
            <w:tcW w:w="417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大连银行股份有限公司重庆高新支行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120422000000049</w:t>
            </w:r>
          </w:p>
        </w:tc>
        <w:tc>
          <w:tcPr>
            <w:tcW w:w="1710" w:type="dxa"/>
            <w:vAlign w:val="center"/>
          </w:tcPr>
          <w:p>
            <w:pPr>
              <w:widowControl/>
              <w:jc w:val="right"/>
              <w:rPr>
                <w:rFonts w:hint="eastAsia" w:ascii="Arial" w:hAnsi="Arial" w:cs="Arial"/>
                <w:bCs/>
                <w:sz w:val="18"/>
                <w:szCs w:val="18"/>
                <w:lang w:val="en-US" w:eastAsia="zh-CN"/>
              </w:rPr>
            </w:pPr>
            <w:r>
              <w:rPr>
                <w:rFonts w:hint="eastAsia" w:ascii="Arial" w:hAnsi="Arial" w:cs="Arial"/>
                <w:bCs/>
                <w:sz w:val="18"/>
                <w:szCs w:val="18"/>
                <w:lang w:val="en-US" w:eastAsia="zh-CN"/>
              </w:rPr>
              <w:t>9,675.22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2"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11</w:t>
            </w:r>
          </w:p>
        </w:tc>
        <w:tc>
          <w:tcPr>
            <w:tcW w:w="4171" w:type="dxa"/>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Cs/>
                <w:sz w:val="18"/>
                <w:szCs w:val="18"/>
                <w:lang w:val="en-US" w:eastAsia="zh-CN"/>
              </w:rPr>
              <w:t>成都银行重庆璧山支行</w:t>
            </w:r>
          </w:p>
        </w:tc>
        <w:tc>
          <w:tcPr>
            <w:tcW w:w="2651" w:type="dxa"/>
            <w:vAlign w:val="center"/>
          </w:tcPr>
          <w:p>
            <w:pPr>
              <w:widowControl/>
              <w:jc w:val="center"/>
              <w:rPr>
                <w:rFonts w:hint="eastAsia" w:ascii="Arial" w:hAnsi="Arial" w:eastAsia="宋体" w:cs="Arial"/>
                <w:bCs/>
                <w:sz w:val="18"/>
                <w:szCs w:val="18"/>
                <w:lang w:val="en-US" w:eastAsia="zh-CN" w:bidi="ar-SA"/>
              </w:rPr>
            </w:pPr>
            <w:r>
              <w:rPr>
                <w:rFonts w:hint="eastAsia" w:ascii="Arial" w:hAnsi="Arial" w:cs="Arial"/>
                <w:bCs/>
                <w:sz w:val="18"/>
                <w:szCs w:val="18"/>
                <w:lang w:val="en-US" w:eastAsia="zh-CN"/>
              </w:rPr>
              <w:t>1211300000912473</w:t>
            </w:r>
          </w:p>
        </w:tc>
        <w:tc>
          <w:tcPr>
            <w:tcW w:w="1710" w:type="dxa"/>
            <w:vAlign w:val="center"/>
          </w:tcPr>
          <w:p>
            <w:pPr>
              <w:widowControl/>
              <w:jc w:val="right"/>
              <w:rPr>
                <w:rFonts w:hint="default" w:ascii="Arial" w:hAnsi="Arial" w:cs="Arial"/>
                <w:bCs/>
                <w:sz w:val="18"/>
                <w:szCs w:val="18"/>
                <w:lang w:val="en-US" w:eastAsia="zh-CN"/>
              </w:rPr>
            </w:pPr>
            <w:r>
              <w:rPr>
                <w:rFonts w:hint="eastAsia" w:ascii="Arial" w:hAnsi="Arial" w:cs="Arial"/>
                <w:bCs/>
                <w:sz w:val="18"/>
                <w:szCs w:val="18"/>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0" w:type="auto"/>
            <w:vAlign w:val="center"/>
          </w:tcPr>
          <w:p>
            <w:pPr>
              <w:widowControl/>
              <w:jc w:val="center"/>
              <w:rPr>
                <w:rFonts w:hint="eastAsia" w:ascii="Arial" w:hAnsi="Arial" w:eastAsia="宋体" w:cs="Arial"/>
                <w:bCs/>
                <w:sz w:val="18"/>
                <w:szCs w:val="18"/>
                <w:lang w:val="en-US" w:eastAsia="zh-CN" w:bidi="ar-SA"/>
              </w:rPr>
            </w:pPr>
          </w:p>
        </w:tc>
        <w:tc>
          <w:tcPr>
            <w:tcW w:w="0" w:type="auto"/>
            <w:vAlign w:val="center"/>
          </w:tcPr>
          <w:p>
            <w:pPr>
              <w:widowControl/>
              <w:jc w:val="center"/>
              <w:rPr>
                <w:rFonts w:hint="default" w:ascii="Arial" w:hAnsi="Arial" w:eastAsia="宋体" w:cs="Arial"/>
                <w:bCs/>
                <w:sz w:val="18"/>
                <w:szCs w:val="18"/>
                <w:lang w:val="en-US" w:eastAsia="zh-CN" w:bidi="ar-SA"/>
              </w:rPr>
            </w:pPr>
            <w:r>
              <w:rPr>
                <w:rFonts w:hint="eastAsia" w:ascii="Arial" w:hAnsi="Arial" w:cs="Arial"/>
                <w:b/>
                <w:bCs w:val="0"/>
                <w:sz w:val="18"/>
                <w:szCs w:val="18"/>
                <w:lang w:val="en-US" w:eastAsia="zh-CN"/>
              </w:rPr>
              <w:t>合计</w:t>
            </w:r>
          </w:p>
        </w:tc>
        <w:tc>
          <w:tcPr>
            <w:tcW w:w="0" w:type="auto"/>
            <w:vAlign w:val="center"/>
          </w:tcPr>
          <w:p>
            <w:pPr>
              <w:widowControl/>
              <w:jc w:val="center"/>
              <w:rPr>
                <w:rFonts w:hint="eastAsia" w:ascii="Arial" w:hAnsi="Arial" w:eastAsia="宋体" w:cs="Arial"/>
                <w:bCs/>
                <w:sz w:val="18"/>
                <w:szCs w:val="18"/>
                <w:lang w:val="en-US" w:eastAsia="zh-CN" w:bidi="ar-SA"/>
              </w:rPr>
            </w:pPr>
          </w:p>
        </w:tc>
        <w:tc>
          <w:tcPr>
            <w:tcW w:w="1710" w:type="dxa"/>
            <w:vAlign w:val="center"/>
          </w:tcPr>
          <w:p>
            <w:pPr>
              <w:widowControl/>
              <w:jc w:val="right"/>
              <w:rPr>
                <w:rFonts w:hint="default" w:ascii="Arial" w:hAnsi="Arial" w:eastAsia="宋体" w:cs="Arial"/>
                <w:bCs/>
                <w:sz w:val="18"/>
                <w:szCs w:val="18"/>
                <w:lang w:val="en-US" w:eastAsia="zh-CN" w:bidi="ar-SA"/>
              </w:rPr>
            </w:pPr>
            <w:r>
              <w:rPr>
                <w:rFonts w:hint="eastAsia" w:ascii="Arial" w:hAnsi="Arial" w:cs="Arial"/>
                <w:b/>
                <w:bCs w:val="0"/>
                <w:sz w:val="18"/>
                <w:szCs w:val="18"/>
                <w:lang w:val="en-US" w:eastAsia="zh-CN"/>
              </w:rPr>
              <w:t>27,089,517.83</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eastAsia" w:ascii="宋体" w:hAnsi="宋体" w:eastAsia="宋体" w:cs="宋体"/>
          <w:sz w:val="24"/>
          <w:szCs w:val="24"/>
          <w:lang w:val="en-US" w:eastAsia="zh-CN"/>
        </w:rPr>
      </w:pPr>
      <w:bookmarkStart w:id="66" w:name="_Toc16400"/>
      <w:r>
        <w:rPr>
          <w:rFonts w:hint="default" w:ascii="Arial" w:hAnsi="Arial" w:eastAsia="宋体" w:cs="Arial"/>
          <w:sz w:val="24"/>
          <w:szCs w:val="24"/>
          <w:lang w:val="en-US" w:eastAsia="zh-CN"/>
        </w:rPr>
        <w:t>8</w:t>
      </w:r>
      <w:r>
        <w:rPr>
          <w:rFonts w:hint="eastAsia" w:ascii="宋体" w:hAnsi="宋体" w:eastAsia="宋体" w:cs="宋体"/>
          <w:sz w:val="24"/>
          <w:szCs w:val="24"/>
          <w:lang w:val="en-US" w:eastAsia="zh-CN"/>
        </w:rPr>
        <w:t>月度监管总结</w:t>
      </w:r>
      <w:bookmarkEnd w:id="65"/>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szCs w:val="21"/>
          <w:lang w:val="en-US" w:eastAsia="zh-CN"/>
        </w:rPr>
      </w:pPr>
      <w:r>
        <w:rPr>
          <w:rFonts w:hint="eastAsia" w:ascii="Arial" w:hAnsi="Arial" w:cs="Arial"/>
          <w:szCs w:val="21"/>
          <w:lang w:val="en-US" w:eastAsia="zh-CN"/>
        </w:rPr>
        <w:t>康信君安在</w:t>
      </w:r>
      <w:r>
        <w:rPr>
          <w:rFonts w:hint="default" w:ascii="Arial" w:hAnsi="Arial" w:eastAsia="宋体" w:cs="Arial"/>
          <w:szCs w:val="21"/>
        </w:rPr>
        <w:t>202</w:t>
      </w:r>
      <w:r>
        <w:rPr>
          <w:rFonts w:hint="eastAsia" w:ascii="Arial" w:hAnsi="Arial" w:cs="Arial"/>
          <w:szCs w:val="21"/>
          <w:lang w:val="en-US" w:eastAsia="zh-CN"/>
        </w:rPr>
        <w:t>1</w:t>
      </w:r>
      <w:r>
        <w:rPr>
          <w:rFonts w:hint="eastAsia" w:ascii="Arial" w:hAnsi="Arial" w:eastAsia="宋体" w:cs="Arial"/>
          <w:szCs w:val="21"/>
        </w:rPr>
        <w:t>年</w:t>
      </w:r>
      <w:r>
        <w:rPr>
          <w:rFonts w:hint="eastAsia" w:ascii="Arial" w:hAnsi="Arial" w:cs="Arial"/>
          <w:szCs w:val="21"/>
          <w:lang w:val="en-US" w:eastAsia="zh-CN"/>
        </w:rPr>
        <w:t>09</w:t>
      </w:r>
      <w:r>
        <w:rPr>
          <w:rFonts w:hint="eastAsia" w:ascii="Arial" w:hAnsi="Arial" w:eastAsia="宋体" w:cs="Arial"/>
          <w:szCs w:val="21"/>
        </w:rPr>
        <w:t>月份对重庆</w:t>
      </w:r>
      <w:r>
        <w:rPr>
          <w:rFonts w:hint="eastAsia" w:ascii="Arial" w:hAnsi="Arial" w:eastAsia="宋体" w:cs="Arial"/>
          <w:szCs w:val="21"/>
          <w:lang w:val="en-US" w:eastAsia="zh-CN"/>
        </w:rPr>
        <w:t>西永晓岸云起</w:t>
      </w:r>
      <w:r>
        <w:rPr>
          <w:rFonts w:hint="eastAsia" w:ascii="Arial" w:hAnsi="Arial" w:eastAsia="宋体" w:cs="Arial"/>
          <w:szCs w:val="21"/>
        </w:rPr>
        <w:t>项目监管期间内，</w:t>
      </w:r>
      <w:r>
        <w:rPr>
          <w:rFonts w:hint="eastAsia" w:ascii="Arial" w:hAnsi="Arial" w:cs="Arial"/>
          <w:szCs w:val="21"/>
          <w:lang w:val="en-US" w:eastAsia="zh-CN"/>
        </w:rPr>
        <w:t>所监管的标的项目在</w:t>
      </w:r>
      <w:r>
        <w:rPr>
          <w:rFonts w:hint="eastAsia" w:ascii="Arial" w:hAnsi="Arial" w:eastAsia="宋体" w:cs="Arial"/>
          <w:szCs w:val="21"/>
        </w:rPr>
        <w:t>工程进度、印鉴使用等方面未发现不规范现象</w:t>
      </w:r>
      <w:r>
        <w:rPr>
          <w:rFonts w:hint="default" w:ascii="Arial" w:hAnsi="Arial" w:cs="Arial"/>
          <w:szCs w:val="21"/>
        </w:rPr>
        <w:t>。</w:t>
      </w:r>
    </w:p>
    <w:p>
      <w:pPr>
        <w:numPr>
          <w:ilvl w:val="0"/>
          <w:numId w:val="0"/>
        </w:numPr>
        <w:spacing w:line="480" w:lineRule="auto"/>
        <w:ind w:firstLine="420" w:firstLineChars="200"/>
        <w:rPr>
          <w:rFonts w:hint="eastAsia" w:ascii="Arial" w:hAnsi="Arial" w:cs="Arial"/>
          <w:szCs w:val="21"/>
          <w:lang w:val="en-US" w:eastAsia="zh-CN"/>
        </w:rPr>
      </w:pPr>
      <w:r>
        <w:rPr>
          <w:rFonts w:hint="eastAsia" w:ascii="Arial" w:hAnsi="Arial" w:cs="Arial"/>
          <w:szCs w:val="21"/>
          <w:lang w:val="en-US" w:eastAsia="zh-CN"/>
        </w:rPr>
        <w:t>晓岸云起1期1#、3#、4#、6#、7#、8#楼，2期12#、13#、15#、19#、20#、21#、22#、23#、24#楼已开盘，共15栋楼，可售房源共计634套，建筑面积合计61711.53㎡，总货值约90,225.00万元，截至2021年09月30日，晓岸云起项目共网签695套，</w:t>
      </w:r>
      <w:r>
        <w:rPr>
          <w:rFonts w:hint="eastAsia" w:ascii="Arial" w:hAnsi="Arial" w:cs="Arial"/>
          <w:lang w:val="en-US" w:eastAsia="zh-CN"/>
        </w:rPr>
        <w:t>网签面积67783.82㎡，网签总额983,519,016.00元。</w:t>
      </w:r>
      <w:r>
        <w:rPr>
          <w:rFonts w:hint="eastAsia" w:ascii="Arial" w:hAnsi="Arial" w:cs="Arial"/>
          <w:szCs w:val="21"/>
          <w:lang w:val="en-US" w:eastAsia="zh-CN"/>
        </w:rPr>
        <w:t>（备注：因项目公司未拿预售证将客户房款收入基本户，收款后将客户信息登录在明源系统内，故我司统计销售情况时出现网签合计数比项目公司目前可售房源套数多的情况。）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20" w:firstLineChars="200"/>
        <w:contextualSpacing/>
        <w:textAlignment w:val="auto"/>
        <w:rPr>
          <w:rFonts w:hint="eastAsia" w:ascii="Arial" w:hAnsi="Arial" w:cs="Arial"/>
          <w:szCs w:val="21"/>
          <w:lang w:val="en-US" w:eastAsia="zh-CN"/>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jc w:val="both"/>
        <w:textAlignment w:val="auto"/>
        <w:rPr>
          <w:rFonts w:ascii="Arial" w:hAnsi="Arial" w:cs="Arial"/>
          <w:bCs/>
          <w:szCs w:val="21"/>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ascii="Arial" w:hAnsi="Arial" w:cs="Arial"/>
          <w:bCs/>
          <w:szCs w:val="21"/>
        </w:rPr>
      </w:pPr>
      <w:r>
        <w:rPr>
          <w:rFonts w:ascii="Arial" w:hAnsi="Arial" w:cs="Arial"/>
          <w:bCs/>
          <w:szCs w:val="21"/>
        </w:rPr>
        <w:t>北京</w:t>
      </w:r>
      <w:r>
        <w:rPr>
          <w:rFonts w:hint="eastAsia" w:ascii="Arial" w:hAnsi="Arial" w:cs="Arial"/>
          <w:bCs/>
          <w:szCs w:val="21"/>
          <w:lang w:eastAsia="zh-CN"/>
        </w:rPr>
        <w:t>康信君安资产管理</w:t>
      </w:r>
      <w:r>
        <w:rPr>
          <w:rFonts w:ascii="Arial" w:hAnsi="Arial" w:cs="Arial"/>
          <w:bCs/>
          <w:szCs w:val="21"/>
        </w:rPr>
        <w:t>有限公司</w:t>
      </w:r>
    </w:p>
    <w:p>
      <w:pPr>
        <w:keepNext w:val="0"/>
        <w:keepLines w:val="0"/>
        <w:pageBreakBefore w:val="0"/>
        <w:widowControl w:val="0"/>
        <w:tabs>
          <w:tab w:val="left" w:pos="426"/>
        </w:tabs>
        <w:kinsoku/>
        <w:wordWrap/>
        <w:overflowPunct/>
        <w:topLinePunct w:val="0"/>
        <w:autoSpaceDE/>
        <w:autoSpaceDN/>
        <w:bidi w:val="0"/>
        <w:adjustRightInd/>
        <w:snapToGrid/>
        <w:spacing w:line="480" w:lineRule="auto"/>
        <w:ind w:firstLine="411" w:firstLineChars="196"/>
        <w:jc w:val="right"/>
        <w:textAlignment w:val="auto"/>
        <w:rPr>
          <w:rFonts w:hint="default" w:ascii="Arial" w:hAnsi="Arial" w:eastAsia="宋体" w:cs="Arial"/>
          <w:bCs/>
          <w:szCs w:val="21"/>
          <w:lang w:val="en-US" w:eastAsia="zh-CN"/>
        </w:rPr>
      </w:pPr>
      <w:r>
        <w:rPr>
          <w:rFonts w:ascii="Arial" w:hAnsi="Arial" w:cs="Arial"/>
          <w:bCs/>
          <w:szCs w:val="21"/>
        </w:rPr>
        <w:t>驻场监管：</w:t>
      </w:r>
      <w:r>
        <w:rPr>
          <w:rFonts w:hint="eastAsia" w:ascii="Arial" w:hAnsi="Arial" w:cs="Arial"/>
          <w:bCs/>
          <w:szCs w:val="21"/>
          <w:lang w:val="en-US" w:eastAsia="zh-CN"/>
        </w:rPr>
        <w:t>许叶萍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lang w:val="en-US" w:eastAsia="zh-CN"/>
        </w:rPr>
      </w:pPr>
      <w:r>
        <w:rPr>
          <w:rFonts w:ascii="Arial" w:hAnsi="Arial" w:cs="Arial"/>
          <w:bCs/>
          <w:szCs w:val="21"/>
        </w:rPr>
        <w:tab/>
      </w:r>
      <w:r>
        <w:rPr>
          <w:rFonts w:ascii="Arial" w:hAnsi="Arial" w:cs="Arial"/>
          <w:bCs/>
          <w:szCs w:val="21"/>
        </w:rPr>
        <w:t xml:space="preserve"> </w:t>
      </w:r>
      <w:r>
        <w:rPr>
          <w:rFonts w:hint="eastAsia" w:ascii="Arial" w:hAnsi="Arial" w:cs="Arial"/>
          <w:bCs/>
          <w:szCs w:val="21"/>
          <w:lang w:val="en-US" w:eastAsia="zh-CN"/>
        </w:rPr>
        <w:t xml:space="preserve">                                                          </w:t>
      </w:r>
      <w:r>
        <w:rPr>
          <w:rFonts w:ascii="Arial" w:hAnsi="Arial" w:cs="Arial"/>
          <w:bCs/>
          <w:szCs w:val="21"/>
        </w:rPr>
        <w:t xml:space="preserve"> </w:t>
      </w:r>
      <w:r>
        <w:rPr>
          <w:rFonts w:hint="eastAsia" w:ascii="Arial" w:hAnsi="Arial" w:cs="Arial"/>
          <w:bCs/>
          <w:szCs w:val="21"/>
          <w:lang w:val="en-US" w:eastAsia="zh-CN"/>
        </w:rPr>
        <w:t xml:space="preserve"> 2021</w:t>
      </w:r>
      <w:r>
        <w:rPr>
          <w:rFonts w:ascii="Arial" w:hAnsi="Arial" w:cs="Arial"/>
          <w:bCs/>
          <w:szCs w:val="21"/>
        </w:rPr>
        <w:t>年</w:t>
      </w:r>
      <w:r>
        <w:rPr>
          <w:rFonts w:hint="eastAsia" w:ascii="Arial" w:hAnsi="Arial" w:cs="Arial"/>
          <w:bCs/>
          <w:szCs w:val="21"/>
          <w:lang w:val="en-US" w:eastAsia="zh-CN"/>
        </w:rPr>
        <w:t>10</w:t>
      </w:r>
      <w:r>
        <w:rPr>
          <w:rFonts w:ascii="Arial" w:hAnsi="Arial" w:cs="Arial"/>
          <w:bCs/>
          <w:szCs w:val="21"/>
        </w:rPr>
        <w:t>月</w:t>
      </w:r>
      <w:r>
        <w:rPr>
          <w:rFonts w:hint="eastAsia" w:ascii="Arial" w:hAnsi="Arial" w:cs="Arial"/>
          <w:bCs/>
          <w:szCs w:val="21"/>
          <w:lang w:val="en-US" w:eastAsia="zh-CN"/>
        </w:rPr>
        <w:t>09</w:t>
      </w:r>
      <w:r>
        <w:rPr>
          <w:rFonts w:ascii="Arial" w:hAnsi="Arial" w:cs="Arial"/>
          <w:bCs/>
          <w:szCs w:val="21"/>
        </w:rPr>
        <w:t>日于</w:t>
      </w:r>
      <w:r>
        <w:rPr>
          <w:rFonts w:hint="eastAsia" w:ascii="Arial" w:hAnsi="Arial" w:cs="Arial"/>
          <w:bCs/>
          <w:szCs w:val="21"/>
          <w:lang w:val="en-US" w:eastAsia="zh-CN"/>
        </w:rPr>
        <w:t>重庆</w:t>
      </w:r>
    </w:p>
    <w:p>
      <w:pPr>
        <w:pStyle w:val="2"/>
        <w:keepNext w:val="0"/>
        <w:keepLines w:val="0"/>
        <w:pageBreakBefore/>
        <w:widowControl w:val="0"/>
        <w:kinsoku/>
        <w:wordWrap/>
        <w:overflowPunct/>
        <w:topLinePunct w:val="0"/>
        <w:autoSpaceDE/>
        <w:autoSpaceDN/>
        <w:bidi w:val="0"/>
        <w:adjustRightInd/>
        <w:snapToGrid/>
        <w:spacing w:before="300" w:after="300" w:line="360" w:lineRule="exact"/>
        <w:jc w:val="left"/>
        <w:textAlignment w:val="auto"/>
        <w:rPr>
          <w:rFonts w:hint="eastAsia" w:ascii="Arial" w:hAnsi="Arial" w:eastAsia="宋体" w:cs="Arial"/>
          <w:sz w:val="24"/>
          <w:szCs w:val="24"/>
          <w:lang w:val="en-US" w:eastAsia="zh-CN"/>
        </w:rPr>
      </w:pPr>
      <w:bookmarkStart w:id="67" w:name="_Toc27960"/>
      <w:r>
        <w:rPr>
          <w:rFonts w:hint="default" w:ascii="Arial" w:hAnsi="Arial" w:eastAsia="宋体" w:cs="Arial"/>
          <w:sz w:val="24"/>
          <w:szCs w:val="24"/>
          <w:lang w:val="en-US" w:eastAsia="zh-CN"/>
        </w:rPr>
        <w:t>9</w:t>
      </w:r>
      <w:r>
        <w:rPr>
          <w:rFonts w:hint="eastAsia" w:ascii="Arial" w:hAnsi="Arial" w:eastAsia="宋体" w:cs="Arial"/>
          <w:sz w:val="24"/>
          <w:szCs w:val="24"/>
          <w:lang w:val="en-US" w:eastAsia="zh-CN"/>
        </w:rPr>
        <w:t>附件</w:t>
      </w:r>
      <w:bookmarkEnd w:id="67"/>
      <w:bookmarkStart w:id="68" w:name="_Toc17514"/>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default" w:ascii="宋体" w:hAnsi="宋体" w:eastAsia="宋体" w:cs="宋体"/>
          <w:b/>
          <w:sz w:val="24"/>
          <w:szCs w:val="24"/>
          <w:lang w:val="en-US" w:eastAsia="zh-CN"/>
        </w:rPr>
      </w:pPr>
      <w:bookmarkStart w:id="69" w:name="_Toc12337"/>
      <w:r>
        <w:rPr>
          <w:rFonts w:hint="eastAsia" w:ascii="宋体" w:hAnsi="宋体" w:eastAsia="宋体" w:cs="宋体"/>
          <w:b/>
          <w:sz w:val="24"/>
          <w:szCs w:val="24"/>
          <w:lang w:val="en-US" w:eastAsia="zh-CN"/>
        </w:rPr>
        <w:t>附件一：</w:t>
      </w:r>
      <w:bookmarkEnd w:id="68"/>
      <w:r>
        <w:rPr>
          <w:rFonts w:hint="eastAsia" w:ascii="宋体" w:hAnsi="宋体" w:eastAsia="宋体" w:cs="宋体"/>
          <w:b/>
          <w:sz w:val="24"/>
          <w:szCs w:val="24"/>
          <w:lang w:val="en-US" w:eastAsia="zh-CN"/>
        </w:rPr>
        <w:t>银行账户流水</w:t>
      </w:r>
      <w:bookmarkEnd w:id="69"/>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宋体" w:hAnsi="宋体" w:cs="宋体"/>
          <w:b/>
          <w:sz w:val="24"/>
          <w:lang w:val="en-US" w:eastAsia="zh-CN"/>
        </w:rPr>
      </w:pPr>
      <w:r>
        <w:rPr>
          <w:rFonts w:hint="eastAsia" w:ascii="宋体" w:hAnsi="宋体" w:cs="宋体"/>
          <w:b/>
          <w:sz w:val="24"/>
          <w:lang w:val="en-US" w:eastAsia="zh-CN"/>
        </w:rPr>
        <w:t>中国邮政储蓄银行大渡口支行</w:t>
      </w:r>
      <w:r>
        <w:rPr>
          <w:rFonts w:hint="default" w:ascii="Arial" w:hAnsi="Arial" w:cs="Arial"/>
          <w:b/>
          <w:sz w:val="24"/>
          <w:lang w:val="en-US" w:eastAsia="zh-CN"/>
        </w:rPr>
        <w:t>（0828）</w:t>
      </w:r>
      <w:r>
        <w:rPr>
          <w:rFonts w:hint="eastAsia" w:ascii="宋体" w:hAnsi="宋体" w:cs="宋体"/>
          <w:b/>
          <w:sz w:val="24"/>
          <w:lang w:val="en-US" w:eastAsia="zh-CN"/>
        </w:rPr>
        <w:drawing>
          <wp:inline distT="0" distB="0" distL="114300" distR="114300">
            <wp:extent cx="5904230" cy="3747135"/>
            <wp:effectExtent l="0" t="0" r="8890" b="1905"/>
            <wp:docPr id="36" name="图片 36" descr="微信图片_2021100815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11008151107"/>
                    <pic:cNvPicPr>
                      <a:picLocks noChangeAspect="1"/>
                    </pic:cNvPicPr>
                  </pic:nvPicPr>
                  <pic:blipFill>
                    <a:blip r:embed="rId12"/>
                    <a:stretch>
                      <a:fillRect/>
                    </a:stretch>
                  </pic:blipFill>
                  <pic:spPr>
                    <a:xfrm>
                      <a:off x="0" y="0"/>
                      <a:ext cx="5904230" cy="374713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3343910"/>
            <wp:effectExtent l="0" t="0" r="8890" b="8890"/>
            <wp:docPr id="34" name="图片 34" descr="微信图片_20211008151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110081511071"/>
                    <pic:cNvPicPr>
                      <a:picLocks noChangeAspect="1"/>
                    </pic:cNvPicPr>
                  </pic:nvPicPr>
                  <pic:blipFill>
                    <a:blip r:embed="rId13"/>
                    <a:stretch>
                      <a:fillRect/>
                    </a:stretch>
                  </pic:blipFill>
                  <pic:spPr>
                    <a:xfrm>
                      <a:off x="0" y="0"/>
                      <a:ext cx="5904230" cy="334391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3008630"/>
            <wp:effectExtent l="0" t="0" r="8890" b="8890"/>
            <wp:docPr id="33" name="图片 33" descr="微信图片_2021100815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10081511072"/>
                    <pic:cNvPicPr>
                      <a:picLocks noChangeAspect="1"/>
                    </pic:cNvPicPr>
                  </pic:nvPicPr>
                  <pic:blipFill>
                    <a:blip r:embed="rId14"/>
                    <a:stretch>
                      <a:fillRect/>
                    </a:stretch>
                  </pic:blipFill>
                  <pic:spPr>
                    <a:xfrm>
                      <a:off x="0" y="0"/>
                      <a:ext cx="5904230" cy="300863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2589530"/>
            <wp:effectExtent l="0" t="0" r="8890" b="1270"/>
            <wp:docPr id="32" name="图片 32" descr="微信图片_20211008151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0081511073"/>
                    <pic:cNvPicPr>
                      <a:picLocks noChangeAspect="1"/>
                    </pic:cNvPicPr>
                  </pic:nvPicPr>
                  <pic:blipFill>
                    <a:blip r:embed="rId15"/>
                    <a:stretch>
                      <a:fillRect/>
                    </a:stretch>
                  </pic:blipFill>
                  <pic:spPr>
                    <a:xfrm>
                      <a:off x="0" y="0"/>
                      <a:ext cx="5904230" cy="258953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2809875"/>
            <wp:effectExtent l="0" t="0" r="8890" b="9525"/>
            <wp:docPr id="31" name="图片 31" descr="微信图片_20211008151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10081511074"/>
                    <pic:cNvPicPr>
                      <a:picLocks noChangeAspect="1"/>
                    </pic:cNvPicPr>
                  </pic:nvPicPr>
                  <pic:blipFill>
                    <a:blip r:embed="rId16"/>
                    <a:stretch>
                      <a:fillRect/>
                    </a:stretch>
                  </pic:blipFill>
                  <pic:spPr>
                    <a:xfrm>
                      <a:off x="0" y="0"/>
                      <a:ext cx="5904230" cy="280987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1690" cy="3072130"/>
            <wp:effectExtent l="0" t="0" r="11430" b="6350"/>
            <wp:docPr id="30" name="图片 30" descr="微信图片_20211008151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10081511075"/>
                    <pic:cNvPicPr>
                      <a:picLocks noChangeAspect="1"/>
                    </pic:cNvPicPr>
                  </pic:nvPicPr>
                  <pic:blipFill>
                    <a:blip r:embed="rId17"/>
                    <a:stretch>
                      <a:fillRect/>
                    </a:stretch>
                  </pic:blipFill>
                  <pic:spPr>
                    <a:xfrm>
                      <a:off x="0" y="0"/>
                      <a:ext cx="5901690" cy="307213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899785" cy="2618105"/>
            <wp:effectExtent l="0" t="0" r="13335" b="3175"/>
            <wp:docPr id="29" name="图片 29" descr="微信图片_20211008151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10081511076"/>
                    <pic:cNvPicPr>
                      <a:picLocks noChangeAspect="1"/>
                    </pic:cNvPicPr>
                  </pic:nvPicPr>
                  <pic:blipFill>
                    <a:blip r:embed="rId18"/>
                    <a:stretch>
                      <a:fillRect/>
                    </a:stretch>
                  </pic:blipFill>
                  <pic:spPr>
                    <a:xfrm>
                      <a:off x="0" y="0"/>
                      <a:ext cx="5899785" cy="261810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2677795"/>
            <wp:effectExtent l="0" t="0" r="8890" b="4445"/>
            <wp:docPr id="28" name="图片 28" descr="微信图片_20211008151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10081511077"/>
                    <pic:cNvPicPr>
                      <a:picLocks noChangeAspect="1"/>
                    </pic:cNvPicPr>
                  </pic:nvPicPr>
                  <pic:blipFill>
                    <a:blip r:embed="rId19"/>
                    <a:stretch>
                      <a:fillRect/>
                    </a:stretch>
                  </pic:blipFill>
                  <pic:spPr>
                    <a:xfrm>
                      <a:off x="0" y="0"/>
                      <a:ext cx="5904230" cy="267779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3595" cy="2860040"/>
            <wp:effectExtent l="0" t="0" r="9525" b="5080"/>
            <wp:docPr id="27" name="图片 27" descr="微信图片_20211008151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10081511078"/>
                    <pic:cNvPicPr>
                      <a:picLocks noChangeAspect="1"/>
                    </pic:cNvPicPr>
                  </pic:nvPicPr>
                  <pic:blipFill>
                    <a:blip r:embed="rId20"/>
                    <a:stretch>
                      <a:fillRect/>
                    </a:stretch>
                  </pic:blipFill>
                  <pic:spPr>
                    <a:xfrm>
                      <a:off x="0" y="0"/>
                      <a:ext cx="5903595" cy="286004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0420" cy="2677795"/>
            <wp:effectExtent l="0" t="0" r="12700" b="4445"/>
            <wp:docPr id="26" name="图片 26" descr="微信图片_20211008151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10081511079"/>
                    <pic:cNvPicPr>
                      <a:picLocks noChangeAspect="1"/>
                    </pic:cNvPicPr>
                  </pic:nvPicPr>
                  <pic:blipFill>
                    <a:blip r:embed="rId21"/>
                    <a:stretch>
                      <a:fillRect/>
                    </a:stretch>
                  </pic:blipFill>
                  <pic:spPr>
                    <a:xfrm>
                      <a:off x="0" y="0"/>
                      <a:ext cx="5900420" cy="267779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2842895"/>
            <wp:effectExtent l="0" t="0" r="8890" b="6985"/>
            <wp:docPr id="18" name="图片 18" descr="微信图片_202110081511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00815110710"/>
                    <pic:cNvPicPr>
                      <a:picLocks noChangeAspect="1"/>
                    </pic:cNvPicPr>
                  </pic:nvPicPr>
                  <pic:blipFill>
                    <a:blip r:embed="rId22"/>
                    <a:stretch>
                      <a:fillRect/>
                    </a:stretch>
                  </pic:blipFill>
                  <pic:spPr>
                    <a:xfrm>
                      <a:off x="0" y="0"/>
                      <a:ext cx="5904230" cy="284289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899785" cy="2641600"/>
            <wp:effectExtent l="0" t="0" r="13335" b="10160"/>
            <wp:docPr id="37" name="图片 37" descr="5026014227b048eaa39f6c71cc1b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026014227b048eaa39f6c71cc1b482"/>
                    <pic:cNvPicPr>
                      <a:picLocks noChangeAspect="1"/>
                    </pic:cNvPicPr>
                  </pic:nvPicPr>
                  <pic:blipFill>
                    <a:blip r:embed="rId23"/>
                    <a:stretch>
                      <a:fillRect/>
                    </a:stretch>
                  </pic:blipFill>
                  <pic:spPr>
                    <a:xfrm>
                      <a:off x="0" y="0"/>
                      <a:ext cx="5899785" cy="264160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0420" cy="2448560"/>
            <wp:effectExtent l="0" t="0" r="12700" b="5080"/>
            <wp:docPr id="25" name="图片 25" descr="微信图片_20211008151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10081511081"/>
                    <pic:cNvPicPr>
                      <a:picLocks noChangeAspect="1"/>
                    </pic:cNvPicPr>
                  </pic:nvPicPr>
                  <pic:blipFill>
                    <a:blip r:embed="rId24"/>
                    <a:stretch>
                      <a:fillRect/>
                    </a:stretch>
                  </pic:blipFill>
                  <pic:spPr>
                    <a:xfrm>
                      <a:off x="0" y="0"/>
                      <a:ext cx="5900420" cy="244856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3291840"/>
            <wp:effectExtent l="0" t="0" r="8890" b="0"/>
            <wp:docPr id="24" name="图片 24" descr="微信图片_20211008151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10081511082"/>
                    <pic:cNvPicPr>
                      <a:picLocks noChangeAspect="1"/>
                    </pic:cNvPicPr>
                  </pic:nvPicPr>
                  <pic:blipFill>
                    <a:blip r:embed="rId25"/>
                    <a:stretch>
                      <a:fillRect/>
                    </a:stretch>
                  </pic:blipFill>
                  <pic:spPr>
                    <a:xfrm>
                      <a:off x="0" y="0"/>
                      <a:ext cx="5904230" cy="329184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2325" cy="3129915"/>
            <wp:effectExtent l="0" t="0" r="10795" b="9525"/>
            <wp:docPr id="23" name="图片 23" descr="微信图片_20211008151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10081511083"/>
                    <pic:cNvPicPr>
                      <a:picLocks noChangeAspect="1"/>
                    </pic:cNvPicPr>
                  </pic:nvPicPr>
                  <pic:blipFill>
                    <a:blip r:embed="rId26"/>
                    <a:stretch>
                      <a:fillRect/>
                    </a:stretch>
                  </pic:blipFill>
                  <pic:spPr>
                    <a:xfrm>
                      <a:off x="0" y="0"/>
                      <a:ext cx="5902325" cy="312991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2582545"/>
            <wp:effectExtent l="0" t="0" r="8890" b="8255"/>
            <wp:docPr id="22" name="图片 22" descr="微信图片_20211008151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10081511084"/>
                    <pic:cNvPicPr>
                      <a:picLocks noChangeAspect="1"/>
                    </pic:cNvPicPr>
                  </pic:nvPicPr>
                  <pic:blipFill>
                    <a:blip r:embed="rId27"/>
                    <a:stretch>
                      <a:fillRect/>
                    </a:stretch>
                  </pic:blipFill>
                  <pic:spPr>
                    <a:xfrm>
                      <a:off x="0" y="0"/>
                      <a:ext cx="5904230" cy="258254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2886075"/>
            <wp:effectExtent l="0" t="0" r="8890" b="9525"/>
            <wp:docPr id="21" name="图片 21" descr="微信图片_20211008151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10081511085"/>
                    <pic:cNvPicPr>
                      <a:picLocks noChangeAspect="1"/>
                    </pic:cNvPicPr>
                  </pic:nvPicPr>
                  <pic:blipFill>
                    <a:blip r:embed="rId28"/>
                    <a:stretch>
                      <a:fillRect/>
                    </a:stretch>
                  </pic:blipFill>
                  <pic:spPr>
                    <a:xfrm>
                      <a:off x="0" y="0"/>
                      <a:ext cx="5904230" cy="288607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1690" cy="3404235"/>
            <wp:effectExtent l="0" t="0" r="11430" b="9525"/>
            <wp:docPr id="20" name="图片 20" descr="微信图片_20211008151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10081511086"/>
                    <pic:cNvPicPr>
                      <a:picLocks noChangeAspect="1"/>
                    </pic:cNvPicPr>
                  </pic:nvPicPr>
                  <pic:blipFill>
                    <a:blip r:embed="rId29"/>
                    <a:stretch>
                      <a:fillRect/>
                    </a:stretch>
                  </pic:blipFill>
                  <pic:spPr>
                    <a:xfrm>
                      <a:off x="0" y="0"/>
                      <a:ext cx="5901690" cy="340423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899785" cy="1901825"/>
            <wp:effectExtent l="0" t="0" r="13335" b="3175"/>
            <wp:docPr id="19" name="图片 19" descr="微信图片_2021100815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10081511087"/>
                    <pic:cNvPicPr>
                      <a:picLocks noChangeAspect="1"/>
                    </pic:cNvPicPr>
                  </pic:nvPicPr>
                  <pic:blipFill>
                    <a:blip r:embed="rId30"/>
                    <a:stretch>
                      <a:fillRect/>
                    </a:stretch>
                  </pic:blipFill>
                  <pic:spPr>
                    <a:xfrm>
                      <a:off x="0" y="0"/>
                      <a:ext cx="5899785" cy="1901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宋体" w:hAnsi="宋体" w:cs="宋体"/>
          <w:b w:val="0"/>
          <w:bCs/>
          <w:sz w:val="24"/>
          <w:lang w:val="en-US" w:eastAsia="zh-CN"/>
        </w:rPr>
      </w:pPr>
      <w:r>
        <w:rPr>
          <w:rFonts w:hint="eastAsia" w:ascii="宋体" w:hAnsi="宋体" w:cs="宋体"/>
          <w:b/>
          <w:sz w:val="24"/>
          <w:lang w:val="en-US" w:eastAsia="zh-CN"/>
        </w:rPr>
        <w:t>重庆农村商业银行大渡口支行（</w:t>
      </w:r>
      <w:r>
        <w:rPr>
          <w:rFonts w:hint="eastAsia" w:ascii="Arial" w:hAnsi="Arial" w:cs="Arial"/>
          <w:b/>
          <w:sz w:val="24"/>
          <w:lang w:val="en-US" w:eastAsia="zh-CN"/>
        </w:rPr>
        <w:t>7471</w:t>
      </w:r>
      <w:r>
        <w:rPr>
          <w:rFonts w:hint="eastAsia" w:ascii="宋体" w:hAnsi="宋体" w:cs="宋体"/>
          <w:b/>
          <w:sz w:val="24"/>
          <w:lang w:val="en-US" w:eastAsia="zh-CN"/>
        </w:rPr>
        <w:t>）</w:t>
      </w:r>
      <w:r>
        <w:rPr>
          <w:rFonts w:hint="eastAsia" w:ascii="宋体" w:hAnsi="宋体" w:cs="宋体"/>
          <w:b w:val="0"/>
          <w:bCs/>
          <w:sz w:val="24"/>
          <w:lang w:val="en-US" w:eastAsia="zh-CN"/>
        </w:rPr>
        <w:drawing>
          <wp:inline distT="0" distB="0" distL="114300" distR="114300">
            <wp:extent cx="5897245" cy="2691765"/>
            <wp:effectExtent l="0" t="0" r="635" b="5715"/>
            <wp:docPr id="40" name="图片 40" descr="0d2f23795d3810a463229d1b241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d2f23795d3810a463229d1b2419604"/>
                    <pic:cNvPicPr>
                      <a:picLocks noChangeAspect="1"/>
                    </pic:cNvPicPr>
                  </pic:nvPicPr>
                  <pic:blipFill>
                    <a:blip r:embed="rId31"/>
                    <a:stretch>
                      <a:fillRect/>
                    </a:stretch>
                  </pic:blipFill>
                  <pic:spPr>
                    <a:xfrm>
                      <a:off x="0" y="0"/>
                      <a:ext cx="5897245" cy="2691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宋体" w:hAnsi="宋体" w:eastAsia="宋体" w:cs="宋体"/>
          <w:sz w:val="24"/>
          <w:szCs w:val="24"/>
          <w:lang w:val="en-US" w:eastAsia="zh-CN"/>
        </w:rPr>
      </w:pPr>
      <w:r>
        <w:rPr>
          <w:rFonts w:hint="eastAsia" w:ascii="宋体" w:hAnsi="宋体" w:cs="宋体"/>
          <w:b/>
          <w:sz w:val="24"/>
          <w:lang w:val="en-US" w:eastAsia="zh-CN"/>
        </w:rPr>
        <w:t>中国建设银行股份有限公司重庆大渡口建设支行（</w:t>
      </w:r>
      <w:r>
        <w:rPr>
          <w:rFonts w:hint="eastAsia" w:ascii="Arial" w:hAnsi="Arial" w:cs="Arial"/>
          <w:b/>
          <w:sz w:val="24"/>
          <w:lang w:val="en-US" w:eastAsia="zh-CN"/>
        </w:rPr>
        <w:t>0475</w:t>
      </w:r>
      <w:r>
        <w:rPr>
          <w:rFonts w:hint="eastAsia" w:ascii="宋体" w:hAnsi="宋体" w:cs="宋体"/>
          <w:b/>
          <w:sz w:val="24"/>
          <w:lang w:val="en-US" w:eastAsia="zh-CN"/>
        </w:rPr>
        <w:t>）</w:t>
      </w:r>
      <w:r>
        <w:rPr>
          <w:rFonts w:hint="eastAsia" w:ascii="宋体" w:hAnsi="宋体" w:eastAsia="宋体" w:cs="宋体"/>
          <w:sz w:val="24"/>
          <w:szCs w:val="24"/>
          <w:lang w:val="en-US" w:eastAsia="zh-CN"/>
        </w:rPr>
        <w:drawing>
          <wp:inline distT="0" distB="0" distL="114300" distR="114300">
            <wp:extent cx="5904230" cy="3533775"/>
            <wp:effectExtent l="0" t="0" r="8890" b="1905"/>
            <wp:docPr id="42" name="图片 42" descr="e62821cb3e7bc86f954afde4ecce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62821cb3e7bc86f954afde4ecceb0c"/>
                    <pic:cNvPicPr>
                      <a:picLocks noChangeAspect="1"/>
                    </pic:cNvPicPr>
                  </pic:nvPicPr>
                  <pic:blipFill>
                    <a:blip r:embed="rId32"/>
                    <a:stretch>
                      <a:fillRect/>
                    </a:stretch>
                  </pic:blipFill>
                  <pic:spPr>
                    <a:xfrm>
                      <a:off x="0" y="0"/>
                      <a:ext cx="5904230" cy="353377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939790" cy="1793875"/>
            <wp:effectExtent l="0" t="0" r="3810" b="4445"/>
            <wp:docPr id="43" name="图片 43" descr="dc060dcea5d658481737dc9793b1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c060dcea5d658481737dc9793b17ee"/>
                    <pic:cNvPicPr>
                      <a:picLocks noChangeAspect="1"/>
                    </pic:cNvPicPr>
                  </pic:nvPicPr>
                  <pic:blipFill>
                    <a:blip r:embed="rId33"/>
                    <a:stretch>
                      <a:fillRect/>
                    </a:stretch>
                  </pic:blipFill>
                  <pic:spPr>
                    <a:xfrm>
                      <a:off x="0" y="0"/>
                      <a:ext cx="5939790" cy="179387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901690" cy="3032125"/>
            <wp:effectExtent l="0" t="0" r="11430" b="635"/>
            <wp:docPr id="41" name="图片 41" descr="f6a8c523817ddc1fdc5442db513b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6a8c523817ddc1fdc5442db513bbf2"/>
                    <pic:cNvPicPr>
                      <a:picLocks noChangeAspect="1"/>
                    </pic:cNvPicPr>
                  </pic:nvPicPr>
                  <pic:blipFill>
                    <a:blip r:embed="rId34"/>
                    <a:stretch>
                      <a:fillRect/>
                    </a:stretch>
                  </pic:blipFill>
                  <pic:spPr>
                    <a:xfrm>
                      <a:off x="0" y="0"/>
                      <a:ext cx="5901690" cy="303212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904230" cy="2390775"/>
            <wp:effectExtent l="0" t="0" r="8890" b="1905"/>
            <wp:docPr id="44" name="图片 44" descr="3069474e7e217291abe99e8b74ab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069474e7e217291abe99e8b74abda2"/>
                    <pic:cNvPicPr>
                      <a:picLocks noChangeAspect="1"/>
                    </pic:cNvPicPr>
                  </pic:nvPicPr>
                  <pic:blipFill>
                    <a:blip r:embed="rId35"/>
                    <a:stretch>
                      <a:fillRect/>
                    </a:stretch>
                  </pic:blipFill>
                  <pic:spPr>
                    <a:xfrm>
                      <a:off x="0" y="0"/>
                      <a:ext cx="5904230" cy="239077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904230" cy="2625090"/>
            <wp:effectExtent l="0" t="0" r="8890" b="11430"/>
            <wp:docPr id="45" name="图片 45" descr="00c5daedf8841a8211ba337932ef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0c5daedf8841a8211ba337932ef3ea"/>
                    <pic:cNvPicPr>
                      <a:picLocks noChangeAspect="1"/>
                    </pic:cNvPicPr>
                  </pic:nvPicPr>
                  <pic:blipFill>
                    <a:blip r:embed="rId36"/>
                    <a:stretch>
                      <a:fillRect/>
                    </a:stretch>
                  </pic:blipFill>
                  <pic:spPr>
                    <a:xfrm>
                      <a:off x="0" y="0"/>
                      <a:ext cx="5904230" cy="2625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宋体" w:hAnsi="宋体" w:cs="宋体"/>
          <w:b/>
          <w:sz w:val="24"/>
          <w:lang w:val="en-US" w:eastAsia="zh-CN"/>
        </w:rPr>
      </w:pPr>
      <w:r>
        <w:rPr>
          <w:rFonts w:hint="eastAsia" w:ascii="宋体" w:hAnsi="宋体" w:cs="宋体"/>
          <w:b/>
          <w:sz w:val="24"/>
          <w:lang w:val="en-US" w:eastAsia="zh-CN"/>
        </w:rPr>
        <w:t>汉口银行重庆分行-预售资金监管账户（</w:t>
      </w:r>
      <w:r>
        <w:rPr>
          <w:rFonts w:hint="default" w:ascii="Arial" w:hAnsi="Arial" w:cs="Arial"/>
          <w:b/>
          <w:sz w:val="24"/>
          <w:lang w:val="en-US" w:eastAsia="zh-CN"/>
        </w:rPr>
        <w:t>2601</w:t>
      </w:r>
      <w:r>
        <w:rPr>
          <w:rFonts w:hint="eastAsia" w:ascii="宋体" w:hAnsi="宋体" w:cs="宋体"/>
          <w:b/>
          <w:sz w:val="24"/>
          <w:lang w:val="en-US" w:eastAsia="zh-CN"/>
        </w:rPr>
        <w:t>）</w:t>
      </w:r>
      <w:r>
        <w:rPr>
          <w:rFonts w:hint="eastAsia" w:ascii="宋体" w:hAnsi="宋体" w:cs="宋体"/>
          <w:b/>
          <w:sz w:val="24"/>
          <w:lang w:val="en-US" w:eastAsia="zh-CN"/>
        </w:rPr>
        <w:drawing>
          <wp:inline distT="0" distB="0" distL="114300" distR="114300">
            <wp:extent cx="5904230" cy="3024505"/>
            <wp:effectExtent l="0" t="0" r="8890" b="8255"/>
            <wp:docPr id="51" name="图片 51" descr="d8f1e4c7e82b1093676c7d68cd0c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8f1e4c7e82b1093676c7d68cd0c8c7"/>
                    <pic:cNvPicPr>
                      <a:picLocks noChangeAspect="1"/>
                    </pic:cNvPicPr>
                  </pic:nvPicPr>
                  <pic:blipFill>
                    <a:blip r:embed="rId37"/>
                    <a:stretch>
                      <a:fillRect/>
                    </a:stretch>
                  </pic:blipFill>
                  <pic:spPr>
                    <a:xfrm>
                      <a:off x="0" y="0"/>
                      <a:ext cx="5904230" cy="302450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1717675"/>
            <wp:effectExtent l="0" t="0" r="8890" b="4445"/>
            <wp:docPr id="52" name="图片 52" descr="039253d8f3a26b090eb966defcdc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39253d8f3a26b090eb966defcdc623"/>
                    <pic:cNvPicPr>
                      <a:picLocks noChangeAspect="1"/>
                    </pic:cNvPicPr>
                  </pic:nvPicPr>
                  <pic:blipFill>
                    <a:blip r:embed="rId38"/>
                    <a:stretch>
                      <a:fillRect/>
                    </a:stretch>
                  </pic:blipFill>
                  <pic:spPr>
                    <a:xfrm>
                      <a:off x="0" y="0"/>
                      <a:ext cx="5904230" cy="171767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2179955"/>
            <wp:effectExtent l="0" t="0" r="8890" b="14605"/>
            <wp:docPr id="46" name="图片 46" descr="f9da899ac1993970ace97daccd82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9da899ac1993970ace97daccd82a19"/>
                    <pic:cNvPicPr>
                      <a:picLocks noChangeAspect="1"/>
                    </pic:cNvPicPr>
                  </pic:nvPicPr>
                  <pic:blipFill>
                    <a:blip r:embed="rId39"/>
                    <a:stretch>
                      <a:fillRect/>
                    </a:stretch>
                  </pic:blipFill>
                  <pic:spPr>
                    <a:xfrm>
                      <a:off x="0" y="0"/>
                      <a:ext cx="5904230" cy="2179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宋体" w:hAnsi="宋体" w:eastAsia="宋体" w:cs="宋体"/>
          <w:sz w:val="24"/>
          <w:szCs w:val="24"/>
          <w:lang w:val="en-US" w:eastAsia="zh-CN"/>
        </w:rPr>
      </w:pPr>
      <w:r>
        <w:rPr>
          <w:rFonts w:hint="eastAsia" w:ascii="宋体" w:hAnsi="宋体" w:cs="宋体"/>
          <w:b/>
          <w:sz w:val="24"/>
          <w:lang w:val="en-US" w:eastAsia="zh-CN"/>
        </w:rPr>
        <w:t>汉口银行重庆分行（</w:t>
      </w:r>
      <w:r>
        <w:rPr>
          <w:rFonts w:hint="default" w:ascii="Arial" w:hAnsi="Arial" w:cs="Arial"/>
          <w:b/>
          <w:sz w:val="24"/>
          <w:lang w:val="en-US" w:eastAsia="zh-CN"/>
        </w:rPr>
        <w:t>2452</w:t>
      </w:r>
      <w:r>
        <w:rPr>
          <w:rFonts w:hint="eastAsia" w:ascii="宋体" w:hAnsi="宋体" w:cs="宋体"/>
          <w:b/>
          <w:sz w:val="24"/>
          <w:lang w:val="en-US" w:eastAsia="zh-CN"/>
        </w:rPr>
        <w:t>）</w:t>
      </w:r>
      <w:r>
        <w:rPr>
          <w:rFonts w:hint="eastAsia" w:ascii="宋体" w:hAnsi="宋体" w:cs="宋体"/>
          <w:b/>
          <w:sz w:val="24"/>
          <w:lang w:val="en-US" w:eastAsia="zh-CN"/>
        </w:rPr>
        <w:drawing>
          <wp:inline distT="0" distB="0" distL="114300" distR="114300">
            <wp:extent cx="5903595" cy="2670175"/>
            <wp:effectExtent l="0" t="0" r="9525" b="12065"/>
            <wp:docPr id="50" name="图片 50" descr="d7993b6f3cec03d3ad9d266975c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7993b6f3cec03d3ad9d266975c4347"/>
                    <pic:cNvPicPr>
                      <a:picLocks noChangeAspect="1"/>
                    </pic:cNvPicPr>
                  </pic:nvPicPr>
                  <pic:blipFill>
                    <a:blip r:embed="rId40"/>
                    <a:stretch>
                      <a:fillRect/>
                    </a:stretch>
                  </pic:blipFill>
                  <pic:spPr>
                    <a:xfrm>
                      <a:off x="0" y="0"/>
                      <a:ext cx="5903595" cy="267017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1554480"/>
            <wp:effectExtent l="0" t="0" r="8890" b="0"/>
            <wp:docPr id="47" name="图片 47" descr="ef78874865a0c44206e9e1db97be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f78874865a0c44206e9e1db97be875"/>
                    <pic:cNvPicPr>
                      <a:picLocks noChangeAspect="1"/>
                    </pic:cNvPicPr>
                  </pic:nvPicPr>
                  <pic:blipFill>
                    <a:blip r:embed="rId41"/>
                    <a:stretch>
                      <a:fillRect/>
                    </a:stretch>
                  </pic:blipFill>
                  <pic:spPr>
                    <a:xfrm>
                      <a:off x="0" y="0"/>
                      <a:ext cx="5904230" cy="155448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1745615"/>
            <wp:effectExtent l="0" t="0" r="8890" b="6985"/>
            <wp:docPr id="53" name="图片 53" descr="316e89eb93eb6027bbfd9f78af46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16e89eb93eb6027bbfd9f78af46add"/>
                    <pic:cNvPicPr>
                      <a:picLocks noChangeAspect="1"/>
                    </pic:cNvPicPr>
                  </pic:nvPicPr>
                  <pic:blipFill>
                    <a:blip r:embed="rId42"/>
                    <a:stretch>
                      <a:fillRect/>
                    </a:stretch>
                  </pic:blipFill>
                  <pic:spPr>
                    <a:xfrm>
                      <a:off x="0" y="0"/>
                      <a:ext cx="5904230" cy="17456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宋体" w:hAnsi="宋体" w:cs="宋体"/>
          <w:b/>
          <w:sz w:val="24"/>
          <w:lang w:val="en-US" w:eastAsia="zh-CN"/>
        </w:rPr>
      </w:pPr>
      <w:r>
        <w:rPr>
          <w:rFonts w:hint="default" w:ascii="Arial" w:hAnsi="Arial" w:cs="Arial"/>
          <w:b/>
          <w:sz w:val="24"/>
          <w:lang w:val="en-US" w:eastAsia="zh-CN"/>
        </w:rPr>
        <w:t>兴业银行重庆解放碑支行（2204）</w:t>
      </w:r>
      <w:r>
        <w:rPr>
          <w:rFonts w:hint="eastAsia" w:ascii="宋体" w:hAnsi="宋体" w:cs="宋体"/>
          <w:b/>
          <w:sz w:val="24"/>
          <w:lang w:val="en-US" w:eastAsia="zh-CN"/>
        </w:rPr>
        <w:drawing>
          <wp:inline distT="0" distB="0" distL="114300" distR="114300">
            <wp:extent cx="5899785" cy="3517265"/>
            <wp:effectExtent l="0" t="0" r="13335" b="3175"/>
            <wp:docPr id="56" name="图片 56" descr="76bc51f7658354c93743e4788317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6bc51f7658354c93743e47883179f4"/>
                    <pic:cNvPicPr>
                      <a:picLocks noChangeAspect="1"/>
                    </pic:cNvPicPr>
                  </pic:nvPicPr>
                  <pic:blipFill>
                    <a:blip r:embed="rId43"/>
                    <a:stretch>
                      <a:fillRect/>
                    </a:stretch>
                  </pic:blipFill>
                  <pic:spPr>
                    <a:xfrm>
                      <a:off x="0" y="0"/>
                      <a:ext cx="5899785" cy="3517265"/>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2658110"/>
            <wp:effectExtent l="0" t="0" r="8890" b="8890"/>
            <wp:docPr id="54" name="图片 54" descr="d9bfbd52fb55835b9982b95fee6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9bfbd52fb55835b9982b95fee63723"/>
                    <pic:cNvPicPr>
                      <a:picLocks noChangeAspect="1"/>
                    </pic:cNvPicPr>
                  </pic:nvPicPr>
                  <pic:blipFill>
                    <a:blip r:embed="rId44"/>
                    <a:stretch>
                      <a:fillRect/>
                    </a:stretch>
                  </pic:blipFill>
                  <pic:spPr>
                    <a:xfrm>
                      <a:off x="0" y="0"/>
                      <a:ext cx="5904230" cy="2658110"/>
                    </a:xfrm>
                    <a:prstGeom prst="rect">
                      <a:avLst/>
                    </a:prstGeom>
                  </pic:spPr>
                </pic:pic>
              </a:graphicData>
            </a:graphic>
          </wp:inline>
        </w:drawing>
      </w:r>
      <w:r>
        <w:rPr>
          <w:rFonts w:hint="eastAsia" w:ascii="宋体" w:hAnsi="宋体" w:cs="宋体"/>
          <w:b/>
          <w:sz w:val="24"/>
          <w:lang w:val="en-US" w:eastAsia="zh-CN"/>
        </w:rPr>
        <w:drawing>
          <wp:inline distT="0" distB="0" distL="114300" distR="114300">
            <wp:extent cx="5904230" cy="2209800"/>
            <wp:effectExtent l="0" t="0" r="8890" b="0"/>
            <wp:docPr id="55" name="图片 55" descr="8386a0d1f5c44d5d850e9fc617b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386a0d1f5c44d5d850e9fc617b4600"/>
                    <pic:cNvPicPr>
                      <a:picLocks noChangeAspect="1"/>
                    </pic:cNvPicPr>
                  </pic:nvPicPr>
                  <pic:blipFill>
                    <a:blip r:embed="rId45"/>
                    <a:stretch>
                      <a:fillRect/>
                    </a:stretch>
                  </pic:blipFill>
                  <pic:spPr>
                    <a:xfrm>
                      <a:off x="0" y="0"/>
                      <a:ext cx="5904230" cy="2209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Arial" w:hAnsi="Arial" w:cs="Arial"/>
          <w:b/>
          <w:sz w:val="24"/>
          <w:lang w:val="en-US" w:eastAsia="zh-CN"/>
        </w:rPr>
      </w:pPr>
      <w:r>
        <w:rPr>
          <w:rFonts w:hint="eastAsia" w:ascii="Arial" w:hAnsi="Arial" w:cs="Arial"/>
          <w:b/>
          <w:sz w:val="24"/>
          <w:lang w:val="en-US" w:eastAsia="zh-CN"/>
        </w:rPr>
        <w:t>中国民生银行股份有限公司重庆分行营业部（4896）</w:t>
      </w:r>
      <w:r>
        <w:rPr>
          <w:rFonts w:hint="eastAsia" w:ascii="Arial" w:hAnsi="Arial" w:cs="Arial"/>
          <w:b/>
          <w:sz w:val="24"/>
          <w:lang w:val="en-US" w:eastAsia="zh-CN"/>
        </w:rPr>
        <w:drawing>
          <wp:inline distT="0" distB="0" distL="114300" distR="114300">
            <wp:extent cx="5904230" cy="3267710"/>
            <wp:effectExtent l="0" t="0" r="8890" b="8890"/>
            <wp:docPr id="57" name="图片 57" descr="daaa9624a4c293c75311816616bc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aaa9624a4c293c75311816616bc89d"/>
                    <pic:cNvPicPr>
                      <a:picLocks noChangeAspect="1"/>
                    </pic:cNvPicPr>
                  </pic:nvPicPr>
                  <pic:blipFill>
                    <a:blip r:embed="rId46"/>
                    <a:stretch>
                      <a:fillRect/>
                    </a:stretch>
                  </pic:blipFill>
                  <pic:spPr>
                    <a:xfrm>
                      <a:off x="0" y="0"/>
                      <a:ext cx="5904230" cy="3267710"/>
                    </a:xfrm>
                    <a:prstGeom prst="rect">
                      <a:avLst/>
                    </a:prstGeom>
                  </pic:spPr>
                </pic:pic>
              </a:graphicData>
            </a:graphic>
          </wp:inline>
        </w:drawing>
      </w:r>
      <w:r>
        <w:rPr>
          <w:rFonts w:hint="eastAsia" w:ascii="Arial" w:hAnsi="Arial" w:cs="Arial"/>
          <w:b/>
          <w:sz w:val="24"/>
          <w:lang w:val="en-US" w:eastAsia="zh-CN"/>
        </w:rPr>
        <w:drawing>
          <wp:inline distT="0" distB="0" distL="114300" distR="114300">
            <wp:extent cx="5904230" cy="1867535"/>
            <wp:effectExtent l="0" t="0" r="8890" b="6985"/>
            <wp:docPr id="59" name="图片 59" descr="4d511f1ab761094ebd52697a233e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d511f1ab761094ebd52697a233e2e7"/>
                    <pic:cNvPicPr>
                      <a:picLocks noChangeAspect="1"/>
                    </pic:cNvPicPr>
                  </pic:nvPicPr>
                  <pic:blipFill>
                    <a:blip r:embed="rId47"/>
                    <a:stretch>
                      <a:fillRect/>
                    </a:stretch>
                  </pic:blipFill>
                  <pic:spPr>
                    <a:xfrm>
                      <a:off x="0" y="0"/>
                      <a:ext cx="5904230" cy="1867535"/>
                    </a:xfrm>
                    <a:prstGeom prst="rect">
                      <a:avLst/>
                    </a:prstGeom>
                  </pic:spPr>
                </pic:pic>
              </a:graphicData>
            </a:graphic>
          </wp:inline>
        </w:drawing>
      </w:r>
      <w:r>
        <w:rPr>
          <w:rFonts w:hint="eastAsia" w:ascii="Arial" w:hAnsi="Arial" w:cs="Arial"/>
          <w:b/>
          <w:sz w:val="24"/>
          <w:lang w:val="en-US" w:eastAsia="zh-CN"/>
        </w:rPr>
        <w:drawing>
          <wp:inline distT="0" distB="0" distL="114300" distR="114300">
            <wp:extent cx="5904230" cy="1819910"/>
            <wp:effectExtent l="0" t="0" r="8890" b="8890"/>
            <wp:docPr id="60" name="图片 60" descr="0a1f4d35a9c79c414c1eba5f88a7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a1f4d35a9c79c414c1eba5f88a77c6"/>
                    <pic:cNvPicPr>
                      <a:picLocks noChangeAspect="1"/>
                    </pic:cNvPicPr>
                  </pic:nvPicPr>
                  <pic:blipFill>
                    <a:blip r:embed="rId48"/>
                    <a:stretch>
                      <a:fillRect/>
                    </a:stretch>
                  </pic:blipFill>
                  <pic:spPr>
                    <a:xfrm>
                      <a:off x="0" y="0"/>
                      <a:ext cx="5904230" cy="1819910"/>
                    </a:xfrm>
                    <a:prstGeom prst="rect">
                      <a:avLst/>
                    </a:prstGeom>
                  </pic:spPr>
                </pic:pic>
              </a:graphicData>
            </a:graphic>
          </wp:inline>
        </w:drawing>
      </w:r>
      <w:r>
        <w:rPr>
          <w:rFonts w:hint="eastAsia" w:ascii="Arial" w:hAnsi="Arial" w:cs="Arial"/>
          <w:b/>
          <w:sz w:val="24"/>
          <w:lang w:val="en-US" w:eastAsia="zh-CN"/>
        </w:rPr>
        <w:drawing>
          <wp:inline distT="0" distB="0" distL="114300" distR="114300">
            <wp:extent cx="5895340" cy="1245235"/>
            <wp:effectExtent l="0" t="0" r="2540" b="4445"/>
            <wp:docPr id="58" name="图片 58" descr="591969b1b0308922117d1a704744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91969b1b0308922117d1a7047443ba"/>
                    <pic:cNvPicPr>
                      <a:picLocks noChangeAspect="1"/>
                    </pic:cNvPicPr>
                  </pic:nvPicPr>
                  <pic:blipFill>
                    <a:blip r:embed="rId49"/>
                    <a:stretch>
                      <a:fillRect/>
                    </a:stretch>
                  </pic:blipFill>
                  <pic:spPr>
                    <a:xfrm>
                      <a:off x="0" y="0"/>
                      <a:ext cx="5895340" cy="1245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6" w:beforeLines="100" w:line="240" w:lineRule="auto"/>
        <w:jc w:val="center"/>
        <w:textAlignment w:val="auto"/>
        <w:rPr>
          <w:rFonts w:hint="eastAsia" w:ascii="Arial" w:hAnsi="Arial" w:cs="Arial"/>
          <w:b/>
          <w:sz w:val="24"/>
          <w:lang w:val="en-US" w:eastAsia="zh-CN"/>
        </w:rPr>
      </w:pPr>
      <w:r>
        <w:rPr>
          <w:rFonts w:hint="eastAsia" w:ascii="Arial" w:hAnsi="Arial" w:cs="Arial"/>
          <w:b/>
          <w:sz w:val="24"/>
          <w:lang w:val="en-US" w:eastAsia="zh-CN"/>
        </w:rPr>
        <w:t>大连银行股份有限公司重庆高新支行（0049）</w:t>
      </w:r>
      <w:r>
        <w:rPr>
          <w:rFonts w:hint="eastAsia" w:ascii="Arial" w:hAnsi="Arial" w:cs="Arial"/>
          <w:b/>
          <w:sz w:val="24"/>
          <w:lang w:val="en-US" w:eastAsia="zh-CN"/>
        </w:rPr>
        <w:drawing>
          <wp:inline distT="0" distB="0" distL="114300" distR="114300">
            <wp:extent cx="5904230" cy="4958080"/>
            <wp:effectExtent l="0" t="0" r="8890" b="10160"/>
            <wp:docPr id="61" name="图片 61" descr="78d2d39bc002a13b1b70a6612bfd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8d2d39bc002a13b1b70a6612bfdad7"/>
                    <pic:cNvPicPr>
                      <a:picLocks noChangeAspect="1"/>
                    </pic:cNvPicPr>
                  </pic:nvPicPr>
                  <pic:blipFill>
                    <a:blip r:embed="rId50"/>
                    <a:stretch>
                      <a:fillRect/>
                    </a:stretch>
                  </pic:blipFill>
                  <pic:spPr>
                    <a:xfrm>
                      <a:off x="0" y="0"/>
                      <a:ext cx="5904230" cy="4958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成都银行重庆璧山支行（2473）</w:t>
      </w:r>
      <w:r>
        <w:rPr>
          <w:rFonts w:hint="default" w:ascii="Arial" w:hAnsi="Arial" w:cs="Arial"/>
          <w:b/>
          <w:sz w:val="24"/>
          <w:lang w:val="en-US" w:eastAsia="zh-CN"/>
        </w:rPr>
        <w:drawing>
          <wp:inline distT="0" distB="0" distL="114300" distR="114300">
            <wp:extent cx="5902960" cy="3192780"/>
            <wp:effectExtent l="0" t="0" r="10160" b="7620"/>
            <wp:docPr id="62" name="图片 62" descr="a1eebe83e69570f85c1b6b3632d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a1eebe83e69570f85c1b6b3632d3950"/>
                    <pic:cNvPicPr>
                      <a:picLocks noChangeAspect="1"/>
                    </pic:cNvPicPr>
                  </pic:nvPicPr>
                  <pic:blipFill>
                    <a:blip r:embed="rId51"/>
                    <a:stretch>
                      <a:fillRect/>
                    </a:stretch>
                  </pic:blipFill>
                  <pic:spPr>
                    <a:xfrm>
                      <a:off x="0" y="0"/>
                      <a:ext cx="5902960" cy="3192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left="210" w:hanging="210" w:hangingChars="100"/>
        <w:jc w:val="both"/>
        <w:textAlignment w:val="auto"/>
        <w:rPr>
          <w:rFonts w:hint="eastAsia" w:ascii="Arial" w:hAnsi="Arial" w:eastAsia="宋体" w:cs="Arial"/>
          <w:b w:val="0"/>
          <w:bCs w:val="0"/>
          <w:sz w:val="21"/>
          <w:szCs w:val="21"/>
          <w:lang w:eastAsia="zh-CN"/>
        </w:rPr>
      </w:pPr>
    </w:p>
    <w:p>
      <w:pPr>
        <w:pStyle w:val="3"/>
        <w:keepNext/>
        <w:keepLines w:val="0"/>
        <w:pageBreakBefore/>
        <w:widowControl w:val="0"/>
        <w:kinsoku/>
        <w:wordWrap/>
        <w:overflowPunct/>
        <w:topLinePunct w:val="0"/>
        <w:autoSpaceDE/>
        <w:autoSpaceDN/>
        <w:bidi w:val="0"/>
        <w:adjustRightInd/>
        <w:snapToGrid/>
        <w:spacing w:before="300" w:after="300" w:line="360" w:lineRule="exact"/>
        <w:textAlignment w:val="auto"/>
        <w:outlineLvl w:val="0"/>
        <w:rPr>
          <w:rFonts w:hint="eastAsia"/>
          <w:lang w:val="en-US" w:eastAsia="zh-CN"/>
        </w:rPr>
      </w:pPr>
      <w:bookmarkStart w:id="70" w:name="_Toc11749"/>
      <w:r>
        <w:rPr>
          <w:rFonts w:hint="eastAsia" w:ascii="宋体" w:hAnsi="宋体" w:eastAsia="宋体" w:cs="宋体"/>
          <w:b/>
          <w:sz w:val="24"/>
          <w:szCs w:val="24"/>
          <w:lang w:val="en-US" w:eastAsia="zh-CN"/>
        </w:rPr>
        <w:t>附件二：共管资料移交清单</w:t>
      </w:r>
      <w:bookmarkEnd w:id="70"/>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eastAsia" w:ascii="Arial" w:hAnsi="Arial" w:cs="Arial"/>
          <w:b/>
          <w:sz w:val="24"/>
          <w:lang w:val="en-US" w:eastAsia="zh-CN"/>
        </w:rPr>
      </w:pPr>
      <w:r>
        <w:rPr>
          <w:rFonts w:hint="eastAsia" w:ascii="Arial" w:hAnsi="Arial" w:cs="Arial"/>
          <w:b/>
          <w:sz w:val="24"/>
          <w:lang w:val="en-US" w:eastAsia="zh-CN"/>
        </w:rPr>
        <w:t>共管资料交接清单-汉口银行转账支票和单位结算业务委托书交接清单</w:t>
      </w:r>
      <w:r>
        <w:drawing>
          <wp:inline distT="0" distB="0" distL="114300" distR="114300">
            <wp:extent cx="5904230" cy="3043555"/>
            <wp:effectExtent l="0" t="0" r="8890" b="4445"/>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52"/>
                    <a:stretch>
                      <a:fillRect/>
                    </a:stretch>
                  </pic:blipFill>
                  <pic:spPr>
                    <a:xfrm>
                      <a:off x="0" y="0"/>
                      <a:ext cx="5904230" cy="3043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汉口转账支票（02991228-02991250）（23份）</w:t>
      </w:r>
      <w:r>
        <w:rPr>
          <w:rFonts w:hint="default" w:ascii="Arial" w:hAnsi="Arial" w:cs="Arial"/>
          <w:b/>
          <w:sz w:val="24"/>
          <w:lang w:val="en-US" w:eastAsia="zh-CN"/>
        </w:rPr>
        <w:drawing>
          <wp:inline distT="0" distB="0" distL="114300" distR="114300">
            <wp:extent cx="5904230" cy="4196715"/>
            <wp:effectExtent l="0" t="0" r="8890" b="9525"/>
            <wp:docPr id="64" name="图片 64" descr="2汉口转账支票编码（02991228-0299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汉口转账支票编码（02991228-02991250）"/>
                    <pic:cNvPicPr>
                      <a:picLocks noChangeAspect="1"/>
                    </pic:cNvPicPr>
                  </pic:nvPicPr>
                  <pic:blipFill>
                    <a:blip r:embed="rId53"/>
                    <a:stretch>
                      <a:fillRect/>
                    </a:stretch>
                  </pic:blipFill>
                  <pic:spPr>
                    <a:xfrm>
                      <a:off x="0" y="0"/>
                      <a:ext cx="5904230" cy="41967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汉口结算业务委托书（02709949-02709950）</w:t>
      </w:r>
      <w:r>
        <w:rPr>
          <w:rFonts w:hint="default" w:ascii="Arial" w:hAnsi="Arial" w:cs="Arial"/>
          <w:b/>
          <w:sz w:val="24"/>
          <w:lang w:val="en-US" w:eastAsia="zh-CN"/>
        </w:rPr>
        <w:t>（</w:t>
      </w:r>
      <w:r>
        <w:rPr>
          <w:rFonts w:hint="eastAsia" w:ascii="Arial" w:hAnsi="Arial" w:cs="Arial"/>
          <w:b/>
          <w:sz w:val="24"/>
          <w:lang w:val="en-US" w:eastAsia="zh-CN"/>
        </w:rPr>
        <w:t>2</w:t>
      </w:r>
      <w:r>
        <w:rPr>
          <w:rFonts w:hint="default" w:ascii="Arial" w:hAnsi="Arial" w:cs="Arial"/>
          <w:b/>
          <w:sz w:val="24"/>
          <w:lang w:val="en-US" w:eastAsia="zh-CN"/>
        </w:rPr>
        <w:t>份）</w:t>
      </w:r>
      <w:r>
        <w:rPr>
          <w:rFonts w:hint="default" w:ascii="Arial" w:hAnsi="Arial" w:cs="Arial"/>
          <w:b/>
          <w:sz w:val="24"/>
          <w:lang w:val="en-US" w:eastAsia="zh-CN"/>
        </w:rPr>
        <w:drawing>
          <wp:inline distT="0" distB="0" distL="114300" distR="114300">
            <wp:extent cx="5904230" cy="3761740"/>
            <wp:effectExtent l="0" t="0" r="8890" b="2540"/>
            <wp:docPr id="65" name="图片 65" descr="3汉口结算业务委托书编码（02709949-0270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汉口结算业务委托书编码（02709949-02709950）"/>
                    <pic:cNvPicPr>
                      <a:picLocks noChangeAspect="1"/>
                    </pic:cNvPicPr>
                  </pic:nvPicPr>
                  <pic:blipFill>
                    <a:blip r:embed="rId54"/>
                    <a:stretch>
                      <a:fillRect/>
                    </a:stretch>
                  </pic:blipFill>
                  <pic:spPr>
                    <a:xfrm>
                      <a:off x="0" y="0"/>
                      <a:ext cx="5904230" cy="3761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40" w:beforeLines="100" w:line="240" w:lineRule="auto"/>
        <w:jc w:val="center"/>
        <w:textAlignment w:val="auto"/>
        <w:rPr>
          <w:rFonts w:hint="default" w:ascii="Arial" w:hAnsi="Arial" w:cs="Arial"/>
          <w:b/>
          <w:sz w:val="24"/>
          <w:lang w:val="en-US" w:eastAsia="zh-CN"/>
        </w:rPr>
      </w:pPr>
      <w:r>
        <w:rPr>
          <w:rFonts w:hint="eastAsia" w:ascii="Arial" w:hAnsi="Arial" w:cs="Arial"/>
          <w:b/>
          <w:sz w:val="24"/>
          <w:lang w:val="en-US" w:eastAsia="zh-CN"/>
        </w:rPr>
        <w:t>汉口结算业务委托书（02727076-02727100）</w:t>
      </w:r>
      <w:r>
        <w:rPr>
          <w:rFonts w:hint="default" w:ascii="Arial" w:hAnsi="Arial" w:cs="Arial"/>
          <w:b/>
          <w:sz w:val="24"/>
          <w:lang w:val="en-US" w:eastAsia="zh-CN"/>
        </w:rPr>
        <w:t>（</w:t>
      </w:r>
      <w:r>
        <w:rPr>
          <w:rFonts w:hint="eastAsia" w:ascii="Arial" w:hAnsi="Arial" w:cs="Arial"/>
          <w:b/>
          <w:sz w:val="24"/>
          <w:lang w:val="en-US" w:eastAsia="zh-CN"/>
        </w:rPr>
        <w:t>25</w:t>
      </w:r>
      <w:r>
        <w:rPr>
          <w:rFonts w:hint="default" w:ascii="Arial" w:hAnsi="Arial" w:cs="Arial"/>
          <w:b/>
          <w:sz w:val="24"/>
          <w:lang w:val="en-US" w:eastAsia="zh-CN"/>
        </w:rPr>
        <w:t>份）</w:t>
      </w:r>
      <w:r>
        <w:rPr>
          <w:rFonts w:hint="default" w:ascii="Arial" w:hAnsi="Arial" w:cs="Arial"/>
          <w:b/>
          <w:sz w:val="24"/>
          <w:lang w:val="en-US" w:eastAsia="zh-CN"/>
        </w:rPr>
        <w:drawing>
          <wp:inline distT="0" distB="0" distL="114300" distR="114300">
            <wp:extent cx="5903595" cy="4258310"/>
            <wp:effectExtent l="0" t="0" r="9525" b="8890"/>
            <wp:docPr id="67" name="图片 67" descr="4汉口结算业务委托书编码（02727076-0272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汉口结算业务委托书编码（02727076-02727100）"/>
                    <pic:cNvPicPr>
                      <a:picLocks noChangeAspect="1"/>
                    </pic:cNvPicPr>
                  </pic:nvPicPr>
                  <pic:blipFill>
                    <a:blip r:embed="rId55"/>
                    <a:stretch>
                      <a:fillRect/>
                    </a:stretch>
                  </pic:blipFill>
                  <pic:spPr>
                    <a:xfrm>
                      <a:off x="0" y="0"/>
                      <a:ext cx="5903595" cy="4258310"/>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0"/>
        <w:rPr>
          <w:rFonts w:hint="eastAsia" w:ascii="宋体" w:hAnsi="宋体" w:eastAsia="宋体" w:cs="宋体"/>
          <w:sz w:val="24"/>
          <w:szCs w:val="24"/>
          <w:lang w:val="en-US" w:eastAsia="zh-CN"/>
        </w:rPr>
      </w:pPr>
      <w:bookmarkStart w:id="71" w:name="_Toc12064"/>
      <w:r>
        <w:rPr>
          <w:rFonts w:hint="eastAsia" w:ascii="宋体" w:hAnsi="宋体" w:eastAsia="宋体" w:cs="宋体"/>
          <w:sz w:val="24"/>
          <w:szCs w:val="24"/>
          <w:lang w:val="en-US" w:eastAsia="zh-CN"/>
        </w:rPr>
        <w:t>附件三：本期用印登记簿影像</w:t>
      </w:r>
      <w:bookmarkEnd w:id="71"/>
    </w:p>
    <w:p>
      <w:pPr>
        <w:keepNext w:val="0"/>
        <w:keepLines w:val="0"/>
        <w:pageBreakBefore w:val="0"/>
        <w:widowControl w:val="0"/>
        <w:kinsoku/>
        <w:wordWrap/>
        <w:overflowPunct/>
        <w:topLinePunct w:val="0"/>
        <w:autoSpaceDE/>
        <w:autoSpaceDN/>
        <w:bidi w:val="0"/>
        <w:adjustRightInd/>
        <w:snapToGrid/>
        <w:spacing w:before="316" w:beforeLines="100"/>
        <w:jc w:val="center"/>
        <w:textAlignment w:val="auto"/>
        <w:rPr>
          <w:rFonts w:hint="default"/>
          <w:lang w:val="en-US" w:eastAsia="zh-CN"/>
        </w:rPr>
      </w:pPr>
      <w:r>
        <w:rPr>
          <w:rStyle w:val="15"/>
          <w:rFonts w:hint="eastAsia" w:ascii="宋体" w:hAnsi="宋体" w:eastAsia="宋体" w:cs="宋体"/>
          <w:bCs w:val="0"/>
          <w:sz w:val="24"/>
          <w:szCs w:val="24"/>
          <w:lang w:val="en-US" w:eastAsia="zh-CN" w:bidi="ar-SA"/>
        </w:rPr>
        <w:t>渝煌达印章使用登记表</w:t>
      </w:r>
      <w:bookmarkEnd w:id="49"/>
      <w:bookmarkEnd w:id="50"/>
      <w:bookmarkEnd w:id="51"/>
      <w:bookmarkEnd w:id="52"/>
      <w:r>
        <w:rPr>
          <w:rFonts w:hint="default"/>
          <w:lang w:val="en-US" w:eastAsia="zh-CN"/>
        </w:rPr>
        <w:drawing>
          <wp:inline distT="0" distB="0" distL="114300" distR="114300">
            <wp:extent cx="5904230" cy="2165350"/>
            <wp:effectExtent l="0" t="0" r="8890" b="13970"/>
            <wp:docPr id="68" name="图片 68" descr="8643a1594c885ef56b0ed03e7113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8643a1594c885ef56b0ed03e7113fa3"/>
                    <pic:cNvPicPr>
                      <a:picLocks noChangeAspect="1"/>
                    </pic:cNvPicPr>
                  </pic:nvPicPr>
                  <pic:blipFill>
                    <a:blip r:embed="rId56"/>
                    <a:srcRect l="4274" t="45244" r="12951" b="10707"/>
                    <a:stretch>
                      <a:fillRect/>
                    </a:stretch>
                  </pic:blipFill>
                  <pic:spPr>
                    <a:xfrm>
                      <a:off x="0" y="0"/>
                      <a:ext cx="5904230" cy="2165350"/>
                    </a:xfrm>
                    <a:prstGeom prst="rect">
                      <a:avLst/>
                    </a:prstGeom>
                  </pic:spPr>
                </pic:pic>
              </a:graphicData>
            </a:graphic>
          </wp:inline>
        </w:drawing>
      </w:r>
      <w:r>
        <w:rPr>
          <w:rFonts w:hint="default"/>
          <w:lang w:val="en-US" w:eastAsia="zh-CN"/>
        </w:rPr>
        <w:drawing>
          <wp:inline distT="0" distB="0" distL="114300" distR="114300">
            <wp:extent cx="5904230" cy="2786380"/>
            <wp:effectExtent l="0" t="0" r="8890" b="2540"/>
            <wp:docPr id="69" name="图片 69" descr="17278c5cc5b34b195f10e9a7713cce1"/>
            <wp:cNvGraphicFramePr/>
            <a:graphic xmlns:a="http://schemas.openxmlformats.org/drawingml/2006/main">
              <a:graphicData uri="http://schemas.openxmlformats.org/drawingml/2006/picture">
                <pic:pic xmlns:pic="http://schemas.openxmlformats.org/drawingml/2006/picture">
                  <pic:nvPicPr>
                    <pic:cNvPr id="69" name="图片 69" descr="17278c5cc5b34b195f10e9a7713cce1"/>
                    <pic:cNvPicPr/>
                  </pic:nvPicPr>
                  <pic:blipFill>
                    <a:blip r:embed="rId57"/>
                    <a:srcRect l="5310" t="13988" r="12821" b="11225"/>
                    <a:stretch>
                      <a:fillRect/>
                    </a:stretch>
                  </pic:blipFill>
                  <pic:spPr>
                    <a:xfrm>
                      <a:off x="0" y="0"/>
                      <a:ext cx="5904230" cy="2786380"/>
                    </a:xfrm>
                    <a:prstGeom prst="rect">
                      <a:avLst/>
                    </a:prstGeom>
                  </pic:spPr>
                </pic:pic>
              </a:graphicData>
            </a:graphic>
          </wp:inline>
        </w:drawing>
      </w:r>
      <w:r>
        <w:rPr>
          <w:rFonts w:hint="default"/>
          <w:lang w:val="en-US" w:eastAsia="zh-CN"/>
        </w:rPr>
        <w:drawing>
          <wp:inline distT="0" distB="0" distL="114300" distR="114300">
            <wp:extent cx="5904230" cy="3075940"/>
            <wp:effectExtent l="0" t="0" r="8890" b="2540"/>
            <wp:docPr id="70" name="图片 70" descr="052f124f38844500758ff59bf3fd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52f124f38844500758ff59bf3fdc0f"/>
                    <pic:cNvPicPr>
                      <a:picLocks noChangeAspect="1"/>
                    </pic:cNvPicPr>
                  </pic:nvPicPr>
                  <pic:blipFill>
                    <a:blip r:embed="rId58"/>
                    <a:srcRect l="10878" t="16405" r="11008" b="10361"/>
                    <a:stretch>
                      <a:fillRect/>
                    </a:stretch>
                  </pic:blipFill>
                  <pic:spPr>
                    <a:xfrm>
                      <a:off x="0" y="0"/>
                      <a:ext cx="5904230" cy="3075940"/>
                    </a:xfrm>
                    <a:prstGeom prst="rect">
                      <a:avLst/>
                    </a:prstGeom>
                  </pic:spPr>
                </pic:pic>
              </a:graphicData>
            </a:graphic>
          </wp:inline>
        </w:drawing>
      </w:r>
      <w:r>
        <w:rPr>
          <w:rFonts w:hint="default"/>
          <w:lang w:val="en-US" w:eastAsia="zh-CN"/>
        </w:rPr>
        <w:drawing>
          <wp:inline distT="0" distB="0" distL="114300" distR="114300">
            <wp:extent cx="5904230" cy="2560320"/>
            <wp:effectExtent l="0" t="0" r="8890" b="0"/>
            <wp:docPr id="71" name="图片 71" descr="15ab24718c734688020104bb5b8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ab24718c734688020104bb5b82481"/>
                    <pic:cNvPicPr>
                      <a:picLocks noChangeAspect="1"/>
                    </pic:cNvPicPr>
                  </pic:nvPicPr>
                  <pic:blipFill>
                    <a:blip r:embed="rId59"/>
                    <a:srcRect l="2979" t="9325" r="11397" b="23485"/>
                    <a:stretch>
                      <a:fillRect/>
                    </a:stretch>
                  </pic:blipFill>
                  <pic:spPr>
                    <a:xfrm>
                      <a:off x="0" y="0"/>
                      <a:ext cx="5904230" cy="2560320"/>
                    </a:xfrm>
                    <a:prstGeom prst="rect">
                      <a:avLst/>
                    </a:prstGeom>
                  </pic:spPr>
                </pic:pic>
              </a:graphicData>
            </a:graphic>
          </wp:inline>
        </w:drawing>
      </w:r>
      <w:r>
        <w:rPr>
          <w:rFonts w:hint="default"/>
          <w:lang w:val="en-US" w:eastAsia="zh-CN"/>
        </w:rPr>
        <w:drawing>
          <wp:inline distT="0" distB="0" distL="114300" distR="114300">
            <wp:extent cx="2773045" cy="5904230"/>
            <wp:effectExtent l="0" t="0" r="8890" b="635"/>
            <wp:docPr id="72" name="图片 72" descr="15c1bca5360d0fec3ca27a7b70a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5c1bca5360d0fec3ca27a7b70a7945"/>
                    <pic:cNvPicPr>
                      <a:picLocks noChangeAspect="1"/>
                    </pic:cNvPicPr>
                  </pic:nvPicPr>
                  <pic:blipFill>
                    <a:blip r:embed="rId60"/>
                    <a:srcRect l="14101" t="5160" r="8770" b="10577"/>
                    <a:stretch>
                      <a:fillRect/>
                    </a:stretch>
                  </pic:blipFill>
                  <pic:spPr>
                    <a:xfrm rot="16200000">
                      <a:off x="0" y="0"/>
                      <a:ext cx="2773045" cy="5904230"/>
                    </a:xfrm>
                    <a:prstGeom prst="rect">
                      <a:avLst/>
                    </a:prstGeom>
                  </pic:spPr>
                </pic:pic>
              </a:graphicData>
            </a:graphic>
          </wp:inline>
        </w:drawing>
      </w:r>
      <w:r>
        <w:rPr>
          <w:rFonts w:hint="default"/>
          <w:lang w:val="en-US" w:eastAsia="zh-CN"/>
        </w:rPr>
        <w:drawing>
          <wp:inline distT="0" distB="0" distL="114300" distR="114300">
            <wp:extent cx="3218815" cy="5904230"/>
            <wp:effectExtent l="0" t="0" r="8890" b="12065"/>
            <wp:docPr id="73" name="图片 73" descr="88f5b237fb325018acbb18f30e8b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88f5b237fb325018acbb18f30e8bfb9"/>
                    <pic:cNvPicPr>
                      <a:picLocks noChangeAspect="1"/>
                    </pic:cNvPicPr>
                  </pic:nvPicPr>
                  <pic:blipFill>
                    <a:blip r:embed="rId61"/>
                    <a:srcRect l="13414" t="8363" r="11350" b="8620"/>
                    <a:stretch>
                      <a:fillRect/>
                    </a:stretch>
                  </pic:blipFill>
                  <pic:spPr>
                    <a:xfrm rot="16200000">
                      <a:off x="0" y="0"/>
                      <a:ext cx="3218815" cy="5904230"/>
                    </a:xfrm>
                    <a:prstGeom prst="rect">
                      <a:avLst/>
                    </a:prstGeom>
                  </pic:spPr>
                </pic:pic>
              </a:graphicData>
            </a:graphic>
          </wp:inline>
        </w:drawing>
      </w:r>
      <w:r>
        <w:rPr>
          <w:rFonts w:hint="default"/>
          <w:lang w:val="en-US" w:eastAsia="zh-CN"/>
        </w:rPr>
        <w:drawing>
          <wp:inline distT="0" distB="0" distL="114300" distR="114300">
            <wp:extent cx="2859405" cy="5904230"/>
            <wp:effectExtent l="0" t="0" r="8890" b="5715"/>
            <wp:docPr id="74" name="图片 74" descr="5d999d59546ff7711e1be2d0b64f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d999d59546ff7711e1be2d0b64f726"/>
                    <pic:cNvPicPr>
                      <a:picLocks noChangeAspect="1"/>
                    </pic:cNvPicPr>
                  </pic:nvPicPr>
                  <pic:blipFill>
                    <a:blip r:embed="rId62"/>
                    <a:srcRect l="39209" t="5547" r="9802" b="15479"/>
                    <a:stretch>
                      <a:fillRect/>
                    </a:stretch>
                  </pic:blipFill>
                  <pic:spPr>
                    <a:xfrm rot="16200000">
                      <a:off x="0" y="0"/>
                      <a:ext cx="2859405" cy="5904230"/>
                    </a:xfrm>
                    <a:prstGeom prst="rect">
                      <a:avLst/>
                    </a:prstGeom>
                  </pic:spPr>
                </pic:pic>
              </a:graphicData>
            </a:graphic>
          </wp:inline>
        </w:drawing>
      </w:r>
    </w:p>
    <w:sectPr>
      <w:footerReference r:id="rId7" w:type="default"/>
      <w:pgSz w:w="11906" w:h="16838"/>
      <w:pgMar w:top="1843" w:right="1134" w:bottom="1134" w:left="1134" w:header="851" w:footer="850" w:gutter="340"/>
      <w:pgBorders>
        <w:top w:val="none" w:sz="0" w:space="0"/>
        <w:left w:val="none" w:sz="0" w:space="0"/>
        <w:bottom w:val="none" w:sz="0" w:space="0"/>
        <w:right w:val="none" w:sz="0" w:space="0"/>
      </w:pgBorders>
      <w:pgNumType w:fmt="decimal"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8Ko3bc8BAACbAwAADgAAAAAAAAABACAAAAAfAQAAZHJz&#10;L2Uyb0RvYy54bWxQSwUGAAAAAAYABgBZAQAAYAUAAAAA&#10;">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2021年09月监管月报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default" w:ascii="宋体" w:hAnsi="宋体" w:cs="宋体"/>
        <w:lang w:val="en-US" w:eastAsia="zh-CN"/>
      </w:rPr>
    </w:pPr>
    <w:r>
      <w:rPr>
        <w:rFonts w:hint="eastAsia" w:ascii="宋体" w:hAnsi="宋体" w:cs="宋体"/>
        <w:lang w:val="en-US" w:eastAsia="zh-CN"/>
      </w:rPr>
      <w:t>2021年09月监管月报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243087"/>
    <w:multiLevelType w:val="singleLevel"/>
    <w:tmpl w:val="4F24308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C44A6"/>
    <w:rsid w:val="025863EB"/>
    <w:rsid w:val="03FE5F3D"/>
    <w:rsid w:val="04DB523C"/>
    <w:rsid w:val="094D2ABA"/>
    <w:rsid w:val="0A1F063D"/>
    <w:rsid w:val="0A9D7F4B"/>
    <w:rsid w:val="0DBB38ED"/>
    <w:rsid w:val="0E1B0E1B"/>
    <w:rsid w:val="0F570EB2"/>
    <w:rsid w:val="13DF1748"/>
    <w:rsid w:val="1454095F"/>
    <w:rsid w:val="1DE336F7"/>
    <w:rsid w:val="1E116F9F"/>
    <w:rsid w:val="1F1A30C9"/>
    <w:rsid w:val="1FC65398"/>
    <w:rsid w:val="20863564"/>
    <w:rsid w:val="20BB31E7"/>
    <w:rsid w:val="212D5530"/>
    <w:rsid w:val="233E48D1"/>
    <w:rsid w:val="24557A6F"/>
    <w:rsid w:val="25143ED9"/>
    <w:rsid w:val="26DD7613"/>
    <w:rsid w:val="27CE6F14"/>
    <w:rsid w:val="28073173"/>
    <w:rsid w:val="29B548CD"/>
    <w:rsid w:val="2B1A7222"/>
    <w:rsid w:val="2C071ED9"/>
    <w:rsid w:val="2CC80305"/>
    <w:rsid w:val="2E7D3CE5"/>
    <w:rsid w:val="2ED141A8"/>
    <w:rsid w:val="2F110304"/>
    <w:rsid w:val="34DE7C79"/>
    <w:rsid w:val="35DA15A1"/>
    <w:rsid w:val="37B9773F"/>
    <w:rsid w:val="38C557E4"/>
    <w:rsid w:val="3AEA675C"/>
    <w:rsid w:val="3B8D1902"/>
    <w:rsid w:val="3CBF2DCF"/>
    <w:rsid w:val="3DE76CCC"/>
    <w:rsid w:val="3EFA09E0"/>
    <w:rsid w:val="3F8C5BDE"/>
    <w:rsid w:val="43D125FD"/>
    <w:rsid w:val="46D0149B"/>
    <w:rsid w:val="46FC61A5"/>
    <w:rsid w:val="47B04D2E"/>
    <w:rsid w:val="4964306E"/>
    <w:rsid w:val="4A216932"/>
    <w:rsid w:val="4A680161"/>
    <w:rsid w:val="4B3F71C7"/>
    <w:rsid w:val="4D145E9B"/>
    <w:rsid w:val="4FA53E89"/>
    <w:rsid w:val="4FC91F4F"/>
    <w:rsid w:val="507F0224"/>
    <w:rsid w:val="51014E58"/>
    <w:rsid w:val="511A616A"/>
    <w:rsid w:val="51966685"/>
    <w:rsid w:val="54370247"/>
    <w:rsid w:val="551816AC"/>
    <w:rsid w:val="55DC7AEC"/>
    <w:rsid w:val="5738359B"/>
    <w:rsid w:val="5A854F32"/>
    <w:rsid w:val="5AE16FEA"/>
    <w:rsid w:val="5D2E58B4"/>
    <w:rsid w:val="5D327226"/>
    <w:rsid w:val="61AC1622"/>
    <w:rsid w:val="61AF46E0"/>
    <w:rsid w:val="627106E7"/>
    <w:rsid w:val="6287483D"/>
    <w:rsid w:val="656146B7"/>
    <w:rsid w:val="66F50A20"/>
    <w:rsid w:val="67AB67DA"/>
    <w:rsid w:val="6A0D3D29"/>
    <w:rsid w:val="6B773FD6"/>
    <w:rsid w:val="6C852771"/>
    <w:rsid w:val="6DA44676"/>
    <w:rsid w:val="6F273CBC"/>
    <w:rsid w:val="6F4A0583"/>
    <w:rsid w:val="77AB2DEE"/>
    <w:rsid w:val="788415A2"/>
    <w:rsid w:val="7AEB3257"/>
    <w:rsid w:val="7B2C495D"/>
    <w:rsid w:val="7C7C3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character" w:default="1" w:styleId="11">
    <w:name w:val="Default Paragraph Font"/>
    <w:qFormat/>
    <w:uiPriority w:val="0"/>
  </w:style>
  <w:style w:type="table" w:default="1" w:styleId="9">
    <w:name w:val="Normal Table"/>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qFormat/>
    <w:uiPriority w:val="39"/>
    <w:pPr>
      <w:widowControl/>
      <w:tabs>
        <w:tab w:val="right" w:leader="dot" w:pos="8302"/>
      </w:tabs>
      <w:spacing w:after="100" w:line="300" w:lineRule="exact"/>
      <w:ind w:left="221"/>
      <w:jc w:val="left"/>
    </w:pPr>
    <w:rPr>
      <w:rFonts w:ascii="Calibri" w:hAnsi="Calibri" w:eastAsia="宋体" w:cs="Times New Roman"/>
      <w:kern w:val="0"/>
      <w:sz w:val="22"/>
      <w:szCs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99"/>
    <w:rPr>
      <w:color w:val="333333"/>
      <w:u w:val="none"/>
    </w:rPr>
  </w:style>
  <w:style w:type="paragraph" w:customStyle="1" w:styleId="13">
    <w:name w:val="WPSOffice手动目录 1"/>
    <w:qFormat/>
    <w:uiPriority w:val="0"/>
    <w:pPr>
      <w:ind w:leftChars="0"/>
    </w:pPr>
    <w:rPr>
      <w:rFonts w:ascii="Calibri" w:hAnsi="Calibri" w:eastAsia="宋体" w:cs="Times New Roman"/>
      <w:sz w:val="20"/>
      <w:szCs w:val="20"/>
    </w:rPr>
  </w:style>
  <w:style w:type="paragraph" w:customStyle="1" w:styleId="14">
    <w:name w:val="WPSOffice手动目录 2"/>
    <w:qFormat/>
    <w:uiPriority w:val="0"/>
    <w:pPr>
      <w:ind w:leftChars="200"/>
    </w:pPr>
    <w:rPr>
      <w:rFonts w:ascii="Calibri" w:hAnsi="Calibri" w:eastAsia="宋体" w:cs="Times New Roman"/>
      <w:sz w:val="20"/>
      <w:szCs w:val="20"/>
    </w:rPr>
  </w:style>
  <w:style w:type="character" w:customStyle="1" w:styleId="15">
    <w:name w:val="标题 1 字符1"/>
    <w:qFormat/>
    <w:uiPriority w:val="9"/>
    <w:rPr>
      <w:rFonts w:ascii="Times New Roman" w:hAnsi="Times New Roman" w:eastAsia="仿宋_GB2312"/>
      <w:b/>
      <w:kern w:val="44"/>
      <w:sz w:val="32"/>
      <w:szCs w:val="22"/>
    </w:rPr>
  </w:style>
  <w:style w:type="character" w:customStyle="1" w:styleId="16">
    <w:name w:val="font11"/>
    <w:basedOn w:val="11"/>
    <w:qFormat/>
    <w:uiPriority w:val="0"/>
    <w:rPr>
      <w:rFonts w:hint="eastAsia" w:ascii="宋体" w:hAnsi="宋体" w:eastAsia="宋体" w:cs="宋体"/>
      <w:color w:val="000000"/>
      <w:sz w:val="22"/>
      <w:szCs w:val="22"/>
      <w:u w:val="none"/>
    </w:rPr>
  </w:style>
  <w:style w:type="character" w:customStyle="1" w:styleId="17">
    <w:name w:val="font01"/>
    <w:basedOn w:val="11"/>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customXml" Target="../customXml/item3.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384cd9-a948-494d-8cbb-8904e7027724}">
  <ds:schemaRefs/>
</ds:datastoreItem>
</file>

<file path=customXml/itemProps3.xml><?xml version="1.0" encoding="utf-8"?>
<ds:datastoreItem xmlns:ds="http://schemas.openxmlformats.org/officeDocument/2006/customXml" ds:itemID="{a6f109c7-d8ca-42bd-b81a-20f16713c7fc}">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21505</Words>
  <Characters>32624</Characters>
  <Paragraphs>3389</Paragraphs>
  <TotalTime>15</TotalTime>
  <ScaleCrop>false</ScaleCrop>
  <LinksUpToDate>false</LinksUpToDate>
  <CharactersWithSpaces>33203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2020-12-08T02:31:00Z</dcterms:created>
  <dc:creator>吃好喝好</dc:creator>
  <cp:lastModifiedBy>吃好喝好</cp:lastModifiedBy>
  <dcterms:modified xsi:type="dcterms:W3CDTF">2021-10-10T06:01:07Z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CC5E0579665D4AEEBF180760B006B9E5</vt:lpwstr>
  </property>
</Properties>
</file>