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cs="Arial"/>
          <w:b/>
          <w:bCs/>
          <w:sz w:val="36"/>
          <w:szCs w:val="36"/>
        </w:rPr>
      </w:pPr>
    </w:p>
    <w:p>
      <w:pPr>
        <w:spacing w:line="360" w:lineRule="auto"/>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r>
        <w:rPr>
          <w:rFonts w:hint="eastAsia" w:ascii="Arial" w:hAnsi="Arial" w:cs="Arial"/>
          <w:b/>
          <w:bCs/>
          <w:sz w:val="36"/>
          <w:szCs w:val="36"/>
        </w:rPr>
        <w:t>光信·光坤·新安</w:t>
      </w:r>
      <w:r>
        <w:rPr>
          <w:rFonts w:ascii="Arial" w:hAnsi="Arial" w:cs="Arial"/>
          <w:b/>
          <w:bCs/>
          <w:sz w:val="36"/>
          <w:szCs w:val="36"/>
        </w:rPr>
        <w:t>21号集合资金信托计划</w:t>
      </w:r>
    </w:p>
    <w:p>
      <w:pPr>
        <w:spacing w:line="480" w:lineRule="auto"/>
        <w:jc w:val="center"/>
        <w:rPr>
          <w:rFonts w:ascii="Arial" w:hAnsi="Arial" w:cs="Arial"/>
          <w:b/>
          <w:bCs/>
          <w:sz w:val="36"/>
          <w:szCs w:val="36"/>
        </w:rPr>
      </w:pPr>
      <w:r>
        <w:rPr>
          <w:rFonts w:ascii="Arial" w:hAnsi="Arial" w:cs="Arial"/>
          <w:b/>
          <w:bCs/>
          <w:sz w:val="36"/>
          <w:szCs w:val="36"/>
        </w:rPr>
        <w:t>（</w:t>
      </w:r>
      <w:r>
        <w:rPr>
          <w:rFonts w:hint="eastAsia" w:ascii="Arial" w:hAnsi="Arial" w:cs="Arial"/>
          <w:b/>
          <w:bCs/>
          <w:sz w:val="36"/>
          <w:szCs w:val="36"/>
        </w:rPr>
        <w:t>光大</w:t>
      </w:r>
      <w:r>
        <w:rPr>
          <w:rFonts w:ascii="Arial" w:hAnsi="Arial" w:cs="Arial"/>
          <w:b/>
          <w:bCs/>
          <w:sz w:val="36"/>
          <w:szCs w:val="36"/>
        </w:rPr>
        <w:t>信托·</w:t>
      </w:r>
      <w:r>
        <w:rPr>
          <w:rFonts w:hint="eastAsia" w:ascii="Arial" w:hAnsi="Arial" w:cs="Arial"/>
          <w:b/>
          <w:bCs/>
          <w:sz w:val="36"/>
          <w:szCs w:val="36"/>
        </w:rPr>
        <w:t>重庆恒大锦城项目</w:t>
      </w:r>
      <w:r>
        <w:rPr>
          <w:rFonts w:ascii="Arial" w:hAnsi="Arial" w:cs="Arial"/>
          <w:b/>
          <w:bCs/>
          <w:sz w:val="36"/>
          <w:szCs w:val="36"/>
        </w:rPr>
        <w:t>）</w:t>
      </w:r>
    </w:p>
    <w:p>
      <w:pPr>
        <w:spacing w:line="480" w:lineRule="auto"/>
        <w:jc w:val="center"/>
        <w:rPr>
          <w:rFonts w:ascii="Arial" w:hAnsi="Arial" w:cs="Arial"/>
          <w:b/>
          <w:bCs/>
        </w:rPr>
      </w:pPr>
    </w:p>
    <w:p>
      <w:pPr>
        <w:spacing w:line="500" w:lineRule="exact"/>
        <w:jc w:val="center"/>
        <w:rPr>
          <w:rFonts w:ascii="Arial" w:hAnsi="Arial" w:cs="Arial"/>
        </w:rPr>
      </w:pPr>
    </w:p>
    <w:p>
      <w:pPr>
        <w:spacing w:line="500" w:lineRule="exact"/>
        <w:jc w:val="center"/>
        <w:rPr>
          <w:rFonts w:ascii="Arial" w:hAnsi="Arial" w:cs="Arial"/>
        </w:rPr>
      </w:pPr>
    </w:p>
    <w:p>
      <w:pPr>
        <w:spacing w:line="500" w:lineRule="exact"/>
        <w:jc w:val="center"/>
        <w:rPr>
          <w:rFonts w:ascii="Arial" w:hAnsi="Arial" w:cs="Arial"/>
        </w:rPr>
      </w:pPr>
    </w:p>
    <w:p>
      <w:pPr>
        <w:spacing w:line="480" w:lineRule="auto"/>
        <w:rPr>
          <w:rFonts w:ascii="Arial" w:hAnsi="Arial" w:cs="Arial"/>
          <w:b/>
          <w:bCs/>
          <w:sz w:val="21"/>
          <w:szCs w:val="21"/>
        </w:rPr>
      </w:pPr>
      <w:r>
        <w:rPr>
          <w:rFonts w:hint="eastAsia" w:ascii="Arial" w:hAnsi="Arial" w:cs="Arial"/>
          <w:b/>
          <w:bCs/>
          <w:sz w:val="21"/>
          <w:szCs w:val="21"/>
        </w:rPr>
        <w:t>项目名称</w:t>
      </w:r>
      <w:r>
        <w:rPr>
          <w:rFonts w:ascii="Arial" w:hAnsi="Arial" w:cs="Arial"/>
          <w:b/>
          <w:bCs/>
          <w:sz w:val="21"/>
          <w:szCs w:val="21"/>
        </w:rPr>
        <w:t>：</w:t>
      </w:r>
      <w:r>
        <w:rPr>
          <w:rFonts w:hint="eastAsia" w:ascii="Arial" w:hAnsi="Arial" w:cs="Arial"/>
          <w:b/>
          <w:bCs/>
          <w:sz w:val="21"/>
          <w:szCs w:val="21"/>
        </w:rPr>
        <w:t>光信·光坤·新安21号集合资金信托计划</w:t>
      </w:r>
    </w:p>
    <w:p>
      <w:pPr>
        <w:spacing w:line="480" w:lineRule="auto"/>
        <w:rPr>
          <w:rFonts w:ascii="Arial" w:hAnsi="Arial" w:cs="Arial"/>
          <w:b/>
          <w:bCs/>
          <w:sz w:val="21"/>
          <w:szCs w:val="21"/>
        </w:rPr>
      </w:pPr>
      <w:r>
        <w:rPr>
          <w:rFonts w:hint="eastAsia" w:ascii="Arial" w:hAnsi="Arial" w:cs="Arial"/>
          <w:b/>
          <w:bCs/>
          <w:sz w:val="21"/>
          <w:szCs w:val="21"/>
        </w:rPr>
        <w:t>委托方</w:t>
      </w:r>
      <w:r>
        <w:rPr>
          <w:rFonts w:ascii="Arial" w:hAnsi="Arial" w:cs="Arial"/>
          <w:b/>
          <w:bCs/>
          <w:sz w:val="21"/>
          <w:szCs w:val="21"/>
        </w:rPr>
        <w:t>：</w:t>
      </w:r>
      <w:r>
        <w:rPr>
          <w:rFonts w:hint="eastAsia" w:ascii="Arial" w:hAnsi="Arial" w:cs="Arial"/>
          <w:b/>
          <w:bCs/>
          <w:sz w:val="21"/>
          <w:szCs w:val="21"/>
        </w:rPr>
        <w:t>光大兴陇信托有限责任公司</w:t>
      </w:r>
    </w:p>
    <w:p>
      <w:pPr>
        <w:spacing w:line="480" w:lineRule="auto"/>
        <w:rPr>
          <w:rFonts w:ascii="Arial" w:hAnsi="Arial" w:cs="Arial"/>
          <w:b/>
          <w:bCs/>
          <w:sz w:val="21"/>
          <w:szCs w:val="21"/>
        </w:rPr>
      </w:pPr>
      <w:r>
        <w:rPr>
          <w:rFonts w:ascii="Arial" w:hAnsi="Arial" w:cs="Arial"/>
          <w:b/>
          <w:color w:val="000000"/>
          <w:sz w:val="21"/>
          <w:szCs w:val="21"/>
        </w:rPr>
        <w:t>受托方：</w:t>
      </w:r>
      <w:r>
        <w:rPr>
          <w:rFonts w:ascii="Arial" w:hAnsi="Arial" w:cs="Arial"/>
          <w:b/>
          <w:sz w:val="21"/>
          <w:szCs w:val="21"/>
        </w:rPr>
        <w:t>北京康信君安资产管理有限公司</w:t>
      </w:r>
    </w:p>
    <w:p>
      <w:pPr>
        <w:spacing w:line="480" w:lineRule="auto"/>
        <w:rPr>
          <w:rFonts w:ascii="Arial" w:hAnsi="Arial" w:cs="Arial"/>
          <w:b/>
          <w:bCs/>
          <w:sz w:val="21"/>
          <w:szCs w:val="21"/>
        </w:rPr>
      </w:pPr>
      <w:r>
        <w:rPr>
          <w:rFonts w:hint="eastAsia" w:ascii="Arial" w:hAnsi="Arial" w:cs="Arial"/>
          <w:b/>
          <w:bCs/>
          <w:sz w:val="21"/>
          <w:szCs w:val="21"/>
        </w:rPr>
        <w:t>监管人员：刘进</w:t>
      </w:r>
    </w:p>
    <w:p>
      <w:pPr>
        <w:spacing w:line="480" w:lineRule="auto"/>
        <w:rPr>
          <w:rFonts w:ascii="Arial" w:hAnsi="Arial" w:cs="Arial"/>
          <w:sz w:val="21"/>
          <w:szCs w:val="21"/>
        </w:rPr>
      </w:pPr>
      <w:r>
        <w:rPr>
          <w:rFonts w:ascii="Arial" w:hAnsi="Arial" w:cs="Arial"/>
          <w:b/>
          <w:color w:val="000000"/>
          <w:sz w:val="21"/>
          <w:szCs w:val="21"/>
        </w:rPr>
        <w:t>日期：二</w:t>
      </w:r>
      <w:r>
        <w:rPr>
          <w:rFonts w:hint="eastAsia" w:ascii="Arial" w:hAnsi="Arial" w:cs="Arial"/>
          <w:b/>
          <w:color w:val="000000"/>
          <w:sz w:val="21"/>
          <w:szCs w:val="21"/>
        </w:rPr>
        <w:t>〇</w:t>
      </w:r>
      <w:r>
        <w:rPr>
          <w:rFonts w:ascii="Arial" w:hAnsi="Arial" w:cs="Arial"/>
          <w:b/>
          <w:color w:val="000000"/>
          <w:sz w:val="21"/>
          <w:szCs w:val="21"/>
        </w:rPr>
        <w:t>二</w:t>
      </w:r>
      <w:r>
        <w:rPr>
          <w:rFonts w:hint="eastAsia" w:ascii="Arial" w:hAnsi="Arial" w:cs="Arial"/>
          <w:b/>
          <w:color w:val="000000"/>
          <w:sz w:val="21"/>
          <w:szCs w:val="21"/>
        </w:rPr>
        <w:t>一</w:t>
      </w:r>
      <w:r>
        <w:rPr>
          <w:rFonts w:ascii="Arial" w:hAnsi="Arial" w:cs="Arial"/>
          <w:b/>
          <w:color w:val="000000"/>
          <w:sz w:val="21"/>
          <w:szCs w:val="21"/>
        </w:rPr>
        <w:t>年</w:t>
      </w:r>
      <w:r>
        <w:rPr>
          <w:rFonts w:hint="eastAsia" w:ascii="Arial" w:hAnsi="Arial" w:cs="Arial"/>
          <w:b/>
          <w:color w:val="000000"/>
          <w:sz w:val="21"/>
          <w:szCs w:val="21"/>
        </w:rPr>
        <w:t>五</w:t>
      </w:r>
      <w:r>
        <w:rPr>
          <w:rFonts w:ascii="Arial" w:hAnsi="Arial" w:cs="Arial"/>
          <w:b/>
          <w:color w:val="000000"/>
          <w:sz w:val="21"/>
          <w:szCs w:val="21"/>
        </w:rPr>
        <w:t>月</w:t>
      </w:r>
      <w:r>
        <w:rPr>
          <w:rFonts w:hint="eastAsia" w:ascii="Arial" w:hAnsi="Arial" w:cs="Arial"/>
          <w:b/>
          <w:color w:val="000000"/>
          <w:sz w:val="21"/>
          <w:szCs w:val="21"/>
        </w:rPr>
        <w:t>六</w:t>
      </w:r>
      <w:r>
        <w:rPr>
          <w:rFonts w:ascii="Arial" w:hAnsi="Arial" w:cs="Arial"/>
          <w:b/>
          <w:color w:val="000000"/>
          <w:sz w:val="21"/>
          <w:szCs w:val="21"/>
        </w:rPr>
        <w:t>日</w:t>
      </w:r>
    </w:p>
    <w:sdt>
      <w:sdtPr>
        <w:rPr>
          <w:b/>
          <w:bCs/>
          <w:sz w:val="28"/>
          <w:szCs w:val="28"/>
        </w:rPr>
        <w:id w:val="147477929"/>
        <w:docPartObj>
          <w:docPartGallery w:val="Table of Contents"/>
          <w:docPartUnique/>
        </w:docPartObj>
      </w:sdtPr>
      <w:sdtEndPr>
        <w:rPr>
          <w:b/>
          <w:bCs/>
          <w:sz w:val="28"/>
          <w:szCs w:val="28"/>
        </w:rPr>
      </w:sdtEndPr>
      <w:sdtContent>
        <w:p>
          <w:pPr>
            <w:jc w:val="center"/>
            <w:rPr>
              <w:b/>
              <w:bCs/>
              <w:sz w:val="28"/>
              <w:szCs w:val="28"/>
            </w:rPr>
          </w:pPr>
        </w:p>
        <w:p>
          <w:pPr>
            <w:jc w:val="center"/>
            <w:rPr>
              <w:b/>
              <w:bCs/>
              <w:sz w:val="28"/>
              <w:szCs w:val="28"/>
            </w:rPr>
          </w:pPr>
        </w:p>
        <w:p>
          <w:pPr>
            <w:spacing w:line="360" w:lineRule="auto"/>
            <w:jc w:val="center"/>
            <w:rPr>
              <w:b/>
              <w:bCs/>
              <w:sz w:val="28"/>
              <w:szCs w:val="28"/>
            </w:rPr>
          </w:pPr>
          <w:r>
            <w:rPr>
              <w:b/>
              <w:bCs/>
              <w:sz w:val="28"/>
              <w:szCs w:val="28"/>
            </w:rPr>
            <w:t>目录</w:t>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TOC \o "1-2" \h \u </w:instrText>
          </w:r>
          <w:r>
            <w:fldChar w:fldCharType="separate"/>
          </w:r>
          <w:r>
            <w:fldChar w:fldCharType="begin"/>
          </w:r>
          <w:r>
            <w:instrText xml:space="preserve"> HYPERLINK \l "_Toc31850" </w:instrText>
          </w:r>
          <w:r>
            <w:fldChar w:fldCharType="separate"/>
          </w:r>
          <w:r>
            <w:rPr>
              <w:rFonts w:ascii="Arial" w:hAnsi="Arial" w:eastAsia="宋体" w:cs="Arial"/>
              <w:sz w:val="21"/>
              <w:szCs w:val="21"/>
            </w:rPr>
            <w:t>一、项目进展情况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_Toc31850 </w:instrText>
          </w:r>
          <w:r>
            <w:rPr>
              <w:rFonts w:ascii="Arial" w:hAnsi="Arial" w:eastAsia="宋体" w:cs="Arial"/>
              <w:sz w:val="21"/>
              <w:szCs w:val="21"/>
            </w:rPr>
            <w:fldChar w:fldCharType="separate"/>
          </w:r>
          <w:r>
            <w:rPr>
              <w:rFonts w:ascii="Arial" w:hAnsi="Arial" w:eastAsia="宋体" w:cs="Arial"/>
              <w:sz w:val="21"/>
              <w:szCs w:val="21"/>
            </w:rPr>
            <w:t>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"_Toc28523" </w:instrText>
          </w:r>
          <w:r>
            <w:fldChar w:fldCharType="separate"/>
          </w:r>
          <w:r>
            <w:rPr>
              <w:rFonts w:ascii="Arial" w:hAnsi="Arial" w:eastAsia="宋体" w:cs="Arial"/>
              <w:sz w:val="21"/>
              <w:szCs w:val="21"/>
            </w:rPr>
            <w:t>1、报建情况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_Toc28523 </w:instrText>
          </w:r>
          <w:r>
            <w:rPr>
              <w:rFonts w:ascii="Arial" w:hAnsi="Arial" w:eastAsia="宋体" w:cs="Arial"/>
              <w:sz w:val="21"/>
              <w:szCs w:val="21"/>
            </w:rPr>
            <w:fldChar w:fldCharType="separate"/>
          </w:r>
          <w:r>
            <w:rPr>
              <w:rFonts w:ascii="Arial" w:hAnsi="Arial" w:eastAsia="宋体" w:cs="Arial"/>
              <w:sz w:val="21"/>
              <w:szCs w:val="21"/>
            </w:rPr>
            <w:t>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"_Toc25052" </w:instrText>
          </w:r>
          <w:r>
            <w:fldChar w:fldCharType="separate"/>
          </w:r>
          <w:r>
            <w:rPr>
              <w:rFonts w:ascii="Arial" w:hAnsi="Arial" w:eastAsia="宋体" w:cs="Arial"/>
              <w:sz w:val="21"/>
              <w:szCs w:val="21"/>
            </w:rPr>
            <w:t>2、营销情况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_Toc25052 </w:instrText>
          </w:r>
          <w:r>
            <w:rPr>
              <w:rFonts w:ascii="Arial" w:hAnsi="Arial" w:eastAsia="宋体" w:cs="Arial"/>
              <w:sz w:val="21"/>
              <w:szCs w:val="21"/>
            </w:rPr>
            <w:fldChar w:fldCharType="separate"/>
          </w:r>
          <w:r>
            <w:rPr>
              <w:rFonts w:ascii="Arial" w:hAnsi="Arial" w:eastAsia="宋体" w:cs="Arial"/>
              <w:sz w:val="21"/>
              <w:szCs w:val="21"/>
            </w:rPr>
            <w:t>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"_Toc22047" </w:instrText>
          </w:r>
          <w:r>
            <w:fldChar w:fldCharType="separate"/>
          </w:r>
          <w:r>
            <w:rPr>
              <w:rFonts w:ascii="Arial" w:hAnsi="Arial" w:eastAsia="宋体" w:cs="Arial"/>
              <w:sz w:val="21"/>
              <w:szCs w:val="21"/>
            </w:rPr>
            <w:t>3、项目开发进展情况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_Toc22047 </w:instrText>
          </w:r>
          <w:r>
            <w:rPr>
              <w:rFonts w:ascii="Arial" w:hAnsi="Arial" w:eastAsia="宋体" w:cs="Arial"/>
              <w:sz w:val="21"/>
              <w:szCs w:val="21"/>
            </w:rPr>
            <w:fldChar w:fldCharType="separate"/>
          </w:r>
          <w:r>
            <w:rPr>
              <w:rFonts w:ascii="Arial" w:hAnsi="Arial" w:eastAsia="宋体" w:cs="Arial"/>
              <w:sz w:val="21"/>
              <w:szCs w:val="21"/>
            </w:rPr>
            <w:t>9</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"_Toc19646" </w:instrText>
          </w:r>
          <w:r>
            <w:fldChar w:fldCharType="separate"/>
          </w:r>
          <w:r>
            <w:rPr>
              <w:rFonts w:ascii="Arial" w:hAnsi="Arial" w:eastAsia="宋体" w:cs="Arial"/>
              <w:sz w:val="21"/>
              <w:szCs w:val="21"/>
            </w:rPr>
            <w:t>4、资金使用情况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_Toc19646 </w:instrText>
          </w:r>
          <w:r>
            <w:rPr>
              <w:rFonts w:ascii="Arial" w:hAnsi="Arial" w:eastAsia="宋体" w:cs="Arial"/>
              <w:sz w:val="21"/>
              <w:szCs w:val="21"/>
            </w:rPr>
            <w:fldChar w:fldCharType="separate"/>
          </w:r>
          <w:r>
            <w:rPr>
              <w:rFonts w:ascii="Arial" w:hAnsi="Arial" w:eastAsia="宋体" w:cs="Arial"/>
              <w:sz w:val="21"/>
              <w:szCs w:val="21"/>
            </w:rPr>
            <w:t>12</w:t>
          </w:r>
          <w:r>
            <w:rPr>
              <w:rFonts w:ascii="Arial" w:hAnsi="Arial" w:eastAsia="宋体" w:cs="Arial"/>
              <w:sz w:val="21"/>
              <w:szCs w:val="21"/>
            </w:rPr>
            <w:fldChar w:fldCharType="end"/>
          </w:r>
          <w:r>
            <w:rPr>
              <w:rFonts w:ascii="Arial" w:hAnsi="Arial" w:eastAsia="宋体" w:cs="Arial"/>
              <w:sz w:val="21"/>
              <w:szCs w:val="21"/>
            </w:rPr>
            <w:fldChar w:fldCharType="end"/>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 HYPERLINK \l "_Toc3095" </w:instrText>
          </w:r>
          <w:r>
            <w:fldChar w:fldCharType="separate"/>
          </w:r>
          <w:r>
            <w:rPr>
              <w:rFonts w:ascii="Arial" w:hAnsi="Arial" w:eastAsia="宋体" w:cs="Arial"/>
              <w:sz w:val="21"/>
              <w:szCs w:val="21"/>
            </w:rPr>
            <w:t>二、项目评价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_Toc3095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"_Toc19482" </w:instrText>
          </w:r>
          <w:r>
            <w:fldChar w:fldCharType="separate"/>
          </w:r>
          <w:r>
            <w:rPr>
              <w:rFonts w:ascii="Arial" w:hAnsi="Arial" w:eastAsia="宋体" w:cs="Arial"/>
              <w:sz w:val="21"/>
              <w:szCs w:val="21"/>
            </w:rPr>
            <w:t>1、报建评价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_Toc19482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"_Toc6873" </w:instrText>
          </w:r>
          <w:r>
            <w:fldChar w:fldCharType="separate"/>
          </w:r>
          <w:r>
            <w:rPr>
              <w:rFonts w:ascii="Arial" w:hAnsi="Arial" w:eastAsia="宋体" w:cs="Arial"/>
              <w:sz w:val="21"/>
              <w:szCs w:val="21"/>
            </w:rPr>
            <w:t>2、营销评价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_Toc6873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"_Toc10103" </w:instrText>
          </w:r>
          <w:r>
            <w:fldChar w:fldCharType="separate"/>
          </w:r>
          <w:r>
            <w:rPr>
              <w:rFonts w:ascii="Arial" w:hAnsi="Arial" w:eastAsia="宋体" w:cs="Arial"/>
              <w:sz w:val="21"/>
              <w:szCs w:val="21"/>
            </w:rPr>
            <w:t>3、开发建设评价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_Toc10103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 HYPERLINK \l "_Toc26496" </w:instrText>
          </w:r>
          <w:r>
            <w:fldChar w:fldCharType="separate"/>
          </w:r>
          <w:r>
            <w:rPr>
              <w:rFonts w:ascii="Arial" w:hAnsi="Arial" w:eastAsia="宋体" w:cs="Arial"/>
              <w:sz w:val="21"/>
              <w:szCs w:val="21"/>
            </w:rPr>
            <w:t>三、附件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_Toc26496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"_Toc17514" </w:instrText>
          </w:r>
          <w:r>
            <w:fldChar w:fldCharType="separate"/>
          </w:r>
          <w:r>
            <w:rPr>
              <w:rFonts w:ascii="Arial" w:hAnsi="Arial" w:eastAsia="宋体" w:cs="Arial"/>
              <w:sz w:val="21"/>
              <w:szCs w:val="21"/>
            </w:rPr>
            <w:t>附件一：本期用印情况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_Toc17514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"_Toc10894" </w:instrText>
          </w:r>
          <w:r>
            <w:fldChar w:fldCharType="separate"/>
          </w:r>
          <w:r>
            <w:rPr>
              <w:rFonts w:ascii="Arial" w:hAnsi="Arial" w:eastAsia="宋体" w:cs="Arial"/>
              <w:sz w:val="21"/>
              <w:szCs w:val="21"/>
            </w:rPr>
            <w:t>附件二：章证照使用登记情况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_Toc10894 </w:instrText>
          </w:r>
          <w:r>
            <w:rPr>
              <w:rFonts w:ascii="Arial" w:hAnsi="Arial" w:eastAsia="宋体" w:cs="Arial"/>
              <w:sz w:val="21"/>
              <w:szCs w:val="21"/>
            </w:rPr>
            <w:fldChar w:fldCharType="separate"/>
          </w:r>
          <w:r>
            <w:rPr>
              <w:rFonts w:ascii="Arial" w:hAnsi="Arial" w:eastAsia="宋体" w:cs="Arial"/>
              <w:sz w:val="21"/>
              <w:szCs w:val="21"/>
            </w:rPr>
            <w:t>21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"_Toc17832" </w:instrText>
          </w:r>
          <w:r>
            <w:fldChar w:fldCharType="separate"/>
          </w:r>
          <w:r>
            <w:rPr>
              <w:rFonts w:ascii="Arial" w:hAnsi="Arial" w:eastAsia="宋体" w:cs="Arial"/>
              <w:sz w:val="21"/>
              <w:szCs w:val="21"/>
            </w:rPr>
            <w:t>附件三：本期资金支出情况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_Toc17832 </w:instrText>
          </w:r>
          <w:r>
            <w:rPr>
              <w:rFonts w:ascii="Arial" w:hAnsi="Arial" w:eastAsia="宋体" w:cs="Arial"/>
              <w:sz w:val="21"/>
              <w:szCs w:val="21"/>
            </w:rPr>
            <w:fldChar w:fldCharType="separate"/>
          </w:r>
          <w:r>
            <w:rPr>
              <w:rFonts w:ascii="Arial" w:hAnsi="Arial" w:eastAsia="宋体" w:cs="Arial"/>
              <w:sz w:val="21"/>
              <w:szCs w:val="21"/>
            </w:rPr>
            <w:t>25</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"_Toc32568" </w:instrText>
          </w:r>
          <w:r>
            <w:fldChar w:fldCharType="separate"/>
          </w:r>
          <w:r>
            <w:rPr>
              <w:rFonts w:ascii="Arial" w:hAnsi="Arial" w:eastAsia="宋体" w:cs="Arial"/>
              <w:sz w:val="21"/>
              <w:szCs w:val="21"/>
            </w:rPr>
            <w:t>附件四：本期合同签订情况</w:t>
          </w:r>
          <w:r>
            <w:rPr>
              <w:rFonts w:ascii="Arial" w:hAnsi="Arial" w:eastAsia="宋体" w:cs="Arial"/>
              <w:sz w:val="21"/>
              <w:szCs w:val="21"/>
            </w:rPr>
            <w:tab/>
          </w:r>
          <w:r>
            <w:rPr>
              <w:rFonts w:hint="eastAsia" w:ascii="Arial" w:hAnsi="Arial" w:eastAsia="宋体" w:cs="Arial"/>
              <w:sz w:val="21"/>
              <w:szCs w:val="21"/>
            </w:rPr>
            <w:t>2</w:t>
          </w:r>
          <w:r>
            <w:rPr>
              <w:rFonts w:hint="eastAsia" w:ascii="Arial" w:hAnsi="Arial" w:eastAsia="宋体" w:cs="Arial"/>
              <w:sz w:val="21"/>
              <w:szCs w:val="21"/>
            </w:rPr>
            <w:fldChar w:fldCharType="end"/>
          </w:r>
          <w:r>
            <w:rPr>
              <w:rFonts w:hint="eastAsia" w:ascii="Arial" w:hAnsi="Arial" w:eastAsia="宋体" w:cs="Arial"/>
              <w:sz w:val="21"/>
              <w:szCs w:val="21"/>
            </w:rPr>
            <w:t>7</w:t>
          </w:r>
        </w:p>
        <w:p>
          <w:pPr>
            <w:pStyle w:val="13"/>
            <w:tabs>
              <w:tab w:val="right" w:leader="dot" w:pos="9638"/>
              <w:tab w:val="clear" w:pos="8364"/>
            </w:tabs>
            <w:adjustRightInd w:val="0"/>
            <w:snapToGrid w:val="0"/>
            <w:rPr>
              <w:rFonts w:ascii="Arial" w:hAnsi="Arial" w:cs="Arial"/>
            </w:rPr>
          </w:pPr>
          <w:r>
            <w:fldChar w:fldCharType="begin"/>
          </w:r>
          <w:r>
            <w:instrText xml:space="preserve"> HYPERLINK \l "_Toc6047" </w:instrText>
          </w:r>
          <w:r>
            <w:fldChar w:fldCharType="separate"/>
          </w:r>
          <w:r>
            <w:rPr>
              <w:rFonts w:ascii="Arial" w:hAnsi="Arial" w:eastAsia="宋体" w:cs="Arial"/>
              <w:sz w:val="21"/>
              <w:szCs w:val="21"/>
            </w:rPr>
            <w:t>附件五：项目公司账户余额情况</w:t>
          </w:r>
          <w:r>
            <w:rPr>
              <w:rFonts w:hint="eastAsia" w:ascii="Arial" w:hAnsi="Arial" w:eastAsia="宋体" w:cs="Arial"/>
              <w:sz w:val="21"/>
              <w:szCs w:val="21"/>
            </w:rPr>
            <w:t>及余额截图</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_Toc6047 </w:instrText>
          </w:r>
          <w:r>
            <w:rPr>
              <w:rFonts w:ascii="Arial" w:hAnsi="Arial" w:eastAsia="宋体" w:cs="Arial"/>
              <w:sz w:val="21"/>
              <w:szCs w:val="21"/>
            </w:rPr>
            <w:fldChar w:fldCharType="separate"/>
          </w:r>
          <w:r>
            <w:rPr>
              <w:rFonts w:ascii="Arial" w:hAnsi="Arial" w:eastAsia="宋体" w:cs="Arial"/>
              <w:sz w:val="21"/>
              <w:szCs w:val="21"/>
            </w:rPr>
            <w:t>34</w:t>
          </w:r>
          <w:r>
            <w:rPr>
              <w:rFonts w:ascii="Arial" w:hAnsi="Arial" w:eastAsia="宋体" w:cs="Arial"/>
              <w:sz w:val="21"/>
              <w:szCs w:val="21"/>
            </w:rPr>
            <w:fldChar w:fldCharType="end"/>
          </w:r>
          <w:r>
            <w:rPr>
              <w:rFonts w:ascii="Arial" w:hAnsi="Arial" w:eastAsia="宋体" w:cs="Arial"/>
              <w:sz w:val="21"/>
              <w:szCs w:val="21"/>
            </w:rPr>
            <w:fldChar w:fldCharType="end"/>
          </w:r>
        </w:p>
        <w:p>
          <w:r>
            <w:fldChar w:fldCharType="end"/>
          </w:r>
        </w:p>
      </w:sdtContent>
    </w:sdt>
    <w:p>
      <w:pPr>
        <w:rPr>
          <w:rFonts w:ascii="Arial" w:hAnsi="Arial" w:cs="Arial"/>
          <w:lang w:val="zh-CN"/>
        </w:rPr>
        <w:sectPr>
          <w:headerReference r:id="rId4" w:type="first"/>
          <w:footerReference r:id="rId6" w:type="first"/>
          <w:headerReference r:id="rId3" w:type="default"/>
          <w:footerReference r:id="rId5" w:type="default"/>
          <w:pgSz w:w="11906" w:h="16838"/>
          <w:pgMar w:top="1843" w:right="1134" w:bottom="1134" w:left="1134" w:header="851" w:footer="992" w:gutter="0"/>
          <w:pgNumType w:start="1"/>
          <w:cols w:space="425" w:num="1"/>
          <w:titlePg/>
          <w:docGrid w:type="lines" w:linePitch="326" w:charSpace="0"/>
        </w:sectPr>
      </w:pPr>
      <w:r>
        <w:rPr>
          <w:rFonts w:ascii="Arial" w:hAnsi="Arial" w:cs="Arial"/>
          <w:lang w:val="zh-CN"/>
        </w:rPr>
        <w:br w:type="page"/>
      </w:r>
    </w:p>
    <w:p>
      <w:pPr>
        <w:spacing w:line="360" w:lineRule="auto"/>
        <w:ind w:firstLine="420" w:firstLineChars="200"/>
        <w:rPr>
          <w:rFonts w:ascii="Arial" w:hAnsi="Arial" w:cs="Arial"/>
          <w:bCs/>
          <w:kern w:val="44"/>
          <w:sz w:val="21"/>
          <w:szCs w:val="21"/>
        </w:rPr>
      </w:pPr>
      <w:bookmarkStart w:id="0" w:name="_Toc31850"/>
      <w:r>
        <w:rPr>
          <w:rFonts w:ascii="Arial" w:hAnsi="Arial" w:cs="Arial"/>
          <w:bCs/>
          <w:kern w:val="44"/>
          <w:sz w:val="21"/>
          <w:szCs w:val="21"/>
        </w:rPr>
        <w:t>为了方便阅读之目的，本报告中将部分名称简写为：</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·项目公司：重庆鑫坤房地产开发有限公司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w:t>
      </w:r>
      <w:r>
        <w:rPr>
          <w:rFonts w:hint="eastAsia" w:ascii="Arial" w:hAnsi="Arial" w:cs="Arial"/>
          <w:bCs/>
          <w:kern w:val="44"/>
          <w:sz w:val="21"/>
          <w:szCs w:val="21"/>
        </w:rPr>
        <w:t>光大</w:t>
      </w:r>
      <w:r>
        <w:rPr>
          <w:rFonts w:ascii="Arial" w:hAnsi="Arial" w:cs="Arial"/>
          <w:bCs/>
          <w:kern w:val="44"/>
          <w:sz w:val="21"/>
          <w:szCs w:val="21"/>
        </w:rPr>
        <w:t>信托：光大兴陇信托有限责任公司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·康信</w:t>
      </w:r>
      <w:r>
        <w:rPr>
          <w:rFonts w:hint="eastAsia" w:ascii="Arial" w:hAnsi="Arial" w:cs="Arial"/>
          <w:bCs/>
          <w:kern w:val="44"/>
          <w:sz w:val="21"/>
          <w:szCs w:val="21"/>
        </w:rPr>
        <w:t>君安</w:t>
      </w:r>
      <w:r>
        <w:rPr>
          <w:rFonts w:ascii="Arial" w:hAnsi="Arial" w:cs="Arial"/>
          <w:bCs/>
          <w:kern w:val="44"/>
          <w:sz w:val="21"/>
          <w:szCs w:val="21"/>
        </w:rPr>
        <w:t>：北京康信君安资产管理有限公司</w:t>
      </w:r>
    </w:p>
    <w:p>
      <w:pPr>
        <w:spacing w:before="300" w:after="300" w:line="360" w:lineRule="exact"/>
        <w:outlineLvl w:val="1"/>
        <w:rPr>
          <w:rStyle w:val="22"/>
          <w:rFonts w:ascii="Arial" w:hAnsi="Arial" w:cs="Arial"/>
          <w:sz w:val="24"/>
          <w:szCs w:val="24"/>
        </w:rPr>
      </w:pPr>
      <w:r>
        <w:rPr>
          <w:rStyle w:val="22"/>
          <w:rFonts w:ascii="Arial" w:hAnsi="Arial" w:cs="Arial"/>
          <w:sz w:val="24"/>
          <w:szCs w:val="24"/>
        </w:rPr>
        <w:t>一、项目进展情况</w:t>
      </w:r>
      <w:bookmarkEnd w:id="0"/>
    </w:p>
    <w:p>
      <w:pPr>
        <w:spacing w:before="300" w:after="300" w:line="360" w:lineRule="exact"/>
        <w:outlineLvl w:val="1"/>
        <w:rPr>
          <w:rStyle w:val="22"/>
          <w:rFonts w:ascii="Arial" w:hAnsi="Arial" w:cs="Arial"/>
          <w:sz w:val="24"/>
          <w:szCs w:val="24"/>
        </w:rPr>
      </w:pPr>
      <w:bookmarkStart w:id="1" w:name="_Toc3442_WPSOffice_Level2"/>
      <w:bookmarkStart w:id="2" w:name="_Toc28523"/>
      <w:r>
        <w:rPr>
          <w:rStyle w:val="22"/>
          <w:rFonts w:ascii="Arial" w:hAnsi="Arial" w:cs="Arial"/>
          <w:sz w:val="24"/>
          <w:szCs w:val="24"/>
        </w:rPr>
        <w:t>1</w:t>
      </w:r>
      <w:r>
        <w:rPr>
          <w:rStyle w:val="22"/>
          <w:rFonts w:hint="eastAsia" w:ascii="Arial" w:hAnsi="Arial" w:cs="Arial"/>
          <w:sz w:val="24"/>
          <w:szCs w:val="24"/>
        </w:rPr>
        <w:t>、</w:t>
      </w:r>
      <w:r>
        <w:rPr>
          <w:rStyle w:val="22"/>
          <w:rFonts w:ascii="Arial" w:hAnsi="Arial" w:cs="Arial"/>
          <w:sz w:val="24"/>
          <w:szCs w:val="24"/>
        </w:rPr>
        <w:t>报建</w:t>
      </w:r>
      <w:bookmarkEnd w:id="1"/>
      <w:r>
        <w:rPr>
          <w:rStyle w:val="22"/>
          <w:rFonts w:ascii="Arial" w:hAnsi="Arial" w:cs="Arial"/>
          <w:sz w:val="24"/>
          <w:szCs w:val="24"/>
        </w:rPr>
        <w:t>情况</w:t>
      </w:r>
      <w:bookmarkEnd w:id="2"/>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997"/>
        <w:gridCol w:w="2938"/>
        <w:gridCol w:w="1768"/>
        <w:gridCol w:w="135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0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50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1491"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themeColor="text1"/>
                <w:sz w:val="18"/>
                <w:szCs w:val="18"/>
                <w:lang w:bidi="ar"/>
                <w14:textFill>
                  <w14:solidFill>
                    <w14:schemeClr w14:val="tx1"/>
                  </w14:solidFill>
                </w14:textFill>
              </w:rPr>
              <w:t>政策要求</w:t>
            </w: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实际取证日期</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1113" w:type="pct"/>
            <w:vAlign w:val="center"/>
          </w:tcPr>
          <w:p>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06" w:type="pct"/>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1</w:t>
            </w:r>
          </w:p>
        </w:tc>
        <w:tc>
          <w:tcPr>
            <w:tcW w:w="506" w:type="pct"/>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不动产权证书</w:t>
            </w:r>
          </w:p>
        </w:tc>
        <w:tc>
          <w:tcPr>
            <w:tcW w:w="1491" w:type="pct"/>
            <w:vMerge w:val="restart"/>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r>
              <w:rPr>
                <w:rFonts w:ascii="Arial" w:hAnsi="Arial" w:eastAsia="宋体" w:cs="Arial"/>
                <w:sz w:val="18"/>
                <w:szCs w:val="18"/>
                <w:lang w:bidi="ar"/>
              </w:rPr>
              <w:t>法人身份证明；营业执照复印件；委托书及委托人身份证原件；土地合同；交付土地协议；出让金票据及土地契税票据；权籍调查表；宗地图。</w:t>
            </w: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46715㎡</w:t>
            </w:r>
          </w:p>
        </w:tc>
        <w:tc>
          <w:tcPr>
            <w:tcW w:w="1113" w:type="pct"/>
            <w:vAlign w:val="center"/>
          </w:tcPr>
          <w:p>
            <w:pPr>
              <w:jc w:val="center"/>
              <w:rPr>
                <w:rFonts w:ascii="Arial" w:hAnsi="Arial" w:cs="Arial"/>
                <w:color w:val="000000"/>
                <w:sz w:val="18"/>
                <w:szCs w:val="18"/>
                <w:lang w:bidi="ar"/>
              </w:rPr>
            </w:pPr>
            <w:r>
              <w:rPr>
                <w:rFonts w:ascii="Arial" w:hAnsi="Arial" w:cs="Arial"/>
                <w:color w:val="000000"/>
                <w:sz w:val="18"/>
                <w:szCs w:val="18"/>
                <w:lang w:bidi="ar"/>
              </w:rPr>
              <w:t>恒大锦城T19-1</w:t>
            </w:r>
            <w:r>
              <w:rPr>
                <w:rFonts w:hint="eastAsia" w:ascii="Arial" w:hAnsi="Arial" w:cs="Arial"/>
                <w:color w:val="000000"/>
                <w:sz w:val="18"/>
                <w:szCs w:val="18"/>
                <w:lang w:bidi="ar"/>
              </w:rPr>
              <w:t>-</w:t>
            </w:r>
            <w:r>
              <w:rPr>
                <w:rFonts w:ascii="Arial" w:hAnsi="Arial" w:cs="Arial"/>
                <w:color w:val="000000"/>
                <w:sz w:val="18"/>
                <w:szCs w:val="18"/>
                <w:lang w:bidi="ar"/>
              </w:rPr>
              <w:t>03号地块《不动产权证书》</w:t>
            </w:r>
            <w:r>
              <w:rPr>
                <w:rFonts w:hint="eastAsia" w:ascii="Arial" w:hAnsi="Arial" w:cs="Arial"/>
                <w:color w:val="000000"/>
                <w:sz w:val="18"/>
                <w:szCs w:val="18"/>
                <w:lang w:bidi="ar"/>
              </w:rPr>
              <w:t>-</w:t>
            </w:r>
            <w:r>
              <w:rPr>
                <w:rFonts w:ascii="Arial" w:hAnsi="Arial" w:cs="Arial"/>
                <w:color w:val="000000"/>
                <w:sz w:val="18"/>
                <w:szCs w:val="18"/>
                <w:lang w:bidi="ar"/>
              </w:rPr>
              <w:t xml:space="preserve"> 渝（2020）巴南区不动产权第0000589766号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9060㎡</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恒大锦城T20-2</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渝（2020）巴南区不动产权第0000589598号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16429㎡</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恒大锦城T19-2</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渝（2020）巴南区不动产权第0000589690号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16681㎡</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恒大锦城T20-6</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渝（2020）巴南区不动产权第0000589110号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2020年07月15日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42982㎡</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恒大锦城T18-1</w:t>
            </w:r>
            <w:r>
              <w:rPr>
                <w:rFonts w:hint="eastAsia" w:ascii="Arial" w:hAnsi="Arial" w:cs="Arial"/>
                <w:sz w:val="18"/>
                <w:szCs w:val="18"/>
              </w:rPr>
              <w:t>-</w:t>
            </w:r>
            <w:r>
              <w:rPr>
                <w:rFonts w:ascii="Arial" w:hAnsi="Arial" w:cs="Arial"/>
                <w:sz w:val="18"/>
                <w:szCs w:val="18"/>
              </w:rPr>
              <w:t>02号地块《不动产权证书》</w:t>
            </w:r>
            <w:r>
              <w:rPr>
                <w:rFonts w:hint="eastAsia" w:ascii="Arial" w:hAnsi="Arial" w:cs="Arial"/>
                <w:sz w:val="18"/>
                <w:szCs w:val="18"/>
              </w:rPr>
              <w:t>-</w:t>
            </w:r>
            <w:r>
              <w:rPr>
                <w:rFonts w:ascii="Arial" w:hAnsi="Arial" w:cs="Arial"/>
                <w:sz w:val="18"/>
                <w:szCs w:val="18"/>
              </w:rPr>
              <w:t>渝（2020）巴南区不动产权第000666077号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sz w:val="18"/>
                <w:szCs w:val="18"/>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2020年07月15日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50878㎡</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恒大锦城T18-2</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渝（2020）巴南区不动产权第000665521号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2020年07月15日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61182㎡</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恒大锦城T18-3</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渝（2020）巴南区不动产权第000665900号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2020年06月04日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88885㎡</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建设用地规划许可证（恒大锦城一期）</w:t>
            </w:r>
            <w:r>
              <w:rPr>
                <w:rFonts w:hint="eastAsia" w:ascii="Arial" w:hAnsi="Arial" w:cs="Arial"/>
                <w:sz w:val="18"/>
                <w:szCs w:val="18"/>
              </w:rPr>
              <w:t>-</w:t>
            </w:r>
            <w:r>
              <w:rPr>
                <w:rFonts w:ascii="Arial" w:hAnsi="Arial" w:cs="Arial"/>
                <w:sz w:val="18"/>
                <w:szCs w:val="18"/>
              </w:rPr>
              <w:t>地字第500113202000024号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ind w:left="410" w:leftChars="171" w:firstLine="405" w:firstLineChars="225"/>
              <w:jc w:val="center"/>
              <w:textAlignment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2020年07月17日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46715㎡</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恒大锦城二期《建设用地规划许可证》正本及附件</w:t>
            </w:r>
            <w:r>
              <w:rPr>
                <w:rFonts w:hint="eastAsia" w:ascii="Arial" w:hAnsi="Arial" w:cs="Arial"/>
                <w:sz w:val="18"/>
                <w:szCs w:val="18"/>
              </w:rPr>
              <w:t>-</w:t>
            </w:r>
            <w:r>
              <w:rPr>
                <w:rFonts w:ascii="Arial" w:hAnsi="Arial" w:cs="Arial"/>
                <w:sz w:val="18"/>
                <w:szCs w:val="18"/>
              </w:rPr>
              <w:t>地字第500113202000029号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含电子文档)；配套费缴费证明；墙改基金（墙改办办理）缴费；人防缴费证明和人防工程审查批准意见（人防办办理）。</w:t>
            </w:r>
          </w:p>
        </w:tc>
        <w:tc>
          <w:tcPr>
            <w:tcW w:w="897" w:type="pct"/>
            <w:vAlign w:val="center"/>
          </w:tcPr>
          <w:p>
            <w:pPr>
              <w:jc w:val="center"/>
              <w:rPr>
                <w:rFonts w:ascii="Arial" w:hAnsi="Arial" w:cs="Arial"/>
                <w:color w:val="000000"/>
                <w:sz w:val="18"/>
                <w:szCs w:val="18"/>
              </w:rPr>
            </w:pPr>
            <w:r>
              <w:rPr>
                <w:rFonts w:ascii="Arial" w:hAnsi="Arial" w:cs="Arial"/>
                <w:sz w:val="18"/>
                <w:szCs w:val="18"/>
              </w:rPr>
              <w:t>2020年08月07日</w:t>
            </w:r>
          </w:p>
        </w:tc>
        <w:tc>
          <w:tcPr>
            <w:tcW w:w="687" w:type="pct"/>
            <w:vAlign w:val="center"/>
          </w:tcPr>
          <w:p>
            <w:pPr>
              <w:jc w:val="center"/>
              <w:rPr>
                <w:rFonts w:ascii="Arial" w:hAnsi="Arial" w:cs="Arial"/>
                <w:color w:val="000000"/>
                <w:sz w:val="18"/>
                <w:szCs w:val="18"/>
              </w:rPr>
            </w:pPr>
            <w:r>
              <w:rPr>
                <w:rFonts w:ascii="Arial" w:hAnsi="Arial" w:cs="Arial"/>
                <w:sz w:val="18"/>
                <w:szCs w:val="18"/>
              </w:rPr>
              <w:t>123745.14㎡</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恒大锦城二期《建设工程规划许可证》T18-2地块</w:t>
            </w:r>
            <w:r>
              <w:rPr>
                <w:rFonts w:hint="eastAsia" w:ascii="Arial" w:hAnsi="Arial" w:cs="Arial"/>
                <w:sz w:val="18"/>
                <w:szCs w:val="18"/>
              </w:rPr>
              <w:t>-</w:t>
            </w:r>
            <w:r>
              <w:rPr>
                <w:rFonts w:ascii="Arial" w:hAnsi="Arial" w:cs="Arial"/>
                <w:sz w:val="18"/>
                <w:szCs w:val="18"/>
              </w:rPr>
              <w:t>建字第500113202000100号（施工证原件因恒大欠缴该项目农民工保证金，办出来后压在市建委，因此未交接）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rPr>
                <w:rFonts w:ascii="Arial" w:hAnsi="Arial" w:cs="Arial"/>
                <w:color w:val="000000"/>
                <w:sz w:val="18"/>
                <w:szCs w:val="18"/>
              </w:rPr>
            </w:pPr>
            <w:r>
              <w:rPr>
                <w:rFonts w:ascii="Arial" w:hAnsi="Arial" w:cs="Arial"/>
                <w:sz w:val="18"/>
                <w:szCs w:val="18"/>
              </w:rPr>
              <w:t>2020年08月21日</w:t>
            </w:r>
          </w:p>
        </w:tc>
        <w:tc>
          <w:tcPr>
            <w:tcW w:w="687" w:type="pct"/>
            <w:vAlign w:val="center"/>
          </w:tcPr>
          <w:p>
            <w:pPr>
              <w:jc w:val="center"/>
              <w:rPr>
                <w:rFonts w:ascii="Arial" w:hAnsi="Arial" w:cs="Arial"/>
                <w:color w:val="000000"/>
                <w:sz w:val="18"/>
                <w:szCs w:val="18"/>
              </w:rPr>
            </w:pPr>
            <w:r>
              <w:rPr>
                <w:rFonts w:ascii="Arial" w:hAnsi="Arial" w:cs="Arial"/>
                <w:sz w:val="18"/>
                <w:szCs w:val="18"/>
              </w:rPr>
              <w:t>248384.85㎡</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恒大锦城二期《建设工程规划许可证》T18-1、T18-3地块</w:t>
            </w:r>
            <w:r>
              <w:rPr>
                <w:rFonts w:hint="eastAsia" w:ascii="Arial" w:hAnsi="Arial" w:cs="Arial"/>
                <w:sz w:val="18"/>
                <w:szCs w:val="18"/>
              </w:rPr>
              <w:t>-</w:t>
            </w:r>
            <w:r>
              <w:rPr>
                <w:rFonts w:ascii="Arial" w:hAnsi="Arial" w:cs="Arial"/>
                <w:sz w:val="18"/>
                <w:szCs w:val="18"/>
              </w:rPr>
              <w:t>建字第500113202000105号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rPr>
              <w:t>2020年07月08日</w:t>
            </w:r>
          </w:p>
        </w:tc>
        <w:tc>
          <w:tcPr>
            <w:tcW w:w="687" w:type="pct"/>
            <w:vAlign w:val="center"/>
          </w:tcPr>
          <w:p>
            <w:pPr>
              <w:jc w:val="center"/>
              <w:rPr>
                <w:rFonts w:ascii="Arial" w:hAnsi="Arial" w:cs="Arial"/>
                <w:color w:val="000000"/>
                <w:sz w:val="18"/>
                <w:szCs w:val="18"/>
              </w:rPr>
            </w:pPr>
            <w:r>
              <w:rPr>
                <w:rFonts w:ascii="Arial" w:hAnsi="Arial" w:cs="Arial"/>
                <w:color w:val="000000"/>
                <w:sz w:val="18"/>
                <w:szCs w:val="18"/>
              </w:rPr>
              <w:t>219447.16</w:t>
            </w:r>
            <w:r>
              <w:rPr>
                <w:rFonts w:ascii="Arial" w:hAnsi="Arial" w:cs="Arial"/>
                <w:sz w:val="18"/>
                <w:szCs w:val="18"/>
              </w:rPr>
              <w:t>㎡</w:t>
            </w:r>
          </w:p>
        </w:tc>
        <w:tc>
          <w:tcPr>
            <w:tcW w:w="1113" w:type="pct"/>
            <w:vAlign w:val="center"/>
          </w:tcPr>
          <w:p>
            <w:pPr>
              <w:jc w:val="center"/>
              <w:rPr>
                <w:rFonts w:ascii="Arial" w:hAnsi="Arial" w:cs="Arial"/>
                <w:color w:val="000000"/>
                <w:sz w:val="18"/>
                <w:szCs w:val="18"/>
                <w:lang w:bidi="ar"/>
              </w:rPr>
            </w:pPr>
            <w:r>
              <w:rPr>
                <w:rFonts w:ascii="Arial" w:hAnsi="Arial" w:cs="Arial"/>
                <w:color w:val="000000"/>
                <w:sz w:val="18"/>
                <w:szCs w:val="18"/>
                <w:lang w:bidi="ar"/>
              </w:rPr>
              <w:t>建设工程规划许可证一期(T19-1地块1-20#、大门、车库</w:t>
            </w:r>
            <w:r>
              <w:rPr>
                <w:rFonts w:hint="eastAsia" w:ascii="Arial" w:hAnsi="Arial" w:cs="Arial"/>
                <w:color w:val="000000"/>
                <w:sz w:val="18"/>
                <w:szCs w:val="18"/>
                <w:lang w:bidi="ar"/>
              </w:rPr>
              <w:t>-</w:t>
            </w:r>
            <w:r>
              <w:rPr>
                <w:rFonts w:ascii="Arial" w:hAnsi="Arial" w:cs="Arial"/>
                <w:color w:val="000000"/>
                <w:sz w:val="18"/>
                <w:szCs w:val="18"/>
                <w:lang w:bidi="ar"/>
              </w:rPr>
              <w:t>T19-2地块21-26#、门岗、车库</w:t>
            </w:r>
            <w:r>
              <w:rPr>
                <w:rFonts w:hint="eastAsia" w:ascii="Arial" w:hAnsi="Arial" w:cs="Arial"/>
                <w:color w:val="000000"/>
                <w:sz w:val="18"/>
                <w:szCs w:val="18"/>
                <w:lang w:bidi="ar"/>
              </w:rPr>
              <w:t>-</w:t>
            </w:r>
            <w:r>
              <w:rPr>
                <w:rFonts w:ascii="Arial" w:hAnsi="Arial" w:cs="Arial"/>
                <w:color w:val="000000"/>
                <w:sz w:val="18"/>
                <w:szCs w:val="18"/>
                <w:lang w:bidi="ar"/>
              </w:rPr>
              <w:t>T20-2地块27-29#、门岗、车库</w:t>
            </w:r>
            <w:r>
              <w:rPr>
                <w:rFonts w:hint="eastAsia" w:ascii="Arial" w:hAnsi="Arial" w:cs="Arial"/>
                <w:color w:val="000000"/>
                <w:sz w:val="18"/>
                <w:szCs w:val="18"/>
                <w:lang w:bidi="ar"/>
              </w:rPr>
              <w:t>-</w:t>
            </w:r>
            <w:r>
              <w:rPr>
                <w:rFonts w:ascii="Arial" w:hAnsi="Arial" w:cs="Arial"/>
                <w:color w:val="000000"/>
                <w:sz w:val="18"/>
                <w:szCs w:val="18"/>
                <w:lang w:bidi="ar"/>
              </w:rPr>
              <w:t>T20-6地块30-34#、门岗、车库）</w:t>
            </w:r>
            <w:r>
              <w:rPr>
                <w:rFonts w:hint="eastAsia" w:ascii="Arial" w:hAnsi="Arial" w:cs="Arial"/>
                <w:color w:val="000000"/>
                <w:sz w:val="18"/>
                <w:szCs w:val="18"/>
                <w:lang w:bidi="ar"/>
              </w:rPr>
              <w:t>-</w:t>
            </w:r>
            <w:r>
              <w:rPr>
                <w:rFonts w:ascii="Arial" w:hAnsi="Arial" w:cs="Arial"/>
                <w:color w:val="000000"/>
                <w:sz w:val="18"/>
                <w:szCs w:val="18"/>
                <w:lang w:bidi="ar"/>
              </w:rPr>
              <w:t>建字第500113202000079号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4</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建筑工程施工许可证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sz w:val="18"/>
                <w:szCs w:val="18"/>
              </w:rPr>
              <w:t>1、规划条件通知书2、建设条件通知书3、建筑项目用地界址测绘平面图及界址点成果表4、建设工程规划许可证5、加盖规划部门骑缝章总平面图6、国有土地使用权出让合同</w:t>
            </w:r>
          </w:p>
        </w:tc>
        <w:tc>
          <w:tcPr>
            <w:tcW w:w="897" w:type="pct"/>
            <w:vAlign w:val="center"/>
          </w:tcPr>
          <w:p>
            <w:pPr>
              <w:jc w:val="center"/>
              <w:rPr>
                <w:rFonts w:ascii="Arial" w:hAnsi="Arial" w:cs="Arial"/>
                <w:color w:val="000000"/>
                <w:sz w:val="18"/>
                <w:szCs w:val="18"/>
              </w:rPr>
            </w:pPr>
            <w:r>
              <w:rPr>
                <w:rFonts w:ascii="Arial" w:hAnsi="Arial" w:cs="Arial"/>
                <w:sz w:val="18"/>
                <w:szCs w:val="18"/>
              </w:rPr>
              <w:t>2020年08月01日</w:t>
            </w:r>
          </w:p>
        </w:tc>
        <w:tc>
          <w:tcPr>
            <w:tcW w:w="687" w:type="pct"/>
            <w:vAlign w:val="center"/>
          </w:tcPr>
          <w:p>
            <w:pPr>
              <w:jc w:val="center"/>
              <w:rPr>
                <w:rFonts w:ascii="Arial" w:hAnsi="Arial" w:cs="Arial"/>
                <w:color w:val="000000"/>
                <w:sz w:val="18"/>
                <w:szCs w:val="18"/>
              </w:rPr>
            </w:pPr>
            <w:r>
              <w:rPr>
                <w:rFonts w:ascii="Arial" w:hAnsi="Arial" w:cs="Arial"/>
                <w:sz w:val="18"/>
                <w:szCs w:val="18"/>
              </w:rPr>
              <w:t>51632.72㎡</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恒大锦城一期4#，13#，14#楼及4#车库施工许可证</w:t>
            </w:r>
            <w:r>
              <w:rPr>
                <w:rFonts w:hint="eastAsia" w:ascii="Arial" w:hAnsi="Arial" w:cs="Arial"/>
                <w:sz w:val="18"/>
                <w:szCs w:val="18"/>
              </w:rPr>
              <w:t>-</w:t>
            </w:r>
            <w:r>
              <w:rPr>
                <w:rFonts w:ascii="Arial" w:hAnsi="Arial" w:cs="Arial"/>
                <w:sz w:val="18"/>
                <w:szCs w:val="18"/>
              </w:rPr>
              <w:t>500113202008010101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rPr>
                <w:rFonts w:ascii="Arial" w:hAnsi="Arial" w:cs="Arial"/>
                <w:color w:val="000000"/>
                <w:sz w:val="18"/>
                <w:szCs w:val="18"/>
              </w:rPr>
            </w:pPr>
            <w:r>
              <w:rPr>
                <w:rFonts w:ascii="Arial" w:hAnsi="Arial" w:cs="Arial"/>
                <w:sz w:val="18"/>
                <w:szCs w:val="18"/>
              </w:rPr>
              <w:t>2020年09月07日</w:t>
            </w:r>
          </w:p>
        </w:tc>
        <w:tc>
          <w:tcPr>
            <w:tcW w:w="687" w:type="pct"/>
            <w:vAlign w:val="center"/>
          </w:tcPr>
          <w:p>
            <w:pPr>
              <w:jc w:val="center"/>
              <w:rPr>
                <w:rFonts w:ascii="Arial" w:hAnsi="Arial" w:cs="Arial"/>
                <w:color w:val="000000"/>
                <w:sz w:val="18"/>
                <w:szCs w:val="18"/>
              </w:rPr>
            </w:pPr>
            <w:r>
              <w:rPr>
                <w:rFonts w:ascii="Arial" w:hAnsi="Arial" w:cs="Arial"/>
                <w:sz w:val="18"/>
                <w:szCs w:val="18"/>
              </w:rPr>
              <w:t>167814.44㎡</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恒大锦城一期1-3、5-12、15-34#施工许可证</w:t>
            </w:r>
            <w:r>
              <w:rPr>
                <w:rFonts w:hint="eastAsia" w:ascii="Arial" w:hAnsi="Arial" w:cs="Arial"/>
                <w:sz w:val="18"/>
                <w:szCs w:val="18"/>
              </w:rPr>
              <w:t>-</w:t>
            </w:r>
            <w:r>
              <w:rPr>
                <w:rFonts w:ascii="Arial" w:hAnsi="Arial" w:cs="Arial"/>
                <w:sz w:val="18"/>
                <w:szCs w:val="18"/>
              </w:rPr>
              <w:t>500113202009070401（由于恒大欠缴该项目农民工保证金，证办出来后压于市建委处未交接）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25%以上的证明；预售资金监管账户开具。</w:t>
            </w: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2020年08月14日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2896.3㎡</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恒大锦城4#楼《重庆市商品房预售（预租）许可证（正本）》</w:t>
            </w:r>
            <w:r>
              <w:rPr>
                <w:rFonts w:hint="eastAsia" w:ascii="Arial" w:hAnsi="Arial" w:cs="Arial"/>
                <w:sz w:val="18"/>
                <w:szCs w:val="18"/>
              </w:rPr>
              <w:t>-</w:t>
            </w:r>
            <w:r>
              <w:rPr>
                <w:rFonts w:ascii="Arial" w:hAnsi="Arial" w:cs="Arial"/>
                <w:sz w:val="18"/>
                <w:szCs w:val="18"/>
              </w:rPr>
              <w:t>渝住建委（2020）预字第（976）号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2020年07月08日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219447.16㎡</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重庆市商品房预售许可证（恒大锦城一期1、2、5-17、21-26、30-34#楼）</w:t>
            </w:r>
            <w:r>
              <w:rPr>
                <w:rFonts w:hint="eastAsia" w:ascii="Arial" w:hAnsi="Arial" w:cs="Arial"/>
                <w:sz w:val="18"/>
                <w:szCs w:val="18"/>
              </w:rPr>
              <w:t>-</w:t>
            </w:r>
            <w:r>
              <w:rPr>
                <w:rFonts w:ascii="Arial" w:hAnsi="Arial" w:cs="Arial"/>
                <w:sz w:val="18"/>
                <w:szCs w:val="18"/>
              </w:rPr>
              <w:t>渝住建委（2020）预字第（1360）号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2020年12月18日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10227.32㎡</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恒大锦城50#、51#商品房预售许可证（渝住建委（2020）预字第（1947）号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2021年01月15日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14660.33㎡</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恒大锦城56-57#、61-62#商品房预售许可证（渝住建委（2021）预字第（46）号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2021年3月5日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10248.32㎡</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恒大锦城47-48#商品房预售许可证（渝住建委（2021）预字第（219）号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2021年3月19日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7427.67㎡</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恒大锦城47-48#商品房预售许可证（渝住建委（2021）预字第（298）号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2021年3月26日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835.83㎡</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恒大锦城3#商品房预售许可证（渝住建委（2021）预字第（335）号(商业)</w:t>
            </w:r>
          </w:p>
        </w:tc>
      </w:tr>
    </w:tbl>
    <w:p>
      <w:pPr>
        <w:spacing w:before="300" w:after="300" w:line="360" w:lineRule="exact"/>
        <w:outlineLvl w:val="1"/>
        <w:rPr>
          <w:rStyle w:val="22"/>
          <w:rFonts w:ascii="Arial" w:hAnsi="Arial" w:cs="Arial"/>
          <w:sz w:val="24"/>
          <w:szCs w:val="24"/>
        </w:rPr>
      </w:pPr>
      <w:bookmarkStart w:id="3" w:name="_Toc25052"/>
      <w:r>
        <w:rPr>
          <w:rStyle w:val="22"/>
          <w:rFonts w:ascii="Arial" w:hAnsi="Arial" w:cs="Arial"/>
          <w:sz w:val="24"/>
          <w:szCs w:val="24"/>
        </w:rPr>
        <w:t>2</w:t>
      </w:r>
      <w:r>
        <w:rPr>
          <w:rStyle w:val="22"/>
          <w:rFonts w:hint="eastAsia" w:ascii="Arial" w:hAnsi="Arial" w:cs="Arial"/>
          <w:sz w:val="24"/>
          <w:szCs w:val="24"/>
        </w:rPr>
        <w:t>、营销情况</w:t>
      </w:r>
      <w:bookmarkEnd w:id="3"/>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1</w:t>
      </w:r>
      <w:r>
        <w:rPr>
          <w:rStyle w:val="22"/>
          <w:rFonts w:hint="eastAsia" w:ascii="Arial" w:hAnsi="Arial" w:cs="Arial"/>
          <w:sz w:val="24"/>
          <w:szCs w:val="24"/>
        </w:rPr>
        <w:t>）</w:t>
      </w:r>
      <w:r>
        <w:rPr>
          <w:rStyle w:val="22"/>
          <w:rFonts w:ascii="Arial" w:hAnsi="Arial" w:cs="Arial"/>
          <w:sz w:val="24"/>
          <w:szCs w:val="24"/>
        </w:rPr>
        <w:t>项目销售及推盘计划</w:t>
      </w:r>
    </w:p>
    <w:p>
      <w:pPr>
        <w:widowControl w:val="0"/>
        <w:spacing w:line="480" w:lineRule="auto"/>
        <w:ind w:firstLine="420" w:firstLineChars="200"/>
        <w:jc w:val="both"/>
        <w:rPr>
          <w:rFonts w:ascii="Arial" w:hAnsi="Arial" w:cs="Arial"/>
          <w:bCs/>
          <w:kern w:val="44"/>
          <w:sz w:val="21"/>
          <w:szCs w:val="21"/>
        </w:rPr>
        <w:sectPr>
          <w:footerReference r:id="rId7" w:type="default"/>
          <w:pgSz w:w="11906" w:h="16838"/>
          <w:pgMar w:top="1843" w:right="1134" w:bottom="1134" w:left="1134" w:header="851" w:footer="992" w:gutter="0"/>
          <w:pgNumType w:start="1"/>
          <w:cols w:space="425" w:num="1"/>
          <w:docGrid w:type="lines" w:linePitch="312" w:charSpace="0"/>
        </w:sectPr>
      </w:pPr>
      <w:r>
        <w:rPr>
          <w:rFonts w:hint="eastAsia" w:ascii="Arial" w:hAnsi="Arial" w:cs="Arial"/>
          <w:bCs/>
          <w:kern w:val="44"/>
          <w:sz w:val="21"/>
          <w:szCs w:val="21"/>
        </w:rPr>
        <w:t>重庆恒大锦城项目于2020年10月8日开盘，目前已推出房源套数1546套，面积约151598.84㎡，预计总货值约16.09亿，截至2021年4月30日累计已售1531套，面积149905.93㎡，金额13.22亿元，其中累计已签约房屋1432套、面积140259.76㎡、金额12.15亿元，9月15日至10月7日认筹金0.31亿元，10月8日至4月30日累计销售实际回款11.18亿元，9月15日至4月30日合计收款11.49亿元，取得预售证（推货）剩余货值0.20亿元、剩余套数15套、剩余面积1692.91㎡未销售，去化率92.52%（（已签约面积/已推出面积)*100%）。</w:t>
      </w:r>
    </w:p>
    <w:p>
      <w:pPr>
        <w:widowControl w:val="0"/>
        <w:spacing w:before="326" w:beforeLines="100"/>
        <w:jc w:val="center"/>
        <w:rPr>
          <w:rFonts w:ascii="Arial" w:hAnsi="Arial" w:cs="Arial"/>
          <w:b/>
          <w:bCs/>
          <w:kern w:val="44"/>
        </w:rPr>
      </w:pPr>
      <w:r>
        <w:rPr>
          <w:rFonts w:ascii="Arial" w:hAnsi="Arial" w:cs="Arial"/>
          <w:b/>
          <w:bCs/>
          <w:kern w:val="44"/>
        </w:rPr>
        <w:t>恒大锦城项目销售情况表(1-17#、21-26#、31-34#、46-47#、51-52#、56-57#、61-62#）</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017"/>
        <w:gridCol w:w="1017"/>
        <w:gridCol w:w="841"/>
        <w:gridCol w:w="1134"/>
        <w:gridCol w:w="1017"/>
        <w:gridCol w:w="988"/>
        <w:gridCol w:w="1421"/>
        <w:gridCol w:w="1301"/>
        <w:gridCol w:w="990"/>
        <w:gridCol w:w="990"/>
        <w:gridCol w:w="990"/>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2" w:type="pct"/>
            <w:vMerge w:val="restar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日期</w:t>
            </w:r>
          </w:p>
        </w:tc>
        <w:tc>
          <w:tcPr>
            <w:tcW w:w="361"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销售金额（万元）</w:t>
            </w:r>
          </w:p>
        </w:tc>
        <w:tc>
          <w:tcPr>
            <w:tcW w:w="361"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销售面积（㎡）</w:t>
            </w:r>
          </w:p>
        </w:tc>
        <w:tc>
          <w:tcPr>
            <w:tcW w:w="298" w:type="pct"/>
            <w:vMerge w:val="restar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销售</w:t>
            </w:r>
          </w:p>
          <w:p>
            <w:pPr>
              <w:jc w:val="center"/>
              <w:rPr>
                <w:rFonts w:ascii="Arial" w:hAnsi="Arial" w:cs="Arial"/>
                <w:b/>
                <w:bCs/>
                <w:color w:val="000000"/>
                <w:sz w:val="18"/>
                <w:szCs w:val="18"/>
              </w:rPr>
            </w:pPr>
            <w:r>
              <w:rPr>
                <w:rFonts w:ascii="Arial" w:hAnsi="Arial" w:cs="Arial"/>
                <w:b/>
                <w:bCs/>
                <w:color w:val="000000"/>
                <w:sz w:val="18"/>
                <w:szCs w:val="18"/>
              </w:rPr>
              <w:t>套数</w:t>
            </w:r>
          </w:p>
        </w:tc>
        <w:tc>
          <w:tcPr>
            <w:tcW w:w="402"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签约金额（万元）</w:t>
            </w:r>
          </w:p>
        </w:tc>
        <w:tc>
          <w:tcPr>
            <w:tcW w:w="361"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签约面积（㎡）</w:t>
            </w:r>
          </w:p>
        </w:tc>
        <w:tc>
          <w:tcPr>
            <w:tcW w:w="350" w:type="pct"/>
            <w:vMerge w:val="restar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签约套数</w:t>
            </w:r>
          </w:p>
        </w:tc>
        <w:tc>
          <w:tcPr>
            <w:tcW w:w="504"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去化率（已签约面积</w:t>
            </w:r>
            <w:r>
              <w:rPr>
                <w:rFonts w:hint="eastAsia" w:ascii="Arial" w:hAnsi="Arial" w:cs="Arial"/>
                <w:b/>
                <w:bCs/>
                <w:color w:val="000000"/>
                <w:sz w:val="18"/>
                <w:szCs w:val="18"/>
              </w:rPr>
              <w:t>-</w:t>
            </w:r>
            <w:r>
              <w:rPr>
                <w:rFonts w:ascii="Arial" w:hAnsi="Arial" w:cs="Arial"/>
                <w:b/>
                <w:bCs/>
                <w:color w:val="000000"/>
                <w:sz w:val="18"/>
                <w:szCs w:val="18"/>
              </w:rPr>
              <w:t>已推出面积*100%）</w:t>
            </w:r>
          </w:p>
        </w:tc>
        <w:tc>
          <w:tcPr>
            <w:tcW w:w="1956" w:type="pct"/>
            <w:gridSpan w:val="5"/>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销售回款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2" w:type="pct"/>
            <w:vMerge w:val="continue"/>
            <w:tcBorders>
              <w:tl2br w:val="nil"/>
              <w:tr2bl w:val="nil"/>
            </w:tcBorders>
            <w:vAlign w:val="center"/>
          </w:tcPr>
          <w:p>
            <w:pPr>
              <w:jc w:val="center"/>
              <w:rPr>
                <w:rFonts w:ascii="Arial" w:hAnsi="Arial" w:cs="Arial"/>
                <w:b/>
                <w:bCs/>
                <w:color w:val="000000"/>
                <w:sz w:val="18"/>
                <w:szCs w:val="18"/>
              </w:rPr>
            </w:pPr>
          </w:p>
        </w:tc>
        <w:tc>
          <w:tcPr>
            <w:tcW w:w="361" w:type="pct"/>
            <w:vMerge w:val="continue"/>
            <w:tcBorders>
              <w:tl2br w:val="nil"/>
              <w:tr2bl w:val="nil"/>
            </w:tcBorders>
            <w:vAlign w:val="center"/>
          </w:tcPr>
          <w:p>
            <w:pPr>
              <w:jc w:val="center"/>
              <w:rPr>
                <w:rFonts w:ascii="Arial" w:hAnsi="Arial" w:cs="Arial"/>
                <w:b/>
                <w:bCs/>
                <w:color w:val="000000"/>
                <w:sz w:val="18"/>
                <w:szCs w:val="18"/>
              </w:rPr>
            </w:pPr>
          </w:p>
        </w:tc>
        <w:tc>
          <w:tcPr>
            <w:tcW w:w="361" w:type="pct"/>
            <w:vMerge w:val="continue"/>
            <w:tcBorders>
              <w:tl2br w:val="nil"/>
              <w:tr2bl w:val="nil"/>
            </w:tcBorders>
            <w:vAlign w:val="center"/>
          </w:tcPr>
          <w:p>
            <w:pPr>
              <w:jc w:val="center"/>
              <w:rPr>
                <w:rFonts w:ascii="Arial" w:hAnsi="Arial" w:cs="Arial"/>
                <w:b/>
                <w:bCs/>
                <w:color w:val="000000"/>
                <w:sz w:val="18"/>
                <w:szCs w:val="18"/>
              </w:rPr>
            </w:pPr>
          </w:p>
        </w:tc>
        <w:tc>
          <w:tcPr>
            <w:tcW w:w="298" w:type="pct"/>
            <w:vMerge w:val="continue"/>
            <w:tcBorders>
              <w:tl2br w:val="nil"/>
              <w:tr2bl w:val="nil"/>
            </w:tcBorders>
            <w:vAlign w:val="center"/>
          </w:tcPr>
          <w:p>
            <w:pPr>
              <w:jc w:val="center"/>
              <w:rPr>
                <w:rFonts w:ascii="Arial" w:hAnsi="Arial" w:cs="Arial"/>
                <w:b/>
                <w:bCs/>
                <w:color w:val="000000"/>
                <w:sz w:val="18"/>
                <w:szCs w:val="18"/>
              </w:rPr>
            </w:pPr>
          </w:p>
        </w:tc>
        <w:tc>
          <w:tcPr>
            <w:tcW w:w="402" w:type="pct"/>
            <w:vMerge w:val="continue"/>
            <w:tcBorders>
              <w:tl2br w:val="nil"/>
              <w:tr2bl w:val="nil"/>
            </w:tcBorders>
            <w:vAlign w:val="center"/>
          </w:tcPr>
          <w:p>
            <w:pPr>
              <w:jc w:val="center"/>
              <w:rPr>
                <w:rFonts w:ascii="Arial" w:hAnsi="Arial" w:cs="Arial"/>
                <w:b/>
                <w:bCs/>
                <w:color w:val="000000"/>
                <w:sz w:val="18"/>
                <w:szCs w:val="18"/>
              </w:rPr>
            </w:pPr>
          </w:p>
        </w:tc>
        <w:tc>
          <w:tcPr>
            <w:tcW w:w="361" w:type="pct"/>
            <w:vMerge w:val="continue"/>
            <w:tcBorders>
              <w:tl2br w:val="nil"/>
              <w:tr2bl w:val="nil"/>
            </w:tcBorders>
            <w:vAlign w:val="center"/>
          </w:tcPr>
          <w:p>
            <w:pPr>
              <w:jc w:val="center"/>
              <w:rPr>
                <w:rFonts w:ascii="Arial" w:hAnsi="Arial" w:cs="Arial"/>
                <w:b/>
                <w:bCs/>
                <w:color w:val="000000"/>
                <w:sz w:val="18"/>
                <w:szCs w:val="18"/>
              </w:rPr>
            </w:pPr>
          </w:p>
        </w:tc>
        <w:tc>
          <w:tcPr>
            <w:tcW w:w="350" w:type="pct"/>
            <w:vMerge w:val="continue"/>
            <w:tcBorders>
              <w:tl2br w:val="nil"/>
              <w:tr2bl w:val="nil"/>
            </w:tcBorders>
            <w:vAlign w:val="center"/>
          </w:tcPr>
          <w:p>
            <w:pPr>
              <w:jc w:val="center"/>
              <w:rPr>
                <w:rFonts w:ascii="Arial" w:hAnsi="Arial" w:cs="Arial"/>
                <w:b/>
                <w:bCs/>
                <w:color w:val="000000"/>
                <w:sz w:val="18"/>
                <w:szCs w:val="18"/>
              </w:rPr>
            </w:pPr>
          </w:p>
        </w:tc>
        <w:tc>
          <w:tcPr>
            <w:tcW w:w="504" w:type="pct"/>
            <w:vMerge w:val="continue"/>
            <w:tcBorders>
              <w:tl2br w:val="nil"/>
              <w:tr2bl w:val="nil"/>
            </w:tcBorders>
            <w:vAlign w:val="center"/>
          </w:tcPr>
          <w:p>
            <w:pPr>
              <w:jc w:val="center"/>
              <w:rPr>
                <w:rFonts w:ascii="Arial" w:hAnsi="Arial" w:cs="Arial"/>
                <w:b/>
                <w:bCs/>
                <w:color w:val="000000"/>
                <w:sz w:val="18"/>
                <w:szCs w:val="18"/>
              </w:rPr>
            </w:pPr>
          </w:p>
        </w:tc>
        <w:tc>
          <w:tcPr>
            <w:tcW w:w="462"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房款（万元）</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定金</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按揭款</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认筹金</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441"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回款合计</w:t>
            </w:r>
          </w:p>
          <w:p>
            <w:pPr>
              <w:jc w:val="center"/>
              <w:rPr>
                <w:rFonts w:ascii="Arial" w:hAnsi="Arial" w:cs="Arial"/>
                <w:b/>
                <w:bCs/>
                <w:color w:val="000000"/>
                <w:sz w:val="18"/>
                <w:szCs w:val="18"/>
              </w:rPr>
            </w:pPr>
            <w:r>
              <w:rPr>
                <w:rFonts w:ascii="Arial" w:hAnsi="Arial" w:cs="Arial"/>
                <w:b/>
                <w:bCs/>
                <w:color w:val="00000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169.15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213.83</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76.52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90.62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90.33%</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36.52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165.76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213.9</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158.45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178.73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90.45%</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36.23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459.70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499.93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-3</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145.52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181.22</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240.76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246.5</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90.61%</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151.09</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71.89</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88.12</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158.47</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178.73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90.73%</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43.86</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69.86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90.62</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74.23</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90.61</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90.79%</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35.12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323.94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376.66</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91.04%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90.48</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317.20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-7</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152.22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181.23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91.16%</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56.97</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239.70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296.67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-8</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81.55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88.03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91.22%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14.18</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405.30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419.48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-9</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72.25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108.81</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151.65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180.57</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91.34%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55.43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792.80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-10</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170.33</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198.76</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91.47%</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79.41</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-11</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125.00</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123.21</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74.50</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88.12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91.52%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91.52%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12.63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151.00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-13</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91.52%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117.00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125.00</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123.21</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91.61%</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23.45</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91.61%</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5.19</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404.80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159.92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181.82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91.73%</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48.51</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655.20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-17</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325.45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377.38</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91.97%</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52.92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-18</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91.74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104.93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92.04%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93.97</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-19</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92.04%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-20</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92.04%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102.00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-21</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160.32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181.24</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92.04%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201.70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250.01</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246.42</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163.66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180.16</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92.16%</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27.59</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297.10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328.69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-23</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92.16%</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77.00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124.45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123.29</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80.94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90.62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92.22%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78.94</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-25</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159.04</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184.93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92.34%</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22.35</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60.00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-26</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127.19</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123.29</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48.82</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93.72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92.41%</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55.71</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-27</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92.41%</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5.09</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-28</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76.88</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88.12</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92.46%</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30.63</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-29</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76.81</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85.04</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92.52%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21.90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121.60</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w:t>
            </w:r>
            <w:r>
              <w:rPr>
                <w:rFonts w:hint="eastAsia" w:ascii="Arial" w:hAnsi="Arial" w:cs="Arial"/>
                <w:sz w:val="18"/>
                <w:szCs w:val="18"/>
              </w:rPr>
              <w:t>4</w:t>
            </w:r>
            <w:r>
              <w:rPr>
                <w:rFonts w:ascii="Arial" w:hAnsi="Arial" w:cs="Arial"/>
                <w:sz w:val="18"/>
                <w:szCs w:val="18"/>
              </w:rPr>
              <w:t>-30</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122.47</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123.21</w:t>
            </w:r>
          </w:p>
        </w:tc>
        <w:tc>
          <w:tcPr>
            <w:tcW w:w="84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1</w:t>
            </w:r>
          </w:p>
        </w:tc>
        <w:tc>
          <w:tcPr>
            <w:tcW w:w="1134"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017"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988"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42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92.52%</w:t>
            </w:r>
          </w:p>
        </w:tc>
        <w:tc>
          <w:tcPr>
            <w:tcW w:w="1301"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5.75</w:t>
            </w:r>
          </w:p>
        </w:tc>
        <w:tc>
          <w:tcPr>
            <w:tcW w:w="989"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2.00</w:t>
            </w:r>
          </w:p>
        </w:tc>
        <w:tc>
          <w:tcPr>
            <w:tcW w:w="989"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37.00</w:t>
            </w:r>
          </w:p>
        </w:tc>
        <w:tc>
          <w:tcPr>
            <w:tcW w:w="989"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w:t>
            </w:r>
          </w:p>
        </w:tc>
        <w:tc>
          <w:tcPr>
            <w:tcW w:w="1245" w:type="dxa"/>
            <w:tcBorders>
              <w:tl2br w:val="nil"/>
              <w:tr2bl w:val="nil"/>
            </w:tcBorders>
            <w:shd w:val="clear" w:color="auto" w:fill="auto"/>
            <w:noWrap/>
            <w:vAlign w:val="center"/>
          </w:tcPr>
          <w:p>
            <w:pPr>
              <w:jc w:val="center"/>
              <w:textAlignment w:val="center"/>
              <w:rPr>
                <w:rFonts w:ascii="Arial" w:hAnsi="Arial" w:cs="Arial"/>
                <w:color w:val="000000"/>
                <w:sz w:val="18"/>
                <w:szCs w:val="18"/>
              </w:rPr>
            </w:pPr>
            <w:r>
              <w:rPr>
                <w:rFonts w:ascii="Arial" w:hAnsi="Arial" w:eastAsia="等线" w:cs="Arial"/>
                <w:color w:val="000000"/>
                <w:sz w:val="18"/>
                <w:szCs w:val="18"/>
                <w:lang w:bidi="ar"/>
              </w:rPr>
              <w:t>44.75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361"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w:t>
            </w:r>
            <w:r>
              <w:rPr>
                <w:rFonts w:hint="eastAsia" w:ascii="Arial" w:hAnsi="Arial" w:cs="Arial"/>
                <w:b/>
                <w:bCs/>
                <w:sz w:val="18"/>
                <w:szCs w:val="18"/>
              </w:rPr>
              <w:t>603</w:t>
            </w:r>
            <w:r>
              <w:rPr>
                <w:rFonts w:ascii="Arial" w:hAnsi="Arial" w:cs="Arial"/>
                <w:b/>
                <w:bCs/>
                <w:sz w:val="18"/>
                <w:szCs w:val="18"/>
              </w:rPr>
              <w:t>.</w:t>
            </w:r>
            <w:r>
              <w:rPr>
                <w:rFonts w:hint="eastAsia" w:ascii="Arial" w:hAnsi="Arial" w:cs="Arial"/>
                <w:b/>
                <w:bCs/>
                <w:sz w:val="18"/>
                <w:szCs w:val="18"/>
              </w:rPr>
              <w:t>89</w:t>
            </w:r>
          </w:p>
        </w:tc>
        <w:tc>
          <w:tcPr>
            <w:tcW w:w="361"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w:t>
            </w:r>
            <w:r>
              <w:rPr>
                <w:rFonts w:hint="eastAsia" w:ascii="Arial" w:hAnsi="Arial" w:cs="Arial"/>
                <w:b/>
                <w:bCs/>
                <w:sz w:val="18"/>
                <w:szCs w:val="18"/>
              </w:rPr>
              <w:t>817</w:t>
            </w:r>
            <w:r>
              <w:rPr>
                <w:rFonts w:ascii="Arial" w:hAnsi="Arial" w:cs="Arial"/>
                <w:b/>
                <w:bCs/>
                <w:sz w:val="18"/>
                <w:szCs w:val="18"/>
              </w:rPr>
              <w:t>.</w:t>
            </w:r>
            <w:r>
              <w:rPr>
                <w:rFonts w:hint="eastAsia" w:ascii="Arial" w:hAnsi="Arial" w:cs="Arial"/>
                <w:b/>
                <w:bCs/>
                <w:sz w:val="18"/>
                <w:szCs w:val="18"/>
              </w:rPr>
              <w:t>16</w:t>
            </w:r>
          </w:p>
        </w:tc>
        <w:tc>
          <w:tcPr>
            <w:tcW w:w="298"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17</w:t>
            </w:r>
          </w:p>
        </w:tc>
        <w:tc>
          <w:tcPr>
            <w:tcW w:w="402"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sz w:val="18"/>
                <w:szCs w:val="18"/>
              </w:rPr>
              <w:t>2</w:t>
            </w:r>
            <w:r>
              <w:rPr>
                <w:rFonts w:ascii="Arial" w:hAnsi="Arial" w:cs="Arial"/>
                <w:b/>
                <w:bCs/>
                <w:sz w:val="18"/>
                <w:szCs w:val="18"/>
              </w:rPr>
              <w:t>,</w:t>
            </w:r>
            <w:r>
              <w:rPr>
                <w:rFonts w:hint="eastAsia" w:ascii="Arial" w:hAnsi="Arial" w:cs="Arial"/>
                <w:b/>
                <w:bCs/>
                <w:sz w:val="18"/>
                <w:szCs w:val="18"/>
              </w:rPr>
              <w:t>970</w:t>
            </w:r>
            <w:r>
              <w:rPr>
                <w:rFonts w:ascii="Arial" w:hAnsi="Arial" w:cs="Arial"/>
                <w:b/>
                <w:bCs/>
                <w:sz w:val="18"/>
                <w:szCs w:val="18"/>
              </w:rPr>
              <w:t>.</w:t>
            </w:r>
            <w:r>
              <w:rPr>
                <w:rFonts w:hint="eastAsia" w:ascii="Arial" w:hAnsi="Arial" w:cs="Arial"/>
                <w:b/>
                <w:bCs/>
                <w:sz w:val="18"/>
                <w:szCs w:val="18"/>
              </w:rPr>
              <w:t>89</w:t>
            </w:r>
          </w:p>
        </w:tc>
        <w:tc>
          <w:tcPr>
            <w:tcW w:w="361"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sz w:val="18"/>
                <w:szCs w:val="18"/>
              </w:rPr>
              <w:t>3</w:t>
            </w:r>
            <w:r>
              <w:rPr>
                <w:rFonts w:ascii="Arial" w:hAnsi="Arial" w:cs="Arial"/>
                <w:b/>
                <w:bCs/>
                <w:sz w:val="18"/>
                <w:szCs w:val="18"/>
              </w:rPr>
              <w:t>,</w:t>
            </w:r>
            <w:r>
              <w:rPr>
                <w:rFonts w:hint="eastAsia" w:ascii="Arial" w:hAnsi="Arial" w:cs="Arial"/>
                <w:b/>
                <w:bCs/>
                <w:sz w:val="18"/>
                <w:szCs w:val="18"/>
              </w:rPr>
              <w:t>408</w:t>
            </w:r>
            <w:r>
              <w:rPr>
                <w:rFonts w:ascii="Arial" w:hAnsi="Arial" w:cs="Arial"/>
                <w:b/>
                <w:bCs/>
                <w:sz w:val="18"/>
                <w:szCs w:val="18"/>
              </w:rPr>
              <w:t>.</w:t>
            </w:r>
            <w:r>
              <w:rPr>
                <w:rFonts w:hint="eastAsia" w:ascii="Arial" w:hAnsi="Arial" w:cs="Arial"/>
                <w:b/>
                <w:bCs/>
                <w:sz w:val="18"/>
                <w:szCs w:val="18"/>
              </w:rPr>
              <w:t>49</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36</w:t>
            </w:r>
          </w:p>
        </w:tc>
        <w:tc>
          <w:tcPr>
            <w:tcW w:w="504"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9</w:t>
            </w:r>
            <w:r>
              <w:rPr>
                <w:rFonts w:hint="eastAsia" w:ascii="Arial" w:hAnsi="Arial" w:cs="Arial"/>
                <w:b/>
                <w:bCs/>
                <w:sz w:val="18"/>
                <w:szCs w:val="18"/>
              </w:rPr>
              <w:t>2</w:t>
            </w:r>
            <w:r>
              <w:rPr>
                <w:rFonts w:ascii="Arial" w:hAnsi="Arial" w:cs="Arial"/>
                <w:b/>
                <w:bCs/>
                <w:sz w:val="18"/>
                <w:szCs w:val="18"/>
              </w:rPr>
              <w:t>.</w:t>
            </w:r>
            <w:r>
              <w:rPr>
                <w:rFonts w:hint="eastAsia" w:ascii="Arial" w:hAnsi="Arial" w:cs="Arial"/>
                <w:b/>
                <w:bCs/>
                <w:sz w:val="18"/>
                <w:szCs w:val="18"/>
              </w:rPr>
              <w:t>5</w:t>
            </w:r>
            <w:r>
              <w:rPr>
                <w:rFonts w:ascii="Arial" w:hAnsi="Arial" w:cs="Arial"/>
                <w:b/>
                <w:bCs/>
                <w:sz w:val="18"/>
                <w:szCs w:val="18"/>
              </w:rPr>
              <w:t>2%</w:t>
            </w:r>
          </w:p>
        </w:tc>
        <w:tc>
          <w:tcPr>
            <w:tcW w:w="462"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sz w:val="18"/>
                <w:szCs w:val="18"/>
              </w:rPr>
              <w:t>1</w:t>
            </w:r>
            <w:r>
              <w:rPr>
                <w:rFonts w:ascii="Arial" w:hAnsi="Arial" w:cs="Arial"/>
                <w:b/>
                <w:bCs/>
                <w:sz w:val="18"/>
                <w:szCs w:val="18"/>
              </w:rPr>
              <w:t>,</w:t>
            </w:r>
            <w:r>
              <w:rPr>
                <w:rFonts w:hint="eastAsia" w:ascii="Arial" w:hAnsi="Arial" w:cs="Arial"/>
                <w:b/>
                <w:bCs/>
                <w:sz w:val="18"/>
                <w:szCs w:val="18"/>
              </w:rPr>
              <w:t>083</w:t>
            </w:r>
            <w:r>
              <w:rPr>
                <w:rFonts w:ascii="Arial" w:hAnsi="Arial" w:cs="Arial"/>
                <w:b/>
                <w:bCs/>
                <w:sz w:val="18"/>
                <w:szCs w:val="18"/>
              </w:rPr>
              <w:t>.</w:t>
            </w:r>
            <w:r>
              <w:rPr>
                <w:rFonts w:hint="eastAsia" w:ascii="Arial" w:hAnsi="Arial" w:cs="Arial"/>
                <w:b/>
                <w:bCs/>
                <w:sz w:val="18"/>
                <w:szCs w:val="18"/>
              </w:rPr>
              <w:t>91</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sz w:val="18"/>
                <w:szCs w:val="18"/>
              </w:rPr>
              <w:t>36</w:t>
            </w:r>
            <w:r>
              <w:rPr>
                <w:rFonts w:ascii="Arial" w:hAnsi="Arial" w:cs="Arial"/>
                <w:b/>
                <w:bCs/>
                <w:sz w:val="18"/>
                <w:szCs w:val="18"/>
              </w:rPr>
              <w:t>.00</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sz w:val="18"/>
                <w:szCs w:val="18"/>
              </w:rPr>
              <w:t>4</w:t>
            </w:r>
            <w:r>
              <w:rPr>
                <w:rFonts w:ascii="Arial" w:hAnsi="Arial" w:cs="Arial"/>
                <w:b/>
                <w:bCs/>
                <w:sz w:val="18"/>
                <w:szCs w:val="18"/>
              </w:rPr>
              <w:t>,</w:t>
            </w:r>
            <w:r>
              <w:rPr>
                <w:rFonts w:hint="eastAsia" w:ascii="Arial" w:hAnsi="Arial" w:cs="Arial"/>
                <w:b/>
                <w:bCs/>
                <w:sz w:val="18"/>
                <w:szCs w:val="18"/>
              </w:rPr>
              <w:t>439</w:t>
            </w:r>
            <w:r>
              <w:rPr>
                <w:rFonts w:ascii="Arial" w:hAnsi="Arial" w:cs="Arial"/>
                <w:b/>
                <w:bCs/>
                <w:sz w:val="18"/>
                <w:szCs w:val="18"/>
              </w:rPr>
              <w:t>.</w:t>
            </w:r>
            <w:r>
              <w:rPr>
                <w:rFonts w:hint="eastAsia" w:ascii="Arial" w:hAnsi="Arial" w:cs="Arial"/>
                <w:b/>
                <w:bCs/>
                <w:sz w:val="18"/>
                <w:szCs w:val="18"/>
              </w:rPr>
              <w:t>1</w:t>
            </w:r>
            <w:r>
              <w:rPr>
                <w:rFonts w:ascii="Arial" w:hAnsi="Arial" w:cs="Arial"/>
                <w:b/>
                <w:bCs/>
                <w:sz w:val="18"/>
                <w:szCs w:val="18"/>
              </w:rPr>
              <w:t>0</w:t>
            </w:r>
          </w:p>
        </w:tc>
        <w:tc>
          <w:tcPr>
            <w:tcW w:w="350"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0</w:t>
            </w:r>
          </w:p>
        </w:tc>
        <w:tc>
          <w:tcPr>
            <w:tcW w:w="441" w:type="pct"/>
            <w:tcBorders>
              <w:tl2br w:val="nil"/>
              <w:tr2bl w:val="nil"/>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sz w:val="18"/>
                <w:szCs w:val="18"/>
              </w:rPr>
              <w:t>5</w:t>
            </w:r>
            <w:r>
              <w:rPr>
                <w:rFonts w:ascii="Arial" w:hAnsi="Arial" w:cs="Arial"/>
                <w:b/>
                <w:bCs/>
                <w:sz w:val="18"/>
                <w:szCs w:val="18"/>
              </w:rPr>
              <w:t>,</w:t>
            </w:r>
            <w:r>
              <w:rPr>
                <w:rFonts w:hint="eastAsia" w:ascii="Arial" w:hAnsi="Arial" w:cs="Arial"/>
                <w:b/>
                <w:bCs/>
                <w:sz w:val="18"/>
                <w:szCs w:val="18"/>
              </w:rPr>
              <w:t>559</w:t>
            </w:r>
            <w:r>
              <w:rPr>
                <w:rFonts w:ascii="Arial" w:hAnsi="Arial" w:cs="Arial"/>
                <w:b/>
                <w:bCs/>
                <w:sz w:val="18"/>
                <w:szCs w:val="18"/>
              </w:rPr>
              <w:t>.</w:t>
            </w:r>
            <w:r>
              <w:rPr>
                <w:rFonts w:hint="eastAsia" w:ascii="Arial" w:hAnsi="Arial" w:cs="Arial"/>
                <w:b/>
                <w:bCs/>
                <w:sz w:val="18"/>
                <w:szCs w:val="18"/>
              </w:rPr>
              <w:t>01</w:t>
            </w:r>
          </w:p>
        </w:tc>
      </w:tr>
    </w:tbl>
    <w:p>
      <w:pPr>
        <w:rPr>
          <w:rFonts w:ascii="Arial" w:hAnsi="Arial" w:cs="Arial"/>
          <w:szCs w:val="15"/>
        </w:rPr>
        <w:sectPr>
          <w:pgSz w:w="16838" w:h="11906" w:orient="landscape"/>
          <w:pgMar w:top="1134" w:right="1843" w:bottom="1134" w:left="1134" w:header="851" w:footer="992" w:gutter="0"/>
          <w:cols w:space="425" w:num="1"/>
          <w:docGrid w:type="lines" w:linePitch="326" w:charSpace="0"/>
        </w:sectPr>
      </w:pP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2</w:t>
      </w:r>
      <w:r>
        <w:rPr>
          <w:rStyle w:val="22"/>
          <w:rFonts w:hint="eastAsia" w:ascii="Arial" w:hAnsi="Arial" w:cs="Arial"/>
          <w:sz w:val="24"/>
          <w:szCs w:val="24"/>
        </w:rPr>
        <w:t>）</w:t>
      </w:r>
      <w:r>
        <w:rPr>
          <w:rStyle w:val="22"/>
          <w:rFonts w:ascii="Arial" w:hAnsi="Arial" w:cs="Arial"/>
          <w:sz w:val="24"/>
          <w:szCs w:val="24"/>
        </w:rPr>
        <w:t>渠道推广及促销活动描述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渠道、拓客方式</w:t>
      </w:r>
      <w:r>
        <w:rPr>
          <w:rFonts w:hint="eastAsia" w:ascii="Arial" w:hAnsi="Arial" w:cs="Arial"/>
          <w:bCs/>
          <w:sz w:val="21"/>
          <w:szCs w:val="21"/>
        </w:rPr>
        <w:t>：</w:t>
      </w:r>
    </w:p>
    <w:p>
      <w:pPr>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重庆恒大锦城项目</w:t>
      </w:r>
      <w:r>
        <w:rPr>
          <w:rFonts w:ascii="Arial" w:hAnsi="Arial" w:cs="Arial"/>
          <w:bCs/>
          <w:kern w:val="44"/>
          <w:sz w:val="21"/>
          <w:szCs w:val="21"/>
        </w:rPr>
        <w:t>已于2020</w:t>
      </w:r>
      <w:r>
        <w:rPr>
          <w:rFonts w:hint="eastAsia" w:ascii="Arial" w:hAnsi="Arial" w:cs="Arial"/>
          <w:bCs/>
          <w:kern w:val="44"/>
          <w:sz w:val="21"/>
          <w:szCs w:val="21"/>
        </w:rPr>
        <w:t>年10</w:t>
      </w:r>
      <w:r>
        <w:rPr>
          <w:rFonts w:ascii="Arial" w:hAnsi="Arial" w:cs="Arial"/>
          <w:bCs/>
          <w:kern w:val="44"/>
          <w:sz w:val="21"/>
          <w:szCs w:val="21"/>
        </w:rPr>
        <w:t>月</w:t>
      </w:r>
      <w:r>
        <w:rPr>
          <w:rFonts w:hint="eastAsia" w:ascii="Arial" w:hAnsi="Arial" w:cs="Arial"/>
          <w:bCs/>
          <w:kern w:val="44"/>
          <w:sz w:val="21"/>
          <w:szCs w:val="21"/>
        </w:rPr>
        <w:t>8</w:t>
      </w:r>
      <w:r>
        <w:rPr>
          <w:rFonts w:ascii="Arial" w:hAnsi="Arial" w:cs="Arial"/>
          <w:bCs/>
          <w:kern w:val="44"/>
          <w:sz w:val="21"/>
          <w:szCs w:val="21"/>
        </w:rPr>
        <w:t>日批准对外开放</w:t>
      </w:r>
      <w:r>
        <w:rPr>
          <w:rFonts w:hint="eastAsia" w:ascii="Arial" w:hAnsi="Arial" w:cs="Arial"/>
          <w:bCs/>
          <w:kern w:val="44"/>
          <w:sz w:val="21"/>
          <w:szCs w:val="21"/>
        </w:rPr>
        <w:t>开盘</w:t>
      </w:r>
      <w:r>
        <w:rPr>
          <w:rFonts w:ascii="Arial" w:hAnsi="Arial" w:cs="Arial"/>
          <w:bCs/>
          <w:kern w:val="44"/>
          <w:sz w:val="21"/>
          <w:szCs w:val="21"/>
        </w:rPr>
        <w:t>，</w:t>
      </w:r>
      <w:r>
        <w:rPr>
          <w:rFonts w:hint="eastAsia" w:ascii="Arial" w:hAnsi="Arial" w:cs="Arial"/>
          <w:bCs/>
          <w:kern w:val="44"/>
          <w:sz w:val="21"/>
          <w:szCs w:val="21"/>
        </w:rPr>
        <w:t>客户</w:t>
      </w:r>
      <w:r>
        <w:rPr>
          <w:rFonts w:ascii="Arial" w:hAnsi="Arial" w:cs="Arial"/>
          <w:bCs/>
          <w:kern w:val="44"/>
          <w:sz w:val="21"/>
          <w:szCs w:val="21"/>
        </w:rPr>
        <w:t>可现场到访，保留采取线上渠道推广及日常拓客</w:t>
      </w:r>
      <w:r>
        <w:rPr>
          <w:rFonts w:hint="eastAsia" w:ascii="Arial" w:hAnsi="Arial" w:cs="Arial"/>
          <w:bCs/>
          <w:kern w:val="44"/>
          <w:sz w:val="21"/>
          <w:szCs w:val="21"/>
        </w:rPr>
        <w:t>方式。</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促销活动</w:t>
      </w:r>
      <w:r>
        <w:rPr>
          <w:rFonts w:hint="eastAsia" w:ascii="Arial" w:hAnsi="Arial" w:cs="Arial"/>
          <w:bCs/>
          <w:sz w:val="21"/>
          <w:szCs w:val="21"/>
        </w:rPr>
        <w:t>：</w:t>
      </w:r>
    </w:p>
    <w:p>
      <w:pPr>
        <w:spacing w:line="480" w:lineRule="auto"/>
        <w:ind w:firstLine="420" w:firstLineChars="200"/>
        <w:jc w:val="both"/>
        <w:rPr>
          <w:rStyle w:val="22"/>
          <w:rFonts w:ascii="Arial" w:hAnsi="Arial" w:cs="Arial"/>
          <w:b w:val="0"/>
          <w:sz w:val="21"/>
          <w:szCs w:val="21"/>
        </w:rPr>
      </w:pPr>
      <w:r>
        <w:rPr>
          <w:rFonts w:hint="eastAsia" w:ascii="Arial" w:hAnsi="Arial" w:cs="Arial"/>
          <w:bCs/>
          <w:kern w:val="44"/>
          <w:sz w:val="21"/>
          <w:szCs w:val="21"/>
        </w:rPr>
        <w:t>恒房通</w:t>
      </w:r>
      <w:r>
        <w:rPr>
          <w:rFonts w:ascii="Arial" w:hAnsi="Arial" w:cs="Arial"/>
          <w:bCs/>
          <w:kern w:val="44"/>
          <w:sz w:val="21"/>
          <w:szCs w:val="21"/>
        </w:rPr>
        <w:t>10,000元优惠券，推荐到访98折，网上认购交2,000元预约金，抵房款20,000元，房车宝推荐享受96折，清尾优惠95或者9折或者85折。</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3</w:t>
      </w:r>
      <w:r>
        <w:rPr>
          <w:rStyle w:val="22"/>
          <w:rFonts w:hint="eastAsia" w:ascii="Arial" w:hAnsi="Arial" w:cs="Arial"/>
          <w:sz w:val="24"/>
          <w:szCs w:val="24"/>
        </w:rPr>
        <w:t>）</w:t>
      </w:r>
      <w:r>
        <w:rPr>
          <w:rStyle w:val="22"/>
          <w:rFonts w:ascii="Arial" w:hAnsi="Arial" w:cs="Arial"/>
          <w:sz w:val="24"/>
          <w:szCs w:val="24"/>
        </w:rPr>
        <w:t>当地预售政策、限</w:t>
      </w:r>
      <w:r>
        <w:rPr>
          <w:rStyle w:val="22"/>
          <w:rFonts w:hint="eastAsia" w:ascii="Arial" w:hAnsi="Arial" w:cs="Arial"/>
          <w:sz w:val="24"/>
          <w:szCs w:val="24"/>
        </w:rPr>
        <w:t>贷</w:t>
      </w:r>
      <w:r>
        <w:rPr>
          <w:rStyle w:val="22"/>
          <w:rFonts w:ascii="Arial" w:hAnsi="Arial" w:cs="Arial"/>
          <w:sz w:val="24"/>
          <w:szCs w:val="24"/>
        </w:rPr>
        <w:t>政策描述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预售政策</w:t>
      </w:r>
      <w:r>
        <w:rPr>
          <w:rFonts w:hint="eastAsia" w:ascii="Arial" w:hAnsi="Arial" w:cs="Arial"/>
          <w:bCs/>
          <w:sz w:val="21"/>
          <w:szCs w:val="21"/>
        </w:rPr>
        <w:t>：</w:t>
      </w:r>
    </w:p>
    <w:p>
      <w:pPr>
        <w:pStyle w:val="16"/>
        <w:spacing w:line="360" w:lineRule="auto"/>
        <w:ind w:firstLineChars="200"/>
        <w:rPr>
          <w:rFonts w:ascii="Arial" w:hAnsi="Arial" w:cs="Arial"/>
          <w:bCs/>
          <w:kern w:val="44"/>
          <w:szCs w:val="21"/>
        </w:rPr>
      </w:pPr>
      <w:r>
        <w:rPr>
          <w:rFonts w:hint="eastAsia" w:ascii="Arial" w:hAnsi="Arial" w:cs="Arial"/>
          <w:bCs/>
          <w:kern w:val="44"/>
          <w:szCs w:val="21"/>
        </w:rPr>
        <w:t>高层住宅主体二分之一办理预售，洋房、别墅、多层住宅主体封顶办理预售</w:t>
      </w:r>
      <w:r>
        <w:rPr>
          <w:rFonts w:ascii="Arial" w:hAnsi="Arial" w:cs="Arial"/>
          <w:bCs/>
          <w:kern w:val="44"/>
          <w:szCs w:val="21"/>
        </w:rPr>
        <w:t>。</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限</w:t>
      </w:r>
      <w:r>
        <w:rPr>
          <w:rFonts w:hint="eastAsia" w:ascii="Arial" w:hAnsi="Arial" w:cs="Arial"/>
          <w:bCs/>
          <w:sz w:val="21"/>
          <w:szCs w:val="21"/>
        </w:rPr>
        <w:t>贷</w:t>
      </w:r>
      <w:r>
        <w:rPr>
          <w:rFonts w:ascii="Arial" w:hAnsi="Arial" w:cs="Arial"/>
          <w:bCs/>
          <w:sz w:val="21"/>
          <w:szCs w:val="21"/>
        </w:rPr>
        <w:t>政策</w:t>
      </w:r>
      <w:r>
        <w:rPr>
          <w:rFonts w:hint="eastAsia" w:ascii="Arial" w:hAnsi="Arial" w:cs="Arial"/>
          <w:bCs/>
          <w:sz w:val="21"/>
          <w:szCs w:val="21"/>
        </w:rPr>
        <w:t>：</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重庆户籍，最多同时申请两笔贷款，首套房贷款，首付三成，二套房贷款，首套已结清，首付三成；首套未结清，首付四成；三套房及以上贷款，前两套已结清，首付四成；有未结清贷款，拒贷；若使用公积金贷款或使用公积金</w:t>
      </w:r>
      <w:r>
        <w:rPr>
          <w:rFonts w:ascii="Arial" w:hAnsi="Arial" w:cs="Arial"/>
          <w:kern w:val="2"/>
          <w:sz w:val="21"/>
          <w:szCs w:val="21"/>
        </w:rPr>
        <w:t>+商业贷款的组合贷款方式，则只能在主城九区(渝中区、江北区、沙坪坝区、九龙坡区、大渡口区、南岸区、北碚区、渝北区、巴南区、两江新区)限贷一套，远郊区限贷两套</w:t>
      </w:r>
      <w:r>
        <w:rPr>
          <w:rFonts w:hint="eastAsia" w:ascii="Arial" w:hAnsi="Arial" w:cs="Arial"/>
          <w:kern w:val="2"/>
          <w:sz w:val="21"/>
          <w:szCs w:val="21"/>
        </w:rPr>
        <w:t>。</w:t>
      </w:r>
    </w:p>
    <w:p>
      <w:pPr>
        <w:pStyle w:val="16"/>
        <w:spacing w:after="0" w:line="480" w:lineRule="auto"/>
        <w:ind w:firstLineChars="200"/>
        <w:rPr>
          <w:rFonts w:ascii="Arial" w:hAnsi="Arial" w:cs="Arial"/>
          <w:color w:val="000000"/>
          <w:kern w:val="0"/>
          <w:szCs w:val="21"/>
        </w:rPr>
      </w:pPr>
      <w:r>
        <w:rPr>
          <w:rFonts w:ascii="Arial" w:hAnsi="Arial" w:cs="Arial"/>
          <w:szCs w:val="21"/>
        </w:rPr>
        <w:t>2）</w:t>
      </w:r>
      <w:r>
        <w:rPr>
          <w:rFonts w:hint="eastAsia" w:ascii="Arial" w:hAnsi="Arial" w:cs="Arial"/>
          <w:szCs w:val="21"/>
        </w:rPr>
        <w:t>非重庆户籍，最多贷款两套房；只要能提供一年以上社保证明，或在重庆经营公司满一年，能提供相关纳税证明，非重庆户籍也能贷款两套房（需在全国范围内没有或仅有一次申请住房贷款未结清记录，两次以上银行拒贷）</w:t>
      </w:r>
      <w:r>
        <w:rPr>
          <w:rFonts w:hint="eastAsia" w:ascii="Arial" w:hAnsi="Arial" w:cs="Arial"/>
          <w:color w:val="000000"/>
          <w:kern w:val="0"/>
          <w:szCs w:val="21"/>
        </w:rPr>
        <w:t>；贷款首付比例：首套房贷款，首付三成；二套房贷款，首套已结清，首付三成；首套未结清，首付四成；三套房及以上贷款，前两套已结清，首付四成；有未结清贷款，拒贷；如果申请异地公积金贷款，申请需入户重庆半年以上。</w:t>
      </w:r>
    </w:p>
    <w:p>
      <w:pPr>
        <w:pStyle w:val="16"/>
        <w:spacing w:after="0" w:line="480" w:lineRule="auto"/>
        <w:ind w:firstLineChars="200"/>
        <w:rPr>
          <w:rFonts w:ascii="Arial" w:hAnsi="Arial" w:cs="Arial"/>
          <w:color w:val="000000"/>
          <w:kern w:val="0"/>
          <w:szCs w:val="21"/>
        </w:rPr>
      </w:pPr>
      <w:r>
        <w:rPr>
          <w:rFonts w:hint="eastAsia" w:ascii="Arial" w:hAnsi="Arial" w:cs="Arial"/>
          <w:color w:val="000000"/>
          <w:kern w:val="0"/>
          <w:szCs w:val="21"/>
        </w:rPr>
        <w:t>3）在重庆市同时无户籍、无企业、无工作的个人新购首套及以上的普通住房，需缴纳房产税，税率为</w:t>
      </w:r>
      <w:r>
        <w:rPr>
          <w:rFonts w:ascii="Arial" w:hAnsi="Arial" w:cs="Arial"/>
          <w:color w:val="000000"/>
          <w:kern w:val="0"/>
          <w:szCs w:val="21"/>
        </w:rPr>
        <w:t>0.5%。房产税试点区域为主城九区 (</w:t>
      </w:r>
      <w:r>
        <w:rPr>
          <w:rFonts w:hint="eastAsia" w:ascii="Arial" w:hAnsi="Arial" w:cs="Arial"/>
          <w:color w:val="000000"/>
          <w:kern w:val="0"/>
          <w:szCs w:val="21"/>
        </w:rPr>
        <w:t>主城九区为</w:t>
      </w:r>
      <w:r>
        <w:rPr>
          <w:rFonts w:ascii="Arial" w:hAnsi="Arial" w:cs="Arial"/>
          <w:color w:val="000000"/>
          <w:kern w:val="0"/>
          <w:szCs w:val="21"/>
        </w:rPr>
        <w:t>渝中区、江北区、沙坪坝区、九龙坡区、大渡口区、南岸区、北碚区、渝北区、巴南区、两江新区)</w:t>
      </w:r>
      <w:r>
        <w:rPr>
          <w:rFonts w:hint="eastAsia" w:ascii="Arial" w:hAnsi="Arial" w:cs="Arial"/>
          <w:color w:val="000000"/>
          <w:kern w:val="0"/>
          <w:szCs w:val="21"/>
        </w:rPr>
        <w:t>。</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4</w:t>
      </w:r>
      <w:r>
        <w:rPr>
          <w:rStyle w:val="22"/>
          <w:rFonts w:hint="eastAsia" w:ascii="Arial" w:hAnsi="Arial" w:cs="Arial"/>
          <w:sz w:val="24"/>
          <w:szCs w:val="24"/>
        </w:rPr>
        <w:t>）</w:t>
      </w:r>
      <w:r>
        <w:rPr>
          <w:rStyle w:val="22"/>
          <w:rFonts w:ascii="Arial" w:hAnsi="Arial" w:cs="Arial"/>
          <w:sz w:val="24"/>
          <w:szCs w:val="24"/>
        </w:rPr>
        <w:t>按揭情况</w:t>
      </w:r>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按揭行审批情况</w:t>
      </w:r>
    </w:p>
    <w:tbl>
      <w:tblPr>
        <w:tblStyle w:val="17"/>
        <w:tblpPr w:leftFromText="180" w:rightFromText="180" w:vertAnchor="text" w:tblpXSpec="center" w:tblpY="1"/>
        <w:tblOverlap w:val="never"/>
        <w:tblW w:w="5000" w:type="pct"/>
        <w:jc w:val="center"/>
        <w:tblLayout w:type="autofit"/>
        <w:tblCellMar>
          <w:top w:w="15" w:type="dxa"/>
          <w:left w:w="15" w:type="dxa"/>
          <w:bottom w:w="15" w:type="dxa"/>
          <w:right w:w="15" w:type="dxa"/>
        </w:tblCellMar>
      </w:tblPr>
      <w:tblGrid>
        <w:gridCol w:w="599"/>
        <w:gridCol w:w="696"/>
        <w:gridCol w:w="1125"/>
        <w:gridCol w:w="696"/>
        <w:gridCol w:w="830"/>
        <w:gridCol w:w="574"/>
        <w:gridCol w:w="860"/>
        <w:gridCol w:w="1245"/>
        <w:gridCol w:w="1008"/>
        <w:gridCol w:w="2035"/>
      </w:tblGrid>
      <w:tr>
        <w:tblPrEx>
          <w:tblCellMar>
            <w:top w:w="15" w:type="dxa"/>
            <w:left w:w="15" w:type="dxa"/>
            <w:bottom w:w="15" w:type="dxa"/>
            <w:right w:w="15" w:type="dxa"/>
          </w:tblCellMar>
        </w:tblPrEx>
        <w:trPr>
          <w:trHeight w:val="252" w:hRule="atLeast"/>
          <w:tblHeader/>
          <w:jc w:val="center"/>
        </w:trPr>
        <w:tc>
          <w:tcPr>
            <w:tcW w:w="310"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合作</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w:t>
            </w:r>
          </w:p>
        </w:tc>
        <w:tc>
          <w:tcPr>
            <w:tcW w:w="360"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签订协议日期</w:t>
            </w:r>
          </w:p>
        </w:tc>
        <w:tc>
          <w:tcPr>
            <w:tcW w:w="582"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按揭</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类型</w:t>
            </w:r>
          </w:p>
        </w:tc>
        <w:tc>
          <w:tcPr>
            <w:tcW w:w="1531" w:type="pct"/>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贷款政策</w:t>
            </w:r>
          </w:p>
        </w:tc>
        <w:tc>
          <w:tcPr>
            <w:tcW w:w="644"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保证金</w:t>
            </w:r>
          </w:p>
        </w:tc>
        <w:tc>
          <w:tcPr>
            <w:tcW w:w="521" w:type="pct"/>
            <w:vMerge w:val="restart"/>
            <w:tcBorders>
              <w:top w:val="single" w:color="000000" w:sz="4" w:space="0"/>
              <w:left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担保期间</w:t>
            </w:r>
          </w:p>
        </w:tc>
        <w:tc>
          <w:tcPr>
            <w:tcW w:w="1053"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累计已发放贷款（元）</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（截至3月31日）</w:t>
            </w:r>
          </w:p>
        </w:tc>
      </w:tr>
      <w:tr>
        <w:tblPrEx>
          <w:tblCellMar>
            <w:top w:w="15" w:type="dxa"/>
            <w:left w:w="15" w:type="dxa"/>
            <w:bottom w:w="15" w:type="dxa"/>
            <w:right w:w="15" w:type="dxa"/>
          </w:tblCellMar>
        </w:tblPrEx>
        <w:trPr>
          <w:trHeight w:val="343" w:hRule="atLeast"/>
          <w:tblHeader/>
          <w:jc w:val="center"/>
        </w:trPr>
        <w:tc>
          <w:tcPr>
            <w:tcW w:w="31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582"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789"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首套房</w:t>
            </w:r>
          </w:p>
        </w:tc>
        <w:tc>
          <w:tcPr>
            <w:tcW w:w="742"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二套房</w:t>
            </w: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521" w:type="pct"/>
            <w:vMerge w:val="continue"/>
            <w:tcBorders>
              <w:left w:val="single" w:color="000000" w:sz="4" w:space="0"/>
              <w:right w:val="single" w:color="000000" w:sz="4" w:space="0"/>
            </w:tcBorders>
            <w:vAlign w:val="center"/>
          </w:tcPr>
          <w:p>
            <w:pPr>
              <w:jc w:val="center"/>
              <w:rPr>
                <w:rFonts w:ascii="Arial" w:hAnsi="Arial" w:cs="Arial"/>
                <w:color w:val="000000"/>
                <w:sz w:val="18"/>
                <w:szCs w:val="18"/>
              </w:rPr>
            </w:pP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168" w:hRule="atLeast"/>
          <w:tblHeader/>
          <w:jc w:val="center"/>
        </w:trPr>
        <w:tc>
          <w:tcPr>
            <w:tcW w:w="31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582"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297"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4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521" w:type="pct"/>
            <w:vMerge w:val="continue"/>
            <w:tcBorders>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29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建行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r>
              <w:rPr>
                <w:rFonts w:hint="eastAsia" w:ascii="Arial" w:hAnsi="Arial" w:cs="Arial"/>
                <w:sz w:val="18"/>
                <w:szCs w:val="18"/>
              </w:rPr>
              <w:t>-</w:t>
            </w:r>
            <w:r>
              <w:rPr>
                <w:rFonts w:ascii="Arial" w:hAnsi="Arial" w:cs="Arial"/>
                <w:sz w:val="18"/>
                <w:szCs w:val="18"/>
              </w:rPr>
              <w:t>公积金</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rPr>
              <w:t>213,988,000.00</w:t>
            </w:r>
          </w:p>
        </w:tc>
      </w:tr>
      <w:tr>
        <w:tblPrEx>
          <w:tblCellMar>
            <w:top w:w="15" w:type="dxa"/>
            <w:left w:w="15" w:type="dxa"/>
            <w:bottom w:w="15" w:type="dxa"/>
            <w:right w:w="15" w:type="dxa"/>
          </w:tblCellMar>
        </w:tblPrEx>
        <w:trPr>
          <w:trHeight w:val="283"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工行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r>
              <w:rPr>
                <w:rFonts w:hint="eastAsia" w:ascii="Arial" w:hAnsi="Arial" w:cs="Arial"/>
                <w:sz w:val="18"/>
                <w:szCs w:val="18"/>
              </w:rPr>
              <w:t>-</w:t>
            </w:r>
            <w:r>
              <w:rPr>
                <w:rFonts w:ascii="Arial" w:hAnsi="Arial" w:cs="Arial"/>
                <w:sz w:val="18"/>
                <w:szCs w:val="18"/>
              </w:rPr>
              <w:t>公积金</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rPr>
              <w:t>129,274,005.24</w:t>
            </w:r>
          </w:p>
        </w:tc>
      </w:tr>
      <w:tr>
        <w:tblPrEx>
          <w:tblCellMar>
            <w:top w:w="15" w:type="dxa"/>
            <w:left w:w="15" w:type="dxa"/>
            <w:bottom w:w="15" w:type="dxa"/>
            <w:right w:w="15" w:type="dxa"/>
          </w:tblCellMar>
        </w:tblPrEx>
        <w:trPr>
          <w:trHeight w:val="17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民生</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rPr>
              <w:t>98,747,000.00</w:t>
            </w:r>
          </w:p>
        </w:tc>
      </w:tr>
      <w:tr>
        <w:tblPrEx>
          <w:tblCellMar>
            <w:top w:w="15" w:type="dxa"/>
            <w:left w:w="15" w:type="dxa"/>
            <w:bottom w:w="15" w:type="dxa"/>
            <w:right w:w="15" w:type="dxa"/>
          </w:tblCellMar>
        </w:tblPrEx>
        <w:trPr>
          <w:trHeight w:val="283"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农商</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77,955,000.00</w:t>
            </w:r>
          </w:p>
        </w:tc>
      </w:tr>
      <w:tr>
        <w:tblPrEx>
          <w:tblCellMar>
            <w:top w:w="15" w:type="dxa"/>
            <w:left w:w="15" w:type="dxa"/>
            <w:bottom w:w="15" w:type="dxa"/>
            <w:right w:w="15" w:type="dxa"/>
          </w:tblCellMar>
        </w:tblPrEx>
        <w:trPr>
          <w:trHeight w:val="14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17,538,000.00</w:t>
            </w:r>
          </w:p>
        </w:tc>
      </w:tr>
      <w:tr>
        <w:tblPrEx>
          <w:tblCellMar>
            <w:top w:w="15" w:type="dxa"/>
            <w:left w:w="15" w:type="dxa"/>
            <w:bottom w:w="15" w:type="dxa"/>
            <w:right w:w="15" w:type="dxa"/>
          </w:tblCellMar>
        </w:tblPrEx>
        <w:trPr>
          <w:trHeight w:val="12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中行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6,399,000.00</w:t>
            </w:r>
          </w:p>
        </w:tc>
      </w:tr>
      <w:tr>
        <w:tblPrEx>
          <w:tblCellMar>
            <w:top w:w="15" w:type="dxa"/>
            <w:left w:w="15" w:type="dxa"/>
            <w:bottom w:w="15" w:type="dxa"/>
            <w:right w:w="15" w:type="dxa"/>
          </w:tblCellMar>
        </w:tblPrEx>
        <w:trPr>
          <w:trHeight w:val="128" w:hRule="atLeast"/>
          <w:jc w:val="center"/>
        </w:trPr>
        <w:tc>
          <w:tcPr>
            <w:tcW w:w="3947" w:type="pct"/>
            <w:gridSpan w:val="9"/>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合计</w:t>
            </w:r>
          </w:p>
        </w:tc>
        <w:tc>
          <w:tcPr>
            <w:tcW w:w="105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rPr>
            </w:pPr>
            <w:r>
              <w:rPr>
                <w:rFonts w:ascii="Arial" w:hAnsi="Arial" w:cs="Arial"/>
                <w:b/>
                <w:bCs/>
                <w:sz w:val="18"/>
                <w:szCs w:val="18"/>
              </w:rPr>
              <w:t>543,901,005.24</w:t>
            </w:r>
          </w:p>
        </w:tc>
      </w:tr>
    </w:tbl>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5</w:t>
      </w:r>
      <w:r>
        <w:rPr>
          <w:rStyle w:val="22"/>
          <w:rFonts w:hint="eastAsia" w:ascii="Arial" w:hAnsi="Arial" w:cs="Arial"/>
          <w:sz w:val="24"/>
          <w:szCs w:val="24"/>
        </w:rPr>
        <w:t>）</w:t>
      </w:r>
      <w:r>
        <w:rPr>
          <w:rStyle w:val="22"/>
          <w:rFonts w:ascii="Arial" w:hAnsi="Arial" w:cs="Arial"/>
          <w:sz w:val="24"/>
          <w:szCs w:val="24"/>
        </w:rPr>
        <w:t>周边竞品楼盘情况</w:t>
      </w:r>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项目周边竞品情况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291"/>
        <w:gridCol w:w="924"/>
        <w:gridCol w:w="1508"/>
        <w:gridCol w:w="2544"/>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楼盘名</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开盘时间</w:t>
            </w:r>
          </w:p>
          <w:p>
            <w:pPr>
              <w:jc w:val="center"/>
              <w:rPr>
                <w:rFonts w:ascii="Arial" w:hAnsi="Arial" w:cs="Arial"/>
                <w:b/>
                <w:sz w:val="18"/>
                <w:szCs w:val="18"/>
              </w:rPr>
            </w:pPr>
            <w:r>
              <w:rPr>
                <w:rFonts w:ascii="Arial" w:hAnsi="Arial" w:cs="Arial"/>
                <w:b/>
                <w:sz w:val="18"/>
                <w:szCs w:val="18"/>
              </w:rPr>
              <w:t>（首次）</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容积率</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建筑面积</w:t>
            </w:r>
          </w:p>
          <w:p>
            <w:pPr>
              <w:jc w:val="center"/>
              <w:rPr>
                <w:rFonts w:ascii="Arial" w:hAnsi="Arial" w:cs="Arial"/>
                <w:b/>
                <w:sz w:val="18"/>
                <w:szCs w:val="18"/>
              </w:rPr>
            </w:pPr>
            <w:r>
              <w:rPr>
                <w:rFonts w:ascii="Arial" w:hAnsi="Arial" w:cs="Arial"/>
                <w:b/>
                <w:sz w:val="18"/>
                <w:szCs w:val="18"/>
              </w:rPr>
              <w:t>（万㎡）</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物业类型：</w:t>
            </w:r>
          </w:p>
          <w:p>
            <w:pPr>
              <w:jc w:val="center"/>
              <w:rPr>
                <w:rFonts w:ascii="Arial" w:hAnsi="Arial" w:cs="Arial"/>
                <w:b/>
                <w:sz w:val="18"/>
                <w:szCs w:val="18"/>
              </w:rPr>
            </w:pPr>
            <w:r>
              <w:rPr>
                <w:rFonts w:ascii="Arial" w:hAnsi="Arial" w:cs="Arial"/>
                <w:b/>
                <w:sz w:val="18"/>
                <w:szCs w:val="18"/>
              </w:rPr>
              <w:t>售价（元</w:t>
            </w:r>
            <w:r>
              <w:rPr>
                <w:rFonts w:hint="eastAsia" w:ascii="Arial" w:hAnsi="Arial" w:cs="Arial"/>
                <w:b/>
                <w:sz w:val="18"/>
                <w:szCs w:val="18"/>
              </w:rPr>
              <w:t>-</w:t>
            </w:r>
            <w:r>
              <w:rPr>
                <w:rFonts w:ascii="Arial" w:hAnsi="Arial" w:cs="Arial"/>
                <w:b/>
                <w:sz w:val="18"/>
                <w:szCs w:val="18"/>
              </w:rPr>
              <w:t>㎡）</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车距</w:t>
            </w:r>
          </w:p>
          <w:p>
            <w:pPr>
              <w:jc w:val="center"/>
              <w:rPr>
                <w:rFonts w:ascii="Arial" w:hAnsi="Arial" w:cs="Arial"/>
                <w:sz w:val="18"/>
                <w:szCs w:val="18"/>
              </w:rPr>
            </w:pPr>
            <w:r>
              <w:rPr>
                <w:rFonts w:ascii="Arial" w:hAnsi="Arial" w:cs="Arial"/>
                <w:b/>
                <w:sz w:val="18"/>
                <w:szCs w:val="18"/>
              </w:rPr>
              <w:t>去化情况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南溪</w:t>
            </w:r>
          </w:p>
          <w:p>
            <w:pPr>
              <w:jc w:val="center"/>
              <w:rPr>
                <w:rFonts w:ascii="Arial" w:hAnsi="Arial" w:cs="Arial"/>
                <w:sz w:val="18"/>
                <w:szCs w:val="18"/>
              </w:rPr>
            </w:pPr>
            <w:r>
              <w:rPr>
                <w:rFonts w:ascii="Arial" w:hAnsi="Arial" w:cs="Arial"/>
                <w:sz w:val="18"/>
                <w:szCs w:val="18"/>
              </w:rPr>
              <w:t>绿郡</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2014-03-28</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1.9</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71</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w:t>
            </w:r>
            <w:r>
              <w:rPr>
                <w:rFonts w:hint="eastAsia" w:ascii="Arial" w:hAnsi="Arial" w:cs="Arial"/>
                <w:sz w:val="18"/>
                <w:szCs w:val="18"/>
              </w:rPr>
              <w:t>-</w:t>
            </w:r>
            <w:r>
              <w:rPr>
                <w:rFonts w:ascii="Arial" w:hAnsi="Arial" w:cs="Arial"/>
                <w:sz w:val="18"/>
                <w:szCs w:val="18"/>
              </w:rPr>
              <w:t>毛坯：7,500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0.2km</w:t>
            </w:r>
          </w:p>
          <w:p>
            <w:pPr>
              <w:jc w:val="center"/>
              <w:rPr>
                <w:rFonts w:ascii="Arial" w:hAnsi="Arial" w:cs="Arial"/>
                <w:color w:val="FF0000"/>
                <w:sz w:val="18"/>
                <w:szCs w:val="18"/>
              </w:rPr>
            </w:pPr>
            <w:r>
              <w:rPr>
                <w:rFonts w:ascii="Arial" w:hAnsi="Arial" w:cs="Arial"/>
                <w:sz w:val="18"/>
                <w:szCs w:val="18"/>
              </w:rPr>
              <w:t>2016年5月售罄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新科城市广场</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2014-12-27</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2.8</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w:t>
            </w:r>
            <w:r>
              <w:rPr>
                <w:rFonts w:hint="eastAsia" w:ascii="Arial" w:hAnsi="Arial" w:cs="Arial"/>
                <w:sz w:val="18"/>
                <w:szCs w:val="18"/>
              </w:rPr>
              <w:t>-</w:t>
            </w:r>
            <w:r>
              <w:rPr>
                <w:rFonts w:ascii="Arial" w:hAnsi="Arial" w:cs="Arial"/>
                <w:sz w:val="18"/>
                <w:szCs w:val="18"/>
              </w:rPr>
              <w:t>毛坯：8,500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1.2km</w:t>
            </w:r>
          </w:p>
          <w:p>
            <w:pPr>
              <w:jc w:val="center"/>
              <w:rPr>
                <w:rFonts w:ascii="Arial" w:hAnsi="Arial" w:cs="Arial"/>
                <w:color w:val="FF0000"/>
                <w:sz w:val="18"/>
                <w:szCs w:val="18"/>
              </w:rPr>
            </w:pPr>
            <w:r>
              <w:rPr>
                <w:rFonts w:ascii="Arial" w:hAnsi="Arial" w:cs="Arial"/>
                <w:sz w:val="18"/>
                <w:szCs w:val="18"/>
              </w:rPr>
              <w:t>2016年6月售罄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翡丽</w:t>
            </w:r>
          </w:p>
          <w:p>
            <w:pPr>
              <w:jc w:val="center"/>
              <w:rPr>
                <w:rFonts w:ascii="Arial" w:hAnsi="Arial" w:cs="Arial"/>
                <w:sz w:val="18"/>
                <w:szCs w:val="18"/>
              </w:rPr>
            </w:pPr>
            <w:r>
              <w:rPr>
                <w:rFonts w:ascii="Arial" w:hAnsi="Arial" w:cs="Arial"/>
                <w:sz w:val="18"/>
                <w:szCs w:val="18"/>
              </w:rPr>
              <w:t>锦悦</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2019-01-04</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22</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高层／毛坯：9,000</w:t>
            </w:r>
          </w:p>
          <w:p>
            <w:pPr>
              <w:jc w:val="center"/>
              <w:rPr>
                <w:rFonts w:ascii="Arial" w:hAnsi="Arial" w:cs="Arial"/>
                <w:sz w:val="18"/>
                <w:szCs w:val="18"/>
              </w:rPr>
            </w:pPr>
            <w:r>
              <w:rPr>
                <w:rFonts w:ascii="Arial" w:hAnsi="Arial" w:cs="Arial"/>
                <w:sz w:val="18"/>
                <w:szCs w:val="18"/>
              </w:rPr>
              <w:t>洋房</w:t>
            </w:r>
            <w:r>
              <w:rPr>
                <w:rFonts w:hint="eastAsia" w:ascii="Arial" w:hAnsi="Arial" w:cs="Arial"/>
                <w:sz w:val="18"/>
                <w:szCs w:val="18"/>
              </w:rPr>
              <w:t>-</w:t>
            </w:r>
            <w:r>
              <w:rPr>
                <w:rFonts w:ascii="Arial" w:hAnsi="Arial" w:cs="Arial"/>
                <w:sz w:val="18"/>
                <w:szCs w:val="18"/>
              </w:rPr>
              <w:t>毛坯：10,500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1.7km</w:t>
            </w:r>
          </w:p>
          <w:p>
            <w:pPr>
              <w:jc w:val="center"/>
              <w:rPr>
                <w:rFonts w:ascii="Arial" w:hAnsi="Arial" w:cs="Arial"/>
                <w:sz w:val="18"/>
                <w:szCs w:val="18"/>
              </w:rPr>
            </w:pPr>
            <w:r>
              <w:rPr>
                <w:rFonts w:ascii="Arial" w:hAnsi="Arial" w:cs="Arial"/>
                <w:sz w:val="18"/>
                <w:szCs w:val="18"/>
              </w:rPr>
              <w:t>月去化20套</w:t>
            </w:r>
          </w:p>
          <w:p>
            <w:pPr>
              <w:jc w:val="center"/>
              <w:rPr>
                <w:rFonts w:ascii="Arial" w:hAnsi="Arial" w:cs="Arial"/>
                <w:color w:val="FF0000"/>
                <w:sz w:val="18"/>
                <w:szCs w:val="18"/>
              </w:rPr>
            </w:pPr>
            <w:r>
              <w:rPr>
                <w:rFonts w:ascii="Arial" w:hAnsi="Arial" w:cs="Arial"/>
                <w:sz w:val="18"/>
                <w:szCs w:val="18"/>
              </w:rPr>
              <w:t>去化率30%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御华</w:t>
            </w:r>
          </w:p>
          <w:p>
            <w:pPr>
              <w:jc w:val="center"/>
              <w:rPr>
                <w:rFonts w:ascii="Arial" w:hAnsi="Arial" w:cs="Arial"/>
                <w:sz w:val="18"/>
                <w:szCs w:val="18"/>
              </w:rPr>
            </w:pPr>
            <w:r>
              <w:rPr>
                <w:rFonts w:ascii="Arial" w:hAnsi="Arial" w:cs="Arial"/>
                <w:sz w:val="18"/>
                <w:szCs w:val="18"/>
              </w:rPr>
              <w:t>兰亭</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2019-04-04</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2.3</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57</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高层／毛坯：9,400</w:t>
            </w:r>
          </w:p>
          <w:p>
            <w:pPr>
              <w:jc w:val="center"/>
              <w:rPr>
                <w:rFonts w:ascii="Arial" w:hAnsi="Arial" w:cs="Arial"/>
                <w:sz w:val="18"/>
                <w:szCs w:val="18"/>
              </w:rPr>
            </w:pPr>
            <w:r>
              <w:rPr>
                <w:rFonts w:ascii="Arial" w:hAnsi="Arial" w:cs="Arial"/>
                <w:sz w:val="18"/>
                <w:szCs w:val="18"/>
              </w:rPr>
              <w:t>洋房</w:t>
            </w:r>
            <w:r>
              <w:rPr>
                <w:rFonts w:hint="eastAsia" w:ascii="Arial" w:hAnsi="Arial" w:cs="Arial"/>
                <w:sz w:val="18"/>
                <w:szCs w:val="18"/>
              </w:rPr>
              <w:t>-</w:t>
            </w:r>
            <w:r>
              <w:rPr>
                <w:rFonts w:ascii="Arial" w:hAnsi="Arial" w:cs="Arial"/>
                <w:sz w:val="18"/>
                <w:szCs w:val="18"/>
              </w:rPr>
              <w:t>毛坯：11,000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3.3km</w:t>
            </w:r>
          </w:p>
          <w:p>
            <w:pPr>
              <w:jc w:val="center"/>
              <w:rPr>
                <w:rFonts w:ascii="Arial" w:hAnsi="Arial" w:cs="Arial"/>
                <w:sz w:val="18"/>
                <w:szCs w:val="18"/>
              </w:rPr>
            </w:pPr>
            <w:r>
              <w:rPr>
                <w:rFonts w:ascii="Arial" w:hAnsi="Arial" w:cs="Arial"/>
                <w:sz w:val="18"/>
                <w:szCs w:val="18"/>
              </w:rPr>
              <w:t>月去化110套</w:t>
            </w:r>
          </w:p>
          <w:p>
            <w:pPr>
              <w:jc w:val="center"/>
              <w:rPr>
                <w:rFonts w:ascii="Arial" w:hAnsi="Arial" w:cs="Arial"/>
                <w:color w:val="FF0000"/>
                <w:sz w:val="18"/>
                <w:szCs w:val="18"/>
              </w:rPr>
            </w:pPr>
            <w:r>
              <w:rPr>
                <w:rFonts w:ascii="Arial" w:hAnsi="Arial" w:cs="Arial"/>
                <w:sz w:val="18"/>
                <w:szCs w:val="18"/>
              </w:rPr>
              <w:t>去化率22%</w:t>
            </w:r>
          </w:p>
        </w:tc>
      </w:tr>
    </w:tbl>
    <w:p>
      <w:bookmarkStart w:id="4" w:name="_Toc22047"/>
    </w:p>
    <w:p>
      <w:pPr>
        <w:spacing w:before="300" w:after="300" w:line="360" w:lineRule="exact"/>
        <w:outlineLvl w:val="1"/>
        <w:rPr>
          <w:rStyle w:val="22"/>
          <w:rFonts w:ascii="Arial" w:hAnsi="Arial" w:cs="Arial"/>
          <w:sz w:val="24"/>
          <w:szCs w:val="24"/>
        </w:rPr>
      </w:pPr>
      <w:r>
        <w:rPr>
          <w:rStyle w:val="22"/>
          <w:rFonts w:ascii="Arial" w:hAnsi="Arial" w:cs="Arial"/>
          <w:sz w:val="24"/>
          <w:szCs w:val="24"/>
        </w:rPr>
        <w:t>3、项目开发进展情况</w:t>
      </w:r>
      <w:bookmarkEnd w:id="4"/>
    </w:p>
    <w:p>
      <w:pPr>
        <w:spacing w:before="300" w:after="300" w:line="360" w:lineRule="exact"/>
        <w:outlineLvl w:val="1"/>
        <w:rPr>
          <w:rStyle w:val="22"/>
          <w:rFonts w:ascii="Arial" w:hAnsi="Arial" w:cs="Arial"/>
          <w:sz w:val="24"/>
          <w:szCs w:val="24"/>
        </w:rPr>
      </w:pPr>
      <w:r>
        <w:rPr>
          <w:rStyle w:val="22"/>
          <w:rFonts w:ascii="Arial" w:hAnsi="Arial" w:cs="Arial"/>
          <w:sz w:val="24"/>
          <w:szCs w:val="24"/>
        </w:rPr>
        <w:t>（1）项目基本情况</w:t>
      </w:r>
    </w:p>
    <w:p>
      <w:pPr>
        <w:spacing w:line="480" w:lineRule="auto"/>
        <w:ind w:firstLine="420" w:firstLineChars="200"/>
        <w:rPr>
          <w:rFonts w:ascii="Arial" w:hAnsi="Arial" w:cs="Arial"/>
          <w:color w:val="FF0000"/>
          <w:sz w:val="21"/>
          <w:szCs w:val="21"/>
        </w:rPr>
      </w:pPr>
      <w:r>
        <w:rPr>
          <w:rFonts w:hint="eastAsia" w:ascii="Arial" w:hAnsi="Arial" w:cs="Arial"/>
          <w:color w:val="FF0000"/>
          <w:sz w:val="21"/>
          <w:szCs w:val="21"/>
        </w:rPr>
        <w:t xml:space="preserve"> </w:t>
      </w:r>
      <w:r>
        <w:rPr>
          <w:rFonts w:hint="eastAsia" w:ascii="Arial" w:hAnsi="Arial" w:cs="Arial"/>
          <w:color w:val="000000" w:themeColor="text1"/>
          <w:sz w:val="21"/>
          <w:szCs w:val="21"/>
          <w14:textFill>
            <w14:solidFill>
              <w14:schemeClr w14:val="tx1"/>
            </w14:solidFill>
          </w14:textFill>
        </w:rPr>
        <w:t>重庆恒大锦城项目位于重庆市巴南区界石片区，东至现状路，南至渝湘高速，西至兰海高速，北至石辰路。距重庆市政府车距</w:t>
      </w:r>
      <w:r>
        <w:rPr>
          <w:rFonts w:ascii="Arial" w:hAnsi="Arial" w:cs="Arial"/>
          <w:color w:val="000000" w:themeColor="text1"/>
          <w:sz w:val="21"/>
          <w:szCs w:val="21"/>
          <w14:textFill>
            <w14:solidFill>
              <w14:schemeClr w14:val="tx1"/>
            </w14:solidFill>
          </w14:textFill>
        </w:rPr>
        <w:t>26.6km，距巴南区政府车距11.3km，距界石镇政府车距1.8km，距主商业中心（观音桥）车距27.9km，距巴南万达广场车距10.9km，距离恒大城车距13.9km，距离恒大御景湾车距15.6km，距离恒大新城车距16.7km。</w:t>
      </w:r>
      <w:r>
        <w:rPr>
          <w:rFonts w:hint="eastAsia" w:ascii="Arial" w:hAnsi="Arial" w:cs="Arial"/>
          <w:color w:val="000000" w:themeColor="text1"/>
          <w:sz w:val="21"/>
          <w:szCs w:val="21"/>
          <w14:textFill>
            <w14:solidFill>
              <w14:schemeClr w14:val="tx1"/>
            </w14:solidFill>
          </w14:textFill>
        </w:rPr>
        <w:t>地块占地约</w:t>
      </w:r>
      <w:r>
        <w:rPr>
          <w:rFonts w:ascii="Arial" w:hAnsi="Arial" w:cs="Arial"/>
          <w:color w:val="000000" w:themeColor="text1"/>
          <w:sz w:val="21"/>
          <w:szCs w:val="21"/>
          <w14:textFill>
            <w14:solidFill>
              <w14:schemeClr w14:val="tx1"/>
            </w14:solidFill>
          </w14:textFill>
        </w:rPr>
        <w:t>23.9万㎡，折合358.2亩，二类居住用地，容积率1.96，总计容面积约46.7万㎡，限高60m-100m。</w:t>
      </w:r>
    </w:p>
    <w:p>
      <w:pPr>
        <w:pStyle w:val="12"/>
        <w:spacing w:line="480" w:lineRule="auto"/>
        <w:ind w:left="480"/>
        <w:rPr>
          <w:rFonts w:ascii="Arial" w:hAnsi="Arial" w:eastAsia="宋体" w:cs="Arial"/>
          <w:sz w:val="21"/>
          <w:szCs w:val="21"/>
        </w:rPr>
      </w:pPr>
      <w:r>
        <w:rPr>
          <w:rFonts w:ascii="Arial" w:hAnsi="Arial" w:eastAsia="宋体" w:cs="Arial"/>
          <w:sz w:val="21"/>
          <w:szCs w:val="21"/>
        </w:rPr>
        <w:t>施工总承包： 中国航天技术国际工程有限公司</w:t>
      </w:r>
    </w:p>
    <w:p>
      <w:pPr>
        <w:pStyle w:val="12"/>
        <w:spacing w:line="480" w:lineRule="auto"/>
        <w:ind w:left="480"/>
        <w:rPr>
          <w:rFonts w:ascii="Arial" w:hAnsi="Arial" w:eastAsia="宋体" w:cs="Arial"/>
          <w:sz w:val="21"/>
          <w:szCs w:val="21"/>
        </w:rPr>
      </w:pPr>
      <w:r>
        <w:rPr>
          <w:rFonts w:ascii="Arial" w:hAnsi="Arial" w:eastAsia="宋体" w:cs="Arial"/>
          <w:sz w:val="21"/>
          <w:szCs w:val="21"/>
        </w:rPr>
        <w:t>监理单位：</w:t>
      </w:r>
      <w:r>
        <w:rPr>
          <w:rFonts w:hint="eastAsia" w:ascii="Arial" w:hAnsi="Arial" w:eastAsia="宋体" w:cs="Arial"/>
          <w:sz w:val="21"/>
          <w:szCs w:val="21"/>
        </w:rPr>
        <w:t xml:space="preserve"> 广州市恒合工程监理有限公司</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2</w:t>
      </w:r>
      <w:r>
        <w:rPr>
          <w:rStyle w:val="22"/>
          <w:rFonts w:hint="eastAsia" w:ascii="Arial" w:hAnsi="Arial" w:cs="Arial"/>
          <w:sz w:val="24"/>
          <w:szCs w:val="24"/>
        </w:rPr>
        <w:t>）</w:t>
      </w:r>
      <w:r>
        <w:rPr>
          <w:rStyle w:val="22"/>
          <w:rFonts w:ascii="Arial" w:hAnsi="Arial" w:cs="Arial"/>
          <w:sz w:val="24"/>
          <w:szCs w:val="24"/>
        </w:rPr>
        <w:t>工程进度情况</w:t>
      </w:r>
    </w:p>
    <w:p>
      <w:pPr>
        <w:widowControl w:val="0"/>
        <w:adjustRightInd w:val="0"/>
        <w:snapToGrid w:val="0"/>
        <w:spacing w:before="326" w:beforeLines="100"/>
        <w:contextualSpacing/>
        <w:jc w:val="center"/>
        <w:rPr>
          <w:rFonts w:ascii="Arial" w:hAnsi="Arial" w:cs="Arial"/>
          <w:b/>
          <w:szCs w:val="28"/>
        </w:rPr>
      </w:pPr>
      <w:r>
        <w:rPr>
          <w:rFonts w:hint="eastAsia" w:ascii="Arial" w:hAnsi="Arial" w:cs="Arial"/>
          <w:b/>
          <w:szCs w:val="28"/>
        </w:rPr>
        <w:t>项目工程施工情况表</w:t>
      </w:r>
    </w:p>
    <w:tbl>
      <w:tblPr>
        <w:tblStyle w:val="17"/>
        <w:tblW w:w="5000" w:type="pct"/>
        <w:jc w:val="center"/>
        <w:tblLayout w:type="autofit"/>
        <w:tblCellMar>
          <w:top w:w="0" w:type="dxa"/>
          <w:left w:w="108" w:type="dxa"/>
          <w:bottom w:w="0" w:type="dxa"/>
          <w:right w:w="108" w:type="dxa"/>
        </w:tblCellMar>
      </w:tblPr>
      <w:tblGrid>
        <w:gridCol w:w="1023"/>
        <w:gridCol w:w="1287"/>
        <w:gridCol w:w="2047"/>
        <w:gridCol w:w="3197"/>
        <w:gridCol w:w="2300"/>
      </w:tblGrid>
      <w:tr>
        <w:tblPrEx>
          <w:tblCellMar>
            <w:top w:w="0" w:type="dxa"/>
            <w:left w:w="108" w:type="dxa"/>
            <w:bottom w:w="0" w:type="dxa"/>
            <w:right w:w="108" w:type="dxa"/>
          </w:tblCellMar>
        </w:tblPrEx>
        <w:trPr>
          <w:trHeight w:val="23" w:hRule="atLeast"/>
          <w:tblHeader/>
          <w:jc w:val="center"/>
        </w:trPr>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序号</w:t>
            </w:r>
          </w:p>
        </w:tc>
        <w:tc>
          <w:tcPr>
            <w:tcW w:w="67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楼栋号</w:t>
            </w:r>
          </w:p>
        </w:tc>
        <w:tc>
          <w:tcPr>
            <w:tcW w:w="95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业态</w:t>
            </w:r>
          </w:p>
        </w:tc>
        <w:tc>
          <w:tcPr>
            <w:tcW w:w="1642"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Arial" w:hAnsi="Arial" w:cs="Arial"/>
                <w:b/>
                <w:bCs/>
                <w:sz w:val="18"/>
                <w:szCs w:val="18"/>
              </w:rPr>
            </w:pPr>
            <w:r>
              <w:rPr>
                <w:rFonts w:ascii="Arial" w:hAnsi="Arial" w:cs="Arial"/>
                <w:b/>
                <w:bCs/>
                <w:sz w:val="18"/>
                <w:szCs w:val="18"/>
              </w:rPr>
              <w:t>形象进度</w:t>
            </w:r>
          </w:p>
        </w:tc>
        <w:tc>
          <w:tcPr>
            <w:tcW w:w="118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合同交楼时间</w:t>
            </w: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19#</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销售中心</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完工</w:t>
            </w:r>
          </w:p>
        </w:tc>
        <w:tc>
          <w:tcPr>
            <w:tcW w:w="1187"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18#</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综合楼</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完工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商业（1F）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广告位装饰完成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结构封顶，砌体2-9层施工完成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102"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10</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结构封顶，砌体6-7层施工完成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9#</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12</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10#</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13</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11#</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结构封顶，砌体开始施工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14</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12#</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15</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13#</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16</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14#</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17</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15#</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结构封顶，吊篮安装完成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18</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16#</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结构封顶，砌体5-7层施工完成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19</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17#</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结构封顶，砌体4-7层施工完成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20</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4#车库</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地下室一层</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主体结构完成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22</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21#</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23</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22#</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6层顶板钢筋施工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24</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23#</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7层顶板钢筋施工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25</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24#</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26</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25#</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5层顶板钢筋施工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27</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26#</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屋面机房支模架钢筋施工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28</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5#车库</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负一层、负二层</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结构完成60%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29</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27#</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30</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28#</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-2F)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8层待浇筑混凝土</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31</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29#</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商业、社区用房（1F）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砌体施工完成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32</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6#车库</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负一层、负二层</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主体结构完成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33</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30#</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34</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31#</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9层顶板钢筋施工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35</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32#</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36</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33#</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37</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34#</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小高层（9F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38</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7#车库</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负一层</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结构完成50%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39</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47#</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结构封顶，砌体2-9层施工完成</w:t>
            </w:r>
          </w:p>
        </w:tc>
        <w:tc>
          <w:tcPr>
            <w:tcW w:w="1187"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2023-10-30</w:t>
            </w: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40</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48#</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结构封顶，砌体4-9层施工完成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41</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49#</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结构封顶，砌体5-9层施工完成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42</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50#</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结构封顶，砌体完成，抹灰施工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43</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51#</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44</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52#</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结构封顶，砌体施工开始</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45</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53#</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商业、社区用房（3F）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基础完成，1层顶板钢筋施工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46</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54#</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结构封顶，砌体1-7层施工完成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47</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55#</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结构封顶，砌体3~7施工完成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48</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56#</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49</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57#</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50</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58#</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结构封顶，砌体施工开始</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51</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59#</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结构封顶，砌体2-7层施工完成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52</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60#</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53</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61#</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结构封顶，砌体1-7层施工完成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54</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62#</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结构封顶，砌体1-7层施工完成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55</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63#</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结构封顶，砌体3-7层施工完成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56</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64#</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结构封顶，砌体1-7层施工完成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57</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65#</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结构封顶，砌体1-7层施工完成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58</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66#</w:t>
            </w:r>
          </w:p>
        </w:tc>
        <w:tc>
          <w:tcPr>
            <w:tcW w:w="959"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结构封顶，砌体施工完成</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59</w:t>
            </w:r>
          </w:p>
        </w:tc>
        <w:tc>
          <w:tcPr>
            <w:tcW w:w="673" w:type="pct"/>
            <w:tcBorders>
              <w:top w:val="nil"/>
              <w:left w:val="nil"/>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2#车库</w:t>
            </w:r>
          </w:p>
        </w:tc>
        <w:tc>
          <w:tcPr>
            <w:tcW w:w="959" w:type="pct"/>
            <w:tcBorders>
              <w:top w:val="nil"/>
              <w:left w:val="nil"/>
              <w:bottom w:val="single" w:color="auto" w:sz="4" w:space="0"/>
              <w:right w:val="single" w:color="auto" w:sz="4" w:space="0"/>
            </w:tcBorders>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负一层</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color w:val="000000"/>
                <w:sz w:val="18"/>
                <w:szCs w:val="18"/>
              </w:rPr>
            </w:pPr>
            <w:r>
              <w:rPr>
                <w:rFonts w:hint="eastAsia"/>
                <w:color w:val="000000"/>
                <w:sz w:val="18"/>
                <w:szCs w:val="18"/>
                <w:lang w:bidi="ar"/>
              </w:rPr>
              <w:t>车库结构施工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60</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35#</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浅基础开挖完成90%</w:t>
            </w:r>
          </w:p>
        </w:tc>
        <w:tc>
          <w:tcPr>
            <w:tcW w:w="1187"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36#</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浅基础开挖完成90%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62</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37#</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桩基完成浇筑；浅基础开始施工10%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63</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38#</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负一层顶板模板铺设完成，竖向模板施工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64</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39#</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商业、社区用房（3F）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桩基完成80%；浅基础未施工</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65</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40#</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负一层顶板模板铺设完成，竖向模板施工，梁筋开始绑扎</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66</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41#</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负一层顶板混凝土浇筑完成，首层外架搭设</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67</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42#</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w:t>
            </w:r>
            <w:r>
              <w:rPr>
                <w:rFonts w:hint="eastAsia" w:ascii="Arial" w:hAnsi="Arial" w:cs="Arial"/>
                <w:sz w:val="18"/>
                <w:szCs w:val="18"/>
              </w:rPr>
              <w:t>-</w:t>
            </w:r>
            <w:r>
              <w:rPr>
                <w:rFonts w:ascii="Arial" w:hAnsi="Arial" w:cs="Arial"/>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负一层顶板模板基本完成，竖向钢筋开始绑扎</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68</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43#</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浅基础开挖完成20%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69</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44#</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浅基础开挖完成10%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70</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45#</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浅基础开挖完成10%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46#</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浅基础开挖完成10%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72</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1#车库</w:t>
            </w:r>
          </w:p>
        </w:tc>
        <w:tc>
          <w:tcPr>
            <w:tcW w:w="959"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负一层</w:t>
            </w:r>
          </w:p>
        </w:tc>
        <w:tc>
          <w:tcPr>
            <w:tcW w:w="3197" w:type="dxa"/>
            <w:tcBorders>
              <w:top w:val="nil"/>
              <w:left w:val="nil"/>
              <w:bottom w:val="single" w:color="auto" w:sz="4" w:space="0"/>
              <w:right w:val="single" w:color="auto" w:sz="4" w:space="0"/>
            </w:tcBorders>
            <w:shd w:val="clear" w:color="000000" w:fill="FFFFFF"/>
            <w:vAlign w:val="center"/>
          </w:tcPr>
          <w:p>
            <w:pPr>
              <w:jc w:val="center"/>
              <w:textAlignment w:val="center"/>
              <w:rPr>
                <w:rFonts w:ascii="Arial" w:hAnsi="Arial" w:cs="Arial"/>
                <w:sz w:val="18"/>
                <w:szCs w:val="18"/>
              </w:rPr>
            </w:pPr>
            <w:r>
              <w:rPr>
                <w:rFonts w:hint="eastAsia"/>
                <w:color w:val="000000"/>
                <w:sz w:val="18"/>
                <w:szCs w:val="18"/>
                <w:lang w:bidi="ar"/>
              </w:rPr>
              <w:t>浅基础开挖完成10%</w:t>
            </w:r>
          </w:p>
        </w:tc>
        <w:tc>
          <w:tcPr>
            <w:tcW w:w="1187"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73</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67#</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Arial" w:hAnsi="Arial" w:cs="Arial"/>
                <w:sz w:val="18"/>
                <w:szCs w:val="18"/>
              </w:rPr>
            </w:pPr>
            <w:r>
              <w:rPr>
                <w:rFonts w:hint="eastAsia"/>
                <w:color w:val="000000"/>
                <w:sz w:val="18"/>
                <w:szCs w:val="18"/>
                <w:lang w:bidi="ar"/>
              </w:rPr>
              <w:t>超前钻完成</w:t>
            </w: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74</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68#</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75</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69#</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76</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77</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71#</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78</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72#</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79</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73#</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80</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74#</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洋房（7F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75#</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82</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76#</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83</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77#</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84</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78#</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85</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79#</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86</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80#</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87</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81#</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88</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82#</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89</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83#</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-1F)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90</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84#</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-2F)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91</w:t>
            </w:r>
          </w:p>
        </w:tc>
        <w:tc>
          <w:tcPr>
            <w:tcW w:w="6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85#</w:t>
            </w:r>
          </w:p>
        </w:tc>
        <w:tc>
          <w:tcPr>
            <w:tcW w:w="95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小高层（9F</w:t>
            </w:r>
            <w:r>
              <w:rPr>
                <w:rFonts w:hint="eastAsia" w:ascii="Arial" w:hAnsi="Arial" w:cs="Arial"/>
                <w:color w:val="000000"/>
                <w:sz w:val="18"/>
                <w:szCs w:val="18"/>
              </w:rPr>
              <w:t>-</w:t>
            </w:r>
            <w:r>
              <w:rPr>
                <w:rFonts w:ascii="Arial" w:hAnsi="Arial" w:cs="Arial"/>
                <w:color w:val="000000"/>
                <w:sz w:val="18"/>
                <w:szCs w:val="18"/>
              </w:rPr>
              <w:t>-3F)</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53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92</w:t>
            </w:r>
          </w:p>
        </w:tc>
        <w:tc>
          <w:tcPr>
            <w:tcW w:w="67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3#车库</w:t>
            </w:r>
          </w:p>
        </w:tc>
        <w:tc>
          <w:tcPr>
            <w:tcW w:w="95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负一层</w:t>
            </w:r>
          </w:p>
        </w:tc>
        <w:tc>
          <w:tcPr>
            <w:tcW w:w="1642"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c>
          <w:tcPr>
            <w:tcW w:w="118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r>
    </w:tbl>
    <w:p>
      <w:pPr>
        <w:spacing w:line="360" w:lineRule="auto"/>
        <w:rPr>
          <w:rFonts w:ascii="Arial" w:hAnsi="Arial" w:cs="Arial"/>
          <w:b/>
          <w:kern w:val="44"/>
          <w:sz w:val="21"/>
          <w:szCs w:val="21"/>
        </w:rPr>
      </w:pPr>
    </w:p>
    <w:p>
      <w:pPr>
        <w:spacing w:line="360" w:lineRule="auto"/>
        <w:jc w:val="center"/>
        <w:rPr>
          <w:rFonts w:ascii="Arial" w:hAnsi="Arial" w:cs="Arial"/>
          <w:b/>
          <w:bCs/>
          <w:szCs w:val="21"/>
        </w:rPr>
      </w:pPr>
      <w:r>
        <w:rPr>
          <w:rFonts w:hint="eastAsia" w:ascii="Arial" w:hAnsi="Arial" w:cs="Arial"/>
          <w:b/>
          <w:bCs/>
          <w:szCs w:val="21"/>
        </w:rPr>
        <w:drawing>
          <wp:inline distT="0" distB="0" distL="114300" distR="114300">
            <wp:extent cx="6096000" cy="3429000"/>
            <wp:effectExtent l="0" t="0" r="0" b="0"/>
            <wp:docPr id="4" name="图片 4" descr="微信图片_20210504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504100334"/>
                    <pic:cNvPicPr>
                      <a:picLocks noChangeAspect="1"/>
                    </pic:cNvPicPr>
                  </pic:nvPicPr>
                  <pic:blipFill>
                    <a:blip r:embed="rId9"/>
                    <a:stretch>
                      <a:fillRect/>
                    </a:stretch>
                  </pic:blipFill>
                  <pic:spPr>
                    <a:xfrm>
                      <a:off x="0" y="0"/>
                      <a:ext cx="6096000" cy="3429000"/>
                    </a:xfrm>
                    <a:prstGeom prst="rect">
                      <a:avLst/>
                    </a:prstGeom>
                  </pic:spPr>
                </pic:pic>
              </a:graphicData>
            </a:graphic>
          </wp:inline>
        </w:drawing>
      </w:r>
    </w:p>
    <w:p>
      <w:pPr>
        <w:spacing w:line="360" w:lineRule="auto"/>
        <w:jc w:val="center"/>
        <w:rPr>
          <w:rFonts w:ascii="Arial" w:hAnsi="Arial" w:cs="Arial"/>
          <w:b/>
          <w:bCs/>
          <w:sz w:val="21"/>
          <w:szCs w:val="21"/>
        </w:rPr>
      </w:pPr>
      <w:r>
        <w:rPr>
          <w:rFonts w:hint="eastAsia" w:ascii="Arial" w:hAnsi="Arial" w:cs="Arial"/>
          <w:b/>
          <w:bCs/>
          <w:sz w:val="21"/>
          <w:szCs w:val="21"/>
        </w:rPr>
        <w:t>标的项目现场图片</w:t>
      </w:r>
    </w:p>
    <w:p>
      <w:pPr>
        <w:spacing w:before="300" w:after="300" w:line="360" w:lineRule="exact"/>
        <w:outlineLvl w:val="1"/>
        <w:rPr>
          <w:rStyle w:val="22"/>
          <w:rFonts w:ascii="Arial" w:hAnsi="Arial" w:cs="Arial"/>
          <w:sz w:val="24"/>
          <w:szCs w:val="24"/>
        </w:rPr>
      </w:pPr>
      <w:bookmarkStart w:id="5" w:name="_Toc10824_WPSOffice_Level2"/>
      <w:bookmarkStart w:id="6" w:name="_Toc13827_WPSOffice_Level2"/>
      <w:bookmarkStart w:id="7" w:name="_Toc12021_WPSOffice_Level2"/>
      <w:bookmarkStart w:id="8" w:name="_Toc23324570"/>
      <w:bookmarkStart w:id="9" w:name="_Toc3978"/>
      <w:bookmarkStart w:id="10" w:name="_Toc19646"/>
      <w:bookmarkStart w:id="11" w:name="_Toc520900435"/>
      <w:r>
        <w:rPr>
          <w:rStyle w:val="22"/>
          <w:rFonts w:ascii="Arial" w:hAnsi="Arial" w:cs="Arial"/>
          <w:sz w:val="24"/>
          <w:szCs w:val="24"/>
        </w:rPr>
        <w:t>4、资金使用情况</w:t>
      </w:r>
      <w:bookmarkEnd w:id="5"/>
      <w:bookmarkEnd w:id="6"/>
      <w:bookmarkEnd w:id="7"/>
      <w:bookmarkEnd w:id="8"/>
      <w:bookmarkEnd w:id="9"/>
      <w:bookmarkEnd w:id="10"/>
      <w:bookmarkEnd w:id="11"/>
      <w:bookmarkStart w:id="12" w:name="_Toc11621_WPSOffice_Level2"/>
      <w:bookmarkStart w:id="13" w:name="_Toc25204_WPSOffice_Level2"/>
      <w:bookmarkStart w:id="14" w:name="_Toc31803_WPSOffice_Level2"/>
      <w:r>
        <w:rPr>
          <w:rStyle w:val="22"/>
          <w:rFonts w:ascii="Arial" w:hAnsi="Arial" w:cs="Arial"/>
          <w:sz w:val="24"/>
          <w:szCs w:val="24"/>
        </w:rPr>
        <w:t xml:space="preserve"> </w:t>
      </w:r>
      <w:bookmarkEnd w:id="12"/>
      <w:bookmarkEnd w:id="13"/>
      <w:bookmarkEnd w:id="14"/>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项目公司本期账户余额变动情况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450"/>
        <w:gridCol w:w="1450"/>
        <w:gridCol w:w="1015"/>
        <w:gridCol w:w="1598"/>
        <w:gridCol w:w="1449"/>
        <w:gridCol w:w="1523"/>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19"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bookmarkStart w:id="15" w:name="_Hlk48860262"/>
            <w:r>
              <w:rPr>
                <w:rFonts w:ascii="Arial" w:hAnsi="Arial" w:cs="Arial"/>
                <w:b/>
                <w:bCs/>
                <w:color w:val="000000"/>
                <w:sz w:val="18"/>
                <w:szCs w:val="18"/>
                <w:lang w:bidi="ar"/>
              </w:rPr>
              <w:t>序号</w:t>
            </w:r>
          </w:p>
        </w:tc>
        <w:tc>
          <w:tcPr>
            <w:tcW w:w="73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73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51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810"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734"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772"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476"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6530000010120100645008</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color w:val="000000"/>
                <w:sz w:val="18"/>
                <w:szCs w:val="18"/>
              </w:rPr>
            </w:pPr>
            <w:r>
              <w:rPr>
                <w:rFonts w:ascii="Arial" w:hAnsi="Arial" w:cs="Arial"/>
                <w:sz w:val="18"/>
                <w:szCs w:val="18"/>
                <w:lang w:bidi="ar"/>
              </w:rPr>
              <w:t>113,461,285.59</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hint="eastAsia" w:ascii="Arial" w:hAnsi="Arial" w:cs="Arial"/>
                <w:sz w:val="18"/>
                <w:szCs w:val="18"/>
              </w:rPr>
              <w:t xml:space="preserve">18,283,787.59 </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hint="eastAsia" w:ascii="Arial" w:hAnsi="Arial" w:cs="Arial"/>
                <w:sz w:val="18"/>
                <w:szCs w:val="18"/>
              </w:rPr>
              <w:t>95,177,498.00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rPr>
              <w:t>往来</w:t>
            </w:r>
            <w:r>
              <w:rPr>
                <w:rFonts w:ascii="Arial" w:hAnsi="Arial" w:cs="Arial"/>
                <w:sz w:val="18"/>
                <w:szCs w:val="18"/>
              </w:rPr>
              <w:t>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6530000010120100655750</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color w:val="000000"/>
                <w:sz w:val="18"/>
                <w:szCs w:val="18"/>
              </w:rPr>
            </w:pPr>
            <w:r>
              <w:rPr>
                <w:rFonts w:ascii="Arial" w:hAnsi="Arial" w:cs="Arial"/>
                <w:sz w:val="18"/>
                <w:szCs w:val="18"/>
                <w:lang w:bidi="ar"/>
              </w:rPr>
              <w:t>3,922,423.17</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Cs/>
                <w:color w:val="000000"/>
                <w:sz w:val="18"/>
                <w:szCs w:val="18"/>
              </w:rPr>
            </w:pPr>
            <w:r>
              <w:rPr>
                <w:rFonts w:hint="eastAsia" w:ascii="Arial" w:hAnsi="Arial" w:cs="Arial"/>
                <w:sz w:val="18"/>
                <w:szCs w:val="18"/>
              </w:rPr>
              <w:t xml:space="preserve"> 3,922,423.17 </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hint="eastAsia" w:ascii="Arial" w:hAnsi="Arial" w:cs="Arial"/>
                <w:color w:val="000000"/>
                <w:sz w:val="18"/>
                <w:szCs w:val="18"/>
              </w:rPr>
              <w:t>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中国农业银行重庆渝北支行</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31110201040014855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sz w:val="18"/>
                <w:szCs w:val="18"/>
              </w:rPr>
            </w:pPr>
            <w:r>
              <w:rPr>
                <w:rFonts w:ascii="Arial" w:hAnsi="Arial" w:cs="Arial"/>
                <w:sz w:val="18"/>
                <w:szCs w:val="18"/>
                <w:lang w:bidi="ar"/>
              </w:rPr>
              <w:t>34,840,078.46</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15,836,639.46</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-19,003,439.00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rPr>
              <w:t>往来</w:t>
            </w:r>
            <w:r>
              <w:rPr>
                <w:rFonts w:ascii="Arial" w:hAnsi="Arial" w:cs="Arial"/>
                <w:sz w:val="18"/>
                <w:szCs w:val="18"/>
              </w:rPr>
              <w:t>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中国建设银行股份有限公司重庆中山路支行</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50050100414100002555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sz w:val="18"/>
                <w:szCs w:val="18"/>
              </w:rPr>
            </w:pPr>
            <w:r>
              <w:rPr>
                <w:rFonts w:ascii="Arial" w:hAnsi="Arial" w:cs="Arial"/>
                <w:sz w:val="18"/>
                <w:szCs w:val="18"/>
                <w:lang w:bidi="ar"/>
              </w:rPr>
              <w:t>39,776,960.91</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Cs/>
                <w:kern w:val="44"/>
                <w:sz w:val="18"/>
                <w:szCs w:val="18"/>
              </w:rPr>
            </w:pPr>
            <w:r>
              <w:rPr>
                <w:rFonts w:ascii="Arial" w:hAnsi="Arial" w:cs="Arial"/>
                <w:sz w:val="18"/>
                <w:szCs w:val="18"/>
                <w:lang w:bidi="ar"/>
              </w:rPr>
              <w:t>28,351,330.91</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-11,425,630.00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rPr>
              <w:t>往来</w:t>
            </w:r>
            <w:r>
              <w:rPr>
                <w:rFonts w:ascii="Arial" w:hAnsi="Arial" w:cs="Arial"/>
                <w:sz w:val="18"/>
                <w:szCs w:val="18"/>
              </w:rPr>
              <w:t>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中国银行重庆自由贸易试验区解放碑支行</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111671396940</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sz w:val="18"/>
                <w:szCs w:val="18"/>
              </w:rPr>
            </w:pPr>
            <w:r>
              <w:rPr>
                <w:rFonts w:ascii="Arial" w:hAnsi="Arial" w:cs="Arial"/>
                <w:sz w:val="18"/>
                <w:szCs w:val="18"/>
                <w:lang w:bidi="ar"/>
              </w:rPr>
              <w:t>1,750,523.44</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5,520.44</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-1,745,003.00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重庆农村商业银行九龙坡支行九龙分理处</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0401110120010020041</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sz w:val="18"/>
                <w:szCs w:val="18"/>
              </w:rPr>
            </w:pPr>
            <w:r>
              <w:rPr>
                <w:rFonts w:ascii="Arial" w:hAnsi="Arial" w:cs="Arial"/>
                <w:sz w:val="18"/>
                <w:szCs w:val="18"/>
                <w:lang w:bidi="ar"/>
              </w:rPr>
              <w:t>284,824.44</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13,091.44</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-2,016,736.00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工商银行重庆九龙坡杨 家坪支行</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3100087019200271865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sz w:val="18"/>
                <w:szCs w:val="18"/>
              </w:rPr>
            </w:pPr>
            <w:r>
              <w:rPr>
                <w:rFonts w:ascii="Arial" w:hAnsi="Arial" w:cs="Arial"/>
                <w:sz w:val="18"/>
                <w:szCs w:val="18"/>
                <w:lang w:bidi="ar"/>
              </w:rPr>
              <w:t>1,410,035.38</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 xml:space="preserve"> 1,527,771.38</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-117,736</w:t>
            </w:r>
            <w:r>
              <w:rPr>
                <w:rFonts w:ascii="Arial" w:hAnsi="Arial" w:cs="Arial"/>
                <w:sz w:val="18"/>
                <w:szCs w:val="18"/>
              </w:rPr>
              <w:t>.00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民生银行重庆北部新区支行</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632315625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3" w:lineRule="auto"/>
              <w:jc w:val="center"/>
              <w:textAlignment w:val="center"/>
              <w:rPr>
                <w:rFonts w:ascii="Arial" w:hAnsi="Arial" w:cs="Arial"/>
                <w:sz w:val="18"/>
                <w:szCs w:val="18"/>
              </w:rPr>
            </w:pPr>
            <w:r>
              <w:rPr>
                <w:rFonts w:ascii="Arial" w:hAnsi="Arial" w:cs="Arial"/>
                <w:sz w:val="18"/>
                <w:szCs w:val="18"/>
                <w:lang w:bidi="ar"/>
              </w:rPr>
              <w:t>6,229.32</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2,000,229.32</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1,994,000.00</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兴业银行重庆观音桥支行</w:t>
            </w:r>
          </w:p>
        </w:tc>
        <w:tc>
          <w:tcPr>
            <w:tcW w:w="73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346110100100535816</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ascii="Arial" w:hAnsi="Arial" w:cs="Arial"/>
                <w:sz w:val="18"/>
                <w:szCs w:val="18"/>
              </w:rPr>
              <w:t>-</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Cs/>
                <w:kern w:val="44"/>
                <w:sz w:val="18"/>
                <w:szCs w:val="18"/>
              </w:rPr>
            </w:pPr>
            <w:r>
              <w:rPr>
                <w:rFonts w:ascii="Arial" w:hAnsi="Arial" w:cs="Arial"/>
                <w:sz w:val="18"/>
                <w:szCs w:val="18"/>
              </w:rPr>
              <w:t>-</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ascii="Arial" w:hAnsi="Arial" w:cs="Arial"/>
                <w:sz w:val="18"/>
                <w:szCs w:val="18"/>
              </w:rPr>
              <w:t>-</w:t>
            </w:r>
          </w:p>
        </w:tc>
        <w:tc>
          <w:tcPr>
            <w:tcW w:w="476" w:type="pct"/>
            <w:tcBorders>
              <w:top w:val="single" w:color="auto" w:sz="4" w:space="0"/>
              <w:left w:val="single" w:color="auto" w:sz="4" w:space="0"/>
              <w:bottom w:val="single" w:color="auto" w:sz="4" w:space="0"/>
              <w:right w:val="single" w:color="auto" w:sz="4" w:space="0"/>
            </w:tcBorders>
            <w:shd w:val="clear" w:color="000000" w:fill="auto"/>
            <w:vAlign w:val="center"/>
          </w:tcPr>
          <w:p>
            <w:pPr>
              <w:wordWrap w:val="0"/>
              <w:spacing w:line="276" w:lineRule="auto"/>
              <w:jc w:val="center"/>
              <w:textAlignment w:val="center"/>
              <w:rPr>
                <w:rFonts w:ascii="Arial" w:hAnsi="Arial" w:cs="Arial"/>
                <w:sz w:val="18"/>
                <w:szCs w:val="18"/>
                <w:lang w:bidi="ar"/>
              </w:rPr>
            </w:pPr>
            <w:r>
              <w:rPr>
                <w:rFonts w:ascii="Arial" w:hAnsi="Arial" w:cs="Arial"/>
                <w:sz w:val="18"/>
                <w:szCs w:val="18"/>
                <w:lang w:bidi="ar"/>
              </w:rPr>
              <w:t>-</w:t>
            </w:r>
          </w:p>
        </w:tc>
      </w:tr>
      <w:bookmarkEnd w:id="15"/>
    </w:tbl>
    <w:p>
      <w:pPr>
        <w:pStyle w:val="2"/>
        <w:spacing w:before="300" w:after="300" w:line="360" w:lineRule="exact"/>
        <w:jc w:val="left"/>
        <w:rPr>
          <w:rStyle w:val="36"/>
          <w:rFonts w:ascii="Arial" w:hAnsi="Arial" w:eastAsia="宋体" w:cs="Arial"/>
          <w:b/>
          <w:bCs w:val="0"/>
          <w:sz w:val="24"/>
          <w:szCs w:val="24"/>
        </w:rPr>
      </w:pPr>
      <w:bookmarkStart w:id="16" w:name="_Toc3095"/>
      <w:r>
        <w:rPr>
          <w:rStyle w:val="36"/>
          <w:rFonts w:hint="eastAsia" w:ascii="Arial" w:hAnsi="Arial" w:eastAsia="宋体" w:cs="Arial"/>
          <w:b/>
          <w:bCs w:val="0"/>
          <w:sz w:val="24"/>
          <w:szCs w:val="24"/>
        </w:rPr>
        <w:t>二</w:t>
      </w:r>
      <w:r>
        <w:rPr>
          <w:rStyle w:val="36"/>
          <w:rFonts w:ascii="Arial" w:hAnsi="Arial" w:eastAsia="宋体" w:cs="Arial"/>
          <w:b/>
          <w:bCs w:val="0"/>
          <w:sz w:val="24"/>
          <w:szCs w:val="24"/>
        </w:rPr>
        <w:t>、项目评价</w:t>
      </w:r>
      <w:bookmarkEnd w:id="16"/>
    </w:p>
    <w:p>
      <w:pPr>
        <w:pStyle w:val="2"/>
        <w:spacing w:before="300" w:after="300" w:line="360" w:lineRule="exact"/>
        <w:jc w:val="left"/>
        <w:rPr>
          <w:rStyle w:val="36"/>
          <w:rFonts w:ascii="Arial" w:hAnsi="Arial" w:eastAsia="宋体" w:cs="Arial"/>
          <w:b/>
          <w:bCs w:val="0"/>
          <w:sz w:val="24"/>
          <w:szCs w:val="24"/>
        </w:rPr>
      </w:pPr>
      <w:bookmarkStart w:id="17" w:name="_Toc19482"/>
      <w:r>
        <w:rPr>
          <w:rStyle w:val="36"/>
          <w:rFonts w:hint="eastAsia" w:ascii="Arial" w:hAnsi="Arial" w:eastAsia="宋体" w:cs="Arial"/>
          <w:b/>
          <w:bCs w:val="0"/>
          <w:sz w:val="24"/>
          <w:szCs w:val="24"/>
        </w:rPr>
        <w:t>1、</w:t>
      </w:r>
      <w:r>
        <w:rPr>
          <w:rStyle w:val="36"/>
          <w:rFonts w:ascii="Arial" w:hAnsi="Arial" w:eastAsia="宋体" w:cs="Arial"/>
          <w:b/>
          <w:bCs w:val="0"/>
          <w:sz w:val="24"/>
          <w:szCs w:val="24"/>
        </w:rPr>
        <w:t>报建评价</w:t>
      </w:r>
      <w:bookmarkEnd w:id="17"/>
    </w:p>
    <w:p>
      <w:pPr>
        <w:pStyle w:val="16"/>
        <w:spacing w:after="0" w:line="480" w:lineRule="auto"/>
        <w:ind w:firstLineChars="200"/>
        <w:rPr>
          <w:rStyle w:val="36"/>
          <w:rFonts w:ascii="Arial" w:hAnsi="Arial" w:eastAsia="宋体" w:cs="Arial"/>
          <w:b w:val="0"/>
          <w:kern w:val="0"/>
          <w:sz w:val="24"/>
          <w:szCs w:val="21"/>
        </w:rPr>
      </w:pPr>
      <w:r>
        <w:rPr>
          <w:rFonts w:hint="eastAsia" w:ascii="Arial" w:hAnsi="Arial" w:cs="Arial"/>
          <w:kern w:val="0"/>
          <w:szCs w:val="21"/>
        </w:rPr>
        <w:t>已解押、已拿预售（</w:t>
      </w:r>
      <w:r>
        <w:rPr>
          <w:rFonts w:ascii="Arial" w:hAnsi="Arial" w:cs="Arial"/>
          <w:kern w:val="0"/>
          <w:szCs w:val="21"/>
        </w:rPr>
        <w:t>4#、恒大锦城一期1#、2#、5#-17#、21#-26#、30#-34#楼、恒大锦城二期50#-51#、56#-57#、61#-62#</w:t>
      </w:r>
      <w:r>
        <w:rPr>
          <w:rFonts w:hint="eastAsia" w:ascii="Arial" w:hAnsi="Arial" w:cs="Arial"/>
          <w:kern w:val="0"/>
          <w:szCs w:val="21"/>
        </w:rPr>
        <w:t>）已拿预售证；未解押、未拿预售（二期</w:t>
      </w:r>
      <w:r>
        <w:rPr>
          <w:rFonts w:ascii="Arial" w:hAnsi="Arial" w:cs="Arial"/>
          <w:kern w:val="0"/>
          <w:szCs w:val="21"/>
        </w:rPr>
        <w:t>35#-46#号楼</w:t>
      </w:r>
      <w:r>
        <w:rPr>
          <w:rFonts w:hint="eastAsia" w:ascii="Arial" w:hAnsi="Arial" w:cs="Arial"/>
          <w:kern w:val="0"/>
          <w:szCs w:val="21"/>
        </w:rPr>
        <w:t>、三期</w:t>
      </w:r>
      <w:r>
        <w:rPr>
          <w:rFonts w:ascii="Arial" w:hAnsi="Arial" w:cs="Arial"/>
          <w:kern w:val="0"/>
          <w:szCs w:val="21"/>
        </w:rPr>
        <w:t>67#-83#号楼</w:t>
      </w:r>
      <w:r>
        <w:rPr>
          <w:rFonts w:hint="eastAsia" w:ascii="Arial" w:hAnsi="Arial" w:cs="Arial"/>
          <w:kern w:val="0"/>
          <w:szCs w:val="21"/>
        </w:rPr>
        <w:t>）计划于</w:t>
      </w:r>
      <w:r>
        <w:rPr>
          <w:rFonts w:ascii="Arial" w:hAnsi="Arial" w:cs="Arial"/>
          <w:kern w:val="0"/>
          <w:szCs w:val="21"/>
        </w:rPr>
        <w:t>2021</w:t>
      </w:r>
      <w:r>
        <w:rPr>
          <w:rFonts w:hint="eastAsia" w:ascii="Arial" w:hAnsi="Arial" w:cs="Arial"/>
          <w:kern w:val="0"/>
          <w:szCs w:val="21"/>
        </w:rPr>
        <w:t>年</w:t>
      </w:r>
      <w:r>
        <w:rPr>
          <w:rFonts w:ascii="Arial" w:hAnsi="Arial" w:cs="Arial"/>
          <w:kern w:val="0"/>
          <w:szCs w:val="21"/>
        </w:rPr>
        <w:t>3月</w:t>
      </w:r>
      <w:r>
        <w:rPr>
          <w:rFonts w:hint="eastAsia" w:ascii="Arial" w:hAnsi="Arial" w:cs="Arial"/>
          <w:kern w:val="0"/>
          <w:szCs w:val="21"/>
        </w:rPr>
        <w:t>拿预售证。</w:t>
      </w:r>
    </w:p>
    <w:p>
      <w:pPr>
        <w:pStyle w:val="2"/>
        <w:spacing w:before="300" w:after="300" w:line="360" w:lineRule="exact"/>
        <w:jc w:val="left"/>
        <w:rPr>
          <w:rStyle w:val="36"/>
          <w:rFonts w:ascii="Arial" w:hAnsi="Arial" w:eastAsia="宋体" w:cs="Arial"/>
          <w:b/>
          <w:bCs w:val="0"/>
          <w:sz w:val="24"/>
          <w:szCs w:val="24"/>
        </w:rPr>
      </w:pPr>
      <w:bookmarkStart w:id="18" w:name="_Toc6873"/>
      <w:r>
        <w:rPr>
          <w:rStyle w:val="36"/>
          <w:rFonts w:hint="eastAsia" w:ascii="Arial" w:hAnsi="Arial" w:eastAsia="宋体" w:cs="Arial"/>
          <w:b/>
          <w:bCs w:val="0"/>
          <w:sz w:val="24"/>
          <w:szCs w:val="24"/>
        </w:rPr>
        <w:t>2、</w:t>
      </w:r>
      <w:r>
        <w:rPr>
          <w:rStyle w:val="36"/>
          <w:rFonts w:ascii="Arial" w:hAnsi="Arial" w:eastAsia="宋体" w:cs="Arial"/>
          <w:b/>
          <w:bCs w:val="0"/>
          <w:sz w:val="24"/>
          <w:szCs w:val="24"/>
        </w:rPr>
        <w:t>营销评价</w:t>
      </w:r>
      <w:bookmarkEnd w:id="18"/>
    </w:p>
    <w:p>
      <w:pPr>
        <w:spacing w:line="480" w:lineRule="auto"/>
        <w:ind w:firstLine="420" w:firstLineChars="200"/>
        <w:rPr>
          <w:rFonts w:ascii="Arial" w:hAnsi="Arial" w:cs="Arial"/>
          <w:sz w:val="21"/>
          <w:szCs w:val="21"/>
        </w:rPr>
      </w:pPr>
      <w:r>
        <w:rPr>
          <w:rFonts w:hint="eastAsia" w:ascii="Arial" w:hAnsi="Arial" w:cs="Arial"/>
          <w:sz w:val="21"/>
          <w:szCs w:val="21"/>
        </w:rPr>
        <w:t>重庆恒大锦城项目于2020年10月8日开盘，目前已推出房源套数1546套，面积约151598.84㎡，预计总货值约16.09亿，截至2021年4月30日累计已售1531套，面积149905.93㎡，金额13.22亿元，其中累计已签约房屋1432套、面积140259.76㎡、金额12.15亿元，9月15日至10月7日认筹金0.31亿元，10月8日至4月30日累计销售实际回款11.18亿元，9月15日至4月30日合计收款11.49亿元，取得预售证（推货）剩余货值0.20亿元、剩余套数15套、剩余面积1692.91㎡未销售，去化率92.52%（（已签约面积/已推出面积)*100%）。</w:t>
      </w:r>
    </w:p>
    <w:p>
      <w:pPr>
        <w:pStyle w:val="2"/>
        <w:spacing w:before="300" w:after="300" w:line="360" w:lineRule="exact"/>
        <w:jc w:val="left"/>
        <w:rPr>
          <w:rStyle w:val="36"/>
          <w:rFonts w:ascii="Arial" w:hAnsi="Arial" w:eastAsia="宋体" w:cs="Arial"/>
          <w:b/>
          <w:bCs w:val="0"/>
          <w:sz w:val="24"/>
          <w:szCs w:val="24"/>
        </w:rPr>
      </w:pPr>
      <w:bookmarkStart w:id="19" w:name="_Toc10103"/>
      <w:r>
        <w:rPr>
          <w:rStyle w:val="36"/>
          <w:rFonts w:hint="eastAsia" w:ascii="Arial" w:hAnsi="Arial" w:eastAsia="宋体" w:cs="Arial"/>
          <w:b/>
          <w:bCs w:val="0"/>
          <w:sz w:val="24"/>
          <w:szCs w:val="24"/>
        </w:rPr>
        <w:t>3、</w:t>
      </w:r>
      <w:r>
        <w:rPr>
          <w:rStyle w:val="36"/>
          <w:rFonts w:ascii="Arial" w:hAnsi="Arial" w:eastAsia="宋体" w:cs="Arial"/>
          <w:b/>
          <w:bCs w:val="0"/>
          <w:sz w:val="24"/>
          <w:szCs w:val="24"/>
        </w:rPr>
        <w:t>开发建设评价</w:t>
      </w:r>
      <w:bookmarkEnd w:id="19"/>
    </w:p>
    <w:p>
      <w:pPr>
        <w:pStyle w:val="16"/>
        <w:spacing w:after="0" w:line="480" w:lineRule="auto"/>
        <w:ind w:firstLineChars="200"/>
        <w:rPr>
          <w:rFonts w:ascii="Arial" w:hAnsi="Arial" w:cs="Arial"/>
          <w:kern w:val="0"/>
          <w:szCs w:val="21"/>
        </w:rPr>
      </w:pPr>
      <w:r>
        <w:rPr>
          <w:rFonts w:hint="eastAsia" w:ascii="Arial" w:hAnsi="Arial" w:cs="Arial"/>
          <w:kern w:val="0"/>
          <w:szCs w:val="21"/>
        </w:rPr>
        <w:t>目前合计开工7个地块，分别为</w:t>
      </w:r>
      <w:r>
        <w:rPr>
          <w:rFonts w:ascii="Arial" w:hAnsi="Arial" w:cs="Arial"/>
          <w:kern w:val="0"/>
          <w:szCs w:val="21"/>
        </w:rPr>
        <w:t>T19-1</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T19-2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T20-2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T20-6</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T18-2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T18-1</w:t>
      </w:r>
      <w:r>
        <w:rPr>
          <w:rFonts w:hint="eastAsia" w:ascii="Arial" w:hAnsi="Arial" w:cs="Arial"/>
          <w:kern w:val="0"/>
          <w:szCs w:val="21"/>
        </w:rPr>
        <w:t>-</w:t>
      </w:r>
      <w:r>
        <w:rPr>
          <w:rFonts w:ascii="Arial" w:hAnsi="Arial" w:cs="Arial"/>
          <w:kern w:val="0"/>
          <w:szCs w:val="21"/>
        </w:rPr>
        <w:t>02</w:t>
      </w:r>
      <w:r>
        <w:rPr>
          <w:rFonts w:hint="eastAsia" w:ascii="Arial" w:hAnsi="Arial" w:cs="Arial"/>
          <w:kern w:val="0"/>
          <w:szCs w:val="21"/>
        </w:rPr>
        <w:t>、</w:t>
      </w:r>
      <w:r>
        <w:rPr>
          <w:rFonts w:ascii="Arial" w:hAnsi="Arial" w:cs="Arial"/>
          <w:kern w:val="0"/>
          <w:szCs w:val="21"/>
        </w:rPr>
        <w:t>T18-2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，目前开工进度正常。</w:t>
      </w:r>
    </w:p>
    <w:p>
      <w:pPr>
        <w:pStyle w:val="2"/>
        <w:spacing w:before="300" w:after="300" w:line="360" w:lineRule="exact"/>
        <w:jc w:val="left"/>
        <w:rPr>
          <w:rStyle w:val="36"/>
          <w:rFonts w:ascii="Arial" w:hAnsi="Arial" w:eastAsia="宋体" w:cs="Arial"/>
          <w:b/>
          <w:bCs w:val="0"/>
          <w:sz w:val="24"/>
          <w:szCs w:val="24"/>
        </w:rPr>
      </w:pPr>
      <w:bookmarkStart w:id="20" w:name="_Toc26496"/>
      <w:bookmarkStart w:id="21" w:name="_Toc23266557"/>
      <w:bookmarkStart w:id="22" w:name="_Toc23324574"/>
      <w:r>
        <w:rPr>
          <w:rStyle w:val="36"/>
          <w:rFonts w:hint="eastAsia" w:ascii="Arial" w:hAnsi="Arial" w:eastAsia="宋体" w:cs="Arial"/>
          <w:b/>
          <w:bCs w:val="0"/>
          <w:sz w:val="24"/>
          <w:szCs w:val="24"/>
        </w:rPr>
        <w:t>三、附件</w:t>
      </w:r>
      <w:bookmarkEnd w:id="20"/>
    </w:p>
    <w:p>
      <w:pPr>
        <w:pStyle w:val="3"/>
        <w:spacing w:before="300" w:after="300" w:line="360" w:lineRule="exact"/>
        <w:rPr>
          <w:rFonts w:ascii="Arial" w:hAnsi="Arial" w:eastAsia="宋体"/>
          <w:bCs w:val="0"/>
          <w:kern w:val="44"/>
          <w:sz w:val="24"/>
          <w:szCs w:val="24"/>
        </w:rPr>
      </w:pPr>
      <w:bookmarkStart w:id="23" w:name="_Toc17514"/>
      <w:r>
        <w:rPr>
          <w:rStyle w:val="36"/>
          <w:rFonts w:ascii="Arial" w:hAnsi="Arial" w:eastAsia="宋体"/>
          <w:b/>
          <w:bCs w:val="0"/>
          <w:sz w:val="24"/>
          <w:szCs w:val="24"/>
        </w:rPr>
        <w:t>附件一：本期用印情况</w:t>
      </w:r>
      <w:bookmarkEnd w:id="23"/>
    </w:p>
    <w:bookmarkEnd w:id="21"/>
    <w:bookmarkEnd w:id="22"/>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本期印章使用统计表</w:t>
      </w:r>
    </w:p>
    <w:tbl>
      <w:tblPr>
        <w:tblStyle w:val="17"/>
        <w:tblW w:w="5000" w:type="pct"/>
        <w:jc w:val="center"/>
        <w:tblLayout w:type="autofit"/>
        <w:tblCellMar>
          <w:top w:w="0" w:type="dxa"/>
          <w:left w:w="108" w:type="dxa"/>
          <w:bottom w:w="0" w:type="dxa"/>
          <w:right w:w="108" w:type="dxa"/>
        </w:tblCellMar>
      </w:tblPr>
      <w:tblGrid>
        <w:gridCol w:w="428"/>
        <w:gridCol w:w="1124"/>
        <w:gridCol w:w="1053"/>
        <w:gridCol w:w="2611"/>
        <w:gridCol w:w="2757"/>
        <w:gridCol w:w="1018"/>
        <w:gridCol w:w="863"/>
      </w:tblGrid>
      <w:tr>
        <w:tblPrEx>
          <w:tblCellMar>
            <w:top w:w="0" w:type="dxa"/>
            <w:left w:w="108" w:type="dxa"/>
            <w:bottom w:w="0" w:type="dxa"/>
            <w:right w:w="108" w:type="dxa"/>
          </w:tblCellMar>
        </w:tblPrEx>
        <w:trPr>
          <w:trHeight w:val="373" w:hRule="atLeast"/>
          <w:tblHeader/>
          <w:jc w:val="center"/>
        </w:trPr>
        <w:tc>
          <w:tcPr>
            <w:tcW w:w="2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57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53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印鉴名称</w:t>
            </w:r>
          </w:p>
        </w:tc>
        <w:tc>
          <w:tcPr>
            <w:tcW w:w="132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用印事由</w:t>
            </w:r>
          </w:p>
        </w:tc>
        <w:tc>
          <w:tcPr>
            <w:tcW w:w="139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用印材料及份数</w:t>
            </w:r>
          </w:p>
        </w:tc>
        <w:tc>
          <w:tcPr>
            <w:tcW w:w="51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经办部门</w:t>
            </w:r>
          </w:p>
        </w:tc>
        <w:tc>
          <w:tcPr>
            <w:tcW w:w="43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经办人</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小区客户用电容量表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计容表（6份）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p>
            <w:pPr>
              <w:jc w:val="center"/>
              <w:rPr>
                <w:rFonts w:ascii="Arial" w:hAnsi="Arial" w:cs="Arial"/>
                <w:color w:val="000000"/>
                <w:sz w:val="18"/>
                <w:szCs w:val="18"/>
              </w:rPr>
            </w:pPr>
            <w:r>
              <w:rPr>
                <w:rFonts w:ascii="Arial" w:hAnsi="Arial" w:cs="Arial"/>
                <w:color w:val="000000"/>
                <w:sz w:val="18"/>
                <w:szCs w:val="18"/>
              </w:rPr>
              <w:t>2021-4-1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整治商品房销售与中小学入学挂钩自查情况表及承诺函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整治商品房销售与中小学入学挂钩自查情况表（2份）、整治商品房销售与中小学入学承诺函（2份）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处理网签系统故障未入首付款问题</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缴款通知书（1份）、POS单（1份）、情况说明（1份）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商品买卖合同5户、借款合同2户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商品买卖合同（10份）、借款合同（4份）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支付重庆三科房地产经济公司11-12月佣金569,850.00</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转账支票（1份）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商品买卖合同1户、借款合同1户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商品买卖合同（2份）、借款合同（4份）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恒大锦城首二期52#号楼解押画线图</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营业执照复印件（1份）、介绍信（1份）、经办人身份证（1份）、二期土地证（1份）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资金部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130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恒大锦城客户优惠款返息协议</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返息协议（23份）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商品买卖合同6户、借款合同3户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商品买卖合同（12份）、借款合同（12份）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设计我委托书</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设计我委托书（5份）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工程部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2021-4-7</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恒大锦城客户优惠款返息协议</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返息协议（36份）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2021-4-7</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2021-4-7</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20210407用款-农行4855账户转款2920万元到建设银行2555账户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转账支票（3份）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商品买卖合同补充协议</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补充协议（3份）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临时施工用电情况说明</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临时施工用电情况说明（5份）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商品买卖合同3户、借款合同2户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商品买卖合同及借款合同（14份）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支付办公费，场地租赁费合计87010.49</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转账支票（6份）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锦城3期土地抵押注销</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锦城3期土地抵押注销（6份）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资金部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支付工程费，补偿金，管理费用合计651915.12</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转账支票（4份）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商品买卖合同4户、借款合同3户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商品买卖合同（12份）、借款合同（8份）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52#楼办理预售许可证</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重庆市商品房销售公开书、工程规划许可证、施工证物业备案证明等（55份）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代扣代缴、代收代缴税款报告表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代扣代缴、代收代缴税款报告表（2份）、联机备案表（15份）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鑫坤浙商45008内转浙商70266资金100000000</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转账支票(1份）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商品买卖合同2户、借款合同1户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商品买卖合同（6份）、借款合同（2份）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104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民工工资支付情况汇总表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民工工资支付情况汇总表-恒大锦城首三期（1份）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工程部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关于恒大锦城项目业主子女就读学校事宜的情况说明</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关于恒大锦城项目业主子女就读学校事宜的情况说明（4份）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2021-4-14</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关于限期支付恒大锦城购房款的催告函（3份）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2021-4-14</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恒大二期预售资金监管协议</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恒大二期预售资金监管协议（6份）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2021-4-14</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恒大一期二期信用修复承诺书</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恒大一期信用修复承诺书（3份）、恒大二期信用修复承诺书（3份）、处罚决定书（4份）、罚款收据（8份）、营业执照、资质证书、授权书、法人及经办人身份证（12份）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2021-4-15</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客户房款手工补录情况说明</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情况说明（2份）、pos单（1份）、缴款通知书（1份）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预售资金监管额核定申请表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预售资金监管额核定申请表3号楼（2份）预售证（2份）监管协议（2份）施工证（2份）承诺书（2份）农民工工资支付自查表（2份）营业执照（2份）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关于限期签订商品房买卖合同及支付款项的催告函、关于限期支付到期房款及违约金的催告函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关于限期签订商品房买卖合同及支付款项的催告函、关于限期支付到期房款及违约金的催告函（18份）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关于限期支付恒大锦城购房款的催告函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客户借款合同</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借款合同（4份）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627"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关于认购书的通知</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通知（2份）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商品房认购协议补充协议</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商品房认购协议补充协议（8000份）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代扣代缴、代收代缴税款报告表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代扣代缴、代收代缴税款报告表（1份）、联机备案表（2份）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2021-4-19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商品买卖合同5户、借款合同1户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商品买卖合同（10份）、借款合同（4份）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1293"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2021-4-20</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关于修订渝地（2020）合字（巴南）第23号</w:t>
            </w:r>
            <w:r>
              <w:rPr>
                <w:rFonts w:hint="eastAsia"/>
                <w:color w:val="000000"/>
                <w:sz w:val="18"/>
                <w:szCs w:val="18"/>
                <w:lang w:bidi="ar"/>
              </w:rPr>
              <w:br w:type="textWrapping"/>
            </w:r>
            <w:r>
              <w:rPr>
                <w:rFonts w:hint="eastAsia"/>
                <w:color w:val="000000"/>
                <w:sz w:val="18"/>
                <w:szCs w:val="18"/>
                <w:lang w:bidi="ar"/>
              </w:rPr>
              <w:t>出让合同的申请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修订出让合同的申请（3份）、无异议通知书（4）、土地款发票（6）、用地证附图（2份）、改正通知书（5）</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重庆同景置业有限公司及重庆恒渝珞城房地产开发有限公司转账通知单</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重庆同景置业有限公司转账通知单（1份）重庆恒渝珞城房地产开发有限公司转账通知单（1份）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商品买卖合同19户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商品买卖合同（19份）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2021-4-21</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商品买卖合同1户、客户借款合同2户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商品买卖合同（1份）借款合同（4份）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增值税进项留抵税额抵减增值税欠税通知</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增值税进项留抵税额抵减增值税欠税通知（1份）申报表（1份）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《重庆恒大锦城项目》代理费结算书</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《重庆恒大锦城项目》代理费结算书（2份）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2021-4-22</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关于限期支付到期房款及违约金的催告函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关于限期支付到期房款及违约金的催告函（2份）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恒大锦城二期预拌干混砂浆抹灰施工专项方案、重庆恒大锦城二期建设工程</w:t>
            </w:r>
            <w:r>
              <w:rPr>
                <w:rFonts w:hint="eastAsia"/>
                <w:color w:val="000000"/>
                <w:sz w:val="18"/>
                <w:szCs w:val="18"/>
                <w:lang w:bidi="ar"/>
              </w:rPr>
              <w:br w:type="textWrapping"/>
            </w:r>
            <w:r>
              <w:rPr>
                <w:rFonts w:hint="eastAsia"/>
                <w:color w:val="000000"/>
                <w:sz w:val="18"/>
                <w:szCs w:val="18"/>
                <w:lang w:bidi="ar"/>
              </w:rPr>
              <w:t>质量监督工作计划、重庆恒大锦城一期期建设工程质量监督工作计划、恒大锦城二期1-2、4-8#塔吊塔机安装附着（加节）专项方案</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二期预拌干混砂浆抹灰施工专项方案（6份）、重庆恒大锦二期建设工程质量监督工作计划（4份）、重庆恒大锦城一期期建设工程质量监督工作计划（4份）、恒大锦城二期1-2、4-8#塔吊塔机安装附着（加节）专项方案（21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工程部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承诺书</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承诺书（2份）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锦城永电核客表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客户用电负荷容量计算表（4份）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新建居民住宅小区供配电设施无偿移交意向协议书</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新建居民住宅小区供配电设施无偿移交意向协议书（2份）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2021-4-23</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2021-4-25</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用于恒大锦城首一期浙商</w:t>
            </w:r>
            <w:r>
              <w:rPr>
                <w:rFonts w:hint="eastAsia"/>
                <w:color w:val="000000"/>
                <w:sz w:val="18"/>
                <w:szCs w:val="18"/>
                <w:lang w:bidi="ar"/>
              </w:rPr>
              <w:br w:type="textWrapping"/>
            </w:r>
            <w:r>
              <w:rPr>
                <w:rFonts w:hint="eastAsia"/>
                <w:color w:val="000000"/>
                <w:sz w:val="18"/>
                <w:szCs w:val="18"/>
                <w:lang w:bidi="ar"/>
              </w:rPr>
              <w:t>银行5.3亿元贷后管理工作</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2021年月度财务报表（1份）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资金部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2021-4-25</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2021年3月重庆鑫坤房地产开发有限公司代扣社保汇总表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2021年3月重庆鑫坤房地产开发有限公司代扣社保汇总表（1份）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2021-4-25</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商品买卖合同1户借款合同3户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商品买卖合同1户（4份）借款合同3户（12份）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恒大锦城免收物业费承诺函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恒大锦城免收物业费承诺函（336）</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78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关于恒大锦城二期53#楼情况说明</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关于恒大锦城二期53#楼情况说明（3份）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电子商业汇票业务办理申请表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电子商业汇票业务办理申请表（3份）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巴南区房地产市场信访矛盾统计表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巴南区房地产市场信访矛盾统计表（2份）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2021-4-26</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服务费结算标准单</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服务费结算标准单（4份）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品牌部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2021-4-27</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商品买卖合同5户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商品买卖合同5户(5份)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2021-4-27</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恒大锦城免收物业管理费承诺函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恒大锦城免收物业管理费承诺函（407）</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2021-4-27</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关于限期支付恒大锦城购房款的催告函（2）</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借款合同（1户）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借款合同（4份）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66</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内转资金</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支票（1份）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r>
      <w:tr>
        <w:tblPrEx>
          <w:tblCellMar>
            <w:top w:w="0" w:type="dxa"/>
            <w:left w:w="108" w:type="dxa"/>
            <w:bottom w:w="0" w:type="dxa"/>
            <w:right w:w="108" w:type="dxa"/>
          </w:tblCellMar>
        </w:tblPrEx>
        <w:trPr>
          <w:trHeight w:val="1745"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67</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重庆市“公参民”学校与商品房销售挂钩有关情况统计表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重庆市“公参民”学校与商品房销售挂钩有关情况统计表（2份）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68</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关于“恒大锦城”项目业主及业主子女入学协议补充协议2</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关于“恒大锦城”项目业主及业主子女入学协议补充协议2（4份）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69</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不动产登记申请表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不动产登记申请表（1份）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资金部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70</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2021-4-28</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关于限期支付到期房款及违约金的催告函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关于限期支付到期房款及违约金的催告函（2份）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26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71</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72</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2021-4-29</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关于限期支付恒大锦城购房款的催告函（2份）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73</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2021-4-30</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商品买卖合同4户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商品买卖合同2户（4份）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74</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2021-4-30</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商品买卖合同1户</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r>
      <w:tr>
        <w:tblPrEx>
          <w:tblCellMar>
            <w:top w:w="0" w:type="dxa"/>
            <w:left w:w="108" w:type="dxa"/>
            <w:bottom w:w="0" w:type="dxa"/>
            <w:right w:w="108" w:type="dxa"/>
          </w:tblCellMar>
        </w:tblPrEx>
        <w:trPr>
          <w:trHeight w:val="520" w:hRule="atLeast"/>
          <w:jc w:val="center"/>
        </w:trPr>
        <w:tc>
          <w:tcPr>
            <w:tcW w:w="21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w:t>
            </w:r>
          </w:p>
        </w:tc>
        <w:tc>
          <w:tcPr>
            <w:tcW w:w="5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2021-4-30</w:t>
            </w:r>
          </w:p>
        </w:tc>
        <w:tc>
          <w:tcPr>
            <w:tcW w:w="105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2611"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商品房销售与公参民学校入学资格挂钩情形统计（详表）</w:t>
            </w:r>
          </w:p>
        </w:tc>
        <w:tc>
          <w:tcPr>
            <w:tcW w:w="2757"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商品房销售与公参民学校入学资格挂钩情形统计（详表）（2份）</w:t>
            </w:r>
          </w:p>
        </w:tc>
        <w:tc>
          <w:tcPr>
            <w:tcW w:w="1018"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开发部</w:t>
            </w:r>
          </w:p>
        </w:tc>
        <w:tc>
          <w:tcPr>
            <w:tcW w:w="86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r>
    </w:tbl>
    <w:p>
      <w:pPr>
        <w:spacing w:before="326" w:beforeLines="100"/>
        <w:rPr>
          <w:rFonts w:ascii="Arial" w:hAnsi="Arial" w:cs="Arial"/>
          <w:b/>
          <w:bCs/>
          <w:szCs w:val="21"/>
        </w:rPr>
      </w:pPr>
    </w:p>
    <w:p>
      <w:pPr>
        <w:pStyle w:val="2"/>
        <w:spacing w:before="300" w:after="300" w:line="360" w:lineRule="exact"/>
        <w:jc w:val="left"/>
        <w:rPr>
          <w:rFonts w:ascii="Arial" w:hAnsi="Arial" w:eastAsia="宋体" w:cs="Arial"/>
          <w:bCs w:val="0"/>
          <w:sz w:val="24"/>
          <w:szCs w:val="24"/>
        </w:rPr>
      </w:pPr>
      <w:bookmarkStart w:id="24" w:name="_Toc10894"/>
      <w:r>
        <w:rPr>
          <w:rStyle w:val="36"/>
          <w:rFonts w:hint="eastAsia" w:ascii="Arial" w:hAnsi="Arial" w:eastAsia="宋体" w:cs="Arial"/>
          <w:b/>
          <w:bCs w:val="0"/>
          <w:sz w:val="24"/>
          <w:szCs w:val="24"/>
        </w:rPr>
        <w:t>附件二：章证照使用登记情况</w:t>
      </w:r>
      <w:bookmarkEnd w:id="24"/>
    </w:p>
    <w:p>
      <w:pPr>
        <w:rPr>
          <w:rFonts w:ascii="Times New Roman" w:hAnsi="Times New Roman" w:cs="Times New Roman" w:eastAsiaTheme="minorEastAsia"/>
          <w:snapToGrid w:val="0"/>
          <w:color w:val="000000"/>
          <w:w w:val="0"/>
          <w:sz w:val="0"/>
          <w:szCs w:val="0"/>
          <w:u w:color="000000"/>
          <w:shd w:val="clear" w:color="000000" w:fill="000000"/>
          <w:lang w:val="zh-CN" w:bidi="zh-CN"/>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p>
    <w:p>
      <w:pPr>
        <w:rPr>
          <w:rFonts w:eastAsiaTheme="minorEastAsia"/>
        </w:rPr>
      </w:pPr>
      <w:r>
        <w:rPr>
          <w:rFonts w:hint="eastAsia" w:eastAsiaTheme="minorEastAsia"/>
        </w:rPr>
        <w:drawing>
          <wp:inline distT="0" distB="0" distL="114300" distR="114300">
            <wp:extent cx="6120130" cy="2678430"/>
            <wp:effectExtent l="0" t="0" r="6350" b="3810"/>
            <wp:docPr id="15" name="图片 15" descr="月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月台1"/>
                    <pic:cNvPicPr>
                      <a:picLocks noChangeAspect="1"/>
                    </pic:cNvPicPr>
                  </pic:nvPicPr>
                  <pic:blipFill>
                    <a:blip r:embed="rId10"/>
                    <a:stretch>
                      <a:fillRect/>
                    </a:stretch>
                  </pic:blipFill>
                  <pic:spPr>
                    <a:xfrm>
                      <a:off x="0" y="0"/>
                      <a:ext cx="6120130" cy="2678430"/>
                    </a:xfrm>
                    <a:prstGeom prst="rect">
                      <a:avLst/>
                    </a:prstGeom>
                  </pic:spPr>
                </pic:pic>
              </a:graphicData>
            </a:graphic>
          </wp:inline>
        </w:drawing>
      </w:r>
    </w:p>
    <w:p>
      <w:pPr>
        <w:rPr>
          <w:rFonts w:eastAsiaTheme="minorEastAsia"/>
        </w:rPr>
      </w:pPr>
    </w:p>
    <w:p>
      <w:pPr>
        <w:rPr>
          <w:rFonts w:eastAsiaTheme="minorEastAsia"/>
        </w:rPr>
      </w:pPr>
      <w:r>
        <w:rPr>
          <w:rFonts w:hint="eastAsia" w:eastAsiaTheme="minorEastAsia"/>
        </w:rPr>
        <w:drawing>
          <wp:inline distT="0" distB="0" distL="114300" distR="114300">
            <wp:extent cx="6118225" cy="3419475"/>
            <wp:effectExtent l="0" t="0" r="8255" b="9525"/>
            <wp:docPr id="16" name="图片 16" descr="月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月台2"/>
                    <pic:cNvPicPr>
                      <a:picLocks noChangeAspect="1"/>
                    </pic:cNvPicPr>
                  </pic:nvPicPr>
                  <pic:blipFill>
                    <a:blip r:embed="rId11"/>
                    <a:stretch>
                      <a:fillRect/>
                    </a:stretch>
                  </pic:blipFill>
                  <pic:spPr>
                    <a:xfrm>
                      <a:off x="0" y="0"/>
                      <a:ext cx="6118225" cy="3419475"/>
                    </a:xfrm>
                    <a:prstGeom prst="rect">
                      <a:avLst/>
                    </a:prstGeom>
                  </pic:spPr>
                </pic:pic>
              </a:graphicData>
            </a:graphic>
          </wp:inline>
        </w:drawing>
      </w:r>
    </w:p>
    <w:p>
      <w:pPr>
        <w:rPr>
          <w:rFonts w:eastAsiaTheme="minorEastAsia"/>
        </w:rPr>
      </w:pPr>
    </w:p>
    <w:p>
      <w:pPr>
        <w:rPr>
          <w:rFonts w:eastAsiaTheme="minorEastAsia"/>
        </w:rPr>
      </w:pPr>
      <w:r>
        <w:rPr>
          <w:rFonts w:hint="eastAsia" w:eastAsiaTheme="minorEastAsia"/>
        </w:rPr>
        <w:drawing>
          <wp:inline distT="0" distB="0" distL="114300" distR="114300">
            <wp:extent cx="6116320" cy="3518535"/>
            <wp:effectExtent l="0" t="0" r="10160" b="1905"/>
            <wp:docPr id="17" name="图片 17" descr="月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月台3"/>
                    <pic:cNvPicPr>
                      <a:picLocks noChangeAspect="1"/>
                    </pic:cNvPicPr>
                  </pic:nvPicPr>
                  <pic:blipFill>
                    <a:blip r:embed="rId12"/>
                    <a:stretch>
                      <a:fillRect/>
                    </a:stretch>
                  </pic:blipFill>
                  <pic:spPr>
                    <a:xfrm>
                      <a:off x="0" y="0"/>
                      <a:ext cx="6116320" cy="3518535"/>
                    </a:xfrm>
                    <a:prstGeom prst="rect">
                      <a:avLst/>
                    </a:prstGeom>
                  </pic:spPr>
                </pic:pic>
              </a:graphicData>
            </a:graphic>
          </wp:inline>
        </w:drawing>
      </w:r>
    </w:p>
    <w:p>
      <w:pPr>
        <w:rPr>
          <w:rFonts w:eastAsiaTheme="minorEastAsia"/>
        </w:rPr>
      </w:pPr>
    </w:p>
    <w:p>
      <w:pPr>
        <w:rPr>
          <w:rFonts w:eastAsiaTheme="minorEastAsia"/>
        </w:rPr>
      </w:pPr>
      <w:r>
        <w:rPr>
          <w:rFonts w:hint="eastAsia" w:eastAsiaTheme="minorEastAsia"/>
        </w:rPr>
        <w:drawing>
          <wp:inline distT="0" distB="0" distL="114300" distR="114300">
            <wp:extent cx="6115685" cy="3482340"/>
            <wp:effectExtent l="0" t="0" r="10795" b="7620"/>
            <wp:docPr id="18" name="图片 18" descr="月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月台4"/>
                    <pic:cNvPicPr>
                      <a:picLocks noChangeAspect="1"/>
                    </pic:cNvPicPr>
                  </pic:nvPicPr>
                  <pic:blipFill>
                    <a:blip r:embed="rId13"/>
                    <a:stretch>
                      <a:fillRect/>
                    </a:stretch>
                  </pic:blipFill>
                  <pic:spPr>
                    <a:xfrm>
                      <a:off x="0" y="0"/>
                      <a:ext cx="6115685" cy="3482340"/>
                    </a:xfrm>
                    <a:prstGeom prst="rect">
                      <a:avLst/>
                    </a:prstGeom>
                  </pic:spPr>
                </pic:pic>
              </a:graphicData>
            </a:graphic>
          </wp:inline>
        </w:drawing>
      </w:r>
    </w:p>
    <w:p>
      <w:pPr>
        <w:rPr>
          <w:rFonts w:eastAsiaTheme="minorEastAsia"/>
        </w:rPr>
      </w:pPr>
    </w:p>
    <w:p>
      <w:pPr>
        <w:rPr>
          <w:rFonts w:eastAsiaTheme="minorEastAsia"/>
        </w:rPr>
      </w:pPr>
      <w:r>
        <w:rPr>
          <w:rFonts w:hint="eastAsia" w:eastAsiaTheme="minorEastAsia"/>
        </w:rPr>
        <w:drawing>
          <wp:inline distT="0" distB="0" distL="114300" distR="114300">
            <wp:extent cx="6118860" cy="3710940"/>
            <wp:effectExtent l="0" t="0" r="7620" b="7620"/>
            <wp:docPr id="19" name="图片 19" descr="月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月台5"/>
                    <pic:cNvPicPr>
                      <a:picLocks noChangeAspect="1"/>
                    </pic:cNvPicPr>
                  </pic:nvPicPr>
                  <pic:blipFill>
                    <a:blip r:embed="rId14"/>
                    <a:stretch>
                      <a:fillRect/>
                    </a:stretch>
                  </pic:blipFill>
                  <pic:spPr>
                    <a:xfrm>
                      <a:off x="0" y="0"/>
                      <a:ext cx="6118860" cy="3710940"/>
                    </a:xfrm>
                    <a:prstGeom prst="rect">
                      <a:avLst/>
                    </a:prstGeom>
                  </pic:spPr>
                </pic:pic>
              </a:graphicData>
            </a:graphic>
          </wp:inline>
        </w:drawing>
      </w:r>
    </w:p>
    <w:p>
      <w:pPr>
        <w:rPr>
          <w:rFonts w:eastAsiaTheme="minorEastAsia"/>
        </w:rPr>
      </w:pPr>
    </w:p>
    <w:p>
      <w:pPr>
        <w:rPr>
          <w:rFonts w:eastAsiaTheme="minorEastAsia"/>
        </w:rPr>
        <w:sectPr>
          <w:pgSz w:w="11906" w:h="16838"/>
          <w:pgMar w:top="1843" w:right="1134" w:bottom="1134" w:left="1134" w:header="851" w:footer="992" w:gutter="0"/>
          <w:cols w:space="425" w:num="1"/>
          <w:docGrid w:type="lines" w:linePitch="326" w:charSpace="0"/>
        </w:sectPr>
      </w:pPr>
      <w:r>
        <w:rPr>
          <w:rFonts w:hint="eastAsia" w:eastAsiaTheme="minorEastAsia"/>
        </w:rPr>
        <w:drawing>
          <wp:inline distT="0" distB="0" distL="114300" distR="114300">
            <wp:extent cx="6115685" cy="3693160"/>
            <wp:effectExtent l="0" t="0" r="10795" b="10160"/>
            <wp:docPr id="20" name="图片 20" descr="月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月台6"/>
                    <pic:cNvPicPr>
                      <a:picLocks noChangeAspect="1"/>
                    </pic:cNvPicPr>
                  </pic:nvPicPr>
                  <pic:blipFill>
                    <a:blip r:embed="rId15"/>
                    <a:stretch>
                      <a:fillRect/>
                    </a:stretch>
                  </pic:blipFill>
                  <pic:spPr>
                    <a:xfrm>
                      <a:off x="0" y="0"/>
                      <a:ext cx="6115685" cy="3693160"/>
                    </a:xfrm>
                    <a:prstGeom prst="rect">
                      <a:avLst/>
                    </a:prstGeom>
                  </pic:spPr>
                </pic:pic>
              </a:graphicData>
            </a:graphic>
          </wp:inline>
        </w:drawing>
      </w:r>
    </w:p>
    <w:p>
      <w:pPr>
        <w:pStyle w:val="2"/>
        <w:spacing w:before="300" w:after="300" w:line="360" w:lineRule="exact"/>
        <w:jc w:val="left"/>
        <w:rPr>
          <w:rStyle w:val="36"/>
          <w:rFonts w:ascii="Arial" w:hAnsi="Arial" w:eastAsia="宋体" w:cs="Arial"/>
          <w:b/>
          <w:bCs w:val="0"/>
          <w:sz w:val="24"/>
          <w:szCs w:val="24"/>
        </w:rPr>
      </w:pPr>
      <w:bookmarkStart w:id="25" w:name="_Toc17832"/>
      <w:r>
        <w:rPr>
          <w:rStyle w:val="36"/>
          <w:rFonts w:hint="eastAsia" w:ascii="Arial" w:hAnsi="Arial" w:eastAsia="宋体" w:cs="Arial"/>
          <w:b/>
          <w:bCs w:val="0"/>
          <w:sz w:val="24"/>
          <w:szCs w:val="24"/>
        </w:rPr>
        <w:t>附件三：本期资金支出情况</w:t>
      </w:r>
      <w:bookmarkEnd w:id="25"/>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本期资金支出情况</w:t>
      </w:r>
    </w:p>
    <w:tbl>
      <w:tblPr>
        <w:tblStyle w:val="17"/>
        <w:tblW w:w="5000" w:type="pct"/>
        <w:tblInd w:w="0" w:type="dxa"/>
        <w:tblLayout w:type="autofit"/>
        <w:tblCellMar>
          <w:top w:w="0" w:type="dxa"/>
          <w:left w:w="108" w:type="dxa"/>
          <w:bottom w:w="0" w:type="dxa"/>
          <w:right w:w="108" w:type="dxa"/>
        </w:tblCellMar>
      </w:tblPr>
      <w:tblGrid>
        <w:gridCol w:w="578"/>
        <w:gridCol w:w="1053"/>
        <w:gridCol w:w="1569"/>
        <w:gridCol w:w="2429"/>
        <w:gridCol w:w="1468"/>
        <w:gridCol w:w="2137"/>
        <w:gridCol w:w="1136"/>
        <w:gridCol w:w="953"/>
        <w:gridCol w:w="2754"/>
      </w:tblGrid>
      <w:tr>
        <w:tblPrEx>
          <w:tblCellMar>
            <w:top w:w="0" w:type="dxa"/>
            <w:left w:w="108" w:type="dxa"/>
            <w:bottom w:w="0" w:type="dxa"/>
            <w:right w:w="108" w:type="dxa"/>
          </w:tblCellMar>
        </w:tblPrEx>
        <w:trPr>
          <w:trHeight w:val="408" w:hRule="atLeast"/>
          <w:tblHeader/>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bookmarkStart w:id="26" w:name="_Toc32568"/>
            <w:bookmarkStart w:id="27" w:name="_Hlk38616564"/>
            <w:r>
              <w:rPr>
                <w:rFonts w:ascii="Arial" w:hAnsi="Arial" w:cs="Arial"/>
                <w:b/>
                <w:bCs/>
                <w:color w:val="000000"/>
                <w:sz w:val="18"/>
                <w:szCs w:val="18"/>
              </w:rPr>
              <w:t>序号</w:t>
            </w:r>
          </w:p>
        </w:tc>
        <w:tc>
          <w:tcPr>
            <w:tcW w:w="37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支付时间</w:t>
            </w:r>
          </w:p>
        </w:tc>
        <w:tc>
          <w:tcPr>
            <w:tcW w:w="572" w:type="pct"/>
            <w:tcBorders>
              <w:top w:val="single" w:color="auto" w:sz="4" w:space="0"/>
              <w:left w:val="nil"/>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49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金额（元）</w:t>
            </w:r>
          </w:p>
        </w:tc>
        <w:tc>
          <w:tcPr>
            <w:tcW w:w="759"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出款行</w:t>
            </w:r>
          </w:p>
        </w:tc>
        <w:tc>
          <w:tcPr>
            <w:tcW w:w="40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用款类型</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备注</w:t>
            </w:r>
          </w:p>
        </w:tc>
        <w:tc>
          <w:tcPr>
            <w:tcW w:w="97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合同编号</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重庆三科房地产经济经纪有限公司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支付重庆三科房地产经纪公司11-12月佣金</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569,850.00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营销费用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740"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重庆和发房地产开发有限公司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农行4836账户申请支付重庆和发地产场地租赁费42000</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42,000.00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营销费用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恒渝重租合字20[0.17-79]009</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重庆鹰帆纸业有限公司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农行4836账户申请支付重庆鹰帆纸业有限公司办公用品3080+7700=10780</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10,780.00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营销费用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恒渝重购合字20[0.17-1]106</w:t>
            </w:r>
          </w:p>
        </w:tc>
      </w:tr>
      <w:tr>
        <w:tblPrEx>
          <w:tblCellMar>
            <w:top w:w="0" w:type="dxa"/>
            <w:left w:w="108" w:type="dxa"/>
            <w:bottom w:w="0" w:type="dxa"/>
            <w:right w:w="108" w:type="dxa"/>
          </w:tblCellMar>
        </w:tblPrEx>
        <w:trPr>
          <w:trHeight w:val="540"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重庆旭卓科技有限公司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农行4836账户申请支付重庆旭卓科技有限公司办公用品2400</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营销费用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恒渝重购合字20[0.17-1]111</w:t>
            </w:r>
          </w:p>
        </w:tc>
      </w:tr>
      <w:tr>
        <w:tblPrEx>
          <w:tblCellMar>
            <w:top w:w="0" w:type="dxa"/>
            <w:left w:w="108" w:type="dxa"/>
            <w:bottom w:w="0" w:type="dxa"/>
            <w:right w:w="108" w:type="dxa"/>
          </w:tblCellMar>
        </w:tblPrEx>
        <w:trPr>
          <w:trHeight w:val="520"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rPr>
            </w:pPr>
            <w:r>
              <w:rPr>
                <w:rFonts w:hint="eastAsia"/>
                <w:color w:val="000000"/>
                <w:sz w:val="18"/>
                <w:szCs w:val="18"/>
                <w:lang w:bidi="ar"/>
              </w:rPr>
              <w:t>重庆欣扬办公用品有限公司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农行4836账户申请支付重庆欣杨办公用品公司办公费6600+6600=13200</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13,200.00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营销费用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恒渝重购合字20[0.17-1]102</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613" w:type="dxa"/>
            <w:tcBorders>
              <w:top w:val="nil"/>
              <w:left w:val="nil"/>
              <w:bottom w:val="single" w:color="auto" w:sz="4" w:space="0"/>
              <w:right w:val="nil"/>
            </w:tcBorders>
            <w:shd w:val="clear" w:color="auto" w:fill="auto"/>
            <w:vAlign w:val="center"/>
          </w:tcPr>
          <w:p>
            <w:pPr>
              <w:jc w:val="center"/>
              <w:textAlignment w:val="center"/>
              <w:rPr>
                <w:color w:val="000000"/>
                <w:sz w:val="18"/>
                <w:szCs w:val="18"/>
              </w:rPr>
            </w:pPr>
            <w:r>
              <w:rPr>
                <w:rFonts w:hint="eastAsia"/>
                <w:color w:val="000000"/>
                <w:sz w:val="18"/>
                <w:szCs w:val="18"/>
                <w:lang w:bidi="ar"/>
              </w:rPr>
              <w:t>重庆三元家具有限公司</w:t>
            </w:r>
          </w:p>
        </w:tc>
        <w:tc>
          <w:tcPr>
            <w:tcW w:w="2455" w:type="dxa"/>
            <w:tcBorders>
              <w:top w:val="nil"/>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农行4836账户申请支付重庆三元家具有限公司办公家具采购费980</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营销费用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恒渝重购合字20[0.17-1]292</w:t>
            </w:r>
          </w:p>
        </w:tc>
      </w:tr>
      <w:tr>
        <w:tblPrEx>
          <w:tblCellMar>
            <w:top w:w="0" w:type="dxa"/>
            <w:left w:w="108" w:type="dxa"/>
            <w:bottom w:w="0" w:type="dxa"/>
            <w:right w:w="108" w:type="dxa"/>
          </w:tblCellMar>
        </w:tblPrEx>
        <w:trPr>
          <w:trHeight w:val="520"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613" w:type="dxa"/>
            <w:tcBorders>
              <w:top w:val="nil"/>
              <w:left w:val="nil"/>
              <w:bottom w:val="single" w:color="auto" w:sz="4" w:space="0"/>
              <w:right w:val="nil"/>
            </w:tcBorders>
            <w:shd w:val="clear" w:color="auto" w:fill="auto"/>
            <w:vAlign w:val="center"/>
          </w:tcPr>
          <w:p>
            <w:pPr>
              <w:jc w:val="center"/>
              <w:textAlignment w:val="center"/>
              <w:rPr>
                <w:color w:val="000000"/>
                <w:sz w:val="18"/>
                <w:szCs w:val="18"/>
              </w:rPr>
            </w:pPr>
            <w:r>
              <w:rPr>
                <w:rFonts w:hint="eastAsia"/>
                <w:color w:val="000000"/>
                <w:sz w:val="18"/>
                <w:szCs w:val="18"/>
                <w:lang w:bidi="ar"/>
              </w:rPr>
              <w:t>重庆坦郎通讯技术有限公司</w:t>
            </w:r>
          </w:p>
        </w:tc>
        <w:tc>
          <w:tcPr>
            <w:tcW w:w="2455" w:type="dxa"/>
            <w:tcBorders>
              <w:top w:val="nil"/>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农行4836账户申请支付重庆坦郎通讯技术有限公司通讯费17650.49</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17,650.49</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管理费用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恒渝重它合字19[0.17-1]212</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613" w:type="dxa"/>
            <w:tcBorders>
              <w:top w:val="nil"/>
              <w:left w:val="nil"/>
              <w:bottom w:val="single" w:color="auto" w:sz="4" w:space="0"/>
              <w:right w:val="nil"/>
            </w:tcBorders>
            <w:shd w:val="clear" w:color="auto" w:fill="auto"/>
            <w:vAlign w:val="center"/>
          </w:tcPr>
          <w:p>
            <w:pPr>
              <w:jc w:val="center"/>
              <w:textAlignment w:val="center"/>
              <w:rPr>
                <w:color w:val="000000"/>
                <w:sz w:val="18"/>
                <w:szCs w:val="18"/>
              </w:rPr>
            </w:pPr>
            <w:r>
              <w:rPr>
                <w:rFonts w:hint="eastAsia"/>
                <w:color w:val="000000"/>
                <w:sz w:val="18"/>
                <w:szCs w:val="18"/>
                <w:lang w:bidi="ar"/>
              </w:rPr>
              <w:t>重庆融亘实业有限公司</w:t>
            </w:r>
          </w:p>
        </w:tc>
        <w:tc>
          <w:tcPr>
            <w:tcW w:w="2455" w:type="dxa"/>
            <w:tcBorders>
              <w:top w:val="nil"/>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农行4836账户申请支付重庆融亘实业有限公司补偿费300000</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300,000.00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营业外支出</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恒渝重它合字19[0.19-79]141</w:t>
            </w:r>
            <w:r>
              <w:rPr>
                <w:rFonts w:hint="eastAsia"/>
                <w:color w:val="000000"/>
                <w:sz w:val="18"/>
                <w:szCs w:val="18"/>
                <w:lang w:bidi="ar"/>
              </w:rPr>
              <w:br w:type="textWrapping"/>
            </w:r>
            <w:r>
              <w:rPr>
                <w:rFonts w:hint="eastAsia"/>
                <w:color w:val="000000"/>
                <w:sz w:val="18"/>
                <w:szCs w:val="18"/>
                <w:lang w:bidi="ar"/>
              </w:rPr>
              <w:t>恒渝重它合字19[0.19-79]141-1</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重庆欣荣土地房屋勘测技术研究所有限责任公司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农行4836账户申请支付重庆欣荣土地房屋勘测技术研究所有限责任公司房地合一图制作费8118</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8,118.00</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管理费用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0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613"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重庆渝江水务公司</w:t>
            </w:r>
          </w:p>
        </w:tc>
        <w:tc>
          <w:tcPr>
            <w:tcW w:w="2455" w:type="dxa"/>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农行4836账户申请支付重庆渝江水务公司安装水表工程费150919.39</w:t>
            </w:r>
          </w:p>
        </w:tc>
        <w:tc>
          <w:tcPr>
            <w:tcW w:w="139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150,919.39</w:t>
            </w:r>
          </w:p>
        </w:tc>
        <w:tc>
          <w:tcPr>
            <w:tcW w:w="2137"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建筑工程费用</w:t>
            </w:r>
          </w:p>
        </w:tc>
        <w:tc>
          <w:tcPr>
            <w:tcW w:w="952"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恒渝重购合字21[0.17-79]019</w:t>
            </w: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重庆炬坤新能源开发有限公司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农行4836账户申请支付重庆炬坤新能源开发有限公司安装工程费192877.73</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192,877.73</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农行渝中大坪支行4836</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建筑工程费用</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恒渝重工合字20[0.17-79]164</w:t>
            </w: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12</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鑫坤浙商45008内转浙商70266资金100000000</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100,000,000.00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浙商银行5008</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业务委托书</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13</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工行1865内转建行2555资金440万</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4,400,000.00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工行杨家坪支行1865</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网银转账</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中国银行6940内转建行2555资金180万</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中行自由贸易试验区解放碑支行6940</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网银转账</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农商行0041内转建行2555资金305万</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3,050,000.00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农商行九龙坡支行0041</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网银转账</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16</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民生5625内转建行2555资金340万</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3,400,000.00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民生银行北部新区支行5625</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网银转账</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17</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工行1865内转建行2555资金230万</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工行杨家坪支行1865</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网银转账</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18</w:t>
            </w:r>
          </w:p>
        </w:tc>
        <w:tc>
          <w:tcPr>
            <w:tcW w:w="1053"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1613"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245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广发0136内转农行4836资金20万元</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200,000.00</w:t>
            </w:r>
          </w:p>
        </w:tc>
        <w:tc>
          <w:tcPr>
            <w:tcW w:w="2137"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广发0136</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往来款</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转账支票</w:t>
            </w:r>
          </w:p>
        </w:tc>
        <w:tc>
          <w:tcPr>
            <w:tcW w:w="27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80" w:hRule="atLeast"/>
        </w:trPr>
        <w:tc>
          <w:tcPr>
            <w:tcW w:w="2027"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rPr>
              <w:t>合计</w:t>
            </w:r>
          </w:p>
        </w:tc>
        <w:tc>
          <w:tcPr>
            <w:tcW w:w="49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116,458,775.61</w:t>
            </w:r>
          </w:p>
        </w:tc>
        <w:tc>
          <w:tcPr>
            <w:tcW w:w="759"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40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33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7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bl>
    <w:p>
      <w:pPr>
        <w:spacing w:before="300" w:after="300" w:line="360" w:lineRule="exact"/>
        <w:outlineLvl w:val="0"/>
        <w:rPr>
          <w:b/>
          <w:bCs/>
        </w:rPr>
        <w:sectPr>
          <w:pgSz w:w="16838" w:h="11906" w:orient="landscape"/>
          <w:pgMar w:top="1134" w:right="1843" w:bottom="1134" w:left="1134" w:header="851" w:footer="992" w:gutter="0"/>
          <w:cols w:space="425" w:num="1"/>
          <w:docGrid w:type="lines" w:linePitch="326" w:charSpace="0"/>
        </w:sectPr>
      </w:pPr>
    </w:p>
    <w:p>
      <w:pPr>
        <w:spacing w:before="300" w:after="300" w:line="360" w:lineRule="exact"/>
        <w:outlineLvl w:val="0"/>
        <w:rPr>
          <w:b/>
          <w:bCs/>
        </w:rPr>
      </w:pPr>
      <w:r>
        <w:rPr>
          <w:rFonts w:hint="eastAsia"/>
          <w:b/>
          <w:bCs/>
        </w:rPr>
        <w:t>附件四：本期合同签订情况</w:t>
      </w:r>
      <w:bookmarkEnd w:id="26"/>
    </w:p>
    <w:tbl>
      <w:tblPr>
        <w:tblStyle w:val="17"/>
        <w:tblpPr w:leftFromText="180" w:rightFromText="180" w:vertAnchor="text" w:horzAnchor="page" w:tblpX="1112" w:tblpY="29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135"/>
        <w:gridCol w:w="2253"/>
        <w:gridCol w:w="2107"/>
        <w:gridCol w:w="3366"/>
        <w:gridCol w:w="2988"/>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trPr>
        <w:tc>
          <w:tcPr>
            <w:tcW w:w="178"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403"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80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748"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1195" w:type="pct"/>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061"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付款节点</w:t>
            </w:r>
          </w:p>
        </w:tc>
        <w:tc>
          <w:tcPr>
            <w:tcW w:w="613"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四川华信集团会计师事务所（特殊普通合伙）</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审计业务约定书</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乙方接受甲方委托，对甲方按照企业会计准则编制的2020年 12月 31日的资产负债表，2020 年度的利润表 、现金流量表、所有者权益变动表以及财务报表附注(以下统称财务报表)进行审计</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审计费用于业务完成提交审计报告后两月内，以无息商业承兑汇票一次性支付</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29,000.00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2</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重庆建工住宅建设有限公司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重庆恒大锦城首三期主体及配套建设工程施工合同补充协议5</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重庆恒大锦城首三期主体及配套建设工程-臂架泵泵送费，增加合同金额</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按原合同执行</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938,185.53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3</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2021/4/6</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中煤科工重庆设计研究院（集团）有限公司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设计委托书</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兹委托贵单位完成恒大锦城(1#、2#、3#、4#、5#、6#、7#)车库、恒大鹏翠湾三期年中航两江体育(E05-01/01)地下车库、重庆恒大御府项目 1-1 地块地下车库、恒大云(H17-1、 H21-1、H29-1)车库普通照明</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从被委托人向委托人交付符合要求的设计文件及电子文件的时间起算5工作日内，委托人一次性付清全部设计款</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84,686.56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4</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重庆市建设工程质量检验测试中心</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重庆恒大锦城二三期(35-46#楼、67-85#楼及1、3#车库)结构施工质量检测、鉴定技术服务合同</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乙方负责恒大锦城二三期(35-46#楼、67-85#楼及1、3#车库)结构施工质量检测、鉴定技术服务</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1、进度款支付:乙方提交鉴定报告(含分批提交鉴定报告)后次月向甲方申报已完工程金额 80%作为进度款</w:t>
            </w:r>
            <w:r>
              <w:rPr>
                <w:rFonts w:hint="eastAsia"/>
                <w:color w:val="000000"/>
                <w:sz w:val="18"/>
                <w:szCs w:val="18"/>
                <w:lang w:bidi="ar"/>
              </w:rPr>
              <w:br w:type="textWrapping"/>
            </w:r>
            <w:r>
              <w:rPr>
                <w:rFonts w:hint="eastAsia"/>
                <w:color w:val="000000"/>
                <w:sz w:val="18"/>
                <w:szCs w:val="18"/>
                <w:lang w:bidi="ar"/>
              </w:rPr>
              <w:t>2、全部完工且提供最终检测报告后开始办理结算，办理结算完成后 30 天内，甲方向乙方次性付清全部检测款项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1,082,578.00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5</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重庆拓达建设（集团）有限公司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重庆恒大锦城销售道路(横一路K0+319.72-K0+510、纵三路 K0+107.336-K0+274.07)工程施工合同补充协议3</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新增恒大锦城销售道路入口栏杆、闸机处工程施工</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与原合同一同结算</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149,439.00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6</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2021/4/13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重庆市建设工程质量检验测试中心</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重庆恒大锦城项目20#楼39#楼、67#楼85#楼及3#车库桩基平行检测合同</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重庆恒大锦城项目20#楼，39#楼67#楼~85#楼及3#车库桩基平行检测，以及甲方根据实际情况要求乙方进行检测的其他项目，重庆恒大锦城项目20#楼，39#楼67#楼~85#楼及3#车库桩基平行检测，以及甲方根据实际情况要求乙方进行检测的其他项目，具体的检测方式、数量、桩编号及方案以甲方下发的具体要求为准</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1、进度款支付:乙方提交检测报告(含分批提交检测报告)后当月向甲方申报已完工程金额80%作为进度款，甲方在7个工作日内完成审核，7日内甲方按审核价的80%支付进度款</w:t>
            </w:r>
            <w:r>
              <w:rPr>
                <w:rFonts w:hint="eastAsia"/>
                <w:color w:val="000000"/>
                <w:sz w:val="18"/>
                <w:szCs w:val="18"/>
                <w:lang w:bidi="ar"/>
              </w:rPr>
              <w:br w:type="textWrapping"/>
            </w:r>
            <w:r>
              <w:rPr>
                <w:rFonts w:hint="eastAsia"/>
                <w:color w:val="000000"/>
                <w:sz w:val="18"/>
                <w:szCs w:val="18"/>
                <w:lang w:bidi="ar"/>
              </w:rPr>
              <w:t>2、乙方在检测完成并提交检测成果报告和结算申请单后，甲方在20日内完成工程结算，并在结算完成后10日内一次性支付全部结算款</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95,993.60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7</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2021/4/14</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深圳瑞和建筑装饰股份有限公司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重庆恒大锦城小区大门及销售中心外立面装修工程施工合同补充协议4</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鉴于乙方承接的《重庆恒大锦城小区大门及销售中心外立面装修工程施工合同》在施工期间的施工进度达到甲方设定的目标进度，甲方同意支付乙方赶工奖，具体赶工奖金额为：205383.71</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205,383.71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8</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2021/4/14</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广州市恒合工程监理有限公司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重庆市商品房预售资金监管协议书</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鉴于甲乙丙三方签订的《重庆市商品房预售资金监管协议书》，恒大锦城二期商品房预售资金收入属于监管范围，并设立两个监管账户。</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9</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2021/4/15</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重庆金永隆市政工程有限公司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重庆恒大锦城首期综合楼、售楼部和小区大门泛光照明工程施工合同补充协议（1）</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鉴于乙方承接的《重庆恒大锦城首期综合楼、售楼部和小区大门泛光照明工程施工合同》在施工期间的施工进度达到甲方设定的目标进度，甲方同意支付乙方赶工奖，具体赶工奖以甲方核定为准</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赶工奖列入当期应付的工程款一次性支付给乙方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10</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2021/4/19</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重庆金永隆市政工程有限公司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重庆恒大锦城首期综合楼、售楼部和小区大门泛光照明工程施工合同补充协议（2）</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鉴于乙方承接的《重庆恒大锦城首期综合楼、售楼部和小区大门泛光照明工程施工合同》在施工期间的施工进度达到甲方设定的目标进度，甲方同意支付乙方赶工奖，赶工奖为：16335.17元</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赶工奖列入当期应付的工程款一次性支付给乙方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16,335.17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11</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2021/4/21</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浙江红叶园艺有限公司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重庆恒大锦城园建工程施工合同补充协议（三）</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鉴于乙方承接的《重庆恒大锦城园建工程施工合同》在施工期间的施工进度达到甲方设定的目标进度，甲方同意支付乙方赶工奖，赶工奖为：198172.73元</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赶工奖列入当期应付的工程款一次性支付给乙方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198,172.73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12</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2021/4/21</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上海三菱电梯有限公司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《重庆恒大锦城首期1-2#, 4-18#, 20-28和30-34楼电梯设备买卖合同》补充协议(3)</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鉴于乙方承接的《重庆恒大锦城首期1-2#, 4-18#, 20-28和30-34楼电梯设备买卖合同》在施工期间的施工进度达到甲方设定的目标进度，甲方同意支付乙方赶工奖</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赶工奖列入当期应付的工程款一次性支付给乙方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13</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2021/4/22</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深圳市希尔景观设计有限公司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重庆恒大锦城项目首期园林工程设计合同补充协议（一）</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鉴于乙方承接的《重庆恒大锦城项目首期园林工程设计合同》在施工期间的施工进度达到甲方设定的目标进度，甲方同意支付乙方赶工奖，具体赶工奖以甲方核定为准</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赶工奖列入当期应付的工程款一次性支付给乙方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14</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深圳达实智能股份有限公司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《重庆恒大锦城首开区异地样板房、综合楼、售楼部、大门、展示区智能化工程施工合同》补充协议(2)</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鉴于乙方承接的《重庆恒大锦城首开区异地样板房、综合楼、售楼部、大门、展示区智能化工程》在施工期间的施工进度达到甲方设定的目标进度，甲方同意支付乙方赶工奖，赶工奖金额为：14115.40</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14,115.40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15</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国网重庆市电力公司市南供电分公司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新建居民住宅小区供配电设施无偿移交意向协议书</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根据重庆市政府文件，甲方自愿将其投资于重庆市巴南区界石镇（恒大锦城一期）住宅小区形成的电力资产无偿交于乙方，由乙方负责移交后的公用供配电设施进行统一运行维护管理</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16</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重庆宇豪建筑工程有限公司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《重庆恒大锦城项目二三期装配式围挡制作安装工程施工合同》补充协议(3)</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乙方承接的《重庆恒大锦城项目二三期装配式围挡制作安装工程》 在施工期间的施工进度达到甲方设定的目标进度,甲方同意支付乙方赶工奖,赶工奖金额为：64353.60</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64,353.60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17</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重庆豪城建</w:t>
            </w:r>
            <w:bookmarkStart w:id="30" w:name="_GoBack"/>
            <w:bookmarkEnd w:id="30"/>
            <w:r>
              <w:rPr>
                <w:rFonts w:hint="eastAsia"/>
                <w:color w:val="000000"/>
                <w:sz w:val="18"/>
                <w:szCs w:val="18"/>
                <w:lang w:bidi="ar"/>
              </w:rPr>
              <w:t>筑工程有限公司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重庆恒大锦城二期土石方工程施工合同补充协议6</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乙方承接的《重庆恒大锦城二期土石方工程》 在施工期间的施工进度达到甲方设定的目标进度,甲方同意支付乙方赶工奖,赶工奖金额为：216691.53</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216,691.53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18</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重庆红岩路桥工程有限公司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重庆巴南恒大锦城首期土石方工程施工合同补充协议5</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乙方承接的《重庆巴南恒大锦城首期土石方工程施工合同》 在施工期间的施工进度达到甲方设定的目标进度,甲方同意支付乙方赶工奖,赶工奖金额为：878931.39</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878,931.39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19</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中国有色金属长沙勘察设计研究院有限公司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《重庆恒大锦城勘察工程外业见证合同》补充协议2</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鉴于乙方承接的《重庆恒大锦城勘察工程外业见证工程》在施工期间的施工进度达到甲方设定的目标进度，甲方同意支付乙方赶工奖，赶工奖金额为：11571.74</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11,571.74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20</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2021/4/23</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重庆市人防建筑设计研究院有限责任公司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《重庆巴南恒大锦城项目人防设计合同》补充协议（3）</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乙方承接的《重庆巴南恒大锦城项目人防设计》 在施工期间的施工进度达到甲方设定的目标进度,甲方同意支付乙方赶工奖,赶工奖金额为：18750.82</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18,750.82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21</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2021/4/25</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上海三菱电梯有限公司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《重庆恒大锦城首期1-2#, 4-18#, 20-28和30-34楼电梯设备买卖合同》补充协议(4)</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鉴于乙方承接的《重庆恒大锦城首期1-2#, 4-18#, 20-28和30-34楼电梯设备买卖合同》在施工期间的施工进度达到甲方设定的目标进度，甲方同意支付乙方赶工奖，赶工奖为：1200元</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22</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2021/4/27</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重庆拓达建设（集团）有限公司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重庆恒大锦城销售道路(横一路K0+319.72-K0+510、纵三路 K0+107.336-K0+274.07)工程施工合同补充协议4</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鉴于乙方承接的《重庆恒大锦城销售道路(横一路 KO+319.72-K0+510、纵三路K0+107.336-K0+274.07)工程》在施工期间的施工进度达到甲方设定的目标进度，甲方同意支付乙方赶工奖，赶工奖金额为：387071.71元</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387,071.71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23</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重庆建工住宅建设有限公司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重庆恒大锦城首三期主体及配套建设工程施工合同补充协议6</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鉴于乙方承接《重庆恒大锦城首三期主体及配套建设工程》2020年12月10日至2021年2月26日施工进度达到甲方设定目标进度，甲方同意支付赶工奖，赶工奖金额为：5278656.36</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5,278,656.36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24</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广州艺广装饰设计工程有限公司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重庆恒大锦城销售中心室内精装修工程施工合同补充协议4</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鉴于乙方承接《重庆恒大锦城销售中心室内精装修工程》2021年1月至2021年3月施工进度达到甲方设定目标进度，甲方同意支付赶工奖，赶工奖金额为：50211.08</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50,211.08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25</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深圳市希尔景观设计有限公司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重庆恒大锦城项目首期园林工程设计合同补充协议（二）</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鉴于乙方承接的《重庆恒大锦城项目首期园林工程设计合同》在2021年1月至3月的施工进度达到甲方设定的目标进度，甲方同意支付乙方赶工奖，赶工奖金额为：13220.53</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赶工奖随当期应付的工程款一次性支付给乙方</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13,220.53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26</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重庆树人立德小学</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关于“恒大锦城”项目业主及业主子女入学协议补充协议2</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甲方向乙方支付补偿费¥400000元</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上述费用原则上随当期应付款项一次性支付给乙方，具体支付时间以甲方安排为准</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27</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2021/4/28</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重庆炬坤新能源开发有限公司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重庆恒大锦城项目T18-1/02地块新增1000KVA箱变安装工程施工合同补充协议1</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乙方在合同履行过程中增加了各种抢工,赶工及其他与工程相关的各种配合费,甲方同意向乙方一次性支付全部工程配合及其相关费用，费用共计：198000元</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上述费用原则上随当期应付款项一次性支付给乙方，具体支付时间以甲方安排为准</w:t>
            </w:r>
          </w:p>
        </w:tc>
        <w:tc>
          <w:tcPr>
            <w:tcW w:w="613"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198,000.00</w:t>
            </w:r>
          </w:p>
        </w:tc>
      </w:tr>
    </w:tbl>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本期合同签订情况</w:t>
      </w:r>
    </w:p>
    <w:p>
      <w:pPr>
        <w:spacing w:before="326" w:beforeLines="100"/>
        <w:rPr>
          <w:rFonts w:ascii="Arial" w:hAnsi="Arial" w:cs="Arial"/>
          <w:b/>
          <w:bCs/>
          <w:szCs w:val="21"/>
        </w:rPr>
      </w:pPr>
    </w:p>
    <w:p>
      <w:pPr>
        <w:spacing w:before="326" w:beforeLines="100"/>
        <w:rPr>
          <w:rFonts w:ascii="Arial" w:hAnsi="Arial" w:cs="Arial"/>
          <w:b/>
          <w:bCs/>
          <w:szCs w:val="21"/>
        </w:rPr>
        <w:sectPr>
          <w:pgSz w:w="16838" w:h="11906" w:orient="landscape"/>
          <w:pgMar w:top="1134" w:right="1843" w:bottom="1134" w:left="1134" w:header="851" w:footer="992" w:gutter="0"/>
          <w:cols w:space="425" w:num="1"/>
          <w:docGrid w:type="lines" w:linePitch="326" w:charSpace="0"/>
        </w:sectPr>
      </w:pPr>
    </w:p>
    <w:bookmarkEnd w:id="27"/>
    <w:p>
      <w:pPr>
        <w:spacing w:before="300" w:after="300" w:line="360" w:lineRule="exact"/>
        <w:outlineLvl w:val="0"/>
        <w:rPr>
          <w:b/>
          <w:bCs/>
        </w:rPr>
      </w:pPr>
      <w:bookmarkStart w:id="28" w:name="_Toc6047"/>
      <w:bookmarkStart w:id="29" w:name="_Hlk38616594"/>
      <w:r>
        <w:rPr>
          <w:rFonts w:hint="eastAsia"/>
          <w:b/>
          <w:bCs/>
        </w:rPr>
        <w:t>附件五：项目公司账户余额情况</w:t>
      </w:r>
      <w:bookmarkEnd w:id="28"/>
      <w:r>
        <w:rPr>
          <w:rFonts w:hint="eastAsia"/>
          <w:b/>
          <w:bCs/>
        </w:rPr>
        <w:t>及余额截图</w:t>
      </w:r>
    </w:p>
    <w:p>
      <w:pPr>
        <w:widowControl w:val="0"/>
        <w:adjustRightInd w:val="0"/>
        <w:snapToGrid w:val="0"/>
        <w:spacing w:before="326" w:beforeLines="100"/>
        <w:contextualSpacing/>
        <w:jc w:val="center"/>
        <w:rPr>
          <w:rFonts w:ascii="Arial" w:hAnsi="Arial" w:cs="Arial"/>
          <w:b/>
          <w:szCs w:val="28"/>
        </w:rPr>
      </w:pPr>
      <w:r>
        <w:rPr>
          <w:rFonts w:ascii="Arial" w:hAnsi="Arial" w:cs="Arial"/>
          <w:b/>
          <w:bCs/>
          <w:szCs w:val="21"/>
        </w:rPr>
        <w:t>项目公司账户余额情况</w:t>
      </w:r>
    </w:p>
    <w:tbl>
      <w:tblPr>
        <w:tblStyle w:val="17"/>
        <w:tblW w:w="5000" w:type="pct"/>
        <w:jc w:val="center"/>
        <w:tblLayout w:type="fixed"/>
        <w:tblCellMar>
          <w:top w:w="0" w:type="dxa"/>
          <w:left w:w="108" w:type="dxa"/>
          <w:bottom w:w="0" w:type="dxa"/>
          <w:right w:w="108" w:type="dxa"/>
        </w:tblCellMar>
      </w:tblPr>
      <w:tblGrid>
        <w:gridCol w:w="665"/>
        <w:gridCol w:w="1362"/>
        <w:gridCol w:w="1159"/>
        <w:gridCol w:w="1307"/>
        <w:gridCol w:w="1159"/>
        <w:gridCol w:w="1165"/>
        <w:gridCol w:w="1594"/>
        <w:gridCol w:w="1443"/>
      </w:tblGrid>
      <w:tr>
        <w:tblPrEx>
          <w:tblCellMar>
            <w:top w:w="0" w:type="dxa"/>
            <w:left w:w="108" w:type="dxa"/>
            <w:bottom w:w="0" w:type="dxa"/>
            <w:right w:w="108" w:type="dxa"/>
          </w:tblCellMar>
        </w:tblPrEx>
        <w:trPr>
          <w:trHeight w:val="936" w:hRule="atLeast"/>
          <w:tblHeader/>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809" w:type="pct"/>
            <w:tcBorders>
              <w:top w:val="single" w:color="auto" w:sz="4" w:space="0"/>
              <w:left w:val="nil"/>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p>
            <w:pPr>
              <w:jc w:val="center"/>
              <w:rPr>
                <w:rFonts w:ascii="Arial" w:hAnsi="Arial" w:cs="Arial"/>
                <w:b/>
                <w:bCs/>
                <w:color w:val="000000"/>
                <w:sz w:val="18"/>
                <w:szCs w:val="18"/>
              </w:rPr>
            </w:pPr>
            <w:r>
              <w:rPr>
                <w:rFonts w:ascii="Arial" w:hAnsi="Arial" w:cs="Arial"/>
                <w:b/>
                <w:bCs/>
                <w:color w:val="000000"/>
                <w:sz w:val="18"/>
                <w:szCs w:val="18"/>
              </w:rPr>
              <w:t>（元）</w:t>
            </w:r>
          </w:p>
        </w:tc>
        <w:tc>
          <w:tcPr>
            <w:tcW w:w="732" w:type="pct"/>
            <w:tcBorders>
              <w:top w:val="single" w:color="auto" w:sz="4" w:space="0"/>
              <w:left w:val="nil"/>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预计可动用余额（元）</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6530000010120100645008</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18,283,787.59 </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6530000010120100655750</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159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 3,922,423.17 </w:t>
            </w:r>
          </w:p>
        </w:tc>
        <w:tc>
          <w:tcPr>
            <w:tcW w:w="1444"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color w:val="000000"/>
                <w:sz w:val="18"/>
                <w:szCs w:val="18"/>
                <w:lang w:bidi="ar"/>
              </w:rPr>
              <w:t xml:space="preserve"> 1,202,423.17 </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中国农业银行重庆渝北支行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31110201040014855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159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 15,836,639.46 </w:t>
            </w:r>
          </w:p>
        </w:tc>
        <w:tc>
          <w:tcPr>
            <w:tcW w:w="1444"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color w:val="000000"/>
                <w:sz w:val="18"/>
                <w:szCs w:val="18"/>
                <w:lang w:bidi="ar"/>
              </w:rPr>
              <w:t xml:space="preserve"> 6,916,639.46 </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中国建设银行股份有限公司重庆中山路支行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50050100414100002555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曾强+周静+财务章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28,351,330.91</w:t>
            </w:r>
          </w:p>
        </w:tc>
        <w:tc>
          <w:tcPr>
            <w:tcW w:w="732" w:type="pct"/>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28,351,330.91</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中国银行重庆自由贸易试验区解放碑支行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111671396940</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 5,520.44 </w:t>
            </w:r>
          </w:p>
        </w:tc>
        <w:tc>
          <w:tcPr>
            <w:tcW w:w="732" w:type="pct"/>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color w:val="000000"/>
                <w:sz w:val="18"/>
                <w:szCs w:val="18"/>
                <w:lang w:bidi="ar"/>
              </w:rPr>
              <w:t xml:space="preserve"> 5,520.44 </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重庆农村商业银行九龙坡支行九龙分理处</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0401110120010020041</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 13,091.44 </w:t>
            </w:r>
          </w:p>
        </w:tc>
        <w:tc>
          <w:tcPr>
            <w:tcW w:w="732" w:type="pct"/>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color w:val="000000"/>
                <w:sz w:val="18"/>
                <w:szCs w:val="18"/>
                <w:lang w:bidi="ar"/>
              </w:rPr>
              <w:t xml:space="preserve"> 13,091.44 </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工商银行重庆九龙坡杨 家坪支行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3100087019200271865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 1,527,771.38 </w:t>
            </w:r>
          </w:p>
        </w:tc>
        <w:tc>
          <w:tcPr>
            <w:tcW w:w="732" w:type="pct"/>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color w:val="000000"/>
                <w:sz w:val="18"/>
                <w:szCs w:val="18"/>
                <w:lang w:bidi="ar"/>
              </w:rPr>
              <w:t xml:space="preserve"> 1,527,771.38 </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民生银行重庆北部新区支行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632315625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 2,000,229.32 </w:t>
            </w:r>
          </w:p>
        </w:tc>
        <w:tc>
          <w:tcPr>
            <w:tcW w:w="732" w:type="pct"/>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color w:val="000000"/>
                <w:sz w:val="18"/>
                <w:szCs w:val="18"/>
                <w:lang w:bidi="ar"/>
              </w:rPr>
              <w:t xml:space="preserve"> 2,000,229.32 </w:t>
            </w:r>
          </w:p>
        </w:tc>
      </w:tr>
      <w:tr>
        <w:tblPrEx>
          <w:tblCellMar>
            <w:top w:w="0" w:type="dxa"/>
            <w:left w:w="108" w:type="dxa"/>
            <w:bottom w:w="0" w:type="dxa"/>
            <w:right w:w="108" w:type="dxa"/>
          </w:tblCellMar>
        </w:tblPrEx>
        <w:trPr>
          <w:trHeight w:val="504"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兴业银行重庆观音桥支行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346110100100535816</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rPr>
              <w:t>-</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04" w:hRule="atLeast"/>
          <w:jc w:val="center"/>
        </w:trPr>
        <w:tc>
          <w:tcPr>
            <w:tcW w:w="3458"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595"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
                <w:bCs/>
                <w:sz w:val="18"/>
                <w:szCs w:val="18"/>
              </w:rPr>
            </w:pPr>
            <w:r>
              <w:rPr>
                <w:rFonts w:ascii="Arial" w:hAnsi="Arial" w:eastAsia="等线" w:cs="Arial"/>
                <w:b/>
                <w:bCs/>
                <w:color w:val="000000"/>
                <w:sz w:val="18"/>
                <w:szCs w:val="18"/>
                <w:lang w:bidi="ar"/>
              </w:rPr>
              <w:t>69,940,793.71</w:t>
            </w:r>
          </w:p>
        </w:tc>
        <w:tc>
          <w:tcPr>
            <w:tcW w:w="1444"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eastAsia="等线" w:cs="Arial"/>
                <w:b/>
                <w:bCs/>
                <w:color w:val="000000"/>
                <w:sz w:val="18"/>
                <w:szCs w:val="18"/>
                <w:lang w:bidi="ar"/>
              </w:rPr>
              <w:t>40,017,006.12</w:t>
            </w:r>
          </w:p>
        </w:tc>
      </w:tr>
    </w:tbl>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浙商银行</w:t>
      </w:r>
      <w:r>
        <w:rPr>
          <w:rFonts w:ascii="Arial" w:hAnsi="Arial" w:cs="Arial"/>
          <w:b/>
          <w:bCs/>
          <w:szCs w:val="21"/>
        </w:rPr>
        <w:t>5008账户</w:t>
      </w:r>
    </w:p>
    <w:bookmarkEnd w:id="29"/>
    <w:p>
      <w:pPr>
        <w:rPr>
          <w:rFonts w:ascii="Arial" w:hAnsi="Arial" w:cs="Arial"/>
          <w:snapToGrid w:val="0"/>
          <w:color w:val="000000"/>
          <w:w w:val="0"/>
          <w:sz w:val="0"/>
          <w:szCs w:val="0"/>
          <w:u w:color="000000"/>
          <w:shd w:val="clear" w:color="000000" w:fill="000000"/>
          <w:lang w:val="zh-CN" w:bidi="zh-CN"/>
        </w:rPr>
      </w:pPr>
      <w:r>
        <w:rPr>
          <w:rFonts w:ascii="Arial" w:hAnsi="Arial" w:cs="Arial"/>
          <w:snapToGrid w:val="0"/>
          <w:color w:val="000000"/>
          <w:w w:val="0"/>
          <w:sz w:val="0"/>
          <w:szCs w:val="0"/>
          <w:u w:color="000000"/>
          <w:shd w:val="clear" w:color="000000" w:fill="000000"/>
          <w:lang w:val="zh-CN" w:bidi="zh-CN"/>
        </w:rPr>
        <w:t xml:space="preserve"> </w:t>
      </w:r>
      <w:r>
        <w:rPr>
          <w:rFonts w:ascii="Arial" w:hAnsi="Arial" w:cs="Arial"/>
          <w:snapToGrid w:val="0"/>
          <w:color w:val="000000"/>
          <w:w w:val="0"/>
          <w:sz w:val="0"/>
          <w:szCs w:val="0"/>
          <w:u w:color="000000"/>
          <w:shd w:val="clear" w:color="000000" w:fill="000000"/>
        </w:rPr>
        <w:drawing>
          <wp:inline distT="0" distB="0" distL="114300" distR="114300">
            <wp:extent cx="6115685" cy="2430145"/>
            <wp:effectExtent l="0" t="0" r="10795" b="8255"/>
            <wp:docPr id="7" name="图片 7" descr="浙商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浙商5008"/>
                    <pic:cNvPicPr>
                      <a:picLocks noChangeAspect="1"/>
                    </pic:cNvPicPr>
                  </pic:nvPicPr>
                  <pic:blipFill>
                    <a:blip r:embed="rId16"/>
                    <a:stretch>
                      <a:fillRect/>
                    </a:stretch>
                  </pic:blipFill>
                  <pic:spPr>
                    <a:xfrm>
                      <a:off x="0" y="0"/>
                      <a:ext cx="6115685" cy="2430145"/>
                    </a:xfrm>
                    <a:prstGeom prst="rect">
                      <a:avLst/>
                    </a:prstGeom>
                  </pic:spPr>
                </pic:pic>
              </a:graphicData>
            </a:graphic>
          </wp:inline>
        </w:drawing>
      </w:r>
    </w:p>
    <w:p>
      <w:pPr>
        <w:tabs>
          <w:tab w:val="left" w:pos="826"/>
        </w:tabs>
        <w:spacing w:line="360" w:lineRule="auto"/>
        <w:ind w:right="960"/>
        <w:jc w:val="center"/>
        <w:rPr>
          <w:rFonts w:ascii="Arial" w:hAnsi="Arial" w:cs="Arial"/>
        </w:rPr>
      </w:pPr>
    </w:p>
    <w:p>
      <w:pPr>
        <w:tabs>
          <w:tab w:val="left" w:pos="826"/>
        </w:tabs>
        <w:spacing w:line="360" w:lineRule="auto"/>
        <w:ind w:right="960"/>
        <w:jc w:val="center"/>
        <w:rPr>
          <w:rFonts w:ascii="Arial" w:hAnsi="Arial" w:cs="Arial"/>
        </w:rPr>
      </w:pPr>
    </w:p>
    <w:p>
      <w:pPr>
        <w:tabs>
          <w:tab w:val="left" w:pos="826"/>
        </w:tabs>
        <w:spacing w:line="360" w:lineRule="auto"/>
        <w:ind w:right="960"/>
        <w:jc w:val="center"/>
        <w:rPr>
          <w:rFonts w:ascii="Arial" w:hAnsi="Arial" w:cs="Arial"/>
        </w:rPr>
      </w:pPr>
    </w:p>
    <w:p>
      <w:pPr>
        <w:spacing w:before="326" w:beforeLines="100"/>
        <w:rPr>
          <w:rFonts w:ascii="Arial" w:hAnsi="Arial" w:cs="Arial"/>
          <w:b/>
          <w:bCs/>
          <w:szCs w:val="21"/>
        </w:rPr>
      </w:pPr>
      <w:r>
        <w:rPr>
          <w:rFonts w:hint="eastAsia" w:ascii="Arial" w:hAnsi="Arial" w:cs="Arial"/>
          <w:b/>
          <w:bCs/>
          <w:szCs w:val="21"/>
        </w:rPr>
        <w:t>浙商银行</w:t>
      </w:r>
      <w:r>
        <w:rPr>
          <w:rFonts w:ascii="Arial" w:hAnsi="Arial" w:cs="Arial"/>
          <w:b/>
          <w:bCs/>
          <w:szCs w:val="21"/>
        </w:rPr>
        <w:t>55750账户</w:t>
      </w: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08065" cy="3086735"/>
            <wp:effectExtent l="0" t="0" r="3175" b="6985"/>
            <wp:docPr id="8" name="图片 8" descr="浙商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浙商5750"/>
                    <pic:cNvPicPr>
                      <a:picLocks noChangeAspect="1"/>
                    </pic:cNvPicPr>
                  </pic:nvPicPr>
                  <pic:blipFill>
                    <a:blip r:embed="rId17"/>
                    <a:stretch>
                      <a:fillRect/>
                    </a:stretch>
                  </pic:blipFill>
                  <pic:spPr>
                    <a:xfrm>
                      <a:off x="0" y="0"/>
                      <a:ext cx="6108065" cy="3086735"/>
                    </a:xfrm>
                    <a:prstGeom prst="rect">
                      <a:avLst/>
                    </a:prstGeom>
                  </pic:spPr>
                </pic:pic>
              </a:graphicData>
            </a:graphic>
          </wp:inline>
        </w:drawing>
      </w:r>
    </w:p>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农行</w:t>
      </w:r>
      <w:r>
        <w:rPr>
          <w:rFonts w:ascii="Arial" w:hAnsi="Arial" w:cs="Arial"/>
          <w:b/>
          <w:bCs/>
          <w:szCs w:val="21"/>
        </w:rPr>
        <w:t>4855账户</w:t>
      </w: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15685" cy="3561715"/>
            <wp:effectExtent l="0" t="0" r="10795" b="4445"/>
            <wp:docPr id="21" name="图片 21" descr="430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30农行"/>
                    <pic:cNvPicPr>
                      <a:picLocks noChangeAspect="1"/>
                    </pic:cNvPicPr>
                  </pic:nvPicPr>
                  <pic:blipFill>
                    <a:blip r:embed="rId18"/>
                    <a:stretch>
                      <a:fillRect/>
                    </a:stretch>
                  </pic:blipFill>
                  <pic:spPr>
                    <a:xfrm>
                      <a:off x="0" y="0"/>
                      <a:ext cx="6115685" cy="3561715"/>
                    </a:xfrm>
                    <a:prstGeom prst="rect">
                      <a:avLst/>
                    </a:prstGeom>
                  </pic:spPr>
                </pic:pic>
              </a:graphicData>
            </a:graphic>
          </wp:inline>
        </w:drawing>
      </w:r>
    </w:p>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建行</w:t>
      </w:r>
      <w:r>
        <w:rPr>
          <w:rFonts w:ascii="Arial" w:hAnsi="Arial" w:cs="Arial"/>
          <w:b/>
          <w:bCs/>
          <w:szCs w:val="21"/>
        </w:rPr>
        <w:t>2555账户</w:t>
      </w: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09970" cy="3050540"/>
            <wp:effectExtent l="0" t="0" r="1270" b="12700"/>
            <wp:docPr id="2" name="图片 2" descr="430建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30建行"/>
                    <pic:cNvPicPr>
                      <a:picLocks noChangeAspect="1"/>
                    </pic:cNvPicPr>
                  </pic:nvPicPr>
                  <pic:blipFill>
                    <a:blip r:embed="rId19"/>
                    <a:stretch>
                      <a:fillRect/>
                    </a:stretch>
                  </pic:blipFill>
                  <pic:spPr>
                    <a:xfrm>
                      <a:off x="0" y="0"/>
                      <a:ext cx="6109970" cy="3050540"/>
                    </a:xfrm>
                    <a:prstGeom prst="rect">
                      <a:avLst/>
                    </a:prstGeom>
                  </pic:spPr>
                </pic:pic>
              </a:graphicData>
            </a:graphic>
          </wp:inline>
        </w:drawing>
      </w:r>
    </w:p>
    <w:p>
      <w:pPr>
        <w:spacing w:before="326" w:beforeLines="100"/>
        <w:rPr>
          <w:rFonts w:ascii="Arial" w:hAnsi="Arial" w:cs="Arial"/>
          <w:b/>
          <w:bCs/>
          <w:szCs w:val="21"/>
        </w:rPr>
      </w:pPr>
      <w:r>
        <w:rPr>
          <w:rFonts w:hint="eastAsia" w:ascii="Arial" w:hAnsi="Arial" w:cs="Arial"/>
          <w:b/>
          <w:bCs/>
          <w:szCs w:val="21"/>
        </w:rPr>
        <w:t>农商行</w:t>
      </w:r>
      <w:r>
        <w:rPr>
          <w:rFonts w:ascii="Arial" w:hAnsi="Arial" w:cs="Arial"/>
          <w:b/>
          <w:bCs/>
          <w:szCs w:val="21"/>
        </w:rPr>
        <w:t>0041账户</w:t>
      </w: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15685" cy="1814195"/>
            <wp:effectExtent l="0" t="0" r="10795" b="14605"/>
            <wp:docPr id="5" name="图片 5" descr="430农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0农商"/>
                    <pic:cNvPicPr>
                      <a:picLocks noChangeAspect="1"/>
                    </pic:cNvPicPr>
                  </pic:nvPicPr>
                  <pic:blipFill>
                    <a:blip r:embed="rId20"/>
                    <a:stretch>
                      <a:fillRect/>
                    </a:stretch>
                  </pic:blipFill>
                  <pic:spPr>
                    <a:xfrm>
                      <a:off x="0" y="0"/>
                      <a:ext cx="6115685" cy="1814195"/>
                    </a:xfrm>
                    <a:prstGeom prst="rect">
                      <a:avLst/>
                    </a:prstGeom>
                  </pic:spPr>
                </pic:pic>
              </a:graphicData>
            </a:graphic>
          </wp:inline>
        </w:drawing>
      </w: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工行</w:t>
      </w:r>
      <w:r>
        <w:rPr>
          <w:rFonts w:ascii="Arial" w:hAnsi="Arial" w:cs="Arial"/>
          <w:b/>
          <w:bCs/>
          <w:szCs w:val="21"/>
        </w:rPr>
        <w:t>1865账户</w:t>
      </w: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11240" cy="2372360"/>
            <wp:effectExtent l="0" t="0" r="0" b="5080"/>
            <wp:docPr id="6" name="图片 6" descr="430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30工行"/>
                    <pic:cNvPicPr>
                      <a:picLocks noChangeAspect="1"/>
                    </pic:cNvPicPr>
                  </pic:nvPicPr>
                  <pic:blipFill>
                    <a:blip r:embed="rId21"/>
                    <a:stretch>
                      <a:fillRect/>
                    </a:stretch>
                  </pic:blipFill>
                  <pic:spPr>
                    <a:xfrm>
                      <a:off x="0" y="0"/>
                      <a:ext cx="6111240" cy="2372360"/>
                    </a:xfrm>
                    <a:prstGeom prst="rect">
                      <a:avLst/>
                    </a:prstGeom>
                  </pic:spPr>
                </pic:pic>
              </a:graphicData>
            </a:graphic>
          </wp:inline>
        </w:drawing>
      </w:r>
    </w:p>
    <w:p>
      <w:pPr>
        <w:spacing w:before="326" w:beforeLines="100"/>
        <w:rPr>
          <w:rFonts w:cstheme="majorBidi"/>
          <w:b/>
          <w:bCs/>
          <w:kern w:val="2"/>
        </w:rPr>
      </w:pPr>
      <w:r>
        <w:rPr>
          <w:rFonts w:hint="eastAsia" w:cstheme="majorBidi"/>
          <w:b/>
          <w:bCs/>
          <w:kern w:val="2"/>
        </w:rPr>
        <w:t>民生银行5625账户</w:t>
      </w: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16955" cy="1289050"/>
            <wp:effectExtent l="0" t="0" r="9525" b="6350"/>
            <wp:docPr id="12" name="图片 12" descr="430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0民生"/>
                    <pic:cNvPicPr>
                      <a:picLocks noChangeAspect="1"/>
                    </pic:cNvPicPr>
                  </pic:nvPicPr>
                  <pic:blipFill>
                    <a:blip r:embed="rId22"/>
                    <a:stretch>
                      <a:fillRect/>
                    </a:stretch>
                  </pic:blipFill>
                  <pic:spPr>
                    <a:xfrm>
                      <a:off x="0" y="0"/>
                      <a:ext cx="6116955" cy="1289050"/>
                    </a:xfrm>
                    <a:prstGeom prst="rect">
                      <a:avLst/>
                    </a:prstGeom>
                  </pic:spPr>
                </pic:pic>
              </a:graphicData>
            </a:graphic>
          </wp:inline>
        </w:drawing>
      </w: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中国银行</w:t>
      </w:r>
      <w:r>
        <w:rPr>
          <w:rFonts w:ascii="Arial" w:hAnsi="Arial" w:cs="Arial"/>
          <w:b/>
          <w:bCs/>
          <w:szCs w:val="21"/>
        </w:rPr>
        <w:t>6940账户</w:t>
      </w:r>
    </w:p>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drawing>
          <wp:inline distT="0" distB="0" distL="114300" distR="114300">
            <wp:extent cx="6115685" cy="3446145"/>
            <wp:effectExtent l="0" t="0" r="10795" b="13335"/>
            <wp:docPr id="14" name="图片 14" descr="4.30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30中行"/>
                    <pic:cNvPicPr>
                      <a:picLocks noChangeAspect="1"/>
                    </pic:cNvPicPr>
                  </pic:nvPicPr>
                  <pic:blipFill>
                    <a:blip r:embed="rId23"/>
                    <a:stretch>
                      <a:fillRect/>
                    </a:stretch>
                  </pic:blipFill>
                  <pic:spPr>
                    <a:xfrm>
                      <a:off x="0" y="0"/>
                      <a:ext cx="6115685" cy="3446145"/>
                    </a:xfrm>
                    <a:prstGeom prst="rect">
                      <a:avLst/>
                    </a:prstGeom>
                  </pic:spPr>
                </pic:pic>
              </a:graphicData>
            </a:graphic>
          </wp:inline>
        </w:drawing>
      </w:r>
    </w:p>
    <w:p>
      <w:pPr>
        <w:spacing w:before="326" w:beforeLines="100"/>
        <w:rPr>
          <w:rFonts w:cstheme="majorBidi"/>
          <w:b/>
          <w:bCs/>
          <w:kern w:val="2"/>
        </w:rPr>
      </w:pPr>
      <w:r>
        <w:rPr>
          <w:rFonts w:hint="eastAsia" w:cstheme="majorBidi"/>
          <w:b/>
          <w:bCs/>
          <w:kern w:val="2"/>
        </w:rPr>
        <w:t>兴业银行5816账户</w:t>
      </w:r>
    </w:p>
    <w:p>
      <w:pPr>
        <w:spacing w:before="326" w:beforeLines="100"/>
        <w:rPr>
          <w:rFonts w:ascii="Arial" w:hAnsi="Arial" w:cs="Arial"/>
          <w:b/>
          <w:bCs/>
          <w:szCs w:val="21"/>
        </w:rPr>
      </w:pPr>
      <w:r>
        <w:rPr>
          <w:rFonts w:cstheme="majorBidi"/>
          <w:b/>
          <w:bCs/>
          <w:kern w:val="2"/>
        </w:rPr>
        <w:drawing>
          <wp:inline distT="0" distB="0" distL="0" distR="0">
            <wp:extent cx="6120130" cy="25177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20130" cy="2517775"/>
                    </a:xfrm>
                    <a:prstGeom prst="rect">
                      <a:avLst/>
                    </a:prstGeom>
                    <a:noFill/>
                  </pic:spPr>
                </pic:pic>
              </a:graphicData>
            </a:graphic>
          </wp:inline>
        </w:drawing>
      </w:r>
    </w:p>
    <w:sectPr>
      <w:pgSz w:w="11906" w:h="16838"/>
      <w:pgMar w:top="1843" w:right="1134" w:bottom="1134" w:left="113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Arial" w:hAnsi="Arial" w:cs="Arial"/>
      </w:rPr>
    </w:pPr>
    <w:r>
      <w:rPr>
        <w:rFonts w:ascii="Arial" w:hAnsi="Arial" w:cs="Aria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sdt>
                          <w:sdtPr>
                            <w:id w:val="1147870489"/>
                          </w:sdtPr>
                          <w:sdtContent>
                            <w:p>
                              <w:pPr>
                                <w:pStyle w:val="9"/>
                                <w:jc w:val="center"/>
                              </w:pPr>
                              <w:r>
                                <w:fldChar w:fldCharType="begin"/>
                              </w:r>
                              <w:r>
                                <w:instrText xml:space="preserve">PAGE   \* MERGEFORMAT</w:instrText>
                              </w:r>
                              <w:r>
                                <w:fldChar w:fldCharType="separate"/>
                              </w:r>
                              <w:r>
                                <w:rPr>
                                  <w:lang w:val="zh-CN"/>
                                </w:rPr>
                                <w:t>27</w:t>
                              </w:r>
                              <w:r>
                                <w:fldChar w:fldCharType="end"/>
                              </w:r>
                            </w:p>
                          </w:sdtContent>
                        </w:sdt>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v-text-anchor:middle;mso-width-relative:page;mso-height-relative:page;" filled="f" stroked="f" coordsize="21600,21600" o:gfxdata="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dA3zfRAAAABQEAAA8AAAAAAAAAAQAgAAAAIgAAAGRycy9kb3ducmV2Lnht&#10;bFBLAQIUABQAAAAIAIdO4kCqw4r/OQIAAG4EAAAOAAAAAAAAAAEAIAAAACABAABkcnMvZTJvRG9j&#10;LnhtbFBLBQYAAAAABgAGAFkBAADLBQAAAAA=&#10;">
              <v:fill on="f" focussize="0,0"/>
              <v:stroke on="f" miterlimit="8" joinstyle="miter"/>
              <v:imagedata o:title=""/>
              <o:lock v:ext="edit" aspectratio="f"/>
              <v:textbox inset="0mm,0mm,0mm,0mm" style="mso-fit-shape-to-text:t;">
                <w:txbxContent>
                  <w:sdt>
                    <w:sdtPr>
                      <w:id w:val="1147870489"/>
                    </w:sdtPr>
                    <w:sdtContent>
                      <w:p>
                        <w:pPr>
                          <w:pStyle w:val="9"/>
                          <w:jc w:val="center"/>
                        </w:pPr>
                        <w:r>
                          <w:fldChar w:fldCharType="begin"/>
                        </w:r>
                        <w:r>
                          <w:instrText xml:space="preserve">PAGE   \* MERGEFORMAT</w:instrText>
                        </w:r>
                        <w:r>
                          <w:fldChar w:fldCharType="separate"/>
                        </w:r>
                        <w:r>
                          <w:rPr>
                            <w:lang w:val="zh-CN"/>
                          </w:rPr>
                          <w:t>27</w:t>
                        </w:r>
                        <w:r>
                          <w:fldChar w:fldCharType="end"/>
                        </w: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cs="Arial"/>
      </w:rPr>
    </w:pPr>
    <w:r>
      <w:rPr>
        <w:rFonts w:ascii="Arial" w:hAnsi="Arial" w:cs="Arial"/>
      </w:rPr>
      <w:t>2021年</w:t>
    </w:r>
    <w:r>
      <w:rPr>
        <w:rFonts w:hint="eastAsia" w:ascii="Arial" w:hAnsi="Arial" w:cs="Arial"/>
      </w:rPr>
      <w:t>4</w:t>
    </w:r>
    <w:r>
      <w:rPr>
        <w:rFonts w:ascii="Arial" w:hAnsi="Arial" w:cs="Arial"/>
      </w:rPr>
      <w:t>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7A"/>
    <w:rsid w:val="00004315"/>
    <w:rsid w:val="0000451D"/>
    <w:rsid w:val="00004DB8"/>
    <w:rsid w:val="00006FE2"/>
    <w:rsid w:val="00007D45"/>
    <w:rsid w:val="00007E13"/>
    <w:rsid w:val="000113FF"/>
    <w:rsid w:val="00015D60"/>
    <w:rsid w:val="00016293"/>
    <w:rsid w:val="000201AC"/>
    <w:rsid w:val="000210A0"/>
    <w:rsid w:val="00021882"/>
    <w:rsid w:val="000232A5"/>
    <w:rsid w:val="00025295"/>
    <w:rsid w:val="00025E05"/>
    <w:rsid w:val="00031293"/>
    <w:rsid w:val="00032008"/>
    <w:rsid w:val="0003218B"/>
    <w:rsid w:val="00032C11"/>
    <w:rsid w:val="0003483C"/>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FDF"/>
    <w:rsid w:val="000671DB"/>
    <w:rsid w:val="000708B1"/>
    <w:rsid w:val="00070F2F"/>
    <w:rsid w:val="0007333A"/>
    <w:rsid w:val="00074670"/>
    <w:rsid w:val="00074C16"/>
    <w:rsid w:val="0007518A"/>
    <w:rsid w:val="000852E2"/>
    <w:rsid w:val="000855FC"/>
    <w:rsid w:val="00086483"/>
    <w:rsid w:val="0008780F"/>
    <w:rsid w:val="000906DF"/>
    <w:rsid w:val="00091003"/>
    <w:rsid w:val="0009184C"/>
    <w:rsid w:val="000920A9"/>
    <w:rsid w:val="0009274C"/>
    <w:rsid w:val="00092E3B"/>
    <w:rsid w:val="00094D33"/>
    <w:rsid w:val="0009530A"/>
    <w:rsid w:val="0009587E"/>
    <w:rsid w:val="0009762F"/>
    <w:rsid w:val="000A065A"/>
    <w:rsid w:val="000A148F"/>
    <w:rsid w:val="000A30BF"/>
    <w:rsid w:val="000A7566"/>
    <w:rsid w:val="000B00D7"/>
    <w:rsid w:val="000B0110"/>
    <w:rsid w:val="000B1740"/>
    <w:rsid w:val="000B2199"/>
    <w:rsid w:val="000B34ED"/>
    <w:rsid w:val="000B5F20"/>
    <w:rsid w:val="000B7873"/>
    <w:rsid w:val="000C1F36"/>
    <w:rsid w:val="000C54AC"/>
    <w:rsid w:val="000C71F0"/>
    <w:rsid w:val="000C79C2"/>
    <w:rsid w:val="000D2760"/>
    <w:rsid w:val="000D37E8"/>
    <w:rsid w:val="000D397F"/>
    <w:rsid w:val="000D4D6D"/>
    <w:rsid w:val="000D4D81"/>
    <w:rsid w:val="000D53BF"/>
    <w:rsid w:val="000E0C5B"/>
    <w:rsid w:val="000E1195"/>
    <w:rsid w:val="000E3D75"/>
    <w:rsid w:val="000F3A05"/>
    <w:rsid w:val="000F3FA2"/>
    <w:rsid w:val="000F4FA0"/>
    <w:rsid w:val="000F50A4"/>
    <w:rsid w:val="001038BE"/>
    <w:rsid w:val="00103D69"/>
    <w:rsid w:val="00104539"/>
    <w:rsid w:val="00104605"/>
    <w:rsid w:val="00105AB8"/>
    <w:rsid w:val="00113559"/>
    <w:rsid w:val="0011533D"/>
    <w:rsid w:val="00120578"/>
    <w:rsid w:val="0012059E"/>
    <w:rsid w:val="00120F38"/>
    <w:rsid w:val="0012172C"/>
    <w:rsid w:val="00121B8B"/>
    <w:rsid w:val="00122C79"/>
    <w:rsid w:val="00123D17"/>
    <w:rsid w:val="00126098"/>
    <w:rsid w:val="0012650A"/>
    <w:rsid w:val="00126D26"/>
    <w:rsid w:val="001279BB"/>
    <w:rsid w:val="00135D36"/>
    <w:rsid w:val="00136407"/>
    <w:rsid w:val="00136E3A"/>
    <w:rsid w:val="00140BA9"/>
    <w:rsid w:val="00142843"/>
    <w:rsid w:val="001439D7"/>
    <w:rsid w:val="00143FBE"/>
    <w:rsid w:val="001476BC"/>
    <w:rsid w:val="0015014A"/>
    <w:rsid w:val="00150CBA"/>
    <w:rsid w:val="00156EBC"/>
    <w:rsid w:val="001573CA"/>
    <w:rsid w:val="00160A3D"/>
    <w:rsid w:val="00162EB1"/>
    <w:rsid w:val="0016392F"/>
    <w:rsid w:val="001643E8"/>
    <w:rsid w:val="001652F8"/>
    <w:rsid w:val="0016586A"/>
    <w:rsid w:val="00166E1E"/>
    <w:rsid w:val="00166E72"/>
    <w:rsid w:val="00172A27"/>
    <w:rsid w:val="00172B3E"/>
    <w:rsid w:val="00176373"/>
    <w:rsid w:val="001872CB"/>
    <w:rsid w:val="001943F0"/>
    <w:rsid w:val="001944D1"/>
    <w:rsid w:val="00195B1A"/>
    <w:rsid w:val="00196720"/>
    <w:rsid w:val="0019757F"/>
    <w:rsid w:val="001A1FEE"/>
    <w:rsid w:val="001A331C"/>
    <w:rsid w:val="001A3C3F"/>
    <w:rsid w:val="001A61BD"/>
    <w:rsid w:val="001A7211"/>
    <w:rsid w:val="001A76FC"/>
    <w:rsid w:val="001B07F0"/>
    <w:rsid w:val="001B085F"/>
    <w:rsid w:val="001B215D"/>
    <w:rsid w:val="001B243F"/>
    <w:rsid w:val="001B24F5"/>
    <w:rsid w:val="001B4822"/>
    <w:rsid w:val="001B48ED"/>
    <w:rsid w:val="001B4C23"/>
    <w:rsid w:val="001C016A"/>
    <w:rsid w:val="001C1666"/>
    <w:rsid w:val="001C1747"/>
    <w:rsid w:val="001C36F9"/>
    <w:rsid w:val="001C5110"/>
    <w:rsid w:val="001C5F16"/>
    <w:rsid w:val="001D2127"/>
    <w:rsid w:val="001D74C2"/>
    <w:rsid w:val="001D753D"/>
    <w:rsid w:val="001E0CBC"/>
    <w:rsid w:val="001E23B2"/>
    <w:rsid w:val="001E59B5"/>
    <w:rsid w:val="001E5D91"/>
    <w:rsid w:val="001F083E"/>
    <w:rsid w:val="001F1491"/>
    <w:rsid w:val="001F450A"/>
    <w:rsid w:val="001F4F2F"/>
    <w:rsid w:val="001F5FA0"/>
    <w:rsid w:val="001F7D54"/>
    <w:rsid w:val="0020444D"/>
    <w:rsid w:val="00205064"/>
    <w:rsid w:val="0020516C"/>
    <w:rsid w:val="00206D66"/>
    <w:rsid w:val="0021072F"/>
    <w:rsid w:val="00210F2A"/>
    <w:rsid w:val="0021300C"/>
    <w:rsid w:val="002151B5"/>
    <w:rsid w:val="00215FE6"/>
    <w:rsid w:val="002164C2"/>
    <w:rsid w:val="00220868"/>
    <w:rsid w:val="002234FF"/>
    <w:rsid w:val="0022531E"/>
    <w:rsid w:val="00226311"/>
    <w:rsid w:val="002266C6"/>
    <w:rsid w:val="00227324"/>
    <w:rsid w:val="00230075"/>
    <w:rsid w:val="00234149"/>
    <w:rsid w:val="00234393"/>
    <w:rsid w:val="00235001"/>
    <w:rsid w:val="00236F2E"/>
    <w:rsid w:val="002370C4"/>
    <w:rsid w:val="00241FFB"/>
    <w:rsid w:val="00242E31"/>
    <w:rsid w:val="00245651"/>
    <w:rsid w:val="00246C30"/>
    <w:rsid w:val="00247F31"/>
    <w:rsid w:val="00250C18"/>
    <w:rsid w:val="00254D6F"/>
    <w:rsid w:val="00255A72"/>
    <w:rsid w:val="002605F9"/>
    <w:rsid w:val="00260C22"/>
    <w:rsid w:val="00262309"/>
    <w:rsid w:val="0026255E"/>
    <w:rsid w:val="00263715"/>
    <w:rsid w:val="00263E49"/>
    <w:rsid w:val="002643BD"/>
    <w:rsid w:val="00272AC6"/>
    <w:rsid w:val="00272E8C"/>
    <w:rsid w:val="002735D5"/>
    <w:rsid w:val="002752C5"/>
    <w:rsid w:val="00276595"/>
    <w:rsid w:val="00280543"/>
    <w:rsid w:val="00280E4F"/>
    <w:rsid w:val="00282495"/>
    <w:rsid w:val="00282D5E"/>
    <w:rsid w:val="00283023"/>
    <w:rsid w:val="002912DE"/>
    <w:rsid w:val="002913EB"/>
    <w:rsid w:val="00292093"/>
    <w:rsid w:val="002932A2"/>
    <w:rsid w:val="00293A93"/>
    <w:rsid w:val="002951DD"/>
    <w:rsid w:val="002973B8"/>
    <w:rsid w:val="002A08BF"/>
    <w:rsid w:val="002A139E"/>
    <w:rsid w:val="002A17D0"/>
    <w:rsid w:val="002A4D11"/>
    <w:rsid w:val="002A6934"/>
    <w:rsid w:val="002A7E58"/>
    <w:rsid w:val="002B1253"/>
    <w:rsid w:val="002B1935"/>
    <w:rsid w:val="002C0480"/>
    <w:rsid w:val="002C1DD1"/>
    <w:rsid w:val="002C3048"/>
    <w:rsid w:val="002C370C"/>
    <w:rsid w:val="002C6D02"/>
    <w:rsid w:val="002C7795"/>
    <w:rsid w:val="002D0503"/>
    <w:rsid w:val="002D22EB"/>
    <w:rsid w:val="002D22FB"/>
    <w:rsid w:val="002D2CC9"/>
    <w:rsid w:val="002D65A4"/>
    <w:rsid w:val="002D7E31"/>
    <w:rsid w:val="002E0470"/>
    <w:rsid w:val="002E05AB"/>
    <w:rsid w:val="002E2933"/>
    <w:rsid w:val="002E2C63"/>
    <w:rsid w:val="002E2D55"/>
    <w:rsid w:val="002E514A"/>
    <w:rsid w:val="002E5449"/>
    <w:rsid w:val="002E600D"/>
    <w:rsid w:val="002E69B8"/>
    <w:rsid w:val="002F13CA"/>
    <w:rsid w:val="002F219F"/>
    <w:rsid w:val="002F6158"/>
    <w:rsid w:val="002F7CC7"/>
    <w:rsid w:val="0030000A"/>
    <w:rsid w:val="003001A5"/>
    <w:rsid w:val="003028D3"/>
    <w:rsid w:val="0030313E"/>
    <w:rsid w:val="00307EF8"/>
    <w:rsid w:val="00314C8B"/>
    <w:rsid w:val="00316CF8"/>
    <w:rsid w:val="00325BFD"/>
    <w:rsid w:val="003261C5"/>
    <w:rsid w:val="00326591"/>
    <w:rsid w:val="00327DFE"/>
    <w:rsid w:val="00330AB5"/>
    <w:rsid w:val="0033182B"/>
    <w:rsid w:val="00333BEB"/>
    <w:rsid w:val="003347ED"/>
    <w:rsid w:val="00335123"/>
    <w:rsid w:val="0033538D"/>
    <w:rsid w:val="00335A87"/>
    <w:rsid w:val="00336FD0"/>
    <w:rsid w:val="00342F5B"/>
    <w:rsid w:val="00343658"/>
    <w:rsid w:val="00345D8B"/>
    <w:rsid w:val="003474D3"/>
    <w:rsid w:val="00347621"/>
    <w:rsid w:val="00350453"/>
    <w:rsid w:val="00350B70"/>
    <w:rsid w:val="00351D21"/>
    <w:rsid w:val="00353827"/>
    <w:rsid w:val="0035450D"/>
    <w:rsid w:val="003569BA"/>
    <w:rsid w:val="00365DEE"/>
    <w:rsid w:val="003660C2"/>
    <w:rsid w:val="00366740"/>
    <w:rsid w:val="00370776"/>
    <w:rsid w:val="00373AD6"/>
    <w:rsid w:val="00374CD3"/>
    <w:rsid w:val="003751F3"/>
    <w:rsid w:val="003806B6"/>
    <w:rsid w:val="00381B86"/>
    <w:rsid w:val="0038616A"/>
    <w:rsid w:val="00387869"/>
    <w:rsid w:val="0039225A"/>
    <w:rsid w:val="00393646"/>
    <w:rsid w:val="003961A4"/>
    <w:rsid w:val="003971B6"/>
    <w:rsid w:val="00397E9B"/>
    <w:rsid w:val="003A0B0C"/>
    <w:rsid w:val="003A1B83"/>
    <w:rsid w:val="003A38C6"/>
    <w:rsid w:val="003A4EFD"/>
    <w:rsid w:val="003A6299"/>
    <w:rsid w:val="003A717E"/>
    <w:rsid w:val="003A7973"/>
    <w:rsid w:val="003A7E2C"/>
    <w:rsid w:val="003B08FD"/>
    <w:rsid w:val="003B11F7"/>
    <w:rsid w:val="003B1B19"/>
    <w:rsid w:val="003B3012"/>
    <w:rsid w:val="003B4B14"/>
    <w:rsid w:val="003C42F1"/>
    <w:rsid w:val="003C4E49"/>
    <w:rsid w:val="003C791D"/>
    <w:rsid w:val="003D023B"/>
    <w:rsid w:val="003D2563"/>
    <w:rsid w:val="003D3F34"/>
    <w:rsid w:val="003D4673"/>
    <w:rsid w:val="003D49FD"/>
    <w:rsid w:val="003D4D16"/>
    <w:rsid w:val="003D7722"/>
    <w:rsid w:val="003E010B"/>
    <w:rsid w:val="003E1AD9"/>
    <w:rsid w:val="003E26D8"/>
    <w:rsid w:val="003E2E02"/>
    <w:rsid w:val="003E4C38"/>
    <w:rsid w:val="003E51A2"/>
    <w:rsid w:val="003E69F3"/>
    <w:rsid w:val="003E716B"/>
    <w:rsid w:val="003E7EE3"/>
    <w:rsid w:val="003F361C"/>
    <w:rsid w:val="003F5A04"/>
    <w:rsid w:val="003F6561"/>
    <w:rsid w:val="00400D81"/>
    <w:rsid w:val="004076CF"/>
    <w:rsid w:val="00407E0E"/>
    <w:rsid w:val="00410B37"/>
    <w:rsid w:val="00410B9D"/>
    <w:rsid w:val="004128BB"/>
    <w:rsid w:val="004152D7"/>
    <w:rsid w:val="0041557D"/>
    <w:rsid w:val="004176DD"/>
    <w:rsid w:val="00417D1F"/>
    <w:rsid w:val="00421A64"/>
    <w:rsid w:val="00421BC3"/>
    <w:rsid w:val="00421F2A"/>
    <w:rsid w:val="0042306E"/>
    <w:rsid w:val="004248E2"/>
    <w:rsid w:val="00425D04"/>
    <w:rsid w:val="00432204"/>
    <w:rsid w:val="00433F9D"/>
    <w:rsid w:val="004422DE"/>
    <w:rsid w:val="0044230F"/>
    <w:rsid w:val="004446AB"/>
    <w:rsid w:val="00444CC5"/>
    <w:rsid w:val="004454F7"/>
    <w:rsid w:val="00445F4F"/>
    <w:rsid w:val="00447C83"/>
    <w:rsid w:val="00447E4B"/>
    <w:rsid w:val="004501E1"/>
    <w:rsid w:val="00450843"/>
    <w:rsid w:val="0045192B"/>
    <w:rsid w:val="00452467"/>
    <w:rsid w:val="004619EB"/>
    <w:rsid w:val="00462AEE"/>
    <w:rsid w:val="0046440F"/>
    <w:rsid w:val="00465548"/>
    <w:rsid w:val="0046580A"/>
    <w:rsid w:val="004665D4"/>
    <w:rsid w:val="00466FDE"/>
    <w:rsid w:val="0047031D"/>
    <w:rsid w:val="00473365"/>
    <w:rsid w:val="0047363E"/>
    <w:rsid w:val="004746A2"/>
    <w:rsid w:val="00474A17"/>
    <w:rsid w:val="00476C54"/>
    <w:rsid w:val="00480927"/>
    <w:rsid w:val="00483E55"/>
    <w:rsid w:val="00486FC9"/>
    <w:rsid w:val="004901BE"/>
    <w:rsid w:val="00491DA3"/>
    <w:rsid w:val="004A0B70"/>
    <w:rsid w:val="004A4B9A"/>
    <w:rsid w:val="004B0FD4"/>
    <w:rsid w:val="004B33BF"/>
    <w:rsid w:val="004B4D79"/>
    <w:rsid w:val="004C1F9B"/>
    <w:rsid w:val="004C2404"/>
    <w:rsid w:val="004C2B34"/>
    <w:rsid w:val="004C4CAD"/>
    <w:rsid w:val="004C4F3D"/>
    <w:rsid w:val="004C52FD"/>
    <w:rsid w:val="004C7516"/>
    <w:rsid w:val="004D1573"/>
    <w:rsid w:val="004D34C9"/>
    <w:rsid w:val="004D72EC"/>
    <w:rsid w:val="004E15F0"/>
    <w:rsid w:val="004E2F76"/>
    <w:rsid w:val="004E3A7C"/>
    <w:rsid w:val="004E3EEE"/>
    <w:rsid w:val="004E40BD"/>
    <w:rsid w:val="004E5504"/>
    <w:rsid w:val="004E75D3"/>
    <w:rsid w:val="004F033E"/>
    <w:rsid w:val="004F0A8E"/>
    <w:rsid w:val="004F129D"/>
    <w:rsid w:val="004F1C12"/>
    <w:rsid w:val="004F26E0"/>
    <w:rsid w:val="004F4CEA"/>
    <w:rsid w:val="004F66A6"/>
    <w:rsid w:val="004F6CDB"/>
    <w:rsid w:val="004F6F34"/>
    <w:rsid w:val="004F78F6"/>
    <w:rsid w:val="00505551"/>
    <w:rsid w:val="00506BDF"/>
    <w:rsid w:val="00510254"/>
    <w:rsid w:val="0051292E"/>
    <w:rsid w:val="00512D50"/>
    <w:rsid w:val="0051422B"/>
    <w:rsid w:val="0051445E"/>
    <w:rsid w:val="00514879"/>
    <w:rsid w:val="005179FA"/>
    <w:rsid w:val="00521CE7"/>
    <w:rsid w:val="0052214E"/>
    <w:rsid w:val="00523C8C"/>
    <w:rsid w:val="00523DD5"/>
    <w:rsid w:val="00525A12"/>
    <w:rsid w:val="00527B32"/>
    <w:rsid w:val="00530C70"/>
    <w:rsid w:val="00530CD3"/>
    <w:rsid w:val="00530CF0"/>
    <w:rsid w:val="005334A5"/>
    <w:rsid w:val="00534F27"/>
    <w:rsid w:val="0053745A"/>
    <w:rsid w:val="00537E57"/>
    <w:rsid w:val="00541C59"/>
    <w:rsid w:val="00544987"/>
    <w:rsid w:val="00545976"/>
    <w:rsid w:val="00545F95"/>
    <w:rsid w:val="00553547"/>
    <w:rsid w:val="00556251"/>
    <w:rsid w:val="00556726"/>
    <w:rsid w:val="00561426"/>
    <w:rsid w:val="005645B9"/>
    <w:rsid w:val="005651C8"/>
    <w:rsid w:val="00565BB8"/>
    <w:rsid w:val="00565DEC"/>
    <w:rsid w:val="00567D3E"/>
    <w:rsid w:val="005714FD"/>
    <w:rsid w:val="00571AD8"/>
    <w:rsid w:val="0057287F"/>
    <w:rsid w:val="00573619"/>
    <w:rsid w:val="00574CE2"/>
    <w:rsid w:val="005757B7"/>
    <w:rsid w:val="00576A3E"/>
    <w:rsid w:val="00581287"/>
    <w:rsid w:val="005812F2"/>
    <w:rsid w:val="00582777"/>
    <w:rsid w:val="00586A7B"/>
    <w:rsid w:val="00587300"/>
    <w:rsid w:val="0058752B"/>
    <w:rsid w:val="005944DB"/>
    <w:rsid w:val="005969AE"/>
    <w:rsid w:val="005A01ED"/>
    <w:rsid w:val="005A0BD8"/>
    <w:rsid w:val="005A1124"/>
    <w:rsid w:val="005A156F"/>
    <w:rsid w:val="005A157D"/>
    <w:rsid w:val="005A2664"/>
    <w:rsid w:val="005A2903"/>
    <w:rsid w:val="005A2D73"/>
    <w:rsid w:val="005A3FC6"/>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7D5A"/>
    <w:rsid w:val="005D49A7"/>
    <w:rsid w:val="005D7F0A"/>
    <w:rsid w:val="005E0786"/>
    <w:rsid w:val="005E0881"/>
    <w:rsid w:val="005E1B6A"/>
    <w:rsid w:val="005E2785"/>
    <w:rsid w:val="005E2CFC"/>
    <w:rsid w:val="005E42D9"/>
    <w:rsid w:val="005F01C9"/>
    <w:rsid w:val="005F39BB"/>
    <w:rsid w:val="006006C6"/>
    <w:rsid w:val="006165B8"/>
    <w:rsid w:val="00620127"/>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E30"/>
    <w:rsid w:val="006423CD"/>
    <w:rsid w:val="0064242B"/>
    <w:rsid w:val="0064250D"/>
    <w:rsid w:val="00643D84"/>
    <w:rsid w:val="0064759E"/>
    <w:rsid w:val="0064794D"/>
    <w:rsid w:val="00650A20"/>
    <w:rsid w:val="00650B3A"/>
    <w:rsid w:val="00650D61"/>
    <w:rsid w:val="00651864"/>
    <w:rsid w:val="00651E0A"/>
    <w:rsid w:val="0065401D"/>
    <w:rsid w:val="00654C28"/>
    <w:rsid w:val="00656E12"/>
    <w:rsid w:val="00660594"/>
    <w:rsid w:val="00660CB5"/>
    <w:rsid w:val="00662C74"/>
    <w:rsid w:val="00663DEF"/>
    <w:rsid w:val="00664714"/>
    <w:rsid w:val="006647B3"/>
    <w:rsid w:val="00664AD9"/>
    <w:rsid w:val="006654A3"/>
    <w:rsid w:val="006670C9"/>
    <w:rsid w:val="006712C5"/>
    <w:rsid w:val="00671524"/>
    <w:rsid w:val="0067227B"/>
    <w:rsid w:val="00674C0F"/>
    <w:rsid w:val="00675DA0"/>
    <w:rsid w:val="00682059"/>
    <w:rsid w:val="006833A1"/>
    <w:rsid w:val="00685072"/>
    <w:rsid w:val="00686081"/>
    <w:rsid w:val="0068615A"/>
    <w:rsid w:val="0068735A"/>
    <w:rsid w:val="00687466"/>
    <w:rsid w:val="00690C83"/>
    <w:rsid w:val="0069415B"/>
    <w:rsid w:val="00696C1A"/>
    <w:rsid w:val="00697254"/>
    <w:rsid w:val="00697375"/>
    <w:rsid w:val="006A0429"/>
    <w:rsid w:val="006A36B3"/>
    <w:rsid w:val="006A5C85"/>
    <w:rsid w:val="006A6DB3"/>
    <w:rsid w:val="006A737A"/>
    <w:rsid w:val="006A79C2"/>
    <w:rsid w:val="006B337E"/>
    <w:rsid w:val="006B3D83"/>
    <w:rsid w:val="006B4F41"/>
    <w:rsid w:val="006B5E9A"/>
    <w:rsid w:val="006B6383"/>
    <w:rsid w:val="006B6DB6"/>
    <w:rsid w:val="006C31CA"/>
    <w:rsid w:val="006C4166"/>
    <w:rsid w:val="006C44A4"/>
    <w:rsid w:val="006C4B46"/>
    <w:rsid w:val="006C5DF3"/>
    <w:rsid w:val="006C66C9"/>
    <w:rsid w:val="006D075E"/>
    <w:rsid w:val="006D0ACB"/>
    <w:rsid w:val="006D0F69"/>
    <w:rsid w:val="006D1684"/>
    <w:rsid w:val="006D2512"/>
    <w:rsid w:val="006D28CC"/>
    <w:rsid w:val="006D367B"/>
    <w:rsid w:val="006D3684"/>
    <w:rsid w:val="006D49D1"/>
    <w:rsid w:val="006D4D82"/>
    <w:rsid w:val="006D5B25"/>
    <w:rsid w:val="006D6542"/>
    <w:rsid w:val="006D6B24"/>
    <w:rsid w:val="006D7CAA"/>
    <w:rsid w:val="006E0A78"/>
    <w:rsid w:val="006E1FE6"/>
    <w:rsid w:val="006E228B"/>
    <w:rsid w:val="006E2B47"/>
    <w:rsid w:val="006E340E"/>
    <w:rsid w:val="006E38B5"/>
    <w:rsid w:val="006E44AE"/>
    <w:rsid w:val="006E5EEF"/>
    <w:rsid w:val="006E5F42"/>
    <w:rsid w:val="006E65F8"/>
    <w:rsid w:val="006F1517"/>
    <w:rsid w:val="0070009B"/>
    <w:rsid w:val="00700AB9"/>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41D2"/>
    <w:rsid w:val="00724270"/>
    <w:rsid w:val="007265B2"/>
    <w:rsid w:val="00726956"/>
    <w:rsid w:val="00731518"/>
    <w:rsid w:val="00735C2E"/>
    <w:rsid w:val="00736685"/>
    <w:rsid w:val="00741F02"/>
    <w:rsid w:val="007422D1"/>
    <w:rsid w:val="007432E6"/>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6AA1"/>
    <w:rsid w:val="00766D5C"/>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5327"/>
    <w:rsid w:val="00795C64"/>
    <w:rsid w:val="007A1268"/>
    <w:rsid w:val="007A1ED7"/>
    <w:rsid w:val="007A2362"/>
    <w:rsid w:val="007A323F"/>
    <w:rsid w:val="007A3AD7"/>
    <w:rsid w:val="007B00C7"/>
    <w:rsid w:val="007B08D6"/>
    <w:rsid w:val="007B0EC5"/>
    <w:rsid w:val="007B3745"/>
    <w:rsid w:val="007B7769"/>
    <w:rsid w:val="007C00BE"/>
    <w:rsid w:val="007C3F6C"/>
    <w:rsid w:val="007C581C"/>
    <w:rsid w:val="007C6DEC"/>
    <w:rsid w:val="007D0C7C"/>
    <w:rsid w:val="007D1152"/>
    <w:rsid w:val="007D2C05"/>
    <w:rsid w:val="007D4E49"/>
    <w:rsid w:val="007D5145"/>
    <w:rsid w:val="007D7168"/>
    <w:rsid w:val="007E0F98"/>
    <w:rsid w:val="007E17C5"/>
    <w:rsid w:val="007E19C4"/>
    <w:rsid w:val="007E1B73"/>
    <w:rsid w:val="007E3F21"/>
    <w:rsid w:val="007E4B7E"/>
    <w:rsid w:val="007E52AF"/>
    <w:rsid w:val="007E5310"/>
    <w:rsid w:val="007F1CAC"/>
    <w:rsid w:val="007F4ED6"/>
    <w:rsid w:val="007F55A1"/>
    <w:rsid w:val="00800008"/>
    <w:rsid w:val="00800D0A"/>
    <w:rsid w:val="00801BE7"/>
    <w:rsid w:val="00803F9D"/>
    <w:rsid w:val="0080407D"/>
    <w:rsid w:val="00805484"/>
    <w:rsid w:val="008062D3"/>
    <w:rsid w:val="008064AA"/>
    <w:rsid w:val="00806EA2"/>
    <w:rsid w:val="0081068A"/>
    <w:rsid w:val="00811A47"/>
    <w:rsid w:val="00816E63"/>
    <w:rsid w:val="008171F5"/>
    <w:rsid w:val="00821383"/>
    <w:rsid w:val="0082233A"/>
    <w:rsid w:val="00822B7D"/>
    <w:rsid w:val="00824783"/>
    <w:rsid w:val="00824979"/>
    <w:rsid w:val="00824E0A"/>
    <w:rsid w:val="008259C6"/>
    <w:rsid w:val="00832D7D"/>
    <w:rsid w:val="008343AC"/>
    <w:rsid w:val="008346F5"/>
    <w:rsid w:val="00834951"/>
    <w:rsid w:val="00837A26"/>
    <w:rsid w:val="00837C2C"/>
    <w:rsid w:val="00843564"/>
    <w:rsid w:val="00845A01"/>
    <w:rsid w:val="00846D15"/>
    <w:rsid w:val="008501E6"/>
    <w:rsid w:val="008527EE"/>
    <w:rsid w:val="00852DF4"/>
    <w:rsid w:val="00853041"/>
    <w:rsid w:val="00853D1E"/>
    <w:rsid w:val="00856477"/>
    <w:rsid w:val="00857F89"/>
    <w:rsid w:val="0086376D"/>
    <w:rsid w:val="00863EC4"/>
    <w:rsid w:val="008664EE"/>
    <w:rsid w:val="008704F1"/>
    <w:rsid w:val="0087058F"/>
    <w:rsid w:val="0087145F"/>
    <w:rsid w:val="008747CD"/>
    <w:rsid w:val="00874A38"/>
    <w:rsid w:val="00874B61"/>
    <w:rsid w:val="00877909"/>
    <w:rsid w:val="00882689"/>
    <w:rsid w:val="0088291B"/>
    <w:rsid w:val="00883AC2"/>
    <w:rsid w:val="00884D21"/>
    <w:rsid w:val="008857EA"/>
    <w:rsid w:val="0088621A"/>
    <w:rsid w:val="00886EAD"/>
    <w:rsid w:val="008900BB"/>
    <w:rsid w:val="00891349"/>
    <w:rsid w:val="008969A7"/>
    <w:rsid w:val="008A6748"/>
    <w:rsid w:val="008B0014"/>
    <w:rsid w:val="008B07AA"/>
    <w:rsid w:val="008B0C3E"/>
    <w:rsid w:val="008B1D51"/>
    <w:rsid w:val="008B2356"/>
    <w:rsid w:val="008B49BB"/>
    <w:rsid w:val="008B6392"/>
    <w:rsid w:val="008B67FE"/>
    <w:rsid w:val="008C0424"/>
    <w:rsid w:val="008C0441"/>
    <w:rsid w:val="008C1717"/>
    <w:rsid w:val="008C17E3"/>
    <w:rsid w:val="008C18BC"/>
    <w:rsid w:val="008C2833"/>
    <w:rsid w:val="008C30E6"/>
    <w:rsid w:val="008C3E3B"/>
    <w:rsid w:val="008C5141"/>
    <w:rsid w:val="008C7DBD"/>
    <w:rsid w:val="008D0635"/>
    <w:rsid w:val="008D0DEE"/>
    <w:rsid w:val="008D6640"/>
    <w:rsid w:val="008E0F78"/>
    <w:rsid w:val="008E2B86"/>
    <w:rsid w:val="008E398E"/>
    <w:rsid w:val="008E4BD1"/>
    <w:rsid w:val="008E5F74"/>
    <w:rsid w:val="008E701C"/>
    <w:rsid w:val="008F19E7"/>
    <w:rsid w:val="008F27CB"/>
    <w:rsid w:val="008F2F49"/>
    <w:rsid w:val="008F4430"/>
    <w:rsid w:val="008F5E7D"/>
    <w:rsid w:val="008F7CD7"/>
    <w:rsid w:val="00901C25"/>
    <w:rsid w:val="00902996"/>
    <w:rsid w:val="00903F87"/>
    <w:rsid w:val="009074BF"/>
    <w:rsid w:val="009076EE"/>
    <w:rsid w:val="009149AC"/>
    <w:rsid w:val="009164BE"/>
    <w:rsid w:val="009177B8"/>
    <w:rsid w:val="00917A2E"/>
    <w:rsid w:val="00917C0E"/>
    <w:rsid w:val="0092186F"/>
    <w:rsid w:val="00921C8C"/>
    <w:rsid w:val="009229C5"/>
    <w:rsid w:val="0092329E"/>
    <w:rsid w:val="0092391E"/>
    <w:rsid w:val="00924A9B"/>
    <w:rsid w:val="0092597C"/>
    <w:rsid w:val="00926187"/>
    <w:rsid w:val="00927F4B"/>
    <w:rsid w:val="00931895"/>
    <w:rsid w:val="00933331"/>
    <w:rsid w:val="00937118"/>
    <w:rsid w:val="00937140"/>
    <w:rsid w:val="009417FA"/>
    <w:rsid w:val="00942993"/>
    <w:rsid w:val="00946F67"/>
    <w:rsid w:val="00950634"/>
    <w:rsid w:val="00950BEE"/>
    <w:rsid w:val="00950F88"/>
    <w:rsid w:val="009541D7"/>
    <w:rsid w:val="00955CA5"/>
    <w:rsid w:val="00955E80"/>
    <w:rsid w:val="0095746B"/>
    <w:rsid w:val="00957EC5"/>
    <w:rsid w:val="009620BB"/>
    <w:rsid w:val="00963595"/>
    <w:rsid w:val="00963A38"/>
    <w:rsid w:val="009655EA"/>
    <w:rsid w:val="0097175D"/>
    <w:rsid w:val="009724DB"/>
    <w:rsid w:val="00974C63"/>
    <w:rsid w:val="00974F9B"/>
    <w:rsid w:val="009777BF"/>
    <w:rsid w:val="009806F4"/>
    <w:rsid w:val="009813AE"/>
    <w:rsid w:val="009837AF"/>
    <w:rsid w:val="00984972"/>
    <w:rsid w:val="00985347"/>
    <w:rsid w:val="00985783"/>
    <w:rsid w:val="0099089C"/>
    <w:rsid w:val="00990B50"/>
    <w:rsid w:val="009925BA"/>
    <w:rsid w:val="009939B2"/>
    <w:rsid w:val="009978D7"/>
    <w:rsid w:val="009A03DF"/>
    <w:rsid w:val="009A30DD"/>
    <w:rsid w:val="009A7E1B"/>
    <w:rsid w:val="009B0B28"/>
    <w:rsid w:val="009B0B4F"/>
    <w:rsid w:val="009B2E95"/>
    <w:rsid w:val="009B705B"/>
    <w:rsid w:val="009B72DA"/>
    <w:rsid w:val="009C5C13"/>
    <w:rsid w:val="009C6359"/>
    <w:rsid w:val="009C7E58"/>
    <w:rsid w:val="009D2297"/>
    <w:rsid w:val="009D3782"/>
    <w:rsid w:val="009D3A96"/>
    <w:rsid w:val="009D3AE2"/>
    <w:rsid w:val="009D4DFA"/>
    <w:rsid w:val="009D609C"/>
    <w:rsid w:val="009D636B"/>
    <w:rsid w:val="009D6987"/>
    <w:rsid w:val="009D74CE"/>
    <w:rsid w:val="009D7FEA"/>
    <w:rsid w:val="009E4773"/>
    <w:rsid w:val="009E4F69"/>
    <w:rsid w:val="009E5F79"/>
    <w:rsid w:val="009E7B7F"/>
    <w:rsid w:val="009F2870"/>
    <w:rsid w:val="009F3A26"/>
    <w:rsid w:val="009F46D9"/>
    <w:rsid w:val="009F7C3F"/>
    <w:rsid w:val="00A01036"/>
    <w:rsid w:val="00A022C2"/>
    <w:rsid w:val="00A02E5A"/>
    <w:rsid w:val="00A045F8"/>
    <w:rsid w:val="00A10D3C"/>
    <w:rsid w:val="00A21F43"/>
    <w:rsid w:val="00A225C2"/>
    <w:rsid w:val="00A23C4E"/>
    <w:rsid w:val="00A2444C"/>
    <w:rsid w:val="00A24AE2"/>
    <w:rsid w:val="00A25C1D"/>
    <w:rsid w:val="00A318DF"/>
    <w:rsid w:val="00A318F2"/>
    <w:rsid w:val="00A33945"/>
    <w:rsid w:val="00A37107"/>
    <w:rsid w:val="00A37D86"/>
    <w:rsid w:val="00A4429C"/>
    <w:rsid w:val="00A45271"/>
    <w:rsid w:val="00A45E67"/>
    <w:rsid w:val="00A4665A"/>
    <w:rsid w:val="00A46D53"/>
    <w:rsid w:val="00A46FFA"/>
    <w:rsid w:val="00A518ED"/>
    <w:rsid w:val="00A54848"/>
    <w:rsid w:val="00A54E80"/>
    <w:rsid w:val="00A56DDC"/>
    <w:rsid w:val="00A611C1"/>
    <w:rsid w:val="00A62702"/>
    <w:rsid w:val="00A63D7D"/>
    <w:rsid w:val="00A66C6C"/>
    <w:rsid w:val="00A67EFF"/>
    <w:rsid w:val="00A717EA"/>
    <w:rsid w:val="00A72860"/>
    <w:rsid w:val="00A754D2"/>
    <w:rsid w:val="00A82054"/>
    <w:rsid w:val="00A832B9"/>
    <w:rsid w:val="00A83C74"/>
    <w:rsid w:val="00A856EE"/>
    <w:rsid w:val="00A86535"/>
    <w:rsid w:val="00A86943"/>
    <w:rsid w:val="00A869FE"/>
    <w:rsid w:val="00A86D85"/>
    <w:rsid w:val="00A90FDC"/>
    <w:rsid w:val="00A921E4"/>
    <w:rsid w:val="00A96E3A"/>
    <w:rsid w:val="00A96FEC"/>
    <w:rsid w:val="00A97E13"/>
    <w:rsid w:val="00AA11E2"/>
    <w:rsid w:val="00AA1D1C"/>
    <w:rsid w:val="00AA7519"/>
    <w:rsid w:val="00AB1550"/>
    <w:rsid w:val="00AB2A6F"/>
    <w:rsid w:val="00AB537D"/>
    <w:rsid w:val="00AB5EB6"/>
    <w:rsid w:val="00AB7698"/>
    <w:rsid w:val="00AC054F"/>
    <w:rsid w:val="00AC0BB5"/>
    <w:rsid w:val="00AC1CC5"/>
    <w:rsid w:val="00AC28E8"/>
    <w:rsid w:val="00AC3A58"/>
    <w:rsid w:val="00AC4003"/>
    <w:rsid w:val="00AC67C1"/>
    <w:rsid w:val="00AC7454"/>
    <w:rsid w:val="00AD0E04"/>
    <w:rsid w:val="00AD0E40"/>
    <w:rsid w:val="00AD5A27"/>
    <w:rsid w:val="00AD697A"/>
    <w:rsid w:val="00AE01F1"/>
    <w:rsid w:val="00AE1764"/>
    <w:rsid w:val="00AE2278"/>
    <w:rsid w:val="00AE3D8A"/>
    <w:rsid w:val="00AE748B"/>
    <w:rsid w:val="00AF2B9D"/>
    <w:rsid w:val="00AF3106"/>
    <w:rsid w:val="00AF3F73"/>
    <w:rsid w:val="00AF3F75"/>
    <w:rsid w:val="00AF6D55"/>
    <w:rsid w:val="00B0041B"/>
    <w:rsid w:val="00B0095E"/>
    <w:rsid w:val="00B12051"/>
    <w:rsid w:val="00B12EFA"/>
    <w:rsid w:val="00B144B5"/>
    <w:rsid w:val="00B1450E"/>
    <w:rsid w:val="00B1472C"/>
    <w:rsid w:val="00B149B1"/>
    <w:rsid w:val="00B15BA6"/>
    <w:rsid w:val="00B16945"/>
    <w:rsid w:val="00B1789C"/>
    <w:rsid w:val="00B25067"/>
    <w:rsid w:val="00B25A4F"/>
    <w:rsid w:val="00B25D85"/>
    <w:rsid w:val="00B2789C"/>
    <w:rsid w:val="00B27C51"/>
    <w:rsid w:val="00B313C4"/>
    <w:rsid w:val="00B33E5B"/>
    <w:rsid w:val="00B35161"/>
    <w:rsid w:val="00B417CF"/>
    <w:rsid w:val="00B41E3B"/>
    <w:rsid w:val="00B42203"/>
    <w:rsid w:val="00B43820"/>
    <w:rsid w:val="00B45EF4"/>
    <w:rsid w:val="00B5150F"/>
    <w:rsid w:val="00B51966"/>
    <w:rsid w:val="00B56A57"/>
    <w:rsid w:val="00B57361"/>
    <w:rsid w:val="00B618EE"/>
    <w:rsid w:val="00B61B62"/>
    <w:rsid w:val="00B64D5B"/>
    <w:rsid w:val="00B6593E"/>
    <w:rsid w:val="00B672FD"/>
    <w:rsid w:val="00B70E29"/>
    <w:rsid w:val="00B72982"/>
    <w:rsid w:val="00B73828"/>
    <w:rsid w:val="00B73CCB"/>
    <w:rsid w:val="00B741A4"/>
    <w:rsid w:val="00B747E8"/>
    <w:rsid w:val="00B75D00"/>
    <w:rsid w:val="00B76E36"/>
    <w:rsid w:val="00B77F7C"/>
    <w:rsid w:val="00B80D44"/>
    <w:rsid w:val="00B80FC2"/>
    <w:rsid w:val="00B849DB"/>
    <w:rsid w:val="00B859CC"/>
    <w:rsid w:val="00B85D9D"/>
    <w:rsid w:val="00B87B52"/>
    <w:rsid w:val="00B9043B"/>
    <w:rsid w:val="00B9118C"/>
    <w:rsid w:val="00B924FF"/>
    <w:rsid w:val="00B9739C"/>
    <w:rsid w:val="00BA0A5E"/>
    <w:rsid w:val="00BA2CC1"/>
    <w:rsid w:val="00BA6D07"/>
    <w:rsid w:val="00BB00AF"/>
    <w:rsid w:val="00BB0EF2"/>
    <w:rsid w:val="00BB136C"/>
    <w:rsid w:val="00BB17B1"/>
    <w:rsid w:val="00BB4710"/>
    <w:rsid w:val="00BB5779"/>
    <w:rsid w:val="00BB619A"/>
    <w:rsid w:val="00BB6E28"/>
    <w:rsid w:val="00BC1ACB"/>
    <w:rsid w:val="00BC563A"/>
    <w:rsid w:val="00BD0D6D"/>
    <w:rsid w:val="00BD46EA"/>
    <w:rsid w:val="00BD58F9"/>
    <w:rsid w:val="00BD5904"/>
    <w:rsid w:val="00BD5B66"/>
    <w:rsid w:val="00BD68AA"/>
    <w:rsid w:val="00BD6AB3"/>
    <w:rsid w:val="00BD7913"/>
    <w:rsid w:val="00BD7C27"/>
    <w:rsid w:val="00BE00BE"/>
    <w:rsid w:val="00BE083A"/>
    <w:rsid w:val="00BE274A"/>
    <w:rsid w:val="00BE3505"/>
    <w:rsid w:val="00BE3B03"/>
    <w:rsid w:val="00BE5127"/>
    <w:rsid w:val="00BE5281"/>
    <w:rsid w:val="00BE59F1"/>
    <w:rsid w:val="00BE5C49"/>
    <w:rsid w:val="00BE781D"/>
    <w:rsid w:val="00BF1A75"/>
    <w:rsid w:val="00BF3328"/>
    <w:rsid w:val="00BF5094"/>
    <w:rsid w:val="00BF5831"/>
    <w:rsid w:val="00BF61FB"/>
    <w:rsid w:val="00C017DE"/>
    <w:rsid w:val="00C01A8C"/>
    <w:rsid w:val="00C0281C"/>
    <w:rsid w:val="00C0651D"/>
    <w:rsid w:val="00C10E9B"/>
    <w:rsid w:val="00C1242D"/>
    <w:rsid w:val="00C141F4"/>
    <w:rsid w:val="00C16849"/>
    <w:rsid w:val="00C213F8"/>
    <w:rsid w:val="00C23AF1"/>
    <w:rsid w:val="00C24DF7"/>
    <w:rsid w:val="00C265CE"/>
    <w:rsid w:val="00C26D76"/>
    <w:rsid w:val="00C31295"/>
    <w:rsid w:val="00C312BC"/>
    <w:rsid w:val="00C34A99"/>
    <w:rsid w:val="00C3507F"/>
    <w:rsid w:val="00C35291"/>
    <w:rsid w:val="00C35C7E"/>
    <w:rsid w:val="00C36371"/>
    <w:rsid w:val="00C404C1"/>
    <w:rsid w:val="00C420A5"/>
    <w:rsid w:val="00C42734"/>
    <w:rsid w:val="00C42830"/>
    <w:rsid w:val="00C44A93"/>
    <w:rsid w:val="00C46DF8"/>
    <w:rsid w:val="00C475E5"/>
    <w:rsid w:val="00C5112E"/>
    <w:rsid w:val="00C5153B"/>
    <w:rsid w:val="00C5189E"/>
    <w:rsid w:val="00C5212C"/>
    <w:rsid w:val="00C52FB1"/>
    <w:rsid w:val="00C53C70"/>
    <w:rsid w:val="00C6213D"/>
    <w:rsid w:val="00C64253"/>
    <w:rsid w:val="00C64460"/>
    <w:rsid w:val="00C66CDC"/>
    <w:rsid w:val="00C715AA"/>
    <w:rsid w:val="00C739EA"/>
    <w:rsid w:val="00C73D31"/>
    <w:rsid w:val="00C76ABD"/>
    <w:rsid w:val="00C771F1"/>
    <w:rsid w:val="00C80D27"/>
    <w:rsid w:val="00C83743"/>
    <w:rsid w:val="00C83E2A"/>
    <w:rsid w:val="00C84781"/>
    <w:rsid w:val="00C8667D"/>
    <w:rsid w:val="00C86B31"/>
    <w:rsid w:val="00C87C85"/>
    <w:rsid w:val="00C9030A"/>
    <w:rsid w:val="00C91171"/>
    <w:rsid w:val="00C931D2"/>
    <w:rsid w:val="00C947C8"/>
    <w:rsid w:val="00C95929"/>
    <w:rsid w:val="00C96173"/>
    <w:rsid w:val="00CA026C"/>
    <w:rsid w:val="00CA0637"/>
    <w:rsid w:val="00CA1566"/>
    <w:rsid w:val="00CA16D6"/>
    <w:rsid w:val="00CA1D1E"/>
    <w:rsid w:val="00CA1F80"/>
    <w:rsid w:val="00CA274F"/>
    <w:rsid w:val="00CA4CF2"/>
    <w:rsid w:val="00CA664D"/>
    <w:rsid w:val="00CA6B34"/>
    <w:rsid w:val="00CA6CAA"/>
    <w:rsid w:val="00CB232F"/>
    <w:rsid w:val="00CB6000"/>
    <w:rsid w:val="00CB7B09"/>
    <w:rsid w:val="00CC0048"/>
    <w:rsid w:val="00CC0AAC"/>
    <w:rsid w:val="00CC2C1A"/>
    <w:rsid w:val="00CC5A07"/>
    <w:rsid w:val="00CC71A7"/>
    <w:rsid w:val="00CD12B2"/>
    <w:rsid w:val="00CD2103"/>
    <w:rsid w:val="00CD2927"/>
    <w:rsid w:val="00CD2E50"/>
    <w:rsid w:val="00CD3C32"/>
    <w:rsid w:val="00CD6424"/>
    <w:rsid w:val="00CE1A81"/>
    <w:rsid w:val="00CE3F3B"/>
    <w:rsid w:val="00CE4E9A"/>
    <w:rsid w:val="00CE5CD7"/>
    <w:rsid w:val="00CE61FA"/>
    <w:rsid w:val="00CE6AD2"/>
    <w:rsid w:val="00CE7F70"/>
    <w:rsid w:val="00CF1F5B"/>
    <w:rsid w:val="00CF28B1"/>
    <w:rsid w:val="00CF420C"/>
    <w:rsid w:val="00CF481A"/>
    <w:rsid w:val="00CF4B73"/>
    <w:rsid w:val="00D00028"/>
    <w:rsid w:val="00D00645"/>
    <w:rsid w:val="00D01284"/>
    <w:rsid w:val="00D026B5"/>
    <w:rsid w:val="00D03A81"/>
    <w:rsid w:val="00D05A3A"/>
    <w:rsid w:val="00D11F01"/>
    <w:rsid w:val="00D12DBF"/>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C9"/>
    <w:rsid w:val="00D35427"/>
    <w:rsid w:val="00D366F6"/>
    <w:rsid w:val="00D401EA"/>
    <w:rsid w:val="00D423D7"/>
    <w:rsid w:val="00D446A3"/>
    <w:rsid w:val="00D457E6"/>
    <w:rsid w:val="00D46AD1"/>
    <w:rsid w:val="00D47C2D"/>
    <w:rsid w:val="00D47D1C"/>
    <w:rsid w:val="00D500D6"/>
    <w:rsid w:val="00D50994"/>
    <w:rsid w:val="00D513D2"/>
    <w:rsid w:val="00D563B2"/>
    <w:rsid w:val="00D56E03"/>
    <w:rsid w:val="00D56F1F"/>
    <w:rsid w:val="00D575F3"/>
    <w:rsid w:val="00D600BA"/>
    <w:rsid w:val="00D6036C"/>
    <w:rsid w:val="00D62CB4"/>
    <w:rsid w:val="00D64195"/>
    <w:rsid w:val="00D650AD"/>
    <w:rsid w:val="00D66213"/>
    <w:rsid w:val="00D66F9A"/>
    <w:rsid w:val="00D7037F"/>
    <w:rsid w:val="00D71E1C"/>
    <w:rsid w:val="00D743F6"/>
    <w:rsid w:val="00D74C0C"/>
    <w:rsid w:val="00D7664C"/>
    <w:rsid w:val="00D7742A"/>
    <w:rsid w:val="00D8285B"/>
    <w:rsid w:val="00D82A65"/>
    <w:rsid w:val="00D90C2A"/>
    <w:rsid w:val="00D9386B"/>
    <w:rsid w:val="00D951E5"/>
    <w:rsid w:val="00D956F7"/>
    <w:rsid w:val="00D964CB"/>
    <w:rsid w:val="00DA0A61"/>
    <w:rsid w:val="00DA196D"/>
    <w:rsid w:val="00DA1E1C"/>
    <w:rsid w:val="00DA3D21"/>
    <w:rsid w:val="00DA46A3"/>
    <w:rsid w:val="00DA5D3D"/>
    <w:rsid w:val="00DA7760"/>
    <w:rsid w:val="00DB05C6"/>
    <w:rsid w:val="00DB1444"/>
    <w:rsid w:val="00DB5615"/>
    <w:rsid w:val="00DB5841"/>
    <w:rsid w:val="00DB5B5E"/>
    <w:rsid w:val="00DC123B"/>
    <w:rsid w:val="00DC22DB"/>
    <w:rsid w:val="00DC3EE9"/>
    <w:rsid w:val="00DC5C0D"/>
    <w:rsid w:val="00DC73A6"/>
    <w:rsid w:val="00DC7607"/>
    <w:rsid w:val="00DD01B2"/>
    <w:rsid w:val="00DD0284"/>
    <w:rsid w:val="00DD1635"/>
    <w:rsid w:val="00DD24DC"/>
    <w:rsid w:val="00DD3C59"/>
    <w:rsid w:val="00DE21B2"/>
    <w:rsid w:val="00DE684C"/>
    <w:rsid w:val="00DE6A76"/>
    <w:rsid w:val="00DF1199"/>
    <w:rsid w:val="00DF57AD"/>
    <w:rsid w:val="00DF65C9"/>
    <w:rsid w:val="00E01667"/>
    <w:rsid w:val="00E0409F"/>
    <w:rsid w:val="00E0440F"/>
    <w:rsid w:val="00E04733"/>
    <w:rsid w:val="00E05EB2"/>
    <w:rsid w:val="00E10E96"/>
    <w:rsid w:val="00E11EE5"/>
    <w:rsid w:val="00E1302D"/>
    <w:rsid w:val="00E141C5"/>
    <w:rsid w:val="00E14E7F"/>
    <w:rsid w:val="00E161E3"/>
    <w:rsid w:val="00E17600"/>
    <w:rsid w:val="00E22F37"/>
    <w:rsid w:val="00E234B5"/>
    <w:rsid w:val="00E2522A"/>
    <w:rsid w:val="00E2588B"/>
    <w:rsid w:val="00E2740A"/>
    <w:rsid w:val="00E27B92"/>
    <w:rsid w:val="00E32EBA"/>
    <w:rsid w:val="00E34B09"/>
    <w:rsid w:val="00E4371A"/>
    <w:rsid w:val="00E449F3"/>
    <w:rsid w:val="00E45A6C"/>
    <w:rsid w:val="00E47B3F"/>
    <w:rsid w:val="00E50B33"/>
    <w:rsid w:val="00E50D38"/>
    <w:rsid w:val="00E528E3"/>
    <w:rsid w:val="00E565B4"/>
    <w:rsid w:val="00E60A5C"/>
    <w:rsid w:val="00E628E2"/>
    <w:rsid w:val="00E630F8"/>
    <w:rsid w:val="00E66611"/>
    <w:rsid w:val="00E67136"/>
    <w:rsid w:val="00E677E4"/>
    <w:rsid w:val="00E73B1B"/>
    <w:rsid w:val="00E73FEE"/>
    <w:rsid w:val="00E750F2"/>
    <w:rsid w:val="00E755FE"/>
    <w:rsid w:val="00E768E3"/>
    <w:rsid w:val="00E777A4"/>
    <w:rsid w:val="00E779F4"/>
    <w:rsid w:val="00E82EE9"/>
    <w:rsid w:val="00E84E39"/>
    <w:rsid w:val="00E85B73"/>
    <w:rsid w:val="00E86165"/>
    <w:rsid w:val="00E864A1"/>
    <w:rsid w:val="00E910CD"/>
    <w:rsid w:val="00E96116"/>
    <w:rsid w:val="00E97240"/>
    <w:rsid w:val="00EA06C6"/>
    <w:rsid w:val="00EA0A85"/>
    <w:rsid w:val="00EA0D37"/>
    <w:rsid w:val="00EA1713"/>
    <w:rsid w:val="00EA172F"/>
    <w:rsid w:val="00EA3CA6"/>
    <w:rsid w:val="00EA6779"/>
    <w:rsid w:val="00EA67FC"/>
    <w:rsid w:val="00EA74DC"/>
    <w:rsid w:val="00EB1D35"/>
    <w:rsid w:val="00EB3749"/>
    <w:rsid w:val="00EB6005"/>
    <w:rsid w:val="00EC01E2"/>
    <w:rsid w:val="00EC37B3"/>
    <w:rsid w:val="00EC38D8"/>
    <w:rsid w:val="00EC6AA0"/>
    <w:rsid w:val="00EC79A1"/>
    <w:rsid w:val="00EC7AD9"/>
    <w:rsid w:val="00ED0881"/>
    <w:rsid w:val="00ED0BF2"/>
    <w:rsid w:val="00ED55B5"/>
    <w:rsid w:val="00EE1A43"/>
    <w:rsid w:val="00EE2520"/>
    <w:rsid w:val="00EE2968"/>
    <w:rsid w:val="00EE3345"/>
    <w:rsid w:val="00EE343D"/>
    <w:rsid w:val="00EE694C"/>
    <w:rsid w:val="00EE6A67"/>
    <w:rsid w:val="00EE763C"/>
    <w:rsid w:val="00EF05DD"/>
    <w:rsid w:val="00EF1CFF"/>
    <w:rsid w:val="00EF1FB2"/>
    <w:rsid w:val="00EF6D9C"/>
    <w:rsid w:val="00EF70E7"/>
    <w:rsid w:val="00EF727E"/>
    <w:rsid w:val="00F00ABA"/>
    <w:rsid w:val="00F028A4"/>
    <w:rsid w:val="00F03326"/>
    <w:rsid w:val="00F0339C"/>
    <w:rsid w:val="00F03872"/>
    <w:rsid w:val="00F04109"/>
    <w:rsid w:val="00F048F4"/>
    <w:rsid w:val="00F04E2D"/>
    <w:rsid w:val="00F13BB9"/>
    <w:rsid w:val="00F1695E"/>
    <w:rsid w:val="00F16FCF"/>
    <w:rsid w:val="00F21200"/>
    <w:rsid w:val="00F21DF8"/>
    <w:rsid w:val="00F220B4"/>
    <w:rsid w:val="00F24E32"/>
    <w:rsid w:val="00F2506E"/>
    <w:rsid w:val="00F30283"/>
    <w:rsid w:val="00F30A68"/>
    <w:rsid w:val="00F30AEC"/>
    <w:rsid w:val="00F31086"/>
    <w:rsid w:val="00F328B4"/>
    <w:rsid w:val="00F335A1"/>
    <w:rsid w:val="00F33EB3"/>
    <w:rsid w:val="00F34B7B"/>
    <w:rsid w:val="00F3712C"/>
    <w:rsid w:val="00F40636"/>
    <w:rsid w:val="00F414A4"/>
    <w:rsid w:val="00F421A1"/>
    <w:rsid w:val="00F4315D"/>
    <w:rsid w:val="00F43196"/>
    <w:rsid w:val="00F43241"/>
    <w:rsid w:val="00F43443"/>
    <w:rsid w:val="00F463FC"/>
    <w:rsid w:val="00F46657"/>
    <w:rsid w:val="00F50433"/>
    <w:rsid w:val="00F52D00"/>
    <w:rsid w:val="00F57375"/>
    <w:rsid w:val="00F573DE"/>
    <w:rsid w:val="00F60BB8"/>
    <w:rsid w:val="00F62EA6"/>
    <w:rsid w:val="00F665CC"/>
    <w:rsid w:val="00F702C6"/>
    <w:rsid w:val="00F71228"/>
    <w:rsid w:val="00F7362A"/>
    <w:rsid w:val="00F73687"/>
    <w:rsid w:val="00F7528D"/>
    <w:rsid w:val="00F76B4D"/>
    <w:rsid w:val="00F770A5"/>
    <w:rsid w:val="00F8042A"/>
    <w:rsid w:val="00F807DC"/>
    <w:rsid w:val="00F80FD1"/>
    <w:rsid w:val="00F81774"/>
    <w:rsid w:val="00F818FF"/>
    <w:rsid w:val="00F81F8F"/>
    <w:rsid w:val="00F81FAE"/>
    <w:rsid w:val="00F820BE"/>
    <w:rsid w:val="00F823AD"/>
    <w:rsid w:val="00F8396A"/>
    <w:rsid w:val="00F8459F"/>
    <w:rsid w:val="00F851F6"/>
    <w:rsid w:val="00F876EF"/>
    <w:rsid w:val="00F87872"/>
    <w:rsid w:val="00F907A1"/>
    <w:rsid w:val="00F9093C"/>
    <w:rsid w:val="00F94BDE"/>
    <w:rsid w:val="00F95EB1"/>
    <w:rsid w:val="00FA0127"/>
    <w:rsid w:val="00FA03FA"/>
    <w:rsid w:val="00FA18CA"/>
    <w:rsid w:val="00FA37E6"/>
    <w:rsid w:val="00FA49E1"/>
    <w:rsid w:val="00FB0C37"/>
    <w:rsid w:val="00FB1889"/>
    <w:rsid w:val="00FB2971"/>
    <w:rsid w:val="00FC4F49"/>
    <w:rsid w:val="00FC76CE"/>
    <w:rsid w:val="00FD2F6E"/>
    <w:rsid w:val="00FD308C"/>
    <w:rsid w:val="00FD3BEE"/>
    <w:rsid w:val="00FE0472"/>
    <w:rsid w:val="00FE0D95"/>
    <w:rsid w:val="00FE1B83"/>
    <w:rsid w:val="00FE2E0A"/>
    <w:rsid w:val="00FF4232"/>
    <w:rsid w:val="00FF6B66"/>
    <w:rsid w:val="00FF6F8C"/>
    <w:rsid w:val="0116613E"/>
    <w:rsid w:val="01E34D5E"/>
    <w:rsid w:val="02790429"/>
    <w:rsid w:val="02C40AFC"/>
    <w:rsid w:val="02E278C2"/>
    <w:rsid w:val="036E396F"/>
    <w:rsid w:val="0378174B"/>
    <w:rsid w:val="03D17DE3"/>
    <w:rsid w:val="04A77C3E"/>
    <w:rsid w:val="0591552E"/>
    <w:rsid w:val="059942B1"/>
    <w:rsid w:val="05A433D7"/>
    <w:rsid w:val="06034E98"/>
    <w:rsid w:val="06256374"/>
    <w:rsid w:val="080B4293"/>
    <w:rsid w:val="08BD0F40"/>
    <w:rsid w:val="08FE0EB2"/>
    <w:rsid w:val="09201256"/>
    <w:rsid w:val="09945660"/>
    <w:rsid w:val="09F21091"/>
    <w:rsid w:val="0A8E388A"/>
    <w:rsid w:val="0AC44C2B"/>
    <w:rsid w:val="0B0953E8"/>
    <w:rsid w:val="0B594EA8"/>
    <w:rsid w:val="0B865581"/>
    <w:rsid w:val="0C083CD3"/>
    <w:rsid w:val="0C0C5F8C"/>
    <w:rsid w:val="0C456E8D"/>
    <w:rsid w:val="0CF522F0"/>
    <w:rsid w:val="0DC270B6"/>
    <w:rsid w:val="0E0C6105"/>
    <w:rsid w:val="0E2917B8"/>
    <w:rsid w:val="0E7B0848"/>
    <w:rsid w:val="0EDB4ECD"/>
    <w:rsid w:val="0F01243C"/>
    <w:rsid w:val="0F0E5B64"/>
    <w:rsid w:val="0F661EAF"/>
    <w:rsid w:val="0F746D05"/>
    <w:rsid w:val="102349B7"/>
    <w:rsid w:val="108111CD"/>
    <w:rsid w:val="108625FE"/>
    <w:rsid w:val="1090779A"/>
    <w:rsid w:val="10C43126"/>
    <w:rsid w:val="116B47A1"/>
    <w:rsid w:val="11F50145"/>
    <w:rsid w:val="122854C6"/>
    <w:rsid w:val="12903C5B"/>
    <w:rsid w:val="12D650A6"/>
    <w:rsid w:val="13A80982"/>
    <w:rsid w:val="141D2656"/>
    <w:rsid w:val="145C5942"/>
    <w:rsid w:val="14672AA7"/>
    <w:rsid w:val="14F24E51"/>
    <w:rsid w:val="15C33EBA"/>
    <w:rsid w:val="15F775D2"/>
    <w:rsid w:val="15F919C1"/>
    <w:rsid w:val="16290F7E"/>
    <w:rsid w:val="16535E97"/>
    <w:rsid w:val="16D12FB4"/>
    <w:rsid w:val="173C6648"/>
    <w:rsid w:val="17491786"/>
    <w:rsid w:val="17AF7E31"/>
    <w:rsid w:val="18074FA2"/>
    <w:rsid w:val="1808007A"/>
    <w:rsid w:val="18E4390F"/>
    <w:rsid w:val="1A7D2614"/>
    <w:rsid w:val="1B06680E"/>
    <w:rsid w:val="1BAC7D30"/>
    <w:rsid w:val="1CAA50BE"/>
    <w:rsid w:val="1D105245"/>
    <w:rsid w:val="1D1E5C74"/>
    <w:rsid w:val="1D296E78"/>
    <w:rsid w:val="1E0A3773"/>
    <w:rsid w:val="1E107F24"/>
    <w:rsid w:val="1E7E4A7D"/>
    <w:rsid w:val="1E8F5D24"/>
    <w:rsid w:val="201A587E"/>
    <w:rsid w:val="206904B1"/>
    <w:rsid w:val="20916ECC"/>
    <w:rsid w:val="20D310B6"/>
    <w:rsid w:val="211E07BF"/>
    <w:rsid w:val="2166356D"/>
    <w:rsid w:val="227A1EA3"/>
    <w:rsid w:val="229960BF"/>
    <w:rsid w:val="22AC5B58"/>
    <w:rsid w:val="23055613"/>
    <w:rsid w:val="23740E08"/>
    <w:rsid w:val="239655D4"/>
    <w:rsid w:val="239B6352"/>
    <w:rsid w:val="23B50CB4"/>
    <w:rsid w:val="23EE49FB"/>
    <w:rsid w:val="245826FE"/>
    <w:rsid w:val="2505283E"/>
    <w:rsid w:val="251B7358"/>
    <w:rsid w:val="251E413C"/>
    <w:rsid w:val="25347340"/>
    <w:rsid w:val="25907F7D"/>
    <w:rsid w:val="263766C8"/>
    <w:rsid w:val="26465803"/>
    <w:rsid w:val="278F21F7"/>
    <w:rsid w:val="27A6755A"/>
    <w:rsid w:val="27DF3C42"/>
    <w:rsid w:val="28303219"/>
    <w:rsid w:val="283C4A7E"/>
    <w:rsid w:val="288907A6"/>
    <w:rsid w:val="28CA1A10"/>
    <w:rsid w:val="29C61657"/>
    <w:rsid w:val="2A345C86"/>
    <w:rsid w:val="2A5A3660"/>
    <w:rsid w:val="2B4245E2"/>
    <w:rsid w:val="2B523F7B"/>
    <w:rsid w:val="2B5D1624"/>
    <w:rsid w:val="2B6000CC"/>
    <w:rsid w:val="2B632EAB"/>
    <w:rsid w:val="2B681C98"/>
    <w:rsid w:val="2B922B04"/>
    <w:rsid w:val="2BAE3978"/>
    <w:rsid w:val="2BE462E1"/>
    <w:rsid w:val="2C346690"/>
    <w:rsid w:val="2C4A6441"/>
    <w:rsid w:val="2C4E1266"/>
    <w:rsid w:val="2CA767AA"/>
    <w:rsid w:val="2CCB6B2B"/>
    <w:rsid w:val="2D182707"/>
    <w:rsid w:val="2D491DDB"/>
    <w:rsid w:val="2DC92702"/>
    <w:rsid w:val="2DD31888"/>
    <w:rsid w:val="2E1917DA"/>
    <w:rsid w:val="2E8A61EA"/>
    <w:rsid w:val="2EA17ABC"/>
    <w:rsid w:val="2EB26018"/>
    <w:rsid w:val="2FF05409"/>
    <w:rsid w:val="30A646EA"/>
    <w:rsid w:val="324D5587"/>
    <w:rsid w:val="32512D89"/>
    <w:rsid w:val="32682D0C"/>
    <w:rsid w:val="32694E90"/>
    <w:rsid w:val="32731CD6"/>
    <w:rsid w:val="32775A24"/>
    <w:rsid w:val="331E4D98"/>
    <w:rsid w:val="33813E9E"/>
    <w:rsid w:val="33892C8D"/>
    <w:rsid w:val="33F36760"/>
    <w:rsid w:val="3430506A"/>
    <w:rsid w:val="35635726"/>
    <w:rsid w:val="3580142E"/>
    <w:rsid w:val="35DF4B65"/>
    <w:rsid w:val="3656650F"/>
    <w:rsid w:val="36FA7376"/>
    <w:rsid w:val="370A0FC4"/>
    <w:rsid w:val="37572E43"/>
    <w:rsid w:val="378F05CC"/>
    <w:rsid w:val="37CE79A6"/>
    <w:rsid w:val="38BE3AB5"/>
    <w:rsid w:val="39910A26"/>
    <w:rsid w:val="39976198"/>
    <w:rsid w:val="39A12BD4"/>
    <w:rsid w:val="3A362388"/>
    <w:rsid w:val="3B4C2C1E"/>
    <w:rsid w:val="3B8413BF"/>
    <w:rsid w:val="3BB34848"/>
    <w:rsid w:val="3BB9546F"/>
    <w:rsid w:val="3BD5796D"/>
    <w:rsid w:val="3BE711D3"/>
    <w:rsid w:val="3CBA5E5F"/>
    <w:rsid w:val="3E044C1F"/>
    <w:rsid w:val="3E58251F"/>
    <w:rsid w:val="3E6726BA"/>
    <w:rsid w:val="3EE1355C"/>
    <w:rsid w:val="3F10443E"/>
    <w:rsid w:val="3F417A52"/>
    <w:rsid w:val="3F7D0E33"/>
    <w:rsid w:val="3F8421AE"/>
    <w:rsid w:val="3FB54873"/>
    <w:rsid w:val="3FC617C5"/>
    <w:rsid w:val="3FCB0876"/>
    <w:rsid w:val="40556DE6"/>
    <w:rsid w:val="406C6638"/>
    <w:rsid w:val="406E709E"/>
    <w:rsid w:val="40777B92"/>
    <w:rsid w:val="40BF0917"/>
    <w:rsid w:val="40C45993"/>
    <w:rsid w:val="40F3152F"/>
    <w:rsid w:val="41225560"/>
    <w:rsid w:val="42804D8E"/>
    <w:rsid w:val="42CC0386"/>
    <w:rsid w:val="438E58F6"/>
    <w:rsid w:val="43C42605"/>
    <w:rsid w:val="43F07C72"/>
    <w:rsid w:val="445C53F2"/>
    <w:rsid w:val="4593720A"/>
    <w:rsid w:val="460F3806"/>
    <w:rsid w:val="47BB76D7"/>
    <w:rsid w:val="48134DED"/>
    <w:rsid w:val="483B1EEF"/>
    <w:rsid w:val="489A7FD5"/>
    <w:rsid w:val="48A278E6"/>
    <w:rsid w:val="495A79E6"/>
    <w:rsid w:val="4A247E6F"/>
    <w:rsid w:val="4A9F3F1D"/>
    <w:rsid w:val="4B127815"/>
    <w:rsid w:val="4B5630AD"/>
    <w:rsid w:val="4B7A66C0"/>
    <w:rsid w:val="4B7C4243"/>
    <w:rsid w:val="4B827B05"/>
    <w:rsid w:val="4BF35923"/>
    <w:rsid w:val="4BF50302"/>
    <w:rsid w:val="4C9269C0"/>
    <w:rsid w:val="4C927204"/>
    <w:rsid w:val="4D277102"/>
    <w:rsid w:val="4D484F73"/>
    <w:rsid w:val="4E1B0F0B"/>
    <w:rsid w:val="4E2F084D"/>
    <w:rsid w:val="4F0F3B81"/>
    <w:rsid w:val="4F215808"/>
    <w:rsid w:val="4F4C5BE2"/>
    <w:rsid w:val="4FB118B6"/>
    <w:rsid w:val="4FF43B1B"/>
    <w:rsid w:val="5052741B"/>
    <w:rsid w:val="509F4D69"/>
    <w:rsid w:val="50C45C9F"/>
    <w:rsid w:val="50DD4A1B"/>
    <w:rsid w:val="50E136ED"/>
    <w:rsid w:val="516D1A78"/>
    <w:rsid w:val="526E04D2"/>
    <w:rsid w:val="53DE10F0"/>
    <w:rsid w:val="54045A52"/>
    <w:rsid w:val="540F0C19"/>
    <w:rsid w:val="54C1044C"/>
    <w:rsid w:val="55002611"/>
    <w:rsid w:val="55485957"/>
    <w:rsid w:val="55E326FC"/>
    <w:rsid w:val="56FF0DF0"/>
    <w:rsid w:val="5769557E"/>
    <w:rsid w:val="57C60F2F"/>
    <w:rsid w:val="57E26372"/>
    <w:rsid w:val="580E6942"/>
    <w:rsid w:val="58673403"/>
    <w:rsid w:val="58C537EF"/>
    <w:rsid w:val="593024AB"/>
    <w:rsid w:val="59415E9B"/>
    <w:rsid w:val="59424CE9"/>
    <w:rsid w:val="59902840"/>
    <w:rsid w:val="599A650F"/>
    <w:rsid w:val="59AF5B61"/>
    <w:rsid w:val="59DF5B7A"/>
    <w:rsid w:val="59F87CD8"/>
    <w:rsid w:val="5A2C6105"/>
    <w:rsid w:val="5A34334B"/>
    <w:rsid w:val="5B1D7460"/>
    <w:rsid w:val="5B2A0337"/>
    <w:rsid w:val="5B642639"/>
    <w:rsid w:val="5B6A77F9"/>
    <w:rsid w:val="5BDF37E9"/>
    <w:rsid w:val="5C2D0262"/>
    <w:rsid w:val="5C762DCF"/>
    <w:rsid w:val="5CAC52EF"/>
    <w:rsid w:val="5F261340"/>
    <w:rsid w:val="5F2D49B9"/>
    <w:rsid w:val="5F8058CC"/>
    <w:rsid w:val="5FAE1BC2"/>
    <w:rsid w:val="601F5250"/>
    <w:rsid w:val="60BE3465"/>
    <w:rsid w:val="60D9005E"/>
    <w:rsid w:val="61E77CC4"/>
    <w:rsid w:val="621E73E8"/>
    <w:rsid w:val="637F0BA8"/>
    <w:rsid w:val="63803851"/>
    <w:rsid w:val="652B7EA7"/>
    <w:rsid w:val="6532474B"/>
    <w:rsid w:val="65786E09"/>
    <w:rsid w:val="65F857D9"/>
    <w:rsid w:val="66886EC5"/>
    <w:rsid w:val="66BC7DAA"/>
    <w:rsid w:val="67027120"/>
    <w:rsid w:val="67203E7E"/>
    <w:rsid w:val="6768062B"/>
    <w:rsid w:val="677127C1"/>
    <w:rsid w:val="67725750"/>
    <w:rsid w:val="684A0392"/>
    <w:rsid w:val="690F65F7"/>
    <w:rsid w:val="695A0F71"/>
    <w:rsid w:val="69A41D14"/>
    <w:rsid w:val="69B1071B"/>
    <w:rsid w:val="69D135A2"/>
    <w:rsid w:val="69D323B0"/>
    <w:rsid w:val="6A13470D"/>
    <w:rsid w:val="6ADA56F2"/>
    <w:rsid w:val="6B1049E6"/>
    <w:rsid w:val="6B4F6F38"/>
    <w:rsid w:val="6C1272C3"/>
    <w:rsid w:val="6C256A98"/>
    <w:rsid w:val="6CCE6F24"/>
    <w:rsid w:val="6D1E7091"/>
    <w:rsid w:val="6D792176"/>
    <w:rsid w:val="6FD62D33"/>
    <w:rsid w:val="706D1AEA"/>
    <w:rsid w:val="70E757ED"/>
    <w:rsid w:val="7149663D"/>
    <w:rsid w:val="7185061A"/>
    <w:rsid w:val="71B27601"/>
    <w:rsid w:val="71E03A23"/>
    <w:rsid w:val="72022968"/>
    <w:rsid w:val="72723DE4"/>
    <w:rsid w:val="737845C2"/>
    <w:rsid w:val="73CC6E15"/>
    <w:rsid w:val="7449178E"/>
    <w:rsid w:val="74565032"/>
    <w:rsid w:val="748A653F"/>
    <w:rsid w:val="75055981"/>
    <w:rsid w:val="7512469D"/>
    <w:rsid w:val="75A2496A"/>
    <w:rsid w:val="75EC6815"/>
    <w:rsid w:val="76020CB6"/>
    <w:rsid w:val="761D4566"/>
    <w:rsid w:val="76D6726C"/>
    <w:rsid w:val="771D1501"/>
    <w:rsid w:val="77273A3A"/>
    <w:rsid w:val="776B6219"/>
    <w:rsid w:val="785314BB"/>
    <w:rsid w:val="79282C45"/>
    <w:rsid w:val="7A0A6A19"/>
    <w:rsid w:val="7A55491C"/>
    <w:rsid w:val="7A7A56FF"/>
    <w:rsid w:val="7ABF0D5F"/>
    <w:rsid w:val="7B064DB2"/>
    <w:rsid w:val="7B53343A"/>
    <w:rsid w:val="7BA66078"/>
    <w:rsid w:val="7C5D45C0"/>
    <w:rsid w:val="7CD12566"/>
    <w:rsid w:val="7D6069DC"/>
    <w:rsid w:val="7E393ACA"/>
    <w:rsid w:val="7E4C752B"/>
    <w:rsid w:val="7E5D6366"/>
    <w:rsid w:val="7E863630"/>
    <w:rsid w:val="7EB9354E"/>
    <w:rsid w:val="7F3B586A"/>
    <w:rsid w:val="7FAB6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2"/>
    <w:qFormat/>
    <w:uiPriority w:val="0"/>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3"/>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24"/>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widowControl w:val="0"/>
    </w:pPr>
    <w:rPr>
      <w:rFonts w:asciiTheme="minorHAnsi" w:hAnsiTheme="minorHAnsi" w:eastAsiaTheme="minorEastAsia" w:cstheme="minorBidi"/>
      <w:kern w:val="2"/>
      <w:sz w:val="21"/>
      <w:szCs w:val="22"/>
    </w:rPr>
  </w:style>
  <w:style w:type="paragraph" w:styleId="6">
    <w:name w:val="Body Text"/>
    <w:basedOn w:val="1"/>
    <w:link w:val="26"/>
    <w:semiHidden/>
    <w:unhideWhenUsed/>
    <w:qFormat/>
    <w:uiPriority w:val="99"/>
    <w:pPr>
      <w:widowControl w:val="0"/>
      <w:spacing w:after="120"/>
      <w:jc w:val="both"/>
    </w:pPr>
    <w:rPr>
      <w:rFonts w:asciiTheme="minorHAnsi" w:hAnsiTheme="minorHAnsi" w:eastAsiaTheme="minorEastAsia" w:cstheme="minorBidi"/>
      <w:kern w:val="2"/>
      <w:sz w:val="21"/>
      <w:szCs w:val="22"/>
    </w:rPr>
  </w:style>
  <w:style w:type="paragraph" w:styleId="7">
    <w:name w:val="toc 3"/>
    <w:basedOn w:val="1"/>
    <w:next w:val="1"/>
    <w:unhideWhenUsed/>
    <w:qFormat/>
    <w:uiPriority w:val="39"/>
    <w:pPr>
      <w:spacing w:after="100" w:line="259" w:lineRule="auto"/>
      <w:ind w:left="440"/>
    </w:pPr>
    <w:rPr>
      <w:rFonts w:cs="Times New Roman" w:asciiTheme="minorHAnsi" w:hAnsiTheme="minorHAnsi" w:eastAsiaTheme="minorEastAsia"/>
      <w:sz w:val="22"/>
      <w:szCs w:val="22"/>
    </w:rPr>
  </w:style>
  <w:style w:type="paragraph" w:styleId="8">
    <w:name w:val="Balloon Text"/>
    <w:basedOn w:val="1"/>
    <w:link w:val="27"/>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9">
    <w:name w:val="footer"/>
    <w:basedOn w:val="1"/>
    <w:link w:val="2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0">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1">
    <w:name w:val="toc 1"/>
    <w:basedOn w:val="1"/>
    <w:next w:val="1"/>
    <w:unhideWhenUsed/>
    <w:qFormat/>
    <w:uiPriority w:val="39"/>
    <w:pPr>
      <w:tabs>
        <w:tab w:val="right" w:leader="dot" w:pos="8222"/>
      </w:tabs>
      <w:spacing w:before="100" w:beforeAutospacing="1" w:after="100" w:afterAutospacing="1" w:line="240" w:lineRule="exact"/>
      <w:jc w:val="center"/>
    </w:pPr>
    <w:rPr>
      <w:rFonts w:cs="Times New Roman" w:asciiTheme="minorHAnsi" w:hAnsiTheme="minorHAnsi" w:eastAsiaTheme="minorEastAsia"/>
      <w:sz w:val="22"/>
      <w:szCs w:val="22"/>
    </w:rPr>
  </w:style>
  <w:style w:type="paragraph" w:styleId="12">
    <w:name w:val="Body Text Indent 3"/>
    <w:basedOn w:val="1"/>
    <w:link w:val="30"/>
    <w:unhideWhenUsed/>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13">
    <w:name w:val="toc 2"/>
    <w:basedOn w:val="1"/>
    <w:next w:val="1"/>
    <w:unhideWhenUsed/>
    <w:qFormat/>
    <w:uiPriority w:val="39"/>
    <w:pPr>
      <w:tabs>
        <w:tab w:val="right" w:leader="dot" w:pos="8364"/>
      </w:tabs>
      <w:spacing w:before="100" w:beforeAutospacing="1" w:after="100" w:afterAutospacing="1" w:line="360" w:lineRule="auto"/>
      <w:ind w:left="221" w:right="-58" w:rightChars="-24"/>
      <w:jc w:val="center"/>
    </w:pPr>
    <w:rPr>
      <w:rFonts w:cs="Times New Roman" w:asciiTheme="minorHAnsi" w:hAnsiTheme="minorHAnsi" w:eastAsiaTheme="minorEastAsia"/>
      <w:sz w:val="22"/>
      <w:szCs w:val="22"/>
    </w:rPr>
  </w:style>
  <w:style w:type="paragraph" w:styleId="14">
    <w:name w:val="Normal (Web)"/>
    <w:basedOn w:val="1"/>
    <w:qFormat/>
    <w:uiPriority w:val="99"/>
    <w:rPr>
      <w:rFonts w:ascii="Times New Roman" w:hAnsi="Times New Roman" w:cs="Times New Roman"/>
    </w:rPr>
  </w:style>
  <w:style w:type="paragraph" w:styleId="15">
    <w:name w:val="annotation subject"/>
    <w:basedOn w:val="5"/>
    <w:next w:val="5"/>
    <w:link w:val="31"/>
    <w:semiHidden/>
    <w:unhideWhenUsed/>
    <w:qFormat/>
    <w:uiPriority w:val="99"/>
    <w:rPr>
      <w:b/>
      <w:bCs/>
    </w:rPr>
  </w:style>
  <w:style w:type="paragraph" w:styleId="16">
    <w:name w:val="Body Text First Indent"/>
    <w:basedOn w:val="6"/>
    <w:link w:val="32"/>
    <w:qFormat/>
    <w:uiPriority w:val="0"/>
    <w:pPr>
      <w:ind w:firstLine="420" w:firstLineChars="100"/>
    </w:pPr>
    <w:rPr>
      <w:rFonts w:ascii="Times New Roman" w:hAnsi="Times New Roman" w:eastAsia="宋体" w:cs="Times New Roman"/>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标题 1 Char"/>
    <w:basedOn w:val="19"/>
    <w:link w:val="2"/>
    <w:qFormat/>
    <w:uiPriority w:val="9"/>
    <w:rPr>
      <w:b/>
      <w:bCs/>
      <w:kern w:val="44"/>
      <w:sz w:val="44"/>
      <w:szCs w:val="44"/>
    </w:rPr>
  </w:style>
  <w:style w:type="character" w:customStyle="1" w:styleId="23">
    <w:name w:val="标题 2 Char"/>
    <w:basedOn w:val="19"/>
    <w:link w:val="3"/>
    <w:qFormat/>
    <w:uiPriority w:val="9"/>
    <w:rPr>
      <w:rFonts w:asciiTheme="majorHAnsi" w:hAnsiTheme="majorHAnsi" w:eastAsiaTheme="majorEastAsia" w:cstheme="majorBidi"/>
      <w:b/>
      <w:bCs/>
      <w:sz w:val="32"/>
      <w:szCs w:val="32"/>
    </w:rPr>
  </w:style>
  <w:style w:type="character" w:customStyle="1" w:styleId="24">
    <w:name w:val="标题 3 Char"/>
    <w:basedOn w:val="19"/>
    <w:link w:val="4"/>
    <w:qFormat/>
    <w:uiPriority w:val="9"/>
    <w:rPr>
      <w:b/>
      <w:bCs/>
      <w:sz w:val="32"/>
      <w:szCs w:val="32"/>
    </w:rPr>
  </w:style>
  <w:style w:type="character" w:customStyle="1" w:styleId="25">
    <w:name w:val="批注文字 Char"/>
    <w:basedOn w:val="19"/>
    <w:link w:val="5"/>
    <w:semiHidden/>
    <w:qFormat/>
    <w:uiPriority w:val="99"/>
  </w:style>
  <w:style w:type="character" w:customStyle="1" w:styleId="26">
    <w:name w:val="正文文本 Char"/>
    <w:basedOn w:val="19"/>
    <w:link w:val="6"/>
    <w:semiHidden/>
    <w:qFormat/>
    <w:uiPriority w:val="99"/>
  </w:style>
  <w:style w:type="character" w:customStyle="1" w:styleId="27">
    <w:name w:val="批注框文本 Char"/>
    <w:basedOn w:val="19"/>
    <w:link w:val="8"/>
    <w:semiHidden/>
    <w:qFormat/>
    <w:uiPriority w:val="99"/>
    <w:rPr>
      <w:sz w:val="18"/>
      <w:szCs w:val="18"/>
    </w:rPr>
  </w:style>
  <w:style w:type="character" w:customStyle="1" w:styleId="28">
    <w:name w:val="页脚 Char"/>
    <w:basedOn w:val="19"/>
    <w:link w:val="9"/>
    <w:qFormat/>
    <w:uiPriority w:val="99"/>
    <w:rPr>
      <w:sz w:val="18"/>
      <w:szCs w:val="18"/>
    </w:rPr>
  </w:style>
  <w:style w:type="character" w:customStyle="1" w:styleId="29">
    <w:name w:val="页眉 Char"/>
    <w:basedOn w:val="19"/>
    <w:link w:val="10"/>
    <w:qFormat/>
    <w:uiPriority w:val="99"/>
    <w:rPr>
      <w:sz w:val="18"/>
      <w:szCs w:val="18"/>
    </w:rPr>
  </w:style>
  <w:style w:type="character" w:customStyle="1" w:styleId="30">
    <w:name w:val="正文文本缩进 3 Char"/>
    <w:basedOn w:val="19"/>
    <w:link w:val="12"/>
    <w:qFormat/>
    <w:uiPriority w:val="99"/>
    <w:rPr>
      <w:sz w:val="16"/>
      <w:szCs w:val="16"/>
    </w:rPr>
  </w:style>
  <w:style w:type="character" w:customStyle="1" w:styleId="31">
    <w:name w:val="批注主题 Char"/>
    <w:basedOn w:val="25"/>
    <w:link w:val="15"/>
    <w:semiHidden/>
    <w:qFormat/>
    <w:uiPriority w:val="99"/>
    <w:rPr>
      <w:b/>
      <w:bCs/>
    </w:rPr>
  </w:style>
  <w:style w:type="character" w:customStyle="1" w:styleId="32">
    <w:name w:val="正文首行缩进 Char"/>
    <w:basedOn w:val="26"/>
    <w:link w:val="16"/>
    <w:qFormat/>
    <w:uiPriority w:val="0"/>
    <w:rPr>
      <w:rFonts w:ascii="Times New Roman" w:hAnsi="Times New Roman" w:eastAsia="宋体" w:cs="Times New Roman"/>
      <w:szCs w:val="24"/>
    </w:rPr>
  </w:style>
  <w:style w:type="paragraph" w:customStyle="1" w:styleId="3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p1"/>
    <w:basedOn w:val="1"/>
    <w:qFormat/>
    <w:uiPriority w:val="0"/>
    <w:pPr>
      <w:spacing w:line="380" w:lineRule="atLeast"/>
    </w:pPr>
    <w:rPr>
      <w:rFonts w:ascii="Helvetica Neue" w:hAnsi="Helvetica Neue" w:eastAsia="Helvetica Neue" w:cs="Times New Roman"/>
      <w:color w:val="000000"/>
      <w:sz w:val="26"/>
      <w:szCs w:val="26"/>
    </w:rPr>
  </w:style>
  <w:style w:type="character" w:customStyle="1" w:styleId="36">
    <w:name w:val="标题 1 字符1"/>
    <w:qFormat/>
    <w:uiPriority w:val="9"/>
    <w:rPr>
      <w:rFonts w:ascii="Times New Roman" w:hAnsi="Times New Roman" w:eastAsia="仿宋_GB2312"/>
      <w:b/>
      <w:kern w:val="44"/>
      <w:sz w:val="32"/>
      <w:szCs w:val="22"/>
    </w:rPr>
  </w:style>
  <w:style w:type="paragraph" w:styleId="3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38">
    <w:name w:val="NormalCharacter"/>
    <w:semiHidden/>
    <w:qFormat/>
    <w:uiPriority w:val="0"/>
  </w:style>
  <w:style w:type="paragraph" w:customStyle="1" w:styleId="39">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66CCF8-A772-4B1F-9AD0-C915F0BE388E}">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3710</Words>
  <Characters>21153</Characters>
  <Lines>176</Lines>
  <Paragraphs>49</Paragraphs>
  <TotalTime>1</TotalTime>
  <ScaleCrop>false</ScaleCrop>
  <LinksUpToDate>false</LinksUpToDate>
  <CharactersWithSpaces>24814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2021-04-05T14:00:00Z</dcterms:created>
  <dc:creator>* 龙胆</dc:creator>
  <cp:lastModifiedBy>郭胜霖</cp:lastModifiedBy>
  <dcterms:modified xsi:type="dcterms:W3CDTF">2021-05-07T01:27:53Z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7B02B80D9C344870B06D747C3377D10F</vt:lpwstr>
  </property>
</Properties>
</file>