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828E3" w14:textId="77777777" w:rsidR="00CC4C43" w:rsidRDefault="007731E0">
      <w:pPr>
        <w:adjustRightInd w:val="0"/>
        <w:snapToGrid w:val="0"/>
        <w:spacing w:afterLines="20" w:after="62" w:line="288" w:lineRule="auto"/>
        <w:jc w:val="right"/>
        <w:rPr>
          <w:rFonts w:ascii="Times New Roman" w:eastAsia="楷体_GB2312" w:hAnsi="Times New Roman"/>
        </w:rPr>
      </w:pPr>
      <w:r>
        <w:rPr>
          <w:rFonts w:ascii="Times New Roman" w:eastAsia="楷体_GB2312" w:hAnsi="Times New Roman" w:hint="eastAsia"/>
        </w:rPr>
        <w:t>合同</w:t>
      </w:r>
      <w:r>
        <w:rPr>
          <w:rFonts w:ascii="Times New Roman" w:eastAsia="楷体_GB2312" w:hAnsi="Times New Roman"/>
        </w:rPr>
        <w:t>编号</w:t>
      </w:r>
      <w:r>
        <w:rPr>
          <w:rFonts w:ascii="Times New Roman" w:eastAsia="楷体_GB2312" w:hAnsi="Times New Roman" w:hint="eastAsia"/>
        </w:rPr>
        <w:t>：</w:t>
      </w:r>
      <w:r>
        <w:rPr>
          <w:rFonts w:ascii="Times New Roman" w:eastAsia="楷体_GB2312" w:hAnsi="Times New Roman"/>
        </w:rPr>
        <w:t>2021Z0482-</w:t>
      </w:r>
      <w:r>
        <w:rPr>
          <w:rFonts w:ascii="Times New Roman" w:eastAsia="楷体_GB2312" w:hAnsi="Times New Roman" w:hint="eastAsia"/>
        </w:rPr>
        <w:t>监管</w:t>
      </w:r>
      <w:r>
        <w:rPr>
          <w:rFonts w:ascii="Times New Roman" w:eastAsia="楷体_GB2312" w:hAnsi="Times New Roman" w:hint="eastAsia"/>
        </w:rPr>
        <w:t>0</w:t>
      </w:r>
      <w:r>
        <w:rPr>
          <w:rFonts w:ascii="Times New Roman" w:eastAsia="楷体_GB2312" w:hAnsi="Times New Roman"/>
        </w:rPr>
        <w:t>01</w:t>
      </w:r>
    </w:p>
    <w:p w14:paraId="2D5550CD" w14:textId="77777777" w:rsidR="00CC4C43" w:rsidRDefault="007731E0">
      <w:pPr>
        <w:adjustRightInd w:val="0"/>
        <w:snapToGrid w:val="0"/>
        <w:spacing w:afterLines="20" w:after="62" w:line="288" w:lineRule="auto"/>
        <w:jc w:val="center"/>
        <w:rPr>
          <w:rFonts w:ascii="Times New Roman" w:eastAsia="楷体_GB2312" w:hAnsi="Times New Roman"/>
          <w:b/>
          <w:w w:val="105"/>
          <w:kern w:val="0"/>
          <w:sz w:val="36"/>
          <w:szCs w:val="36"/>
        </w:rPr>
      </w:pPr>
      <w:r>
        <w:rPr>
          <w:rFonts w:ascii="Times New Roman" w:eastAsia="楷体_GB2312" w:hAnsi="Times New Roman"/>
          <w:b/>
          <w:w w:val="105"/>
          <w:kern w:val="0"/>
          <w:sz w:val="36"/>
          <w:szCs w:val="36"/>
        </w:rPr>
        <w:t>监管合同</w:t>
      </w:r>
    </w:p>
    <w:p w14:paraId="3D099520" w14:textId="77777777" w:rsidR="00CC4C43" w:rsidRDefault="00CC4C43">
      <w:pPr>
        <w:spacing w:afterLines="20" w:after="62" w:line="288" w:lineRule="auto"/>
        <w:rPr>
          <w:rFonts w:ascii="Times New Roman" w:eastAsia="楷体_GB2312" w:hAnsi="Times New Roman"/>
        </w:rPr>
      </w:pPr>
    </w:p>
    <w:p w14:paraId="33AABF7F"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甲方</w:t>
      </w:r>
      <w:r>
        <w:rPr>
          <w:rFonts w:ascii="Times New Roman" w:eastAsia="楷体_GB2312" w:hAnsi="Times New Roman" w:hint="eastAsia"/>
          <w:sz w:val="24"/>
          <w:szCs w:val="24"/>
        </w:rPr>
        <w:t>/</w:t>
      </w:r>
      <w:r>
        <w:rPr>
          <w:rFonts w:ascii="Times New Roman" w:eastAsia="楷体_GB2312" w:hAnsi="Times New Roman" w:hint="eastAsia"/>
          <w:sz w:val="24"/>
          <w:szCs w:val="24"/>
        </w:rPr>
        <w:t>光大信托</w:t>
      </w:r>
      <w:r>
        <w:rPr>
          <w:rFonts w:ascii="Times New Roman" w:eastAsia="楷体_GB2312" w:hAnsi="Times New Roman" w:hint="eastAsia"/>
          <w:sz w:val="24"/>
          <w:szCs w:val="24"/>
        </w:rPr>
        <w:t>/</w:t>
      </w:r>
      <w:r>
        <w:rPr>
          <w:rFonts w:ascii="Times New Roman" w:eastAsia="楷体_GB2312" w:hAnsi="Times New Roman" w:hint="eastAsia"/>
          <w:sz w:val="24"/>
          <w:szCs w:val="24"/>
        </w:rPr>
        <w:t>委托公司</w:t>
      </w:r>
      <w:r>
        <w:rPr>
          <w:rFonts w:ascii="Times New Roman" w:eastAsia="楷体_GB2312" w:hAnsi="Times New Roman"/>
          <w:sz w:val="24"/>
          <w:szCs w:val="24"/>
        </w:rPr>
        <w:t>：光大兴</w:t>
      </w:r>
      <w:proofErr w:type="gramStart"/>
      <w:r>
        <w:rPr>
          <w:rFonts w:ascii="Times New Roman" w:eastAsia="楷体_GB2312" w:hAnsi="Times New Roman"/>
          <w:sz w:val="24"/>
          <w:szCs w:val="24"/>
        </w:rPr>
        <w:t>陇</w:t>
      </w:r>
      <w:proofErr w:type="gramEnd"/>
      <w:r>
        <w:rPr>
          <w:rFonts w:ascii="Times New Roman" w:eastAsia="楷体_GB2312" w:hAnsi="Times New Roman"/>
          <w:sz w:val="24"/>
          <w:szCs w:val="24"/>
        </w:rPr>
        <w:t>信托有限责任公司</w:t>
      </w:r>
    </w:p>
    <w:p w14:paraId="388140EE"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注册地址：甘肃省兰州市城关区东岗西路</w:t>
      </w:r>
      <w:r>
        <w:rPr>
          <w:rFonts w:ascii="Times New Roman" w:eastAsia="楷体_GB2312" w:hAnsi="Times New Roman" w:hint="eastAsia"/>
          <w:sz w:val="24"/>
          <w:szCs w:val="24"/>
        </w:rPr>
        <w:t>555</w:t>
      </w:r>
      <w:r>
        <w:rPr>
          <w:rFonts w:ascii="Times New Roman" w:eastAsia="楷体_GB2312" w:hAnsi="Times New Roman" w:hint="eastAsia"/>
          <w:sz w:val="24"/>
          <w:szCs w:val="24"/>
        </w:rPr>
        <w:t>号</w:t>
      </w:r>
    </w:p>
    <w:p w14:paraId="51A4C37A" w14:textId="61B81544"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法定代表人：冯翔</w:t>
      </w:r>
    </w:p>
    <w:p w14:paraId="38EBF111"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联系地址：上海市黄浦区中山东二路</w:t>
      </w:r>
      <w:r>
        <w:rPr>
          <w:rFonts w:ascii="Times New Roman" w:eastAsia="楷体_GB2312" w:hAnsi="Times New Roman" w:hint="eastAsia"/>
          <w:sz w:val="24"/>
          <w:szCs w:val="24"/>
        </w:rPr>
        <w:t>558</w:t>
      </w:r>
      <w:r>
        <w:rPr>
          <w:rFonts w:ascii="Times New Roman" w:eastAsia="楷体_GB2312" w:hAnsi="Times New Roman" w:hint="eastAsia"/>
          <w:sz w:val="24"/>
          <w:szCs w:val="24"/>
        </w:rPr>
        <w:t>号外滩金融中心北区</w:t>
      </w:r>
      <w:r>
        <w:rPr>
          <w:rFonts w:ascii="Times New Roman" w:eastAsia="楷体_GB2312" w:hAnsi="Times New Roman" w:hint="eastAsia"/>
          <w:sz w:val="24"/>
          <w:szCs w:val="24"/>
        </w:rPr>
        <w:t>3</w:t>
      </w:r>
      <w:r>
        <w:rPr>
          <w:rFonts w:ascii="Times New Roman" w:eastAsia="楷体_GB2312" w:hAnsi="Times New Roman" w:hint="eastAsia"/>
          <w:sz w:val="24"/>
          <w:szCs w:val="24"/>
        </w:rPr>
        <w:t>号楼</w:t>
      </w:r>
      <w:r>
        <w:rPr>
          <w:rFonts w:ascii="Times New Roman" w:eastAsia="楷体_GB2312" w:hAnsi="Times New Roman" w:hint="eastAsia"/>
          <w:sz w:val="24"/>
          <w:szCs w:val="24"/>
        </w:rPr>
        <w:t xml:space="preserve"> </w:t>
      </w:r>
    </w:p>
    <w:p w14:paraId="4E8BF988" w14:textId="4EB64A4A"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w:t>
      </w:r>
      <w:bookmarkStart w:id="0" w:name="_GoBack"/>
      <w:bookmarkEnd w:id="0"/>
      <w:r>
        <w:rPr>
          <w:rFonts w:ascii="Times New Roman" w:eastAsia="楷体_GB2312" w:hAnsi="Times New Roman" w:hint="eastAsia"/>
          <w:sz w:val="24"/>
          <w:szCs w:val="24"/>
        </w:rPr>
        <w:t xml:space="preserve"> </w:t>
      </w:r>
    </w:p>
    <w:p w14:paraId="6AF0C6DF" w14:textId="5422606B"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Times New Roman" w:eastAsia="楷体_GB2312" w:hAnsi="Times New Roman" w:hint="eastAsia"/>
          <w:sz w:val="24"/>
          <w:szCs w:val="24"/>
        </w:rPr>
        <w:t xml:space="preserve"> </w:t>
      </w:r>
    </w:p>
    <w:p w14:paraId="320A4B81"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4FFF5C51"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乙方</w:t>
      </w:r>
      <w:r>
        <w:rPr>
          <w:rFonts w:ascii="Times New Roman" w:eastAsia="楷体_GB2312" w:hAnsi="Times New Roman" w:hint="eastAsia"/>
          <w:sz w:val="24"/>
          <w:szCs w:val="24"/>
        </w:rPr>
        <w:t>/</w:t>
      </w:r>
      <w:r>
        <w:rPr>
          <w:rFonts w:ascii="Times New Roman" w:eastAsia="楷体_GB2312" w:hAnsi="Times New Roman" w:hint="eastAsia"/>
          <w:sz w:val="24"/>
          <w:szCs w:val="24"/>
        </w:rPr>
        <w:t>合伙企业：</w:t>
      </w:r>
      <w:proofErr w:type="gramStart"/>
      <w:r>
        <w:rPr>
          <w:rFonts w:ascii="Times New Roman" w:eastAsia="楷体_GB2312" w:hAnsi="Times New Roman" w:hint="eastAsia"/>
          <w:sz w:val="24"/>
          <w:szCs w:val="24"/>
        </w:rPr>
        <w:t>合肥融畔企业管理</w:t>
      </w:r>
      <w:proofErr w:type="gramEnd"/>
      <w:r>
        <w:rPr>
          <w:rFonts w:ascii="Times New Roman" w:eastAsia="楷体_GB2312" w:hAnsi="Times New Roman" w:hint="eastAsia"/>
          <w:sz w:val="24"/>
          <w:szCs w:val="24"/>
        </w:rPr>
        <w:t>合伙企业（有限合伙）</w:t>
      </w:r>
    </w:p>
    <w:p w14:paraId="12858212"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w:t>
      </w:r>
      <w:r>
        <w:rPr>
          <w:rFonts w:ascii="Times New Roman" w:eastAsia="楷体_GB2312" w:hAnsi="Times New Roman" w:hint="eastAsia"/>
          <w:sz w:val="24"/>
          <w:szCs w:val="24"/>
        </w:rPr>
        <w:t xml:space="preserve"> </w:t>
      </w:r>
      <w:r>
        <w:rPr>
          <w:rFonts w:ascii="Times New Roman" w:eastAsia="楷体_GB2312" w:hAnsi="Times New Roman" w:hint="eastAsia"/>
          <w:sz w:val="24"/>
          <w:szCs w:val="24"/>
        </w:rPr>
        <w:t>安徽省合肥市</w:t>
      </w:r>
      <w:proofErr w:type="gramStart"/>
      <w:r>
        <w:rPr>
          <w:rFonts w:ascii="Times New Roman" w:eastAsia="楷体_GB2312" w:hAnsi="Times New Roman" w:hint="eastAsia"/>
          <w:sz w:val="24"/>
          <w:szCs w:val="24"/>
        </w:rPr>
        <w:t>蜀</w:t>
      </w:r>
      <w:proofErr w:type="gramEnd"/>
      <w:r>
        <w:rPr>
          <w:rFonts w:ascii="Times New Roman" w:eastAsia="楷体_GB2312" w:hAnsi="Times New Roman" w:hint="eastAsia"/>
          <w:sz w:val="24"/>
          <w:szCs w:val="24"/>
        </w:rPr>
        <w:t>山区绿洲东路华润大厦</w:t>
      </w:r>
      <w:r>
        <w:rPr>
          <w:rFonts w:ascii="Times New Roman" w:eastAsia="楷体_GB2312" w:hAnsi="Times New Roman" w:hint="eastAsia"/>
          <w:sz w:val="24"/>
          <w:szCs w:val="24"/>
        </w:rPr>
        <w:t>B</w:t>
      </w:r>
      <w:r>
        <w:rPr>
          <w:rFonts w:ascii="Times New Roman" w:eastAsia="楷体_GB2312" w:hAnsi="Times New Roman" w:hint="eastAsia"/>
          <w:sz w:val="24"/>
          <w:szCs w:val="24"/>
        </w:rPr>
        <w:t>座</w:t>
      </w:r>
      <w:r>
        <w:rPr>
          <w:rFonts w:ascii="Times New Roman" w:eastAsia="楷体_GB2312" w:hAnsi="Times New Roman" w:hint="eastAsia"/>
          <w:sz w:val="24"/>
          <w:szCs w:val="24"/>
        </w:rPr>
        <w:t>3009</w:t>
      </w:r>
    </w:p>
    <w:p w14:paraId="26DB9C92"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执行事务合伙人委派代表：郭文龙</w:t>
      </w:r>
      <w:r>
        <w:rPr>
          <w:rFonts w:ascii="Times New Roman" w:eastAsia="楷体_GB2312" w:hAnsi="Times New Roman" w:hint="eastAsia"/>
          <w:sz w:val="24"/>
          <w:szCs w:val="24"/>
        </w:rPr>
        <w:t xml:space="preserve"> </w:t>
      </w:r>
    </w:p>
    <w:p w14:paraId="52125113"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楷体" w:eastAsia="楷体" w:hAnsi="楷体" w:hint="eastAsia"/>
          <w:sz w:val="24"/>
        </w:rPr>
        <w:t>0551-63365822</w:t>
      </w:r>
    </w:p>
    <w:p w14:paraId="23BD1D0C"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2910125A" w14:textId="77777777" w:rsidR="00CC4C43" w:rsidRDefault="007731E0">
      <w:pPr>
        <w:adjustRightInd w:val="0"/>
        <w:snapToGrid w:val="0"/>
        <w:spacing w:afterLines="20" w:after="62" w:line="288" w:lineRule="auto"/>
        <w:rPr>
          <w:rFonts w:ascii="Times New Roman" w:eastAsia="楷体_GB2312" w:hAnsi="Times New Roman"/>
          <w:sz w:val="24"/>
          <w:szCs w:val="24"/>
        </w:rPr>
      </w:pPr>
      <w:bookmarkStart w:id="1" w:name="_Hlk62468345"/>
      <w:r>
        <w:rPr>
          <w:rFonts w:ascii="Times New Roman" w:eastAsia="楷体_GB2312" w:hAnsi="Times New Roman" w:hint="eastAsia"/>
          <w:sz w:val="24"/>
          <w:szCs w:val="24"/>
        </w:rPr>
        <w:t>丙方</w:t>
      </w:r>
      <w:r>
        <w:rPr>
          <w:rFonts w:ascii="Times New Roman" w:eastAsia="楷体_GB2312" w:hAnsi="Times New Roman" w:hint="eastAsia"/>
          <w:sz w:val="24"/>
          <w:szCs w:val="24"/>
        </w:rPr>
        <w:t>/</w:t>
      </w:r>
      <w:r>
        <w:rPr>
          <w:rFonts w:ascii="Times New Roman" w:eastAsia="楷体_GB2312" w:hAnsi="Times New Roman" w:hint="eastAsia"/>
          <w:sz w:val="24"/>
          <w:szCs w:val="24"/>
        </w:rPr>
        <w:t>合肥融沛：</w:t>
      </w:r>
      <w:proofErr w:type="gramStart"/>
      <w:r>
        <w:rPr>
          <w:rFonts w:ascii="Times New Roman" w:eastAsia="楷体_GB2312" w:hAnsi="Times New Roman" w:hint="eastAsia"/>
          <w:sz w:val="24"/>
          <w:szCs w:val="24"/>
        </w:rPr>
        <w:t>合肥融沛企业管理</w:t>
      </w:r>
      <w:proofErr w:type="gramEnd"/>
      <w:r>
        <w:rPr>
          <w:rFonts w:ascii="Times New Roman" w:eastAsia="楷体_GB2312" w:hAnsi="Times New Roman" w:hint="eastAsia"/>
          <w:sz w:val="24"/>
          <w:szCs w:val="24"/>
        </w:rPr>
        <w:t>有限公司</w:t>
      </w:r>
    </w:p>
    <w:bookmarkEnd w:id="1"/>
    <w:p w14:paraId="689CDAFD"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注册地址：安徽省合肥市</w:t>
      </w:r>
      <w:proofErr w:type="gramStart"/>
      <w:r>
        <w:rPr>
          <w:rFonts w:ascii="Times New Roman" w:eastAsia="楷体_GB2312" w:hAnsi="Times New Roman" w:hint="eastAsia"/>
          <w:sz w:val="24"/>
          <w:szCs w:val="24"/>
        </w:rPr>
        <w:t>蜀</w:t>
      </w:r>
      <w:proofErr w:type="gramEnd"/>
      <w:r>
        <w:rPr>
          <w:rFonts w:ascii="Times New Roman" w:eastAsia="楷体_GB2312" w:hAnsi="Times New Roman" w:hint="eastAsia"/>
          <w:sz w:val="24"/>
          <w:szCs w:val="24"/>
        </w:rPr>
        <w:t>山区华润大厦</w:t>
      </w:r>
      <w:r>
        <w:rPr>
          <w:rFonts w:ascii="Times New Roman" w:eastAsia="楷体_GB2312" w:hAnsi="Times New Roman" w:hint="eastAsia"/>
          <w:sz w:val="24"/>
          <w:szCs w:val="24"/>
        </w:rPr>
        <w:t>B</w:t>
      </w:r>
      <w:r>
        <w:rPr>
          <w:rFonts w:ascii="Times New Roman" w:eastAsia="楷体_GB2312" w:hAnsi="Times New Roman" w:hint="eastAsia"/>
          <w:sz w:val="24"/>
          <w:szCs w:val="24"/>
        </w:rPr>
        <w:t>座</w:t>
      </w:r>
      <w:r>
        <w:rPr>
          <w:rFonts w:ascii="Times New Roman" w:eastAsia="楷体_GB2312" w:hAnsi="Times New Roman" w:hint="eastAsia"/>
          <w:sz w:val="24"/>
          <w:szCs w:val="24"/>
        </w:rPr>
        <w:t>3007</w:t>
      </w:r>
      <w:r>
        <w:rPr>
          <w:rFonts w:ascii="Times New Roman" w:eastAsia="楷体_GB2312" w:hAnsi="Times New Roman" w:hint="eastAsia"/>
          <w:sz w:val="24"/>
          <w:szCs w:val="24"/>
        </w:rPr>
        <w:t>室</w:t>
      </w:r>
    </w:p>
    <w:p w14:paraId="648A0302"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法定代表人：朱瑶</w:t>
      </w:r>
      <w:proofErr w:type="gramStart"/>
      <w:r>
        <w:rPr>
          <w:rFonts w:ascii="Times New Roman" w:eastAsia="楷体_GB2312" w:hAnsi="Times New Roman" w:hint="eastAsia"/>
          <w:sz w:val="24"/>
          <w:szCs w:val="24"/>
        </w:rPr>
        <w:t>瑶</w:t>
      </w:r>
      <w:proofErr w:type="gramEnd"/>
      <w:r>
        <w:rPr>
          <w:rFonts w:ascii="Times New Roman" w:eastAsia="楷体_GB2312" w:hAnsi="Times New Roman" w:hint="eastAsia"/>
          <w:sz w:val="24"/>
          <w:szCs w:val="24"/>
        </w:rPr>
        <w:t xml:space="preserve"> </w:t>
      </w:r>
    </w:p>
    <w:p w14:paraId="1DA26189"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w:t>
      </w:r>
      <w:r>
        <w:rPr>
          <w:rFonts w:ascii="楷体" w:eastAsia="楷体" w:hAnsi="楷体" w:hint="eastAsia"/>
          <w:sz w:val="24"/>
        </w:rPr>
        <w:t>安徽省合肥市</w:t>
      </w:r>
      <w:proofErr w:type="gramStart"/>
      <w:r>
        <w:rPr>
          <w:rFonts w:ascii="楷体" w:eastAsia="楷体" w:hAnsi="楷体" w:hint="eastAsia"/>
          <w:sz w:val="24"/>
        </w:rPr>
        <w:t>蜀</w:t>
      </w:r>
      <w:proofErr w:type="gramEnd"/>
      <w:r>
        <w:rPr>
          <w:rFonts w:ascii="楷体" w:eastAsia="楷体" w:hAnsi="楷体" w:hint="eastAsia"/>
          <w:sz w:val="24"/>
        </w:rPr>
        <w:t>山区绿洲东路华润大厦B座30层</w:t>
      </w:r>
    </w:p>
    <w:p w14:paraId="79847745"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w:t>
      </w:r>
      <w:r>
        <w:rPr>
          <w:rFonts w:ascii="Times New Roman" w:eastAsia="楷体_GB2312" w:hAnsi="Times New Roman" w:hint="eastAsia"/>
          <w:sz w:val="24"/>
          <w:szCs w:val="24"/>
        </w:rPr>
        <w:t xml:space="preserve"> </w:t>
      </w:r>
      <w:r>
        <w:rPr>
          <w:rFonts w:ascii="楷体" w:eastAsia="楷体" w:hAnsi="楷体" w:hint="eastAsia"/>
          <w:sz w:val="24"/>
        </w:rPr>
        <w:t>曹平</w:t>
      </w:r>
    </w:p>
    <w:p w14:paraId="69E07C3D"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楷体" w:eastAsia="楷体" w:hAnsi="楷体" w:hint="eastAsia"/>
          <w:sz w:val="24"/>
        </w:rPr>
        <w:t>0551-63365822</w:t>
      </w:r>
    </w:p>
    <w:p w14:paraId="640B18D5"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18C49A11" w14:textId="77777777" w:rsidR="00CC4C43" w:rsidRDefault="007731E0">
      <w:pPr>
        <w:adjustRightInd w:val="0"/>
        <w:snapToGrid w:val="0"/>
        <w:spacing w:afterLines="20" w:after="62" w:line="288" w:lineRule="auto"/>
        <w:rPr>
          <w:rFonts w:ascii="Times New Roman" w:eastAsia="楷体_GB2312" w:hAnsi="Times New Roman"/>
          <w:sz w:val="24"/>
          <w:szCs w:val="24"/>
        </w:rPr>
      </w:pPr>
      <w:bookmarkStart w:id="2" w:name="_Hlk62468350"/>
      <w:r>
        <w:rPr>
          <w:rFonts w:ascii="Times New Roman" w:eastAsia="楷体_GB2312" w:hAnsi="Times New Roman" w:hint="eastAsia"/>
          <w:sz w:val="24"/>
          <w:szCs w:val="24"/>
        </w:rPr>
        <w:t>丁方</w:t>
      </w:r>
      <w:r>
        <w:rPr>
          <w:rFonts w:ascii="Times New Roman" w:eastAsia="楷体_GB2312" w:hAnsi="Times New Roman" w:hint="eastAsia"/>
          <w:sz w:val="24"/>
          <w:szCs w:val="24"/>
        </w:rPr>
        <w:t>/</w:t>
      </w:r>
      <w:r>
        <w:rPr>
          <w:rFonts w:ascii="Times New Roman" w:eastAsia="楷体_GB2312" w:hAnsi="Times New Roman" w:hint="eastAsia"/>
          <w:sz w:val="24"/>
          <w:szCs w:val="24"/>
        </w:rPr>
        <w:t>合肥赛越：合肥赛越企业管理有限公司</w:t>
      </w:r>
    </w:p>
    <w:bookmarkEnd w:id="2"/>
    <w:p w14:paraId="49574D3A"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注册地址：安徽省合肥市</w:t>
      </w:r>
      <w:proofErr w:type="gramStart"/>
      <w:r>
        <w:rPr>
          <w:rFonts w:ascii="Times New Roman" w:eastAsia="楷体_GB2312" w:hAnsi="Times New Roman" w:hint="eastAsia"/>
          <w:sz w:val="24"/>
          <w:szCs w:val="24"/>
        </w:rPr>
        <w:t>蜀</w:t>
      </w:r>
      <w:proofErr w:type="gramEnd"/>
      <w:r>
        <w:rPr>
          <w:rFonts w:ascii="Times New Roman" w:eastAsia="楷体_GB2312" w:hAnsi="Times New Roman" w:hint="eastAsia"/>
          <w:sz w:val="24"/>
          <w:szCs w:val="24"/>
        </w:rPr>
        <w:t>山区绿洲东路华润大厦</w:t>
      </w:r>
      <w:r>
        <w:rPr>
          <w:rFonts w:ascii="Times New Roman" w:eastAsia="楷体_GB2312" w:hAnsi="Times New Roman" w:hint="eastAsia"/>
          <w:sz w:val="24"/>
          <w:szCs w:val="24"/>
        </w:rPr>
        <w:t>B</w:t>
      </w:r>
      <w:r>
        <w:rPr>
          <w:rFonts w:ascii="Times New Roman" w:eastAsia="楷体_GB2312" w:hAnsi="Times New Roman" w:hint="eastAsia"/>
          <w:sz w:val="24"/>
          <w:szCs w:val="24"/>
        </w:rPr>
        <w:t>座</w:t>
      </w:r>
      <w:r>
        <w:rPr>
          <w:rFonts w:ascii="Times New Roman" w:eastAsia="楷体_GB2312" w:hAnsi="Times New Roman" w:hint="eastAsia"/>
          <w:sz w:val="24"/>
          <w:szCs w:val="24"/>
        </w:rPr>
        <w:t>3009</w:t>
      </w:r>
    </w:p>
    <w:p w14:paraId="353A75C0"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法定代表人：朱瑶</w:t>
      </w:r>
      <w:proofErr w:type="gramStart"/>
      <w:r>
        <w:rPr>
          <w:rFonts w:ascii="Times New Roman" w:eastAsia="楷体_GB2312" w:hAnsi="Times New Roman" w:hint="eastAsia"/>
          <w:sz w:val="24"/>
          <w:szCs w:val="24"/>
        </w:rPr>
        <w:t>瑶</w:t>
      </w:r>
      <w:proofErr w:type="gramEnd"/>
      <w:r>
        <w:rPr>
          <w:rFonts w:ascii="Times New Roman" w:eastAsia="楷体_GB2312" w:hAnsi="Times New Roman" w:hint="eastAsia"/>
          <w:sz w:val="24"/>
          <w:szCs w:val="24"/>
        </w:rPr>
        <w:t xml:space="preserve"> </w:t>
      </w:r>
    </w:p>
    <w:p w14:paraId="1EC40BC3"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w:t>
      </w:r>
      <w:r>
        <w:rPr>
          <w:rFonts w:ascii="楷体" w:eastAsia="楷体" w:hAnsi="楷体" w:hint="eastAsia"/>
          <w:sz w:val="24"/>
        </w:rPr>
        <w:t>安徽省合肥市</w:t>
      </w:r>
      <w:proofErr w:type="gramStart"/>
      <w:r>
        <w:rPr>
          <w:rFonts w:ascii="楷体" w:eastAsia="楷体" w:hAnsi="楷体" w:hint="eastAsia"/>
          <w:sz w:val="24"/>
        </w:rPr>
        <w:t>蜀</w:t>
      </w:r>
      <w:proofErr w:type="gramEnd"/>
      <w:r>
        <w:rPr>
          <w:rFonts w:ascii="楷体" w:eastAsia="楷体" w:hAnsi="楷体" w:hint="eastAsia"/>
          <w:sz w:val="24"/>
        </w:rPr>
        <w:t>山区绿洲东路华润大厦B座30层</w:t>
      </w:r>
    </w:p>
    <w:p w14:paraId="6203F67A"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w:t>
      </w:r>
      <w:r>
        <w:rPr>
          <w:rFonts w:ascii="楷体" w:eastAsia="楷体" w:hAnsi="楷体" w:hint="eastAsia"/>
          <w:sz w:val="24"/>
        </w:rPr>
        <w:t>曹平</w:t>
      </w:r>
      <w:r>
        <w:rPr>
          <w:rFonts w:ascii="Times New Roman" w:eastAsia="楷体_GB2312" w:hAnsi="Times New Roman" w:hint="eastAsia"/>
          <w:sz w:val="24"/>
          <w:szCs w:val="24"/>
        </w:rPr>
        <w:t xml:space="preserve"> </w:t>
      </w:r>
    </w:p>
    <w:p w14:paraId="4D13A0D4"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楷体" w:eastAsia="楷体" w:hAnsi="楷体" w:hint="eastAsia"/>
          <w:sz w:val="24"/>
        </w:rPr>
        <w:t>0551-63365822</w:t>
      </w:r>
    </w:p>
    <w:p w14:paraId="050DBE2F"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7B45CA64" w14:textId="77777777" w:rsidR="00CC4C43" w:rsidRDefault="007731E0">
      <w:pPr>
        <w:adjustRightInd w:val="0"/>
        <w:snapToGrid w:val="0"/>
        <w:spacing w:afterLines="20" w:after="62" w:line="288" w:lineRule="auto"/>
        <w:rPr>
          <w:rFonts w:ascii="Times New Roman" w:eastAsia="楷体_GB2312" w:hAnsi="Times New Roman"/>
          <w:sz w:val="24"/>
          <w:szCs w:val="24"/>
        </w:rPr>
      </w:pPr>
      <w:bookmarkStart w:id="3" w:name="_Hlk62468355"/>
      <w:proofErr w:type="gramStart"/>
      <w:r>
        <w:rPr>
          <w:rFonts w:ascii="Times New Roman" w:eastAsia="楷体_GB2312" w:hAnsi="Times New Roman"/>
          <w:sz w:val="24"/>
          <w:szCs w:val="24"/>
        </w:rPr>
        <w:t>戊方</w:t>
      </w:r>
      <w:proofErr w:type="gramEnd"/>
      <w:r>
        <w:rPr>
          <w:rFonts w:ascii="Times New Roman" w:eastAsia="楷体_GB2312" w:hAnsi="Times New Roman" w:hint="eastAsia"/>
          <w:sz w:val="24"/>
          <w:szCs w:val="24"/>
        </w:rPr>
        <w:t>/</w:t>
      </w:r>
      <w:r>
        <w:rPr>
          <w:rFonts w:ascii="Times New Roman" w:eastAsia="楷体_GB2312" w:hAnsi="Times New Roman" w:hint="eastAsia"/>
          <w:sz w:val="24"/>
          <w:szCs w:val="24"/>
        </w:rPr>
        <w:t>项目公司</w:t>
      </w:r>
      <w:r>
        <w:rPr>
          <w:rFonts w:ascii="Times New Roman" w:eastAsia="楷体_GB2312" w:hAnsi="Times New Roman"/>
          <w:sz w:val="24"/>
          <w:szCs w:val="24"/>
        </w:rPr>
        <w:t>/</w:t>
      </w:r>
      <w:r>
        <w:rPr>
          <w:rFonts w:ascii="Times New Roman" w:eastAsia="楷体_GB2312" w:hAnsi="Times New Roman" w:hint="eastAsia"/>
          <w:sz w:val="24"/>
          <w:szCs w:val="24"/>
        </w:rPr>
        <w:t>合肥融望</w:t>
      </w:r>
      <w:r>
        <w:rPr>
          <w:rFonts w:ascii="Times New Roman" w:eastAsia="楷体_GB2312" w:hAnsi="Times New Roman"/>
          <w:sz w:val="24"/>
          <w:szCs w:val="24"/>
        </w:rPr>
        <w:t>：</w:t>
      </w:r>
      <w:r>
        <w:rPr>
          <w:rFonts w:ascii="Times New Roman" w:eastAsia="楷体_GB2312" w:hAnsi="Times New Roman" w:hint="eastAsia"/>
          <w:sz w:val="24"/>
          <w:szCs w:val="24"/>
        </w:rPr>
        <w:t>合肥融望置业有限公司</w:t>
      </w:r>
    </w:p>
    <w:bookmarkEnd w:id="3"/>
    <w:p w14:paraId="3F725CCF"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注册地址：安徽省合肥市包河区包河经济开发区管委会花园大道</w:t>
      </w:r>
      <w:r>
        <w:rPr>
          <w:rFonts w:ascii="Times New Roman" w:eastAsia="楷体_GB2312" w:hAnsi="Times New Roman" w:hint="eastAsia"/>
          <w:sz w:val="24"/>
          <w:szCs w:val="24"/>
        </w:rPr>
        <w:t>582</w:t>
      </w:r>
      <w:r>
        <w:rPr>
          <w:rFonts w:ascii="Times New Roman" w:eastAsia="楷体_GB2312" w:hAnsi="Times New Roman" w:hint="eastAsia"/>
          <w:sz w:val="24"/>
          <w:szCs w:val="24"/>
        </w:rPr>
        <w:t>号五楼</w:t>
      </w:r>
      <w:r>
        <w:rPr>
          <w:rFonts w:ascii="Times New Roman" w:eastAsia="楷体_GB2312" w:hAnsi="Times New Roman" w:hint="eastAsia"/>
          <w:sz w:val="24"/>
          <w:szCs w:val="24"/>
        </w:rPr>
        <w:t>511</w:t>
      </w:r>
    </w:p>
    <w:p w14:paraId="215F3C0E"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法定代表人：王耀樟</w:t>
      </w:r>
    </w:p>
    <w:p w14:paraId="5D8FAA2B" w14:textId="6E14BCEC"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lastRenderedPageBreak/>
        <w:t>联系地址：</w:t>
      </w:r>
      <w:r>
        <w:rPr>
          <w:rFonts w:ascii="楷体" w:eastAsia="楷体" w:hAnsi="楷体" w:hint="eastAsia"/>
          <w:sz w:val="24"/>
        </w:rPr>
        <w:t>安徽省合肥市</w:t>
      </w:r>
      <w:proofErr w:type="gramStart"/>
      <w:r>
        <w:rPr>
          <w:rFonts w:ascii="楷体" w:eastAsia="楷体" w:hAnsi="楷体" w:hint="eastAsia"/>
          <w:sz w:val="24"/>
        </w:rPr>
        <w:t>蜀</w:t>
      </w:r>
      <w:proofErr w:type="gramEnd"/>
      <w:r>
        <w:rPr>
          <w:rFonts w:ascii="楷体" w:eastAsia="楷体" w:hAnsi="楷体" w:hint="eastAsia"/>
          <w:sz w:val="24"/>
        </w:rPr>
        <w:t>山区绿洲东路华润大厦B座30层</w:t>
      </w:r>
    </w:p>
    <w:p w14:paraId="6B801F97"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联系人：</w:t>
      </w:r>
      <w:r>
        <w:rPr>
          <w:rFonts w:ascii="Times New Roman" w:eastAsia="楷体_GB2312" w:hAnsi="Times New Roman" w:hint="eastAsia"/>
          <w:sz w:val="24"/>
          <w:szCs w:val="24"/>
        </w:rPr>
        <w:t xml:space="preserve"> </w:t>
      </w:r>
      <w:r>
        <w:rPr>
          <w:rFonts w:ascii="楷体" w:eastAsia="楷体" w:hAnsi="楷体" w:hint="eastAsia"/>
          <w:sz w:val="24"/>
        </w:rPr>
        <w:t>曹平</w:t>
      </w:r>
    </w:p>
    <w:p w14:paraId="2D48DA3E"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电话：</w:t>
      </w:r>
      <w:r>
        <w:rPr>
          <w:rFonts w:ascii="楷体" w:eastAsia="楷体" w:hAnsi="楷体" w:hint="eastAsia"/>
          <w:sz w:val="24"/>
        </w:rPr>
        <w:t>0551-63365822</w:t>
      </w:r>
    </w:p>
    <w:p w14:paraId="5EE95610"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38977FFA"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己方</w:t>
      </w:r>
      <w:r>
        <w:rPr>
          <w:rFonts w:ascii="Times New Roman" w:eastAsia="楷体_GB2312" w:hAnsi="Times New Roman" w:hint="eastAsia"/>
          <w:sz w:val="24"/>
          <w:szCs w:val="24"/>
        </w:rPr>
        <w:t>/</w:t>
      </w:r>
      <w:r>
        <w:rPr>
          <w:rFonts w:ascii="Times New Roman" w:eastAsia="楷体_GB2312" w:hAnsi="Times New Roman"/>
          <w:sz w:val="24"/>
          <w:szCs w:val="24"/>
        </w:rPr>
        <w:t>GP</w:t>
      </w:r>
      <w:r>
        <w:rPr>
          <w:rFonts w:ascii="Times New Roman" w:eastAsia="楷体_GB2312" w:hAnsi="Times New Roman" w:hint="eastAsia"/>
          <w:sz w:val="24"/>
          <w:szCs w:val="24"/>
        </w:rPr>
        <w:t>公司：</w:t>
      </w:r>
      <w:proofErr w:type="gramStart"/>
      <w:r>
        <w:rPr>
          <w:rFonts w:ascii="Times New Roman" w:eastAsia="楷体_GB2312" w:hAnsi="Times New Roman" w:hint="eastAsia"/>
          <w:sz w:val="24"/>
          <w:szCs w:val="24"/>
        </w:rPr>
        <w:t>合肥创尚企业管理</w:t>
      </w:r>
      <w:proofErr w:type="gramEnd"/>
      <w:r>
        <w:rPr>
          <w:rFonts w:ascii="Times New Roman" w:eastAsia="楷体_GB2312" w:hAnsi="Times New Roman" w:hint="eastAsia"/>
          <w:sz w:val="24"/>
          <w:szCs w:val="24"/>
        </w:rPr>
        <w:t>有限公司</w:t>
      </w:r>
    </w:p>
    <w:p w14:paraId="27155D55"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注册地址：安徽省合肥市</w:t>
      </w:r>
      <w:proofErr w:type="gramStart"/>
      <w:r>
        <w:rPr>
          <w:rFonts w:ascii="Times New Roman" w:eastAsia="楷体_GB2312" w:hAnsi="Times New Roman" w:hint="eastAsia"/>
          <w:sz w:val="24"/>
          <w:szCs w:val="24"/>
        </w:rPr>
        <w:t>蜀</w:t>
      </w:r>
      <w:proofErr w:type="gramEnd"/>
      <w:r>
        <w:rPr>
          <w:rFonts w:ascii="Times New Roman" w:eastAsia="楷体_GB2312" w:hAnsi="Times New Roman" w:hint="eastAsia"/>
          <w:sz w:val="24"/>
          <w:szCs w:val="24"/>
        </w:rPr>
        <w:t>山区</w:t>
      </w:r>
      <w:proofErr w:type="gramStart"/>
      <w:r>
        <w:rPr>
          <w:rFonts w:ascii="Times New Roman" w:eastAsia="楷体_GB2312" w:hAnsi="Times New Roman" w:hint="eastAsia"/>
          <w:sz w:val="24"/>
          <w:szCs w:val="24"/>
        </w:rPr>
        <w:t>习友路</w:t>
      </w:r>
      <w:proofErr w:type="gramEnd"/>
      <w:r>
        <w:rPr>
          <w:rFonts w:ascii="Times New Roman" w:eastAsia="楷体_GB2312" w:hAnsi="Times New Roman" w:hint="eastAsia"/>
          <w:sz w:val="24"/>
          <w:szCs w:val="24"/>
        </w:rPr>
        <w:t>与潜山路交口华润大厦</w:t>
      </w:r>
      <w:r>
        <w:rPr>
          <w:rFonts w:ascii="Times New Roman" w:eastAsia="楷体_GB2312" w:hAnsi="Times New Roman" w:hint="eastAsia"/>
          <w:sz w:val="24"/>
          <w:szCs w:val="24"/>
        </w:rPr>
        <w:t>B</w:t>
      </w:r>
      <w:r>
        <w:rPr>
          <w:rFonts w:ascii="Times New Roman" w:eastAsia="楷体_GB2312" w:hAnsi="Times New Roman" w:hint="eastAsia"/>
          <w:sz w:val="24"/>
          <w:szCs w:val="24"/>
        </w:rPr>
        <w:t>座</w:t>
      </w:r>
      <w:r>
        <w:rPr>
          <w:rFonts w:ascii="Times New Roman" w:eastAsia="楷体_GB2312" w:hAnsi="Times New Roman" w:hint="eastAsia"/>
          <w:sz w:val="24"/>
          <w:szCs w:val="24"/>
        </w:rPr>
        <w:t>3008</w:t>
      </w:r>
      <w:r>
        <w:rPr>
          <w:rFonts w:ascii="Times New Roman" w:eastAsia="楷体_GB2312" w:hAnsi="Times New Roman" w:hint="eastAsia"/>
          <w:sz w:val="24"/>
          <w:szCs w:val="24"/>
        </w:rPr>
        <w:t>室</w:t>
      </w:r>
      <w:r>
        <w:rPr>
          <w:rFonts w:ascii="Times New Roman" w:eastAsia="楷体_GB2312" w:hAnsi="Times New Roman" w:hint="eastAsia"/>
          <w:sz w:val="24"/>
          <w:szCs w:val="24"/>
        </w:rPr>
        <w:t> </w:t>
      </w:r>
    </w:p>
    <w:p w14:paraId="79AA529A"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法定代表人：朱瑶</w:t>
      </w:r>
      <w:proofErr w:type="gramStart"/>
      <w:r>
        <w:rPr>
          <w:rFonts w:ascii="Times New Roman" w:eastAsia="楷体_GB2312" w:hAnsi="Times New Roman" w:hint="eastAsia"/>
          <w:sz w:val="24"/>
          <w:szCs w:val="24"/>
        </w:rPr>
        <w:t>瑶</w:t>
      </w:r>
      <w:proofErr w:type="gramEnd"/>
    </w:p>
    <w:p w14:paraId="162FDE27"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w:t>
      </w:r>
      <w:r>
        <w:rPr>
          <w:rFonts w:ascii="楷体" w:eastAsia="楷体" w:hAnsi="楷体" w:hint="eastAsia"/>
          <w:sz w:val="24"/>
        </w:rPr>
        <w:t>安徽省合肥市</w:t>
      </w:r>
      <w:proofErr w:type="gramStart"/>
      <w:r>
        <w:rPr>
          <w:rFonts w:ascii="楷体" w:eastAsia="楷体" w:hAnsi="楷体" w:hint="eastAsia"/>
          <w:sz w:val="24"/>
        </w:rPr>
        <w:t>蜀</w:t>
      </w:r>
      <w:proofErr w:type="gramEnd"/>
      <w:r>
        <w:rPr>
          <w:rFonts w:ascii="楷体" w:eastAsia="楷体" w:hAnsi="楷体" w:hint="eastAsia"/>
          <w:sz w:val="24"/>
        </w:rPr>
        <w:t>山区绿洲东路华润大厦B座30层</w:t>
      </w:r>
    </w:p>
    <w:p w14:paraId="456A298D"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楷体" w:eastAsia="楷体" w:hAnsi="楷体" w:hint="eastAsia"/>
          <w:sz w:val="24"/>
        </w:rPr>
        <w:t>0551-63365822</w:t>
      </w:r>
    </w:p>
    <w:p w14:paraId="14C8E695"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w:t>
      </w:r>
      <w:r>
        <w:rPr>
          <w:rFonts w:ascii="楷体" w:eastAsia="楷体" w:hAnsi="楷体" w:hint="eastAsia"/>
          <w:sz w:val="24"/>
        </w:rPr>
        <w:t>曹平</w:t>
      </w:r>
    </w:p>
    <w:p w14:paraId="7A42AC3B"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6AD645EC" w14:textId="77777777" w:rsidR="00CC4C43" w:rsidRDefault="007731E0">
      <w:pPr>
        <w:adjustRightInd w:val="0"/>
        <w:snapToGrid w:val="0"/>
        <w:spacing w:afterLines="20" w:after="62" w:line="288" w:lineRule="auto"/>
        <w:rPr>
          <w:rFonts w:ascii="Times New Roman" w:eastAsia="楷体_GB2312" w:hAnsi="Times New Roman"/>
          <w:sz w:val="24"/>
          <w:szCs w:val="24"/>
        </w:rPr>
      </w:pPr>
      <w:proofErr w:type="gramStart"/>
      <w:r>
        <w:rPr>
          <w:rFonts w:ascii="Times New Roman" w:eastAsia="楷体_GB2312" w:hAnsi="Times New Roman"/>
          <w:sz w:val="24"/>
          <w:szCs w:val="24"/>
        </w:rPr>
        <w:t>庚方</w:t>
      </w:r>
      <w:proofErr w:type="gramEnd"/>
      <w:r>
        <w:rPr>
          <w:rFonts w:ascii="Times New Roman" w:eastAsia="楷体_GB2312" w:hAnsi="Times New Roman" w:hint="eastAsia"/>
          <w:sz w:val="24"/>
          <w:szCs w:val="24"/>
        </w:rPr>
        <w:t>/</w:t>
      </w:r>
      <w:r>
        <w:rPr>
          <w:rFonts w:ascii="Times New Roman" w:eastAsia="楷体_GB2312" w:hAnsi="Times New Roman" w:hint="eastAsia"/>
          <w:sz w:val="24"/>
          <w:szCs w:val="24"/>
        </w:rPr>
        <w:t>监管公司</w:t>
      </w:r>
      <w:r>
        <w:rPr>
          <w:rFonts w:ascii="Times New Roman" w:eastAsia="楷体_GB2312" w:hAnsi="Times New Roman"/>
          <w:sz w:val="24"/>
          <w:szCs w:val="24"/>
        </w:rPr>
        <w:t>：</w:t>
      </w:r>
      <w:r>
        <w:rPr>
          <w:rFonts w:ascii="Times New Roman" w:eastAsia="楷体_GB2312" w:hAnsi="Times New Roman" w:hint="eastAsia"/>
          <w:sz w:val="24"/>
          <w:szCs w:val="24"/>
        </w:rPr>
        <w:t>北京康信君安资产管理有限公司</w:t>
      </w:r>
    </w:p>
    <w:p w14:paraId="39455D8E"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注册地址：北京市朝阳区裕民路</w:t>
      </w:r>
      <w:r>
        <w:rPr>
          <w:rFonts w:ascii="Times New Roman" w:eastAsia="楷体_GB2312" w:hAnsi="Times New Roman" w:hint="eastAsia"/>
          <w:sz w:val="24"/>
          <w:szCs w:val="24"/>
        </w:rPr>
        <w:t>12</w:t>
      </w:r>
      <w:r>
        <w:rPr>
          <w:rFonts w:ascii="Times New Roman" w:eastAsia="楷体_GB2312" w:hAnsi="Times New Roman" w:hint="eastAsia"/>
          <w:sz w:val="24"/>
          <w:szCs w:val="24"/>
        </w:rPr>
        <w:t>号</w:t>
      </w:r>
      <w:r>
        <w:rPr>
          <w:rFonts w:ascii="Times New Roman" w:eastAsia="楷体_GB2312" w:hAnsi="Times New Roman" w:hint="eastAsia"/>
          <w:sz w:val="24"/>
          <w:szCs w:val="24"/>
        </w:rPr>
        <w:t>1</w:t>
      </w:r>
      <w:r>
        <w:rPr>
          <w:rFonts w:ascii="Times New Roman" w:eastAsia="楷体_GB2312" w:hAnsi="Times New Roman" w:hint="eastAsia"/>
          <w:sz w:val="24"/>
          <w:szCs w:val="24"/>
        </w:rPr>
        <w:t>号楼</w:t>
      </w:r>
      <w:r>
        <w:rPr>
          <w:rFonts w:ascii="Times New Roman" w:eastAsia="楷体_GB2312" w:hAnsi="Times New Roman" w:hint="eastAsia"/>
          <w:sz w:val="24"/>
          <w:szCs w:val="24"/>
        </w:rPr>
        <w:t>10</w:t>
      </w:r>
      <w:r>
        <w:rPr>
          <w:rFonts w:ascii="Times New Roman" w:eastAsia="楷体_GB2312" w:hAnsi="Times New Roman" w:hint="eastAsia"/>
          <w:sz w:val="24"/>
          <w:szCs w:val="24"/>
        </w:rPr>
        <w:t>层</w:t>
      </w:r>
      <w:r>
        <w:rPr>
          <w:rFonts w:ascii="Times New Roman" w:eastAsia="楷体_GB2312" w:hAnsi="Times New Roman" w:hint="eastAsia"/>
          <w:sz w:val="24"/>
          <w:szCs w:val="24"/>
        </w:rPr>
        <w:t>B1001</w:t>
      </w:r>
    </w:p>
    <w:p w14:paraId="3522DCF0"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法定代表人：王鹏</w:t>
      </w:r>
    </w:p>
    <w:p w14:paraId="1582C08D"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联系地址：北京市朝阳区裕民路</w:t>
      </w:r>
      <w:r>
        <w:rPr>
          <w:rFonts w:ascii="Times New Roman" w:eastAsia="楷体_GB2312" w:hAnsi="Times New Roman" w:hint="eastAsia"/>
          <w:sz w:val="24"/>
          <w:szCs w:val="24"/>
        </w:rPr>
        <w:t>12</w:t>
      </w:r>
      <w:r>
        <w:rPr>
          <w:rFonts w:ascii="Times New Roman" w:eastAsia="楷体_GB2312" w:hAnsi="Times New Roman" w:hint="eastAsia"/>
          <w:sz w:val="24"/>
          <w:szCs w:val="24"/>
        </w:rPr>
        <w:t>号中国国际科技会展中心</w:t>
      </w:r>
      <w:r>
        <w:rPr>
          <w:rFonts w:ascii="Times New Roman" w:eastAsia="楷体_GB2312" w:hAnsi="Times New Roman" w:hint="eastAsia"/>
          <w:sz w:val="24"/>
          <w:szCs w:val="24"/>
        </w:rPr>
        <w:t>B</w:t>
      </w:r>
      <w:r>
        <w:rPr>
          <w:rFonts w:ascii="Times New Roman" w:eastAsia="楷体_GB2312" w:hAnsi="Times New Roman" w:hint="eastAsia"/>
          <w:sz w:val="24"/>
          <w:szCs w:val="24"/>
        </w:rPr>
        <w:t>座</w:t>
      </w:r>
      <w:r>
        <w:rPr>
          <w:rFonts w:ascii="Times New Roman" w:eastAsia="楷体_GB2312" w:hAnsi="Times New Roman" w:hint="eastAsia"/>
          <w:sz w:val="24"/>
          <w:szCs w:val="24"/>
        </w:rPr>
        <w:t>1001</w:t>
      </w:r>
    </w:p>
    <w:p w14:paraId="5421A123"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Times New Roman" w:eastAsia="楷体_GB2312" w:hAnsi="Times New Roman"/>
          <w:sz w:val="24"/>
          <w:szCs w:val="24"/>
        </w:rPr>
        <w:t>135 5251 2324</w:t>
      </w:r>
    </w:p>
    <w:p w14:paraId="292F933C"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联系人：申一诺</w:t>
      </w:r>
    </w:p>
    <w:p w14:paraId="21301E45" w14:textId="77777777" w:rsidR="00CC4C43" w:rsidRDefault="00CC4C43">
      <w:pPr>
        <w:adjustRightInd w:val="0"/>
        <w:snapToGrid w:val="0"/>
        <w:spacing w:afterLines="20" w:after="62" w:line="288" w:lineRule="auto"/>
        <w:rPr>
          <w:rFonts w:ascii="Times New Roman" w:eastAsia="楷体_GB2312" w:hAnsi="Times New Roman"/>
          <w:bCs/>
          <w:sz w:val="24"/>
          <w:szCs w:val="24"/>
        </w:rPr>
      </w:pPr>
    </w:p>
    <w:p w14:paraId="4E05FCC1"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在本合同中，各签约方合称为</w:t>
      </w:r>
      <w:r>
        <w:rPr>
          <w:rFonts w:ascii="Times New Roman" w:eastAsia="楷体_GB2312" w:hAnsi="Times New Roman"/>
          <w:sz w:val="24"/>
          <w:szCs w:val="24"/>
        </w:rPr>
        <w:t>“</w:t>
      </w:r>
      <w:r>
        <w:rPr>
          <w:rFonts w:ascii="Times New Roman" w:eastAsia="楷体_GB2312" w:hAnsi="Times New Roman"/>
          <w:sz w:val="24"/>
          <w:szCs w:val="24"/>
        </w:rPr>
        <w:t>各方</w:t>
      </w:r>
      <w:r>
        <w:rPr>
          <w:rFonts w:ascii="Times New Roman" w:eastAsia="楷体_GB2312" w:hAnsi="Times New Roman"/>
          <w:sz w:val="24"/>
          <w:szCs w:val="24"/>
        </w:rPr>
        <w:t>”</w:t>
      </w:r>
      <w:r>
        <w:rPr>
          <w:rFonts w:ascii="Times New Roman" w:eastAsia="楷体_GB2312" w:hAnsi="Times New Roman"/>
          <w:sz w:val="24"/>
          <w:szCs w:val="24"/>
        </w:rPr>
        <w:t>，单独称为</w:t>
      </w:r>
      <w:r>
        <w:rPr>
          <w:rFonts w:ascii="Times New Roman" w:eastAsia="楷体_GB2312" w:hAnsi="Times New Roman"/>
          <w:sz w:val="24"/>
          <w:szCs w:val="24"/>
        </w:rPr>
        <w:t>“</w:t>
      </w:r>
      <w:r>
        <w:rPr>
          <w:rFonts w:ascii="Times New Roman" w:eastAsia="楷体_GB2312" w:hAnsi="Times New Roman"/>
          <w:sz w:val="24"/>
          <w:szCs w:val="24"/>
        </w:rPr>
        <w:t>一方</w:t>
      </w:r>
      <w:r>
        <w:rPr>
          <w:rFonts w:ascii="Times New Roman" w:eastAsia="楷体_GB2312" w:hAnsi="Times New Roman"/>
          <w:sz w:val="24"/>
          <w:szCs w:val="24"/>
        </w:rPr>
        <w:t>”</w:t>
      </w:r>
      <w:r>
        <w:rPr>
          <w:rFonts w:ascii="Times New Roman" w:eastAsia="楷体_GB2312" w:hAnsi="Times New Roman"/>
          <w:sz w:val="24"/>
          <w:szCs w:val="24"/>
        </w:rPr>
        <w:t>。</w:t>
      </w:r>
    </w:p>
    <w:p w14:paraId="56BE6116"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609F7530"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鉴于：</w:t>
      </w:r>
    </w:p>
    <w:p w14:paraId="605F975D" w14:textId="77777777" w:rsidR="00CC4C43" w:rsidRDefault="007731E0">
      <w:pPr>
        <w:adjustRightInd w:val="0"/>
        <w:snapToGrid w:val="0"/>
        <w:spacing w:afterLines="20" w:after="62" w:line="288" w:lineRule="auto"/>
        <w:rPr>
          <w:rFonts w:ascii="Times New Roman" w:eastAsia="楷体_GB2312" w:hAnsi="Times New Roman"/>
          <w:sz w:val="24"/>
        </w:rPr>
      </w:pPr>
      <w:r>
        <w:rPr>
          <w:rFonts w:ascii="Times New Roman" w:eastAsia="楷体_GB2312" w:hAnsi="Times New Roman"/>
          <w:sz w:val="24"/>
          <w:szCs w:val="24"/>
        </w:rPr>
        <w:t>1.</w:t>
      </w:r>
      <w:r>
        <w:rPr>
          <w:rFonts w:ascii="Times New Roman" w:eastAsia="楷体_GB2312" w:hAnsi="Times New Roman"/>
          <w:sz w:val="24"/>
          <w:szCs w:val="24"/>
        </w:rPr>
        <w:tab/>
      </w:r>
      <w:r>
        <w:rPr>
          <w:rFonts w:ascii="Times New Roman" w:eastAsia="楷体_GB2312" w:hAnsi="Times New Roman" w:hint="eastAsia"/>
          <w:sz w:val="24"/>
          <w:szCs w:val="24"/>
        </w:rPr>
        <w:t>光大信托拟发起设立“</w:t>
      </w:r>
      <w:bookmarkStart w:id="4" w:name="_Hlk62574591"/>
      <w:r>
        <w:rPr>
          <w:rFonts w:ascii="Times New Roman" w:eastAsia="楷体_GB2312" w:hAnsi="Times New Roman" w:hint="eastAsia"/>
          <w:sz w:val="24"/>
          <w:szCs w:val="24"/>
        </w:rPr>
        <w:t>光信·光乾·增益尊享</w:t>
      </w:r>
      <w:r>
        <w:rPr>
          <w:rFonts w:ascii="Times New Roman" w:eastAsia="楷体_GB2312" w:hAnsi="Times New Roman" w:hint="eastAsia"/>
          <w:sz w:val="24"/>
          <w:szCs w:val="24"/>
        </w:rPr>
        <w:t>26</w:t>
      </w:r>
      <w:r>
        <w:rPr>
          <w:rFonts w:ascii="Times New Roman" w:eastAsia="楷体_GB2312" w:hAnsi="Times New Roman" w:hint="eastAsia"/>
          <w:sz w:val="24"/>
          <w:szCs w:val="24"/>
        </w:rPr>
        <w:t>号集合资金信托计划</w:t>
      </w:r>
      <w:bookmarkEnd w:id="4"/>
      <w:r>
        <w:rPr>
          <w:rFonts w:ascii="Times New Roman" w:eastAsia="楷体_GB2312" w:hAnsi="Times New Roman" w:hint="eastAsia"/>
          <w:sz w:val="24"/>
          <w:szCs w:val="24"/>
        </w:rPr>
        <w:t>”（以下简称“信托计划”），并以信托计划项下募集的不超过</w:t>
      </w:r>
      <w:r>
        <w:rPr>
          <w:rFonts w:ascii="Times New Roman" w:eastAsia="楷体_GB2312" w:hAnsi="Times New Roman"/>
          <w:sz w:val="24"/>
          <w:szCs w:val="24"/>
        </w:rPr>
        <w:t>54000</w:t>
      </w:r>
      <w:r>
        <w:rPr>
          <w:rFonts w:ascii="Times New Roman" w:eastAsia="楷体_GB2312" w:hAnsi="Times New Roman" w:hint="eastAsia"/>
          <w:sz w:val="24"/>
          <w:szCs w:val="24"/>
        </w:rPr>
        <w:t>万元（具体以信托计划项下实际募集的信托资金规模为准）信托资金认购</w:t>
      </w:r>
      <w:proofErr w:type="gramStart"/>
      <w:r>
        <w:rPr>
          <w:rFonts w:ascii="Times New Roman" w:eastAsia="楷体_GB2312" w:hAnsi="Times New Roman" w:hint="eastAsia"/>
          <w:sz w:val="24"/>
          <w:szCs w:val="24"/>
        </w:rPr>
        <w:t>合肥融畔企业管理</w:t>
      </w:r>
      <w:proofErr w:type="gramEnd"/>
      <w:r>
        <w:rPr>
          <w:rFonts w:ascii="Times New Roman" w:eastAsia="楷体_GB2312" w:hAnsi="Times New Roman" w:hint="eastAsia"/>
          <w:sz w:val="24"/>
          <w:szCs w:val="24"/>
        </w:rPr>
        <w:t>合伙企业（有限合伙）（以下简称“合伙企业”）的</w:t>
      </w:r>
      <w:r>
        <w:rPr>
          <w:rFonts w:ascii="Times New Roman" w:eastAsia="楷体_GB2312" w:hAnsi="Times New Roman"/>
          <w:sz w:val="24"/>
          <w:szCs w:val="24"/>
        </w:rPr>
        <w:t>69.98</w:t>
      </w:r>
      <w:r>
        <w:rPr>
          <w:rFonts w:ascii="Times New Roman" w:eastAsia="楷体_GB2312" w:hAnsi="Times New Roman" w:hint="eastAsia"/>
          <w:sz w:val="24"/>
          <w:szCs w:val="24"/>
        </w:rPr>
        <w:t>%</w:t>
      </w:r>
      <w:r>
        <w:rPr>
          <w:rFonts w:ascii="Times New Roman" w:eastAsia="楷体_GB2312" w:hAnsi="Times New Roman" w:hint="eastAsia"/>
          <w:sz w:val="24"/>
          <w:szCs w:val="24"/>
        </w:rPr>
        <w:t>有限合伙份额，安徽融创房地产开发有限公司（以下简称“安徽融创”）拟认购合伙企业的</w:t>
      </w:r>
      <w:r>
        <w:rPr>
          <w:rFonts w:ascii="Times New Roman" w:eastAsia="楷体_GB2312" w:hAnsi="Times New Roman" w:hint="eastAsia"/>
          <w:sz w:val="24"/>
          <w:szCs w:val="24"/>
        </w:rPr>
        <w:t>30</w:t>
      </w:r>
      <w:r>
        <w:rPr>
          <w:rFonts w:ascii="Times New Roman" w:eastAsia="楷体_GB2312" w:hAnsi="Times New Roman"/>
          <w:sz w:val="24"/>
          <w:szCs w:val="24"/>
        </w:rPr>
        <w:t>.00</w:t>
      </w:r>
      <w:r>
        <w:rPr>
          <w:rFonts w:ascii="Times New Roman" w:eastAsia="楷体_GB2312" w:hAnsi="Times New Roman" w:hint="eastAsia"/>
          <w:sz w:val="24"/>
          <w:szCs w:val="24"/>
        </w:rPr>
        <w:t>%</w:t>
      </w:r>
      <w:r>
        <w:rPr>
          <w:rFonts w:ascii="Times New Roman" w:eastAsia="楷体_GB2312" w:hAnsi="Times New Roman" w:hint="eastAsia"/>
          <w:sz w:val="24"/>
          <w:szCs w:val="24"/>
        </w:rPr>
        <w:t>有限合伙份额，</w:t>
      </w:r>
      <w:r>
        <w:rPr>
          <w:rFonts w:ascii="Times New Roman" w:eastAsia="楷体_GB2312" w:hAnsi="Times New Roman" w:hint="eastAsia"/>
          <w:sz w:val="24"/>
          <w:szCs w:val="24"/>
        </w:rPr>
        <w:t>GP</w:t>
      </w:r>
      <w:r>
        <w:rPr>
          <w:rFonts w:ascii="Times New Roman" w:eastAsia="楷体_GB2312" w:hAnsi="Times New Roman" w:hint="eastAsia"/>
          <w:sz w:val="24"/>
          <w:szCs w:val="24"/>
        </w:rPr>
        <w:t>公司拟认购合伙企业的普通合伙份额。合伙企业拟以各合伙人缴付的有限合伙份额认购资金对合肥</w:t>
      </w:r>
      <w:proofErr w:type="gramStart"/>
      <w:r>
        <w:rPr>
          <w:rFonts w:ascii="Times New Roman" w:eastAsia="楷体_GB2312" w:hAnsi="Times New Roman" w:hint="eastAsia"/>
          <w:sz w:val="24"/>
          <w:szCs w:val="24"/>
        </w:rPr>
        <w:t>融沛进行</w:t>
      </w:r>
      <w:proofErr w:type="gramEnd"/>
      <w:r>
        <w:rPr>
          <w:rFonts w:ascii="Times New Roman" w:eastAsia="楷体_GB2312" w:hAnsi="Times New Roman" w:hint="eastAsia"/>
          <w:sz w:val="24"/>
          <w:szCs w:val="24"/>
        </w:rPr>
        <w:t>股权投资，其中受让</w:t>
      </w:r>
      <w:proofErr w:type="gramStart"/>
      <w:r>
        <w:rPr>
          <w:rFonts w:ascii="Times New Roman" w:eastAsia="楷体_GB2312" w:hAnsi="Times New Roman" w:hint="eastAsia"/>
          <w:sz w:val="24"/>
          <w:szCs w:val="24"/>
        </w:rPr>
        <w:t>安徽融创持有</w:t>
      </w:r>
      <w:proofErr w:type="gramEnd"/>
      <w:r>
        <w:rPr>
          <w:rFonts w:ascii="Times New Roman" w:eastAsia="楷体_GB2312" w:hAnsi="Times New Roman" w:hint="eastAsia"/>
          <w:sz w:val="24"/>
          <w:szCs w:val="24"/>
        </w:rPr>
        <w:t>的</w:t>
      </w:r>
      <w:proofErr w:type="gramStart"/>
      <w:r>
        <w:rPr>
          <w:rFonts w:ascii="Times New Roman" w:eastAsia="楷体_GB2312" w:hAnsi="Times New Roman" w:hint="eastAsia"/>
          <w:sz w:val="24"/>
          <w:szCs w:val="24"/>
        </w:rPr>
        <w:t>合肥融沛</w:t>
      </w:r>
      <w:proofErr w:type="gramEnd"/>
      <w:r>
        <w:rPr>
          <w:rFonts w:ascii="Times New Roman" w:eastAsia="楷体_GB2312" w:hAnsi="Times New Roman" w:hint="eastAsia"/>
          <w:sz w:val="24"/>
          <w:szCs w:val="24"/>
        </w:rPr>
        <w:t>99.90%</w:t>
      </w:r>
      <w:r>
        <w:rPr>
          <w:rFonts w:ascii="Times New Roman" w:eastAsia="楷体_GB2312" w:hAnsi="Times New Roman" w:hint="eastAsia"/>
          <w:sz w:val="24"/>
          <w:szCs w:val="24"/>
        </w:rPr>
        <w:t>股权而向安徽</w:t>
      </w:r>
      <w:proofErr w:type="gramStart"/>
      <w:r>
        <w:rPr>
          <w:rFonts w:ascii="Times New Roman" w:eastAsia="楷体_GB2312" w:hAnsi="Times New Roman" w:hint="eastAsia"/>
          <w:sz w:val="24"/>
          <w:szCs w:val="24"/>
        </w:rPr>
        <w:t>融创支付</w:t>
      </w:r>
      <w:proofErr w:type="gramEnd"/>
      <w:r>
        <w:rPr>
          <w:rFonts w:ascii="Times New Roman" w:eastAsia="楷体_GB2312" w:hAnsi="Times New Roman" w:hint="eastAsia"/>
          <w:sz w:val="24"/>
          <w:szCs w:val="24"/>
        </w:rPr>
        <w:t>9990</w:t>
      </w:r>
      <w:r>
        <w:rPr>
          <w:rFonts w:ascii="Times New Roman" w:eastAsia="楷体_GB2312" w:hAnsi="Times New Roman" w:hint="eastAsia"/>
          <w:sz w:val="24"/>
          <w:szCs w:val="24"/>
        </w:rPr>
        <w:t>万元的股权转让价款，剩余资金全部计入合肥</w:t>
      </w:r>
      <w:proofErr w:type="gramStart"/>
      <w:r>
        <w:rPr>
          <w:rFonts w:ascii="Times New Roman" w:eastAsia="楷体_GB2312" w:hAnsi="Times New Roman" w:hint="eastAsia"/>
          <w:sz w:val="24"/>
          <w:szCs w:val="24"/>
        </w:rPr>
        <w:t>融沛资本</w:t>
      </w:r>
      <w:proofErr w:type="gramEnd"/>
      <w:r>
        <w:rPr>
          <w:rFonts w:ascii="Times New Roman" w:eastAsia="楷体_GB2312" w:hAnsi="Times New Roman" w:hint="eastAsia"/>
          <w:sz w:val="24"/>
          <w:szCs w:val="24"/>
        </w:rPr>
        <w:t>公积金。合肥</w:t>
      </w:r>
      <w:proofErr w:type="gramStart"/>
      <w:r>
        <w:rPr>
          <w:rFonts w:ascii="Times New Roman" w:eastAsia="楷体_GB2312" w:hAnsi="Times New Roman" w:hint="eastAsia"/>
          <w:sz w:val="24"/>
          <w:szCs w:val="24"/>
        </w:rPr>
        <w:t>融沛以</w:t>
      </w:r>
      <w:proofErr w:type="gramEnd"/>
      <w:r>
        <w:rPr>
          <w:rFonts w:ascii="Times New Roman" w:eastAsia="楷体_GB2312" w:hAnsi="Times New Roman" w:hint="eastAsia"/>
          <w:sz w:val="24"/>
          <w:szCs w:val="24"/>
        </w:rPr>
        <w:t>其接收的合伙企业向其划付的全部股权投资款用于对合肥赛越进行股权投资（优先用于实缴合肥赛</w:t>
      </w:r>
      <w:proofErr w:type="gramStart"/>
      <w:r>
        <w:rPr>
          <w:rFonts w:ascii="Times New Roman" w:eastAsia="楷体_GB2312" w:hAnsi="Times New Roman" w:hint="eastAsia"/>
          <w:sz w:val="24"/>
          <w:szCs w:val="24"/>
        </w:rPr>
        <w:t>越全部</w:t>
      </w:r>
      <w:proofErr w:type="gramEnd"/>
      <w:r>
        <w:rPr>
          <w:rFonts w:ascii="Times New Roman" w:eastAsia="楷体_GB2312" w:hAnsi="Times New Roman" w:hint="eastAsia"/>
          <w:sz w:val="24"/>
          <w:szCs w:val="24"/>
        </w:rPr>
        <w:t>注册资本，剩余部分全部计入合肥赛</w:t>
      </w:r>
      <w:proofErr w:type="gramStart"/>
      <w:r>
        <w:rPr>
          <w:rFonts w:ascii="Times New Roman" w:eastAsia="楷体_GB2312" w:hAnsi="Times New Roman" w:hint="eastAsia"/>
          <w:sz w:val="24"/>
          <w:szCs w:val="24"/>
        </w:rPr>
        <w:t>越资本</w:t>
      </w:r>
      <w:proofErr w:type="gramEnd"/>
      <w:r>
        <w:rPr>
          <w:rFonts w:ascii="Times New Roman" w:eastAsia="楷体_GB2312" w:hAnsi="Times New Roman" w:hint="eastAsia"/>
          <w:sz w:val="24"/>
          <w:szCs w:val="24"/>
        </w:rPr>
        <w:t>公积金），合肥赛越以其自</w:t>
      </w:r>
      <w:proofErr w:type="gramStart"/>
      <w:r>
        <w:rPr>
          <w:rFonts w:ascii="Times New Roman" w:eastAsia="楷体_GB2312" w:hAnsi="Times New Roman" w:hint="eastAsia"/>
          <w:sz w:val="24"/>
          <w:szCs w:val="24"/>
        </w:rPr>
        <w:t>合肥融沛接收</w:t>
      </w:r>
      <w:proofErr w:type="gramEnd"/>
      <w:r>
        <w:rPr>
          <w:rFonts w:ascii="Times New Roman" w:eastAsia="楷体_GB2312" w:hAnsi="Times New Roman" w:hint="eastAsia"/>
          <w:sz w:val="24"/>
          <w:szCs w:val="24"/>
        </w:rPr>
        <w:t>的全部股权投资款项用于向项目公司进行股权投资（优先用于实缴项目公司全部注册资本，剩余部分全部计入项目公司资本公积金），并最终由项目公司</w:t>
      </w:r>
      <w:r>
        <w:rPr>
          <w:rFonts w:ascii="楷体" w:eastAsia="楷体" w:hAnsi="楷体" w:hint="eastAsia"/>
          <w:sz w:val="24"/>
        </w:rPr>
        <w:t>将其接收的全</w:t>
      </w:r>
      <w:r>
        <w:rPr>
          <w:rFonts w:ascii="楷体" w:eastAsia="楷体" w:hAnsi="楷体" w:hint="eastAsia"/>
          <w:sz w:val="24"/>
        </w:rPr>
        <w:lastRenderedPageBreak/>
        <w:t>部股权投资款</w:t>
      </w:r>
      <w:r>
        <w:rPr>
          <w:rFonts w:ascii="Times New Roman" w:eastAsia="楷体_GB2312" w:hAnsi="Times New Roman" w:hint="eastAsia"/>
          <w:sz w:val="24"/>
          <w:szCs w:val="24"/>
        </w:rPr>
        <w:t>用于安徽省合肥市包河区河南路以东、大圩路以北的包河区地块（对应宗地编号：</w:t>
      </w:r>
      <w:r>
        <w:rPr>
          <w:rFonts w:ascii="Times New Roman" w:eastAsia="楷体_GB2312" w:hAnsi="Times New Roman" w:hint="eastAsia"/>
          <w:sz w:val="24"/>
          <w:szCs w:val="24"/>
        </w:rPr>
        <w:t>BH202101</w:t>
      </w:r>
      <w:r>
        <w:rPr>
          <w:rFonts w:ascii="Times New Roman" w:eastAsia="楷体_GB2312" w:hAnsi="Times New Roman" w:hint="eastAsia"/>
          <w:sz w:val="24"/>
          <w:szCs w:val="24"/>
        </w:rPr>
        <w:t>，以下简称“标的地块”）上的项目（以下简称“标的项目”）的开发建设或归还前期标的项目已投入的股东投资等</w:t>
      </w:r>
      <w:r>
        <w:rPr>
          <w:rFonts w:ascii="Times New Roman" w:eastAsia="楷体_GB2312" w:hAnsi="Times New Roman"/>
          <w:sz w:val="24"/>
        </w:rPr>
        <w:t>。</w:t>
      </w:r>
    </w:p>
    <w:p w14:paraId="4E3EBE53"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ab/>
      </w:r>
      <w:r>
        <w:rPr>
          <w:rFonts w:ascii="Times New Roman" w:eastAsia="楷体_GB2312" w:hAnsi="Times New Roman" w:hint="eastAsia"/>
          <w:sz w:val="24"/>
          <w:szCs w:val="24"/>
        </w:rPr>
        <w:t>合伙企业、合肥融沛、合肥赛越、项目公司（以下统称“被监管方”）、</w:t>
      </w:r>
      <w:r>
        <w:rPr>
          <w:rFonts w:ascii="Times New Roman" w:eastAsia="楷体_GB2312" w:hAnsi="Times New Roman" w:hint="eastAsia"/>
          <w:sz w:val="24"/>
          <w:szCs w:val="24"/>
        </w:rPr>
        <w:t>G</w:t>
      </w:r>
      <w:r>
        <w:rPr>
          <w:rFonts w:ascii="Times New Roman" w:eastAsia="楷体_GB2312" w:hAnsi="Times New Roman"/>
          <w:sz w:val="24"/>
          <w:szCs w:val="24"/>
        </w:rPr>
        <w:t>P</w:t>
      </w:r>
      <w:r>
        <w:rPr>
          <w:rFonts w:ascii="Times New Roman" w:eastAsia="楷体_GB2312" w:hAnsi="Times New Roman" w:hint="eastAsia"/>
          <w:sz w:val="24"/>
          <w:szCs w:val="24"/>
        </w:rPr>
        <w:t>公司同意光大信托、合伙企业以及光大信托委托监管公司对被监管方及标的项目的资金使用、工程进度、项目销售回款、印鉴</w:t>
      </w:r>
      <w:r>
        <w:rPr>
          <w:rFonts w:ascii="Times New Roman" w:eastAsia="楷体_GB2312" w:hAnsi="Times New Roman" w:hint="eastAsia"/>
          <w:sz w:val="24"/>
          <w:szCs w:val="24"/>
        </w:rPr>
        <w:t>/</w:t>
      </w:r>
      <w:r>
        <w:rPr>
          <w:rFonts w:ascii="Times New Roman" w:eastAsia="楷体_GB2312" w:hAnsi="Times New Roman" w:hint="eastAsia"/>
          <w:sz w:val="24"/>
          <w:szCs w:val="24"/>
        </w:rPr>
        <w:t>证照、账户管理及对</w:t>
      </w:r>
      <w:r>
        <w:rPr>
          <w:rFonts w:ascii="Times New Roman" w:eastAsia="楷体_GB2312" w:hAnsi="Times New Roman"/>
          <w:sz w:val="24"/>
          <w:szCs w:val="24"/>
        </w:rPr>
        <w:t>GP</w:t>
      </w:r>
      <w:r>
        <w:rPr>
          <w:rFonts w:ascii="Times New Roman" w:eastAsia="楷体_GB2312" w:hAnsi="Times New Roman" w:hint="eastAsia"/>
          <w:sz w:val="24"/>
          <w:szCs w:val="24"/>
        </w:rPr>
        <w:t>公司的印鉴</w:t>
      </w:r>
      <w:r>
        <w:rPr>
          <w:rFonts w:ascii="Times New Roman" w:eastAsia="楷体_GB2312" w:hAnsi="Times New Roman" w:hint="eastAsia"/>
          <w:sz w:val="24"/>
          <w:szCs w:val="24"/>
        </w:rPr>
        <w:t>/</w:t>
      </w:r>
      <w:r>
        <w:rPr>
          <w:rFonts w:ascii="Times New Roman" w:eastAsia="楷体_GB2312" w:hAnsi="Times New Roman" w:hint="eastAsia"/>
          <w:sz w:val="24"/>
          <w:szCs w:val="24"/>
        </w:rPr>
        <w:t>证照等事项进行监管。</w:t>
      </w:r>
    </w:p>
    <w:p w14:paraId="58185370"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3845CEFF"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为此，各方本着互惠互利、真诚合作的原则，经协商一致，达成本合同条款，以资共同信守。具体内容如下：</w:t>
      </w:r>
    </w:p>
    <w:p w14:paraId="6922E846"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7B35A4E3"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第一条：项目概况</w:t>
      </w:r>
    </w:p>
    <w:p w14:paraId="5403820A"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1.1</w:t>
      </w:r>
      <w:r>
        <w:rPr>
          <w:rFonts w:ascii="Times New Roman" w:eastAsia="楷体_GB2312" w:hAnsi="Times New Roman"/>
          <w:sz w:val="24"/>
          <w:szCs w:val="24"/>
        </w:rPr>
        <w:tab/>
      </w:r>
      <w:r>
        <w:rPr>
          <w:rFonts w:ascii="Times New Roman" w:eastAsia="楷体_GB2312" w:hAnsi="Times New Roman"/>
          <w:sz w:val="24"/>
          <w:szCs w:val="24"/>
        </w:rPr>
        <w:t>项目地址：</w:t>
      </w:r>
      <w:r>
        <w:rPr>
          <w:rFonts w:ascii="Times New Roman" w:eastAsia="楷体_GB2312" w:hAnsi="Times New Roman" w:hint="eastAsia"/>
          <w:sz w:val="24"/>
          <w:szCs w:val="24"/>
        </w:rPr>
        <w:t>安徽省合肥市包河区河南路以东、大圩路以北的包河区</w:t>
      </w:r>
      <w:r>
        <w:rPr>
          <w:rFonts w:ascii="Times New Roman" w:eastAsia="楷体_GB2312" w:hAnsi="Times New Roman" w:hint="eastAsia"/>
          <w:sz w:val="24"/>
          <w:szCs w:val="24"/>
        </w:rPr>
        <w:t>BH202101</w:t>
      </w:r>
      <w:r>
        <w:rPr>
          <w:rFonts w:ascii="Times New Roman" w:eastAsia="楷体_GB2312" w:hAnsi="Times New Roman" w:hint="eastAsia"/>
          <w:sz w:val="24"/>
          <w:szCs w:val="24"/>
        </w:rPr>
        <w:t>号地块</w:t>
      </w:r>
    </w:p>
    <w:p w14:paraId="25A090ED"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1.2</w:t>
      </w:r>
      <w:r>
        <w:rPr>
          <w:rFonts w:ascii="Times New Roman" w:eastAsia="楷体_GB2312" w:hAnsi="Times New Roman"/>
          <w:sz w:val="24"/>
          <w:szCs w:val="24"/>
        </w:rPr>
        <w:tab/>
      </w:r>
      <w:r>
        <w:rPr>
          <w:rFonts w:ascii="Times New Roman" w:eastAsia="楷体_GB2312" w:hAnsi="Times New Roman"/>
          <w:sz w:val="24"/>
          <w:szCs w:val="24"/>
        </w:rPr>
        <w:t>项目公司名称：</w:t>
      </w:r>
      <w:r>
        <w:rPr>
          <w:rFonts w:ascii="Times New Roman" w:eastAsia="楷体_GB2312" w:hAnsi="Times New Roman" w:hint="eastAsia"/>
          <w:sz w:val="24"/>
          <w:szCs w:val="24"/>
        </w:rPr>
        <w:t>合肥融望置业有限公司</w:t>
      </w:r>
    </w:p>
    <w:p w14:paraId="1BE49F07"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1.3</w:t>
      </w:r>
      <w:r>
        <w:rPr>
          <w:rFonts w:ascii="Times New Roman" w:eastAsia="楷体_GB2312" w:hAnsi="Times New Roman"/>
          <w:sz w:val="24"/>
          <w:szCs w:val="24"/>
        </w:rPr>
        <w:tab/>
      </w:r>
      <w:r>
        <w:rPr>
          <w:rFonts w:ascii="Times New Roman" w:eastAsia="楷体_GB2312" w:hAnsi="Times New Roman" w:hint="eastAsia"/>
          <w:sz w:val="24"/>
          <w:szCs w:val="24"/>
        </w:rPr>
        <w:t>标的</w:t>
      </w:r>
      <w:r>
        <w:rPr>
          <w:rFonts w:ascii="Times New Roman" w:eastAsia="楷体_GB2312" w:hAnsi="Times New Roman"/>
          <w:sz w:val="24"/>
          <w:szCs w:val="24"/>
        </w:rPr>
        <w:t>项目基本指标：</w:t>
      </w:r>
      <w:r>
        <w:rPr>
          <w:rFonts w:ascii="Times New Roman" w:eastAsia="楷体_GB2312" w:hAnsi="Times New Roman" w:hint="eastAsia"/>
          <w:sz w:val="24"/>
          <w:szCs w:val="24"/>
        </w:rPr>
        <w:t>标的</w:t>
      </w:r>
      <w:r>
        <w:rPr>
          <w:rFonts w:ascii="Times New Roman" w:eastAsia="楷体_GB2312" w:hAnsi="Times New Roman"/>
          <w:sz w:val="24"/>
          <w:szCs w:val="24"/>
        </w:rPr>
        <w:t>地块占地面积</w:t>
      </w:r>
      <w:r>
        <w:rPr>
          <w:rFonts w:ascii="Times New Roman" w:eastAsia="楷体_GB2312" w:hAnsi="Times New Roman" w:hint="eastAsia"/>
          <w:sz w:val="24"/>
          <w:szCs w:val="24"/>
        </w:rPr>
        <w:t>【</w:t>
      </w:r>
      <w:r>
        <w:rPr>
          <w:rFonts w:ascii="Times New Roman" w:eastAsia="楷体_GB2312" w:hAnsi="Times New Roman" w:hint="eastAsia"/>
          <w:sz w:val="24"/>
          <w:szCs w:val="24"/>
        </w:rPr>
        <w:t>6</w:t>
      </w:r>
      <w:r>
        <w:rPr>
          <w:rFonts w:ascii="Times New Roman" w:eastAsia="楷体_GB2312" w:hAnsi="Times New Roman"/>
          <w:sz w:val="24"/>
          <w:szCs w:val="24"/>
        </w:rPr>
        <w:t>0873.23</w:t>
      </w:r>
      <w:r>
        <w:rPr>
          <w:rFonts w:ascii="Times New Roman" w:eastAsia="楷体_GB2312" w:hAnsi="Times New Roman" w:hint="eastAsia"/>
          <w:sz w:val="24"/>
          <w:szCs w:val="24"/>
        </w:rPr>
        <w:t>】</w:t>
      </w:r>
      <w:r>
        <w:rPr>
          <w:rFonts w:ascii="Times New Roman" w:eastAsia="楷体_GB2312" w:hAnsi="Times New Roman"/>
          <w:sz w:val="24"/>
          <w:szCs w:val="24"/>
        </w:rPr>
        <w:t>平方米</w:t>
      </w:r>
      <w:r>
        <w:rPr>
          <w:rFonts w:ascii="Times New Roman" w:eastAsia="楷体_GB2312" w:hAnsi="Times New Roman" w:hint="eastAsia"/>
          <w:sz w:val="24"/>
          <w:szCs w:val="24"/>
        </w:rPr>
        <w:t>，用地性质为【住宅用地】，容积率不得大于【</w:t>
      </w:r>
      <w:r>
        <w:rPr>
          <w:rFonts w:ascii="Times New Roman" w:eastAsia="楷体_GB2312" w:hAnsi="Times New Roman" w:hint="eastAsia"/>
          <w:sz w:val="24"/>
          <w:szCs w:val="24"/>
        </w:rPr>
        <w:t>1</w:t>
      </w:r>
      <w:r>
        <w:rPr>
          <w:rFonts w:ascii="Times New Roman" w:eastAsia="楷体_GB2312" w:hAnsi="Times New Roman"/>
          <w:sz w:val="24"/>
          <w:szCs w:val="24"/>
        </w:rPr>
        <w:t>.8</w:t>
      </w:r>
      <w:r>
        <w:rPr>
          <w:rFonts w:ascii="Times New Roman" w:eastAsia="楷体_GB2312" w:hAnsi="Times New Roman" w:hint="eastAsia"/>
          <w:sz w:val="24"/>
          <w:szCs w:val="24"/>
        </w:rPr>
        <w:t>】；建筑密度不得大于【</w:t>
      </w:r>
      <w:r>
        <w:rPr>
          <w:rFonts w:ascii="Times New Roman" w:eastAsia="楷体_GB2312" w:hAnsi="Times New Roman" w:hint="eastAsia"/>
          <w:sz w:val="24"/>
          <w:szCs w:val="24"/>
        </w:rPr>
        <w:t>2</w:t>
      </w: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hint="eastAsia"/>
          <w:sz w:val="24"/>
          <w:szCs w:val="24"/>
        </w:rPr>
        <w:t>%</w:t>
      </w:r>
      <w:r>
        <w:rPr>
          <w:rFonts w:ascii="Times New Roman" w:eastAsia="楷体_GB2312" w:hAnsi="Times New Roman" w:hint="eastAsia"/>
          <w:sz w:val="24"/>
          <w:szCs w:val="24"/>
        </w:rPr>
        <w:t>，绿地率不得小于【</w:t>
      </w:r>
      <w:r>
        <w:rPr>
          <w:rFonts w:ascii="Times New Roman" w:eastAsia="楷体_GB2312" w:hAnsi="Times New Roman" w:hint="eastAsia"/>
          <w:sz w:val="24"/>
          <w:szCs w:val="24"/>
        </w:rPr>
        <w:t>4</w:t>
      </w:r>
      <w:r>
        <w:rPr>
          <w:rFonts w:ascii="Times New Roman" w:eastAsia="楷体_GB2312" w:hAnsi="Times New Roman"/>
          <w:sz w:val="24"/>
          <w:szCs w:val="24"/>
        </w:rPr>
        <w:t>0</w:t>
      </w:r>
      <w:r>
        <w:rPr>
          <w:rFonts w:ascii="Times New Roman" w:eastAsia="楷体_GB2312" w:hAnsi="Times New Roman" w:hint="eastAsia"/>
          <w:sz w:val="24"/>
          <w:szCs w:val="24"/>
        </w:rPr>
        <w:t>】</w:t>
      </w:r>
      <w:r>
        <w:rPr>
          <w:rFonts w:ascii="Times New Roman" w:eastAsia="楷体_GB2312" w:hAnsi="Times New Roman" w:hint="eastAsia"/>
          <w:sz w:val="24"/>
          <w:szCs w:val="24"/>
        </w:rPr>
        <w:t>%</w:t>
      </w:r>
      <w:r>
        <w:rPr>
          <w:rFonts w:ascii="Times New Roman" w:eastAsia="楷体_GB2312" w:hAnsi="Times New Roman" w:hint="eastAsia"/>
          <w:sz w:val="24"/>
          <w:szCs w:val="24"/>
        </w:rPr>
        <w:t>，建筑控制高度不得大于【</w:t>
      </w:r>
      <w:r>
        <w:rPr>
          <w:rFonts w:ascii="Times New Roman" w:eastAsia="楷体_GB2312" w:hAnsi="Times New Roman" w:hint="eastAsia"/>
          <w:sz w:val="24"/>
          <w:szCs w:val="24"/>
        </w:rPr>
        <w:t>6</w:t>
      </w:r>
      <w:r>
        <w:rPr>
          <w:rFonts w:ascii="Times New Roman" w:eastAsia="楷体_GB2312" w:hAnsi="Times New Roman"/>
          <w:sz w:val="24"/>
          <w:szCs w:val="24"/>
        </w:rPr>
        <w:t>0</w:t>
      </w:r>
      <w:r>
        <w:rPr>
          <w:rFonts w:ascii="Times New Roman" w:eastAsia="楷体_GB2312" w:hAnsi="Times New Roman" w:hint="eastAsia"/>
          <w:sz w:val="24"/>
          <w:szCs w:val="24"/>
        </w:rPr>
        <w:t>】米</w:t>
      </w:r>
      <w:r>
        <w:rPr>
          <w:rFonts w:ascii="Times New Roman" w:eastAsia="楷体_GB2312" w:hAnsi="Times New Roman"/>
          <w:sz w:val="24"/>
          <w:szCs w:val="24"/>
        </w:rPr>
        <w:t>，</w:t>
      </w:r>
      <w:proofErr w:type="gramStart"/>
      <w:r>
        <w:rPr>
          <w:rFonts w:ascii="Times New Roman" w:eastAsia="楷体_GB2312" w:hAnsi="Times New Roman" w:hint="eastAsia"/>
          <w:sz w:val="24"/>
          <w:szCs w:val="24"/>
        </w:rPr>
        <w:t>自持</w:t>
      </w:r>
      <w:proofErr w:type="gramEnd"/>
      <w:r>
        <w:rPr>
          <w:rFonts w:ascii="Times New Roman" w:eastAsia="楷体_GB2312" w:hAnsi="Times New Roman" w:hint="eastAsia"/>
          <w:sz w:val="24"/>
          <w:szCs w:val="24"/>
        </w:rPr>
        <w:t>用于租赁的商品</w:t>
      </w:r>
      <w:proofErr w:type="gramStart"/>
      <w:r>
        <w:rPr>
          <w:rFonts w:ascii="Times New Roman" w:eastAsia="楷体_GB2312" w:hAnsi="Times New Roman" w:hint="eastAsia"/>
          <w:sz w:val="24"/>
          <w:szCs w:val="24"/>
        </w:rPr>
        <w:t>住房计容</w:t>
      </w:r>
      <w:r>
        <w:rPr>
          <w:rFonts w:ascii="Times New Roman" w:eastAsia="楷体_GB2312" w:hAnsi="Times New Roman"/>
          <w:sz w:val="24"/>
          <w:szCs w:val="24"/>
        </w:rPr>
        <w:t>建筑面积</w:t>
      </w:r>
      <w:proofErr w:type="gramEnd"/>
      <w:r>
        <w:rPr>
          <w:rFonts w:ascii="Times New Roman" w:eastAsia="楷体_GB2312" w:hAnsi="Times New Roman" w:hint="eastAsia"/>
          <w:sz w:val="24"/>
          <w:szCs w:val="24"/>
        </w:rPr>
        <w:t>为【</w:t>
      </w:r>
      <w:r>
        <w:rPr>
          <w:rFonts w:ascii="Times New Roman" w:eastAsia="楷体_GB2312" w:hAnsi="Times New Roman" w:hint="eastAsia"/>
          <w:sz w:val="24"/>
          <w:szCs w:val="24"/>
        </w:rPr>
        <w:t>4</w:t>
      </w:r>
      <w:r>
        <w:rPr>
          <w:rFonts w:ascii="Times New Roman" w:eastAsia="楷体_GB2312" w:hAnsi="Times New Roman"/>
          <w:sz w:val="24"/>
          <w:szCs w:val="24"/>
        </w:rPr>
        <w:t>3400</w:t>
      </w:r>
      <w:r>
        <w:rPr>
          <w:rFonts w:ascii="Times New Roman" w:eastAsia="楷体_GB2312" w:hAnsi="Times New Roman" w:hint="eastAsia"/>
          <w:sz w:val="24"/>
          <w:szCs w:val="24"/>
        </w:rPr>
        <w:t>】</w:t>
      </w:r>
      <w:r>
        <w:rPr>
          <w:rFonts w:ascii="Times New Roman" w:eastAsia="楷体_GB2312" w:hAnsi="Times New Roman"/>
          <w:sz w:val="24"/>
          <w:szCs w:val="24"/>
        </w:rPr>
        <w:t>平</w:t>
      </w:r>
      <w:r>
        <w:rPr>
          <w:rFonts w:ascii="Times New Roman" w:eastAsia="楷体_GB2312" w:hAnsi="Times New Roman" w:hint="eastAsia"/>
          <w:sz w:val="24"/>
          <w:szCs w:val="24"/>
        </w:rPr>
        <w:t>方</w:t>
      </w:r>
      <w:r>
        <w:rPr>
          <w:rFonts w:ascii="Times New Roman" w:eastAsia="楷体_GB2312" w:hAnsi="Times New Roman"/>
          <w:sz w:val="24"/>
          <w:szCs w:val="24"/>
        </w:rPr>
        <w:t>米。</w:t>
      </w:r>
    </w:p>
    <w:p w14:paraId="2CB59B99"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4E1EFE12"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b/>
          <w:sz w:val="24"/>
          <w:szCs w:val="24"/>
        </w:rPr>
        <w:t>第二条：</w:t>
      </w:r>
      <w:r>
        <w:rPr>
          <w:rFonts w:ascii="Times New Roman" w:eastAsia="楷体_GB2312" w:hAnsi="Times New Roman" w:hint="eastAsia"/>
          <w:b/>
          <w:sz w:val="24"/>
          <w:szCs w:val="24"/>
        </w:rPr>
        <w:t>监管及</w:t>
      </w:r>
      <w:r>
        <w:rPr>
          <w:rFonts w:ascii="Times New Roman" w:eastAsia="楷体_GB2312" w:hAnsi="Times New Roman"/>
          <w:b/>
          <w:sz w:val="24"/>
          <w:szCs w:val="24"/>
        </w:rPr>
        <w:t>监管委托</w:t>
      </w:r>
    </w:p>
    <w:p w14:paraId="1605C8F1" w14:textId="77777777" w:rsidR="00CC4C43" w:rsidRDefault="007731E0">
      <w:pPr>
        <w:adjustRightInd w:val="0"/>
        <w:snapToGrid w:val="0"/>
        <w:spacing w:afterLines="20" w:after="62" w:line="288" w:lineRule="auto"/>
        <w:ind w:firstLine="420"/>
        <w:rPr>
          <w:rFonts w:ascii="Times New Roman" w:eastAsia="楷体_GB2312" w:hAnsi="Times New Roman"/>
          <w:sz w:val="24"/>
          <w:szCs w:val="24"/>
        </w:rPr>
      </w:pPr>
      <w:proofErr w:type="gramStart"/>
      <w:r>
        <w:rPr>
          <w:rFonts w:ascii="Times New Roman" w:eastAsia="楷体_GB2312" w:hAnsi="Times New Roman"/>
          <w:sz w:val="24"/>
          <w:szCs w:val="24"/>
        </w:rPr>
        <w:t>庚方应</w:t>
      </w:r>
      <w:proofErr w:type="gramEnd"/>
      <w:r>
        <w:rPr>
          <w:rFonts w:ascii="Times New Roman" w:eastAsia="楷体_GB2312" w:hAnsi="Times New Roman"/>
          <w:sz w:val="24"/>
          <w:szCs w:val="24"/>
        </w:rPr>
        <w:t>就</w:t>
      </w:r>
      <w:r>
        <w:rPr>
          <w:rFonts w:ascii="Times New Roman" w:eastAsia="楷体_GB2312" w:hAnsi="Times New Roman" w:hint="eastAsia"/>
          <w:sz w:val="24"/>
          <w:szCs w:val="24"/>
        </w:rPr>
        <w:t>被监管方及</w:t>
      </w:r>
      <w:r>
        <w:rPr>
          <w:rFonts w:ascii="Times New Roman" w:eastAsia="楷体_GB2312" w:hAnsi="Times New Roman"/>
          <w:sz w:val="24"/>
          <w:szCs w:val="24"/>
        </w:rPr>
        <w:t>标的项目提供下列服务，以配合甲方</w:t>
      </w:r>
      <w:r>
        <w:rPr>
          <w:rFonts w:ascii="Times New Roman" w:eastAsia="楷体_GB2312" w:hAnsi="Times New Roman" w:hint="eastAsia"/>
          <w:sz w:val="24"/>
          <w:szCs w:val="24"/>
        </w:rPr>
        <w:t>、乙方</w:t>
      </w:r>
      <w:r>
        <w:rPr>
          <w:rFonts w:ascii="Times New Roman" w:eastAsia="楷体_GB2312" w:hAnsi="Times New Roman"/>
          <w:sz w:val="24"/>
          <w:szCs w:val="24"/>
        </w:rPr>
        <w:t>对</w:t>
      </w:r>
      <w:r>
        <w:rPr>
          <w:rFonts w:ascii="Times New Roman" w:eastAsia="楷体_GB2312" w:hAnsi="Times New Roman" w:hint="eastAsia"/>
          <w:sz w:val="24"/>
          <w:szCs w:val="24"/>
        </w:rPr>
        <w:t>被监管方及标的项目</w:t>
      </w:r>
      <w:r>
        <w:rPr>
          <w:rFonts w:ascii="Times New Roman" w:eastAsia="楷体_GB2312" w:hAnsi="Times New Roman"/>
          <w:sz w:val="24"/>
          <w:szCs w:val="24"/>
        </w:rPr>
        <w:t>的管理：</w:t>
      </w:r>
    </w:p>
    <w:p w14:paraId="76FA7534" w14:textId="77777777" w:rsidR="00CC4C43" w:rsidRDefault="007731E0">
      <w:pPr>
        <w:adjustRightInd w:val="0"/>
        <w:snapToGrid w:val="0"/>
        <w:spacing w:afterLines="20" w:after="62" w:line="288" w:lineRule="auto"/>
        <w:rPr>
          <w:rFonts w:ascii="Times New Roman" w:eastAsia="楷体_GB2312" w:hAnsi="Times New Roman"/>
          <w:b/>
          <w:bCs/>
          <w:sz w:val="24"/>
          <w:szCs w:val="24"/>
        </w:rPr>
      </w:pPr>
      <w:r>
        <w:rPr>
          <w:rFonts w:ascii="Times New Roman" w:eastAsia="楷体_GB2312" w:hAnsi="Times New Roman"/>
          <w:b/>
          <w:bCs/>
          <w:sz w:val="24"/>
          <w:szCs w:val="24"/>
        </w:rPr>
        <w:t>2.1</w:t>
      </w:r>
      <w:r>
        <w:rPr>
          <w:rFonts w:ascii="Times New Roman" w:eastAsia="楷体_GB2312" w:hAnsi="Times New Roman"/>
          <w:b/>
          <w:bCs/>
          <w:sz w:val="24"/>
          <w:szCs w:val="24"/>
        </w:rPr>
        <w:tab/>
      </w:r>
      <w:r>
        <w:rPr>
          <w:rFonts w:ascii="Times New Roman" w:eastAsia="楷体_GB2312" w:hAnsi="Times New Roman" w:hint="eastAsia"/>
          <w:b/>
          <w:bCs/>
          <w:sz w:val="24"/>
          <w:szCs w:val="24"/>
        </w:rPr>
        <w:t>监管依据</w:t>
      </w:r>
    </w:p>
    <w:p w14:paraId="016F39D1" w14:textId="77777777" w:rsidR="00CC4C43" w:rsidRDefault="007731E0">
      <w:pPr>
        <w:adjustRightInd w:val="0"/>
        <w:snapToGrid w:val="0"/>
        <w:spacing w:afterLines="20" w:after="62" w:line="288" w:lineRule="auto"/>
        <w:ind w:left="228" w:firstLine="192"/>
        <w:rPr>
          <w:rFonts w:ascii="Times New Roman" w:eastAsia="楷体_GB2312" w:hAnsi="Times New Roman"/>
          <w:sz w:val="24"/>
          <w:szCs w:val="24"/>
        </w:rPr>
      </w:pPr>
      <w:r>
        <w:rPr>
          <w:rFonts w:ascii="Times New Roman" w:eastAsia="楷体_GB2312" w:hAnsi="Times New Roman" w:hint="eastAsia"/>
          <w:sz w:val="24"/>
          <w:szCs w:val="24"/>
        </w:rPr>
        <w:t>甲方、乙方、</w:t>
      </w:r>
      <w:proofErr w:type="gramStart"/>
      <w:r>
        <w:rPr>
          <w:rFonts w:ascii="Times New Roman" w:eastAsia="楷体_GB2312" w:hAnsi="Times New Roman"/>
          <w:sz w:val="24"/>
          <w:szCs w:val="24"/>
        </w:rPr>
        <w:t>庚方对</w:t>
      </w:r>
      <w:proofErr w:type="gramEnd"/>
      <w:r>
        <w:rPr>
          <w:rFonts w:ascii="Times New Roman" w:eastAsia="楷体_GB2312" w:hAnsi="Times New Roman" w:hint="eastAsia"/>
          <w:sz w:val="24"/>
          <w:szCs w:val="24"/>
        </w:rPr>
        <w:t>被监管方</w:t>
      </w:r>
      <w:r>
        <w:rPr>
          <w:rFonts w:ascii="Times New Roman" w:eastAsia="楷体_GB2312" w:hAnsi="Times New Roman"/>
          <w:sz w:val="24"/>
          <w:szCs w:val="24"/>
        </w:rPr>
        <w:t>进行投后管理的依据包括但不限于：</w:t>
      </w:r>
    </w:p>
    <w:p w14:paraId="2309A606" w14:textId="2CA0A72A"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2.1.1</w:t>
      </w:r>
      <w:r>
        <w:rPr>
          <w:rFonts w:ascii="Times New Roman" w:eastAsia="楷体_GB2312" w:hAnsi="Times New Roman"/>
          <w:sz w:val="24"/>
          <w:szCs w:val="24"/>
        </w:rPr>
        <w:tab/>
      </w:r>
      <w:r>
        <w:rPr>
          <w:rFonts w:ascii="Times New Roman" w:eastAsia="楷体_GB2312" w:hAnsi="Times New Roman"/>
          <w:sz w:val="24"/>
          <w:szCs w:val="24"/>
        </w:rPr>
        <w:t>甲方</w:t>
      </w:r>
      <w:r>
        <w:rPr>
          <w:rFonts w:ascii="Times New Roman" w:eastAsia="楷体_GB2312" w:hAnsi="Times New Roman" w:hint="eastAsia"/>
          <w:sz w:val="24"/>
          <w:szCs w:val="24"/>
        </w:rPr>
        <w:t>、乙方</w:t>
      </w:r>
      <w:r>
        <w:rPr>
          <w:rFonts w:ascii="Times New Roman" w:eastAsia="楷体_GB2312" w:hAnsi="Times New Roman"/>
          <w:sz w:val="24"/>
          <w:szCs w:val="24"/>
        </w:rPr>
        <w:t>与</w:t>
      </w:r>
      <w:r>
        <w:rPr>
          <w:rFonts w:ascii="Times New Roman" w:eastAsia="楷体_GB2312" w:hAnsi="Times New Roman" w:hint="eastAsia"/>
          <w:sz w:val="24"/>
          <w:szCs w:val="24"/>
        </w:rPr>
        <w:t>交易对手</w:t>
      </w:r>
      <w:r>
        <w:rPr>
          <w:rFonts w:ascii="Times New Roman" w:eastAsia="楷体_GB2312" w:hAnsi="Times New Roman"/>
          <w:sz w:val="24"/>
          <w:szCs w:val="24"/>
        </w:rPr>
        <w:t>签订的《</w:t>
      </w:r>
      <w:r>
        <w:rPr>
          <w:rFonts w:ascii="Times New Roman" w:eastAsia="楷体_GB2312" w:hAnsi="Times New Roman" w:hint="eastAsia"/>
          <w:sz w:val="24"/>
          <w:szCs w:val="24"/>
        </w:rPr>
        <w:t>光信·光乾·增益尊享</w:t>
      </w:r>
      <w:r>
        <w:rPr>
          <w:rFonts w:ascii="Times New Roman" w:eastAsia="楷体_GB2312" w:hAnsi="Times New Roman" w:hint="eastAsia"/>
          <w:sz w:val="24"/>
          <w:szCs w:val="24"/>
        </w:rPr>
        <w:t>26</w:t>
      </w:r>
      <w:r>
        <w:rPr>
          <w:rFonts w:ascii="Times New Roman" w:eastAsia="楷体_GB2312" w:hAnsi="Times New Roman" w:hint="eastAsia"/>
          <w:sz w:val="24"/>
          <w:szCs w:val="24"/>
        </w:rPr>
        <w:t>号集合资金信托计划之</w:t>
      </w:r>
      <w:r>
        <w:rPr>
          <w:rFonts w:ascii="Times New Roman" w:eastAsia="楷体_GB2312" w:hAnsi="Times New Roman"/>
          <w:sz w:val="24"/>
          <w:szCs w:val="24"/>
        </w:rPr>
        <w:t>合作</w:t>
      </w:r>
      <w:r>
        <w:rPr>
          <w:rFonts w:ascii="Times New Roman" w:eastAsia="楷体_GB2312" w:hAnsi="Times New Roman" w:hint="eastAsia"/>
          <w:sz w:val="24"/>
          <w:szCs w:val="24"/>
        </w:rPr>
        <w:t>框架</w:t>
      </w:r>
      <w:r>
        <w:rPr>
          <w:rFonts w:ascii="Times New Roman" w:eastAsia="楷体_GB2312" w:hAnsi="Times New Roman"/>
          <w:sz w:val="24"/>
          <w:szCs w:val="24"/>
        </w:rPr>
        <w:t>协议》</w:t>
      </w:r>
      <w:r>
        <w:rPr>
          <w:rFonts w:ascii="Times New Roman" w:eastAsia="楷体_GB2312" w:hAnsi="Times New Roman" w:hint="eastAsia"/>
          <w:sz w:val="24"/>
          <w:szCs w:val="24"/>
        </w:rPr>
        <w:t>（协议编号</w:t>
      </w:r>
      <w:r>
        <w:rPr>
          <w:rFonts w:ascii="Times New Roman" w:eastAsia="楷体_GB2312" w:hAnsi="Times New Roman" w:hint="eastAsia"/>
          <w:sz w:val="24"/>
          <w:szCs w:val="24"/>
        </w:rPr>
        <w:t>2021Z0482-</w:t>
      </w:r>
      <w:r>
        <w:rPr>
          <w:rFonts w:ascii="Times New Roman" w:eastAsia="楷体_GB2312" w:hAnsi="Times New Roman" w:hint="eastAsia"/>
          <w:sz w:val="24"/>
          <w:szCs w:val="24"/>
        </w:rPr>
        <w:t>框架</w:t>
      </w:r>
      <w:r>
        <w:rPr>
          <w:rFonts w:ascii="Times New Roman" w:eastAsia="楷体_GB2312" w:hAnsi="Times New Roman" w:hint="eastAsia"/>
          <w:sz w:val="24"/>
          <w:szCs w:val="24"/>
        </w:rPr>
        <w:t>0</w:t>
      </w:r>
      <w:r>
        <w:rPr>
          <w:rFonts w:ascii="Times New Roman" w:eastAsia="楷体_GB2312" w:hAnsi="Times New Roman"/>
          <w:sz w:val="24"/>
          <w:szCs w:val="24"/>
        </w:rPr>
        <w:t>01</w:t>
      </w:r>
      <w:r>
        <w:rPr>
          <w:rFonts w:ascii="Times New Roman" w:eastAsia="楷体_GB2312" w:hAnsi="Times New Roman" w:hint="eastAsia"/>
          <w:sz w:val="24"/>
          <w:szCs w:val="24"/>
        </w:rPr>
        <w:t>，以下简称“《合作框架协议》”）</w:t>
      </w:r>
      <w:r>
        <w:rPr>
          <w:rFonts w:ascii="Times New Roman" w:eastAsia="楷体_GB2312" w:hAnsi="Times New Roman"/>
          <w:sz w:val="24"/>
          <w:szCs w:val="24"/>
        </w:rPr>
        <w:t>、《</w:t>
      </w:r>
      <w:r>
        <w:rPr>
          <w:rFonts w:ascii="楷体" w:eastAsia="楷体" w:hAnsi="楷体" w:hint="eastAsia"/>
          <w:b/>
          <w:bCs/>
          <w:sz w:val="24"/>
        </w:rPr>
        <w:t>合肥融畔企业管理合伙企业</w:t>
      </w:r>
      <w:r>
        <w:rPr>
          <w:rFonts w:ascii="Times New Roman" w:eastAsia="楷体_GB2312" w:hAnsi="Times New Roman" w:hint="eastAsia"/>
          <w:sz w:val="24"/>
          <w:szCs w:val="24"/>
        </w:rPr>
        <w:t>（有限合伙）之有限合伙协议补充协议</w:t>
      </w:r>
      <w:r>
        <w:rPr>
          <w:rFonts w:ascii="Times New Roman" w:eastAsia="楷体_GB2312" w:hAnsi="Times New Roman"/>
          <w:sz w:val="24"/>
          <w:szCs w:val="24"/>
        </w:rPr>
        <w:t>》（协议编号</w:t>
      </w:r>
      <w:r>
        <w:rPr>
          <w:rFonts w:ascii="Times New Roman" w:eastAsia="楷体_GB2312" w:hAnsi="Times New Roman"/>
          <w:sz w:val="24"/>
          <w:szCs w:val="24"/>
        </w:rPr>
        <w:t>2021Z0482-</w:t>
      </w:r>
      <w:r>
        <w:rPr>
          <w:rFonts w:ascii="Times New Roman" w:eastAsia="楷体_GB2312" w:hAnsi="Times New Roman" w:hint="eastAsia"/>
          <w:sz w:val="24"/>
          <w:szCs w:val="24"/>
        </w:rPr>
        <w:t>合伙</w:t>
      </w:r>
      <w:r>
        <w:rPr>
          <w:rFonts w:ascii="Times New Roman" w:eastAsia="楷体_GB2312" w:hAnsi="Times New Roman" w:hint="eastAsia"/>
          <w:sz w:val="24"/>
          <w:szCs w:val="24"/>
        </w:rPr>
        <w:t>0</w:t>
      </w:r>
      <w:r>
        <w:rPr>
          <w:rFonts w:ascii="Times New Roman" w:eastAsia="楷体_GB2312" w:hAnsi="Times New Roman"/>
          <w:sz w:val="24"/>
          <w:szCs w:val="24"/>
        </w:rPr>
        <w:t>01</w:t>
      </w:r>
      <w:r>
        <w:rPr>
          <w:rFonts w:ascii="Times New Roman" w:eastAsia="楷体_GB2312" w:hAnsi="Times New Roman"/>
          <w:sz w:val="24"/>
          <w:szCs w:val="24"/>
        </w:rPr>
        <w:t>，以下简称</w:t>
      </w:r>
      <w:r>
        <w:rPr>
          <w:rFonts w:ascii="Times New Roman" w:eastAsia="楷体_GB2312" w:hAnsi="Times New Roman"/>
          <w:sz w:val="24"/>
          <w:szCs w:val="24"/>
        </w:rPr>
        <w:t>“</w:t>
      </w:r>
      <w:r>
        <w:rPr>
          <w:rFonts w:ascii="Times New Roman" w:eastAsia="楷体_GB2312" w:hAnsi="Times New Roman"/>
          <w:sz w:val="24"/>
          <w:szCs w:val="24"/>
        </w:rPr>
        <w:t>《</w:t>
      </w:r>
      <w:r>
        <w:rPr>
          <w:rFonts w:ascii="Times New Roman" w:eastAsia="楷体_GB2312" w:hAnsi="Times New Roman" w:hint="eastAsia"/>
          <w:sz w:val="24"/>
          <w:szCs w:val="24"/>
        </w:rPr>
        <w:t>有限合伙协议</w:t>
      </w:r>
      <w:r>
        <w:rPr>
          <w:rFonts w:ascii="Times New Roman" w:eastAsia="楷体_GB2312" w:hAnsi="Times New Roman"/>
          <w:sz w:val="24"/>
          <w:szCs w:val="24"/>
        </w:rPr>
        <w:t>》</w:t>
      </w:r>
      <w:r>
        <w:rPr>
          <w:rFonts w:ascii="Times New Roman" w:eastAsia="楷体_GB2312" w:hAnsi="Times New Roman"/>
          <w:sz w:val="24"/>
          <w:szCs w:val="24"/>
        </w:rPr>
        <w:t>”</w:t>
      </w:r>
      <w:r>
        <w:rPr>
          <w:rFonts w:ascii="Times New Roman" w:eastAsia="楷体_GB2312" w:hAnsi="Times New Roman"/>
          <w:sz w:val="24"/>
          <w:szCs w:val="24"/>
        </w:rPr>
        <w:t>）</w:t>
      </w:r>
      <w:r>
        <w:rPr>
          <w:rFonts w:ascii="Times New Roman" w:eastAsia="楷体_GB2312" w:hAnsi="Times New Roman" w:hint="eastAsia"/>
          <w:sz w:val="24"/>
          <w:szCs w:val="24"/>
        </w:rPr>
        <w:t>、《光信·光乾·增益尊享</w:t>
      </w:r>
      <w:r>
        <w:rPr>
          <w:rFonts w:ascii="Times New Roman" w:eastAsia="楷体_GB2312" w:hAnsi="Times New Roman" w:hint="eastAsia"/>
          <w:sz w:val="24"/>
          <w:szCs w:val="24"/>
        </w:rPr>
        <w:t>26</w:t>
      </w:r>
      <w:r>
        <w:rPr>
          <w:rFonts w:ascii="Times New Roman" w:eastAsia="楷体_GB2312" w:hAnsi="Times New Roman" w:hint="eastAsia"/>
          <w:sz w:val="24"/>
          <w:szCs w:val="24"/>
        </w:rPr>
        <w:t>号集合资金信托计划之股权转让协议》（</w:t>
      </w:r>
      <w:r>
        <w:rPr>
          <w:rFonts w:ascii="Times New Roman" w:eastAsia="楷体_GB2312" w:hAnsi="Times New Roman"/>
          <w:sz w:val="24"/>
          <w:szCs w:val="24"/>
        </w:rPr>
        <w:t>协议编号</w:t>
      </w:r>
      <w:r>
        <w:rPr>
          <w:rFonts w:ascii="Times New Roman" w:eastAsia="楷体_GB2312" w:hAnsi="Times New Roman" w:hint="eastAsia"/>
          <w:sz w:val="24"/>
          <w:szCs w:val="24"/>
        </w:rPr>
        <w:t>2021Z0482-</w:t>
      </w:r>
      <w:r>
        <w:rPr>
          <w:rFonts w:ascii="Times New Roman" w:eastAsia="楷体_GB2312" w:hAnsi="Times New Roman" w:hint="eastAsia"/>
          <w:sz w:val="24"/>
          <w:szCs w:val="24"/>
        </w:rPr>
        <w:t>股转</w:t>
      </w:r>
      <w:r>
        <w:rPr>
          <w:rFonts w:ascii="Times New Roman" w:eastAsia="楷体_GB2312" w:hAnsi="Times New Roman" w:hint="eastAsia"/>
          <w:sz w:val="24"/>
          <w:szCs w:val="24"/>
        </w:rPr>
        <w:t>001</w:t>
      </w:r>
      <w:r>
        <w:rPr>
          <w:rFonts w:ascii="Times New Roman" w:eastAsia="楷体_GB2312" w:hAnsi="Times New Roman" w:hint="eastAsia"/>
          <w:sz w:val="24"/>
          <w:szCs w:val="24"/>
        </w:rPr>
        <w:t>，以下简称“《股权转让协议》”）《光信·光乾·增益尊享</w:t>
      </w:r>
      <w:r>
        <w:rPr>
          <w:rFonts w:ascii="Times New Roman" w:eastAsia="楷体_GB2312" w:hAnsi="Times New Roman" w:hint="eastAsia"/>
          <w:sz w:val="24"/>
          <w:szCs w:val="24"/>
        </w:rPr>
        <w:t>26</w:t>
      </w:r>
      <w:r>
        <w:rPr>
          <w:rFonts w:ascii="Times New Roman" w:eastAsia="楷体_GB2312" w:hAnsi="Times New Roman" w:hint="eastAsia"/>
          <w:sz w:val="24"/>
          <w:szCs w:val="24"/>
        </w:rPr>
        <w:t>号集合资金信托计划之对赌协议》（协议编号</w:t>
      </w:r>
      <w:r>
        <w:rPr>
          <w:rFonts w:ascii="Times New Roman" w:eastAsia="楷体_GB2312" w:hAnsi="Times New Roman"/>
          <w:sz w:val="24"/>
          <w:szCs w:val="24"/>
        </w:rPr>
        <w:t>2021Z0482-</w:t>
      </w:r>
      <w:r>
        <w:rPr>
          <w:rFonts w:ascii="Times New Roman" w:eastAsia="楷体_GB2312" w:hAnsi="Times New Roman" w:hint="eastAsia"/>
          <w:sz w:val="24"/>
          <w:szCs w:val="24"/>
        </w:rPr>
        <w:t>对赌</w:t>
      </w:r>
      <w:r>
        <w:rPr>
          <w:rFonts w:ascii="Times New Roman" w:eastAsia="楷体_GB2312" w:hAnsi="Times New Roman" w:hint="eastAsia"/>
          <w:sz w:val="24"/>
          <w:szCs w:val="24"/>
        </w:rPr>
        <w:t>0</w:t>
      </w:r>
      <w:r>
        <w:rPr>
          <w:rFonts w:ascii="Times New Roman" w:eastAsia="楷体_GB2312" w:hAnsi="Times New Roman"/>
          <w:sz w:val="24"/>
          <w:szCs w:val="24"/>
        </w:rPr>
        <w:t>01</w:t>
      </w:r>
      <w:r>
        <w:rPr>
          <w:rFonts w:ascii="Times New Roman" w:eastAsia="楷体_GB2312" w:hAnsi="Times New Roman" w:hint="eastAsia"/>
          <w:sz w:val="24"/>
          <w:szCs w:val="24"/>
        </w:rPr>
        <w:t>，以下简称“《对赌协议》”）、《光信·光乾·增益尊享</w:t>
      </w:r>
      <w:r>
        <w:rPr>
          <w:rFonts w:ascii="Times New Roman" w:eastAsia="楷体_GB2312" w:hAnsi="Times New Roman" w:hint="eastAsia"/>
          <w:sz w:val="24"/>
          <w:szCs w:val="24"/>
        </w:rPr>
        <w:t>26</w:t>
      </w:r>
      <w:r>
        <w:rPr>
          <w:rFonts w:ascii="Times New Roman" w:eastAsia="楷体_GB2312" w:hAnsi="Times New Roman" w:hint="eastAsia"/>
          <w:sz w:val="24"/>
          <w:szCs w:val="24"/>
        </w:rPr>
        <w:t>号集合资金信托计划之信托业保障基金委托认购协议》（协议编号</w:t>
      </w:r>
      <w:r>
        <w:rPr>
          <w:rFonts w:ascii="Times New Roman" w:eastAsia="楷体_GB2312" w:hAnsi="Times New Roman" w:hint="eastAsia"/>
          <w:sz w:val="24"/>
          <w:szCs w:val="24"/>
        </w:rPr>
        <w:t>2021Z0482-</w:t>
      </w:r>
      <w:proofErr w:type="gramStart"/>
      <w:r>
        <w:rPr>
          <w:rFonts w:ascii="Times New Roman" w:eastAsia="楷体_GB2312" w:hAnsi="Times New Roman" w:hint="eastAsia"/>
          <w:sz w:val="24"/>
          <w:szCs w:val="24"/>
        </w:rPr>
        <w:t>信保</w:t>
      </w:r>
      <w:proofErr w:type="gramEnd"/>
      <w:r>
        <w:rPr>
          <w:rFonts w:ascii="Times New Roman" w:eastAsia="楷体_GB2312" w:hAnsi="Times New Roman" w:hint="eastAsia"/>
          <w:sz w:val="24"/>
          <w:szCs w:val="24"/>
        </w:rPr>
        <w:t>001</w:t>
      </w:r>
      <w:r>
        <w:rPr>
          <w:rFonts w:ascii="Times New Roman" w:eastAsia="楷体_GB2312" w:hAnsi="Times New Roman" w:hint="eastAsia"/>
          <w:sz w:val="24"/>
          <w:szCs w:val="24"/>
        </w:rPr>
        <w:t>，以下简称“《信托业保障基金委托认购协议》”）</w:t>
      </w:r>
      <w:r>
        <w:rPr>
          <w:rFonts w:ascii="Times New Roman" w:eastAsia="楷体_GB2312" w:hAnsi="Times New Roman"/>
          <w:sz w:val="24"/>
          <w:szCs w:val="24"/>
        </w:rPr>
        <w:lastRenderedPageBreak/>
        <w:t>《监管合同》（</w:t>
      </w:r>
      <w:r>
        <w:rPr>
          <w:rFonts w:ascii="Times New Roman" w:eastAsia="楷体_GB2312" w:hAnsi="Times New Roman" w:hint="eastAsia"/>
          <w:sz w:val="24"/>
          <w:szCs w:val="24"/>
        </w:rPr>
        <w:t>即</w:t>
      </w:r>
      <w:r>
        <w:rPr>
          <w:rFonts w:ascii="Times New Roman" w:eastAsia="楷体_GB2312" w:hAnsi="Times New Roman"/>
          <w:sz w:val="24"/>
          <w:szCs w:val="24"/>
        </w:rPr>
        <w:t>“</w:t>
      </w:r>
      <w:r>
        <w:rPr>
          <w:rFonts w:ascii="Times New Roman" w:eastAsia="楷体_GB2312" w:hAnsi="Times New Roman"/>
          <w:sz w:val="24"/>
          <w:szCs w:val="24"/>
        </w:rPr>
        <w:t>本合同</w:t>
      </w:r>
      <w:r>
        <w:rPr>
          <w:rFonts w:ascii="Times New Roman" w:eastAsia="楷体_GB2312" w:hAnsi="Times New Roman"/>
          <w:sz w:val="24"/>
          <w:szCs w:val="24"/>
        </w:rPr>
        <w:t>”</w:t>
      </w:r>
      <w:r>
        <w:rPr>
          <w:rFonts w:ascii="Times New Roman" w:eastAsia="楷体_GB2312" w:hAnsi="Times New Roman"/>
          <w:sz w:val="24"/>
          <w:szCs w:val="24"/>
        </w:rPr>
        <w:t>）及各</w:t>
      </w:r>
      <w:r>
        <w:rPr>
          <w:rFonts w:ascii="Times New Roman" w:eastAsia="楷体_GB2312" w:hAnsi="Times New Roman" w:hint="eastAsia"/>
          <w:sz w:val="24"/>
          <w:szCs w:val="24"/>
        </w:rPr>
        <w:t>交易对手</w:t>
      </w:r>
      <w:r>
        <w:rPr>
          <w:rFonts w:ascii="Times New Roman" w:eastAsia="楷体_GB2312" w:hAnsi="Times New Roman"/>
          <w:sz w:val="24"/>
          <w:szCs w:val="24"/>
        </w:rPr>
        <w:t>参与签署的</w:t>
      </w:r>
      <w:r>
        <w:rPr>
          <w:rFonts w:ascii="Times New Roman" w:eastAsia="楷体_GB2312" w:hAnsi="Times New Roman" w:hint="eastAsia"/>
          <w:sz w:val="24"/>
          <w:szCs w:val="24"/>
        </w:rPr>
        <w:t>信托计划项下</w:t>
      </w:r>
      <w:r>
        <w:rPr>
          <w:rFonts w:ascii="Times New Roman" w:eastAsia="楷体_GB2312" w:hAnsi="Times New Roman"/>
          <w:sz w:val="24"/>
          <w:szCs w:val="24"/>
        </w:rPr>
        <w:t>其他</w:t>
      </w:r>
      <w:r>
        <w:rPr>
          <w:rFonts w:ascii="Times New Roman" w:eastAsia="楷体_GB2312" w:hAnsi="Times New Roman" w:hint="eastAsia"/>
          <w:sz w:val="24"/>
          <w:szCs w:val="24"/>
        </w:rPr>
        <w:t>交易</w:t>
      </w:r>
      <w:r>
        <w:rPr>
          <w:rFonts w:ascii="Times New Roman" w:eastAsia="楷体_GB2312" w:hAnsi="Times New Roman"/>
          <w:sz w:val="24"/>
          <w:szCs w:val="24"/>
        </w:rPr>
        <w:t>文件等各项相关文件；</w:t>
      </w:r>
    </w:p>
    <w:p w14:paraId="4432F64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2.1.2</w:t>
      </w:r>
      <w:r>
        <w:rPr>
          <w:rFonts w:ascii="Times New Roman" w:eastAsia="楷体_GB2312" w:hAnsi="Times New Roman"/>
          <w:sz w:val="24"/>
          <w:szCs w:val="24"/>
        </w:rPr>
        <w:tab/>
      </w:r>
      <w:r>
        <w:rPr>
          <w:rFonts w:ascii="Times New Roman" w:eastAsia="楷体_GB2312" w:hAnsi="Times New Roman" w:hint="eastAsia"/>
          <w:sz w:val="24"/>
          <w:szCs w:val="24"/>
        </w:rPr>
        <w:t>被监管方</w:t>
      </w:r>
      <w:r>
        <w:rPr>
          <w:rFonts w:ascii="Times New Roman" w:eastAsia="楷体_GB2312" w:hAnsi="Times New Roman"/>
          <w:sz w:val="24"/>
          <w:szCs w:val="24"/>
        </w:rPr>
        <w:t>章程、股东</w:t>
      </w:r>
      <w:r>
        <w:rPr>
          <w:rFonts w:ascii="Times New Roman" w:eastAsia="楷体_GB2312" w:hAnsi="Times New Roman" w:hint="eastAsia"/>
          <w:sz w:val="24"/>
          <w:szCs w:val="24"/>
        </w:rPr>
        <w:t>决定</w:t>
      </w:r>
      <w:r>
        <w:rPr>
          <w:rFonts w:ascii="Times New Roman" w:eastAsia="楷体_GB2312" w:hAnsi="Times New Roman" w:hint="eastAsia"/>
          <w:sz w:val="24"/>
          <w:szCs w:val="24"/>
        </w:rPr>
        <w:t>/</w:t>
      </w:r>
      <w:r>
        <w:rPr>
          <w:rFonts w:ascii="Times New Roman" w:eastAsia="楷体_GB2312" w:hAnsi="Times New Roman" w:hint="eastAsia"/>
          <w:sz w:val="24"/>
          <w:szCs w:val="24"/>
        </w:rPr>
        <w:t>股东会决议</w:t>
      </w:r>
      <w:r>
        <w:rPr>
          <w:rFonts w:ascii="Times New Roman" w:eastAsia="楷体_GB2312" w:hAnsi="Times New Roman"/>
          <w:sz w:val="24"/>
          <w:szCs w:val="24"/>
        </w:rPr>
        <w:t>、董事会决议等规章制度；</w:t>
      </w:r>
    </w:p>
    <w:p w14:paraId="721E7BF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2.1.3</w:t>
      </w:r>
      <w:r>
        <w:rPr>
          <w:rFonts w:ascii="Times New Roman" w:eastAsia="楷体_GB2312" w:hAnsi="Times New Roman"/>
          <w:sz w:val="24"/>
          <w:szCs w:val="24"/>
        </w:rPr>
        <w:tab/>
      </w:r>
      <w:r>
        <w:rPr>
          <w:rFonts w:ascii="Times New Roman" w:eastAsia="楷体_GB2312" w:hAnsi="Times New Roman"/>
          <w:sz w:val="24"/>
          <w:szCs w:val="24"/>
        </w:rPr>
        <w:t>标的项目实施过程中各有关方另行签署的相关文件、协议、合同、确认函、承诺函、备忘录；</w:t>
      </w:r>
    </w:p>
    <w:p w14:paraId="16875CA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2.1.4</w:t>
      </w:r>
      <w:r>
        <w:rPr>
          <w:rFonts w:ascii="Times New Roman" w:eastAsia="楷体_GB2312" w:hAnsi="Times New Roman"/>
          <w:sz w:val="24"/>
          <w:szCs w:val="24"/>
        </w:rPr>
        <w:tab/>
      </w:r>
      <w:r>
        <w:rPr>
          <w:rFonts w:ascii="Times New Roman" w:eastAsia="楷体_GB2312" w:hAnsi="Times New Roman"/>
          <w:sz w:val="24"/>
          <w:szCs w:val="24"/>
        </w:rPr>
        <w:t>标的项目运作过程中形成的文件和凭证等。</w:t>
      </w:r>
    </w:p>
    <w:p w14:paraId="61FA0792" w14:textId="77777777" w:rsidR="00CC4C43" w:rsidRDefault="007731E0">
      <w:pPr>
        <w:adjustRightInd w:val="0"/>
        <w:snapToGrid w:val="0"/>
        <w:spacing w:afterLines="20" w:after="62" w:line="288" w:lineRule="auto"/>
        <w:rPr>
          <w:rFonts w:ascii="Times New Roman" w:eastAsia="楷体_GB2312" w:hAnsi="Times New Roman"/>
          <w:b/>
          <w:bCs/>
          <w:sz w:val="24"/>
          <w:szCs w:val="24"/>
        </w:rPr>
      </w:pPr>
      <w:r>
        <w:rPr>
          <w:rFonts w:ascii="Times New Roman" w:eastAsia="楷体_GB2312" w:hAnsi="Times New Roman"/>
          <w:b/>
          <w:bCs/>
          <w:sz w:val="24"/>
          <w:szCs w:val="24"/>
        </w:rPr>
        <w:t>2.2</w:t>
      </w:r>
      <w:r>
        <w:rPr>
          <w:rFonts w:ascii="Times New Roman" w:eastAsia="楷体_GB2312" w:hAnsi="Times New Roman"/>
          <w:b/>
          <w:bCs/>
          <w:sz w:val="24"/>
          <w:szCs w:val="24"/>
        </w:rPr>
        <w:tab/>
      </w:r>
      <w:r>
        <w:rPr>
          <w:rFonts w:ascii="Times New Roman" w:eastAsia="楷体_GB2312" w:hAnsi="Times New Roman" w:hint="eastAsia"/>
          <w:b/>
          <w:bCs/>
          <w:sz w:val="24"/>
          <w:szCs w:val="24"/>
        </w:rPr>
        <w:t>监管委托</w:t>
      </w:r>
    </w:p>
    <w:p w14:paraId="50015FE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2.2.1</w:t>
      </w:r>
      <w:r>
        <w:rPr>
          <w:rFonts w:ascii="Times New Roman" w:eastAsia="楷体_GB2312" w:hAnsi="Times New Roman"/>
          <w:sz w:val="24"/>
          <w:szCs w:val="24"/>
        </w:rPr>
        <w:tab/>
      </w:r>
      <w:r>
        <w:rPr>
          <w:rFonts w:ascii="Times New Roman" w:eastAsia="楷体_GB2312" w:hAnsi="Times New Roman" w:hint="eastAsia"/>
          <w:sz w:val="24"/>
          <w:szCs w:val="24"/>
        </w:rPr>
        <w:t>甲方、乙方和</w:t>
      </w:r>
      <w:proofErr w:type="gramStart"/>
      <w:r>
        <w:rPr>
          <w:rFonts w:ascii="Times New Roman" w:eastAsia="楷体_GB2312" w:hAnsi="Times New Roman"/>
          <w:sz w:val="24"/>
          <w:szCs w:val="24"/>
        </w:rPr>
        <w:t>庚方</w:t>
      </w:r>
      <w:proofErr w:type="gramEnd"/>
      <w:r>
        <w:rPr>
          <w:rFonts w:ascii="Times New Roman" w:eastAsia="楷体_GB2312" w:hAnsi="Times New Roman"/>
          <w:sz w:val="24"/>
          <w:szCs w:val="24"/>
        </w:rPr>
        <w:t>对</w:t>
      </w:r>
      <w:r>
        <w:rPr>
          <w:rFonts w:ascii="Times New Roman" w:eastAsia="楷体_GB2312" w:hAnsi="Times New Roman" w:hint="eastAsia"/>
          <w:sz w:val="24"/>
          <w:szCs w:val="24"/>
        </w:rPr>
        <w:t>被监管方、</w:t>
      </w:r>
      <w:r>
        <w:rPr>
          <w:rFonts w:ascii="Times New Roman" w:eastAsia="楷体_GB2312" w:hAnsi="Times New Roman" w:hint="eastAsia"/>
          <w:sz w:val="24"/>
          <w:szCs w:val="24"/>
        </w:rPr>
        <w:t>GP</w:t>
      </w:r>
      <w:r>
        <w:rPr>
          <w:rFonts w:ascii="Times New Roman" w:eastAsia="楷体_GB2312" w:hAnsi="Times New Roman" w:hint="eastAsia"/>
          <w:sz w:val="24"/>
          <w:szCs w:val="24"/>
        </w:rPr>
        <w:t>公司及</w:t>
      </w:r>
      <w:r>
        <w:rPr>
          <w:rFonts w:ascii="Times New Roman" w:eastAsia="楷体_GB2312" w:hAnsi="Times New Roman"/>
          <w:sz w:val="24"/>
          <w:szCs w:val="24"/>
        </w:rPr>
        <w:t>标的项目监管采取驻场服务、巡场服务；</w:t>
      </w:r>
    </w:p>
    <w:p w14:paraId="5FC80D8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2.2.2</w:t>
      </w:r>
      <w:r>
        <w:rPr>
          <w:rFonts w:ascii="Times New Roman" w:eastAsia="楷体_GB2312" w:hAnsi="Times New Roman"/>
          <w:sz w:val="24"/>
          <w:szCs w:val="24"/>
        </w:rPr>
        <w:tab/>
      </w:r>
      <w:r>
        <w:rPr>
          <w:rFonts w:ascii="Times New Roman" w:eastAsia="楷体_GB2312" w:hAnsi="Times New Roman"/>
          <w:sz w:val="24"/>
          <w:szCs w:val="24"/>
        </w:rPr>
        <w:t>监管人员配置为</w:t>
      </w:r>
      <w:r>
        <w:rPr>
          <w:rFonts w:ascii="Times New Roman" w:eastAsia="楷体_GB2312" w:hAnsi="Times New Roman"/>
          <w:sz w:val="24"/>
          <w:szCs w:val="24"/>
        </w:rPr>
        <w:t>1+1+N</w:t>
      </w:r>
      <w:r>
        <w:rPr>
          <w:rFonts w:ascii="Times New Roman" w:eastAsia="楷体_GB2312" w:hAnsi="Times New Roman"/>
          <w:sz w:val="24"/>
          <w:szCs w:val="24"/>
        </w:rPr>
        <w:t>，即</w:t>
      </w:r>
      <w:r>
        <w:rPr>
          <w:rFonts w:ascii="Times New Roman" w:eastAsia="楷体_GB2312" w:hAnsi="Times New Roman"/>
          <w:sz w:val="24"/>
          <w:szCs w:val="24"/>
        </w:rPr>
        <w:t>1</w:t>
      </w:r>
      <w:r>
        <w:rPr>
          <w:rFonts w:ascii="Times New Roman" w:eastAsia="楷体_GB2312" w:hAnsi="Times New Roman"/>
          <w:sz w:val="24"/>
          <w:szCs w:val="24"/>
        </w:rPr>
        <w:t>人驻场、</w:t>
      </w:r>
      <w:r>
        <w:rPr>
          <w:rFonts w:ascii="Times New Roman" w:eastAsia="楷体_GB2312" w:hAnsi="Times New Roman"/>
          <w:sz w:val="24"/>
          <w:szCs w:val="24"/>
        </w:rPr>
        <w:t>1</w:t>
      </w:r>
      <w:r>
        <w:rPr>
          <w:rFonts w:ascii="Times New Roman" w:eastAsia="楷体_GB2312" w:hAnsi="Times New Roman"/>
          <w:sz w:val="24"/>
          <w:szCs w:val="24"/>
        </w:rPr>
        <w:t>人巡场、</w:t>
      </w:r>
      <w:r>
        <w:rPr>
          <w:rFonts w:ascii="Times New Roman" w:eastAsia="楷体_GB2312" w:hAnsi="Times New Roman"/>
          <w:sz w:val="24"/>
          <w:szCs w:val="24"/>
        </w:rPr>
        <w:t>N</w:t>
      </w:r>
      <w:r>
        <w:rPr>
          <w:rFonts w:ascii="Times New Roman" w:eastAsia="楷体_GB2312" w:hAnsi="Times New Roman"/>
          <w:sz w:val="24"/>
          <w:szCs w:val="24"/>
        </w:rPr>
        <w:t>为非驻场人员（提供项目整体资料复核、市场监督、定期或不定期巡检等配合</w:t>
      </w:r>
      <w:r>
        <w:rPr>
          <w:rFonts w:ascii="Times New Roman" w:eastAsia="楷体_GB2312" w:hAnsi="Times New Roman" w:hint="eastAsia"/>
          <w:sz w:val="24"/>
          <w:szCs w:val="24"/>
        </w:rPr>
        <w:t>），且甲方、乙方有权直接向被监管方委派财务复核人员（以下简称“甲方指定人员”）（上述监管人员以下统称“现场监管人员”</w:t>
      </w:r>
      <w:r>
        <w:rPr>
          <w:rFonts w:ascii="Times New Roman" w:eastAsia="楷体_GB2312" w:hAnsi="Times New Roman"/>
          <w:sz w:val="24"/>
          <w:szCs w:val="24"/>
        </w:rPr>
        <w:t>）；</w:t>
      </w:r>
    </w:p>
    <w:p w14:paraId="18BC0F9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2.2.3</w:t>
      </w:r>
      <w:r>
        <w:rPr>
          <w:rFonts w:ascii="Times New Roman" w:eastAsia="楷体_GB2312" w:hAnsi="Times New Roman"/>
          <w:sz w:val="24"/>
          <w:szCs w:val="24"/>
        </w:rPr>
        <w:tab/>
      </w:r>
      <w:r>
        <w:rPr>
          <w:rFonts w:ascii="Times New Roman" w:eastAsia="楷体_GB2312" w:hAnsi="Times New Roman"/>
          <w:sz w:val="24"/>
          <w:szCs w:val="24"/>
        </w:rPr>
        <w:t>如若甲方</w:t>
      </w:r>
      <w:r>
        <w:rPr>
          <w:rFonts w:ascii="Times New Roman" w:eastAsia="楷体_GB2312" w:hAnsi="Times New Roman" w:hint="eastAsia"/>
          <w:sz w:val="24"/>
          <w:szCs w:val="24"/>
        </w:rPr>
        <w:t>、乙方</w:t>
      </w:r>
      <w:proofErr w:type="gramStart"/>
      <w:r>
        <w:rPr>
          <w:rFonts w:ascii="Times New Roman" w:eastAsia="楷体_GB2312" w:hAnsi="Times New Roman"/>
          <w:sz w:val="24"/>
          <w:szCs w:val="24"/>
        </w:rPr>
        <w:t>发现庚方委派</w:t>
      </w:r>
      <w:proofErr w:type="gramEnd"/>
      <w:r>
        <w:rPr>
          <w:rFonts w:ascii="Times New Roman" w:eastAsia="楷体_GB2312" w:hAnsi="Times New Roman"/>
          <w:sz w:val="24"/>
          <w:szCs w:val="24"/>
        </w:rPr>
        <w:t>的现场监管人员工作表现不能满足现场监管的要求或有其他甲方</w:t>
      </w:r>
      <w:r>
        <w:rPr>
          <w:rFonts w:ascii="Times New Roman" w:eastAsia="楷体_GB2312" w:hAnsi="Times New Roman" w:hint="eastAsia"/>
          <w:sz w:val="24"/>
          <w:szCs w:val="24"/>
        </w:rPr>
        <w:t>、乙方</w:t>
      </w:r>
      <w:proofErr w:type="gramStart"/>
      <w:r>
        <w:rPr>
          <w:rFonts w:ascii="Times New Roman" w:eastAsia="楷体_GB2312" w:hAnsi="Times New Roman"/>
          <w:sz w:val="24"/>
          <w:szCs w:val="24"/>
        </w:rPr>
        <w:t>认为庚方委派</w:t>
      </w:r>
      <w:proofErr w:type="gramEnd"/>
      <w:r>
        <w:rPr>
          <w:rFonts w:ascii="Times New Roman" w:eastAsia="楷体_GB2312" w:hAnsi="Times New Roman"/>
          <w:sz w:val="24"/>
          <w:szCs w:val="24"/>
        </w:rPr>
        <w:t>的现场监管人员不能胜任的情况的，甲方</w:t>
      </w:r>
      <w:r>
        <w:rPr>
          <w:rFonts w:ascii="Times New Roman" w:eastAsia="楷体_GB2312" w:hAnsi="Times New Roman" w:hint="eastAsia"/>
          <w:sz w:val="24"/>
          <w:szCs w:val="24"/>
        </w:rPr>
        <w:t>、乙方</w:t>
      </w:r>
      <w:r>
        <w:rPr>
          <w:rFonts w:ascii="Times New Roman" w:eastAsia="楷体_GB2312" w:hAnsi="Times New Roman"/>
          <w:sz w:val="24"/>
          <w:szCs w:val="24"/>
        </w:rPr>
        <w:t>有权</w:t>
      </w:r>
      <w:proofErr w:type="gramStart"/>
      <w:r>
        <w:rPr>
          <w:rFonts w:ascii="Times New Roman" w:eastAsia="楷体_GB2312" w:hAnsi="Times New Roman"/>
          <w:sz w:val="24"/>
          <w:szCs w:val="24"/>
        </w:rPr>
        <w:t>要求庚方进行</w:t>
      </w:r>
      <w:proofErr w:type="gramEnd"/>
      <w:r>
        <w:rPr>
          <w:rFonts w:ascii="Times New Roman" w:eastAsia="楷体_GB2312" w:hAnsi="Times New Roman"/>
          <w:sz w:val="24"/>
          <w:szCs w:val="24"/>
        </w:rPr>
        <w:t>更换，若</w:t>
      </w:r>
      <w:proofErr w:type="gramStart"/>
      <w:r>
        <w:rPr>
          <w:rFonts w:ascii="Times New Roman" w:eastAsia="楷体_GB2312" w:hAnsi="Times New Roman"/>
          <w:sz w:val="24"/>
          <w:szCs w:val="24"/>
        </w:rPr>
        <w:t>因庚方</w:t>
      </w:r>
      <w:proofErr w:type="gramEnd"/>
      <w:r>
        <w:rPr>
          <w:rFonts w:ascii="Times New Roman" w:eastAsia="楷体_GB2312" w:hAnsi="Times New Roman"/>
          <w:sz w:val="24"/>
          <w:szCs w:val="24"/>
        </w:rPr>
        <w:t>原因需要更换或调配标的项目现场监管人员，需</w:t>
      </w:r>
      <w:r>
        <w:rPr>
          <w:rFonts w:ascii="Times New Roman" w:eastAsia="楷体_GB2312" w:hAnsi="Times New Roman" w:hint="eastAsia"/>
          <w:sz w:val="24"/>
          <w:szCs w:val="24"/>
        </w:rPr>
        <w:t>事先</w:t>
      </w:r>
      <w:r>
        <w:rPr>
          <w:rFonts w:ascii="Times New Roman" w:eastAsia="楷体_GB2312" w:hAnsi="Times New Roman"/>
          <w:sz w:val="24"/>
          <w:szCs w:val="24"/>
        </w:rPr>
        <w:t>经甲方</w:t>
      </w:r>
      <w:r>
        <w:rPr>
          <w:rFonts w:ascii="Times New Roman" w:eastAsia="楷体_GB2312" w:hAnsi="Times New Roman" w:hint="eastAsia"/>
          <w:sz w:val="24"/>
          <w:szCs w:val="24"/>
        </w:rPr>
        <w:t>及</w:t>
      </w:r>
      <w:r>
        <w:rPr>
          <w:rFonts w:ascii="Times New Roman" w:eastAsia="楷体_GB2312" w:hAnsi="Times New Roman" w:hint="eastAsia"/>
          <w:sz w:val="24"/>
          <w:szCs w:val="24"/>
        </w:rPr>
        <w:t>/</w:t>
      </w:r>
      <w:r>
        <w:rPr>
          <w:rFonts w:ascii="Times New Roman" w:eastAsia="楷体_GB2312" w:hAnsi="Times New Roman" w:hint="eastAsia"/>
          <w:sz w:val="24"/>
          <w:szCs w:val="24"/>
        </w:rPr>
        <w:t>或乙方</w:t>
      </w:r>
      <w:r>
        <w:rPr>
          <w:rFonts w:ascii="Times New Roman" w:eastAsia="楷体_GB2312" w:hAnsi="Times New Roman"/>
          <w:sz w:val="24"/>
          <w:szCs w:val="24"/>
        </w:rPr>
        <w:t>书面同意；</w:t>
      </w:r>
    </w:p>
    <w:p w14:paraId="01AF175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2.2.4</w:t>
      </w:r>
      <w:r>
        <w:rPr>
          <w:rFonts w:ascii="Times New Roman" w:eastAsia="楷体_GB2312" w:hAnsi="Times New Roman"/>
          <w:sz w:val="24"/>
          <w:szCs w:val="24"/>
        </w:rPr>
        <w:tab/>
      </w:r>
      <w:proofErr w:type="gramStart"/>
      <w:r>
        <w:rPr>
          <w:rFonts w:ascii="Times New Roman" w:eastAsia="楷体_GB2312" w:hAnsi="Times New Roman"/>
          <w:sz w:val="24"/>
          <w:szCs w:val="24"/>
        </w:rPr>
        <w:t>庚方监管</w:t>
      </w:r>
      <w:proofErr w:type="gramEnd"/>
      <w:r>
        <w:rPr>
          <w:rFonts w:ascii="Times New Roman" w:eastAsia="楷体_GB2312" w:hAnsi="Times New Roman"/>
          <w:sz w:val="24"/>
          <w:szCs w:val="24"/>
        </w:rPr>
        <w:t>的内容包括但不限于：</w:t>
      </w:r>
      <w:r>
        <w:rPr>
          <w:rFonts w:ascii="Times New Roman" w:eastAsia="楷体_GB2312" w:hAnsi="Times New Roman" w:hint="eastAsia"/>
          <w:sz w:val="24"/>
          <w:szCs w:val="24"/>
        </w:rPr>
        <w:t>被监管方</w:t>
      </w:r>
      <w:r>
        <w:rPr>
          <w:rFonts w:ascii="Times New Roman" w:eastAsia="楷体_GB2312" w:hAnsi="Times New Roman"/>
          <w:sz w:val="24"/>
          <w:szCs w:val="24"/>
        </w:rPr>
        <w:t>及标的项目的运营情况</w:t>
      </w:r>
      <w:r>
        <w:rPr>
          <w:rFonts w:ascii="Times New Roman" w:eastAsia="楷体_GB2312" w:hAnsi="Times New Roman" w:hint="eastAsia"/>
          <w:sz w:val="24"/>
          <w:szCs w:val="24"/>
        </w:rPr>
        <w:t>；</w:t>
      </w:r>
      <w:r>
        <w:rPr>
          <w:rFonts w:ascii="Times New Roman" w:eastAsia="楷体_GB2312" w:hAnsi="Times New Roman"/>
          <w:sz w:val="24"/>
          <w:szCs w:val="24"/>
        </w:rPr>
        <w:t>对</w:t>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w:t>
      </w:r>
      <w:r>
        <w:rPr>
          <w:rFonts w:ascii="Times New Roman" w:eastAsia="楷体_GB2312" w:hAnsi="Times New Roman"/>
          <w:sz w:val="24"/>
          <w:szCs w:val="24"/>
        </w:rPr>
        <w:t>进行印鉴及证照的监管</w:t>
      </w:r>
      <w:r>
        <w:rPr>
          <w:rFonts w:ascii="Times New Roman" w:eastAsia="楷体_GB2312" w:hAnsi="Times New Roman" w:hint="eastAsia"/>
          <w:sz w:val="24"/>
          <w:szCs w:val="24"/>
        </w:rPr>
        <w:t>；</w:t>
      </w:r>
      <w:r>
        <w:rPr>
          <w:rFonts w:ascii="Times New Roman" w:eastAsia="楷体_GB2312" w:hAnsi="Times New Roman"/>
          <w:sz w:val="24"/>
          <w:szCs w:val="24"/>
        </w:rPr>
        <w:t>对</w:t>
      </w:r>
      <w:r>
        <w:rPr>
          <w:rFonts w:ascii="Times New Roman" w:eastAsia="楷体_GB2312" w:hAnsi="Times New Roman" w:hint="eastAsia"/>
          <w:sz w:val="24"/>
          <w:szCs w:val="24"/>
        </w:rPr>
        <w:t>被监管方</w:t>
      </w:r>
      <w:r>
        <w:rPr>
          <w:rFonts w:ascii="Times New Roman" w:eastAsia="楷体_GB2312" w:hAnsi="Times New Roman"/>
          <w:sz w:val="24"/>
          <w:szCs w:val="24"/>
        </w:rPr>
        <w:t>进行账户监管</w:t>
      </w:r>
      <w:r>
        <w:rPr>
          <w:rFonts w:ascii="Times New Roman" w:eastAsia="楷体_GB2312" w:hAnsi="Times New Roman" w:hint="eastAsia"/>
          <w:sz w:val="24"/>
          <w:szCs w:val="24"/>
        </w:rPr>
        <w:t>；</w:t>
      </w:r>
      <w:r>
        <w:rPr>
          <w:rFonts w:ascii="Times New Roman" w:eastAsia="楷体_GB2312" w:hAnsi="Times New Roman"/>
          <w:sz w:val="24"/>
          <w:szCs w:val="24"/>
        </w:rPr>
        <w:t>监管标的项目的开发建设及销售情况</w:t>
      </w:r>
      <w:r>
        <w:rPr>
          <w:rFonts w:ascii="Times New Roman" w:eastAsia="楷体_GB2312" w:hAnsi="Times New Roman" w:hint="eastAsia"/>
          <w:sz w:val="24"/>
          <w:szCs w:val="24"/>
        </w:rPr>
        <w:t>；</w:t>
      </w:r>
      <w:r>
        <w:rPr>
          <w:rFonts w:ascii="Times New Roman" w:eastAsia="楷体_GB2312" w:hAnsi="Times New Roman"/>
          <w:sz w:val="24"/>
          <w:szCs w:val="24"/>
        </w:rPr>
        <w:t>对标的项目资金用途及销售回款的监管等，具体以本合同</w:t>
      </w:r>
      <w:r>
        <w:rPr>
          <w:rFonts w:ascii="Times New Roman" w:eastAsia="楷体_GB2312" w:hAnsi="Times New Roman" w:hint="eastAsia"/>
          <w:sz w:val="24"/>
          <w:szCs w:val="24"/>
        </w:rPr>
        <w:t>约定</w:t>
      </w:r>
      <w:r>
        <w:rPr>
          <w:rFonts w:ascii="Times New Roman" w:eastAsia="楷体_GB2312" w:hAnsi="Times New Roman"/>
          <w:sz w:val="24"/>
          <w:szCs w:val="24"/>
        </w:rPr>
        <w:t>为准</w:t>
      </w:r>
      <w:r>
        <w:rPr>
          <w:rFonts w:ascii="Times New Roman" w:eastAsia="楷体_GB2312" w:hAnsi="Times New Roman" w:hint="eastAsia"/>
          <w:sz w:val="24"/>
          <w:szCs w:val="24"/>
        </w:rPr>
        <w:t>；</w:t>
      </w:r>
    </w:p>
    <w:p w14:paraId="351FCF6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2</w:t>
      </w:r>
      <w:r>
        <w:rPr>
          <w:rFonts w:ascii="Times New Roman" w:eastAsia="楷体_GB2312" w:hAnsi="Times New Roman"/>
          <w:sz w:val="24"/>
          <w:szCs w:val="24"/>
        </w:rPr>
        <w:t>.2.5</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庚方须</w:t>
      </w:r>
      <w:proofErr w:type="gramEnd"/>
      <w:r>
        <w:rPr>
          <w:rFonts w:ascii="Times New Roman" w:eastAsia="楷体_GB2312" w:hAnsi="Times New Roman" w:hint="eastAsia"/>
          <w:sz w:val="24"/>
          <w:szCs w:val="24"/>
        </w:rPr>
        <w:t>保证现场监管人员的专业性和责任心，具有较为丰富的管理经验。</w:t>
      </w:r>
    </w:p>
    <w:p w14:paraId="206592D8" w14:textId="77777777" w:rsidR="00CC4C43" w:rsidRDefault="007731E0">
      <w:pPr>
        <w:adjustRightInd w:val="0"/>
        <w:snapToGrid w:val="0"/>
        <w:spacing w:afterLines="20" w:after="62" w:line="288" w:lineRule="auto"/>
        <w:ind w:left="651" w:hangingChars="270" w:hanging="651"/>
        <w:rPr>
          <w:rFonts w:ascii="Times New Roman" w:eastAsia="楷体_GB2312" w:hAnsi="Times New Roman"/>
          <w:b/>
          <w:bCs/>
          <w:sz w:val="24"/>
          <w:szCs w:val="24"/>
        </w:rPr>
      </w:pPr>
      <w:r>
        <w:rPr>
          <w:rFonts w:ascii="Times New Roman" w:eastAsia="楷体_GB2312" w:hAnsi="Times New Roman"/>
          <w:b/>
          <w:bCs/>
          <w:sz w:val="24"/>
          <w:szCs w:val="24"/>
        </w:rPr>
        <w:t>2.3</w:t>
      </w:r>
      <w:r>
        <w:rPr>
          <w:rFonts w:ascii="Times New Roman" w:eastAsia="楷体_GB2312" w:hAnsi="Times New Roman"/>
          <w:b/>
          <w:bCs/>
          <w:sz w:val="24"/>
          <w:szCs w:val="24"/>
        </w:rPr>
        <w:tab/>
      </w:r>
      <w:r>
        <w:rPr>
          <w:rFonts w:ascii="Times New Roman" w:eastAsia="楷体_GB2312" w:hAnsi="Times New Roman" w:hint="eastAsia"/>
          <w:b/>
          <w:bCs/>
          <w:sz w:val="24"/>
          <w:szCs w:val="24"/>
        </w:rPr>
        <w:t>监管时间</w:t>
      </w:r>
    </w:p>
    <w:p w14:paraId="73BF37D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2.3.1</w:t>
      </w:r>
      <w:r>
        <w:rPr>
          <w:rFonts w:ascii="Times New Roman" w:eastAsia="楷体_GB2312" w:hAnsi="Times New Roman"/>
          <w:sz w:val="24"/>
          <w:szCs w:val="24"/>
        </w:rPr>
        <w:tab/>
      </w:r>
      <w:r>
        <w:rPr>
          <w:rFonts w:ascii="Times New Roman" w:eastAsia="楷体_GB2312" w:hAnsi="Times New Roman"/>
          <w:sz w:val="24"/>
          <w:szCs w:val="24"/>
        </w:rPr>
        <w:t>印鉴、证照移交共管开始时间：</w:t>
      </w:r>
      <w:r>
        <w:rPr>
          <w:rFonts w:ascii="Times New Roman" w:eastAsia="楷体_GB2312" w:hAnsi="Times New Roman" w:hint="eastAsia"/>
          <w:sz w:val="24"/>
          <w:szCs w:val="24"/>
        </w:rPr>
        <w:t>【</w:t>
      </w:r>
      <w:r>
        <w:rPr>
          <w:rFonts w:ascii="Times New Roman" w:eastAsia="楷体_GB2312" w:hAnsi="Times New Roman"/>
          <w:sz w:val="24"/>
          <w:szCs w:val="24"/>
        </w:rPr>
        <w:t>2021</w:t>
      </w:r>
      <w:r>
        <w:rPr>
          <w:rFonts w:ascii="Times New Roman" w:eastAsia="楷体_GB2312" w:hAnsi="Times New Roman" w:hint="eastAsia"/>
          <w:sz w:val="24"/>
          <w:szCs w:val="24"/>
        </w:rPr>
        <w:t>】年【</w:t>
      </w:r>
      <w:r>
        <w:rPr>
          <w:rFonts w:ascii="Times New Roman" w:eastAsia="楷体_GB2312" w:hAnsi="Times New Roman"/>
          <w:sz w:val="24"/>
          <w:szCs w:val="24"/>
        </w:rPr>
        <w:t>4</w:t>
      </w:r>
      <w:r>
        <w:rPr>
          <w:rFonts w:ascii="Times New Roman" w:eastAsia="楷体_GB2312" w:hAnsi="Times New Roman" w:hint="eastAsia"/>
          <w:sz w:val="24"/>
          <w:szCs w:val="24"/>
        </w:rPr>
        <w:t>】月【</w:t>
      </w:r>
      <w:r>
        <w:rPr>
          <w:rFonts w:ascii="Times New Roman" w:eastAsia="楷体_GB2312" w:hAnsi="Times New Roman"/>
          <w:sz w:val="24"/>
          <w:szCs w:val="24"/>
        </w:rPr>
        <w:t xml:space="preserve">  </w:t>
      </w:r>
      <w:r>
        <w:rPr>
          <w:rFonts w:ascii="Times New Roman" w:eastAsia="楷体_GB2312" w:hAnsi="Times New Roman" w:hint="eastAsia"/>
          <w:sz w:val="24"/>
          <w:szCs w:val="24"/>
        </w:rPr>
        <w:t>】日</w:t>
      </w:r>
      <w:r>
        <w:rPr>
          <w:rFonts w:ascii="Times New Roman" w:eastAsia="楷体_GB2312" w:hAnsi="Times New Roman"/>
          <w:sz w:val="24"/>
          <w:szCs w:val="24"/>
        </w:rPr>
        <w:t>。</w:t>
      </w:r>
    </w:p>
    <w:p w14:paraId="09CD347B"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2.3.2</w:t>
      </w:r>
      <w:r>
        <w:rPr>
          <w:rFonts w:ascii="Times New Roman" w:eastAsia="楷体_GB2312" w:hAnsi="Times New Roman"/>
          <w:sz w:val="24"/>
          <w:szCs w:val="24"/>
        </w:rPr>
        <w:tab/>
      </w:r>
      <w:r>
        <w:rPr>
          <w:rFonts w:ascii="Times New Roman" w:eastAsia="楷体_GB2312" w:hAnsi="Times New Roman"/>
          <w:sz w:val="24"/>
          <w:szCs w:val="24"/>
        </w:rPr>
        <w:t>现场监管人员派驻时间：</w:t>
      </w:r>
      <w:r>
        <w:rPr>
          <w:rFonts w:ascii="Times New Roman" w:eastAsia="楷体_GB2312" w:hAnsi="Times New Roman" w:hint="eastAsia"/>
          <w:sz w:val="24"/>
          <w:szCs w:val="24"/>
        </w:rPr>
        <w:t>【</w:t>
      </w:r>
      <w:r>
        <w:rPr>
          <w:rFonts w:ascii="Times New Roman" w:eastAsia="楷体_GB2312" w:hAnsi="Times New Roman"/>
          <w:sz w:val="24"/>
          <w:szCs w:val="24"/>
        </w:rPr>
        <w:t xml:space="preserve">2021 </w:t>
      </w:r>
      <w:r>
        <w:rPr>
          <w:rFonts w:ascii="Times New Roman" w:eastAsia="楷体_GB2312" w:hAnsi="Times New Roman" w:hint="eastAsia"/>
          <w:sz w:val="24"/>
          <w:szCs w:val="24"/>
        </w:rPr>
        <w:t>】年【</w:t>
      </w:r>
      <w:r>
        <w:rPr>
          <w:rFonts w:ascii="Times New Roman" w:eastAsia="楷体_GB2312" w:hAnsi="Times New Roman"/>
          <w:sz w:val="24"/>
          <w:szCs w:val="24"/>
        </w:rPr>
        <w:t>4</w:t>
      </w:r>
      <w:r>
        <w:rPr>
          <w:rFonts w:ascii="Times New Roman" w:eastAsia="楷体_GB2312" w:hAnsi="Times New Roman" w:hint="eastAsia"/>
          <w:sz w:val="24"/>
          <w:szCs w:val="24"/>
        </w:rPr>
        <w:t>】月【</w:t>
      </w:r>
      <w:r>
        <w:rPr>
          <w:rFonts w:ascii="Times New Roman" w:eastAsia="楷体_GB2312" w:hAnsi="Times New Roman"/>
          <w:sz w:val="24"/>
          <w:szCs w:val="24"/>
        </w:rPr>
        <w:t xml:space="preserve">  </w:t>
      </w:r>
      <w:r>
        <w:rPr>
          <w:rFonts w:ascii="Times New Roman" w:eastAsia="楷体_GB2312" w:hAnsi="Times New Roman" w:hint="eastAsia"/>
          <w:sz w:val="24"/>
          <w:szCs w:val="24"/>
        </w:rPr>
        <w:t>】日</w:t>
      </w:r>
      <w:r>
        <w:rPr>
          <w:rFonts w:ascii="Times New Roman" w:eastAsia="楷体_GB2312" w:hAnsi="Times New Roman"/>
          <w:sz w:val="24"/>
          <w:szCs w:val="24"/>
        </w:rPr>
        <w:t>。</w:t>
      </w:r>
    </w:p>
    <w:p w14:paraId="2063075C"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121E2280"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第三条：资金</w:t>
      </w:r>
      <w:r>
        <w:rPr>
          <w:rFonts w:ascii="Times New Roman" w:eastAsia="楷体_GB2312" w:hAnsi="Times New Roman" w:hint="eastAsia"/>
          <w:b/>
          <w:sz w:val="24"/>
          <w:szCs w:val="24"/>
        </w:rPr>
        <w:t>用款、销售及销售回款、账户的</w:t>
      </w:r>
      <w:r>
        <w:rPr>
          <w:rFonts w:ascii="Times New Roman" w:eastAsia="楷体_GB2312" w:hAnsi="Times New Roman"/>
          <w:b/>
          <w:sz w:val="24"/>
          <w:szCs w:val="24"/>
        </w:rPr>
        <w:t>监管</w:t>
      </w:r>
    </w:p>
    <w:p w14:paraId="291E4651"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3.1.</w:t>
      </w:r>
      <w:r>
        <w:rPr>
          <w:rFonts w:ascii="Times New Roman" w:eastAsia="楷体_GB2312" w:hAnsi="Times New Roman"/>
          <w:sz w:val="24"/>
          <w:szCs w:val="24"/>
        </w:rPr>
        <w:tab/>
      </w:r>
      <w:r>
        <w:rPr>
          <w:rFonts w:ascii="Times New Roman" w:eastAsia="楷体_GB2312" w:hAnsi="Times New Roman"/>
          <w:sz w:val="24"/>
          <w:szCs w:val="24"/>
        </w:rPr>
        <w:t>资金用款管理</w:t>
      </w:r>
    </w:p>
    <w:p w14:paraId="097C65A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3.1.1</w:t>
      </w:r>
      <w:r>
        <w:rPr>
          <w:rFonts w:ascii="Times New Roman" w:eastAsia="楷体_GB2312" w:hAnsi="Times New Roman"/>
          <w:sz w:val="24"/>
          <w:szCs w:val="24"/>
        </w:rPr>
        <w:tab/>
      </w:r>
      <w:r>
        <w:rPr>
          <w:rFonts w:ascii="Times New Roman" w:eastAsia="楷体_GB2312" w:hAnsi="Times New Roman" w:hint="eastAsia"/>
          <w:sz w:val="24"/>
          <w:szCs w:val="24"/>
        </w:rPr>
        <w:t>除本合同另有约定外，被监管方进行资金支用的，应当根据其内部章程及管理制度进行决策，经甲方指定人员进行审核后，由甲方相关负责人根据甲方内部规定权限审批通过后方可划付。</w:t>
      </w:r>
    </w:p>
    <w:p w14:paraId="04544B14"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3.1.2</w:t>
      </w:r>
      <w:r>
        <w:rPr>
          <w:rFonts w:ascii="Times New Roman" w:eastAsia="楷体_GB2312" w:hAnsi="Times New Roman"/>
          <w:sz w:val="24"/>
          <w:szCs w:val="24"/>
        </w:rPr>
        <w:tab/>
      </w:r>
      <w:r>
        <w:rPr>
          <w:rFonts w:ascii="Times New Roman" w:eastAsia="楷体_GB2312" w:hAnsi="Times New Roman" w:hint="eastAsia"/>
          <w:sz w:val="24"/>
          <w:szCs w:val="24"/>
        </w:rPr>
        <w:t>被监管方申请支用款项的，应当按照甲方要求提供完整的资金使用申请项目公司应提供完整的合同凭证、资金用途和划款路径等必要信息，甲方、现场监管人员应就审批留档。各笔资金的使用均应符合被监管方提供的合</w:t>
      </w:r>
      <w:r>
        <w:rPr>
          <w:rFonts w:ascii="Times New Roman" w:eastAsia="楷体_GB2312" w:hAnsi="Times New Roman" w:hint="eastAsia"/>
          <w:sz w:val="24"/>
          <w:szCs w:val="24"/>
        </w:rPr>
        <w:lastRenderedPageBreak/>
        <w:t>同凭证约定的付款要求及时间节点，各笔资金均应划付至对应的合同预留的指定账户，并在各笔资金划出后</w:t>
      </w:r>
      <w:r>
        <w:rPr>
          <w:rFonts w:ascii="Times New Roman" w:eastAsia="楷体_GB2312" w:hAnsi="Times New Roman" w:hint="eastAsia"/>
          <w:sz w:val="24"/>
          <w:szCs w:val="24"/>
        </w:rPr>
        <w:t>10</w:t>
      </w:r>
      <w:r>
        <w:rPr>
          <w:rFonts w:ascii="Times New Roman" w:eastAsia="楷体_GB2312" w:hAnsi="Times New Roman" w:hint="eastAsia"/>
          <w:sz w:val="24"/>
          <w:szCs w:val="24"/>
        </w:rPr>
        <w:t>个工作日内被监管方应提供必要的支付凭证（如发票、用印收据等）。</w:t>
      </w:r>
    </w:p>
    <w:p w14:paraId="30D0F377" w14:textId="2A39D2CC"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3.1.3</w:t>
      </w:r>
      <w:r>
        <w:rPr>
          <w:rFonts w:ascii="Times New Roman" w:eastAsia="楷体_GB2312" w:hAnsi="Times New Roman"/>
          <w:sz w:val="24"/>
          <w:szCs w:val="24"/>
        </w:rPr>
        <w:tab/>
      </w:r>
      <w:r>
        <w:rPr>
          <w:rFonts w:ascii="Times New Roman" w:eastAsia="楷体_GB2312" w:hAnsi="Times New Roman" w:hint="eastAsia"/>
          <w:sz w:val="24"/>
          <w:szCs w:val="24"/>
        </w:rPr>
        <w:t>甲方将根据《现金流量表》载明的内容对标的项目进行实时监测。除各交易对手已投入项目公司的款项外，对于信托计划存续期间，任何时候标的项目产生资金缺口的，均应由</w:t>
      </w:r>
      <w:proofErr w:type="gramStart"/>
      <w:r>
        <w:rPr>
          <w:rFonts w:ascii="Times New Roman" w:eastAsia="楷体_GB2312" w:hAnsi="Times New Roman" w:hint="eastAsia"/>
          <w:sz w:val="24"/>
          <w:szCs w:val="24"/>
        </w:rPr>
        <w:t>对赌方或</w:t>
      </w:r>
      <w:proofErr w:type="gramEnd"/>
      <w:r>
        <w:rPr>
          <w:rFonts w:ascii="Times New Roman" w:eastAsia="楷体_GB2312" w:hAnsi="Times New Roman" w:hint="eastAsia"/>
          <w:sz w:val="24"/>
          <w:szCs w:val="24"/>
        </w:rPr>
        <w:t>其指定第三方负责解决。</w:t>
      </w:r>
    </w:p>
    <w:p w14:paraId="5B18F4B8" w14:textId="77777777" w:rsidR="00CC4C43" w:rsidRDefault="00CC4C43">
      <w:pPr>
        <w:adjustRightInd w:val="0"/>
        <w:snapToGrid w:val="0"/>
        <w:spacing w:afterLines="20" w:after="62" w:line="288" w:lineRule="auto"/>
        <w:ind w:left="648" w:hangingChars="270" w:hanging="648"/>
        <w:rPr>
          <w:rFonts w:ascii="Times New Roman" w:eastAsia="楷体_GB2312" w:hAnsi="Times New Roman"/>
          <w:sz w:val="24"/>
          <w:szCs w:val="24"/>
        </w:rPr>
      </w:pPr>
    </w:p>
    <w:p w14:paraId="67712489" w14:textId="77777777" w:rsidR="00CC4C43" w:rsidRDefault="007731E0">
      <w:pPr>
        <w:adjustRightInd w:val="0"/>
        <w:snapToGrid w:val="0"/>
        <w:spacing w:afterLines="20" w:after="62" w:line="288" w:lineRule="auto"/>
        <w:rPr>
          <w:rFonts w:ascii="Times New Roman" w:eastAsia="楷体_GB2312" w:hAnsi="Times New Roman"/>
          <w:b/>
          <w:bCs/>
          <w:sz w:val="24"/>
          <w:szCs w:val="24"/>
        </w:rPr>
      </w:pPr>
      <w:r>
        <w:rPr>
          <w:rFonts w:ascii="Times New Roman" w:eastAsia="楷体_GB2312" w:hAnsi="Times New Roman"/>
          <w:b/>
          <w:bCs/>
          <w:sz w:val="24"/>
          <w:szCs w:val="24"/>
        </w:rPr>
        <w:t>3.2.</w:t>
      </w:r>
      <w:r>
        <w:rPr>
          <w:rFonts w:ascii="Times New Roman" w:eastAsia="楷体_GB2312" w:hAnsi="Times New Roman"/>
          <w:b/>
          <w:bCs/>
          <w:sz w:val="24"/>
          <w:szCs w:val="24"/>
        </w:rPr>
        <w:tab/>
      </w:r>
      <w:r>
        <w:rPr>
          <w:rFonts w:ascii="Times New Roman" w:eastAsia="楷体_GB2312" w:hAnsi="Times New Roman" w:hint="eastAsia"/>
          <w:b/>
          <w:bCs/>
          <w:sz w:val="24"/>
          <w:szCs w:val="24"/>
        </w:rPr>
        <w:t>销售及销售回款的监管</w:t>
      </w:r>
    </w:p>
    <w:p w14:paraId="7A9398F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3.2.1</w:t>
      </w:r>
      <w:r>
        <w:rPr>
          <w:rFonts w:ascii="Times New Roman" w:eastAsia="楷体_GB2312" w:hAnsi="Times New Roman"/>
          <w:sz w:val="24"/>
          <w:szCs w:val="24"/>
        </w:rPr>
        <w:tab/>
      </w:r>
      <w:r>
        <w:rPr>
          <w:rFonts w:ascii="Times New Roman" w:eastAsia="楷体_GB2312" w:hAnsi="Times New Roman" w:hint="eastAsia"/>
          <w:sz w:val="24"/>
          <w:szCs w:val="24"/>
        </w:rPr>
        <w:t>项目公司应按照当地住</w:t>
      </w:r>
      <w:proofErr w:type="gramStart"/>
      <w:r>
        <w:rPr>
          <w:rFonts w:ascii="Times New Roman" w:eastAsia="楷体_GB2312" w:hAnsi="Times New Roman" w:hint="eastAsia"/>
          <w:sz w:val="24"/>
          <w:szCs w:val="24"/>
        </w:rPr>
        <w:t>建部门</w:t>
      </w:r>
      <w:proofErr w:type="gramEnd"/>
      <w:r>
        <w:rPr>
          <w:rFonts w:ascii="Times New Roman" w:eastAsia="楷体_GB2312" w:hAnsi="Times New Roman" w:hint="eastAsia"/>
          <w:sz w:val="24"/>
          <w:szCs w:val="24"/>
        </w:rPr>
        <w:t>的要求开立预售资金监管账户（以下简称“预售资金监管账户”），在监管期限内，项目公司就标的项目取得的全部收入（包括但不限于标的项目销售回款）应按照当地住</w:t>
      </w:r>
      <w:proofErr w:type="gramStart"/>
      <w:r>
        <w:rPr>
          <w:rFonts w:ascii="Times New Roman" w:eastAsia="楷体_GB2312" w:hAnsi="Times New Roman" w:hint="eastAsia"/>
          <w:sz w:val="24"/>
          <w:szCs w:val="24"/>
        </w:rPr>
        <w:t>建部门</w:t>
      </w:r>
      <w:proofErr w:type="gramEnd"/>
      <w:r>
        <w:rPr>
          <w:rFonts w:ascii="Times New Roman" w:eastAsia="楷体_GB2312" w:hAnsi="Times New Roman" w:hint="eastAsia"/>
          <w:sz w:val="24"/>
          <w:szCs w:val="24"/>
        </w:rPr>
        <w:t>的要求划入预售资金监管账户，现场监管人员应当对标的项目预售资金监管账户以及其他银行账户进行重点监管，标的项目全部销售回款不得转入私人账户，亦不得坐收坐支。项目公司应将标的项目销售回款（包括但不限于首付款、按揭款、定金、认筹款、排号费、装修款等）、处置标的项目取得的全部收入及时存入甲方监管账户，否则甲方、乙方及现场监管人员有权暂停项目公司资金支出。</w:t>
      </w:r>
      <w:r>
        <w:rPr>
          <w:rFonts w:ascii="Times New Roman" w:eastAsia="楷体_GB2312" w:hAnsi="Times New Roman"/>
          <w:sz w:val="24"/>
          <w:szCs w:val="24"/>
        </w:rPr>
        <w:t>如涉及标的项目第三方代理销售公司的，则</w:t>
      </w:r>
      <w:r>
        <w:rPr>
          <w:rFonts w:ascii="Times New Roman" w:eastAsia="楷体_GB2312" w:hAnsi="Times New Roman" w:hint="eastAsia"/>
          <w:sz w:val="24"/>
          <w:szCs w:val="24"/>
        </w:rPr>
        <w:t>项目公司</w:t>
      </w:r>
      <w:r>
        <w:rPr>
          <w:rFonts w:ascii="Times New Roman" w:eastAsia="楷体_GB2312" w:hAnsi="Times New Roman"/>
          <w:sz w:val="24"/>
          <w:szCs w:val="24"/>
        </w:rPr>
        <w:t>应确保该第三方代理销售公司接收的标的项目全部销售收入进入甲方</w:t>
      </w:r>
      <w:r>
        <w:rPr>
          <w:rFonts w:ascii="Times New Roman" w:eastAsia="楷体_GB2312" w:hAnsi="Times New Roman" w:hint="eastAsia"/>
          <w:sz w:val="24"/>
          <w:szCs w:val="24"/>
        </w:rPr>
        <w:t>、乙方</w:t>
      </w:r>
      <w:r>
        <w:rPr>
          <w:rFonts w:ascii="Times New Roman" w:eastAsia="楷体_GB2312" w:hAnsi="Times New Roman"/>
          <w:sz w:val="24"/>
          <w:szCs w:val="24"/>
        </w:rPr>
        <w:t>和</w:t>
      </w:r>
      <w:proofErr w:type="gramStart"/>
      <w:r>
        <w:rPr>
          <w:rFonts w:ascii="Times New Roman" w:eastAsia="楷体_GB2312" w:hAnsi="Times New Roman"/>
          <w:sz w:val="24"/>
          <w:szCs w:val="24"/>
        </w:rPr>
        <w:t>庚方</w:t>
      </w:r>
      <w:proofErr w:type="gramEnd"/>
      <w:r>
        <w:rPr>
          <w:rFonts w:ascii="Times New Roman" w:eastAsia="楷体_GB2312" w:hAnsi="Times New Roman"/>
          <w:sz w:val="24"/>
          <w:szCs w:val="24"/>
        </w:rPr>
        <w:t>监管的</w:t>
      </w:r>
      <w:r>
        <w:rPr>
          <w:rFonts w:ascii="Times New Roman" w:eastAsia="楷体_GB2312" w:hAnsi="Times New Roman" w:hint="eastAsia"/>
          <w:sz w:val="24"/>
          <w:szCs w:val="24"/>
        </w:rPr>
        <w:t>项目公司名下的</w:t>
      </w:r>
      <w:r>
        <w:rPr>
          <w:rFonts w:ascii="Times New Roman" w:eastAsia="楷体_GB2312" w:hAnsi="Times New Roman"/>
          <w:sz w:val="24"/>
          <w:szCs w:val="24"/>
        </w:rPr>
        <w:t>银行账户</w:t>
      </w:r>
      <w:r>
        <w:rPr>
          <w:rFonts w:ascii="Times New Roman" w:eastAsia="楷体_GB2312" w:hAnsi="Times New Roman" w:hint="eastAsia"/>
          <w:sz w:val="24"/>
          <w:szCs w:val="24"/>
        </w:rPr>
        <w:t>。现场监管人员应当每周核对项目公司的销售周报与项目公司银行账户收款额的差异，确保标的项目所有销售回款均已支付至甲方、乙方监管的项目公司账户中。现场监管人员应定期向甲方汇报标的项目的销售及销售回款情况，并对项目公司名下银行账户余额的变动进行重点监控。</w:t>
      </w:r>
    </w:p>
    <w:p w14:paraId="0B60764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
          <w:sz w:val="24"/>
          <w:szCs w:val="24"/>
        </w:rPr>
      </w:pPr>
      <w:r>
        <w:rPr>
          <w:rFonts w:ascii="Times New Roman" w:eastAsia="楷体_GB2312" w:hAnsi="Times New Roman"/>
          <w:sz w:val="24"/>
          <w:szCs w:val="24"/>
        </w:rPr>
        <w:t>3.2.2</w:t>
      </w:r>
      <w:r>
        <w:rPr>
          <w:rFonts w:ascii="Times New Roman" w:eastAsia="楷体_GB2312" w:hAnsi="Times New Roman"/>
          <w:sz w:val="24"/>
          <w:szCs w:val="24"/>
        </w:rPr>
        <w:tab/>
      </w:r>
      <w:r>
        <w:rPr>
          <w:rFonts w:ascii="Times New Roman" w:eastAsia="楷体_GB2312" w:hAnsi="Times New Roman" w:hint="eastAsia"/>
          <w:sz w:val="24"/>
          <w:szCs w:val="24"/>
        </w:rPr>
        <w:t>在满足本合同</w:t>
      </w:r>
      <w:r>
        <w:rPr>
          <w:rFonts w:ascii="Times New Roman" w:eastAsia="楷体_GB2312" w:hAnsi="Times New Roman"/>
          <w:sz w:val="24"/>
          <w:szCs w:val="24"/>
        </w:rPr>
        <w:t>3.2.8</w:t>
      </w:r>
      <w:r>
        <w:rPr>
          <w:rFonts w:ascii="Times New Roman" w:eastAsia="楷体_GB2312" w:hAnsi="Times New Roman" w:hint="eastAsia"/>
          <w:sz w:val="24"/>
          <w:szCs w:val="24"/>
        </w:rPr>
        <w:t>条约定的销售回款沉淀要求的前提下，标的项目销售回款在按照本合同约定经审批通过后方可对外划款，且该类支出仅限用于标的项目的开发建设、按照《合作框架协议》和《对赌协议》进行分配等甲方认可的用途。</w:t>
      </w:r>
      <w:r>
        <w:rPr>
          <w:rFonts w:ascii="Times New Roman" w:eastAsia="楷体_GB2312" w:hAnsi="Times New Roman" w:hint="eastAsia"/>
          <w:b/>
          <w:sz w:val="24"/>
          <w:szCs w:val="24"/>
        </w:rPr>
        <w:t>但各方确认，除标的项目必要的工程建设支出外（须经甲方指定人员事先书面同意），账户中全部资金余额应当优先用于由项目公司按照《合作框架协议》和《对赌协议》约定进行分配。</w:t>
      </w:r>
    </w:p>
    <w:p w14:paraId="0EA74CE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w:t>
      </w:r>
      <w:r>
        <w:rPr>
          <w:rFonts w:ascii="Times New Roman" w:eastAsia="楷体_GB2312" w:hAnsi="Times New Roman"/>
          <w:sz w:val="24"/>
          <w:szCs w:val="24"/>
        </w:rPr>
        <w:t>.2.4</w:t>
      </w:r>
      <w:r>
        <w:rPr>
          <w:rFonts w:ascii="Times New Roman" w:eastAsia="楷体_GB2312" w:hAnsi="Times New Roman"/>
          <w:sz w:val="24"/>
          <w:szCs w:val="24"/>
        </w:rPr>
        <w:tab/>
      </w:r>
      <w:r>
        <w:rPr>
          <w:rFonts w:ascii="Times New Roman" w:eastAsia="楷体_GB2312" w:hAnsi="Times New Roman" w:hint="eastAsia"/>
          <w:sz w:val="24"/>
          <w:szCs w:val="24"/>
        </w:rPr>
        <w:t>项目公司应向甲方、乙方、</w:t>
      </w:r>
      <w:proofErr w:type="gramStart"/>
      <w:r>
        <w:rPr>
          <w:rFonts w:ascii="Times New Roman" w:eastAsia="楷体_GB2312" w:hAnsi="Times New Roman" w:hint="eastAsia"/>
          <w:sz w:val="24"/>
          <w:szCs w:val="24"/>
        </w:rPr>
        <w:t>庚方提供</w:t>
      </w:r>
      <w:proofErr w:type="gramEnd"/>
      <w:r>
        <w:rPr>
          <w:rFonts w:ascii="Times New Roman" w:eastAsia="楷体_GB2312" w:hAnsi="Times New Roman" w:hint="eastAsia"/>
          <w:sz w:val="24"/>
          <w:szCs w:val="24"/>
        </w:rPr>
        <w:t>查看</w:t>
      </w:r>
      <w:proofErr w:type="gramStart"/>
      <w:r>
        <w:rPr>
          <w:rFonts w:ascii="Times New Roman" w:eastAsia="楷体_GB2312" w:hAnsi="Times New Roman" w:hint="eastAsia"/>
          <w:sz w:val="24"/>
          <w:szCs w:val="24"/>
        </w:rPr>
        <w:t>项目网签系统</w:t>
      </w:r>
      <w:proofErr w:type="gramEnd"/>
      <w:r>
        <w:rPr>
          <w:rFonts w:ascii="Times New Roman" w:eastAsia="楷体_GB2312" w:hAnsi="Times New Roman" w:hint="eastAsia"/>
          <w:sz w:val="24"/>
          <w:szCs w:val="24"/>
        </w:rPr>
        <w:t>所必需的密码及权限，现场监管人员有权随时</w:t>
      </w:r>
      <w:proofErr w:type="gramStart"/>
      <w:r>
        <w:rPr>
          <w:rFonts w:ascii="Times New Roman" w:eastAsia="楷体_GB2312" w:hAnsi="Times New Roman" w:hint="eastAsia"/>
          <w:sz w:val="24"/>
          <w:szCs w:val="24"/>
        </w:rPr>
        <w:t>登陆网签系统</w:t>
      </w:r>
      <w:proofErr w:type="gramEnd"/>
      <w:r>
        <w:rPr>
          <w:rFonts w:ascii="Times New Roman" w:eastAsia="楷体_GB2312" w:hAnsi="Times New Roman" w:hint="eastAsia"/>
          <w:sz w:val="24"/>
          <w:szCs w:val="24"/>
        </w:rPr>
        <w:t>查看标的</w:t>
      </w:r>
      <w:proofErr w:type="gramStart"/>
      <w:r>
        <w:rPr>
          <w:rFonts w:ascii="Times New Roman" w:eastAsia="楷体_GB2312" w:hAnsi="Times New Roman" w:hint="eastAsia"/>
          <w:sz w:val="24"/>
          <w:szCs w:val="24"/>
        </w:rPr>
        <w:t>项目网签</w:t>
      </w:r>
      <w:proofErr w:type="gramEnd"/>
      <w:r>
        <w:rPr>
          <w:rFonts w:ascii="Times New Roman" w:eastAsia="楷体_GB2312" w:hAnsi="Times New Roman" w:hint="eastAsia"/>
          <w:sz w:val="24"/>
          <w:szCs w:val="24"/>
        </w:rPr>
        <w:t>销售情况。甲方、乙方、</w:t>
      </w:r>
      <w:proofErr w:type="gramStart"/>
      <w:r>
        <w:rPr>
          <w:rFonts w:ascii="Times New Roman" w:eastAsia="楷体_GB2312" w:hAnsi="Times New Roman" w:hint="eastAsia"/>
          <w:sz w:val="24"/>
          <w:szCs w:val="24"/>
        </w:rPr>
        <w:t>庚方有权</w:t>
      </w:r>
      <w:proofErr w:type="gramEnd"/>
      <w:r>
        <w:rPr>
          <w:rFonts w:ascii="Times New Roman" w:eastAsia="楷体_GB2312" w:hAnsi="Times New Roman" w:hint="eastAsia"/>
          <w:sz w:val="24"/>
          <w:szCs w:val="24"/>
        </w:rPr>
        <w:t>查看标的项目销售相关财务凭证，如收据、发票、</w:t>
      </w:r>
      <w:r>
        <w:rPr>
          <w:rFonts w:ascii="Times New Roman" w:eastAsia="楷体_GB2312" w:hAnsi="Times New Roman" w:hint="eastAsia"/>
          <w:sz w:val="24"/>
          <w:szCs w:val="24"/>
        </w:rPr>
        <w:t>POS</w:t>
      </w:r>
      <w:r>
        <w:rPr>
          <w:rFonts w:ascii="Times New Roman" w:eastAsia="楷体_GB2312" w:hAnsi="Times New Roman" w:hint="eastAsia"/>
          <w:sz w:val="24"/>
          <w:szCs w:val="24"/>
        </w:rPr>
        <w:t>刷卡回单、房屋卖卖合同、认购协议等销售相关合约原件，项目公司应积极配合；项目公司应定期向甲方、</w:t>
      </w:r>
      <w:proofErr w:type="gramStart"/>
      <w:r>
        <w:rPr>
          <w:rFonts w:ascii="Times New Roman" w:eastAsia="楷体_GB2312" w:hAnsi="Times New Roman" w:hint="eastAsia"/>
          <w:sz w:val="24"/>
          <w:szCs w:val="24"/>
        </w:rPr>
        <w:t>庚方报送</w:t>
      </w:r>
      <w:proofErr w:type="gramEnd"/>
      <w:r>
        <w:rPr>
          <w:rFonts w:ascii="Times New Roman" w:eastAsia="楷体_GB2312" w:hAnsi="Times New Roman" w:hint="eastAsia"/>
          <w:sz w:val="24"/>
          <w:szCs w:val="24"/>
        </w:rPr>
        <w:t>销售数据，包括按月报送销售台账等。现场监管人员应通过定期核对会计账册、</w:t>
      </w:r>
      <w:proofErr w:type="gramStart"/>
      <w:r>
        <w:rPr>
          <w:rFonts w:ascii="Times New Roman" w:eastAsia="楷体_GB2312" w:hAnsi="Times New Roman" w:hint="eastAsia"/>
          <w:sz w:val="24"/>
          <w:szCs w:val="24"/>
        </w:rPr>
        <w:t>网签数据</w:t>
      </w:r>
      <w:proofErr w:type="gramEnd"/>
      <w:r>
        <w:rPr>
          <w:rFonts w:ascii="Times New Roman" w:eastAsia="楷体_GB2312" w:hAnsi="Times New Roman" w:hint="eastAsia"/>
          <w:sz w:val="24"/>
          <w:szCs w:val="24"/>
        </w:rPr>
        <w:t>、销售台账、房屋买卖合同、收据、发票等，对标的项目销售的真实性进行核实，并与</w:t>
      </w:r>
      <w:r>
        <w:rPr>
          <w:rFonts w:ascii="Times New Roman" w:eastAsia="楷体_GB2312" w:hAnsi="Times New Roman" w:hint="eastAsia"/>
          <w:sz w:val="24"/>
          <w:szCs w:val="24"/>
        </w:rPr>
        <w:lastRenderedPageBreak/>
        <w:t>监管账户内回款资金进行比对，确保标的项目所有销售收入划入甲方监管账户并按约定归集至监管归集账户（同销售监管账户）。</w:t>
      </w:r>
    </w:p>
    <w:p w14:paraId="433E071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w:t>
      </w:r>
      <w:r>
        <w:rPr>
          <w:rFonts w:ascii="Times New Roman" w:eastAsia="楷体_GB2312" w:hAnsi="Times New Roman"/>
          <w:sz w:val="24"/>
          <w:szCs w:val="24"/>
        </w:rPr>
        <w:t>.2.5</w:t>
      </w:r>
      <w:r>
        <w:rPr>
          <w:rFonts w:ascii="Times New Roman" w:eastAsia="楷体_GB2312" w:hAnsi="Times New Roman"/>
          <w:sz w:val="24"/>
          <w:szCs w:val="24"/>
        </w:rPr>
        <w:tab/>
      </w:r>
      <w:r>
        <w:rPr>
          <w:rFonts w:ascii="Times New Roman" w:eastAsia="楷体_GB2312" w:hAnsi="Times New Roman" w:hint="eastAsia"/>
          <w:sz w:val="24"/>
          <w:szCs w:val="24"/>
        </w:rPr>
        <w:t>标的项目已售房源的销售回款延迟一个季度尚未进入本合同项下监管账户的，项目公司应向甲方、</w:t>
      </w:r>
      <w:proofErr w:type="gramStart"/>
      <w:r>
        <w:rPr>
          <w:rFonts w:ascii="Times New Roman" w:eastAsia="楷体_GB2312" w:hAnsi="Times New Roman" w:hint="eastAsia"/>
          <w:sz w:val="24"/>
          <w:szCs w:val="24"/>
        </w:rPr>
        <w:t>庚方出具</w:t>
      </w:r>
      <w:proofErr w:type="gramEnd"/>
      <w:r>
        <w:rPr>
          <w:rFonts w:ascii="Times New Roman" w:eastAsia="楷体_GB2312" w:hAnsi="Times New Roman" w:hint="eastAsia"/>
          <w:sz w:val="24"/>
          <w:szCs w:val="24"/>
        </w:rPr>
        <w:t>书面合理解释，现场监管人员应及时向甲方报备，并持续跟踪销售资金归集进展。如项目公司未出具合理解释或该等销售资金较长时间不能归集到位，甲方有权要求项目公司和</w:t>
      </w:r>
      <w:r>
        <w:rPr>
          <w:rFonts w:ascii="Times New Roman" w:eastAsia="楷体_GB2312" w:hAnsi="Times New Roman" w:hint="eastAsia"/>
          <w:sz w:val="24"/>
          <w:szCs w:val="24"/>
        </w:rPr>
        <w:t>/</w:t>
      </w:r>
      <w:r>
        <w:rPr>
          <w:rFonts w:ascii="Times New Roman" w:eastAsia="楷体_GB2312" w:hAnsi="Times New Roman" w:hint="eastAsia"/>
          <w:sz w:val="24"/>
          <w:szCs w:val="24"/>
        </w:rPr>
        <w:t>或《合作框架协议》和《对赌协议》项下相关交易对手对该等未归集销售资金予以补足或宣布启动《合作框架协议》和《对赌协议》项下的对赌保护性退出机制。</w:t>
      </w:r>
    </w:p>
    <w:p w14:paraId="3DA3010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w:t>
      </w:r>
      <w:r>
        <w:rPr>
          <w:rFonts w:ascii="Times New Roman" w:eastAsia="楷体_GB2312" w:hAnsi="Times New Roman"/>
          <w:sz w:val="24"/>
          <w:szCs w:val="24"/>
        </w:rPr>
        <w:t>.2.6</w:t>
      </w:r>
      <w:r>
        <w:rPr>
          <w:rFonts w:ascii="Times New Roman" w:eastAsia="楷体_GB2312" w:hAnsi="Times New Roman"/>
          <w:sz w:val="24"/>
          <w:szCs w:val="24"/>
        </w:rPr>
        <w:tab/>
      </w:r>
      <w:r>
        <w:rPr>
          <w:rFonts w:ascii="Times New Roman" w:eastAsia="楷体_GB2312" w:hAnsi="Times New Roman" w:hint="eastAsia"/>
          <w:sz w:val="24"/>
          <w:szCs w:val="24"/>
        </w:rPr>
        <w:t>甲方有权根据本合同附件四中列示的《销售计划表》跟踪标的项目销售情况。现场监管人员应按照本协议约定核查标的项目的销售进度，并应严格按照本合同附件四中列示的时间节点监督项目销售情况，对销售进度偏离（包括开盘延后）、</w:t>
      </w:r>
      <w:proofErr w:type="gramStart"/>
      <w:r>
        <w:rPr>
          <w:rFonts w:ascii="Times New Roman" w:eastAsia="楷体_GB2312" w:hAnsi="Times New Roman" w:hint="eastAsia"/>
          <w:sz w:val="24"/>
          <w:szCs w:val="24"/>
        </w:rPr>
        <w:t>较整体</w:t>
      </w:r>
      <w:proofErr w:type="gramEnd"/>
      <w:r>
        <w:rPr>
          <w:rFonts w:ascii="Times New Roman" w:eastAsia="楷体_GB2312" w:hAnsi="Times New Roman" w:hint="eastAsia"/>
          <w:sz w:val="24"/>
          <w:szCs w:val="24"/>
        </w:rPr>
        <w:t>销售计划延后较长时间的，或销售不畅等原因导致实际销售回款不足的，应要求项目公司</w:t>
      </w:r>
      <w:proofErr w:type="gramStart"/>
      <w:r>
        <w:rPr>
          <w:rFonts w:ascii="Times New Roman" w:eastAsia="楷体_GB2312" w:hAnsi="Times New Roman" w:hint="eastAsia"/>
          <w:sz w:val="24"/>
          <w:szCs w:val="24"/>
        </w:rPr>
        <w:t>作出</w:t>
      </w:r>
      <w:proofErr w:type="gramEnd"/>
      <w:r>
        <w:rPr>
          <w:rFonts w:ascii="Times New Roman" w:eastAsia="楷体_GB2312" w:hAnsi="Times New Roman" w:hint="eastAsia"/>
          <w:sz w:val="24"/>
          <w:szCs w:val="24"/>
        </w:rPr>
        <w:t>书面说明、明确补充项目公司按照《合作框架协议》和《对赌协议》分配投资本金和投资收益的来源、提出加快销售进度的方案并立即向监管公司和甲方汇报</w:t>
      </w:r>
      <w:r>
        <w:rPr>
          <w:rFonts w:ascii="Arial" w:hAnsi="宋体" w:cs="Arial" w:hint="eastAsia"/>
          <w:kern w:val="0"/>
          <w:szCs w:val="21"/>
        </w:rPr>
        <w:t>。</w:t>
      </w:r>
      <w:r>
        <w:rPr>
          <w:rFonts w:ascii="Times New Roman" w:eastAsia="楷体_GB2312" w:hAnsi="Times New Roman" w:hint="eastAsia"/>
          <w:sz w:val="24"/>
          <w:szCs w:val="24"/>
        </w:rPr>
        <w:t>特别地，现场监管人员应根据《标的项目工程进度表》和《标的项目销售计划表》持续跟踪标的项目《不动产权证书》、《建设用地规划许可证》、《建设工程规划许可证》、《建筑工程施工许可证》、《商品房预售许可证</w:t>
      </w:r>
      <w:r>
        <w:rPr>
          <w:rFonts w:ascii="Times New Roman" w:eastAsia="楷体_GB2312" w:hAnsi="Times New Roman" w:hint="eastAsia"/>
          <w:sz w:val="24"/>
          <w:szCs w:val="24"/>
        </w:rPr>
        <w:t>/</w:t>
      </w:r>
      <w:r>
        <w:rPr>
          <w:rFonts w:ascii="Times New Roman" w:eastAsia="楷体_GB2312" w:hAnsi="Times New Roman" w:hint="eastAsia"/>
          <w:sz w:val="24"/>
          <w:szCs w:val="24"/>
        </w:rPr>
        <w:t>销售许可证》等证照的办理情况和标的项目销售情况，《销售计划表》与销售备案如需调整的，应当及时报送甲方，由甲方对调整情况重新进行风险评估。</w:t>
      </w:r>
    </w:p>
    <w:p w14:paraId="316A62A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w:t>
      </w:r>
      <w:r>
        <w:rPr>
          <w:rFonts w:ascii="Times New Roman" w:eastAsia="楷体_GB2312" w:hAnsi="Times New Roman"/>
          <w:sz w:val="24"/>
          <w:szCs w:val="24"/>
        </w:rPr>
        <w:t>.2.</w:t>
      </w:r>
      <w:r>
        <w:rPr>
          <w:rFonts w:ascii="Times New Roman" w:eastAsia="楷体_GB2312" w:hAnsi="Times New Roman" w:hint="eastAsia"/>
          <w:sz w:val="24"/>
          <w:szCs w:val="24"/>
        </w:rPr>
        <w:t>7</w:t>
      </w:r>
      <w:r>
        <w:rPr>
          <w:rFonts w:ascii="Times New Roman" w:eastAsia="楷体_GB2312" w:hAnsi="Times New Roman"/>
          <w:sz w:val="24"/>
          <w:szCs w:val="24"/>
        </w:rPr>
        <w:tab/>
      </w:r>
      <w:r>
        <w:rPr>
          <w:rFonts w:ascii="Times New Roman" w:eastAsia="楷体_GB2312" w:hAnsi="Times New Roman" w:hint="eastAsia"/>
          <w:sz w:val="24"/>
          <w:szCs w:val="24"/>
        </w:rPr>
        <w:t>项目公司就标的项目办理预售许可证时应将甲方和乙方认可的银行账户列示为标的项目销售回款账户。同时，标的项目销售实行公示机制，甲方、乙方、</w:t>
      </w:r>
      <w:proofErr w:type="gramStart"/>
      <w:r>
        <w:rPr>
          <w:rFonts w:ascii="Times New Roman" w:eastAsia="楷体_GB2312" w:hAnsi="Times New Roman" w:hint="eastAsia"/>
          <w:sz w:val="24"/>
          <w:szCs w:val="24"/>
        </w:rPr>
        <w:t>庚方有权</w:t>
      </w:r>
      <w:proofErr w:type="gramEnd"/>
      <w:r>
        <w:rPr>
          <w:rFonts w:ascii="Times New Roman" w:eastAsia="楷体_GB2312" w:hAnsi="Times New Roman" w:hint="eastAsia"/>
          <w:sz w:val="24"/>
          <w:szCs w:val="24"/>
        </w:rPr>
        <w:t>要求项目公司在标的项目售楼部内醒目</w:t>
      </w:r>
      <w:proofErr w:type="gramStart"/>
      <w:r>
        <w:rPr>
          <w:rFonts w:ascii="Times New Roman" w:eastAsia="楷体_GB2312" w:hAnsi="Times New Roman" w:hint="eastAsia"/>
          <w:sz w:val="24"/>
          <w:szCs w:val="24"/>
        </w:rPr>
        <w:t>处树立</w:t>
      </w:r>
      <w:proofErr w:type="gramEnd"/>
      <w:r>
        <w:rPr>
          <w:rFonts w:ascii="Times New Roman" w:eastAsia="楷体_GB2312" w:hAnsi="Times New Roman" w:hint="eastAsia"/>
          <w:sz w:val="24"/>
          <w:szCs w:val="24"/>
        </w:rPr>
        <w:t>标牌，公示甲方认可的监管账户的账户信息、收款方式并明确告知甲方认可的监管账户作为唯一预售资金收款账户，并警示标的项目除公示的收款账户之外，其他所有收款账户均属于非法交易账户，提示购房人注意。</w:t>
      </w:r>
    </w:p>
    <w:p w14:paraId="59583C1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w:t>
      </w:r>
      <w:r>
        <w:rPr>
          <w:rFonts w:ascii="Times New Roman" w:eastAsia="楷体_GB2312" w:hAnsi="Times New Roman"/>
          <w:sz w:val="24"/>
          <w:szCs w:val="24"/>
        </w:rPr>
        <w:t>.2.</w:t>
      </w:r>
      <w:r>
        <w:rPr>
          <w:rFonts w:ascii="Times New Roman" w:eastAsia="楷体_GB2312" w:hAnsi="Times New Roman" w:hint="eastAsia"/>
          <w:sz w:val="24"/>
          <w:szCs w:val="24"/>
        </w:rPr>
        <w:t>8</w:t>
      </w:r>
      <w:r>
        <w:rPr>
          <w:rFonts w:ascii="Times New Roman" w:eastAsia="楷体_GB2312" w:hAnsi="Times New Roman"/>
          <w:sz w:val="24"/>
          <w:szCs w:val="24"/>
        </w:rPr>
        <w:tab/>
      </w:r>
      <w:bookmarkStart w:id="5" w:name="_Hlk67934966"/>
      <w:r>
        <w:rPr>
          <w:rFonts w:ascii="Times New Roman" w:eastAsia="楷体_GB2312" w:hAnsi="Times New Roman" w:hint="eastAsia"/>
          <w:sz w:val="24"/>
          <w:szCs w:val="24"/>
        </w:rPr>
        <w:t>项目公司应根据标的项目销售进度就销售回款按月沉淀至监管归集账户（同放款户）。信托计划存续期间内，截至任</w:t>
      </w:r>
      <w:proofErr w:type="gramStart"/>
      <w:r>
        <w:rPr>
          <w:rFonts w:ascii="Times New Roman" w:eastAsia="楷体_GB2312" w:hAnsi="Times New Roman" w:hint="eastAsia"/>
          <w:sz w:val="24"/>
          <w:szCs w:val="24"/>
        </w:rPr>
        <w:t>一</w:t>
      </w:r>
      <w:proofErr w:type="gramEnd"/>
      <w:r>
        <w:rPr>
          <w:rFonts w:ascii="Times New Roman" w:eastAsia="楷体_GB2312" w:hAnsi="Times New Roman" w:hint="eastAsia"/>
          <w:sz w:val="24"/>
          <w:szCs w:val="24"/>
        </w:rPr>
        <w:t>沉淀时点，标的项目销售回款沉淀资金应当不低于按照如下公式计算的金额：（截至该时点标的项目累计销售回款资金</w:t>
      </w:r>
      <w:r>
        <w:rPr>
          <w:rFonts w:ascii="Times New Roman" w:eastAsia="楷体_GB2312" w:hAnsi="Times New Roman"/>
          <w:sz w:val="24"/>
          <w:szCs w:val="24"/>
        </w:rPr>
        <w:t>-</w:t>
      </w:r>
      <w:r>
        <w:rPr>
          <w:rFonts w:ascii="Times New Roman" w:eastAsia="楷体_GB2312" w:hAnsi="Times New Roman" w:hint="eastAsia"/>
          <w:sz w:val="24"/>
          <w:szCs w:val="24"/>
        </w:rPr>
        <w:t>经项目公司董事会批准的标的项目年度预算中必要开发建设支出</w:t>
      </w:r>
      <w:r>
        <w:rPr>
          <w:rFonts w:ascii="Times New Roman" w:eastAsia="楷体_GB2312" w:hAnsi="Times New Roman"/>
          <w:sz w:val="24"/>
          <w:szCs w:val="24"/>
        </w:rPr>
        <w:t>-</w:t>
      </w:r>
      <w:r>
        <w:rPr>
          <w:rFonts w:ascii="Times New Roman" w:eastAsia="楷体_GB2312" w:hAnsi="Times New Roman" w:hint="eastAsia"/>
          <w:sz w:val="24"/>
          <w:szCs w:val="24"/>
        </w:rPr>
        <w:t>按照住</w:t>
      </w:r>
      <w:proofErr w:type="gramStart"/>
      <w:r>
        <w:rPr>
          <w:rFonts w:ascii="Times New Roman" w:eastAsia="楷体_GB2312" w:hAnsi="Times New Roman" w:hint="eastAsia"/>
          <w:sz w:val="24"/>
          <w:szCs w:val="24"/>
        </w:rPr>
        <w:t>建部门</w:t>
      </w:r>
      <w:proofErr w:type="gramEnd"/>
      <w:r>
        <w:rPr>
          <w:rFonts w:ascii="Times New Roman" w:eastAsia="楷体_GB2312" w:hAnsi="Times New Roman" w:hint="eastAsia"/>
          <w:sz w:val="24"/>
          <w:szCs w:val="24"/>
        </w:rPr>
        <w:t>重点监管资金</w:t>
      </w:r>
      <w:r>
        <w:rPr>
          <w:rFonts w:ascii="Times New Roman" w:eastAsia="楷体_GB2312" w:hAnsi="Times New Roman"/>
          <w:sz w:val="24"/>
          <w:szCs w:val="24"/>
        </w:rPr>
        <w:t>&lt;</w:t>
      </w:r>
      <w:r>
        <w:rPr>
          <w:rFonts w:ascii="Times New Roman" w:eastAsia="楷体_GB2312" w:hAnsi="Times New Roman" w:hint="eastAsia"/>
          <w:sz w:val="24"/>
          <w:szCs w:val="24"/>
        </w:rPr>
        <w:t>如有</w:t>
      </w:r>
      <w:r>
        <w:rPr>
          <w:rFonts w:ascii="Times New Roman" w:eastAsia="楷体_GB2312" w:hAnsi="Times New Roman"/>
          <w:sz w:val="24"/>
          <w:szCs w:val="24"/>
        </w:rPr>
        <w:t>&gt;</w:t>
      </w:r>
      <w:r>
        <w:rPr>
          <w:rFonts w:ascii="Times New Roman" w:eastAsia="楷体_GB2312" w:hAnsi="Times New Roman" w:hint="eastAsia"/>
          <w:sz w:val="24"/>
          <w:szCs w:val="24"/>
        </w:rPr>
        <w:t>）×【</w:t>
      </w:r>
      <w:r>
        <w:rPr>
          <w:rFonts w:ascii="Times New Roman" w:eastAsia="楷体_GB2312" w:hAnsi="Times New Roman"/>
          <w:sz w:val="24"/>
          <w:szCs w:val="24"/>
        </w:rPr>
        <w:t>50</w:t>
      </w:r>
      <w:r>
        <w:rPr>
          <w:rFonts w:ascii="Times New Roman" w:eastAsia="楷体_GB2312" w:hAnsi="Times New Roman" w:hint="eastAsia"/>
          <w:sz w:val="24"/>
          <w:szCs w:val="24"/>
        </w:rPr>
        <w:t>】</w:t>
      </w:r>
      <w:r>
        <w:rPr>
          <w:rFonts w:ascii="Times New Roman" w:eastAsia="楷体_GB2312" w:hAnsi="Times New Roman"/>
          <w:sz w:val="24"/>
          <w:szCs w:val="24"/>
        </w:rPr>
        <w:t>%</w:t>
      </w:r>
      <w:r>
        <w:rPr>
          <w:rFonts w:ascii="Times New Roman" w:eastAsia="楷体_GB2312" w:hAnsi="Times New Roman" w:hint="eastAsia"/>
          <w:sz w:val="24"/>
          <w:szCs w:val="24"/>
        </w:rPr>
        <w:t>。</w:t>
      </w:r>
      <w:bookmarkEnd w:id="5"/>
    </w:p>
    <w:p w14:paraId="290750B9" w14:textId="77777777" w:rsidR="00CC4C43" w:rsidRDefault="007731E0">
      <w:pPr>
        <w:adjustRightInd w:val="0"/>
        <w:snapToGrid w:val="0"/>
        <w:spacing w:afterLines="20" w:after="62" w:line="288" w:lineRule="auto"/>
        <w:ind w:left="651" w:hangingChars="270" w:hanging="651"/>
        <w:rPr>
          <w:rFonts w:ascii="Times New Roman" w:eastAsia="楷体_GB2312" w:hAnsi="Times New Roman"/>
          <w:b/>
          <w:bCs/>
          <w:sz w:val="24"/>
          <w:szCs w:val="24"/>
        </w:rPr>
      </w:pPr>
      <w:r>
        <w:rPr>
          <w:rFonts w:ascii="Times New Roman" w:eastAsia="楷体_GB2312" w:hAnsi="Times New Roman"/>
          <w:b/>
          <w:bCs/>
          <w:sz w:val="24"/>
          <w:szCs w:val="24"/>
        </w:rPr>
        <w:t>3.3.</w:t>
      </w:r>
      <w:r>
        <w:rPr>
          <w:rFonts w:ascii="Times New Roman" w:eastAsia="楷体_GB2312" w:hAnsi="Times New Roman"/>
          <w:b/>
          <w:bCs/>
          <w:sz w:val="24"/>
          <w:szCs w:val="24"/>
        </w:rPr>
        <w:tab/>
      </w:r>
      <w:r>
        <w:rPr>
          <w:rFonts w:ascii="Times New Roman" w:eastAsia="楷体_GB2312" w:hAnsi="Times New Roman" w:hint="eastAsia"/>
          <w:b/>
          <w:bCs/>
          <w:sz w:val="24"/>
          <w:szCs w:val="24"/>
        </w:rPr>
        <w:t>账户的监管</w:t>
      </w:r>
    </w:p>
    <w:p w14:paraId="18B08C6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3.3.1</w:t>
      </w:r>
      <w:r>
        <w:rPr>
          <w:rFonts w:ascii="Times New Roman" w:eastAsia="楷体_GB2312" w:hAnsi="Times New Roman"/>
          <w:sz w:val="24"/>
          <w:szCs w:val="24"/>
        </w:rPr>
        <w:tab/>
      </w:r>
      <w:r>
        <w:rPr>
          <w:rFonts w:ascii="Times New Roman" w:eastAsia="楷体_GB2312" w:hAnsi="Times New Roman" w:hint="eastAsia"/>
          <w:sz w:val="24"/>
          <w:szCs w:val="24"/>
        </w:rPr>
        <w:t>信托计划存续期间，除本合同另有约定外，现场监管人员负责与被监管方共同保管被监管方</w:t>
      </w:r>
      <w:proofErr w:type="gramStart"/>
      <w:r>
        <w:rPr>
          <w:rFonts w:ascii="Times New Roman" w:eastAsia="楷体_GB2312" w:hAnsi="Times New Roman" w:hint="eastAsia"/>
          <w:sz w:val="24"/>
          <w:szCs w:val="24"/>
        </w:rPr>
        <w:t>除项目</w:t>
      </w:r>
      <w:proofErr w:type="gramEnd"/>
      <w:r>
        <w:rPr>
          <w:rFonts w:ascii="Times New Roman" w:eastAsia="楷体_GB2312" w:hAnsi="Times New Roman" w:hint="eastAsia"/>
          <w:sz w:val="24"/>
          <w:szCs w:val="24"/>
        </w:rPr>
        <w:t>公司基本户以外的全部银行账户（包括但不限于合伙企业一般账户、合肥</w:t>
      </w:r>
      <w:proofErr w:type="gramStart"/>
      <w:r>
        <w:rPr>
          <w:rFonts w:ascii="Times New Roman" w:eastAsia="楷体_GB2312" w:hAnsi="Times New Roman" w:hint="eastAsia"/>
          <w:sz w:val="24"/>
          <w:szCs w:val="24"/>
        </w:rPr>
        <w:t>融沛一般</w:t>
      </w:r>
      <w:proofErr w:type="gramEnd"/>
      <w:r>
        <w:rPr>
          <w:rFonts w:ascii="Times New Roman" w:eastAsia="楷体_GB2312" w:hAnsi="Times New Roman" w:hint="eastAsia"/>
          <w:sz w:val="24"/>
          <w:szCs w:val="24"/>
        </w:rPr>
        <w:t>账户、合肥赛</w:t>
      </w:r>
      <w:proofErr w:type="gramStart"/>
      <w:r>
        <w:rPr>
          <w:rFonts w:ascii="Times New Roman" w:eastAsia="楷体_GB2312" w:hAnsi="Times New Roman" w:hint="eastAsia"/>
          <w:sz w:val="24"/>
          <w:szCs w:val="24"/>
        </w:rPr>
        <w:t>越一般</w:t>
      </w:r>
      <w:proofErr w:type="gramEnd"/>
      <w:r>
        <w:rPr>
          <w:rFonts w:ascii="Times New Roman" w:eastAsia="楷体_GB2312" w:hAnsi="Times New Roman" w:hint="eastAsia"/>
          <w:sz w:val="24"/>
          <w:szCs w:val="24"/>
        </w:rPr>
        <w:t>账户、项目公司预</w:t>
      </w:r>
      <w:r>
        <w:rPr>
          <w:rFonts w:ascii="Times New Roman" w:eastAsia="楷体_GB2312" w:hAnsi="Times New Roman" w:hint="eastAsia"/>
          <w:sz w:val="24"/>
          <w:szCs w:val="24"/>
        </w:rPr>
        <w:lastRenderedPageBreak/>
        <w:t>售资金监管账户</w:t>
      </w:r>
      <w:r>
        <w:rPr>
          <w:rFonts w:ascii="Times New Roman" w:eastAsia="楷体_GB2312" w:hAnsi="Times New Roman" w:hint="eastAsia"/>
          <w:sz w:val="24"/>
          <w:szCs w:val="24"/>
        </w:rPr>
        <w:t>&lt;</w:t>
      </w:r>
      <w:r>
        <w:rPr>
          <w:rFonts w:ascii="Times New Roman" w:eastAsia="楷体_GB2312" w:hAnsi="Times New Roman" w:hint="eastAsia"/>
          <w:sz w:val="24"/>
          <w:szCs w:val="24"/>
        </w:rPr>
        <w:t>按揭回款户，如有</w:t>
      </w:r>
      <w:r>
        <w:rPr>
          <w:rFonts w:ascii="Times New Roman" w:eastAsia="楷体_GB2312" w:hAnsi="Times New Roman" w:hint="eastAsia"/>
          <w:sz w:val="24"/>
          <w:szCs w:val="24"/>
        </w:rPr>
        <w:t>&gt;</w:t>
      </w:r>
      <w:r>
        <w:rPr>
          <w:rFonts w:ascii="Times New Roman" w:eastAsia="楷体_GB2312" w:hAnsi="Times New Roman" w:hint="eastAsia"/>
          <w:sz w:val="24"/>
          <w:szCs w:val="24"/>
        </w:rPr>
        <w:t>和销售监管账户</w:t>
      </w:r>
      <w:r>
        <w:rPr>
          <w:rFonts w:ascii="Times New Roman" w:eastAsia="楷体_GB2312" w:hAnsi="Times New Roman" w:hint="eastAsia"/>
          <w:sz w:val="24"/>
          <w:szCs w:val="24"/>
        </w:rPr>
        <w:t>&lt;</w:t>
      </w:r>
      <w:r>
        <w:rPr>
          <w:rFonts w:ascii="Times New Roman" w:eastAsia="楷体_GB2312" w:hAnsi="Times New Roman" w:hint="eastAsia"/>
          <w:sz w:val="24"/>
          <w:szCs w:val="24"/>
        </w:rPr>
        <w:t>放款户</w:t>
      </w:r>
      <w:r>
        <w:rPr>
          <w:rFonts w:ascii="Times New Roman" w:eastAsia="楷体_GB2312" w:hAnsi="Times New Roman" w:hint="eastAsia"/>
          <w:sz w:val="24"/>
          <w:szCs w:val="24"/>
        </w:rPr>
        <w:t>&gt;</w:t>
      </w:r>
      <w:r>
        <w:rPr>
          <w:rFonts w:ascii="Times New Roman" w:eastAsia="楷体_GB2312" w:hAnsi="Times New Roman" w:hint="eastAsia"/>
          <w:sz w:val="24"/>
          <w:szCs w:val="24"/>
        </w:rPr>
        <w:t>等，本协议中称“监管账户”）及被监管方的监管账户</w:t>
      </w:r>
      <w:r>
        <w:rPr>
          <w:rFonts w:ascii="Times New Roman" w:eastAsia="楷体_GB2312" w:hAnsi="Times New Roman" w:hint="eastAsia"/>
          <w:sz w:val="24"/>
          <w:szCs w:val="24"/>
        </w:rPr>
        <w:t>U</w:t>
      </w:r>
      <w:r>
        <w:rPr>
          <w:rFonts w:ascii="Times New Roman" w:eastAsia="楷体_GB2312" w:hAnsi="Times New Roman" w:hint="eastAsia"/>
          <w:sz w:val="24"/>
          <w:szCs w:val="24"/>
        </w:rPr>
        <w:t>盾及最高权限</w:t>
      </w:r>
      <w:r>
        <w:rPr>
          <w:rFonts w:ascii="Times New Roman" w:eastAsia="楷体_GB2312" w:hAnsi="Times New Roman" w:hint="eastAsia"/>
          <w:sz w:val="24"/>
          <w:szCs w:val="24"/>
        </w:rPr>
        <w:t>U</w:t>
      </w:r>
      <w:r>
        <w:rPr>
          <w:rFonts w:ascii="Times New Roman" w:eastAsia="楷体_GB2312" w:hAnsi="Times New Roman" w:hint="eastAsia"/>
          <w:sz w:val="24"/>
          <w:szCs w:val="24"/>
        </w:rPr>
        <w:t>盾（如有）应当由甲方指定人员保管，监管账户印鉴卡应当预留甲方指定人员印鉴，法律法规规定或地方相关部门限制除外。甲方指定人员就项目公司基本账户享有查询权。</w:t>
      </w:r>
    </w:p>
    <w:p w14:paraId="4807BC1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w:t>
      </w:r>
      <w:r>
        <w:rPr>
          <w:rFonts w:ascii="Times New Roman" w:eastAsia="楷体_GB2312" w:hAnsi="Times New Roman"/>
          <w:sz w:val="24"/>
          <w:szCs w:val="24"/>
        </w:rPr>
        <w:t>.3.2</w:t>
      </w:r>
      <w:r>
        <w:rPr>
          <w:rFonts w:ascii="Times New Roman" w:eastAsia="楷体_GB2312" w:hAnsi="Times New Roman"/>
          <w:sz w:val="24"/>
          <w:szCs w:val="24"/>
        </w:rPr>
        <w:tab/>
      </w:r>
      <w:r>
        <w:rPr>
          <w:rFonts w:ascii="Times New Roman" w:eastAsia="楷体_GB2312" w:hAnsi="Times New Roman" w:hint="eastAsia"/>
          <w:sz w:val="24"/>
          <w:szCs w:val="24"/>
        </w:rPr>
        <w:t>未经甲方同意，被监管方所有银行账户不得开通同城通存通兑业务，不</w:t>
      </w:r>
      <w:proofErr w:type="gramStart"/>
      <w:r>
        <w:rPr>
          <w:rFonts w:ascii="Times New Roman" w:eastAsia="楷体_GB2312" w:hAnsi="Times New Roman" w:hint="eastAsia"/>
          <w:sz w:val="24"/>
          <w:szCs w:val="24"/>
        </w:rPr>
        <w:t>开通银企直</w:t>
      </w:r>
      <w:proofErr w:type="gramEnd"/>
      <w:r>
        <w:rPr>
          <w:rFonts w:ascii="Times New Roman" w:eastAsia="楷体_GB2312" w:hAnsi="Times New Roman" w:hint="eastAsia"/>
          <w:sz w:val="24"/>
          <w:szCs w:val="24"/>
        </w:rPr>
        <w:t>联业务，不得开通电话银行功能，不得办理支取现金业务，不购买可流通凭证（支票、商业承兑汇票、本汇票申请书、贷记凭证等），但项目正常业务需要除外。</w:t>
      </w:r>
    </w:p>
    <w:p w14:paraId="6BC7825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3.3.3</w:t>
      </w:r>
      <w:r>
        <w:rPr>
          <w:rFonts w:ascii="Times New Roman" w:eastAsia="楷体_GB2312" w:hAnsi="Times New Roman"/>
          <w:sz w:val="24"/>
          <w:szCs w:val="24"/>
        </w:rPr>
        <w:tab/>
      </w:r>
      <w:r>
        <w:rPr>
          <w:rFonts w:ascii="Times New Roman" w:eastAsia="楷体_GB2312" w:hAnsi="Times New Roman" w:hint="eastAsia"/>
          <w:sz w:val="24"/>
          <w:szCs w:val="24"/>
        </w:rPr>
        <w:t>未经甲方事先同意，合肥融沛、合肥赛</w:t>
      </w:r>
      <w:proofErr w:type="gramStart"/>
      <w:r>
        <w:rPr>
          <w:rFonts w:ascii="Times New Roman" w:eastAsia="楷体_GB2312" w:hAnsi="Times New Roman" w:hint="eastAsia"/>
          <w:sz w:val="24"/>
          <w:szCs w:val="24"/>
        </w:rPr>
        <w:t>越不得</w:t>
      </w:r>
      <w:proofErr w:type="gramEnd"/>
      <w:r>
        <w:rPr>
          <w:rFonts w:ascii="Times New Roman" w:eastAsia="楷体_GB2312" w:hAnsi="Times New Roman" w:hint="eastAsia"/>
          <w:sz w:val="24"/>
          <w:szCs w:val="24"/>
        </w:rPr>
        <w:t>对外发生资金划付行为。</w:t>
      </w:r>
    </w:p>
    <w:p w14:paraId="5FDF2D9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3.3</w:t>
      </w:r>
      <w:r>
        <w:rPr>
          <w:rFonts w:ascii="Times New Roman" w:eastAsia="楷体_GB2312" w:hAnsi="Times New Roman" w:hint="eastAsia"/>
          <w:sz w:val="24"/>
          <w:szCs w:val="24"/>
        </w:rPr>
        <w:t>.</w:t>
      </w:r>
      <w:r>
        <w:rPr>
          <w:rFonts w:ascii="Times New Roman" w:eastAsia="楷体_GB2312" w:hAnsi="Times New Roman"/>
          <w:sz w:val="24"/>
          <w:szCs w:val="24"/>
        </w:rPr>
        <w:t>4</w:t>
      </w:r>
      <w:r>
        <w:rPr>
          <w:rFonts w:ascii="Times New Roman" w:eastAsia="楷体_GB2312" w:hAnsi="Times New Roman"/>
          <w:sz w:val="24"/>
          <w:szCs w:val="24"/>
        </w:rPr>
        <w:tab/>
      </w:r>
      <w:r>
        <w:rPr>
          <w:rFonts w:ascii="Times New Roman" w:eastAsia="楷体_GB2312" w:hAnsi="Times New Roman" w:hint="eastAsia"/>
          <w:sz w:val="24"/>
          <w:szCs w:val="24"/>
        </w:rPr>
        <w:t>未经甲方事先同意，被监管</w:t>
      </w:r>
      <w:proofErr w:type="gramStart"/>
      <w:r>
        <w:rPr>
          <w:rFonts w:ascii="Times New Roman" w:eastAsia="楷体_GB2312" w:hAnsi="Times New Roman" w:hint="eastAsia"/>
          <w:sz w:val="24"/>
          <w:szCs w:val="24"/>
        </w:rPr>
        <w:t>方不可</w:t>
      </w:r>
      <w:proofErr w:type="gramEnd"/>
      <w:r>
        <w:rPr>
          <w:rFonts w:ascii="Times New Roman" w:eastAsia="楷体_GB2312" w:hAnsi="Times New Roman" w:hint="eastAsia"/>
          <w:sz w:val="24"/>
          <w:szCs w:val="24"/>
        </w:rPr>
        <w:t>开立新的银行账户，如确有需要开立，应报甲方审批，并经甲方指定人员书面（包括邮件形式）同意后方可开立。经甲方书面同意后，由甲方指定人员陪同被监管方经办人员前往银行柜台办理开户手续，甲方指定人员应按照本合同第</w:t>
      </w:r>
      <w:r>
        <w:rPr>
          <w:rFonts w:ascii="Times New Roman" w:eastAsia="楷体_GB2312" w:hAnsi="Times New Roman" w:hint="eastAsia"/>
          <w:sz w:val="24"/>
          <w:szCs w:val="24"/>
        </w:rPr>
        <w:t>3</w:t>
      </w:r>
      <w:r>
        <w:rPr>
          <w:rFonts w:ascii="Times New Roman" w:eastAsia="楷体_GB2312" w:hAnsi="Times New Roman"/>
          <w:sz w:val="24"/>
          <w:szCs w:val="24"/>
        </w:rPr>
        <w:t>.3.1</w:t>
      </w:r>
      <w:r>
        <w:rPr>
          <w:rFonts w:ascii="Times New Roman" w:eastAsia="楷体_GB2312" w:hAnsi="Times New Roman" w:hint="eastAsia"/>
          <w:sz w:val="24"/>
          <w:szCs w:val="24"/>
        </w:rPr>
        <w:t>条约定当场将</w:t>
      </w:r>
      <w:r>
        <w:rPr>
          <w:rFonts w:ascii="Times New Roman" w:eastAsia="楷体_GB2312" w:hAnsi="Times New Roman"/>
          <w:sz w:val="24"/>
          <w:szCs w:val="24"/>
        </w:rPr>
        <w:t>新开立账户纳入监管</w:t>
      </w:r>
      <w:r>
        <w:rPr>
          <w:rFonts w:ascii="Times New Roman" w:eastAsia="楷体_GB2312" w:hAnsi="Times New Roman" w:hint="eastAsia"/>
          <w:sz w:val="24"/>
          <w:szCs w:val="24"/>
        </w:rPr>
        <w:t>。特别的，项目公司开立销售资金监管账户的，应由甲方指定人员陪同项目公司按照标的项目所在地预售资金监管政策要求开立预售资金监管账户。</w:t>
      </w:r>
    </w:p>
    <w:p w14:paraId="0FE52E3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3.3.5</w:t>
      </w:r>
      <w:r>
        <w:rPr>
          <w:rFonts w:ascii="Times New Roman" w:eastAsia="楷体_GB2312" w:hAnsi="Times New Roman"/>
          <w:sz w:val="24"/>
          <w:szCs w:val="24"/>
        </w:rPr>
        <w:tab/>
      </w:r>
      <w:r>
        <w:rPr>
          <w:rFonts w:ascii="Times New Roman" w:eastAsia="楷体_GB2312" w:hAnsi="Times New Roman" w:hint="eastAsia"/>
          <w:sz w:val="24"/>
          <w:szCs w:val="24"/>
        </w:rPr>
        <w:t>《合作框架协议》项下光大信托向合伙企业完成首笔</w:t>
      </w:r>
      <w:r>
        <w:rPr>
          <w:rFonts w:ascii="Times New Roman" w:eastAsia="楷体_GB2312" w:hAnsi="Times New Roman"/>
          <w:sz w:val="24"/>
          <w:szCs w:val="24"/>
        </w:rPr>
        <w:t>实缴出资</w:t>
      </w:r>
      <w:r>
        <w:rPr>
          <w:rFonts w:ascii="Times New Roman" w:eastAsia="楷体_GB2312" w:hAnsi="Times New Roman" w:hint="eastAsia"/>
          <w:sz w:val="24"/>
          <w:szCs w:val="24"/>
        </w:rPr>
        <w:t>款支付日前，</w:t>
      </w:r>
      <w:r>
        <w:rPr>
          <w:rFonts w:ascii="Times New Roman" w:eastAsia="楷体_GB2312" w:hAnsi="Times New Roman"/>
          <w:sz w:val="24"/>
          <w:szCs w:val="24"/>
        </w:rPr>
        <w:t>现场监管人员需对</w:t>
      </w:r>
      <w:r>
        <w:rPr>
          <w:rFonts w:ascii="Times New Roman" w:eastAsia="楷体_GB2312" w:hAnsi="Times New Roman" w:hint="eastAsia"/>
          <w:sz w:val="24"/>
          <w:szCs w:val="24"/>
        </w:rPr>
        <w:t>被监管方所有</w:t>
      </w:r>
      <w:r>
        <w:rPr>
          <w:rFonts w:ascii="Times New Roman" w:eastAsia="楷体_GB2312" w:hAnsi="Times New Roman"/>
          <w:sz w:val="24"/>
          <w:szCs w:val="24"/>
        </w:rPr>
        <w:t>账户进行监管、核对，</w:t>
      </w:r>
      <w:r>
        <w:rPr>
          <w:rFonts w:ascii="Times New Roman" w:eastAsia="楷体_GB2312" w:hAnsi="Times New Roman" w:hint="eastAsia"/>
          <w:sz w:val="24"/>
          <w:szCs w:val="24"/>
        </w:rPr>
        <w:t>现场监管人员在每季度首月【</w:t>
      </w:r>
      <w:r>
        <w:rPr>
          <w:rFonts w:ascii="Times New Roman" w:eastAsia="楷体_GB2312" w:hAnsi="Times New Roman"/>
          <w:sz w:val="24"/>
          <w:szCs w:val="24"/>
        </w:rPr>
        <w:t>10</w:t>
      </w:r>
      <w:r>
        <w:rPr>
          <w:rFonts w:ascii="Times New Roman" w:eastAsia="楷体_GB2312" w:hAnsi="Times New Roman" w:hint="eastAsia"/>
          <w:sz w:val="24"/>
          <w:szCs w:val="24"/>
        </w:rPr>
        <w:t>】日或提前通知情况下，有权核查被监管方各银行账户的开立及使用情况，通过在被监管方基本户银行或项目所在地中国人民银行分行或中心支行打印开户清单，并就开户清单载明的开户行上账户资金余额亲自去各银行核查被监管方的资金情况。现场监管人员有权核查标的项目售楼处现场</w:t>
      </w:r>
      <w:r>
        <w:rPr>
          <w:rFonts w:ascii="Times New Roman" w:eastAsia="楷体_GB2312" w:hAnsi="Times New Roman" w:hint="eastAsia"/>
          <w:sz w:val="24"/>
          <w:szCs w:val="24"/>
        </w:rPr>
        <w:t>POS</w:t>
      </w:r>
      <w:r>
        <w:rPr>
          <w:rFonts w:ascii="Times New Roman" w:eastAsia="楷体_GB2312" w:hAnsi="Times New Roman" w:hint="eastAsia"/>
          <w:sz w:val="24"/>
          <w:szCs w:val="24"/>
        </w:rPr>
        <w:t>机关联账户是否为本合同项下监管账户。被监管方需按甲方和乙方的要求提供所有账户的银企对账单据复印件，并对所有账户的收入款项来源进行审查，并向监管公司和委托公司汇报；若发现存在未处于监管范围内的账户应及时（本合同项下及时均指出现约定情形之日当日）要求被监管方纠正并向甲方汇报。</w:t>
      </w:r>
    </w:p>
    <w:p w14:paraId="662A891C" w14:textId="07589C1A"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3.3.6</w:t>
      </w:r>
      <w:r>
        <w:rPr>
          <w:rFonts w:ascii="Times New Roman" w:eastAsia="楷体_GB2312" w:hAnsi="Times New Roman"/>
          <w:sz w:val="24"/>
          <w:szCs w:val="24"/>
        </w:rPr>
        <w:tab/>
      </w:r>
      <w:r>
        <w:rPr>
          <w:rFonts w:ascii="Times New Roman" w:eastAsia="楷体_GB2312" w:hAnsi="Times New Roman" w:hint="eastAsia"/>
          <w:sz w:val="24"/>
          <w:szCs w:val="24"/>
        </w:rPr>
        <w:t>对于被监管方申请变更银行账户信息的，</w:t>
      </w:r>
      <w:proofErr w:type="gramStart"/>
      <w:r>
        <w:rPr>
          <w:rFonts w:ascii="Times New Roman" w:eastAsia="楷体_GB2312" w:hAnsi="Times New Roman" w:hint="eastAsia"/>
          <w:sz w:val="24"/>
          <w:szCs w:val="24"/>
        </w:rPr>
        <w:t>庚方及</w:t>
      </w:r>
      <w:proofErr w:type="gramEnd"/>
      <w:r>
        <w:rPr>
          <w:rFonts w:ascii="Times New Roman" w:eastAsia="楷体_GB2312" w:hAnsi="Times New Roman" w:hint="eastAsia"/>
          <w:sz w:val="24"/>
          <w:szCs w:val="24"/>
        </w:rPr>
        <w:t>现场监管人员应进行审核并报甲方审批</w:t>
      </w:r>
      <w:r>
        <w:rPr>
          <w:rFonts w:ascii="Times New Roman" w:eastAsia="楷体_GB2312" w:hAnsi="Times New Roman"/>
          <w:sz w:val="24"/>
          <w:szCs w:val="24"/>
        </w:rPr>
        <w:t>。</w:t>
      </w:r>
      <w:r>
        <w:rPr>
          <w:rFonts w:ascii="Times New Roman" w:eastAsia="楷体_GB2312" w:hAnsi="Times New Roman" w:hint="eastAsia"/>
          <w:sz w:val="24"/>
          <w:szCs w:val="24"/>
        </w:rPr>
        <w:t>甲方指定人员、监管公司入驻被监管</w:t>
      </w:r>
      <w:proofErr w:type="gramStart"/>
      <w:r>
        <w:rPr>
          <w:rFonts w:ascii="Times New Roman" w:eastAsia="楷体_GB2312" w:hAnsi="Times New Roman" w:hint="eastAsia"/>
          <w:sz w:val="24"/>
          <w:szCs w:val="24"/>
        </w:rPr>
        <w:t>方现场</w:t>
      </w:r>
      <w:proofErr w:type="gramEnd"/>
      <w:r>
        <w:rPr>
          <w:rFonts w:ascii="Times New Roman" w:eastAsia="楷体_GB2312" w:hAnsi="Times New Roman" w:hint="eastAsia"/>
          <w:sz w:val="24"/>
          <w:szCs w:val="24"/>
        </w:rPr>
        <w:t>进行交接时，应结合被监管方基本户银行提供的银行账户清单及于中国人民银行征信系统查询情况逐一核查被监管方各账户的性质、开通功能、</w:t>
      </w:r>
      <w:proofErr w:type="gramStart"/>
      <w:r>
        <w:rPr>
          <w:rFonts w:ascii="Times New Roman" w:eastAsia="楷体_GB2312" w:hAnsi="Times New Roman" w:hint="eastAsia"/>
          <w:sz w:val="24"/>
          <w:szCs w:val="24"/>
        </w:rPr>
        <w:t>网银</w:t>
      </w:r>
      <w:proofErr w:type="gramEnd"/>
      <w:r>
        <w:rPr>
          <w:rFonts w:ascii="Times New Roman" w:eastAsia="楷体_GB2312" w:hAnsi="Times New Roman" w:hint="eastAsia"/>
          <w:sz w:val="24"/>
          <w:szCs w:val="24"/>
        </w:rPr>
        <w:t>U</w:t>
      </w:r>
      <w:r>
        <w:rPr>
          <w:rFonts w:ascii="Times New Roman" w:eastAsia="楷体_GB2312" w:hAnsi="Times New Roman"/>
          <w:sz w:val="24"/>
          <w:szCs w:val="24"/>
        </w:rPr>
        <w:t>-key</w:t>
      </w:r>
      <w:r>
        <w:rPr>
          <w:rFonts w:ascii="Times New Roman" w:eastAsia="楷体_GB2312" w:hAnsi="Times New Roman" w:hint="eastAsia"/>
          <w:sz w:val="24"/>
          <w:szCs w:val="24"/>
        </w:rPr>
        <w:t>、支付密码器信息、印鉴卡信息、具有资金支付功能的各类票据信息等，</w:t>
      </w:r>
      <w:r>
        <w:rPr>
          <w:rFonts w:ascii="Times New Roman" w:eastAsia="楷体_GB2312" w:hAnsi="Times New Roman"/>
          <w:sz w:val="24"/>
          <w:szCs w:val="24"/>
        </w:rPr>
        <w:t>确保</w:t>
      </w:r>
      <w:r>
        <w:rPr>
          <w:rFonts w:ascii="Times New Roman" w:eastAsia="楷体_GB2312" w:hAnsi="Times New Roman" w:hint="eastAsia"/>
          <w:sz w:val="24"/>
          <w:szCs w:val="24"/>
        </w:rPr>
        <w:t>被监管方</w:t>
      </w:r>
      <w:r>
        <w:rPr>
          <w:rFonts w:ascii="Times New Roman" w:eastAsia="楷体_GB2312" w:hAnsi="Times New Roman"/>
          <w:sz w:val="24"/>
          <w:szCs w:val="24"/>
        </w:rPr>
        <w:t>移交所有账户</w:t>
      </w:r>
      <w:r>
        <w:rPr>
          <w:rFonts w:ascii="Times New Roman" w:eastAsia="楷体_GB2312" w:hAnsi="Times New Roman" w:hint="eastAsia"/>
          <w:sz w:val="24"/>
          <w:szCs w:val="24"/>
        </w:rPr>
        <w:t>、全部银行</w:t>
      </w:r>
      <w:r>
        <w:rPr>
          <w:rFonts w:ascii="Times New Roman" w:eastAsia="楷体_GB2312" w:hAnsi="Times New Roman" w:hint="eastAsia"/>
          <w:bCs/>
          <w:sz w:val="24"/>
          <w:szCs w:val="24"/>
        </w:rPr>
        <w:t>预留印鉴</w:t>
      </w:r>
      <w:r>
        <w:rPr>
          <w:rFonts w:ascii="Times New Roman" w:eastAsia="楷体_GB2312" w:hAnsi="Times New Roman" w:hint="eastAsia"/>
          <w:sz w:val="24"/>
          <w:szCs w:val="24"/>
        </w:rPr>
        <w:t>、全部银行</w:t>
      </w:r>
      <w:proofErr w:type="gramStart"/>
      <w:r>
        <w:rPr>
          <w:rFonts w:ascii="Times New Roman" w:eastAsia="楷体_GB2312" w:hAnsi="Times New Roman" w:hint="eastAsia"/>
          <w:sz w:val="24"/>
          <w:szCs w:val="24"/>
        </w:rPr>
        <w:t>账户网银</w:t>
      </w:r>
      <w:proofErr w:type="gramEnd"/>
      <w:r>
        <w:rPr>
          <w:rFonts w:ascii="Times New Roman" w:eastAsia="楷体_GB2312" w:hAnsi="Times New Roman" w:hint="eastAsia"/>
          <w:sz w:val="24"/>
          <w:szCs w:val="24"/>
        </w:rPr>
        <w:t>U-</w:t>
      </w:r>
      <w:r>
        <w:rPr>
          <w:rFonts w:ascii="Times New Roman" w:eastAsia="楷体_GB2312" w:hAnsi="Times New Roman"/>
          <w:sz w:val="24"/>
          <w:szCs w:val="24"/>
        </w:rPr>
        <w:t>key</w:t>
      </w:r>
      <w:r>
        <w:rPr>
          <w:rFonts w:ascii="Times New Roman" w:eastAsia="楷体_GB2312" w:hAnsi="Times New Roman" w:hint="eastAsia"/>
          <w:sz w:val="24"/>
          <w:szCs w:val="24"/>
        </w:rPr>
        <w:t>、全部银行账户支付密码器及全部具有资金支付功能的票据等</w:t>
      </w:r>
      <w:r>
        <w:rPr>
          <w:rFonts w:ascii="Times New Roman" w:eastAsia="楷体_GB2312" w:hAnsi="Times New Roman"/>
          <w:sz w:val="24"/>
          <w:szCs w:val="24"/>
        </w:rPr>
        <w:t>。</w:t>
      </w:r>
    </w:p>
    <w:p w14:paraId="08DAD98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3.3.7</w:t>
      </w:r>
      <w:r>
        <w:rPr>
          <w:rFonts w:ascii="Times New Roman" w:eastAsia="楷体_GB2312" w:hAnsi="Times New Roman"/>
          <w:sz w:val="24"/>
          <w:szCs w:val="24"/>
        </w:rPr>
        <w:tab/>
      </w:r>
      <w:r>
        <w:rPr>
          <w:rFonts w:ascii="Times New Roman" w:eastAsia="楷体_GB2312" w:hAnsi="Times New Roman"/>
          <w:sz w:val="24"/>
          <w:szCs w:val="24"/>
        </w:rPr>
        <w:t>对于</w:t>
      </w:r>
      <w:r>
        <w:rPr>
          <w:rFonts w:ascii="Times New Roman" w:eastAsia="楷体_GB2312" w:hAnsi="Times New Roman" w:hint="eastAsia"/>
          <w:sz w:val="24"/>
          <w:szCs w:val="24"/>
        </w:rPr>
        <w:t>被监管方</w:t>
      </w:r>
      <w:r>
        <w:rPr>
          <w:rFonts w:ascii="Times New Roman" w:eastAsia="楷体_GB2312" w:hAnsi="Times New Roman"/>
          <w:sz w:val="24"/>
          <w:szCs w:val="24"/>
        </w:rPr>
        <w:t>已存在的</w:t>
      </w:r>
      <w:proofErr w:type="gramStart"/>
      <w:r>
        <w:rPr>
          <w:rFonts w:ascii="Times New Roman" w:eastAsia="楷体_GB2312" w:hAnsi="Times New Roman"/>
          <w:sz w:val="24"/>
          <w:szCs w:val="24"/>
        </w:rPr>
        <w:t>具有网银支付</w:t>
      </w:r>
      <w:proofErr w:type="gramEnd"/>
      <w:r>
        <w:rPr>
          <w:rFonts w:ascii="Times New Roman" w:eastAsia="楷体_GB2312" w:hAnsi="Times New Roman"/>
          <w:sz w:val="24"/>
          <w:szCs w:val="24"/>
        </w:rPr>
        <w:t>功能的账户，</w:t>
      </w:r>
      <w:r>
        <w:rPr>
          <w:rFonts w:ascii="Times New Roman" w:eastAsia="楷体_GB2312" w:hAnsi="Times New Roman" w:hint="eastAsia"/>
          <w:sz w:val="24"/>
          <w:szCs w:val="24"/>
        </w:rPr>
        <w:t>全部银行</w:t>
      </w:r>
      <w:proofErr w:type="gramStart"/>
      <w:r>
        <w:rPr>
          <w:rFonts w:ascii="Times New Roman" w:eastAsia="楷体_GB2312" w:hAnsi="Times New Roman" w:hint="eastAsia"/>
          <w:sz w:val="24"/>
          <w:szCs w:val="24"/>
        </w:rPr>
        <w:t>账户网银最后</w:t>
      </w:r>
      <w:proofErr w:type="gramEnd"/>
      <w:r>
        <w:rPr>
          <w:rFonts w:ascii="Times New Roman" w:eastAsia="楷体_GB2312" w:hAnsi="Times New Roman" w:hint="eastAsia"/>
          <w:sz w:val="24"/>
          <w:szCs w:val="24"/>
        </w:rPr>
        <w:lastRenderedPageBreak/>
        <w:t>一道权限</w:t>
      </w:r>
      <w:bookmarkStart w:id="6" w:name="_Hlk63773795"/>
      <w:r>
        <w:rPr>
          <w:rFonts w:ascii="Times New Roman" w:eastAsia="楷体_GB2312" w:hAnsi="Times New Roman" w:hint="eastAsia"/>
          <w:sz w:val="24"/>
          <w:szCs w:val="24"/>
        </w:rPr>
        <w:t>的</w:t>
      </w:r>
      <w:r>
        <w:rPr>
          <w:rFonts w:ascii="Times New Roman" w:eastAsia="楷体_GB2312" w:hAnsi="Times New Roman" w:hint="eastAsia"/>
          <w:sz w:val="24"/>
          <w:szCs w:val="24"/>
        </w:rPr>
        <w:t>U-key</w:t>
      </w:r>
      <w:bookmarkEnd w:id="6"/>
      <w:r>
        <w:rPr>
          <w:rFonts w:ascii="Times New Roman" w:eastAsia="楷体_GB2312" w:hAnsi="Times New Roman" w:hint="eastAsia"/>
          <w:sz w:val="24"/>
          <w:szCs w:val="24"/>
        </w:rPr>
        <w:t>由甲方指定人员单独保管</w:t>
      </w:r>
      <w:r>
        <w:rPr>
          <w:rFonts w:ascii="Times New Roman" w:eastAsia="楷体_GB2312" w:hAnsi="Times New Roman"/>
          <w:sz w:val="24"/>
          <w:szCs w:val="24"/>
        </w:rPr>
        <w:t>。</w:t>
      </w:r>
      <w:r>
        <w:rPr>
          <w:rFonts w:ascii="Times New Roman" w:eastAsia="楷体_GB2312" w:hAnsi="Times New Roman" w:hint="eastAsia"/>
          <w:sz w:val="24"/>
          <w:szCs w:val="24"/>
        </w:rPr>
        <w:t>被监管方</w:t>
      </w:r>
      <w:r>
        <w:rPr>
          <w:rFonts w:ascii="Times New Roman" w:eastAsia="楷体_GB2312" w:hAnsi="Times New Roman"/>
          <w:sz w:val="24"/>
          <w:szCs w:val="24"/>
        </w:rPr>
        <w:t>应如实说明账户设置的付款方式，现场监管人员应向开户</w:t>
      </w:r>
      <w:proofErr w:type="gramStart"/>
      <w:r>
        <w:rPr>
          <w:rFonts w:ascii="Times New Roman" w:eastAsia="楷体_GB2312" w:hAnsi="Times New Roman"/>
          <w:sz w:val="24"/>
          <w:szCs w:val="24"/>
        </w:rPr>
        <w:t>行了解</w:t>
      </w:r>
      <w:proofErr w:type="gramEnd"/>
      <w:r>
        <w:rPr>
          <w:rFonts w:ascii="Times New Roman" w:eastAsia="楷体_GB2312" w:hAnsi="Times New Roman"/>
          <w:sz w:val="24"/>
          <w:szCs w:val="24"/>
        </w:rPr>
        <w:t>该账户设置的付款方式（</w:t>
      </w:r>
      <w:proofErr w:type="gramStart"/>
      <w:r>
        <w:rPr>
          <w:rFonts w:ascii="Times New Roman" w:eastAsia="楷体_GB2312" w:hAnsi="Times New Roman"/>
          <w:sz w:val="24"/>
          <w:szCs w:val="24"/>
        </w:rPr>
        <w:t>仅网银</w:t>
      </w:r>
      <w:proofErr w:type="gramEnd"/>
      <w:r>
        <w:rPr>
          <w:rFonts w:ascii="Times New Roman" w:eastAsia="楷体_GB2312" w:hAnsi="Times New Roman"/>
          <w:sz w:val="24"/>
          <w:szCs w:val="24"/>
        </w:rPr>
        <w:t>付款，</w:t>
      </w:r>
      <w:proofErr w:type="gramStart"/>
      <w:r>
        <w:rPr>
          <w:rFonts w:ascii="Times New Roman" w:eastAsia="楷体_GB2312" w:hAnsi="Times New Roman"/>
          <w:sz w:val="24"/>
          <w:szCs w:val="24"/>
        </w:rPr>
        <w:t>或网银及</w:t>
      </w:r>
      <w:proofErr w:type="gramEnd"/>
      <w:r>
        <w:rPr>
          <w:rFonts w:ascii="Times New Roman" w:eastAsia="楷体_GB2312" w:hAnsi="Times New Roman"/>
          <w:sz w:val="24"/>
          <w:szCs w:val="24"/>
        </w:rPr>
        <w:t>支票、电汇方式均可），如</w:t>
      </w:r>
      <w:bookmarkStart w:id="7" w:name="_Hlk25509871"/>
      <w:r>
        <w:rPr>
          <w:rFonts w:ascii="Times New Roman" w:eastAsia="楷体_GB2312" w:hAnsi="Times New Roman" w:hint="eastAsia"/>
          <w:sz w:val="24"/>
          <w:szCs w:val="24"/>
        </w:rPr>
        <w:t>被监管方</w:t>
      </w:r>
      <w:r>
        <w:rPr>
          <w:rFonts w:ascii="Times New Roman" w:eastAsia="楷体_GB2312" w:hAnsi="Times New Roman"/>
          <w:sz w:val="24"/>
          <w:szCs w:val="24"/>
        </w:rPr>
        <w:t>名下的相关银行账户</w:t>
      </w:r>
      <w:bookmarkEnd w:id="7"/>
      <w:r>
        <w:rPr>
          <w:rFonts w:ascii="Times New Roman" w:eastAsia="楷体_GB2312" w:hAnsi="Times New Roman"/>
          <w:sz w:val="24"/>
          <w:szCs w:val="24"/>
        </w:rPr>
        <w:t>仍可进行支票或电汇付款，应向开户行核对预留印鉴，确保对预留印鉴实施共管。</w:t>
      </w:r>
      <w:r>
        <w:rPr>
          <w:rFonts w:ascii="Times New Roman" w:eastAsia="楷体_GB2312" w:hAnsi="Times New Roman" w:hint="eastAsia"/>
          <w:sz w:val="24"/>
          <w:szCs w:val="24"/>
        </w:rPr>
        <w:t>同时所有银行账户应</w:t>
      </w:r>
      <w:r>
        <w:rPr>
          <w:rFonts w:ascii="Times New Roman" w:eastAsia="楷体_GB2312" w:hAnsi="Times New Roman"/>
          <w:sz w:val="24"/>
          <w:szCs w:val="24"/>
        </w:rPr>
        <w:t>开通资金入出短信提示功能，确保现场监管人员可以及时获取资金进出信息。对于</w:t>
      </w:r>
      <w:r>
        <w:rPr>
          <w:rFonts w:ascii="Times New Roman" w:eastAsia="楷体_GB2312" w:hAnsi="Times New Roman" w:hint="eastAsia"/>
          <w:sz w:val="24"/>
          <w:szCs w:val="24"/>
        </w:rPr>
        <w:t>被监管方</w:t>
      </w:r>
      <w:r>
        <w:rPr>
          <w:rFonts w:ascii="Times New Roman" w:eastAsia="楷体_GB2312" w:hAnsi="Times New Roman"/>
          <w:sz w:val="24"/>
          <w:szCs w:val="24"/>
        </w:rPr>
        <w:t>名下不</w:t>
      </w:r>
      <w:proofErr w:type="gramStart"/>
      <w:r>
        <w:rPr>
          <w:rFonts w:ascii="Times New Roman" w:eastAsia="楷体_GB2312" w:hAnsi="Times New Roman"/>
          <w:sz w:val="24"/>
          <w:szCs w:val="24"/>
        </w:rPr>
        <w:t>具有网银支付</w:t>
      </w:r>
      <w:proofErr w:type="gramEnd"/>
      <w:r>
        <w:rPr>
          <w:rFonts w:ascii="Times New Roman" w:eastAsia="楷体_GB2312" w:hAnsi="Times New Roman"/>
          <w:sz w:val="24"/>
          <w:szCs w:val="24"/>
        </w:rPr>
        <w:t>功能而仅具有查询功能的账户，现场监管人员通过共管财务专用章监督资金使用，</w:t>
      </w:r>
      <w:r>
        <w:rPr>
          <w:rFonts w:ascii="Times New Roman" w:eastAsia="楷体_GB2312" w:hAnsi="Times New Roman" w:hint="eastAsia"/>
          <w:sz w:val="24"/>
          <w:szCs w:val="24"/>
        </w:rPr>
        <w:t>且应对</w:t>
      </w:r>
      <w:r>
        <w:rPr>
          <w:rFonts w:ascii="Times New Roman" w:eastAsia="楷体_GB2312" w:hAnsi="Times New Roman"/>
          <w:sz w:val="24"/>
          <w:szCs w:val="24"/>
        </w:rPr>
        <w:t>查询密码器</w:t>
      </w:r>
      <w:r>
        <w:rPr>
          <w:rFonts w:ascii="Times New Roman" w:eastAsia="楷体_GB2312" w:hAnsi="Times New Roman" w:hint="eastAsia"/>
          <w:sz w:val="24"/>
          <w:szCs w:val="24"/>
        </w:rPr>
        <w:t>进行共管</w:t>
      </w:r>
      <w:r>
        <w:rPr>
          <w:rFonts w:ascii="Times New Roman" w:eastAsia="楷体_GB2312" w:hAnsi="Times New Roman"/>
          <w:sz w:val="24"/>
          <w:szCs w:val="24"/>
        </w:rPr>
        <w:t>。如果发现异常，包括但不限于资金被挪用的情形，现场监管人员应立即报告</w:t>
      </w:r>
      <w:r>
        <w:rPr>
          <w:rFonts w:ascii="Times New Roman" w:eastAsia="楷体_GB2312" w:hAnsi="Times New Roman" w:hint="eastAsia"/>
          <w:sz w:val="24"/>
          <w:szCs w:val="24"/>
        </w:rPr>
        <w:t>甲方、乙方</w:t>
      </w:r>
      <w:r>
        <w:rPr>
          <w:rFonts w:ascii="Times New Roman" w:eastAsia="楷体_GB2312" w:hAnsi="Times New Roman"/>
          <w:sz w:val="24"/>
          <w:szCs w:val="24"/>
        </w:rPr>
        <w:t>，并有权要求</w:t>
      </w:r>
      <w:r>
        <w:rPr>
          <w:rFonts w:ascii="Times New Roman" w:eastAsia="楷体_GB2312" w:hAnsi="Times New Roman" w:hint="eastAsia"/>
          <w:sz w:val="24"/>
          <w:szCs w:val="24"/>
        </w:rPr>
        <w:t>被监管方</w:t>
      </w:r>
      <w:r>
        <w:rPr>
          <w:rFonts w:ascii="Times New Roman" w:eastAsia="楷体_GB2312" w:hAnsi="Times New Roman"/>
          <w:sz w:val="24"/>
          <w:szCs w:val="24"/>
        </w:rPr>
        <w:t>予以解释并提供相关材料予以佐证。如果</w:t>
      </w:r>
      <w:r>
        <w:rPr>
          <w:rFonts w:ascii="Times New Roman" w:eastAsia="楷体_GB2312" w:hAnsi="Times New Roman" w:hint="eastAsia"/>
          <w:sz w:val="24"/>
          <w:szCs w:val="24"/>
        </w:rPr>
        <w:t>被监管方</w:t>
      </w:r>
      <w:r>
        <w:rPr>
          <w:rFonts w:ascii="Times New Roman" w:eastAsia="楷体_GB2312" w:hAnsi="Times New Roman"/>
          <w:sz w:val="24"/>
          <w:szCs w:val="24"/>
        </w:rPr>
        <w:t>无法给出合理的解释或无法提供相关材料，则视为</w:t>
      </w:r>
      <w:r>
        <w:rPr>
          <w:rFonts w:ascii="Times New Roman" w:eastAsia="楷体_GB2312" w:hAnsi="Times New Roman" w:hint="eastAsia"/>
          <w:sz w:val="24"/>
          <w:szCs w:val="24"/>
        </w:rPr>
        <w:t>被监管方</w:t>
      </w:r>
      <w:r>
        <w:rPr>
          <w:rFonts w:ascii="Times New Roman" w:eastAsia="楷体_GB2312" w:hAnsi="Times New Roman"/>
          <w:sz w:val="24"/>
          <w:szCs w:val="24"/>
        </w:rPr>
        <w:t>在本合同及《合作框架协议》项下的违约。</w:t>
      </w:r>
    </w:p>
    <w:p w14:paraId="4ED8E30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3.3.</w:t>
      </w:r>
      <w:r>
        <w:rPr>
          <w:rFonts w:ascii="Times New Roman" w:eastAsia="楷体_GB2312" w:hAnsi="Times New Roman"/>
          <w:sz w:val="24"/>
          <w:szCs w:val="24"/>
        </w:rPr>
        <w:t>8</w:t>
      </w:r>
      <w:r>
        <w:rPr>
          <w:rFonts w:ascii="Times New Roman" w:eastAsia="楷体_GB2312" w:hAnsi="Times New Roman" w:hint="eastAsia"/>
          <w:sz w:val="24"/>
          <w:szCs w:val="24"/>
        </w:rPr>
        <w:tab/>
      </w:r>
      <w:r>
        <w:rPr>
          <w:rFonts w:ascii="Times New Roman" w:eastAsia="楷体_GB2312" w:hAnsi="Times New Roman" w:hint="eastAsia"/>
          <w:sz w:val="24"/>
          <w:szCs w:val="24"/>
        </w:rPr>
        <w:t>在监管期间，甲方、乙方</w:t>
      </w:r>
      <w:proofErr w:type="gramStart"/>
      <w:r>
        <w:rPr>
          <w:rFonts w:ascii="Times New Roman" w:eastAsia="楷体_GB2312" w:hAnsi="Times New Roman" w:hint="eastAsia"/>
          <w:sz w:val="24"/>
          <w:szCs w:val="24"/>
        </w:rPr>
        <w:t>及庚方有权</w:t>
      </w:r>
      <w:proofErr w:type="gramEnd"/>
      <w:r>
        <w:rPr>
          <w:rFonts w:ascii="Times New Roman" w:eastAsia="楷体_GB2312" w:hAnsi="Times New Roman" w:hint="eastAsia"/>
          <w:sz w:val="24"/>
          <w:szCs w:val="24"/>
        </w:rPr>
        <w:t>无条件地、随时调看账户中的资金进出情况，被监管方应给予完全的配合。</w:t>
      </w:r>
    </w:p>
    <w:p w14:paraId="718A06C3"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3.3.</w:t>
      </w:r>
      <w:r>
        <w:rPr>
          <w:rFonts w:ascii="Times New Roman" w:eastAsia="楷体_GB2312" w:hAnsi="Times New Roman"/>
          <w:sz w:val="24"/>
          <w:szCs w:val="24"/>
        </w:rPr>
        <w:t>9</w:t>
      </w:r>
      <w:r>
        <w:rPr>
          <w:rFonts w:ascii="Times New Roman" w:eastAsia="楷体_GB2312" w:hAnsi="Times New Roman" w:hint="eastAsia"/>
          <w:sz w:val="24"/>
          <w:szCs w:val="24"/>
        </w:rPr>
        <w:tab/>
      </w:r>
      <w:r>
        <w:rPr>
          <w:rFonts w:ascii="Times New Roman" w:eastAsia="楷体_GB2312" w:hAnsi="Times New Roman" w:hint="eastAsia"/>
          <w:sz w:val="24"/>
          <w:szCs w:val="24"/>
        </w:rPr>
        <w:t>甲方、乙方</w:t>
      </w:r>
      <w:proofErr w:type="gramStart"/>
      <w:r>
        <w:rPr>
          <w:rFonts w:ascii="Times New Roman" w:eastAsia="楷体_GB2312" w:hAnsi="Times New Roman" w:hint="eastAsia"/>
          <w:sz w:val="24"/>
          <w:szCs w:val="24"/>
        </w:rPr>
        <w:t>及庚方有权</w:t>
      </w:r>
      <w:proofErr w:type="gramEnd"/>
      <w:r>
        <w:rPr>
          <w:rFonts w:ascii="Times New Roman" w:eastAsia="楷体_GB2312" w:hAnsi="Times New Roman" w:hint="eastAsia"/>
          <w:sz w:val="24"/>
          <w:szCs w:val="24"/>
        </w:rPr>
        <w:t>随时检查与被监管方资金收支有关的资料，包括但不限于被监管方的财务账簿、原始凭证、发票、合同等材料，被监管方应无条件予以配合。甲方、乙方</w:t>
      </w:r>
      <w:proofErr w:type="gramStart"/>
      <w:r>
        <w:rPr>
          <w:rFonts w:ascii="Times New Roman" w:eastAsia="楷体_GB2312" w:hAnsi="Times New Roman" w:hint="eastAsia"/>
          <w:sz w:val="24"/>
          <w:szCs w:val="24"/>
        </w:rPr>
        <w:t>及庚方有权</w:t>
      </w:r>
      <w:proofErr w:type="gramEnd"/>
      <w:r>
        <w:rPr>
          <w:rFonts w:ascii="Times New Roman" w:eastAsia="楷体_GB2312" w:hAnsi="Times New Roman" w:hint="eastAsia"/>
          <w:sz w:val="24"/>
          <w:szCs w:val="24"/>
        </w:rPr>
        <w:t>随时对被监管方及标的项目实施现场检查，以了解被监管方及标的项目的整体经营情况、财务情况、现金流情况、项目建设进度、工程款支付情况及销售情况等。</w:t>
      </w:r>
    </w:p>
    <w:p w14:paraId="57325FC6"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42910F5D"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第四条：印鉴</w:t>
      </w:r>
      <w:r>
        <w:rPr>
          <w:rFonts w:ascii="Times New Roman" w:eastAsia="楷体_GB2312" w:hAnsi="Times New Roman"/>
          <w:b/>
          <w:sz w:val="24"/>
          <w:szCs w:val="24"/>
        </w:rPr>
        <w:t>/</w:t>
      </w:r>
      <w:r>
        <w:rPr>
          <w:rFonts w:ascii="Times New Roman" w:eastAsia="楷体_GB2312" w:hAnsi="Times New Roman"/>
          <w:b/>
          <w:sz w:val="24"/>
          <w:szCs w:val="24"/>
        </w:rPr>
        <w:t>证照监管规则</w:t>
      </w:r>
    </w:p>
    <w:p w14:paraId="520733DB"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sz w:val="24"/>
          <w:szCs w:val="24"/>
        </w:rPr>
        <w:t>4.1</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w:t>
      </w:r>
      <w:r>
        <w:rPr>
          <w:rFonts w:ascii="Times New Roman" w:eastAsia="楷体_GB2312" w:hAnsi="Times New Roman"/>
          <w:sz w:val="24"/>
          <w:szCs w:val="24"/>
        </w:rPr>
        <w:t>P</w:t>
      </w:r>
      <w:r>
        <w:rPr>
          <w:rFonts w:ascii="Times New Roman" w:eastAsia="楷体_GB2312" w:hAnsi="Times New Roman" w:hint="eastAsia"/>
          <w:sz w:val="24"/>
          <w:szCs w:val="24"/>
        </w:rPr>
        <w:t>公司</w:t>
      </w:r>
      <w:r>
        <w:rPr>
          <w:rFonts w:ascii="Times New Roman" w:eastAsia="楷体_GB2312" w:hAnsi="Times New Roman"/>
          <w:sz w:val="24"/>
          <w:szCs w:val="24"/>
        </w:rPr>
        <w:t>公章、合同章、财务</w:t>
      </w:r>
      <w:r>
        <w:rPr>
          <w:rFonts w:ascii="Times New Roman" w:eastAsia="楷体_GB2312" w:hAnsi="Times New Roman" w:hint="eastAsia"/>
          <w:sz w:val="24"/>
          <w:szCs w:val="24"/>
        </w:rPr>
        <w:t>专用</w:t>
      </w:r>
      <w:r>
        <w:rPr>
          <w:rFonts w:ascii="Times New Roman" w:eastAsia="楷体_GB2312" w:hAnsi="Times New Roman"/>
          <w:sz w:val="24"/>
          <w:szCs w:val="24"/>
        </w:rPr>
        <w:t>章、法人章</w:t>
      </w:r>
      <w:r>
        <w:rPr>
          <w:rFonts w:ascii="Times New Roman" w:eastAsia="楷体_GB2312" w:hAnsi="Times New Roman" w:hint="eastAsia"/>
          <w:sz w:val="24"/>
          <w:szCs w:val="24"/>
        </w:rPr>
        <w:t>、发票专用章、销售专用章及其他全部印章</w:t>
      </w:r>
      <w:r>
        <w:rPr>
          <w:rFonts w:ascii="Times New Roman" w:eastAsia="楷体_GB2312" w:hAnsi="Times New Roman" w:hint="eastAsia"/>
          <w:sz w:val="24"/>
          <w:szCs w:val="24"/>
        </w:rPr>
        <w:t>/</w:t>
      </w:r>
      <w:r>
        <w:rPr>
          <w:rFonts w:ascii="Times New Roman" w:eastAsia="楷体_GB2312" w:hAnsi="Times New Roman" w:hint="eastAsia"/>
          <w:sz w:val="24"/>
          <w:szCs w:val="24"/>
        </w:rPr>
        <w:t>印鉴，银行本票、支票、汇票等票据，定期存单，电汇凭证、银行理财产品合同等被监管方及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公司的所有合同及重要凭证，以及被监管方及</w:t>
      </w:r>
      <w:r>
        <w:rPr>
          <w:rFonts w:ascii="Times New Roman" w:eastAsia="楷体_GB2312" w:hAnsi="Times New Roman" w:hint="eastAsia"/>
          <w:sz w:val="24"/>
          <w:szCs w:val="24"/>
        </w:rPr>
        <w:t>G</w:t>
      </w:r>
      <w:r>
        <w:rPr>
          <w:rFonts w:ascii="Times New Roman" w:eastAsia="楷体_GB2312" w:hAnsi="Times New Roman"/>
          <w:sz w:val="24"/>
          <w:szCs w:val="24"/>
        </w:rPr>
        <w:t>P</w:t>
      </w:r>
      <w:r>
        <w:rPr>
          <w:rFonts w:ascii="Times New Roman" w:eastAsia="楷体_GB2312" w:hAnsi="Times New Roman" w:hint="eastAsia"/>
          <w:sz w:val="24"/>
          <w:szCs w:val="24"/>
        </w:rPr>
        <w:t>公司的</w:t>
      </w:r>
      <w:r>
        <w:rPr>
          <w:rFonts w:ascii="Times New Roman" w:eastAsia="楷体_GB2312" w:hAnsi="Times New Roman"/>
          <w:sz w:val="24"/>
          <w:szCs w:val="24"/>
        </w:rPr>
        <w:t>《营业执照》、《开户许可证》</w:t>
      </w:r>
      <w:r>
        <w:rPr>
          <w:rFonts w:ascii="Times New Roman" w:eastAsia="楷体_GB2312" w:hAnsi="Times New Roman" w:hint="eastAsia"/>
          <w:sz w:val="24"/>
          <w:szCs w:val="24"/>
        </w:rPr>
        <w:t>（如有）、《机构信用代码证》、《房地产开发企业资质证书》、房地产开发建设项目立项批复、建设用地使用权出让合同、拆迁补偿协议（如有）、</w:t>
      </w:r>
      <w:r>
        <w:rPr>
          <w:rFonts w:ascii="Times New Roman" w:eastAsia="楷体_GB2312" w:hAnsi="Times New Roman"/>
          <w:sz w:val="24"/>
          <w:szCs w:val="24"/>
        </w:rPr>
        <w:t>《国有土地使用证》</w:t>
      </w:r>
      <w:r>
        <w:rPr>
          <w:rFonts w:ascii="Times New Roman" w:eastAsia="楷体_GB2312" w:hAnsi="Times New Roman"/>
          <w:sz w:val="24"/>
          <w:szCs w:val="24"/>
        </w:rPr>
        <w:t>/</w:t>
      </w:r>
      <w:r>
        <w:rPr>
          <w:rFonts w:ascii="Times New Roman" w:eastAsia="楷体_GB2312" w:hAnsi="Times New Roman"/>
          <w:sz w:val="24"/>
          <w:szCs w:val="24"/>
        </w:rPr>
        <w:t>《不动产权证书》、《建设用地规划许可证》、《建设工程规划许可证》、《建筑工程施工许可证》、《商品房预售许可证</w:t>
      </w:r>
      <w:r>
        <w:rPr>
          <w:rFonts w:ascii="Times New Roman" w:eastAsia="楷体_GB2312" w:hAnsi="Times New Roman" w:hint="eastAsia"/>
          <w:sz w:val="24"/>
          <w:szCs w:val="24"/>
        </w:rPr>
        <w:t>/</w:t>
      </w:r>
      <w:r>
        <w:rPr>
          <w:rFonts w:ascii="Times New Roman" w:eastAsia="楷体_GB2312" w:hAnsi="Times New Roman" w:hint="eastAsia"/>
          <w:sz w:val="24"/>
          <w:szCs w:val="24"/>
        </w:rPr>
        <w:t>销售许可证</w:t>
      </w:r>
      <w:r>
        <w:rPr>
          <w:rFonts w:ascii="Times New Roman" w:eastAsia="楷体_GB2312" w:hAnsi="Times New Roman"/>
          <w:sz w:val="24"/>
          <w:szCs w:val="24"/>
        </w:rPr>
        <w:t>》</w:t>
      </w:r>
      <w:r>
        <w:rPr>
          <w:rFonts w:ascii="Times New Roman" w:eastAsia="楷体_GB2312" w:hAnsi="Times New Roman" w:hint="eastAsia"/>
          <w:sz w:val="24"/>
          <w:szCs w:val="24"/>
        </w:rPr>
        <w:t>等证照</w:t>
      </w:r>
      <w:r>
        <w:rPr>
          <w:rFonts w:ascii="Times New Roman" w:eastAsia="楷体_GB2312" w:hAnsi="Times New Roman"/>
          <w:sz w:val="24"/>
          <w:szCs w:val="24"/>
        </w:rPr>
        <w:t>，</w:t>
      </w:r>
      <w:r>
        <w:rPr>
          <w:rFonts w:ascii="Times New Roman" w:eastAsia="楷体_GB2312" w:hAnsi="Times New Roman" w:hint="eastAsia"/>
          <w:sz w:val="24"/>
          <w:szCs w:val="24"/>
        </w:rPr>
        <w:t>由现场监管人员和被监管方及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公司指定人员共同管理，并存放于【项目公司办公室】处。</w:t>
      </w:r>
    </w:p>
    <w:p w14:paraId="795D46ED"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sz w:val="24"/>
          <w:szCs w:val="24"/>
        </w:rPr>
        <w:t>4.2</w:t>
      </w:r>
      <w:r>
        <w:rPr>
          <w:rFonts w:ascii="Times New Roman" w:eastAsia="楷体_GB2312" w:hAnsi="Times New Roman"/>
          <w:sz w:val="24"/>
          <w:szCs w:val="24"/>
        </w:rPr>
        <w:tab/>
      </w:r>
      <w:r>
        <w:rPr>
          <w:rFonts w:ascii="Times New Roman" w:eastAsia="楷体_GB2312" w:hAnsi="Times New Roman" w:hint="eastAsia"/>
          <w:sz w:val="24"/>
          <w:szCs w:val="24"/>
        </w:rPr>
        <w:t>监管范围内印章均应在甲方、乙方相关人员的现场见证下于《合作框架协议》项下光大信托向合伙企业完成首笔</w:t>
      </w:r>
      <w:r>
        <w:rPr>
          <w:rFonts w:ascii="Times New Roman" w:eastAsia="楷体_GB2312" w:hAnsi="Times New Roman"/>
          <w:sz w:val="24"/>
          <w:szCs w:val="24"/>
        </w:rPr>
        <w:t>实缴出资</w:t>
      </w:r>
      <w:r>
        <w:rPr>
          <w:rFonts w:ascii="Times New Roman" w:eastAsia="楷体_GB2312" w:hAnsi="Times New Roman" w:hint="eastAsia"/>
          <w:sz w:val="24"/>
          <w:szCs w:val="24"/>
        </w:rPr>
        <w:t>款支付日前清点完毕后将监管范围内印鉴及证照存入全新、未拆封的保险柜（以下简称“共管保险柜”）内，监管保险柜费用由被监管方及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公司承担。现场监管人员保管【主钥匙】，监管保险柜需现场监管人员、</w:t>
      </w:r>
      <w:proofErr w:type="gramStart"/>
      <w:r>
        <w:rPr>
          <w:rFonts w:ascii="Times New Roman" w:eastAsia="楷体_GB2312" w:hAnsi="Times New Roman" w:hint="eastAsia"/>
          <w:sz w:val="24"/>
          <w:szCs w:val="24"/>
        </w:rPr>
        <w:t>融创方</w:t>
      </w:r>
      <w:proofErr w:type="gramEnd"/>
      <w:r>
        <w:rPr>
          <w:rFonts w:ascii="Times New Roman" w:eastAsia="楷体_GB2312" w:hAnsi="Times New Roman" w:hint="eastAsia"/>
          <w:sz w:val="24"/>
          <w:szCs w:val="24"/>
        </w:rPr>
        <w:t>指定人员及</w:t>
      </w:r>
      <w:r>
        <w:rPr>
          <w:rFonts w:ascii="Times New Roman" w:eastAsia="楷体_GB2312" w:hAnsi="Times New Roman" w:hint="eastAsia"/>
          <w:sz w:val="24"/>
          <w:szCs w:val="24"/>
        </w:rPr>
        <w:t>GP</w:t>
      </w:r>
      <w:r>
        <w:rPr>
          <w:rFonts w:ascii="Times New Roman" w:eastAsia="楷体_GB2312" w:hAnsi="Times New Roman" w:hint="eastAsia"/>
          <w:sz w:val="24"/>
          <w:szCs w:val="24"/>
        </w:rPr>
        <w:t>公司</w:t>
      </w:r>
      <w:r>
        <w:rPr>
          <w:rFonts w:ascii="Times New Roman" w:eastAsia="楷体_GB2312" w:hAnsi="Times New Roman" w:hint="eastAsia"/>
          <w:sz w:val="24"/>
          <w:szCs w:val="24"/>
        </w:rPr>
        <w:lastRenderedPageBreak/>
        <w:t>指定人员共同操作方才开启，确保监管保险柜任意一方均无法单独开启。</w:t>
      </w:r>
    </w:p>
    <w:p w14:paraId="0A76E14B"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hint="eastAsia"/>
          <w:sz w:val="24"/>
          <w:szCs w:val="24"/>
        </w:rPr>
        <w:t>4</w:t>
      </w:r>
      <w:r>
        <w:rPr>
          <w:rFonts w:ascii="Times New Roman" w:eastAsia="楷体_GB2312" w:hAnsi="Times New Roman"/>
          <w:sz w:val="24"/>
          <w:szCs w:val="24"/>
        </w:rPr>
        <w:t>.3</w:t>
      </w:r>
      <w:r>
        <w:rPr>
          <w:rFonts w:ascii="Times New Roman" w:eastAsia="楷体_GB2312" w:hAnsi="Times New Roman"/>
          <w:sz w:val="24"/>
          <w:szCs w:val="24"/>
        </w:rPr>
        <w:tab/>
      </w:r>
      <w:r>
        <w:rPr>
          <w:rFonts w:ascii="Times New Roman" w:eastAsia="楷体_GB2312" w:hAnsi="Times New Roman" w:hint="eastAsia"/>
          <w:sz w:val="24"/>
          <w:szCs w:val="24"/>
        </w:rPr>
        <w:t>印鉴、证照移交管理之日，由被监管方及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公司编制移交印鉴、证照清单，载明移交监管印鉴、证照的种类与数量并预留印鉴样本，移交清单一式两份，由甲方、乙方和被监管方及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公司分别盖章确认，甲方和乙方分别持有一份清单原件，同时提供一份清单复印件</w:t>
      </w:r>
      <w:proofErr w:type="gramStart"/>
      <w:r>
        <w:rPr>
          <w:rFonts w:ascii="Times New Roman" w:eastAsia="楷体_GB2312" w:hAnsi="Times New Roman" w:hint="eastAsia"/>
          <w:sz w:val="24"/>
          <w:szCs w:val="24"/>
        </w:rPr>
        <w:t>给庚方</w:t>
      </w:r>
      <w:proofErr w:type="gramEnd"/>
      <w:r>
        <w:rPr>
          <w:rFonts w:ascii="Times New Roman" w:eastAsia="楷体_GB2312" w:hAnsi="Times New Roman" w:hint="eastAsia"/>
          <w:sz w:val="24"/>
          <w:szCs w:val="24"/>
        </w:rPr>
        <w:t>，</w:t>
      </w:r>
      <w:proofErr w:type="gramStart"/>
      <w:r>
        <w:rPr>
          <w:rFonts w:ascii="Times New Roman" w:eastAsia="楷体_GB2312" w:hAnsi="Times New Roman" w:hint="eastAsia"/>
          <w:sz w:val="24"/>
          <w:szCs w:val="24"/>
        </w:rPr>
        <w:t>作为庚方印鉴</w:t>
      </w:r>
      <w:proofErr w:type="gramEnd"/>
      <w:r>
        <w:rPr>
          <w:rFonts w:ascii="Times New Roman" w:eastAsia="楷体_GB2312" w:hAnsi="Times New Roman" w:hint="eastAsia"/>
          <w:sz w:val="24"/>
          <w:szCs w:val="24"/>
        </w:rPr>
        <w:t>、证照管</w:t>
      </w:r>
      <w:proofErr w:type="gramStart"/>
      <w:r>
        <w:rPr>
          <w:rFonts w:ascii="Times New Roman" w:eastAsia="楷体_GB2312" w:hAnsi="Times New Roman" w:hint="eastAsia"/>
          <w:sz w:val="24"/>
          <w:szCs w:val="24"/>
        </w:rPr>
        <w:t>理执行</w:t>
      </w:r>
      <w:proofErr w:type="gramEnd"/>
      <w:r>
        <w:rPr>
          <w:rFonts w:ascii="Times New Roman" w:eastAsia="楷体_GB2312" w:hAnsi="Times New Roman" w:hint="eastAsia"/>
          <w:sz w:val="24"/>
          <w:szCs w:val="24"/>
        </w:rPr>
        <w:t>情况的报备。监管期间内，被监管方及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公司新增需纳入监管范围内的印鉴、证照、银行账户预留印鉴等，应按照前述约定签署补充管理交接清单；监管期间涉及更换或取得证照的，被监管方及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公司与监管公司需在被监管方及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公司取得证照后</w:t>
      </w:r>
      <w:r>
        <w:rPr>
          <w:rFonts w:ascii="Times New Roman" w:eastAsia="楷体_GB2312" w:hAnsi="Times New Roman" w:hint="eastAsia"/>
          <w:sz w:val="24"/>
          <w:szCs w:val="24"/>
        </w:rPr>
        <w:t>5</w:t>
      </w:r>
      <w:r>
        <w:rPr>
          <w:rFonts w:ascii="Times New Roman" w:eastAsia="楷体_GB2312" w:hAnsi="Times New Roman" w:hint="eastAsia"/>
          <w:sz w:val="24"/>
          <w:szCs w:val="24"/>
        </w:rPr>
        <w:t>个工作日内将其纳入监管。</w:t>
      </w:r>
    </w:p>
    <w:p w14:paraId="0DADC301"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sz w:val="24"/>
          <w:szCs w:val="24"/>
        </w:rPr>
        <w:t>4.4</w:t>
      </w:r>
      <w:r>
        <w:rPr>
          <w:rFonts w:ascii="Times New Roman" w:eastAsia="楷体_GB2312" w:hAnsi="Times New Roman"/>
          <w:sz w:val="24"/>
          <w:szCs w:val="24"/>
        </w:rPr>
        <w:tab/>
      </w:r>
      <w:r>
        <w:rPr>
          <w:rFonts w:ascii="Times New Roman" w:eastAsia="楷体_GB2312" w:hAnsi="Times New Roman"/>
          <w:sz w:val="24"/>
          <w:szCs w:val="24"/>
        </w:rPr>
        <w:t>印章</w:t>
      </w:r>
      <w:r>
        <w:rPr>
          <w:rFonts w:ascii="Times New Roman" w:eastAsia="楷体_GB2312" w:hAnsi="Times New Roman" w:hint="eastAsia"/>
          <w:sz w:val="24"/>
          <w:szCs w:val="24"/>
        </w:rPr>
        <w:t>、证照</w:t>
      </w:r>
      <w:r>
        <w:rPr>
          <w:rFonts w:ascii="Times New Roman" w:eastAsia="楷体_GB2312" w:hAnsi="Times New Roman"/>
          <w:sz w:val="24"/>
          <w:szCs w:val="24"/>
        </w:rPr>
        <w:t>使用必须严格遵守印章</w:t>
      </w:r>
      <w:r>
        <w:rPr>
          <w:rFonts w:ascii="Times New Roman" w:eastAsia="楷体_GB2312" w:hAnsi="Times New Roman" w:hint="eastAsia"/>
          <w:sz w:val="24"/>
          <w:szCs w:val="24"/>
        </w:rPr>
        <w:t>、证照</w:t>
      </w:r>
      <w:r>
        <w:rPr>
          <w:rFonts w:ascii="Times New Roman" w:eastAsia="楷体_GB2312" w:hAnsi="Times New Roman"/>
          <w:sz w:val="24"/>
          <w:szCs w:val="24"/>
        </w:rPr>
        <w:t>使用审批程序。</w:t>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公司使用印鉴、证照前需提出书面申请单，</w:t>
      </w:r>
      <w:proofErr w:type="gramStart"/>
      <w:r>
        <w:rPr>
          <w:rFonts w:ascii="Times New Roman" w:eastAsia="楷体_GB2312" w:hAnsi="Times New Roman" w:hint="eastAsia"/>
          <w:sz w:val="24"/>
          <w:szCs w:val="24"/>
        </w:rPr>
        <w:t>经庚方</w:t>
      </w:r>
      <w:proofErr w:type="gramEnd"/>
      <w:r>
        <w:rPr>
          <w:rFonts w:ascii="Times New Roman" w:eastAsia="楷体_GB2312" w:hAnsi="Times New Roman" w:hint="eastAsia"/>
          <w:sz w:val="24"/>
          <w:szCs w:val="24"/>
        </w:rPr>
        <w:t>委派的现场监管人员、</w:t>
      </w:r>
      <w:proofErr w:type="gramStart"/>
      <w:r>
        <w:rPr>
          <w:rFonts w:ascii="Times New Roman" w:eastAsia="楷体_GB2312" w:hAnsi="Times New Roman" w:hint="eastAsia"/>
          <w:sz w:val="24"/>
          <w:szCs w:val="24"/>
        </w:rPr>
        <w:t>融创方</w:t>
      </w:r>
      <w:proofErr w:type="gramEnd"/>
      <w:r>
        <w:rPr>
          <w:rFonts w:ascii="Times New Roman" w:eastAsia="楷体_GB2312" w:hAnsi="Times New Roman" w:hint="eastAsia"/>
          <w:sz w:val="24"/>
          <w:szCs w:val="24"/>
        </w:rPr>
        <w:t>指定人员和甲方指定人员共同审批同意并登记后方可使用。现场监管人员应当做好印鉴、证照使用记录，甲方指定董事有权随时进行复核。</w:t>
      </w:r>
    </w:p>
    <w:p w14:paraId="5E1EBF26"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sz w:val="24"/>
          <w:szCs w:val="24"/>
        </w:rPr>
        <w:t>4.5</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公司需携带印鉴、证照外出使用的，应当全程由甲方委派的现场监管人员现场陪同，印鉴、证照不得离开现场监管人员视线，且被监管方及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公司外出办理事项需与申请领用印鉴、证照事项一致（保管材料范围应逐一列明）。</w:t>
      </w:r>
    </w:p>
    <w:p w14:paraId="5C980113"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sz w:val="24"/>
          <w:szCs w:val="24"/>
        </w:rPr>
        <w:t>4.6</w:t>
      </w:r>
      <w:r>
        <w:rPr>
          <w:rFonts w:ascii="Times New Roman" w:eastAsia="楷体_GB2312" w:hAnsi="Times New Roman"/>
          <w:sz w:val="24"/>
          <w:szCs w:val="24"/>
        </w:rPr>
        <w:tab/>
      </w:r>
      <w:r>
        <w:rPr>
          <w:rFonts w:ascii="Times New Roman" w:eastAsia="楷体_GB2312" w:hAnsi="Times New Roman"/>
          <w:sz w:val="24"/>
          <w:szCs w:val="24"/>
        </w:rPr>
        <w:t>除甲方书面同意，任何一方或其委派人员不得加刻、私刻</w:t>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w:t>
      </w:r>
      <w:r>
        <w:rPr>
          <w:rFonts w:ascii="Times New Roman" w:eastAsia="楷体_GB2312" w:hAnsi="Times New Roman"/>
          <w:sz w:val="24"/>
          <w:szCs w:val="24"/>
        </w:rPr>
        <w:t>的印鉴，挂失、</w:t>
      </w:r>
      <w:proofErr w:type="gramStart"/>
      <w:r>
        <w:rPr>
          <w:rFonts w:ascii="Times New Roman" w:eastAsia="楷体_GB2312" w:hAnsi="Times New Roman"/>
          <w:sz w:val="24"/>
          <w:szCs w:val="24"/>
        </w:rPr>
        <w:t>重置均</w:t>
      </w:r>
      <w:proofErr w:type="gramEnd"/>
      <w:r>
        <w:rPr>
          <w:rFonts w:ascii="Times New Roman" w:eastAsia="楷体_GB2312" w:hAnsi="Times New Roman"/>
          <w:sz w:val="24"/>
          <w:szCs w:val="24"/>
        </w:rPr>
        <w:t>必须通过甲方的书面同意。</w:t>
      </w:r>
    </w:p>
    <w:p w14:paraId="4E6E21CC"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hint="eastAsia"/>
          <w:sz w:val="24"/>
          <w:szCs w:val="24"/>
        </w:rPr>
        <w:t>4</w:t>
      </w:r>
      <w:r>
        <w:rPr>
          <w:rFonts w:ascii="Times New Roman" w:eastAsia="楷体_GB2312" w:hAnsi="Times New Roman"/>
          <w:sz w:val="24"/>
          <w:szCs w:val="24"/>
        </w:rPr>
        <w:t>.7</w:t>
      </w:r>
      <w:r>
        <w:rPr>
          <w:rFonts w:ascii="Times New Roman" w:eastAsia="楷体_GB2312" w:hAnsi="Times New Roman"/>
          <w:sz w:val="24"/>
          <w:szCs w:val="24"/>
        </w:rPr>
        <w:tab/>
      </w:r>
      <w:r>
        <w:rPr>
          <w:rFonts w:ascii="Times New Roman" w:eastAsia="楷体_GB2312" w:hAnsi="Times New Roman" w:hint="eastAsia"/>
          <w:sz w:val="24"/>
          <w:szCs w:val="24"/>
        </w:rPr>
        <w:t>对于支票和电汇凭证、纸质商业承兑汇票、本汇票申请书、贷记凭证等正常经营业务需要使用的可流通凭证，现场监管人员应配合被监管方及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公司购买</w:t>
      </w:r>
      <w:r>
        <w:rPr>
          <w:rFonts w:ascii="Times New Roman" w:eastAsia="楷体_GB2312" w:hAnsi="Times New Roman"/>
          <w:sz w:val="24"/>
          <w:szCs w:val="24"/>
        </w:rPr>
        <w:t>支票和电汇凭证等</w:t>
      </w:r>
      <w:r>
        <w:rPr>
          <w:rFonts w:ascii="Times New Roman" w:eastAsia="楷体_GB2312" w:hAnsi="Times New Roman" w:hint="eastAsia"/>
          <w:sz w:val="24"/>
          <w:szCs w:val="24"/>
        </w:rPr>
        <w:t>可流通凭证。购买前需经过现场监管人员批准并核对购买可流通凭证的种类、数量，与购买单据填写一致后，在单据上加盖预留印鉴，并登记预留印鉴使用登记簿。购买后现场监管人员应依据银行购买回执清点实物与回执的信息、数目一致后放入共管保险柜。现场监管人员应及时将支票和电汇凭证等可流通凭证使用情况向甲方和乙方报备。</w:t>
      </w:r>
    </w:p>
    <w:p w14:paraId="72137E86" w14:textId="77777777" w:rsidR="00CC4C43" w:rsidRDefault="007731E0">
      <w:pPr>
        <w:adjustRightInd w:val="0"/>
        <w:snapToGrid w:val="0"/>
        <w:spacing w:afterLines="20" w:after="62" w:line="288" w:lineRule="auto"/>
        <w:ind w:left="566" w:hangingChars="236" w:hanging="566"/>
        <w:rPr>
          <w:rFonts w:ascii="Times New Roman" w:eastAsia="楷体_GB2312" w:hAnsi="Times New Roman"/>
          <w:sz w:val="24"/>
          <w:szCs w:val="24"/>
        </w:rPr>
      </w:pPr>
      <w:r>
        <w:rPr>
          <w:rFonts w:ascii="Times New Roman" w:eastAsia="楷体_GB2312" w:hAnsi="Times New Roman"/>
          <w:sz w:val="24"/>
          <w:szCs w:val="24"/>
        </w:rPr>
        <w:t>4.8</w:t>
      </w:r>
      <w:r>
        <w:rPr>
          <w:rFonts w:ascii="Times New Roman" w:eastAsia="楷体_GB2312" w:hAnsi="Times New Roman"/>
          <w:sz w:val="24"/>
          <w:szCs w:val="24"/>
        </w:rPr>
        <w:tab/>
      </w:r>
      <w:r>
        <w:rPr>
          <w:rFonts w:ascii="Times New Roman" w:eastAsia="楷体_GB2312" w:hAnsi="Times New Roman" w:hint="eastAsia"/>
          <w:sz w:val="24"/>
          <w:szCs w:val="24"/>
        </w:rPr>
        <w:t>严禁预留空白支票。原则上不允许被监管方及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公司预留用印的空白支票。对于作废的支票、电汇凭证，应标注“作废”字样并收回留存以备查。</w:t>
      </w:r>
    </w:p>
    <w:p w14:paraId="70E9DEB3"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57117B54"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第五条：工程监管规则</w:t>
      </w:r>
    </w:p>
    <w:p w14:paraId="54B51A8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5.1</w:t>
      </w:r>
      <w:r>
        <w:rPr>
          <w:rFonts w:ascii="Times New Roman" w:eastAsia="楷体_GB2312" w:hAnsi="Times New Roman"/>
          <w:sz w:val="24"/>
          <w:szCs w:val="24"/>
        </w:rPr>
        <w:tab/>
      </w:r>
      <w:r>
        <w:rPr>
          <w:rFonts w:ascii="Times New Roman" w:eastAsia="楷体_GB2312" w:hAnsi="Times New Roman" w:hint="eastAsia"/>
          <w:sz w:val="24"/>
          <w:szCs w:val="24"/>
        </w:rPr>
        <w:t>针对标的项目建造、施工等与主要资产形成密切相关的管理事项，甲方、乙方和现场监管人员通过监管工程总控节点计划、工程进度与产值完成状况、施工进度与建设计划匹配程度，施工进度与资金支出匹配情况，工程及采购合同订立和执行，工程结算与验收，了解、评估及化解项目潜在工</w:t>
      </w:r>
      <w:r>
        <w:rPr>
          <w:rFonts w:ascii="Times New Roman" w:eastAsia="楷体_GB2312" w:hAnsi="Times New Roman" w:hint="eastAsia"/>
          <w:sz w:val="24"/>
          <w:szCs w:val="24"/>
        </w:rPr>
        <w:lastRenderedPageBreak/>
        <w:t>程延误等风险。</w:t>
      </w:r>
      <w:r>
        <w:rPr>
          <w:rFonts w:ascii="Times New Roman" w:eastAsia="楷体_GB2312" w:hAnsi="Times New Roman"/>
          <w:sz w:val="24"/>
          <w:szCs w:val="24"/>
        </w:rPr>
        <w:t>现场监管人员负责监管标的项目的开发建设，掌握工程进展及完成情况，对比工程计划，具体包括：</w:t>
      </w:r>
    </w:p>
    <w:p w14:paraId="42C8C00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5.1.1</w:t>
      </w:r>
      <w:r>
        <w:rPr>
          <w:rFonts w:ascii="Times New Roman" w:eastAsia="楷体_GB2312" w:hAnsi="Times New Roman"/>
          <w:sz w:val="24"/>
          <w:szCs w:val="24"/>
        </w:rPr>
        <w:tab/>
      </w:r>
      <w:r>
        <w:rPr>
          <w:rFonts w:ascii="Times New Roman" w:eastAsia="楷体_GB2312" w:hAnsi="Times New Roman" w:hint="eastAsia"/>
          <w:sz w:val="24"/>
          <w:szCs w:val="24"/>
        </w:rPr>
        <w:t>现场监管人员应</w:t>
      </w:r>
      <w:r>
        <w:rPr>
          <w:rFonts w:ascii="Times New Roman" w:eastAsia="楷体_GB2312" w:hAnsi="Times New Roman"/>
          <w:sz w:val="24"/>
          <w:szCs w:val="24"/>
        </w:rPr>
        <w:t>按照</w:t>
      </w:r>
      <w:r>
        <w:rPr>
          <w:rFonts w:ascii="Times New Roman" w:eastAsia="楷体_GB2312" w:hAnsi="Times New Roman" w:hint="eastAsia"/>
          <w:sz w:val="24"/>
          <w:szCs w:val="24"/>
        </w:rPr>
        <w:t>本合同附件一中列示的《工程进度表》监督项目推进情况及取得审批文件、证照情况，现场监管人员根据项目公司提供的证照获取节点进行监控，对施工建设及开发进度偏离的，应向项目公司了解偏离原因，要求项目公司</w:t>
      </w:r>
      <w:proofErr w:type="gramStart"/>
      <w:r>
        <w:rPr>
          <w:rFonts w:ascii="Times New Roman" w:eastAsia="楷体_GB2312" w:hAnsi="Times New Roman" w:hint="eastAsia"/>
          <w:sz w:val="24"/>
          <w:szCs w:val="24"/>
        </w:rPr>
        <w:t>作出</w:t>
      </w:r>
      <w:proofErr w:type="gramEnd"/>
      <w:r>
        <w:rPr>
          <w:rFonts w:ascii="Times New Roman" w:eastAsia="楷体_GB2312" w:hAnsi="Times New Roman" w:hint="eastAsia"/>
          <w:sz w:val="24"/>
          <w:szCs w:val="24"/>
        </w:rPr>
        <w:t>说明</w:t>
      </w:r>
      <w:r>
        <w:rPr>
          <w:rFonts w:ascii="Times New Roman" w:eastAsia="楷体_GB2312" w:hAnsi="Times New Roman"/>
          <w:sz w:val="24"/>
          <w:szCs w:val="24"/>
        </w:rPr>
        <w:t>；</w:t>
      </w:r>
      <w:r>
        <w:rPr>
          <w:rFonts w:ascii="Times New Roman" w:eastAsia="楷体_GB2312" w:hAnsi="Times New Roman" w:hint="eastAsia"/>
          <w:sz w:val="24"/>
          <w:szCs w:val="24"/>
        </w:rPr>
        <w:t>当施工建设及开发进度偏离半个月以上时，现场监管人员</w:t>
      </w:r>
      <w:proofErr w:type="gramStart"/>
      <w:r>
        <w:rPr>
          <w:rFonts w:ascii="Times New Roman" w:eastAsia="楷体_GB2312" w:hAnsi="Times New Roman" w:hint="eastAsia"/>
          <w:sz w:val="24"/>
          <w:szCs w:val="24"/>
        </w:rPr>
        <w:t>应前往</w:t>
      </w:r>
      <w:proofErr w:type="gramEnd"/>
      <w:r>
        <w:rPr>
          <w:rFonts w:ascii="Times New Roman" w:eastAsia="楷体_GB2312" w:hAnsi="Times New Roman" w:hint="eastAsia"/>
          <w:sz w:val="24"/>
          <w:szCs w:val="24"/>
        </w:rPr>
        <w:t>相关部门核实或电话咨询跟踪工程建设及证照办理情况等，并及时向监管公司和委托公司进行汇报；</w:t>
      </w:r>
    </w:p>
    <w:p w14:paraId="2A7AE15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5.1.2</w:t>
      </w:r>
      <w:r>
        <w:rPr>
          <w:rFonts w:ascii="Times New Roman" w:eastAsia="楷体_GB2312" w:hAnsi="Times New Roman"/>
          <w:sz w:val="24"/>
          <w:szCs w:val="24"/>
        </w:rPr>
        <w:tab/>
      </w:r>
      <w:r>
        <w:rPr>
          <w:rFonts w:ascii="Times New Roman" w:eastAsia="楷体_GB2312" w:hAnsi="Times New Roman"/>
          <w:sz w:val="24"/>
          <w:szCs w:val="24"/>
        </w:rPr>
        <w:t>审查复核项目公司对外签署的合同、施工过程的经济文件</w:t>
      </w:r>
      <w:r>
        <w:rPr>
          <w:rFonts w:ascii="Times New Roman" w:eastAsia="楷体_GB2312" w:hAnsi="Times New Roman" w:hint="eastAsia"/>
          <w:sz w:val="24"/>
          <w:szCs w:val="24"/>
        </w:rPr>
        <w:t>、重大事项报告</w:t>
      </w:r>
      <w:r>
        <w:rPr>
          <w:rFonts w:ascii="Times New Roman" w:eastAsia="楷体_GB2312" w:hAnsi="Times New Roman"/>
          <w:sz w:val="24"/>
          <w:szCs w:val="24"/>
        </w:rPr>
        <w:t>等，并留存备案形成合同台账；</w:t>
      </w:r>
    </w:p>
    <w:p w14:paraId="4722E36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5.1.3</w:t>
      </w:r>
      <w:bookmarkStart w:id="8" w:name="_Hlk520964446"/>
      <w:r>
        <w:rPr>
          <w:rFonts w:ascii="Times New Roman" w:eastAsia="楷体_GB2312" w:hAnsi="Times New Roman"/>
          <w:sz w:val="24"/>
          <w:szCs w:val="24"/>
        </w:rPr>
        <w:tab/>
      </w:r>
      <w:bookmarkEnd w:id="8"/>
      <w:r>
        <w:rPr>
          <w:rFonts w:ascii="Times New Roman" w:eastAsia="楷体_GB2312" w:hAnsi="Times New Roman"/>
          <w:sz w:val="24"/>
          <w:szCs w:val="24"/>
        </w:rPr>
        <w:t>关注项目规划方案、开发计划、销售计划、工程造价预算、项目设计等的变动、变更情况，及时汇报。如发生工期延迟，应查明原因并及时汇报，提示委托公司可能触发</w:t>
      </w:r>
      <w:r>
        <w:rPr>
          <w:rFonts w:ascii="Times New Roman" w:eastAsia="楷体_GB2312" w:hAnsi="Times New Roman" w:hint="eastAsia"/>
          <w:sz w:val="24"/>
          <w:szCs w:val="24"/>
        </w:rPr>
        <w:t>《合作框架协议》及《对赌协议》项下信托计划或合伙企业退出</w:t>
      </w:r>
      <w:r>
        <w:rPr>
          <w:rFonts w:ascii="Times New Roman" w:eastAsia="楷体_GB2312" w:hAnsi="Times New Roman"/>
          <w:sz w:val="24"/>
          <w:szCs w:val="24"/>
        </w:rPr>
        <w:t>的风险；要求项目公司书面说明及合理地调整计划并报送监管公司和委托公司等；</w:t>
      </w:r>
    </w:p>
    <w:p w14:paraId="207AAD6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5.1.4</w:t>
      </w:r>
      <w:r>
        <w:rPr>
          <w:rFonts w:ascii="Times New Roman" w:eastAsia="楷体_GB2312" w:hAnsi="Times New Roman"/>
          <w:sz w:val="24"/>
          <w:szCs w:val="24"/>
        </w:rPr>
        <w:tab/>
      </w:r>
      <w:r>
        <w:rPr>
          <w:rFonts w:ascii="Times New Roman" w:eastAsia="楷体_GB2312" w:hAnsi="Times New Roman"/>
          <w:sz w:val="24"/>
          <w:szCs w:val="24"/>
        </w:rPr>
        <w:t>对工程合同签订及工程款支付情况进行监管并形成合同</w:t>
      </w:r>
      <w:proofErr w:type="gramStart"/>
      <w:r>
        <w:rPr>
          <w:rFonts w:ascii="Times New Roman" w:eastAsia="楷体_GB2312" w:hAnsi="Times New Roman"/>
          <w:sz w:val="24"/>
          <w:szCs w:val="24"/>
        </w:rPr>
        <w:t>支付台</w:t>
      </w:r>
      <w:proofErr w:type="gramEnd"/>
      <w:r>
        <w:rPr>
          <w:rFonts w:ascii="Times New Roman" w:eastAsia="楷体_GB2312" w:hAnsi="Times New Roman"/>
          <w:sz w:val="24"/>
          <w:szCs w:val="24"/>
        </w:rPr>
        <w:t>账。</w:t>
      </w:r>
    </w:p>
    <w:p w14:paraId="1D5A163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5.2</w:t>
      </w:r>
      <w:r>
        <w:rPr>
          <w:rFonts w:ascii="Times New Roman" w:eastAsia="楷体_GB2312" w:hAnsi="Times New Roman"/>
          <w:sz w:val="24"/>
          <w:szCs w:val="24"/>
        </w:rPr>
        <w:tab/>
      </w:r>
      <w:r>
        <w:rPr>
          <w:rFonts w:ascii="Times New Roman" w:eastAsia="楷体_GB2312" w:hAnsi="Times New Roman" w:hint="eastAsia"/>
          <w:sz w:val="24"/>
          <w:szCs w:val="24"/>
        </w:rPr>
        <w:t>甲方有权每季度与项目公司召开例会，了解标的项目工程进度、销售和资金回款等具体情况。</w:t>
      </w:r>
      <w:proofErr w:type="gramStart"/>
      <w:r>
        <w:rPr>
          <w:rFonts w:ascii="Times New Roman" w:eastAsia="楷体_GB2312" w:hAnsi="Times New Roman"/>
          <w:sz w:val="24"/>
          <w:szCs w:val="24"/>
        </w:rPr>
        <w:t>庚方负责</w:t>
      </w:r>
      <w:proofErr w:type="gramEnd"/>
      <w:r>
        <w:rPr>
          <w:rFonts w:ascii="Times New Roman" w:eastAsia="楷体_GB2312" w:hAnsi="Times New Roman"/>
          <w:sz w:val="24"/>
          <w:szCs w:val="24"/>
        </w:rPr>
        <w:t>项目公司的现场监管工作，并有权参加项目公司的全部会议。其监管重点是检查项目应付工程进度款是否与工程进展相吻合，工程相关款项支付时点及金额是否真实、合理，账务是否存在瑕疵。</w:t>
      </w:r>
    </w:p>
    <w:p w14:paraId="2413FE4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5.3</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庚方及</w:t>
      </w:r>
      <w:proofErr w:type="gramEnd"/>
      <w:r>
        <w:rPr>
          <w:rFonts w:ascii="Times New Roman" w:eastAsia="楷体_GB2312" w:hAnsi="Times New Roman" w:hint="eastAsia"/>
          <w:sz w:val="24"/>
          <w:szCs w:val="24"/>
        </w:rPr>
        <w:t>现场监管人员应对标的项目进行定期现场检查（每月至少一次）和不定期现场检查，检查范围包括标的项目建设进度、预售许可证办理情况、销售回款情况、被监管方分红情况、标的项目去化情况等，并对标的项目销售现场进行不定期检查，了解是否存在线下销售或规避预售</w:t>
      </w:r>
      <w:r>
        <w:rPr>
          <w:rFonts w:ascii="Times New Roman" w:eastAsia="楷体_GB2312" w:hAnsi="Times New Roman" w:hint="eastAsia"/>
          <w:sz w:val="24"/>
          <w:szCs w:val="24"/>
        </w:rPr>
        <w:t>/</w:t>
      </w:r>
      <w:r>
        <w:rPr>
          <w:rFonts w:ascii="Times New Roman" w:eastAsia="楷体_GB2312" w:hAnsi="Times New Roman" w:hint="eastAsia"/>
          <w:sz w:val="24"/>
          <w:szCs w:val="24"/>
        </w:rPr>
        <w:t>销售资金监管等违规行为，并在现场检查结束后【</w:t>
      </w:r>
      <w:r>
        <w:rPr>
          <w:rFonts w:ascii="Times New Roman" w:eastAsia="楷体_GB2312" w:hAnsi="Times New Roman"/>
          <w:sz w:val="24"/>
          <w:szCs w:val="24"/>
        </w:rPr>
        <w:t>3</w:t>
      </w:r>
      <w:r>
        <w:rPr>
          <w:rFonts w:ascii="Times New Roman" w:eastAsia="楷体_GB2312" w:hAnsi="Times New Roman" w:hint="eastAsia"/>
          <w:sz w:val="24"/>
          <w:szCs w:val="24"/>
        </w:rPr>
        <w:t>】日内将检查结果报送甲方。</w:t>
      </w:r>
    </w:p>
    <w:p w14:paraId="2E0D99CB"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5</w:t>
      </w:r>
      <w:r>
        <w:rPr>
          <w:rFonts w:ascii="Times New Roman" w:eastAsia="楷体_GB2312" w:hAnsi="Times New Roman"/>
          <w:sz w:val="24"/>
          <w:szCs w:val="24"/>
        </w:rPr>
        <w:t>.4</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庚方监管</w:t>
      </w:r>
      <w:proofErr w:type="gramEnd"/>
      <w:r>
        <w:rPr>
          <w:rFonts w:ascii="Times New Roman" w:eastAsia="楷体_GB2312" w:hAnsi="Times New Roman" w:hint="eastAsia"/>
          <w:sz w:val="24"/>
          <w:szCs w:val="24"/>
        </w:rPr>
        <w:t>团队应按自然月度定期检查标的项目现场施工情况，并结合工程监理报告等资料检视实际已完成工程量，如实际已完成工程量和开发建设资金投入规模严重不符，应当要求项目公司说明原因，项目公司无法提供合理解释的，甲方有权暂停工程款审批支用。</w:t>
      </w:r>
    </w:p>
    <w:p w14:paraId="5AD1D19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5</w:t>
      </w:r>
      <w:r>
        <w:rPr>
          <w:rFonts w:ascii="Times New Roman" w:eastAsia="楷体_GB2312" w:hAnsi="Times New Roman"/>
          <w:sz w:val="24"/>
          <w:szCs w:val="24"/>
        </w:rPr>
        <w:t>.5</w:t>
      </w:r>
      <w:r>
        <w:rPr>
          <w:rFonts w:ascii="Times New Roman" w:eastAsia="楷体_GB2312" w:hAnsi="Times New Roman"/>
          <w:sz w:val="24"/>
          <w:szCs w:val="24"/>
        </w:rPr>
        <w:tab/>
      </w:r>
      <w:r>
        <w:rPr>
          <w:rFonts w:ascii="Times New Roman" w:eastAsia="楷体_GB2312" w:hAnsi="Times New Roman" w:hint="eastAsia"/>
          <w:sz w:val="24"/>
          <w:szCs w:val="24"/>
        </w:rPr>
        <w:t>项目公司应按照本合同附件二所列示的《标的项目成本测算表》和附件五所列示的《现金流量表》对标的项目进行预算和现金流管理。标的项目工程总成本（包括开发费用、建安成本、销售费用、管理费用、财务费用等）与本合同附件二所列示的《标的项目成本测算表》保持一致；标的项目工程总成本超出《标的项目成本测算表》中所示数据的，则由对赌方根据《合作框架协议》及《对赌协议》的约定，模拟清算时超出部分不计入模拟清</w:t>
      </w:r>
      <w:r>
        <w:rPr>
          <w:rFonts w:ascii="Times New Roman" w:eastAsia="楷体_GB2312" w:hAnsi="Times New Roman" w:hint="eastAsia"/>
          <w:sz w:val="24"/>
          <w:szCs w:val="24"/>
        </w:rPr>
        <w:lastRenderedPageBreak/>
        <w:t>算总成本，不得于模拟清算中扣除</w:t>
      </w:r>
      <w:r>
        <w:rPr>
          <w:rFonts w:ascii="楷体" w:eastAsia="楷体" w:hAnsi="楷体" w:hint="eastAsia"/>
          <w:sz w:val="24"/>
        </w:rPr>
        <w:t>，实际费用支出的超出部分应由</w:t>
      </w:r>
      <w:proofErr w:type="gramStart"/>
      <w:r>
        <w:rPr>
          <w:rFonts w:ascii="楷体" w:eastAsia="楷体" w:hAnsi="楷体" w:hint="eastAsia"/>
          <w:sz w:val="24"/>
        </w:rPr>
        <w:t>对赌方进行</w:t>
      </w:r>
      <w:proofErr w:type="gramEnd"/>
      <w:r>
        <w:rPr>
          <w:rFonts w:ascii="楷体" w:eastAsia="楷体" w:hAnsi="楷体" w:hint="eastAsia"/>
          <w:sz w:val="24"/>
        </w:rPr>
        <w:t>补足</w:t>
      </w:r>
      <w:r>
        <w:rPr>
          <w:rFonts w:ascii="Times New Roman" w:eastAsia="楷体_GB2312" w:hAnsi="Times New Roman" w:hint="eastAsia"/>
          <w:sz w:val="24"/>
          <w:szCs w:val="24"/>
        </w:rPr>
        <w:t>。现场监管人员应根据本合同附件二所列示的《标的项目成本测算表》和附件五所列示的《现金流量表》载明的内容对标的项目进行实时监测。</w:t>
      </w:r>
    </w:p>
    <w:p w14:paraId="3E628DA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5.6</w:t>
      </w:r>
      <w:r>
        <w:rPr>
          <w:rFonts w:ascii="Times New Roman" w:eastAsia="楷体_GB2312" w:hAnsi="Times New Roman"/>
          <w:sz w:val="24"/>
          <w:szCs w:val="24"/>
        </w:rPr>
        <w:tab/>
      </w:r>
      <w:r>
        <w:rPr>
          <w:rFonts w:ascii="Times New Roman" w:eastAsia="楷体_GB2312" w:hAnsi="Times New Roman" w:hint="eastAsia"/>
          <w:sz w:val="24"/>
          <w:szCs w:val="24"/>
        </w:rPr>
        <w:t>项目公司应配合提供如下材料：</w:t>
      </w:r>
    </w:p>
    <w:p w14:paraId="65E247C4"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hint="eastAsia"/>
          <w:sz w:val="24"/>
          <w:szCs w:val="24"/>
        </w:rPr>
        <w:t>1</w:t>
      </w:r>
      <w:r>
        <w:rPr>
          <w:rFonts w:ascii="Times New Roman" w:eastAsia="楷体_GB2312" w:hAnsi="Times New Roman" w:hint="eastAsia"/>
          <w:sz w:val="24"/>
          <w:szCs w:val="24"/>
        </w:rPr>
        <w:t>）标的项目开发建设报告。现场监管人员应按自然月度取得项目公司提交的标的项目开发建设报告。报告应包括但不限于以下内容：标的项目开发建设主要工作（包括规划设计、招标和采购、工程建造、各阶段验收、营销等）的进展情况；标的项目预算与合同的执行情况；标的项目成本和费用的发生及异动情况分析；标的项目当季的资金使用情况和下个季度的资金需求计划；质量安全等重大事件（包括但不限于质量、安全、扰民、民扰、欠薪等群体性事件、极端恶劣天气、自然灾害、媒体负面报道等）；</w:t>
      </w:r>
    </w:p>
    <w:p w14:paraId="34E81833"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hint="eastAsia"/>
          <w:sz w:val="24"/>
          <w:szCs w:val="24"/>
        </w:rPr>
        <w:t>2</w:t>
      </w:r>
      <w:r>
        <w:rPr>
          <w:rFonts w:ascii="Times New Roman" w:eastAsia="楷体_GB2312" w:hAnsi="Times New Roman" w:hint="eastAsia"/>
          <w:sz w:val="24"/>
          <w:szCs w:val="24"/>
        </w:rPr>
        <w:t>）施工进度报告。现场监管人员应于每月</w:t>
      </w:r>
      <w:r>
        <w:rPr>
          <w:rFonts w:ascii="Times New Roman" w:eastAsia="楷体_GB2312" w:hAnsi="Times New Roman" w:hint="eastAsia"/>
          <w:sz w:val="24"/>
          <w:szCs w:val="24"/>
        </w:rPr>
        <w:t>5</w:t>
      </w:r>
      <w:r>
        <w:rPr>
          <w:rFonts w:ascii="Times New Roman" w:eastAsia="楷体_GB2312" w:hAnsi="Times New Roman" w:hint="eastAsia"/>
          <w:sz w:val="24"/>
          <w:szCs w:val="24"/>
        </w:rPr>
        <w:t>日前取得项目公司提供的上月月度施工进度报告。报告应包括以下内容：进度执行情况综合描述；实际施工进度图；工程变更及调整情况；进度偏差状况和原因；解决问题的措施；施工进度计划调整意见；施工方向项目公司报送的上月施工报量材料，施工方报量中</w:t>
      </w:r>
      <w:proofErr w:type="gramStart"/>
      <w:r>
        <w:rPr>
          <w:rFonts w:ascii="Times New Roman" w:eastAsia="楷体_GB2312" w:hAnsi="Times New Roman" w:hint="eastAsia"/>
          <w:sz w:val="24"/>
          <w:szCs w:val="24"/>
        </w:rPr>
        <w:t>含有甲供材料</w:t>
      </w:r>
      <w:proofErr w:type="gramEnd"/>
      <w:r>
        <w:rPr>
          <w:rFonts w:ascii="Times New Roman" w:eastAsia="楷体_GB2312" w:hAnsi="Times New Roman" w:hint="eastAsia"/>
          <w:sz w:val="24"/>
          <w:szCs w:val="24"/>
        </w:rPr>
        <w:t>的，需明确材料进出情况；</w:t>
      </w:r>
    </w:p>
    <w:p w14:paraId="46F528E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hint="eastAsia"/>
          <w:sz w:val="24"/>
          <w:szCs w:val="24"/>
        </w:rPr>
        <w:t>3</w:t>
      </w:r>
      <w:r>
        <w:rPr>
          <w:rFonts w:ascii="Times New Roman" w:eastAsia="楷体_GB2312" w:hAnsi="Times New Roman" w:hint="eastAsia"/>
          <w:sz w:val="24"/>
          <w:szCs w:val="24"/>
        </w:rPr>
        <w:t>）监理月度报告。现场监管人员应按自然月度取得标的项目的监理月度报告。</w:t>
      </w:r>
    </w:p>
    <w:p w14:paraId="462E1D19"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721F2E5B"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第六条：</w:t>
      </w:r>
      <w:r>
        <w:rPr>
          <w:rFonts w:ascii="Times New Roman" w:eastAsia="楷体_GB2312" w:hAnsi="Times New Roman" w:hint="eastAsia"/>
          <w:b/>
          <w:sz w:val="24"/>
          <w:szCs w:val="24"/>
        </w:rPr>
        <w:t>合同监管规则</w:t>
      </w:r>
    </w:p>
    <w:p w14:paraId="314256F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Cs/>
          <w:sz w:val="24"/>
          <w:szCs w:val="24"/>
        </w:rPr>
      </w:pPr>
      <w:r>
        <w:rPr>
          <w:rFonts w:ascii="Times New Roman" w:eastAsia="楷体_GB2312" w:hAnsi="Times New Roman"/>
          <w:bCs/>
          <w:sz w:val="24"/>
          <w:szCs w:val="24"/>
        </w:rPr>
        <w:t>6.1</w:t>
      </w:r>
      <w:r>
        <w:rPr>
          <w:rFonts w:ascii="Times New Roman" w:eastAsia="楷体_GB2312" w:hAnsi="Times New Roman"/>
          <w:bCs/>
          <w:sz w:val="24"/>
          <w:szCs w:val="24"/>
        </w:rPr>
        <w:tab/>
      </w:r>
      <w:r>
        <w:rPr>
          <w:rFonts w:ascii="Times New Roman" w:eastAsia="楷体_GB2312" w:hAnsi="Times New Roman" w:hint="eastAsia"/>
          <w:bCs/>
          <w:sz w:val="24"/>
          <w:szCs w:val="24"/>
        </w:rPr>
        <w:t>现场监管人员入驻被监管方进行现场交接时，被监管方应向现场监管人员提供被监管方已经签署且仍有效的所有合同台账。本合同项下监管的合同包括但不限于国有建设用地使用权出让合同、前期合同（包括规划、设计、勘察、监理、造价咨询）、工程合同（包括建筑、安装、装饰、市政合同）、材料设备采购合同（包括材料采购、一方付款另一方收货的三方合同、设备购买及安装）、园林环境合同（包括室外环境的设计、施工）、营销</w:t>
      </w:r>
      <w:proofErr w:type="gramStart"/>
      <w:r>
        <w:rPr>
          <w:rFonts w:ascii="Times New Roman" w:eastAsia="楷体_GB2312" w:hAnsi="Times New Roman" w:hint="eastAsia"/>
          <w:bCs/>
          <w:sz w:val="24"/>
          <w:szCs w:val="24"/>
        </w:rPr>
        <w:t>包装合</w:t>
      </w:r>
      <w:proofErr w:type="gramEnd"/>
      <w:r>
        <w:rPr>
          <w:rFonts w:ascii="Times New Roman" w:eastAsia="楷体_GB2312" w:hAnsi="Times New Roman" w:hint="eastAsia"/>
          <w:bCs/>
          <w:sz w:val="24"/>
          <w:szCs w:val="24"/>
        </w:rPr>
        <w:t>同（包括样板间装修、户外广告牌制作和安装、媒介广告设计、制作、宣传品设计、印刷）、融资类合同及其他对项目公司有重大影响的合同或协议。</w:t>
      </w:r>
    </w:p>
    <w:p w14:paraId="590E150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Cs/>
          <w:sz w:val="24"/>
          <w:szCs w:val="24"/>
        </w:rPr>
      </w:pPr>
      <w:r>
        <w:rPr>
          <w:rFonts w:ascii="Times New Roman" w:eastAsia="楷体_GB2312" w:hAnsi="Times New Roman" w:hint="eastAsia"/>
          <w:bCs/>
          <w:sz w:val="24"/>
          <w:szCs w:val="24"/>
        </w:rPr>
        <w:t>6</w:t>
      </w:r>
      <w:r>
        <w:rPr>
          <w:rFonts w:ascii="Times New Roman" w:eastAsia="楷体_GB2312" w:hAnsi="Times New Roman"/>
          <w:bCs/>
          <w:sz w:val="24"/>
          <w:szCs w:val="24"/>
        </w:rPr>
        <w:t>.2</w:t>
      </w:r>
      <w:r>
        <w:rPr>
          <w:rFonts w:ascii="Times New Roman" w:eastAsia="楷体_GB2312" w:hAnsi="Times New Roman"/>
          <w:bCs/>
          <w:sz w:val="24"/>
          <w:szCs w:val="24"/>
        </w:rPr>
        <w:tab/>
      </w:r>
      <w:r>
        <w:rPr>
          <w:rFonts w:ascii="Times New Roman" w:eastAsia="楷体_GB2312" w:hAnsi="Times New Roman" w:hint="eastAsia"/>
          <w:bCs/>
          <w:sz w:val="24"/>
          <w:szCs w:val="24"/>
        </w:rPr>
        <w:t>项目公司应当按本合同第</w:t>
      </w:r>
      <w:r>
        <w:rPr>
          <w:rFonts w:ascii="Times New Roman" w:eastAsia="楷体_GB2312" w:hAnsi="Times New Roman" w:hint="eastAsia"/>
          <w:bCs/>
          <w:sz w:val="24"/>
          <w:szCs w:val="24"/>
        </w:rPr>
        <w:t>6</w:t>
      </w:r>
      <w:r>
        <w:rPr>
          <w:rFonts w:ascii="Times New Roman" w:eastAsia="楷体_GB2312" w:hAnsi="Times New Roman"/>
          <w:bCs/>
          <w:sz w:val="24"/>
          <w:szCs w:val="24"/>
        </w:rPr>
        <w:t>.1</w:t>
      </w:r>
      <w:r>
        <w:rPr>
          <w:rFonts w:ascii="Times New Roman" w:eastAsia="楷体_GB2312" w:hAnsi="Times New Roman" w:hint="eastAsia"/>
          <w:bCs/>
          <w:sz w:val="24"/>
          <w:szCs w:val="24"/>
        </w:rPr>
        <w:t>条约定的合同类型进行分类，并将项目公司签署的全部合同进行统一登记，建立统一格式合同台账，详细登记项目公司所有已签订的合同，及现场监管掌握的合同履行情况。合同台账必备信息有：合同编号、合同名称、签约方、合同金额、结算金额、已付款情况、未付款情况、合同付款条件、洽商变更金额等。项目公司应于每个日历月</w:t>
      </w:r>
      <w:r>
        <w:rPr>
          <w:rFonts w:ascii="Times New Roman" w:eastAsia="楷体_GB2312" w:hAnsi="Times New Roman" w:hint="eastAsia"/>
          <w:bCs/>
          <w:sz w:val="24"/>
          <w:szCs w:val="24"/>
        </w:rPr>
        <w:t>10</w:t>
      </w:r>
      <w:r>
        <w:rPr>
          <w:rFonts w:ascii="Times New Roman" w:eastAsia="楷体_GB2312" w:hAnsi="Times New Roman" w:hint="eastAsia"/>
          <w:bCs/>
          <w:sz w:val="24"/>
          <w:szCs w:val="24"/>
        </w:rPr>
        <w:t>日前向甲方报送合同台账，并配合甲方、乙方和现场监管人员对标的项目工程建设和款项支付等情况进行核实。甲方、乙方</w:t>
      </w:r>
      <w:proofErr w:type="gramStart"/>
      <w:r>
        <w:rPr>
          <w:rFonts w:ascii="Times New Roman" w:eastAsia="楷体_GB2312" w:hAnsi="Times New Roman" w:hint="eastAsia"/>
          <w:bCs/>
          <w:sz w:val="24"/>
          <w:szCs w:val="24"/>
        </w:rPr>
        <w:t>及庚方均有权</w:t>
      </w:r>
      <w:proofErr w:type="gramEnd"/>
      <w:r>
        <w:rPr>
          <w:rFonts w:ascii="Times New Roman" w:eastAsia="楷体_GB2312" w:hAnsi="Times New Roman" w:hint="eastAsia"/>
          <w:bCs/>
          <w:sz w:val="24"/>
          <w:szCs w:val="24"/>
        </w:rPr>
        <w:t>随时查</w:t>
      </w:r>
      <w:r>
        <w:rPr>
          <w:rFonts w:ascii="Times New Roman" w:eastAsia="楷体_GB2312" w:hAnsi="Times New Roman" w:hint="eastAsia"/>
          <w:bCs/>
          <w:sz w:val="24"/>
          <w:szCs w:val="24"/>
        </w:rPr>
        <w:lastRenderedPageBreak/>
        <w:t>看被监管方已签署合同的原件。</w:t>
      </w:r>
    </w:p>
    <w:p w14:paraId="0C4946D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Cs/>
          <w:sz w:val="24"/>
          <w:szCs w:val="24"/>
        </w:rPr>
      </w:pPr>
      <w:r>
        <w:rPr>
          <w:rFonts w:ascii="Times New Roman" w:eastAsia="楷体_GB2312" w:hAnsi="Times New Roman" w:hint="eastAsia"/>
          <w:bCs/>
          <w:sz w:val="24"/>
          <w:szCs w:val="24"/>
        </w:rPr>
        <w:t>6</w:t>
      </w:r>
      <w:r>
        <w:rPr>
          <w:rFonts w:ascii="Times New Roman" w:eastAsia="楷体_GB2312" w:hAnsi="Times New Roman"/>
          <w:bCs/>
          <w:sz w:val="24"/>
          <w:szCs w:val="24"/>
        </w:rPr>
        <w:t>.3</w:t>
      </w:r>
      <w:r>
        <w:rPr>
          <w:rFonts w:ascii="Times New Roman" w:eastAsia="楷体_GB2312" w:hAnsi="Times New Roman"/>
          <w:bCs/>
          <w:sz w:val="24"/>
          <w:szCs w:val="24"/>
        </w:rPr>
        <w:tab/>
      </w:r>
      <w:r>
        <w:rPr>
          <w:rFonts w:ascii="Times New Roman" w:eastAsia="楷体_GB2312" w:hAnsi="Times New Roman" w:hint="eastAsia"/>
          <w:bCs/>
          <w:sz w:val="24"/>
          <w:szCs w:val="24"/>
        </w:rPr>
        <w:t>现场监管人员负责对被监管方签署的所有合同进行审核（审查内容包括但不限于合同条款是否符合国家法律法规的规定、是否符合商业惯例、材料依据是否充分、内部审批程序是否完整、价格条款是否公允、交易对手无瑕疵、资金支出是否符合资金计划要求、是否为标的项目相关的合同、对标的项目运行是否有重要不利影响以及是否存在损害甲方利益的条款），并确保被监管方所收取款项的账户均为本合同项下监管账户，并于现场监管人员入驻被监管方之日起【</w:t>
      </w:r>
      <w:r>
        <w:rPr>
          <w:rFonts w:ascii="Times New Roman" w:eastAsia="楷体_GB2312" w:hAnsi="Times New Roman" w:hint="eastAsia"/>
          <w:bCs/>
          <w:sz w:val="24"/>
          <w:szCs w:val="24"/>
        </w:rPr>
        <w:t>1</w:t>
      </w:r>
      <w:r>
        <w:rPr>
          <w:rFonts w:ascii="Times New Roman" w:eastAsia="楷体_GB2312" w:hAnsi="Times New Roman"/>
          <w:bCs/>
          <w:sz w:val="24"/>
          <w:szCs w:val="24"/>
        </w:rPr>
        <w:t>0</w:t>
      </w:r>
      <w:r>
        <w:rPr>
          <w:rFonts w:ascii="Times New Roman" w:eastAsia="楷体_GB2312" w:hAnsi="Times New Roman" w:hint="eastAsia"/>
          <w:bCs/>
          <w:sz w:val="24"/>
          <w:szCs w:val="24"/>
        </w:rPr>
        <w:t>】日内将审核结果书面告知甲方。现场监管人员应留存相关合同复印件并与正本核对无误后进行登记、备案，并对于被监管方签署的所有合同的执行情况进行监督。</w:t>
      </w:r>
    </w:p>
    <w:p w14:paraId="72309B9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Cs/>
          <w:sz w:val="24"/>
          <w:szCs w:val="24"/>
        </w:rPr>
      </w:pPr>
      <w:r>
        <w:rPr>
          <w:rFonts w:ascii="Times New Roman" w:eastAsia="楷体_GB2312" w:hAnsi="Times New Roman" w:hint="eastAsia"/>
          <w:bCs/>
          <w:sz w:val="24"/>
          <w:szCs w:val="24"/>
        </w:rPr>
        <w:t>6</w:t>
      </w:r>
      <w:r>
        <w:rPr>
          <w:rFonts w:ascii="Times New Roman" w:eastAsia="楷体_GB2312" w:hAnsi="Times New Roman"/>
          <w:bCs/>
          <w:sz w:val="24"/>
          <w:szCs w:val="24"/>
        </w:rPr>
        <w:t>.4</w:t>
      </w:r>
      <w:r>
        <w:rPr>
          <w:rFonts w:ascii="Times New Roman" w:eastAsia="楷体_GB2312" w:hAnsi="Times New Roman"/>
          <w:bCs/>
          <w:sz w:val="24"/>
          <w:szCs w:val="24"/>
        </w:rPr>
        <w:tab/>
      </w:r>
      <w:r>
        <w:rPr>
          <w:rFonts w:ascii="Times New Roman" w:eastAsia="楷体_GB2312" w:hAnsi="Times New Roman" w:hint="eastAsia"/>
          <w:bCs/>
          <w:sz w:val="24"/>
          <w:szCs w:val="24"/>
        </w:rPr>
        <w:t>就被监管方</w:t>
      </w:r>
      <w:proofErr w:type="gramStart"/>
      <w:r>
        <w:rPr>
          <w:rFonts w:ascii="Times New Roman" w:eastAsia="楷体_GB2312" w:hAnsi="Times New Roman" w:hint="eastAsia"/>
          <w:bCs/>
          <w:sz w:val="24"/>
          <w:szCs w:val="24"/>
        </w:rPr>
        <w:t>拟对外</w:t>
      </w:r>
      <w:proofErr w:type="gramEnd"/>
      <w:r>
        <w:rPr>
          <w:rFonts w:ascii="Times New Roman" w:eastAsia="楷体_GB2312" w:hAnsi="Times New Roman" w:hint="eastAsia"/>
          <w:bCs/>
          <w:sz w:val="24"/>
          <w:szCs w:val="24"/>
        </w:rPr>
        <w:t>签署的负有支付义务的合同而言，被监管方经办人员应将该等合同文件发送至甲方指定董事处审查，审查无误后方能用印。</w:t>
      </w:r>
      <w:proofErr w:type="gramStart"/>
      <w:r>
        <w:rPr>
          <w:rFonts w:ascii="Times New Roman" w:eastAsia="楷体_GB2312" w:hAnsi="Times New Roman" w:hint="eastAsia"/>
          <w:bCs/>
          <w:sz w:val="24"/>
          <w:szCs w:val="24"/>
        </w:rPr>
        <w:t>拟签署</w:t>
      </w:r>
      <w:proofErr w:type="gramEnd"/>
      <w:r>
        <w:rPr>
          <w:rFonts w:ascii="Times New Roman" w:eastAsia="楷体_GB2312" w:hAnsi="Times New Roman" w:hint="eastAsia"/>
          <w:bCs/>
          <w:sz w:val="24"/>
          <w:szCs w:val="24"/>
        </w:rPr>
        <w:t>合同中涉及资金使用的内容应与标的项目工程建设进度相一致，且合同项下资金的使用符合市场公允价值。</w:t>
      </w:r>
    </w:p>
    <w:p w14:paraId="4DCF0EF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Cs/>
          <w:sz w:val="24"/>
          <w:szCs w:val="24"/>
        </w:rPr>
      </w:pPr>
      <w:r>
        <w:rPr>
          <w:rFonts w:ascii="Times New Roman" w:eastAsia="楷体_GB2312" w:hAnsi="Times New Roman"/>
          <w:bCs/>
          <w:sz w:val="24"/>
          <w:szCs w:val="24"/>
        </w:rPr>
        <w:t>6.5</w:t>
      </w:r>
      <w:r>
        <w:rPr>
          <w:rFonts w:ascii="Times New Roman" w:eastAsia="楷体_GB2312" w:hAnsi="Times New Roman"/>
          <w:bCs/>
          <w:sz w:val="24"/>
          <w:szCs w:val="24"/>
        </w:rPr>
        <w:tab/>
      </w:r>
      <w:r>
        <w:rPr>
          <w:rFonts w:ascii="Times New Roman" w:eastAsia="楷体_GB2312" w:hAnsi="Times New Roman" w:hint="eastAsia"/>
          <w:bCs/>
          <w:sz w:val="24"/>
          <w:szCs w:val="24"/>
        </w:rPr>
        <w:t>除本合同另有约定外，被监管方对外签署合同时，应当由被监管方经办人员发起用印流程，并经现场监管人员及甲方董事处审核确认后，方可加盖被监管方公章、法人章、合同专用章。</w:t>
      </w:r>
    </w:p>
    <w:p w14:paraId="1B7DB1E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Cs/>
          <w:sz w:val="24"/>
          <w:szCs w:val="24"/>
        </w:rPr>
      </w:pPr>
      <w:r>
        <w:rPr>
          <w:rFonts w:ascii="Times New Roman" w:eastAsia="楷体_GB2312" w:hAnsi="Times New Roman" w:hint="eastAsia"/>
          <w:bCs/>
          <w:sz w:val="24"/>
          <w:szCs w:val="24"/>
        </w:rPr>
        <w:t>6</w:t>
      </w:r>
      <w:r>
        <w:rPr>
          <w:rFonts w:ascii="Times New Roman" w:eastAsia="楷体_GB2312" w:hAnsi="Times New Roman"/>
          <w:bCs/>
          <w:sz w:val="24"/>
          <w:szCs w:val="24"/>
        </w:rPr>
        <w:t>.6</w:t>
      </w:r>
      <w:r>
        <w:rPr>
          <w:rFonts w:ascii="Times New Roman" w:eastAsia="楷体_GB2312" w:hAnsi="Times New Roman"/>
          <w:bCs/>
          <w:sz w:val="24"/>
          <w:szCs w:val="24"/>
        </w:rPr>
        <w:tab/>
      </w:r>
      <w:r>
        <w:rPr>
          <w:rFonts w:ascii="Times New Roman" w:eastAsia="楷体_GB2312" w:hAnsi="Times New Roman" w:hint="eastAsia"/>
          <w:bCs/>
          <w:sz w:val="24"/>
          <w:szCs w:val="24"/>
        </w:rPr>
        <w:t>被监管方签署的所有合同原件应当及时归档，并按本合同项下第四条印鉴</w:t>
      </w:r>
      <w:r>
        <w:rPr>
          <w:rFonts w:ascii="Times New Roman" w:eastAsia="楷体_GB2312" w:hAnsi="Times New Roman" w:hint="eastAsia"/>
          <w:bCs/>
          <w:sz w:val="24"/>
          <w:szCs w:val="24"/>
        </w:rPr>
        <w:t>/</w:t>
      </w:r>
      <w:r>
        <w:rPr>
          <w:rFonts w:ascii="Times New Roman" w:eastAsia="楷体_GB2312" w:hAnsi="Times New Roman" w:hint="eastAsia"/>
          <w:bCs/>
          <w:sz w:val="24"/>
          <w:szCs w:val="24"/>
        </w:rPr>
        <w:t>证照的保管方法予以保管。本合同项下监管期间内签署的所有合同均需留存扫描件。</w:t>
      </w:r>
    </w:p>
    <w:p w14:paraId="401FEB00" w14:textId="77777777" w:rsidR="00CC4C43" w:rsidRDefault="00CC4C43">
      <w:pPr>
        <w:adjustRightInd w:val="0"/>
        <w:snapToGrid w:val="0"/>
        <w:spacing w:afterLines="20" w:after="62" w:line="288" w:lineRule="auto"/>
        <w:ind w:left="648" w:hangingChars="270" w:hanging="648"/>
        <w:rPr>
          <w:rFonts w:ascii="Times New Roman" w:eastAsia="楷体_GB2312" w:hAnsi="Times New Roman"/>
          <w:bCs/>
          <w:sz w:val="24"/>
          <w:szCs w:val="24"/>
        </w:rPr>
      </w:pPr>
    </w:p>
    <w:p w14:paraId="23873C4A"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hint="eastAsia"/>
          <w:b/>
          <w:sz w:val="24"/>
          <w:szCs w:val="24"/>
        </w:rPr>
        <w:t>第七条：</w:t>
      </w:r>
      <w:r>
        <w:rPr>
          <w:rFonts w:ascii="Times New Roman" w:eastAsia="楷体_GB2312" w:hAnsi="Times New Roman"/>
          <w:b/>
          <w:sz w:val="24"/>
          <w:szCs w:val="24"/>
        </w:rPr>
        <w:t>其他监管规则</w:t>
      </w:r>
    </w:p>
    <w:p w14:paraId="16209BD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7.1</w:t>
      </w:r>
      <w:r>
        <w:rPr>
          <w:rFonts w:ascii="Times New Roman" w:eastAsia="楷体_GB2312" w:hAnsi="Times New Roman"/>
          <w:sz w:val="24"/>
          <w:szCs w:val="24"/>
        </w:rPr>
        <w:tab/>
      </w:r>
      <w:proofErr w:type="gramStart"/>
      <w:r>
        <w:rPr>
          <w:rFonts w:ascii="Times New Roman" w:eastAsia="楷体_GB2312" w:hAnsi="Times New Roman"/>
          <w:sz w:val="24"/>
          <w:szCs w:val="24"/>
        </w:rPr>
        <w:t>庚方认为</w:t>
      </w:r>
      <w:proofErr w:type="gramEnd"/>
      <w:r>
        <w:rPr>
          <w:rFonts w:ascii="Times New Roman" w:eastAsia="楷体_GB2312" w:hAnsi="Times New Roman"/>
          <w:sz w:val="24"/>
          <w:szCs w:val="24"/>
        </w:rPr>
        <w:t>有重大风险的</w:t>
      </w:r>
      <w:r>
        <w:rPr>
          <w:rFonts w:ascii="Times New Roman" w:eastAsia="楷体_GB2312" w:hAnsi="Times New Roman" w:hint="eastAsia"/>
          <w:sz w:val="24"/>
          <w:szCs w:val="24"/>
        </w:rPr>
        <w:t>事项</w:t>
      </w:r>
      <w:r>
        <w:rPr>
          <w:rFonts w:ascii="Times New Roman" w:eastAsia="楷体_GB2312" w:hAnsi="Times New Roman"/>
          <w:sz w:val="24"/>
          <w:szCs w:val="24"/>
        </w:rPr>
        <w:t>，</w:t>
      </w:r>
      <w:proofErr w:type="gramStart"/>
      <w:r>
        <w:rPr>
          <w:rFonts w:ascii="Times New Roman" w:eastAsia="楷体_GB2312" w:hAnsi="Times New Roman"/>
          <w:sz w:val="24"/>
          <w:szCs w:val="24"/>
        </w:rPr>
        <w:t>应第一时间</w:t>
      </w:r>
      <w:proofErr w:type="gramEnd"/>
      <w:r>
        <w:rPr>
          <w:rFonts w:ascii="Times New Roman" w:eastAsia="楷体_GB2312" w:hAnsi="Times New Roman"/>
          <w:sz w:val="24"/>
          <w:szCs w:val="24"/>
        </w:rPr>
        <w:t>向甲方</w:t>
      </w:r>
      <w:r>
        <w:rPr>
          <w:rFonts w:ascii="Times New Roman" w:eastAsia="楷体_GB2312" w:hAnsi="Times New Roman" w:hint="eastAsia"/>
          <w:sz w:val="24"/>
          <w:szCs w:val="24"/>
        </w:rPr>
        <w:t>和乙方</w:t>
      </w:r>
      <w:r>
        <w:rPr>
          <w:rFonts w:ascii="Times New Roman" w:eastAsia="楷体_GB2312" w:hAnsi="Times New Roman"/>
          <w:sz w:val="24"/>
          <w:szCs w:val="24"/>
        </w:rPr>
        <w:t>进行书面汇报，经甲方书面审核后</w:t>
      </w:r>
      <w:r>
        <w:rPr>
          <w:rFonts w:ascii="Times New Roman" w:eastAsia="楷体_GB2312" w:hAnsi="Times New Roman" w:hint="eastAsia"/>
          <w:sz w:val="24"/>
          <w:szCs w:val="24"/>
        </w:rPr>
        <w:t>被监管方、庚方才可</w:t>
      </w:r>
      <w:r>
        <w:rPr>
          <w:rFonts w:ascii="Times New Roman" w:eastAsia="楷体_GB2312" w:hAnsi="Times New Roman"/>
          <w:sz w:val="24"/>
          <w:szCs w:val="24"/>
        </w:rPr>
        <w:t>执行，且甲方有权利不予通过。现场监管人员如发现或知悉</w:t>
      </w:r>
      <w:r>
        <w:rPr>
          <w:rFonts w:ascii="Times New Roman" w:eastAsia="楷体_GB2312" w:hAnsi="Times New Roman" w:hint="eastAsia"/>
          <w:sz w:val="24"/>
          <w:szCs w:val="24"/>
        </w:rPr>
        <w:t>被监管方</w:t>
      </w:r>
      <w:r>
        <w:rPr>
          <w:rFonts w:ascii="Times New Roman" w:eastAsia="楷体_GB2312" w:hAnsi="Times New Roman"/>
          <w:sz w:val="24"/>
          <w:szCs w:val="24"/>
        </w:rPr>
        <w:t>发生审批权限中所列各重大事项以及了解到</w:t>
      </w:r>
      <w:r>
        <w:rPr>
          <w:rFonts w:ascii="Times New Roman" w:eastAsia="楷体_GB2312" w:hAnsi="Times New Roman" w:hint="eastAsia"/>
          <w:sz w:val="24"/>
          <w:szCs w:val="24"/>
        </w:rPr>
        <w:t>被监管方</w:t>
      </w:r>
      <w:r>
        <w:rPr>
          <w:rFonts w:ascii="Times New Roman" w:eastAsia="楷体_GB2312" w:hAnsi="Times New Roman"/>
          <w:sz w:val="24"/>
          <w:szCs w:val="24"/>
        </w:rPr>
        <w:t>可能出现异常或现场监管人员认为有必要汇报的各种信息，应立即向监管公司和委托公司</w:t>
      </w:r>
      <w:r>
        <w:rPr>
          <w:rFonts w:ascii="Times New Roman" w:eastAsia="楷体_GB2312" w:hAnsi="Times New Roman" w:hint="eastAsia"/>
          <w:sz w:val="24"/>
          <w:szCs w:val="24"/>
        </w:rPr>
        <w:t>、合伙企业</w:t>
      </w:r>
      <w:r>
        <w:rPr>
          <w:rFonts w:ascii="Times New Roman" w:eastAsia="楷体_GB2312" w:hAnsi="Times New Roman"/>
          <w:sz w:val="24"/>
          <w:szCs w:val="24"/>
        </w:rPr>
        <w:t>汇报。</w:t>
      </w:r>
    </w:p>
    <w:p w14:paraId="7C06EFA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7.2</w:t>
      </w:r>
      <w:r>
        <w:rPr>
          <w:rFonts w:ascii="Times New Roman" w:eastAsia="楷体_GB2312" w:hAnsi="Times New Roman"/>
          <w:sz w:val="24"/>
          <w:szCs w:val="24"/>
        </w:rPr>
        <w:tab/>
      </w:r>
      <w:r>
        <w:rPr>
          <w:rFonts w:ascii="Times New Roman" w:eastAsia="楷体_GB2312" w:hAnsi="Times New Roman" w:hint="eastAsia"/>
          <w:sz w:val="24"/>
          <w:szCs w:val="24"/>
        </w:rPr>
        <w:t>被监管方应当按照本协议约定的时间、若其他条款未约定则至少按季度配合甲方、乙方</w:t>
      </w:r>
      <w:proofErr w:type="gramStart"/>
      <w:r>
        <w:rPr>
          <w:rFonts w:ascii="Times New Roman" w:eastAsia="楷体_GB2312" w:hAnsi="Times New Roman" w:hint="eastAsia"/>
          <w:sz w:val="24"/>
          <w:szCs w:val="24"/>
        </w:rPr>
        <w:t>及庚方提供</w:t>
      </w:r>
      <w:proofErr w:type="gramEnd"/>
      <w:r>
        <w:rPr>
          <w:rFonts w:ascii="Times New Roman" w:eastAsia="楷体_GB2312" w:hAnsi="Times New Roman" w:hint="eastAsia"/>
          <w:sz w:val="24"/>
          <w:szCs w:val="24"/>
        </w:rPr>
        <w:t>相关资料，包括但不限于企业全套财务报表、不得向的建设进度、销售进度、</w:t>
      </w:r>
      <w:proofErr w:type="gramStart"/>
      <w:r>
        <w:rPr>
          <w:rFonts w:ascii="Times New Roman" w:eastAsia="楷体_GB2312" w:hAnsi="Times New Roman" w:hint="eastAsia"/>
          <w:sz w:val="24"/>
          <w:szCs w:val="24"/>
        </w:rPr>
        <w:t>网签登记</w:t>
      </w:r>
      <w:proofErr w:type="gramEnd"/>
      <w:r>
        <w:rPr>
          <w:rFonts w:ascii="Times New Roman" w:eastAsia="楷体_GB2312" w:hAnsi="Times New Roman" w:hint="eastAsia"/>
          <w:sz w:val="24"/>
          <w:szCs w:val="24"/>
        </w:rPr>
        <w:t>情况及销售回款流水等一切项目监管所需的必要资料。被监管方</w:t>
      </w:r>
      <w:r>
        <w:rPr>
          <w:rFonts w:ascii="Times New Roman" w:eastAsia="楷体_GB2312" w:hAnsi="Times New Roman"/>
          <w:sz w:val="24"/>
          <w:szCs w:val="24"/>
        </w:rPr>
        <w:t>应配合甲方</w:t>
      </w:r>
      <w:r>
        <w:rPr>
          <w:rFonts w:ascii="Times New Roman" w:eastAsia="楷体_GB2312" w:hAnsi="Times New Roman" w:hint="eastAsia"/>
          <w:sz w:val="24"/>
          <w:szCs w:val="24"/>
        </w:rPr>
        <w:t>、乙方</w:t>
      </w:r>
      <w:proofErr w:type="gramStart"/>
      <w:r>
        <w:rPr>
          <w:rFonts w:ascii="Times New Roman" w:eastAsia="楷体_GB2312" w:hAnsi="Times New Roman"/>
          <w:sz w:val="24"/>
          <w:szCs w:val="24"/>
        </w:rPr>
        <w:t>及庚方对</w:t>
      </w:r>
      <w:proofErr w:type="gramEnd"/>
      <w:r>
        <w:rPr>
          <w:rFonts w:ascii="Times New Roman" w:eastAsia="楷体_GB2312" w:hAnsi="Times New Roman" w:hint="eastAsia"/>
          <w:sz w:val="24"/>
          <w:szCs w:val="24"/>
        </w:rPr>
        <w:t>标的项目</w:t>
      </w:r>
      <w:r>
        <w:rPr>
          <w:rFonts w:ascii="Times New Roman" w:eastAsia="楷体_GB2312" w:hAnsi="Times New Roman"/>
          <w:sz w:val="24"/>
          <w:szCs w:val="24"/>
        </w:rPr>
        <w:t>的开发、建设情况进行检查，无条件允许及配合甲方</w:t>
      </w:r>
      <w:r>
        <w:rPr>
          <w:rFonts w:ascii="Times New Roman" w:eastAsia="楷体_GB2312" w:hAnsi="Times New Roman" w:hint="eastAsia"/>
          <w:sz w:val="24"/>
          <w:szCs w:val="24"/>
        </w:rPr>
        <w:t>、乙方</w:t>
      </w:r>
      <w:r>
        <w:rPr>
          <w:rFonts w:ascii="Times New Roman" w:eastAsia="楷体_GB2312" w:hAnsi="Times New Roman"/>
          <w:sz w:val="24"/>
          <w:szCs w:val="24"/>
        </w:rPr>
        <w:t>、</w:t>
      </w:r>
      <w:proofErr w:type="gramStart"/>
      <w:r>
        <w:rPr>
          <w:rFonts w:ascii="Times New Roman" w:eastAsia="楷体_GB2312" w:hAnsi="Times New Roman"/>
          <w:sz w:val="24"/>
          <w:szCs w:val="24"/>
        </w:rPr>
        <w:t>庚方查阅</w:t>
      </w:r>
      <w:proofErr w:type="gramEnd"/>
      <w:r>
        <w:rPr>
          <w:rFonts w:ascii="Times New Roman" w:eastAsia="楷体_GB2312" w:hAnsi="Times New Roman"/>
          <w:sz w:val="24"/>
          <w:szCs w:val="24"/>
        </w:rPr>
        <w:t>企业预售、销售合同、收费收据及发票、销售清单及月报、财务报表及银行对账单等资料，以及项目建设过程中</w:t>
      </w:r>
      <w:r>
        <w:rPr>
          <w:rFonts w:ascii="Times New Roman" w:eastAsia="楷体_GB2312" w:hAnsi="Times New Roman" w:hint="eastAsia"/>
          <w:sz w:val="24"/>
          <w:szCs w:val="24"/>
        </w:rPr>
        <w:t>甲方、乙方、</w:t>
      </w:r>
      <w:proofErr w:type="gramStart"/>
      <w:r>
        <w:rPr>
          <w:rFonts w:ascii="Times New Roman" w:eastAsia="楷体_GB2312" w:hAnsi="Times New Roman"/>
          <w:sz w:val="24"/>
          <w:szCs w:val="24"/>
        </w:rPr>
        <w:t>庚方认为</w:t>
      </w:r>
      <w:proofErr w:type="gramEnd"/>
      <w:r>
        <w:rPr>
          <w:rFonts w:ascii="Times New Roman" w:eastAsia="楷体_GB2312" w:hAnsi="Times New Roman"/>
          <w:sz w:val="24"/>
          <w:szCs w:val="24"/>
        </w:rPr>
        <w:t>需要查阅的工程资料，安排甲方</w:t>
      </w:r>
      <w:r>
        <w:rPr>
          <w:rFonts w:ascii="Times New Roman" w:eastAsia="楷体_GB2312" w:hAnsi="Times New Roman" w:hint="eastAsia"/>
          <w:sz w:val="24"/>
          <w:szCs w:val="24"/>
        </w:rPr>
        <w:t>、乙方</w:t>
      </w:r>
      <w:r>
        <w:rPr>
          <w:rFonts w:ascii="Times New Roman" w:eastAsia="楷体_GB2312" w:hAnsi="Times New Roman"/>
          <w:sz w:val="24"/>
          <w:szCs w:val="24"/>
        </w:rPr>
        <w:t>、</w:t>
      </w:r>
      <w:proofErr w:type="gramStart"/>
      <w:r>
        <w:rPr>
          <w:rFonts w:ascii="Times New Roman" w:eastAsia="楷体_GB2312" w:hAnsi="Times New Roman"/>
          <w:sz w:val="24"/>
          <w:szCs w:val="24"/>
        </w:rPr>
        <w:t>庚方认为</w:t>
      </w:r>
      <w:proofErr w:type="gramEnd"/>
      <w:r>
        <w:rPr>
          <w:rFonts w:ascii="Times New Roman" w:eastAsia="楷体_GB2312" w:hAnsi="Times New Roman"/>
          <w:sz w:val="24"/>
          <w:szCs w:val="24"/>
        </w:rPr>
        <w:t>需要参加的工程会议，不得以任何形式干扰或影响实施本合同；甲方</w:t>
      </w:r>
      <w:r>
        <w:rPr>
          <w:rFonts w:ascii="Times New Roman" w:eastAsia="楷体_GB2312" w:hAnsi="Times New Roman" w:hint="eastAsia"/>
          <w:sz w:val="24"/>
          <w:szCs w:val="24"/>
        </w:rPr>
        <w:t>、乙方</w:t>
      </w:r>
      <w:r>
        <w:rPr>
          <w:rFonts w:ascii="Times New Roman" w:eastAsia="楷体_GB2312" w:hAnsi="Times New Roman"/>
          <w:sz w:val="24"/>
          <w:szCs w:val="24"/>
        </w:rPr>
        <w:t>、</w:t>
      </w:r>
      <w:proofErr w:type="gramStart"/>
      <w:r>
        <w:rPr>
          <w:rFonts w:ascii="Times New Roman" w:eastAsia="楷体_GB2312" w:hAnsi="Times New Roman"/>
          <w:sz w:val="24"/>
          <w:szCs w:val="24"/>
        </w:rPr>
        <w:t>庚方有权</w:t>
      </w:r>
      <w:proofErr w:type="gramEnd"/>
      <w:r>
        <w:rPr>
          <w:rFonts w:ascii="Times New Roman" w:eastAsia="楷体_GB2312" w:hAnsi="Times New Roman"/>
          <w:sz w:val="24"/>
          <w:szCs w:val="24"/>
        </w:rPr>
        <w:t>协调</w:t>
      </w:r>
      <w:r>
        <w:rPr>
          <w:rFonts w:ascii="Times New Roman" w:eastAsia="楷体_GB2312" w:hAnsi="Times New Roman" w:hint="eastAsia"/>
          <w:sz w:val="24"/>
          <w:szCs w:val="24"/>
        </w:rPr>
        <w:t>被监管方</w:t>
      </w:r>
      <w:r>
        <w:rPr>
          <w:rFonts w:ascii="Times New Roman" w:eastAsia="楷体_GB2312" w:hAnsi="Times New Roman"/>
          <w:sz w:val="24"/>
          <w:szCs w:val="24"/>
        </w:rPr>
        <w:t>并由</w:t>
      </w:r>
      <w:r>
        <w:rPr>
          <w:rFonts w:ascii="Times New Roman" w:eastAsia="楷体_GB2312" w:hAnsi="Times New Roman" w:hint="eastAsia"/>
          <w:sz w:val="24"/>
          <w:szCs w:val="24"/>
        </w:rPr>
        <w:t>被监管方</w:t>
      </w:r>
      <w:r>
        <w:rPr>
          <w:rFonts w:ascii="Times New Roman" w:eastAsia="楷体_GB2312" w:hAnsi="Times New Roman"/>
          <w:sz w:val="24"/>
          <w:szCs w:val="24"/>
        </w:rPr>
        <w:t>安排</w:t>
      </w:r>
      <w:r>
        <w:rPr>
          <w:rFonts w:ascii="Times New Roman" w:eastAsia="楷体_GB2312" w:hAnsi="Times New Roman"/>
          <w:sz w:val="24"/>
          <w:szCs w:val="24"/>
        </w:rPr>
        <w:lastRenderedPageBreak/>
        <w:t>上述未列明的、实施本合同所需的其它工作。</w:t>
      </w:r>
    </w:p>
    <w:p w14:paraId="3124B92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7.3</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庚方委派</w:t>
      </w:r>
      <w:proofErr w:type="gramEnd"/>
      <w:r>
        <w:rPr>
          <w:rFonts w:ascii="Times New Roman" w:eastAsia="楷体_GB2312" w:hAnsi="Times New Roman" w:hint="eastAsia"/>
          <w:sz w:val="24"/>
          <w:szCs w:val="24"/>
        </w:rPr>
        <w:t>的</w:t>
      </w:r>
      <w:r>
        <w:rPr>
          <w:rFonts w:ascii="Times New Roman" w:eastAsia="楷体_GB2312" w:hAnsi="Times New Roman"/>
          <w:sz w:val="24"/>
          <w:szCs w:val="24"/>
        </w:rPr>
        <w:t>现场监管人员应于每周</w:t>
      </w:r>
      <w:r>
        <w:rPr>
          <w:rFonts w:ascii="Times New Roman" w:eastAsia="楷体_GB2312" w:hAnsi="Times New Roman" w:hint="eastAsia"/>
          <w:sz w:val="24"/>
          <w:szCs w:val="24"/>
        </w:rPr>
        <w:t>五</w:t>
      </w:r>
      <w:r>
        <w:rPr>
          <w:rFonts w:ascii="Times New Roman" w:eastAsia="楷体_GB2312" w:hAnsi="Times New Roman"/>
          <w:sz w:val="24"/>
          <w:szCs w:val="24"/>
        </w:rPr>
        <w:t>向监管公司和委托公司</w:t>
      </w:r>
      <w:r>
        <w:rPr>
          <w:rFonts w:ascii="Times New Roman" w:eastAsia="楷体_GB2312" w:hAnsi="Times New Roman" w:hint="eastAsia"/>
          <w:sz w:val="24"/>
          <w:szCs w:val="24"/>
        </w:rPr>
        <w:t>、合伙企业</w:t>
      </w:r>
      <w:r>
        <w:rPr>
          <w:rFonts w:ascii="Times New Roman" w:eastAsia="楷体_GB2312" w:hAnsi="Times New Roman"/>
          <w:sz w:val="24"/>
          <w:szCs w:val="24"/>
        </w:rPr>
        <w:t>提交</w:t>
      </w:r>
      <w:r>
        <w:rPr>
          <w:rFonts w:ascii="Times New Roman" w:eastAsia="楷体_GB2312" w:hAnsi="Times New Roman" w:hint="eastAsia"/>
          <w:sz w:val="24"/>
          <w:szCs w:val="24"/>
        </w:rPr>
        <w:t>上周五至本周四被监管方及标的</w:t>
      </w:r>
      <w:r>
        <w:rPr>
          <w:rFonts w:ascii="Times New Roman" w:eastAsia="楷体_GB2312" w:hAnsi="Times New Roman"/>
          <w:sz w:val="24"/>
          <w:szCs w:val="24"/>
        </w:rPr>
        <w:t>项目情况的书面报告</w:t>
      </w:r>
      <w:r>
        <w:rPr>
          <w:rFonts w:ascii="Times New Roman" w:eastAsia="楷体_GB2312" w:hAnsi="Times New Roman" w:hint="eastAsia"/>
          <w:sz w:val="24"/>
          <w:szCs w:val="24"/>
        </w:rPr>
        <w:t>，报告电子版可发至邮箱</w:t>
      </w:r>
      <w:r>
        <w:rPr>
          <w:rFonts w:ascii="Times New Roman" w:eastAsia="楷体_GB2312" w:hAnsi="Times New Roman"/>
          <w:sz w:val="24"/>
          <w:szCs w:val="24"/>
        </w:rPr>
        <w:t>zhoujiewu@ebtrust.com</w:t>
      </w:r>
      <w:r>
        <w:rPr>
          <w:rFonts w:ascii="Times New Roman" w:eastAsia="楷体_GB2312" w:hAnsi="Times New Roman" w:hint="eastAsia"/>
          <w:sz w:val="24"/>
          <w:szCs w:val="24"/>
        </w:rPr>
        <w:t>，（如遇节假日则相应顺延）</w:t>
      </w:r>
      <w:r>
        <w:rPr>
          <w:rFonts w:ascii="Times New Roman" w:eastAsia="楷体_GB2312" w:hAnsi="Times New Roman"/>
          <w:sz w:val="24"/>
          <w:szCs w:val="24"/>
        </w:rPr>
        <w:t>，报告内容包括：证照取得情况、预售许可证取得情况、合同签署及支付情况、工程</w:t>
      </w:r>
      <w:r>
        <w:rPr>
          <w:rFonts w:ascii="Times New Roman" w:eastAsia="楷体_GB2312" w:hAnsi="Times New Roman" w:hint="eastAsia"/>
          <w:sz w:val="24"/>
          <w:szCs w:val="24"/>
        </w:rPr>
        <w:t>建设进度</w:t>
      </w:r>
      <w:r>
        <w:rPr>
          <w:rFonts w:ascii="Times New Roman" w:eastAsia="楷体_GB2312" w:hAnsi="Times New Roman"/>
          <w:sz w:val="24"/>
          <w:szCs w:val="24"/>
        </w:rPr>
        <w:t>、资金</w:t>
      </w:r>
      <w:r>
        <w:rPr>
          <w:rFonts w:ascii="Times New Roman" w:eastAsia="楷体_GB2312" w:hAnsi="Times New Roman" w:hint="eastAsia"/>
          <w:sz w:val="24"/>
          <w:szCs w:val="24"/>
        </w:rPr>
        <w:t>使用</w:t>
      </w:r>
      <w:r>
        <w:rPr>
          <w:rFonts w:ascii="Times New Roman" w:eastAsia="楷体_GB2312" w:hAnsi="Times New Roman"/>
          <w:sz w:val="24"/>
          <w:szCs w:val="24"/>
        </w:rPr>
        <w:t>情况、销售</w:t>
      </w:r>
      <w:r>
        <w:rPr>
          <w:rFonts w:ascii="Times New Roman" w:eastAsia="楷体_GB2312" w:hAnsi="Times New Roman" w:hint="eastAsia"/>
          <w:sz w:val="24"/>
          <w:szCs w:val="24"/>
        </w:rPr>
        <w:t>情况</w:t>
      </w:r>
      <w:r>
        <w:rPr>
          <w:rFonts w:ascii="Times New Roman" w:eastAsia="楷体_GB2312" w:hAnsi="Times New Roman"/>
          <w:sz w:val="24"/>
          <w:szCs w:val="24"/>
        </w:rPr>
        <w:t>、项目所在地政策及市场变化重大事项，重点汇报证照取得、工程进度、销售进度与计划的比对情况</w:t>
      </w:r>
      <w:r>
        <w:rPr>
          <w:rFonts w:ascii="Times New Roman" w:eastAsia="楷体_GB2312" w:hAnsi="Times New Roman" w:hint="eastAsia"/>
          <w:sz w:val="24"/>
          <w:szCs w:val="24"/>
        </w:rPr>
        <w:t>及资金使用情况</w:t>
      </w:r>
      <w:r>
        <w:rPr>
          <w:rFonts w:ascii="Times New Roman" w:eastAsia="楷体_GB2312" w:hAnsi="Times New Roman"/>
          <w:sz w:val="24"/>
          <w:szCs w:val="24"/>
        </w:rPr>
        <w:t>。同时另附合同台账、用印登记簿</w:t>
      </w:r>
      <w:r>
        <w:rPr>
          <w:rFonts w:ascii="Times New Roman" w:eastAsia="楷体_GB2312" w:hAnsi="Times New Roman" w:hint="eastAsia"/>
          <w:sz w:val="24"/>
          <w:szCs w:val="24"/>
        </w:rPr>
        <w:t>，并随附用款凭证复印件，由甲方和乙方检查是否合理。</w:t>
      </w:r>
    </w:p>
    <w:p w14:paraId="68DEEA5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7.4</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庚方委派</w:t>
      </w:r>
      <w:proofErr w:type="gramEnd"/>
      <w:r>
        <w:rPr>
          <w:rFonts w:ascii="Times New Roman" w:eastAsia="楷体_GB2312" w:hAnsi="Times New Roman" w:hint="eastAsia"/>
          <w:sz w:val="24"/>
          <w:szCs w:val="24"/>
        </w:rPr>
        <w:t>的</w:t>
      </w:r>
      <w:r>
        <w:rPr>
          <w:rFonts w:ascii="Times New Roman" w:eastAsia="楷体_GB2312" w:hAnsi="Times New Roman"/>
          <w:sz w:val="24"/>
          <w:szCs w:val="24"/>
        </w:rPr>
        <w:t>现场监管人员应于</w:t>
      </w:r>
      <w:r>
        <w:rPr>
          <w:rFonts w:ascii="Times New Roman" w:eastAsia="楷体_GB2312" w:hAnsi="Times New Roman" w:hint="eastAsia"/>
          <w:sz w:val="24"/>
          <w:szCs w:val="24"/>
        </w:rPr>
        <w:t>每月【</w:t>
      </w:r>
      <w:r>
        <w:rPr>
          <w:rFonts w:ascii="Times New Roman" w:eastAsia="楷体_GB2312" w:hAnsi="Times New Roman"/>
          <w:sz w:val="24"/>
          <w:szCs w:val="24"/>
        </w:rPr>
        <w:t>10</w:t>
      </w:r>
      <w:r>
        <w:rPr>
          <w:rFonts w:ascii="Times New Roman" w:eastAsia="楷体_GB2312" w:hAnsi="Times New Roman" w:hint="eastAsia"/>
          <w:sz w:val="24"/>
          <w:szCs w:val="24"/>
        </w:rPr>
        <w:t>】日（如遇节假日则相应顺延）</w:t>
      </w:r>
      <w:r>
        <w:rPr>
          <w:rFonts w:ascii="Times New Roman" w:eastAsia="楷体_GB2312" w:hAnsi="Times New Roman"/>
          <w:sz w:val="24"/>
          <w:szCs w:val="24"/>
        </w:rPr>
        <w:t>前出具</w:t>
      </w:r>
      <w:r>
        <w:rPr>
          <w:rFonts w:ascii="Times New Roman" w:eastAsia="楷体_GB2312" w:hAnsi="Times New Roman" w:hint="eastAsia"/>
          <w:sz w:val="24"/>
          <w:szCs w:val="24"/>
        </w:rPr>
        <w:t>被监管方、标的</w:t>
      </w:r>
      <w:r>
        <w:rPr>
          <w:rFonts w:ascii="Times New Roman" w:eastAsia="楷体_GB2312" w:hAnsi="Times New Roman"/>
          <w:sz w:val="24"/>
          <w:szCs w:val="24"/>
        </w:rPr>
        <w:t>项目上月《监管月报》，报送监管公司和委托公司</w:t>
      </w:r>
      <w:r>
        <w:rPr>
          <w:rFonts w:ascii="Times New Roman" w:eastAsia="楷体_GB2312" w:hAnsi="Times New Roman" w:hint="eastAsia"/>
          <w:sz w:val="24"/>
          <w:szCs w:val="24"/>
        </w:rPr>
        <w:t>、合伙企业</w:t>
      </w:r>
      <w:r>
        <w:rPr>
          <w:rFonts w:ascii="Times New Roman" w:eastAsia="楷体_GB2312" w:hAnsi="Times New Roman"/>
          <w:sz w:val="24"/>
          <w:szCs w:val="24"/>
        </w:rPr>
        <w:t>，内容包括但不限于证照取得进度、工程进度及与计划比对、资金财务情况、销售及回款情况、市场情况、</w:t>
      </w:r>
      <w:r>
        <w:rPr>
          <w:rFonts w:ascii="Times New Roman" w:eastAsia="楷体_GB2312" w:hAnsi="Times New Roman" w:hint="eastAsia"/>
          <w:sz w:val="24"/>
          <w:szCs w:val="24"/>
        </w:rPr>
        <w:t>合同签署及支付情况、资金支付情况、开发贷款情况及</w:t>
      </w:r>
      <w:r>
        <w:rPr>
          <w:rFonts w:ascii="Times New Roman" w:eastAsia="楷体_GB2312" w:hAnsi="Times New Roman"/>
          <w:sz w:val="24"/>
          <w:szCs w:val="24"/>
        </w:rPr>
        <w:t>存在问题提示等，《监管月报》需提交</w:t>
      </w:r>
      <w:r>
        <w:rPr>
          <w:rFonts w:ascii="Times New Roman" w:eastAsia="楷体_GB2312" w:hAnsi="Times New Roman"/>
          <w:sz w:val="24"/>
          <w:szCs w:val="24"/>
        </w:rPr>
        <w:t>2</w:t>
      </w:r>
      <w:r>
        <w:rPr>
          <w:rFonts w:ascii="Times New Roman" w:eastAsia="楷体_GB2312" w:hAnsi="Times New Roman"/>
          <w:sz w:val="24"/>
          <w:szCs w:val="24"/>
        </w:rPr>
        <w:t>份加盖公章纸质报告。</w:t>
      </w:r>
    </w:p>
    <w:p w14:paraId="4AD13D7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7.5</w:t>
      </w:r>
      <w:r>
        <w:rPr>
          <w:rFonts w:ascii="Times New Roman" w:eastAsia="楷体_GB2312" w:hAnsi="Times New Roman"/>
          <w:sz w:val="24"/>
          <w:szCs w:val="24"/>
        </w:rPr>
        <w:tab/>
      </w:r>
      <w:proofErr w:type="gramStart"/>
      <w:r>
        <w:rPr>
          <w:rFonts w:ascii="Times New Roman" w:eastAsia="楷体_GB2312" w:hAnsi="Times New Roman"/>
          <w:sz w:val="24"/>
          <w:szCs w:val="24"/>
        </w:rPr>
        <w:t>庚方应</w:t>
      </w:r>
      <w:proofErr w:type="gramEnd"/>
      <w:r>
        <w:rPr>
          <w:rFonts w:ascii="Times New Roman" w:eastAsia="楷体_GB2312" w:hAnsi="Times New Roman"/>
          <w:sz w:val="24"/>
          <w:szCs w:val="24"/>
        </w:rPr>
        <w:t>就</w:t>
      </w:r>
      <w:r>
        <w:rPr>
          <w:rFonts w:ascii="Times New Roman" w:eastAsia="楷体_GB2312" w:hAnsi="Times New Roman" w:hint="eastAsia"/>
          <w:sz w:val="24"/>
          <w:szCs w:val="24"/>
        </w:rPr>
        <w:t>被监管方</w:t>
      </w:r>
      <w:r>
        <w:rPr>
          <w:rFonts w:ascii="Times New Roman" w:eastAsia="楷体_GB2312" w:hAnsi="Times New Roman"/>
          <w:sz w:val="24"/>
          <w:szCs w:val="24"/>
        </w:rPr>
        <w:t>是否触发《</w:t>
      </w:r>
      <w:r>
        <w:rPr>
          <w:rFonts w:ascii="Times New Roman" w:eastAsia="楷体_GB2312" w:hAnsi="Times New Roman" w:hint="eastAsia"/>
          <w:sz w:val="24"/>
          <w:szCs w:val="24"/>
        </w:rPr>
        <w:t>合作框架协议》和《对赌协议》项下约定</w:t>
      </w:r>
      <w:r>
        <w:rPr>
          <w:rFonts w:ascii="Times New Roman" w:eastAsia="楷体_GB2312" w:hAnsi="Times New Roman"/>
          <w:sz w:val="24"/>
          <w:szCs w:val="24"/>
        </w:rPr>
        <w:t>的</w:t>
      </w:r>
      <w:r>
        <w:rPr>
          <w:rFonts w:ascii="Times New Roman" w:eastAsia="楷体_GB2312" w:hAnsi="Times New Roman" w:hint="eastAsia"/>
          <w:sz w:val="24"/>
          <w:szCs w:val="24"/>
        </w:rPr>
        <w:t>对</w:t>
      </w:r>
      <w:proofErr w:type="gramStart"/>
      <w:r>
        <w:rPr>
          <w:rFonts w:ascii="Times New Roman" w:eastAsia="楷体_GB2312" w:hAnsi="Times New Roman" w:hint="eastAsia"/>
          <w:sz w:val="24"/>
          <w:szCs w:val="24"/>
        </w:rPr>
        <w:t>赌条件</w:t>
      </w:r>
      <w:proofErr w:type="gramEnd"/>
      <w:r>
        <w:rPr>
          <w:rFonts w:ascii="Times New Roman" w:eastAsia="楷体_GB2312" w:hAnsi="Times New Roman" w:hint="eastAsia"/>
          <w:sz w:val="24"/>
          <w:szCs w:val="24"/>
        </w:rPr>
        <w:t>和模拟清算条件进行监管，且上述监管内容亦视为其在本合同项下的监管义务和职责之一，且应在相关情形出现时及时通知甲方和乙方。</w:t>
      </w:r>
      <w:proofErr w:type="gramStart"/>
      <w:r>
        <w:rPr>
          <w:rFonts w:ascii="Times New Roman" w:eastAsia="楷体_GB2312" w:hAnsi="Times New Roman" w:hint="eastAsia"/>
          <w:sz w:val="24"/>
          <w:szCs w:val="24"/>
        </w:rPr>
        <w:t>庚方委派</w:t>
      </w:r>
      <w:proofErr w:type="gramEnd"/>
      <w:r>
        <w:rPr>
          <w:rFonts w:ascii="Times New Roman" w:eastAsia="楷体_GB2312" w:hAnsi="Times New Roman" w:hint="eastAsia"/>
          <w:sz w:val="24"/>
          <w:szCs w:val="24"/>
        </w:rPr>
        <w:t>的现场监管人员应按照本协议约定向甲方、乙方和</w:t>
      </w:r>
      <w:proofErr w:type="gramStart"/>
      <w:r>
        <w:rPr>
          <w:rFonts w:ascii="Times New Roman" w:eastAsia="楷体_GB2312" w:hAnsi="Times New Roman" w:hint="eastAsia"/>
          <w:sz w:val="24"/>
          <w:szCs w:val="24"/>
        </w:rPr>
        <w:t>庚方</w:t>
      </w:r>
      <w:proofErr w:type="gramEnd"/>
      <w:r>
        <w:rPr>
          <w:rFonts w:ascii="Times New Roman" w:eastAsia="楷体_GB2312" w:hAnsi="Times New Roman" w:hint="eastAsia"/>
          <w:sz w:val="24"/>
          <w:szCs w:val="24"/>
        </w:rPr>
        <w:t>报送被监管主体账户资金使用情况的定期报告，包括对标的项目工程建设进度、销售回款进度、对</w:t>
      </w:r>
      <w:proofErr w:type="gramStart"/>
      <w:r>
        <w:rPr>
          <w:rFonts w:ascii="Times New Roman" w:eastAsia="楷体_GB2312" w:hAnsi="Times New Roman" w:hint="eastAsia"/>
          <w:sz w:val="24"/>
          <w:szCs w:val="24"/>
        </w:rPr>
        <w:t>赌条件</w:t>
      </w:r>
      <w:proofErr w:type="gramEnd"/>
      <w:r>
        <w:rPr>
          <w:rFonts w:ascii="Times New Roman" w:eastAsia="楷体_GB2312" w:hAnsi="Times New Roman" w:hint="eastAsia"/>
          <w:sz w:val="24"/>
          <w:szCs w:val="24"/>
        </w:rPr>
        <w:t>或模拟清算条件是否符合或触发的说明等。</w:t>
      </w:r>
    </w:p>
    <w:p w14:paraId="5830A02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7</w:t>
      </w:r>
      <w:r>
        <w:rPr>
          <w:rFonts w:ascii="Times New Roman" w:eastAsia="楷体_GB2312" w:hAnsi="Times New Roman"/>
          <w:sz w:val="24"/>
          <w:szCs w:val="24"/>
        </w:rPr>
        <w:t>.6</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庚方应</w:t>
      </w:r>
      <w:proofErr w:type="gramEnd"/>
      <w:r>
        <w:rPr>
          <w:rFonts w:ascii="Times New Roman" w:eastAsia="楷体_GB2312" w:hAnsi="Times New Roman" w:hint="eastAsia"/>
          <w:sz w:val="24"/>
          <w:szCs w:val="24"/>
        </w:rPr>
        <w:t>持续跟踪并定期</w:t>
      </w:r>
      <w:proofErr w:type="gramStart"/>
      <w:r>
        <w:rPr>
          <w:rFonts w:ascii="Times New Roman" w:eastAsia="楷体_GB2312" w:hAnsi="Times New Roman" w:hint="eastAsia"/>
          <w:sz w:val="24"/>
          <w:szCs w:val="24"/>
        </w:rPr>
        <w:t>报告融创房地产</w:t>
      </w:r>
      <w:proofErr w:type="gramEnd"/>
      <w:r>
        <w:rPr>
          <w:rFonts w:ascii="Times New Roman" w:eastAsia="楷体_GB2312" w:hAnsi="Times New Roman" w:hint="eastAsia"/>
          <w:sz w:val="24"/>
          <w:szCs w:val="24"/>
        </w:rPr>
        <w:t>集团有限公司发债评级、财务及经营状况，了解标的项目周边房地产市场情况、项目公司授信额度及融资渠道的变化，如发现问题，应及时向甲方投后管理部门和合伙企业汇报。</w:t>
      </w:r>
    </w:p>
    <w:p w14:paraId="5C7BE2E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 xml:space="preserve">7.7   </w:t>
      </w:r>
      <w:r>
        <w:rPr>
          <w:rFonts w:ascii="Times New Roman" w:eastAsia="楷体_GB2312" w:hAnsi="Times New Roman" w:hint="eastAsia"/>
          <w:sz w:val="24"/>
          <w:szCs w:val="24"/>
        </w:rPr>
        <w:t>项目公司申请开发贷的，需要事先征得甲方</w:t>
      </w:r>
      <w:r>
        <w:rPr>
          <w:rFonts w:ascii="Times New Roman" w:eastAsia="楷体_GB2312" w:hAnsi="Times New Roman"/>
          <w:sz w:val="24"/>
          <w:szCs w:val="24"/>
        </w:rPr>
        <w:t>的同意</w:t>
      </w:r>
      <w:r>
        <w:rPr>
          <w:rFonts w:ascii="Times New Roman" w:eastAsia="楷体_GB2312" w:hAnsi="Times New Roman" w:hint="eastAsia"/>
          <w:sz w:val="24"/>
          <w:szCs w:val="24"/>
        </w:rPr>
        <w:t>。甲方可阶段性配合办理开发贷，</w:t>
      </w:r>
      <w:r>
        <w:rPr>
          <w:rFonts w:ascii="Times New Roman" w:eastAsia="楷体_GB2312" w:hAnsi="Times New Roman"/>
          <w:sz w:val="24"/>
          <w:szCs w:val="24"/>
        </w:rPr>
        <w:t>如涉及</w:t>
      </w:r>
      <w:r>
        <w:rPr>
          <w:rFonts w:ascii="Times New Roman" w:eastAsia="楷体_GB2312" w:hAnsi="Times New Roman" w:hint="eastAsia"/>
          <w:sz w:val="24"/>
          <w:szCs w:val="24"/>
        </w:rPr>
        <w:t>股权代持，相关事宜由甲方、乙方与交易对手届时书面约定为准。项目公司取得每笔开发贷后</w:t>
      </w:r>
      <w:r>
        <w:rPr>
          <w:rFonts w:ascii="Times New Roman" w:eastAsia="楷体_GB2312" w:hAnsi="Times New Roman" w:hint="eastAsia"/>
          <w:sz w:val="24"/>
          <w:szCs w:val="24"/>
        </w:rPr>
        <w:t>1</w:t>
      </w:r>
      <w:r>
        <w:rPr>
          <w:rFonts w:ascii="Times New Roman" w:eastAsia="楷体_GB2312" w:hAnsi="Times New Roman" w:hint="eastAsia"/>
          <w:sz w:val="24"/>
          <w:szCs w:val="24"/>
        </w:rPr>
        <w:t>个月内，项目公司应通过合肥赛越、</w:t>
      </w:r>
      <w:proofErr w:type="gramStart"/>
      <w:r>
        <w:rPr>
          <w:rFonts w:ascii="Times New Roman" w:eastAsia="楷体_GB2312" w:hAnsi="Times New Roman" w:hint="eastAsia"/>
          <w:sz w:val="24"/>
          <w:szCs w:val="24"/>
        </w:rPr>
        <w:t>合肥融沛向</w:t>
      </w:r>
      <w:proofErr w:type="gramEnd"/>
      <w:r>
        <w:rPr>
          <w:rFonts w:ascii="Times New Roman" w:eastAsia="楷体_GB2312" w:hAnsi="Times New Roman" w:hint="eastAsia"/>
          <w:sz w:val="24"/>
          <w:szCs w:val="24"/>
        </w:rPr>
        <w:t>合伙企业分配不低于该笔开发贷放款金额×</w:t>
      </w:r>
      <w:r>
        <w:rPr>
          <w:rFonts w:ascii="Times New Roman" w:eastAsia="楷体_GB2312" w:hAnsi="Times New Roman" w:hint="eastAsia"/>
          <w:sz w:val="24"/>
          <w:szCs w:val="24"/>
        </w:rPr>
        <w:t>50%</w:t>
      </w:r>
      <w:r>
        <w:rPr>
          <w:rFonts w:ascii="Times New Roman" w:eastAsia="楷体_GB2312" w:hAnsi="Times New Roman" w:hint="eastAsia"/>
          <w:sz w:val="24"/>
          <w:szCs w:val="24"/>
        </w:rPr>
        <w:t>。且项目公司取得首笔开发贷后届满</w:t>
      </w:r>
      <w:r>
        <w:rPr>
          <w:rFonts w:ascii="Times New Roman" w:eastAsia="楷体_GB2312" w:hAnsi="Times New Roman" w:hint="eastAsia"/>
          <w:sz w:val="24"/>
          <w:szCs w:val="24"/>
        </w:rPr>
        <w:t>3</w:t>
      </w:r>
      <w:r>
        <w:rPr>
          <w:rFonts w:ascii="Times New Roman" w:eastAsia="楷体_GB2312" w:hAnsi="Times New Roman" w:hint="eastAsia"/>
          <w:sz w:val="24"/>
          <w:szCs w:val="24"/>
        </w:rPr>
        <w:t>个月、且不得晚于信托计划到期前</w:t>
      </w:r>
      <w:r>
        <w:rPr>
          <w:rFonts w:ascii="Times New Roman" w:eastAsia="楷体_GB2312" w:hAnsi="Times New Roman" w:hint="eastAsia"/>
          <w:sz w:val="24"/>
          <w:szCs w:val="24"/>
        </w:rPr>
        <w:t>1</w:t>
      </w:r>
      <w:r>
        <w:rPr>
          <w:rFonts w:ascii="Times New Roman" w:eastAsia="楷体_GB2312" w:hAnsi="Times New Roman" w:hint="eastAsia"/>
          <w:sz w:val="24"/>
          <w:szCs w:val="24"/>
        </w:rPr>
        <w:t>个月之日，合伙企业取得的分配款项应当达到其向合肥</w:t>
      </w:r>
      <w:proofErr w:type="gramStart"/>
      <w:r>
        <w:rPr>
          <w:rFonts w:ascii="Times New Roman" w:eastAsia="楷体_GB2312" w:hAnsi="Times New Roman" w:hint="eastAsia"/>
          <w:sz w:val="24"/>
          <w:szCs w:val="24"/>
        </w:rPr>
        <w:t>融沛支付</w:t>
      </w:r>
      <w:proofErr w:type="gramEnd"/>
      <w:r>
        <w:rPr>
          <w:rFonts w:ascii="Times New Roman" w:eastAsia="楷体_GB2312" w:hAnsi="Times New Roman" w:hint="eastAsia"/>
          <w:sz w:val="24"/>
          <w:szCs w:val="24"/>
        </w:rPr>
        <w:t>的股权投资款及按照</w:t>
      </w:r>
      <w:r>
        <w:rPr>
          <w:rFonts w:ascii="Times New Roman" w:eastAsia="楷体_GB2312" w:hAnsi="Times New Roman" w:hint="eastAsia"/>
          <w:sz w:val="24"/>
          <w:szCs w:val="24"/>
        </w:rPr>
        <w:t>9.8%/</w:t>
      </w:r>
      <w:r>
        <w:rPr>
          <w:rFonts w:ascii="Times New Roman" w:eastAsia="楷体_GB2312" w:hAnsi="Times New Roman" w:hint="eastAsia"/>
          <w:sz w:val="24"/>
          <w:szCs w:val="24"/>
        </w:rPr>
        <w:t>年（计息天数按照</w:t>
      </w:r>
      <w:r>
        <w:rPr>
          <w:rFonts w:ascii="Times New Roman" w:eastAsia="楷体_GB2312" w:hAnsi="Times New Roman" w:hint="eastAsia"/>
          <w:sz w:val="24"/>
          <w:szCs w:val="24"/>
        </w:rPr>
        <w:t>365</w:t>
      </w:r>
      <w:r>
        <w:rPr>
          <w:rFonts w:ascii="Times New Roman" w:eastAsia="楷体_GB2312" w:hAnsi="Times New Roman" w:hint="eastAsia"/>
          <w:sz w:val="24"/>
          <w:szCs w:val="24"/>
        </w:rPr>
        <w:t>天</w:t>
      </w:r>
      <w:r>
        <w:rPr>
          <w:rFonts w:ascii="Times New Roman" w:eastAsia="楷体_GB2312" w:hAnsi="Times New Roman" w:hint="eastAsia"/>
          <w:sz w:val="24"/>
          <w:szCs w:val="24"/>
        </w:rPr>
        <w:t>/</w:t>
      </w:r>
      <w:r>
        <w:rPr>
          <w:rFonts w:ascii="楷体" w:eastAsia="楷体" w:hAnsi="楷体" w:hint="eastAsia"/>
          <w:sz w:val="24"/>
        </w:rPr>
        <w:t>年及该笔股权投资</w:t>
      </w:r>
      <w:proofErr w:type="gramStart"/>
      <w:r>
        <w:rPr>
          <w:rFonts w:ascii="楷体" w:eastAsia="楷体" w:hAnsi="楷体" w:hint="eastAsia"/>
          <w:sz w:val="24"/>
        </w:rPr>
        <w:t>款实际</w:t>
      </w:r>
      <w:proofErr w:type="gramEnd"/>
      <w:r>
        <w:rPr>
          <w:rFonts w:ascii="楷体" w:eastAsia="楷体" w:hAnsi="楷体" w:hint="eastAsia"/>
          <w:sz w:val="24"/>
        </w:rPr>
        <w:t>投资天数</w:t>
      </w:r>
      <w:r>
        <w:rPr>
          <w:rFonts w:ascii="Times New Roman" w:eastAsia="楷体_GB2312" w:hAnsi="Times New Roman" w:hint="eastAsia"/>
          <w:sz w:val="24"/>
          <w:szCs w:val="24"/>
        </w:rPr>
        <w:t>计算）的标准计算的股权投资收益之</w:t>
      </w:r>
      <w:proofErr w:type="gramStart"/>
      <w:r>
        <w:rPr>
          <w:rFonts w:ascii="Times New Roman" w:eastAsia="楷体_GB2312" w:hAnsi="Times New Roman" w:hint="eastAsia"/>
          <w:sz w:val="24"/>
          <w:szCs w:val="24"/>
        </w:rPr>
        <w:t>和</w:t>
      </w:r>
      <w:proofErr w:type="gramEnd"/>
      <w:r>
        <w:rPr>
          <w:rFonts w:ascii="Times New Roman" w:eastAsia="楷体_GB2312" w:hAnsi="Times New Roman" w:hint="eastAsia"/>
          <w:sz w:val="24"/>
          <w:szCs w:val="24"/>
        </w:rPr>
        <w:t>。</w:t>
      </w:r>
    </w:p>
    <w:p w14:paraId="17BCE514" w14:textId="77777777" w:rsidR="00CC4C43" w:rsidRDefault="00CC4C43">
      <w:pPr>
        <w:adjustRightInd w:val="0"/>
        <w:snapToGrid w:val="0"/>
        <w:spacing w:afterLines="20" w:after="62" w:line="288" w:lineRule="auto"/>
        <w:ind w:left="648" w:hangingChars="270" w:hanging="648"/>
        <w:rPr>
          <w:rFonts w:ascii="Times New Roman" w:eastAsia="楷体_GB2312" w:hAnsi="Times New Roman"/>
          <w:sz w:val="24"/>
          <w:szCs w:val="24"/>
        </w:rPr>
      </w:pPr>
    </w:p>
    <w:p w14:paraId="44AD0157"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w:t>
      </w:r>
      <w:r>
        <w:rPr>
          <w:rFonts w:ascii="Times New Roman" w:eastAsia="楷体_GB2312" w:hAnsi="Times New Roman" w:hint="eastAsia"/>
          <w:b/>
          <w:sz w:val="24"/>
          <w:szCs w:val="24"/>
        </w:rPr>
        <w:t>八</w:t>
      </w:r>
      <w:r>
        <w:rPr>
          <w:rFonts w:ascii="Times New Roman" w:eastAsia="楷体_GB2312" w:hAnsi="Times New Roman"/>
          <w:b/>
          <w:sz w:val="24"/>
          <w:szCs w:val="24"/>
        </w:rPr>
        <w:t>条：其他</w:t>
      </w:r>
    </w:p>
    <w:p w14:paraId="3C192E9D"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8.1</w:t>
      </w:r>
      <w:r>
        <w:rPr>
          <w:rFonts w:ascii="Times New Roman" w:eastAsia="楷体_GB2312" w:hAnsi="Times New Roman"/>
          <w:sz w:val="24"/>
          <w:szCs w:val="24"/>
        </w:rPr>
        <w:tab/>
      </w:r>
      <w:r>
        <w:rPr>
          <w:rFonts w:ascii="Times New Roman" w:eastAsia="楷体_GB2312" w:hAnsi="Times New Roman" w:hint="eastAsia"/>
          <w:sz w:val="24"/>
          <w:szCs w:val="24"/>
        </w:rPr>
        <w:t>被监管方</w:t>
      </w:r>
      <w:r>
        <w:rPr>
          <w:rFonts w:ascii="Times New Roman" w:eastAsia="楷体_GB2312" w:hAnsi="Times New Roman"/>
          <w:sz w:val="24"/>
          <w:szCs w:val="24"/>
        </w:rPr>
        <w:t>应遵守本合同规定的各项义务，并应保证监管账户及账户内资金避免受到或可能受到来自任何第三方的侵害。</w:t>
      </w:r>
    </w:p>
    <w:p w14:paraId="2D1E05D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lastRenderedPageBreak/>
        <w:t>8.2</w:t>
      </w:r>
      <w:r>
        <w:rPr>
          <w:rFonts w:ascii="Times New Roman" w:eastAsia="楷体_GB2312" w:hAnsi="Times New Roman"/>
          <w:sz w:val="24"/>
          <w:szCs w:val="24"/>
        </w:rPr>
        <w:tab/>
      </w:r>
      <w:r>
        <w:rPr>
          <w:rFonts w:ascii="Times New Roman" w:eastAsia="楷体_GB2312" w:hAnsi="Times New Roman"/>
          <w:sz w:val="24"/>
          <w:szCs w:val="24"/>
        </w:rPr>
        <w:t>甲方、</w:t>
      </w:r>
      <w:proofErr w:type="gramStart"/>
      <w:r>
        <w:rPr>
          <w:rFonts w:ascii="Times New Roman" w:eastAsia="楷体_GB2312" w:hAnsi="Times New Roman"/>
          <w:sz w:val="24"/>
          <w:szCs w:val="24"/>
        </w:rPr>
        <w:t>戊方未</w:t>
      </w:r>
      <w:proofErr w:type="gramEnd"/>
      <w:r>
        <w:rPr>
          <w:rFonts w:ascii="Times New Roman" w:eastAsia="楷体_GB2312" w:hAnsi="Times New Roman"/>
          <w:sz w:val="24"/>
          <w:szCs w:val="24"/>
        </w:rPr>
        <w:t>行使或部分行使或迟延行使本合同项下的任何权利，不构成对该权利或任何其他权利的放弃或变更，也不影响其进一步行使该权利或任何其他权利。</w:t>
      </w:r>
    </w:p>
    <w:p w14:paraId="73D3DE6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8.3</w:t>
      </w:r>
      <w:r>
        <w:rPr>
          <w:rFonts w:ascii="Times New Roman" w:eastAsia="楷体_GB2312" w:hAnsi="Times New Roman"/>
          <w:sz w:val="24"/>
          <w:szCs w:val="24"/>
        </w:rPr>
        <w:tab/>
      </w:r>
      <w:r>
        <w:rPr>
          <w:rFonts w:ascii="Times New Roman" w:eastAsia="楷体_GB2312" w:hAnsi="Times New Roman" w:hint="eastAsia"/>
          <w:sz w:val="24"/>
          <w:szCs w:val="24"/>
        </w:rPr>
        <w:t>被监管方</w:t>
      </w:r>
      <w:r>
        <w:rPr>
          <w:rFonts w:ascii="Times New Roman" w:eastAsia="楷体_GB2312" w:hAnsi="Times New Roman"/>
          <w:sz w:val="24"/>
          <w:szCs w:val="24"/>
        </w:rPr>
        <w:t>有下列情形之一，应当在情形发生</w:t>
      </w:r>
      <w:r>
        <w:rPr>
          <w:rFonts w:ascii="Times New Roman" w:eastAsia="楷体_GB2312" w:hAnsi="Times New Roman" w:hint="eastAsia"/>
          <w:sz w:val="24"/>
          <w:szCs w:val="24"/>
        </w:rPr>
        <w:t>之日</w:t>
      </w:r>
      <w:r>
        <w:rPr>
          <w:rFonts w:ascii="Times New Roman" w:eastAsia="楷体_GB2312" w:hAnsi="Times New Roman"/>
          <w:sz w:val="24"/>
          <w:szCs w:val="24"/>
        </w:rPr>
        <w:t>书面通知甲方、戊方，因</w:t>
      </w:r>
      <w:r>
        <w:rPr>
          <w:rFonts w:ascii="Times New Roman" w:eastAsia="楷体_GB2312" w:hAnsi="Times New Roman" w:hint="eastAsia"/>
          <w:sz w:val="24"/>
          <w:szCs w:val="24"/>
        </w:rPr>
        <w:t>被监管方</w:t>
      </w:r>
      <w:r>
        <w:rPr>
          <w:rFonts w:ascii="Times New Roman" w:eastAsia="楷体_GB2312" w:hAnsi="Times New Roman"/>
          <w:sz w:val="24"/>
          <w:szCs w:val="24"/>
        </w:rPr>
        <w:t>未及时通知造成损失的，应当赔偿相应损失：</w:t>
      </w:r>
    </w:p>
    <w:p w14:paraId="2207FD9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ab/>
      </w:r>
      <w:r>
        <w:rPr>
          <w:rFonts w:ascii="Times New Roman" w:eastAsia="楷体_GB2312" w:hAnsi="Times New Roman"/>
          <w:sz w:val="24"/>
          <w:szCs w:val="24"/>
        </w:rPr>
        <w:t>涉及</w:t>
      </w:r>
      <w:r>
        <w:rPr>
          <w:rFonts w:ascii="Times New Roman" w:eastAsia="楷体_GB2312" w:hAnsi="Times New Roman" w:hint="eastAsia"/>
          <w:sz w:val="24"/>
          <w:szCs w:val="24"/>
        </w:rPr>
        <w:t>或可能</w:t>
      </w:r>
      <w:r>
        <w:rPr>
          <w:rFonts w:ascii="Times New Roman" w:eastAsia="楷体_GB2312" w:hAnsi="Times New Roman"/>
          <w:sz w:val="24"/>
          <w:szCs w:val="24"/>
        </w:rPr>
        <w:t>涉及重大经济纠纷、诉讼、仲裁</w:t>
      </w:r>
      <w:r>
        <w:rPr>
          <w:rFonts w:ascii="Times New Roman" w:eastAsia="楷体_GB2312" w:hAnsi="Times New Roman" w:hint="eastAsia"/>
          <w:sz w:val="24"/>
          <w:szCs w:val="24"/>
        </w:rPr>
        <w:t>（涉案标的额在</w:t>
      </w:r>
      <w:r>
        <w:rPr>
          <w:rFonts w:ascii="Times New Roman" w:eastAsia="楷体_GB2312" w:hAnsi="Times New Roman" w:hint="eastAsia"/>
          <w:sz w:val="24"/>
          <w:szCs w:val="24"/>
        </w:rPr>
        <w:t>1000</w:t>
      </w:r>
      <w:r>
        <w:rPr>
          <w:rFonts w:ascii="Times New Roman" w:eastAsia="楷体_GB2312" w:hAnsi="Times New Roman" w:hint="eastAsia"/>
          <w:sz w:val="24"/>
          <w:szCs w:val="24"/>
        </w:rPr>
        <w:t>万以上）</w:t>
      </w:r>
      <w:r>
        <w:rPr>
          <w:rFonts w:ascii="Times New Roman" w:eastAsia="楷体_GB2312" w:hAnsi="Times New Roman"/>
          <w:sz w:val="24"/>
          <w:szCs w:val="24"/>
        </w:rPr>
        <w:t>，监管账户资金被强制执行或依法冻结。</w:t>
      </w:r>
    </w:p>
    <w:p w14:paraId="2797901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ab/>
      </w:r>
      <w:r>
        <w:rPr>
          <w:rFonts w:ascii="Times New Roman" w:eastAsia="楷体_GB2312" w:hAnsi="Times New Roman"/>
          <w:sz w:val="24"/>
          <w:szCs w:val="24"/>
        </w:rPr>
        <w:t>破产、歇业、解散、被停业整顿、被吊销营业执照、被撤销工商登记。</w:t>
      </w:r>
    </w:p>
    <w:p w14:paraId="7C7FE28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ab/>
      </w:r>
      <w:r>
        <w:rPr>
          <w:rFonts w:ascii="Times New Roman" w:eastAsia="楷体_GB2312" w:hAnsi="Times New Roman"/>
          <w:sz w:val="24"/>
          <w:szCs w:val="24"/>
        </w:rPr>
        <w:t>其他严重影响生产经营、资金偿付能力的情形。</w:t>
      </w:r>
    </w:p>
    <w:p w14:paraId="5123226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ab/>
      </w:r>
      <w:r>
        <w:rPr>
          <w:rFonts w:ascii="Times New Roman" w:eastAsia="楷体_GB2312" w:hAnsi="Times New Roman"/>
          <w:sz w:val="24"/>
          <w:szCs w:val="24"/>
        </w:rPr>
        <w:t>各方约定的需要履行告知义务的其他事项。</w:t>
      </w:r>
    </w:p>
    <w:p w14:paraId="4BEB818A"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8.4</w:t>
      </w:r>
      <w:r>
        <w:rPr>
          <w:rFonts w:ascii="Times New Roman" w:eastAsia="楷体_GB2312" w:hAnsi="Times New Roman"/>
          <w:sz w:val="24"/>
          <w:szCs w:val="24"/>
        </w:rPr>
        <w:tab/>
      </w:r>
      <w:r>
        <w:rPr>
          <w:rFonts w:ascii="Times New Roman" w:eastAsia="楷体_GB2312" w:hAnsi="Times New Roman" w:hint="eastAsia"/>
          <w:sz w:val="24"/>
          <w:szCs w:val="24"/>
        </w:rPr>
        <w:t>在满足本合同约定的全部审批权限的前提下，</w:t>
      </w:r>
      <w:proofErr w:type="gramStart"/>
      <w:r>
        <w:rPr>
          <w:rFonts w:ascii="Times New Roman" w:eastAsia="楷体_GB2312" w:hAnsi="Times New Roman" w:hint="eastAsia"/>
          <w:sz w:val="24"/>
          <w:szCs w:val="24"/>
        </w:rPr>
        <w:t>戊方有</w:t>
      </w:r>
      <w:proofErr w:type="gramEnd"/>
      <w:r>
        <w:rPr>
          <w:rFonts w:ascii="Times New Roman" w:eastAsia="楷体_GB2312" w:hAnsi="Times New Roman" w:hint="eastAsia"/>
          <w:sz w:val="24"/>
          <w:szCs w:val="24"/>
        </w:rPr>
        <w:t>义务积极配合被监管方的工作，并对其提出的申请及时进行处理，不得无故拖延。</w:t>
      </w:r>
    </w:p>
    <w:p w14:paraId="24D566D9"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29D752E6"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w:t>
      </w:r>
      <w:r>
        <w:rPr>
          <w:rFonts w:ascii="Times New Roman" w:eastAsia="楷体_GB2312" w:hAnsi="Times New Roman" w:hint="eastAsia"/>
          <w:b/>
          <w:sz w:val="24"/>
          <w:szCs w:val="24"/>
        </w:rPr>
        <w:t>九</w:t>
      </w:r>
      <w:r>
        <w:rPr>
          <w:rFonts w:ascii="Times New Roman" w:eastAsia="楷体_GB2312" w:hAnsi="Times New Roman"/>
          <w:b/>
          <w:sz w:val="24"/>
          <w:szCs w:val="24"/>
        </w:rPr>
        <w:t>条：权利与义务</w:t>
      </w:r>
    </w:p>
    <w:p w14:paraId="449400A5" w14:textId="77777777" w:rsidR="00CC4C43" w:rsidRDefault="007731E0">
      <w:pPr>
        <w:adjustRightInd w:val="0"/>
        <w:snapToGrid w:val="0"/>
        <w:spacing w:afterLines="20" w:after="62" w:line="288" w:lineRule="auto"/>
        <w:rPr>
          <w:rFonts w:ascii="Times New Roman" w:eastAsia="楷体_GB2312" w:hAnsi="Times New Roman"/>
          <w:b/>
          <w:sz w:val="24"/>
          <w:szCs w:val="24"/>
        </w:rPr>
      </w:pPr>
      <w:r>
        <w:rPr>
          <w:rFonts w:ascii="Times New Roman" w:eastAsia="楷体_GB2312" w:hAnsi="Times New Roman"/>
          <w:b/>
          <w:sz w:val="24"/>
          <w:szCs w:val="24"/>
        </w:rPr>
        <w:t>9.1</w:t>
      </w:r>
      <w:r>
        <w:rPr>
          <w:rFonts w:ascii="Times New Roman" w:eastAsia="楷体_GB2312" w:hAnsi="Times New Roman"/>
          <w:b/>
          <w:sz w:val="24"/>
          <w:szCs w:val="24"/>
        </w:rPr>
        <w:tab/>
      </w:r>
      <w:r>
        <w:rPr>
          <w:rFonts w:ascii="Times New Roman" w:eastAsia="楷体_GB2312" w:hAnsi="Times New Roman"/>
          <w:b/>
          <w:sz w:val="24"/>
          <w:szCs w:val="24"/>
        </w:rPr>
        <w:t>甲方</w:t>
      </w:r>
      <w:r>
        <w:rPr>
          <w:rFonts w:ascii="Times New Roman" w:eastAsia="楷体_GB2312" w:hAnsi="Times New Roman" w:hint="eastAsia"/>
          <w:b/>
          <w:sz w:val="24"/>
          <w:szCs w:val="24"/>
        </w:rPr>
        <w:t>、乙方</w:t>
      </w:r>
      <w:r>
        <w:rPr>
          <w:rFonts w:ascii="Times New Roman" w:eastAsia="楷体_GB2312" w:hAnsi="Times New Roman"/>
          <w:b/>
          <w:sz w:val="24"/>
          <w:szCs w:val="24"/>
        </w:rPr>
        <w:t>权责</w:t>
      </w:r>
    </w:p>
    <w:p w14:paraId="7CE9918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9.1.1</w:t>
      </w:r>
      <w:r>
        <w:rPr>
          <w:rFonts w:ascii="Times New Roman" w:eastAsia="楷体_GB2312" w:hAnsi="Times New Roman"/>
          <w:sz w:val="24"/>
          <w:szCs w:val="24"/>
        </w:rPr>
        <w:tab/>
      </w:r>
      <w:r>
        <w:rPr>
          <w:rFonts w:ascii="Times New Roman" w:eastAsia="楷体_GB2312" w:hAnsi="Times New Roman"/>
          <w:sz w:val="24"/>
          <w:szCs w:val="24"/>
        </w:rPr>
        <w:t>本合同签订后，甲方</w:t>
      </w:r>
      <w:r>
        <w:rPr>
          <w:rFonts w:ascii="Times New Roman" w:eastAsia="楷体_GB2312" w:hAnsi="Times New Roman" w:hint="eastAsia"/>
          <w:sz w:val="24"/>
          <w:szCs w:val="24"/>
        </w:rPr>
        <w:t>、乙方</w:t>
      </w:r>
      <w:r>
        <w:rPr>
          <w:rFonts w:ascii="Times New Roman" w:eastAsia="楷体_GB2312" w:hAnsi="Times New Roman"/>
          <w:sz w:val="24"/>
          <w:szCs w:val="24"/>
        </w:rPr>
        <w:t>有权督促</w:t>
      </w:r>
      <w:r>
        <w:rPr>
          <w:rFonts w:ascii="Times New Roman" w:eastAsia="楷体_GB2312" w:hAnsi="Times New Roman" w:hint="eastAsia"/>
          <w:sz w:val="24"/>
          <w:szCs w:val="24"/>
        </w:rPr>
        <w:t>被监管方</w:t>
      </w:r>
      <w:r>
        <w:rPr>
          <w:rFonts w:ascii="Times New Roman" w:eastAsia="楷体_GB2312" w:hAnsi="Times New Roman"/>
          <w:sz w:val="24"/>
          <w:szCs w:val="24"/>
        </w:rPr>
        <w:t>及时</w:t>
      </w:r>
      <w:proofErr w:type="gramStart"/>
      <w:r>
        <w:rPr>
          <w:rFonts w:ascii="Times New Roman" w:eastAsia="楷体_GB2312" w:hAnsi="Times New Roman"/>
          <w:sz w:val="24"/>
          <w:szCs w:val="24"/>
        </w:rPr>
        <w:t>向庚方</w:t>
      </w:r>
      <w:proofErr w:type="gramEnd"/>
      <w:r>
        <w:rPr>
          <w:rFonts w:ascii="Times New Roman" w:eastAsia="楷体_GB2312" w:hAnsi="Times New Roman" w:hint="eastAsia"/>
          <w:sz w:val="24"/>
          <w:szCs w:val="24"/>
        </w:rPr>
        <w:t>和甲方、乙方</w:t>
      </w:r>
      <w:r>
        <w:rPr>
          <w:rFonts w:ascii="Times New Roman" w:eastAsia="楷体_GB2312" w:hAnsi="Times New Roman"/>
          <w:sz w:val="24"/>
          <w:szCs w:val="24"/>
        </w:rPr>
        <w:t>提供完成本合同约定的监管服务所需要的相关材料。</w:t>
      </w:r>
    </w:p>
    <w:p w14:paraId="2780F53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9.1.2</w:t>
      </w:r>
      <w:r>
        <w:rPr>
          <w:rFonts w:ascii="Times New Roman" w:eastAsia="楷体_GB2312" w:hAnsi="Times New Roman"/>
          <w:sz w:val="24"/>
          <w:szCs w:val="24"/>
        </w:rPr>
        <w:tab/>
      </w:r>
      <w:r>
        <w:rPr>
          <w:rFonts w:ascii="Times New Roman" w:eastAsia="楷体_GB2312" w:hAnsi="Times New Roman"/>
          <w:sz w:val="24"/>
          <w:szCs w:val="24"/>
        </w:rPr>
        <w:t>甲方</w:t>
      </w:r>
      <w:r>
        <w:rPr>
          <w:rFonts w:ascii="Times New Roman" w:eastAsia="楷体_GB2312" w:hAnsi="Times New Roman" w:hint="eastAsia"/>
          <w:sz w:val="24"/>
          <w:szCs w:val="24"/>
        </w:rPr>
        <w:t>、乙方</w:t>
      </w:r>
      <w:r>
        <w:rPr>
          <w:rFonts w:ascii="Times New Roman" w:eastAsia="楷体_GB2312" w:hAnsi="Times New Roman"/>
          <w:sz w:val="24"/>
          <w:szCs w:val="24"/>
        </w:rPr>
        <w:t>有权</w:t>
      </w:r>
      <w:proofErr w:type="gramStart"/>
      <w:r>
        <w:rPr>
          <w:rFonts w:ascii="Times New Roman" w:eastAsia="楷体_GB2312" w:hAnsi="Times New Roman"/>
          <w:sz w:val="24"/>
          <w:szCs w:val="24"/>
        </w:rPr>
        <w:t>对庚方的</w:t>
      </w:r>
      <w:proofErr w:type="gramEnd"/>
      <w:r>
        <w:rPr>
          <w:rFonts w:ascii="Times New Roman" w:eastAsia="楷体_GB2312" w:hAnsi="Times New Roman"/>
          <w:sz w:val="24"/>
          <w:szCs w:val="24"/>
        </w:rPr>
        <w:t>工作进行检查、考核。</w:t>
      </w:r>
    </w:p>
    <w:p w14:paraId="194BD43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9.1.3</w:t>
      </w:r>
      <w:r>
        <w:rPr>
          <w:rFonts w:ascii="Times New Roman" w:eastAsia="楷体_GB2312" w:hAnsi="Times New Roman"/>
          <w:sz w:val="24"/>
          <w:szCs w:val="24"/>
        </w:rPr>
        <w:tab/>
      </w:r>
      <w:r>
        <w:rPr>
          <w:rFonts w:ascii="Times New Roman" w:eastAsia="楷体_GB2312" w:hAnsi="Times New Roman"/>
          <w:sz w:val="24"/>
          <w:szCs w:val="24"/>
        </w:rPr>
        <w:t>甲方</w:t>
      </w:r>
      <w:r>
        <w:rPr>
          <w:rFonts w:ascii="Times New Roman" w:eastAsia="楷体_GB2312" w:hAnsi="Times New Roman" w:hint="eastAsia"/>
          <w:sz w:val="24"/>
          <w:szCs w:val="24"/>
        </w:rPr>
        <w:t>、乙方</w:t>
      </w:r>
      <w:r>
        <w:rPr>
          <w:rFonts w:ascii="Times New Roman" w:eastAsia="楷体_GB2312" w:hAnsi="Times New Roman"/>
          <w:sz w:val="24"/>
          <w:szCs w:val="24"/>
        </w:rPr>
        <w:t>有权行使本合同及其他各方签署协议文件项</w:t>
      </w:r>
      <w:proofErr w:type="gramStart"/>
      <w:r>
        <w:rPr>
          <w:rFonts w:ascii="Times New Roman" w:eastAsia="楷体_GB2312" w:hAnsi="Times New Roman"/>
          <w:sz w:val="24"/>
          <w:szCs w:val="24"/>
        </w:rPr>
        <w:t>下各项</w:t>
      </w:r>
      <w:proofErr w:type="gramEnd"/>
      <w:r>
        <w:rPr>
          <w:rFonts w:ascii="Times New Roman" w:eastAsia="楷体_GB2312" w:hAnsi="Times New Roman"/>
          <w:sz w:val="24"/>
          <w:szCs w:val="24"/>
        </w:rPr>
        <w:t>约定权利。</w:t>
      </w:r>
    </w:p>
    <w:p w14:paraId="0D17F86D" w14:textId="77777777" w:rsidR="00CC4C43" w:rsidRDefault="007731E0">
      <w:pPr>
        <w:adjustRightInd w:val="0"/>
        <w:snapToGrid w:val="0"/>
        <w:spacing w:afterLines="20" w:after="62" w:line="288" w:lineRule="auto"/>
        <w:rPr>
          <w:rFonts w:ascii="Times New Roman" w:eastAsia="楷体_GB2312" w:hAnsi="Times New Roman"/>
          <w:b/>
          <w:sz w:val="24"/>
          <w:szCs w:val="24"/>
        </w:rPr>
      </w:pPr>
      <w:r>
        <w:rPr>
          <w:rFonts w:ascii="Times New Roman" w:eastAsia="楷体_GB2312" w:hAnsi="Times New Roman"/>
          <w:b/>
          <w:sz w:val="24"/>
          <w:szCs w:val="24"/>
        </w:rPr>
        <w:t>9.2</w:t>
      </w:r>
      <w:r>
        <w:rPr>
          <w:rFonts w:ascii="Times New Roman" w:eastAsia="楷体_GB2312" w:hAnsi="Times New Roman"/>
          <w:b/>
          <w:sz w:val="24"/>
          <w:szCs w:val="24"/>
        </w:rPr>
        <w:tab/>
      </w:r>
      <w:r>
        <w:rPr>
          <w:rFonts w:ascii="Times New Roman" w:eastAsia="楷体_GB2312" w:hAnsi="Times New Roman" w:hint="eastAsia"/>
          <w:b/>
          <w:sz w:val="24"/>
          <w:szCs w:val="24"/>
        </w:rPr>
        <w:t>被监管方及</w:t>
      </w:r>
      <w:r>
        <w:rPr>
          <w:rFonts w:ascii="Times New Roman" w:eastAsia="楷体_GB2312" w:hAnsi="Times New Roman" w:hint="eastAsia"/>
          <w:b/>
          <w:sz w:val="24"/>
          <w:szCs w:val="24"/>
        </w:rPr>
        <w:t>G</w:t>
      </w:r>
      <w:r>
        <w:rPr>
          <w:rFonts w:ascii="Times New Roman" w:eastAsia="楷体_GB2312" w:hAnsi="Times New Roman"/>
          <w:b/>
          <w:sz w:val="24"/>
          <w:szCs w:val="24"/>
        </w:rPr>
        <w:t>P</w:t>
      </w:r>
      <w:r>
        <w:rPr>
          <w:rFonts w:ascii="Times New Roman" w:eastAsia="楷体_GB2312" w:hAnsi="Times New Roman" w:hint="eastAsia"/>
          <w:b/>
          <w:sz w:val="24"/>
          <w:szCs w:val="24"/>
        </w:rPr>
        <w:t>公司</w:t>
      </w:r>
      <w:r>
        <w:rPr>
          <w:rFonts w:ascii="Times New Roman" w:eastAsia="楷体_GB2312" w:hAnsi="Times New Roman"/>
          <w:b/>
          <w:sz w:val="24"/>
          <w:szCs w:val="24"/>
        </w:rPr>
        <w:t>权责</w:t>
      </w:r>
    </w:p>
    <w:p w14:paraId="6BA22FE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9.2.1</w:t>
      </w:r>
      <w:r>
        <w:rPr>
          <w:rFonts w:ascii="Times New Roman" w:eastAsia="楷体_GB2312" w:hAnsi="Times New Roman"/>
          <w:sz w:val="24"/>
          <w:szCs w:val="24"/>
        </w:rPr>
        <w:tab/>
      </w:r>
      <w:r>
        <w:rPr>
          <w:rFonts w:ascii="Times New Roman" w:eastAsia="楷体_GB2312" w:hAnsi="Times New Roman"/>
          <w:sz w:val="24"/>
          <w:szCs w:val="24"/>
        </w:rPr>
        <w:t>指定专人负责就本合同约定的服务内容与甲方、</w:t>
      </w:r>
      <w:proofErr w:type="gramStart"/>
      <w:r>
        <w:rPr>
          <w:rFonts w:ascii="Times New Roman" w:eastAsia="楷体_GB2312" w:hAnsi="Times New Roman"/>
          <w:sz w:val="24"/>
          <w:szCs w:val="24"/>
        </w:rPr>
        <w:t>庚方进行</w:t>
      </w:r>
      <w:proofErr w:type="gramEnd"/>
      <w:r>
        <w:rPr>
          <w:rFonts w:ascii="Times New Roman" w:eastAsia="楷体_GB2312" w:hAnsi="Times New Roman"/>
          <w:sz w:val="24"/>
          <w:szCs w:val="24"/>
        </w:rPr>
        <w:t>沟通、联系和推动，并提供协助支持。</w:t>
      </w:r>
    </w:p>
    <w:p w14:paraId="4814CDF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9.2.2</w:t>
      </w:r>
      <w:r>
        <w:rPr>
          <w:rFonts w:ascii="Times New Roman" w:eastAsia="楷体_GB2312" w:hAnsi="Times New Roman"/>
          <w:sz w:val="24"/>
          <w:szCs w:val="24"/>
        </w:rPr>
        <w:tab/>
      </w:r>
      <w:r>
        <w:rPr>
          <w:rFonts w:ascii="Times New Roman" w:eastAsia="楷体_GB2312" w:hAnsi="Times New Roman"/>
          <w:sz w:val="24"/>
          <w:szCs w:val="24"/>
        </w:rPr>
        <w:t>接受监督，并对甲方、</w:t>
      </w:r>
      <w:proofErr w:type="gramStart"/>
      <w:r>
        <w:rPr>
          <w:rFonts w:ascii="Times New Roman" w:eastAsia="楷体_GB2312" w:hAnsi="Times New Roman"/>
          <w:sz w:val="24"/>
          <w:szCs w:val="24"/>
        </w:rPr>
        <w:t>庚方在</w:t>
      </w:r>
      <w:proofErr w:type="gramEnd"/>
      <w:r>
        <w:rPr>
          <w:rFonts w:ascii="Times New Roman" w:eastAsia="楷体_GB2312" w:hAnsi="Times New Roman"/>
          <w:sz w:val="24"/>
          <w:szCs w:val="24"/>
        </w:rPr>
        <w:t>工作中提出的异议予以及时回应和解释。</w:t>
      </w:r>
    </w:p>
    <w:p w14:paraId="612E7224"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9.2.3</w:t>
      </w:r>
      <w:r>
        <w:rPr>
          <w:rFonts w:ascii="Times New Roman" w:eastAsia="楷体_GB2312" w:hAnsi="Times New Roman"/>
          <w:sz w:val="24"/>
          <w:szCs w:val="24"/>
        </w:rPr>
        <w:tab/>
      </w:r>
      <w:r>
        <w:rPr>
          <w:rFonts w:ascii="Times New Roman" w:eastAsia="楷体_GB2312" w:hAnsi="Times New Roman"/>
          <w:sz w:val="24"/>
          <w:szCs w:val="24"/>
        </w:rPr>
        <w:t>及时提供完成本合同约定服务内容所需要的各项资料，遵守本合同各项约定，配合其他方进行监管。</w:t>
      </w:r>
    </w:p>
    <w:p w14:paraId="4DDDC11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9.2.4</w:t>
      </w:r>
      <w:r>
        <w:rPr>
          <w:rFonts w:ascii="Times New Roman" w:eastAsia="楷体_GB2312" w:hAnsi="Times New Roman"/>
          <w:sz w:val="24"/>
          <w:szCs w:val="24"/>
        </w:rPr>
        <w:tab/>
      </w:r>
      <w:proofErr w:type="gramStart"/>
      <w:r>
        <w:rPr>
          <w:rFonts w:ascii="Times New Roman" w:eastAsia="楷体_GB2312" w:hAnsi="Times New Roman"/>
          <w:sz w:val="24"/>
          <w:szCs w:val="24"/>
        </w:rPr>
        <w:t>提供庚方派驻</w:t>
      </w:r>
      <w:proofErr w:type="gramEnd"/>
      <w:r>
        <w:rPr>
          <w:rFonts w:ascii="Times New Roman" w:eastAsia="楷体_GB2312" w:hAnsi="Times New Roman" w:hint="eastAsia"/>
          <w:sz w:val="24"/>
          <w:szCs w:val="24"/>
        </w:rPr>
        <w:t>被监管方</w:t>
      </w:r>
      <w:r>
        <w:rPr>
          <w:rFonts w:ascii="Times New Roman" w:eastAsia="楷体_GB2312" w:hAnsi="Times New Roman"/>
          <w:sz w:val="24"/>
          <w:szCs w:val="24"/>
        </w:rPr>
        <w:t>的专职人员的办公场所。</w:t>
      </w:r>
    </w:p>
    <w:p w14:paraId="4F46874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9.2.5</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w:t>
      </w:r>
      <w:r>
        <w:rPr>
          <w:rFonts w:ascii="Times New Roman" w:eastAsia="楷体_GB2312" w:hAnsi="Times New Roman"/>
          <w:sz w:val="24"/>
          <w:szCs w:val="24"/>
        </w:rPr>
        <w:t>不得</w:t>
      </w:r>
      <w:proofErr w:type="gramStart"/>
      <w:r>
        <w:rPr>
          <w:rFonts w:ascii="Times New Roman" w:eastAsia="楷体_GB2312" w:hAnsi="Times New Roman"/>
          <w:sz w:val="24"/>
          <w:szCs w:val="24"/>
        </w:rPr>
        <w:t>未经</w:t>
      </w:r>
      <w:r>
        <w:rPr>
          <w:rFonts w:ascii="Times New Roman" w:eastAsia="楷体_GB2312" w:hAnsi="Times New Roman" w:hint="eastAsia"/>
          <w:sz w:val="24"/>
          <w:szCs w:val="24"/>
        </w:rPr>
        <w:t>庚方</w:t>
      </w:r>
      <w:r>
        <w:rPr>
          <w:rFonts w:ascii="Times New Roman" w:eastAsia="楷体_GB2312" w:hAnsi="Times New Roman"/>
          <w:sz w:val="24"/>
          <w:szCs w:val="24"/>
        </w:rPr>
        <w:t>或</w:t>
      </w:r>
      <w:proofErr w:type="gramEnd"/>
      <w:r>
        <w:rPr>
          <w:rFonts w:ascii="Times New Roman" w:eastAsia="楷体_GB2312" w:hAnsi="Times New Roman" w:hint="eastAsia"/>
          <w:sz w:val="24"/>
          <w:szCs w:val="24"/>
        </w:rPr>
        <w:t>甲方</w:t>
      </w:r>
      <w:r>
        <w:rPr>
          <w:rFonts w:ascii="Times New Roman" w:eastAsia="楷体_GB2312" w:hAnsi="Times New Roman"/>
          <w:sz w:val="24"/>
          <w:szCs w:val="24"/>
        </w:rPr>
        <w:t>书面同意私自签署任何协议，</w:t>
      </w:r>
      <w:r>
        <w:rPr>
          <w:rFonts w:ascii="Times New Roman" w:eastAsia="楷体_GB2312" w:hAnsi="Times New Roman" w:hint="eastAsia"/>
          <w:sz w:val="24"/>
          <w:szCs w:val="24"/>
        </w:rPr>
        <w:t>被监管方</w:t>
      </w:r>
      <w:r>
        <w:rPr>
          <w:rFonts w:ascii="Times New Roman" w:eastAsia="楷体_GB2312" w:hAnsi="Times New Roman"/>
          <w:sz w:val="24"/>
          <w:szCs w:val="24"/>
        </w:rPr>
        <w:t>应当确保其法定代表人</w:t>
      </w:r>
      <w:r>
        <w:rPr>
          <w:rFonts w:ascii="Times New Roman" w:eastAsia="楷体_GB2312" w:hAnsi="Times New Roman"/>
          <w:sz w:val="24"/>
          <w:szCs w:val="24"/>
        </w:rPr>
        <w:t>/</w:t>
      </w:r>
      <w:r>
        <w:rPr>
          <w:rFonts w:ascii="Times New Roman" w:eastAsia="楷体_GB2312" w:hAnsi="Times New Roman"/>
          <w:sz w:val="24"/>
          <w:szCs w:val="24"/>
        </w:rPr>
        <w:t>投资人或委派代</w:t>
      </w:r>
      <w:r>
        <w:rPr>
          <w:rFonts w:ascii="Times New Roman" w:eastAsia="楷体_GB2312" w:hAnsi="Times New Roman" w:hint="eastAsia"/>
          <w:sz w:val="24"/>
          <w:szCs w:val="24"/>
        </w:rPr>
        <w:t>理人</w:t>
      </w:r>
      <w:r>
        <w:rPr>
          <w:rFonts w:ascii="Times New Roman" w:eastAsia="楷体_GB2312" w:hAnsi="Times New Roman"/>
          <w:sz w:val="24"/>
          <w:szCs w:val="24"/>
        </w:rPr>
        <w:t>知悉并履行本合同及相关交易文件项下的义务。</w:t>
      </w:r>
    </w:p>
    <w:p w14:paraId="5FC04711" w14:textId="77777777" w:rsidR="00CC4C43" w:rsidRDefault="007731E0">
      <w:pPr>
        <w:wordWrap w:val="0"/>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9.2.6</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公司承诺无条件配合甲方、庚方根据本合同对其及标的项目实施监管，并提供一切协助</w:t>
      </w:r>
      <w:r>
        <w:rPr>
          <w:rFonts w:ascii="Times New Roman" w:eastAsia="楷体_GB2312" w:hAnsi="Times New Roman"/>
          <w:sz w:val="24"/>
          <w:szCs w:val="24"/>
        </w:rPr>
        <w:t>。</w:t>
      </w:r>
    </w:p>
    <w:p w14:paraId="6E7351A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9.2.7</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公司承诺，截至《合作框架协议》项下光大信托向合伙企业完成首笔</w:t>
      </w:r>
      <w:r>
        <w:rPr>
          <w:rFonts w:ascii="Times New Roman" w:eastAsia="楷体_GB2312" w:hAnsi="Times New Roman"/>
          <w:sz w:val="24"/>
          <w:szCs w:val="24"/>
        </w:rPr>
        <w:t>实缴出资</w:t>
      </w:r>
      <w:r>
        <w:rPr>
          <w:rFonts w:ascii="Times New Roman" w:eastAsia="楷体_GB2312" w:hAnsi="Times New Roman" w:hint="eastAsia"/>
          <w:sz w:val="24"/>
          <w:szCs w:val="24"/>
        </w:rPr>
        <w:t>款支付日止，除已披露信息外，被监管方不存在任何债务、对外提供担保、或对外承担的其他义务，被监管</w:t>
      </w:r>
      <w:proofErr w:type="gramStart"/>
      <w:r>
        <w:rPr>
          <w:rFonts w:ascii="Times New Roman" w:eastAsia="楷体_GB2312" w:hAnsi="Times New Roman" w:hint="eastAsia"/>
          <w:sz w:val="24"/>
          <w:szCs w:val="24"/>
        </w:rPr>
        <w:t>方任何</w:t>
      </w:r>
      <w:proofErr w:type="gramEnd"/>
      <w:r>
        <w:rPr>
          <w:rFonts w:ascii="Times New Roman" w:eastAsia="楷体_GB2312" w:hAnsi="Times New Roman" w:hint="eastAsia"/>
          <w:sz w:val="24"/>
          <w:szCs w:val="24"/>
        </w:rPr>
        <w:t>债权债务（如</w:t>
      </w:r>
      <w:r>
        <w:rPr>
          <w:rFonts w:ascii="Times New Roman" w:eastAsia="楷体_GB2312" w:hAnsi="Times New Roman" w:hint="eastAsia"/>
          <w:sz w:val="24"/>
          <w:szCs w:val="24"/>
        </w:rPr>
        <w:lastRenderedPageBreak/>
        <w:t>有）均与甲方、乙方无关。</w:t>
      </w:r>
    </w:p>
    <w:p w14:paraId="59117FBD"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9</w:t>
      </w:r>
      <w:r>
        <w:rPr>
          <w:rFonts w:ascii="Times New Roman" w:eastAsia="楷体_GB2312" w:hAnsi="Times New Roman"/>
          <w:sz w:val="24"/>
          <w:szCs w:val="24"/>
        </w:rPr>
        <w:t>.2.8</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公司承诺，截至《合作框架协议》项下光大信托向合伙企业完成首笔</w:t>
      </w:r>
      <w:r>
        <w:rPr>
          <w:rFonts w:ascii="Times New Roman" w:eastAsia="楷体_GB2312" w:hAnsi="Times New Roman"/>
          <w:sz w:val="24"/>
          <w:szCs w:val="24"/>
        </w:rPr>
        <w:t>实缴出资</w:t>
      </w:r>
      <w:r>
        <w:rPr>
          <w:rFonts w:ascii="Times New Roman" w:eastAsia="楷体_GB2312" w:hAnsi="Times New Roman" w:hint="eastAsia"/>
          <w:sz w:val="24"/>
          <w:szCs w:val="24"/>
        </w:rPr>
        <w:t>款支付日止，除已披露信息外，被监管方不存在任何法院、仲裁部门尚未了结的诉讼和仲裁执行案件，不存在法律诉讼、仲裁或其他纠纷，不存在会对其履约能力构成重大不利影响的潜在法律纠纷事项。</w:t>
      </w:r>
    </w:p>
    <w:p w14:paraId="0F5E557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9.2.</w:t>
      </w:r>
      <w:r>
        <w:rPr>
          <w:rFonts w:ascii="Times New Roman" w:eastAsia="楷体_GB2312" w:hAnsi="Times New Roman"/>
          <w:sz w:val="24"/>
          <w:szCs w:val="24"/>
        </w:rPr>
        <w:t>9</w:t>
      </w:r>
      <w:r>
        <w:rPr>
          <w:rFonts w:ascii="Times New Roman" w:eastAsia="楷体_GB2312" w:hAnsi="Times New Roman" w:hint="eastAsia"/>
          <w:sz w:val="24"/>
          <w:szCs w:val="24"/>
        </w:rPr>
        <w:t>被监管方应</w:t>
      </w:r>
      <w:proofErr w:type="gramStart"/>
      <w:r>
        <w:rPr>
          <w:rFonts w:ascii="Times New Roman" w:eastAsia="楷体_GB2312" w:hAnsi="Times New Roman" w:hint="eastAsia"/>
          <w:sz w:val="24"/>
          <w:szCs w:val="24"/>
        </w:rPr>
        <w:t>保证庚方派驻</w:t>
      </w:r>
      <w:proofErr w:type="gramEnd"/>
      <w:r>
        <w:rPr>
          <w:rFonts w:ascii="Times New Roman" w:eastAsia="楷体_GB2312" w:hAnsi="Times New Roman" w:hint="eastAsia"/>
          <w:sz w:val="24"/>
          <w:szCs w:val="24"/>
        </w:rPr>
        <w:t>现场监管人员在项目地的劳动强度和劳动时间符合《中华人民共和国劳动法》要求，不得强制或变相要求监管人员节假日加班或超合法小时工作，不得以暴力、威胁或其他强制方法强迫监管人员劳动。如因临时</w:t>
      </w:r>
      <w:proofErr w:type="gramStart"/>
      <w:r>
        <w:rPr>
          <w:rFonts w:ascii="Times New Roman" w:eastAsia="楷体_GB2312" w:hAnsi="Times New Roman" w:hint="eastAsia"/>
          <w:sz w:val="24"/>
          <w:szCs w:val="24"/>
        </w:rPr>
        <w:t>需要庚方监管</w:t>
      </w:r>
      <w:proofErr w:type="gramEnd"/>
      <w:r>
        <w:rPr>
          <w:rFonts w:ascii="Times New Roman" w:eastAsia="楷体_GB2312" w:hAnsi="Times New Roman" w:hint="eastAsia"/>
          <w:sz w:val="24"/>
          <w:szCs w:val="24"/>
        </w:rPr>
        <w:t>人员加班的，应提前沟通。</w:t>
      </w:r>
    </w:p>
    <w:p w14:paraId="3102A8D4"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4E138FA0" w14:textId="77777777" w:rsidR="00CC4C43" w:rsidRDefault="007731E0">
      <w:pPr>
        <w:adjustRightInd w:val="0"/>
        <w:snapToGrid w:val="0"/>
        <w:spacing w:afterLines="20" w:after="62" w:line="288" w:lineRule="auto"/>
        <w:rPr>
          <w:rFonts w:ascii="Times New Roman" w:eastAsia="楷体_GB2312" w:hAnsi="Times New Roman"/>
          <w:b/>
          <w:sz w:val="24"/>
          <w:szCs w:val="24"/>
        </w:rPr>
      </w:pPr>
      <w:r>
        <w:rPr>
          <w:rFonts w:ascii="Times New Roman" w:eastAsia="楷体_GB2312" w:hAnsi="Times New Roman"/>
          <w:b/>
          <w:sz w:val="24"/>
          <w:szCs w:val="24"/>
        </w:rPr>
        <w:t>9.3</w:t>
      </w:r>
      <w:r>
        <w:rPr>
          <w:rFonts w:ascii="Times New Roman" w:eastAsia="楷体_GB2312" w:hAnsi="Times New Roman"/>
          <w:b/>
          <w:sz w:val="24"/>
          <w:szCs w:val="24"/>
        </w:rPr>
        <w:tab/>
      </w:r>
      <w:proofErr w:type="gramStart"/>
      <w:r>
        <w:rPr>
          <w:rFonts w:ascii="Times New Roman" w:eastAsia="楷体_GB2312" w:hAnsi="Times New Roman" w:hint="eastAsia"/>
          <w:b/>
          <w:sz w:val="24"/>
          <w:szCs w:val="24"/>
        </w:rPr>
        <w:t>庚方权责</w:t>
      </w:r>
      <w:proofErr w:type="gramEnd"/>
    </w:p>
    <w:p w14:paraId="5F79D95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9.3.1</w:t>
      </w:r>
      <w:r>
        <w:rPr>
          <w:rFonts w:ascii="Times New Roman" w:eastAsia="楷体_GB2312" w:hAnsi="Times New Roman"/>
          <w:sz w:val="24"/>
          <w:szCs w:val="24"/>
        </w:rPr>
        <w:tab/>
      </w:r>
      <w:r>
        <w:rPr>
          <w:rFonts w:ascii="Times New Roman" w:eastAsia="楷体_GB2312" w:hAnsi="Times New Roman"/>
          <w:sz w:val="24"/>
          <w:szCs w:val="24"/>
        </w:rPr>
        <w:t>指定专人并组成项目组负责就本合同约定的服务内容与其他方进行沟通、联系和推动，组织专业人员形成专案服务团队，制定详细的服务工作执行计划并安排实施。</w:t>
      </w:r>
    </w:p>
    <w:p w14:paraId="609303B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9.3.2</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w:t>
      </w:r>
      <w:r>
        <w:rPr>
          <w:rFonts w:ascii="Times New Roman" w:eastAsia="楷体_GB2312" w:hAnsi="Times New Roman"/>
          <w:sz w:val="24"/>
          <w:szCs w:val="24"/>
        </w:rPr>
        <w:t>应</w:t>
      </w:r>
      <w:proofErr w:type="gramEnd"/>
      <w:r>
        <w:rPr>
          <w:rFonts w:ascii="Times New Roman" w:eastAsia="楷体_GB2312" w:hAnsi="Times New Roman"/>
          <w:sz w:val="24"/>
          <w:szCs w:val="24"/>
        </w:rPr>
        <w:t>就</w:t>
      </w:r>
      <w:r>
        <w:rPr>
          <w:rFonts w:ascii="Times New Roman" w:eastAsia="楷体_GB2312" w:hAnsi="Times New Roman" w:hint="eastAsia"/>
          <w:sz w:val="24"/>
          <w:szCs w:val="24"/>
        </w:rPr>
        <w:t>甲方</w:t>
      </w:r>
      <w:r>
        <w:rPr>
          <w:rFonts w:ascii="Times New Roman" w:eastAsia="楷体_GB2312" w:hAnsi="Times New Roman"/>
          <w:sz w:val="24"/>
          <w:szCs w:val="24"/>
        </w:rPr>
        <w:t>相关决策意见的风险和问题向甲方做出全面分析和提示。</w:t>
      </w:r>
    </w:p>
    <w:p w14:paraId="0302770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9.3.3</w:t>
      </w:r>
      <w:r>
        <w:rPr>
          <w:rFonts w:ascii="Times New Roman" w:eastAsia="楷体_GB2312" w:hAnsi="Times New Roman"/>
          <w:sz w:val="24"/>
          <w:szCs w:val="24"/>
        </w:rPr>
        <w:tab/>
      </w:r>
      <w:r>
        <w:rPr>
          <w:rFonts w:ascii="Times New Roman" w:eastAsia="楷体_GB2312" w:hAnsi="Times New Roman"/>
          <w:sz w:val="24"/>
          <w:szCs w:val="24"/>
        </w:rPr>
        <w:t>有权无条件地、随时调看监管账户中的资金进出情况、明细日记账、原始凭证和银行对账单，为甲方行使和履行本合同约定的各项权责提供一切必要的便利和支持。</w:t>
      </w:r>
    </w:p>
    <w:p w14:paraId="109CD81B"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9.3.4</w:t>
      </w:r>
      <w:r>
        <w:rPr>
          <w:rFonts w:ascii="Times New Roman" w:eastAsia="楷体_GB2312" w:hAnsi="Times New Roman"/>
          <w:sz w:val="24"/>
          <w:szCs w:val="24"/>
        </w:rPr>
        <w:tab/>
      </w:r>
      <w:r>
        <w:rPr>
          <w:rFonts w:ascii="Times New Roman" w:eastAsia="楷体_GB2312" w:hAnsi="Times New Roman"/>
          <w:sz w:val="24"/>
          <w:szCs w:val="24"/>
        </w:rPr>
        <w:t>应按本合同约定向甲方提供相关用款资料扫描件及甲方要求的各项材料文件。</w:t>
      </w:r>
    </w:p>
    <w:p w14:paraId="6C1B3CC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9.3.5</w:t>
      </w:r>
      <w:r>
        <w:rPr>
          <w:rFonts w:ascii="Times New Roman" w:eastAsia="楷体_GB2312" w:hAnsi="Times New Roman"/>
          <w:sz w:val="24"/>
          <w:szCs w:val="24"/>
        </w:rPr>
        <w:tab/>
      </w:r>
      <w:r>
        <w:rPr>
          <w:rFonts w:ascii="Times New Roman" w:eastAsia="楷体_GB2312" w:hAnsi="Times New Roman"/>
          <w:sz w:val="24"/>
          <w:szCs w:val="24"/>
        </w:rPr>
        <w:t>应及时提交本合同约定的服务成果，确保提交方案</w:t>
      </w:r>
      <w:r>
        <w:rPr>
          <w:rFonts w:ascii="Times New Roman" w:eastAsia="楷体_GB2312" w:hAnsi="Times New Roman"/>
          <w:sz w:val="24"/>
          <w:szCs w:val="24"/>
        </w:rPr>
        <w:t>/</w:t>
      </w:r>
      <w:r>
        <w:rPr>
          <w:rFonts w:ascii="Times New Roman" w:eastAsia="楷体_GB2312" w:hAnsi="Times New Roman"/>
          <w:sz w:val="24"/>
          <w:szCs w:val="24"/>
        </w:rPr>
        <w:t>报告的科学性、合理性、准确性及适用性。</w:t>
      </w:r>
    </w:p>
    <w:p w14:paraId="6BF6AAC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9.3.6</w:t>
      </w:r>
      <w:r>
        <w:rPr>
          <w:rFonts w:ascii="Times New Roman" w:eastAsia="楷体_GB2312" w:hAnsi="Times New Roman"/>
          <w:sz w:val="24"/>
          <w:szCs w:val="24"/>
        </w:rPr>
        <w:tab/>
      </w:r>
      <w:r>
        <w:rPr>
          <w:rFonts w:ascii="Times New Roman" w:eastAsia="楷体_GB2312" w:hAnsi="Times New Roman"/>
          <w:sz w:val="24"/>
          <w:szCs w:val="24"/>
        </w:rPr>
        <w:t>确保关联人士须承担保密责任，</w:t>
      </w:r>
      <w:proofErr w:type="gramStart"/>
      <w:r>
        <w:rPr>
          <w:rFonts w:ascii="Times New Roman" w:eastAsia="楷体_GB2312" w:hAnsi="Times New Roman"/>
          <w:sz w:val="24"/>
          <w:szCs w:val="24"/>
        </w:rPr>
        <w:t>于庚方监管</w:t>
      </w:r>
      <w:proofErr w:type="gramEnd"/>
      <w:r>
        <w:rPr>
          <w:rFonts w:ascii="Times New Roman" w:eastAsia="楷体_GB2312" w:hAnsi="Times New Roman"/>
          <w:sz w:val="24"/>
          <w:szCs w:val="24"/>
        </w:rPr>
        <w:t>期间取得与监管相关的所有数据均必须保密，不得向其他人士透露或藉以试图取得任何经济利益。</w:t>
      </w:r>
    </w:p>
    <w:p w14:paraId="710184A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9.3.7</w:t>
      </w:r>
      <w:r>
        <w:rPr>
          <w:rFonts w:ascii="Times New Roman" w:eastAsia="楷体_GB2312" w:hAnsi="Times New Roman"/>
          <w:sz w:val="24"/>
          <w:szCs w:val="24"/>
        </w:rPr>
        <w:tab/>
      </w:r>
      <w:proofErr w:type="gramStart"/>
      <w:r>
        <w:rPr>
          <w:rFonts w:ascii="Times New Roman" w:eastAsia="楷体_GB2312" w:hAnsi="Times New Roman"/>
          <w:sz w:val="24"/>
          <w:szCs w:val="24"/>
        </w:rPr>
        <w:t>庚方有权</w:t>
      </w:r>
      <w:proofErr w:type="gramEnd"/>
      <w:r>
        <w:rPr>
          <w:rFonts w:ascii="Times New Roman" w:eastAsia="楷体_GB2312" w:hAnsi="Times New Roman"/>
          <w:sz w:val="24"/>
          <w:szCs w:val="24"/>
        </w:rPr>
        <w:t>行使本合同及其他各方签署协议文件项</w:t>
      </w:r>
      <w:proofErr w:type="gramStart"/>
      <w:r>
        <w:rPr>
          <w:rFonts w:ascii="Times New Roman" w:eastAsia="楷体_GB2312" w:hAnsi="Times New Roman"/>
          <w:sz w:val="24"/>
          <w:szCs w:val="24"/>
        </w:rPr>
        <w:t>下各项</w:t>
      </w:r>
      <w:proofErr w:type="gramEnd"/>
      <w:r>
        <w:rPr>
          <w:rFonts w:ascii="Times New Roman" w:eastAsia="楷体_GB2312" w:hAnsi="Times New Roman"/>
          <w:sz w:val="24"/>
          <w:szCs w:val="24"/>
        </w:rPr>
        <w:t>约定</w:t>
      </w:r>
      <w:proofErr w:type="gramStart"/>
      <w:r>
        <w:rPr>
          <w:rFonts w:ascii="Times New Roman" w:eastAsia="楷体_GB2312" w:hAnsi="Times New Roman" w:hint="eastAsia"/>
          <w:sz w:val="24"/>
          <w:szCs w:val="24"/>
        </w:rPr>
        <w:t>赋予庚方的</w:t>
      </w:r>
      <w:proofErr w:type="gramEnd"/>
      <w:r>
        <w:rPr>
          <w:rFonts w:ascii="Times New Roman" w:eastAsia="楷体_GB2312" w:hAnsi="Times New Roman"/>
          <w:sz w:val="24"/>
          <w:szCs w:val="24"/>
        </w:rPr>
        <w:t>权利。</w:t>
      </w:r>
      <w:proofErr w:type="gramStart"/>
      <w:r>
        <w:rPr>
          <w:rFonts w:ascii="Times New Roman" w:eastAsia="楷体_GB2312" w:hAnsi="Times New Roman"/>
          <w:sz w:val="24"/>
          <w:szCs w:val="24"/>
        </w:rPr>
        <w:t>庚方有</w:t>
      </w:r>
      <w:proofErr w:type="gramEnd"/>
      <w:r>
        <w:rPr>
          <w:rFonts w:ascii="Times New Roman" w:eastAsia="楷体_GB2312" w:hAnsi="Times New Roman"/>
          <w:sz w:val="24"/>
          <w:szCs w:val="24"/>
        </w:rPr>
        <w:t>义务按本合同约定履行监管职责。</w:t>
      </w:r>
    </w:p>
    <w:p w14:paraId="624AF313"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9</w:t>
      </w:r>
      <w:r>
        <w:rPr>
          <w:rFonts w:ascii="Times New Roman" w:eastAsia="楷体_GB2312" w:hAnsi="Times New Roman"/>
          <w:sz w:val="24"/>
          <w:szCs w:val="24"/>
        </w:rPr>
        <w:t>.3.8</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庚方应当</w:t>
      </w:r>
      <w:proofErr w:type="gramEnd"/>
      <w:r>
        <w:rPr>
          <w:rFonts w:ascii="Times New Roman" w:eastAsia="楷体_GB2312" w:hAnsi="Times New Roman" w:hint="eastAsia"/>
          <w:sz w:val="24"/>
          <w:szCs w:val="24"/>
        </w:rPr>
        <w:t>尽职检测标的项目运转情况，若在日常管理中发现标的项目运转条件变化、触发对赌条款、发现风险隐患及其他各方签署协议文件项下约定应当采取管控措施的情况，应当及时向甲方进行汇报。</w:t>
      </w:r>
    </w:p>
    <w:p w14:paraId="705C1C35"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18B30435"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w:t>
      </w:r>
      <w:r>
        <w:rPr>
          <w:rFonts w:ascii="Times New Roman" w:eastAsia="楷体_GB2312" w:hAnsi="Times New Roman" w:hint="eastAsia"/>
          <w:b/>
          <w:sz w:val="24"/>
          <w:szCs w:val="24"/>
        </w:rPr>
        <w:t>十</w:t>
      </w:r>
      <w:r>
        <w:rPr>
          <w:rFonts w:ascii="Times New Roman" w:eastAsia="楷体_GB2312" w:hAnsi="Times New Roman"/>
          <w:b/>
          <w:sz w:val="24"/>
          <w:szCs w:val="24"/>
        </w:rPr>
        <w:t>条：监管服务费及支付方式</w:t>
      </w:r>
    </w:p>
    <w:p w14:paraId="26B52EE9"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b/>
          <w:bCs/>
          <w:sz w:val="24"/>
          <w:szCs w:val="24"/>
        </w:rPr>
      </w:pPr>
      <w:r>
        <w:rPr>
          <w:rFonts w:ascii="Times New Roman" w:eastAsia="楷体_GB2312" w:hAnsi="Times New Roman"/>
          <w:sz w:val="24"/>
          <w:szCs w:val="24"/>
        </w:rPr>
        <w:t>10.1</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庚方在</w:t>
      </w:r>
      <w:proofErr w:type="gramEnd"/>
      <w:r>
        <w:rPr>
          <w:rFonts w:ascii="Times New Roman" w:eastAsia="楷体_GB2312" w:hAnsi="Times New Roman" w:hint="eastAsia"/>
          <w:sz w:val="24"/>
          <w:szCs w:val="24"/>
        </w:rPr>
        <w:t>本合同项下提供监管服务应收取的服务费用由甲方以信托计划项下信托财产承担；</w:t>
      </w:r>
      <w:r>
        <w:rPr>
          <w:rFonts w:ascii="Times New Roman" w:eastAsia="楷体_GB2312" w:hAnsi="Times New Roman" w:hint="eastAsia"/>
          <w:b/>
          <w:bCs/>
          <w:sz w:val="24"/>
          <w:szCs w:val="24"/>
        </w:rPr>
        <w:t>各方一致同意并确认，本合同项下监管服务费仅由甲方以信托计划项下现金类信托财产为限予以承担，甲方不负任何垫付义务，</w:t>
      </w:r>
      <w:r>
        <w:rPr>
          <w:rFonts w:ascii="Times New Roman" w:eastAsia="楷体_GB2312" w:hAnsi="Times New Roman" w:hint="eastAsia"/>
          <w:b/>
          <w:bCs/>
          <w:sz w:val="24"/>
          <w:szCs w:val="24"/>
        </w:rPr>
        <w:lastRenderedPageBreak/>
        <w:t>如在本合同约定的当个监管服务费支付日，信托计划项下信托财产专户内资金不足以按照本合同约定支付当期监管服务费用的，则可延期到信托计划项下现金类信托财产足以支付之日支付，且</w:t>
      </w:r>
      <w:proofErr w:type="gramStart"/>
      <w:r>
        <w:rPr>
          <w:rFonts w:ascii="Times New Roman" w:eastAsia="楷体_GB2312" w:hAnsi="Times New Roman" w:hint="eastAsia"/>
          <w:b/>
          <w:bCs/>
          <w:sz w:val="24"/>
          <w:szCs w:val="24"/>
        </w:rPr>
        <w:t>不</w:t>
      </w:r>
      <w:proofErr w:type="gramEnd"/>
      <w:r>
        <w:rPr>
          <w:rFonts w:ascii="Times New Roman" w:eastAsia="楷体_GB2312" w:hAnsi="Times New Roman" w:hint="eastAsia"/>
          <w:b/>
          <w:bCs/>
          <w:sz w:val="24"/>
          <w:szCs w:val="24"/>
        </w:rPr>
        <w:t>视为甲方违约，延期期间甲方无需额外支付利息或任何资金成本。</w:t>
      </w:r>
    </w:p>
    <w:p w14:paraId="0FD56954"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10.2</w:t>
      </w:r>
      <w:r>
        <w:rPr>
          <w:rFonts w:ascii="Times New Roman" w:eastAsia="楷体_GB2312" w:hAnsi="Times New Roman"/>
          <w:sz w:val="24"/>
          <w:szCs w:val="24"/>
        </w:rPr>
        <w:tab/>
      </w:r>
      <w:r>
        <w:rPr>
          <w:rFonts w:ascii="Times New Roman" w:eastAsia="楷体_GB2312" w:hAnsi="Times New Roman" w:hint="eastAsia"/>
          <w:sz w:val="24"/>
          <w:szCs w:val="24"/>
        </w:rPr>
        <w:t>服务期限：与本信托计划存续期限一致，甲方可单方面提出延期或提前终止。</w:t>
      </w:r>
    </w:p>
    <w:p w14:paraId="0936765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10.3</w:t>
      </w:r>
      <w:r>
        <w:rPr>
          <w:rFonts w:ascii="Times New Roman" w:eastAsia="楷体_GB2312" w:hAnsi="Times New Roman"/>
          <w:sz w:val="24"/>
          <w:szCs w:val="24"/>
        </w:rPr>
        <w:tab/>
      </w:r>
      <w:r>
        <w:rPr>
          <w:rFonts w:ascii="Times New Roman" w:eastAsia="楷体_GB2312" w:hAnsi="Times New Roman" w:hint="eastAsia"/>
          <w:sz w:val="24"/>
          <w:szCs w:val="24"/>
        </w:rPr>
        <w:t>本合同项</w:t>
      </w:r>
      <w:proofErr w:type="gramStart"/>
      <w:r>
        <w:rPr>
          <w:rFonts w:ascii="Times New Roman" w:eastAsia="楷体_GB2312" w:hAnsi="Times New Roman" w:hint="eastAsia"/>
          <w:sz w:val="24"/>
          <w:szCs w:val="24"/>
        </w:rPr>
        <w:t>下庚方</w:t>
      </w:r>
      <w:proofErr w:type="gramEnd"/>
      <w:r>
        <w:rPr>
          <w:rFonts w:ascii="Times New Roman" w:eastAsia="楷体_GB2312" w:hAnsi="Times New Roman" w:hint="eastAsia"/>
          <w:sz w:val="24"/>
          <w:szCs w:val="24"/>
        </w:rPr>
        <w:t>收取监管服务费用的标准为人民币【</w:t>
      </w:r>
      <w:r>
        <w:rPr>
          <w:rFonts w:ascii="Times New Roman" w:eastAsia="楷体_GB2312" w:hAnsi="Times New Roman"/>
          <w:sz w:val="24"/>
          <w:szCs w:val="24"/>
        </w:rPr>
        <w:t>58</w:t>
      </w:r>
      <w:r>
        <w:rPr>
          <w:rFonts w:ascii="Times New Roman" w:eastAsia="楷体_GB2312" w:hAnsi="Times New Roman" w:hint="eastAsia"/>
          <w:sz w:val="24"/>
          <w:szCs w:val="24"/>
        </w:rPr>
        <w:t>】万元</w:t>
      </w:r>
      <w:r>
        <w:rPr>
          <w:rFonts w:ascii="Times New Roman" w:eastAsia="楷体_GB2312" w:hAnsi="Times New Roman"/>
          <w:sz w:val="24"/>
          <w:szCs w:val="24"/>
        </w:rPr>
        <w:t>/</w:t>
      </w:r>
      <w:r>
        <w:rPr>
          <w:rFonts w:ascii="Times New Roman" w:eastAsia="楷体_GB2312" w:hAnsi="Times New Roman" w:hint="eastAsia"/>
          <w:sz w:val="24"/>
          <w:szCs w:val="24"/>
        </w:rPr>
        <w:t>年（大写：人民币伍拾捌万元</w:t>
      </w:r>
      <w:r>
        <w:rPr>
          <w:rFonts w:ascii="Times New Roman" w:eastAsia="楷体_GB2312" w:hAnsi="Times New Roman"/>
          <w:sz w:val="24"/>
          <w:szCs w:val="24"/>
        </w:rPr>
        <w:t>/</w:t>
      </w:r>
      <w:r>
        <w:rPr>
          <w:rFonts w:ascii="Times New Roman" w:eastAsia="楷体_GB2312" w:hAnsi="Times New Roman" w:hint="eastAsia"/>
          <w:sz w:val="24"/>
          <w:szCs w:val="24"/>
        </w:rPr>
        <w:t>年）（含税）。监管服务费</w:t>
      </w:r>
      <w:proofErr w:type="gramStart"/>
      <w:r>
        <w:rPr>
          <w:rFonts w:ascii="Times New Roman" w:eastAsia="楷体_GB2312" w:hAnsi="Times New Roman" w:hint="eastAsia"/>
          <w:sz w:val="24"/>
          <w:szCs w:val="24"/>
        </w:rPr>
        <w:t>用按照</w:t>
      </w:r>
      <w:proofErr w:type="gramEnd"/>
      <w:r>
        <w:rPr>
          <w:rFonts w:ascii="Times New Roman" w:eastAsia="楷体_GB2312" w:hAnsi="Times New Roman" w:hint="eastAsia"/>
          <w:sz w:val="24"/>
          <w:szCs w:val="24"/>
        </w:rPr>
        <w:t>以下方式计算：</w:t>
      </w:r>
    </w:p>
    <w:p w14:paraId="09668B4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10.3.1</w:t>
      </w:r>
      <w:r>
        <w:rPr>
          <w:rFonts w:ascii="Times New Roman" w:eastAsia="楷体_GB2312" w:hAnsi="Times New Roman"/>
          <w:sz w:val="24"/>
          <w:szCs w:val="24"/>
        </w:rPr>
        <w:tab/>
      </w:r>
      <w:r>
        <w:rPr>
          <w:rFonts w:ascii="Times New Roman" w:eastAsia="楷体_GB2312" w:hAnsi="Times New Roman" w:hint="eastAsia"/>
          <w:sz w:val="24"/>
          <w:szCs w:val="24"/>
        </w:rPr>
        <w:t>监管服务费用每月计提的监管服务费用为【</w:t>
      </w:r>
      <w:r>
        <w:rPr>
          <w:rFonts w:ascii="Times New Roman" w:eastAsia="楷体_GB2312" w:hAnsi="Times New Roman"/>
          <w:sz w:val="24"/>
          <w:szCs w:val="24"/>
        </w:rPr>
        <w:t>58</w:t>
      </w:r>
      <w:r>
        <w:rPr>
          <w:rFonts w:ascii="Times New Roman" w:eastAsia="楷体_GB2312" w:hAnsi="Times New Roman" w:hint="eastAsia"/>
          <w:sz w:val="24"/>
          <w:szCs w:val="24"/>
        </w:rPr>
        <w:t>】万元÷</w:t>
      </w:r>
      <w:r>
        <w:rPr>
          <w:rFonts w:ascii="Times New Roman" w:eastAsia="楷体_GB2312" w:hAnsi="Times New Roman"/>
          <w:sz w:val="24"/>
          <w:szCs w:val="24"/>
        </w:rPr>
        <w:t>12</w:t>
      </w:r>
      <w:r>
        <w:rPr>
          <w:rFonts w:ascii="Times New Roman" w:eastAsia="楷体_GB2312" w:hAnsi="Times New Roman" w:hint="eastAsia"/>
          <w:sz w:val="24"/>
          <w:szCs w:val="24"/>
        </w:rPr>
        <w:t>个月，每日计提的监管服务费用为【</w:t>
      </w:r>
      <w:r>
        <w:rPr>
          <w:rFonts w:ascii="Times New Roman" w:eastAsia="楷体_GB2312" w:hAnsi="Times New Roman"/>
          <w:sz w:val="24"/>
          <w:szCs w:val="24"/>
        </w:rPr>
        <w:t>58</w:t>
      </w:r>
      <w:r>
        <w:rPr>
          <w:rFonts w:ascii="Times New Roman" w:eastAsia="楷体_GB2312" w:hAnsi="Times New Roman" w:hint="eastAsia"/>
          <w:sz w:val="24"/>
          <w:szCs w:val="24"/>
        </w:rPr>
        <w:t>】万元÷</w:t>
      </w:r>
      <w:r>
        <w:rPr>
          <w:rFonts w:ascii="Times New Roman" w:eastAsia="楷体_GB2312" w:hAnsi="Times New Roman"/>
          <w:sz w:val="24"/>
          <w:szCs w:val="24"/>
        </w:rPr>
        <w:t>365</w:t>
      </w:r>
      <w:r>
        <w:rPr>
          <w:rFonts w:ascii="Times New Roman" w:eastAsia="楷体_GB2312" w:hAnsi="Times New Roman" w:hint="eastAsia"/>
          <w:sz w:val="24"/>
          <w:szCs w:val="24"/>
        </w:rPr>
        <w:t>。监管服务费用具体金额按照实际监管期限据实结算；但是，若本合同</w:t>
      </w:r>
      <w:proofErr w:type="gramStart"/>
      <w:r>
        <w:rPr>
          <w:rFonts w:ascii="Times New Roman" w:eastAsia="楷体_GB2312" w:hAnsi="Times New Roman" w:hint="eastAsia"/>
          <w:sz w:val="24"/>
          <w:szCs w:val="24"/>
        </w:rPr>
        <w:t>在庚方正式</w:t>
      </w:r>
      <w:proofErr w:type="gramEnd"/>
      <w:r>
        <w:rPr>
          <w:rFonts w:ascii="Times New Roman" w:eastAsia="楷体_GB2312" w:hAnsi="Times New Roman" w:hint="eastAsia"/>
          <w:sz w:val="24"/>
          <w:szCs w:val="24"/>
        </w:rPr>
        <w:t>驻场之日起不足三个月提前终止的，则甲方至少支付三个月监管费用。</w:t>
      </w:r>
    </w:p>
    <w:p w14:paraId="3DF9C19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10.3.2</w:t>
      </w:r>
      <w:r>
        <w:rPr>
          <w:rFonts w:ascii="Times New Roman" w:eastAsia="楷体_GB2312" w:hAnsi="Times New Roman"/>
          <w:sz w:val="24"/>
          <w:szCs w:val="24"/>
        </w:rPr>
        <w:tab/>
      </w:r>
      <w:r>
        <w:rPr>
          <w:rFonts w:ascii="Times New Roman" w:eastAsia="楷体_GB2312" w:hAnsi="Times New Roman" w:hint="eastAsia"/>
          <w:sz w:val="24"/>
          <w:szCs w:val="24"/>
        </w:rPr>
        <w:t>上述费用已包含</w:t>
      </w:r>
      <w:proofErr w:type="gramStart"/>
      <w:r>
        <w:rPr>
          <w:rFonts w:ascii="Times New Roman" w:eastAsia="楷体_GB2312" w:hAnsi="Times New Roman" w:hint="eastAsia"/>
          <w:sz w:val="24"/>
          <w:szCs w:val="24"/>
        </w:rPr>
        <w:t>庚方现场</w:t>
      </w:r>
      <w:proofErr w:type="gramEnd"/>
      <w:r>
        <w:rPr>
          <w:rFonts w:ascii="Times New Roman" w:eastAsia="楷体_GB2312" w:hAnsi="Times New Roman" w:hint="eastAsia"/>
          <w:sz w:val="24"/>
          <w:szCs w:val="24"/>
        </w:rPr>
        <w:t>监管人员往来于北京市与驻场地之间的交通费、差旅费、住宿费、服务费</w:t>
      </w:r>
      <w:proofErr w:type="gramStart"/>
      <w:r>
        <w:rPr>
          <w:rFonts w:ascii="Times New Roman" w:eastAsia="楷体_GB2312" w:hAnsi="Times New Roman" w:hint="eastAsia"/>
          <w:sz w:val="24"/>
          <w:szCs w:val="24"/>
        </w:rPr>
        <w:t>等庚方</w:t>
      </w:r>
      <w:proofErr w:type="gramEnd"/>
      <w:r>
        <w:rPr>
          <w:rFonts w:ascii="Times New Roman" w:eastAsia="楷体_GB2312" w:hAnsi="Times New Roman" w:hint="eastAsia"/>
          <w:sz w:val="24"/>
          <w:szCs w:val="24"/>
        </w:rPr>
        <w:t>履行本合同约定所需全部合理费用，具体报销标准届时按照甲方要求执行；</w:t>
      </w:r>
      <w:proofErr w:type="gramStart"/>
      <w:r>
        <w:rPr>
          <w:rFonts w:ascii="Times New Roman" w:eastAsia="楷体_GB2312" w:hAnsi="Times New Roman" w:hint="eastAsia"/>
          <w:sz w:val="24"/>
          <w:szCs w:val="24"/>
        </w:rPr>
        <w:t>庚方人员</w:t>
      </w:r>
      <w:proofErr w:type="gramEnd"/>
      <w:r>
        <w:rPr>
          <w:rFonts w:ascii="Times New Roman" w:eastAsia="楷体_GB2312" w:hAnsi="Times New Roman" w:hint="eastAsia"/>
          <w:sz w:val="24"/>
          <w:szCs w:val="24"/>
        </w:rPr>
        <w:t>在现场的必要办公场所由被监管方分别负责。除本合同另有约定外，甲方不再</w:t>
      </w:r>
      <w:proofErr w:type="gramStart"/>
      <w:r>
        <w:rPr>
          <w:rFonts w:ascii="Times New Roman" w:eastAsia="楷体_GB2312" w:hAnsi="Times New Roman" w:hint="eastAsia"/>
          <w:sz w:val="24"/>
          <w:szCs w:val="24"/>
        </w:rPr>
        <w:t>就庚方</w:t>
      </w:r>
      <w:proofErr w:type="gramEnd"/>
      <w:r>
        <w:rPr>
          <w:rFonts w:ascii="Times New Roman" w:eastAsia="楷体_GB2312" w:hAnsi="Times New Roman" w:hint="eastAsia"/>
          <w:sz w:val="24"/>
          <w:szCs w:val="24"/>
        </w:rPr>
        <w:t>履行本合同约定事宜</w:t>
      </w:r>
      <w:proofErr w:type="gramStart"/>
      <w:r>
        <w:rPr>
          <w:rFonts w:ascii="Times New Roman" w:eastAsia="楷体_GB2312" w:hAnsi="Times New Roman" w:hint="eastAsia"/>
          <w:sz w:val="24"/>
          <w:szCs w:val="24"/>
        </w:rPr>
        <w:t>向庚方</w:t>
      </w:r>
      <w:proofErr w:type="gramEnd"/>
      <w:r>
        <w:rPr>
          <w:rFonts w:ascii="Times New Roman" w:eastAsia="楷体_GB2312" w:hAnsi="Times New Roman" w:hint="eastAsia"/>
          <w:sz w:val="24"/>
          <w:szCs w:val="24"/>
        </w:rPr>
        <w:t>支付任何其他费用。</w:t>
      </w:r>
    </w:p>
    <w:p w14:paraId="31848A6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10.4</w:t>
      </w:r>
      <w:r>
        <w:rPr>
          <w:rFonts w:ascii="Times New Roman" w:eastAsia="楷体_GB2312" w:hAnsi="Times New Roman"/>
          <w:sz w:val="24"/>
          <w:szCs w:val="24"/>
        </w:rPr>
        <w:tab/>
      </w:r>
      <w:r>
        <w:rPr>
          <w:rFonts w:ascii="Times New Roman" w:eastAsia="楷体_GB2312" w:hAnsi="Times New Roman" w:hint="eastAsia"/>
          <w:sz w:val="24"/>
          <w:szCs w:val="24"/>
        </w:rPr>
        <w:t>支付方式：</w:t>
      </w:r>
    </w:p>
    <w:p w14:paraId="44BF903A"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10.4.1</w:t>
      </w:r>
      <w:r>
        <w:rPr>
          <w:rFonts w:ascii="Times New Roman" w:eastAsia="楷体_GB2312" w:hAnsi="Times New Roman"/>
          <w:sz w:val="24"/>
          <w:szCs w:val="24"/>
        </w:rPr>
        <w:tab/>
      </w:r>
      <w:r>
        <w:rPr>
          <w:rFonts w:ascii="Times New Roman" w:eastAsia="楷体_GB2312" w:hAnsi="Times New Roman" w:hint="eastAsia"/>
          <w:sz w:val="24"/>
          <w:szCs w:val="24"/>
        </w:rPr>
        <w:t>自《有限合伙协议》项下甲方支付首笔</w:t>
      </w:r>
      <w:r>
        <w:rPr>
          <w:rFonts w:ascii="Times New Roman" w:eastAsia="楷体_GB2312" w:hAnsi="Times New Roman"/>
          <w:sz w:val="24"/>
          <w:szCs w:val="24"/>
        </w:rPr>
        <w:t>实缴出资</w:t>
      </w:r>
      <w:r>
        <w:rPr>
          <w:rFonts w:ascii="Times New Roman" w:eastAsia="楷体_GB2312" w:hAnsi="Times New Roman" w:hint="eastAsia"/>
          <w:sz w:val="24"/>
          <w:szCs w:val="24"/>
        </w:rPr>
        <w:t>款之日（含该日）起每届满</w:t>
      </w:r>
      <w:r>
        <w:rPr>
          <w:rFonts w:ascii="Times New Roman" w:eastAsia="楷体_GB2312" w:hAnsi="Times New Roman"/>
          <w:sz w:val="24"/>
          <w:szCs w:val="24"/>
        </w:rPr>
        <w:t>3</w:t>
      </w:r>
      <w:r>
        <w:rPr>
          <w:rFonts w:ascii="Times New Roman" w:eastAsia="楷体_GB2312" w:hAnsi="Times New Roman" w:hint="eastAsia"/>
          <w:sz w:val="24"/>
          <w:szCs w:val="24"/>
        </w:rPr>
        <w:t>个月之日、本合同项下监管公司签署撤场交接单之日为监管服务费基准核算日，监管服务费支付日为各监管服务费基准核算日后</w:t>
      </w:r>
      <w:r>
        <w:rPr>
          <w:rFonts w:ascii="Times New Roman" w:eastAsia="楷体_GB2312" w:hAnsi="Times New Roman"/>
          <w:sz w:val="24"/>
          <w:szCs w:val="24"/>
        </w:rPr>
        <w:t>10</w:t>
      </w:r>
      <w:r>
        <w:rPr>
          <w:rFonts w:ascii="Times New Roman" w:eastAsia="楷体_GB2312" w:hAnsi="Times New Roman" w:hint="eastAsia"/>
          <w:sz w:val="24"/>
          <w:szCs w:val="24"/>
        </w:rPr>
        <w:t>个工作日内任一日。监管服务费核算期为一个监管服务费基准核算日（含该日）至下一个监管服务费基准核算日（不含该日）的期间，其中首个监管服务费核算期为自《有限合伙协议》项</w:t>
      </w:r>
      <w:proofErr w:type="gramStart"/>
      <w:r>
        <w:rPr>
          <w:rFonts w:ascii="Times New Roman" w:eastAsia="楷体_GB2312" w:hAnsi="Times New Roman" w:hint="eastAsia"/>
          <w:sz w:val="24"/>
          <w:szCs w:val="24"/>
        </w:rPr>
        <w:t>下庚方</w:t>
      </w:r>
      <w:proofErr w:type="gramEnd"/>
      <w:r>
        <w:rPr>
          <w:rFonts w:ascii="Times New Roman" w:eastAsia="楷体_GB2312" w:hAnsi="Times New Roman" w:hint="eastAsia"/>
          <w:sz w:val="24"/>
          <w:szCs w:val="24"/>
        </w:rPr>
        <w:t>签署驻场交接单之日（含该日）至该日后第一个监管服务费基准核算日（不含该日）的期间。</w:t>
      </w:r>
    </w:p>
    <w:p w14:paraId="040CDAFD"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10.4.2</w:t>
      </w:r>
      <w:r>
        <w:rPr>
          <w:rFonts w:ascii="Times New Roman" w:eastAsia="楷体_GB2312" w:hAnsi="Times New Roman"/>
          <w:sz w:val="24"/>
          <w:szCs w:val="24"/>
        </w:rPr>
        <w:tab/>
      </w:r>
      <w:r>
        <w:rPr>
          <w:rFonts w:ascii="Times New Roman" w:eastAsia="楷体_GB2312" w:hAnsi="Times New Roman" w:hint="eastAsia"/>
          <w:sz w:val="24"/>
          <w:szCs w:val="24"/>
        </w:rPr>
        <w:t>甲方应于各监管服务费支付日</w:t>
      </w:r>
      <w:proofErr w:type="gramStart"/>
      <w:r>
        <w:rPr>
          <w:rFonts w:ascii="Times New Roman" w:eastAsia="楷体_GB2312" w:hAnsi="Times New Roman" w:hint="eastAsia"/>
          <w:sz w:val="24"/>
          <w:szCs w:val="24"/>
        </w:rPr>
        <w:t>向庚方</w:t>
      </w:r>
      <w:proofErr w:type="gramEnd"/>
      <w:r>
        <w:rPr>
          <w:rFonts w:ascii="Times New Roman" w:eastAsia="楷体_GB2312" w:hAnsi="Times New Roman" w:hint="eastAsia"/>
          <w:sz w:val="24"/>
          <w:szCs w:val="24"/>
        </w:rPr>
        <w:t>支付的监管服务费</w:t>
      </w:r>
      <w:r>
        <w:rPr>
          <w:rFonts w:ascii="Times New Roman" w:eastAsia="楷体_GB2312" w:hAnsi="Times New Roman"/>
          <w:sz w:val="24"/>
          <w:szCs w:val="24"/>
        </w:rPr>
        <w:t>=</w:t>
      </w:r>
      <w:r>
        <w:rPr>
          <w:rFonts w:ascii="Times New Roman" w:eastAsia="楷体_GB2312" w:hAnsi="Times New Roman" w:hint="eastAsia"/>
          <w:sz w:val="24"/>
          <w:szCs w:val="24"/>
        </w:rPr>
        <w:t>【</w:t>
      </w:r>
      <w:r>
        <w:rPr>
          <w:rFonts w:ascii="Times New Roman" w:eastAsia="楷体_GB2312" w:hAnsi="Times New Roman"/>
          <w:sz w:val="24"/>
          <w:szCs w:val="24"/>
        </w:rPr>
        <w:t>58</w:t>
      </w:r>
      <w:r>
        <w:rPr>
          <w:rFonts w:ascii="Times New Roman" w:eastAsia="楷体_GB2312" w:hAnsi="Times New Roman" w:hint="eastAsia"/>
          <w:sz w:val="24"/>
          <w:szCs w:val="24"/>
        </w:rPr>
        <w:t>】万元×该监管服务费支付日对应的前一个监管服务费核算期的实际天数÷</w:t>
      </w:r>
      <w:r>
        <w:rPr>
          <w:rFonts w:ascii="Times New Roman" w:eastAsia="楷体_GB2312" w:hAnsi="Times New Roman"/>
          <w:sz w:val="24"/>
          <w:szCs w:val="24"/>
        </w:rPr>
        <w:t>365</w:t>
      </w:r>
      <w:r>
        <w:rPr>
          <w:rFonts w:ascii="Times New Roman" w:eastAsia="楷体_GB2312" w:hAnsi="Times New Roman" w:hint="eastAsia"/>
          <w:sz w:val="24"/>
          <w:szCs w:val="24"/>
        </w:rPr>
        <w:t>天。</w:t>
      </w:r>
    </w:p>
    <w:p w14:paraId="7C39CE2F"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10.4.3</w:t>
      </w:r>
      <w:r>
        <w:rPr>
          <w:rFonts w:ascii="Times New Roman" w:eastAsia="楷体_GB2312" w:hAnsi="Times New Roman"/>
          <w:sz w:val="24"/>
          <w:szCs w:val="24"/>
        </w:rPr>
        <w:tab/>
      </w:r>
      <w:proofErr w:type="gramStart"/>
      <w:r>
        <w:rPr>
          <w:rFonts w:ascii="Times New Roman" w:eastAsia="楷体_GB2312" w:hAnsi="Times New Roman" w:hint="eastAsia"/>
          <w:sz w:val="24"/>
          <w:szCs w:val="24"/>
        </w:rPr>
        <w:t>庚方应</w:t>
      </w:r>
      <w:proofErr w:type="gramEnd"/>
      <w:r>
        <w:rPr>
          <w:rFonts w:ascii="Times New Roman" w:eastAsia="楷体_GB2312" w:hAnsi="Times New Roman" w:hint="eastAsia"/>
          <w:sz w:val="24"/>
          <w:szCs w:val="24"/>
        </w:rPr>
        <w:t>在甲方支付监管服务费用前向甲方提交以下材料并满足以下条件，否则，甲方有权拒绝支付本合同项下监管</w:t>
      </w:r>
      <w:proofErr w:type="gramStart"/>
      <w:r>
        <w:rPr>
          <w:rFonts w:ascii="Times New Roman" w:eastAsia="楷体_GB2312" w:hAnsi="Times New Roman" w:hint="eastAsia"/>
          <w:sz w:val="24"/>
          <w:szCs w:val="24"/>
        </w:rPr>
        <w:t>服务费用且不</w:t>
      </w:r>
      <w:proofErr w:type="gramEnd"/>
      <w:r>
        <w:rPr>
          <w:rFonts w:ascii="Times New Roman" w:eastAsia="楷体_GB2312" w:hAnsi="Times New Roman" w:hint="eastAsia"/>
          <w:sz w:val="24"/>
          <w:szCs w:val="24"/>
        </w:rPr>
        <w:t>承担任何责任：</w:t>
      </w:r>
    </w:p>
    <w:p w14:paraId="50A7DCB5"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sz w:val="24"/>
          <w:szCs w:val="24"/>
        </w:rPr>
        <w:t>1</w:t>
      </w:r>
      <w:r>
        <w:rPr>
          <w:rFonts w:ascii="Times New Roman" w:eastAsia="楷体_GB2312" w:hAnsi="Times New Roman" w:hint="eastAsia"/>
          <w:sz w:val="24"/>
          <w:szCs w:val="24"/>
        </w:rPr>
        <w:t>）甲方支付监管服务费前，</w:t>
      </w:r>
      <w:proofErr w:type="gramStart"/>
      <w:r>
        <w:rPr>
          <w:rFonts w:ascii="Times New Roman" w:eastAsia="楷体_GB2312" w:hAnsi="Times New Roman" w:hint="eastAsia"/>
          <w:sz w:val="24"/>
          <w:szCs w:val="24"/>
        </w:rPr>
        <w:t>庚方向</w:t>
      </w:r>
      <w:proofErr w:type="gramEnd"/>
      <w:r>
        <w:rPr>
          <w:rFonts w:ascii="Times New Roman" w:eastAsia="楷体_GB2312" w:hAnsi="Times New Roman" w:hint="eastAsia"/>
          <w:sz w:val="24"/>
          <w:szCs w:val="24"/>
        </w:rPr>
        <w:t>甲方提供符合甲方要求的等额正式增值税专用发票；</w:t>
      </w:r>
    </w:p>
    <w:p w14:paraId="52CADA8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sz w:val="24"/>
          <w:szCs w:val="24"/>
        </w:rPr>
        <w:t>2</w:t>
      </w:r>
      <w:r>
        <w:rPr>
          <w:rFonts w:ascii="Times New Roman" w:eastAsia="楷体_GB2312" w:hAnsi="Times New Roman" w:hint="eastAsia"/>
          <w:sz w:val="24"/>
          <w:szCs w:val="24"/>
        </w:rPr>
        <w:t>）</w:t>
      </w:r>
      <w:proofErr w:type="gramStart"/>
      <w:r>
        <w:rPr>
          <w:rFonts w:ascii="Times New Roman" w:eastAsia="楷体_GB2312" w:hAnsi="Times New Roman" w:hint="eastAsia"/>
          <w:sz w:val="24"/>
          <w:szCs w:val="24"/>
        </w:rPr>
        <w:t>庚方提供</w:t>
      </w:r>
      <w:proofErr w:type="gramEnd"/>
      <w:r>
        <w:rPr>
          <w:rFonts w:ascii="Times New Roman" w:eastAsia="楷体_GB2312" w:hAnsi="Times New Roman" w:hint="eastAsia"/>
          <w:sz w:val="24"/>
          <w:szCs w:val="24"/>
        </w:rPr>
        <w:t>的监管服务符合本合同及其附件约定。</w:t>
      </w:r>
    </w:p>
    <w:p w14:paraId="4B2D5D08"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10.5</w:t>
      </w:r>
      <w:r>
        <w:rPr>
          <w:rFonts w:ascii="Times New Roman" w:eastAsia="楷体_GB2312" w:hAnsi="Times New Roman"/>
          <w:sz w:val="24"/>
          <w:szCs w:val="24"/>
        </w:rPr>
        <w:tab/>
      </w:r>
      <w:r>
        <w:rPr>
          <w:rFonts w:ascii="Times New Roman" w:eastAsia="楷体_GB2312" w:hAnsi="Times New Roman" w:hint="eastAsia"/>
          <w:sz w:val="24"/>
          <w:szCs w:val="24"/>
        </w:rPr>
        <w:t>甲方应按照本合同第</w:t>
      </w:r>
      <w:r>
        <w:rPr>
          <w:rFonts w:ascii="Times New Roman" w:eastAsia="楷体_GB2312" w:hAnsi="Times New Roman"/>
          <w:sz w:val="24"/>
          <w:szCs w:val="24"/>
        </w:rPr>
        <w:t>10.4</w:t>
      </w:r>
      <w:r>
        <w:rPr>
          <w:rFonts w:ascii="Times New Roman" w:eastAsia="楷体_GB2312" w:hAnsi="Times New Roman" w:hint="eastAsia"/>
          <w:sz w:val="24"/>
          <w:szCs w:val="24"/>
        </w:rPr>
        <w:t>款规定，将应付的监管服务费汇至</w:t>
      </w:r>
      <w:proofErr w:type="gramStart"/>
      <w:r>
        <w:rPr>
          <w:rFonts w:ascii="Times New Roman" w:eastAsia="楷体_GB2312" w:hAnsi="Times New Roman" w:hint="eastAsia"/>
          <w:sz w:val="24"/>
          <w:szCs w:val="24"/>
        </w:rPr>
        <w:t>如下庚方银行</w:t>
      </w:r>
      <w:proofErr w:type="gramEnd"/>
      <w:r>
        <w:rPr>
          <w:rFonts w:ascii="Times New Roman" w:eastAsia="楷体_GB2312" w:hAnsi="Times New Roman" w:hint="eastAsia"/>
          <w:sz w:val="24"/>
          <w:szCs w:val="24"/>
        </w:rPr>
        <w:t>账户：</w:t>
      </w:r>
    </w:p>
    <w:p w14:paraId="2656D167" w14:textId="77777777" w:rsidR="00CC4C43" w:rsidRDefault="007731E0">
      <w:pPr>
        <w:adjustRightInd w:val="0"/>
        <w:snapToGrid w:val="0"/>
        <w:spacing w:afterLines="20" w:after="62" w:line="288" w:lineRule="auto"/>
        <w:ind w:leftChars="309" w:left="1297" w:hangingChars="270" w:hanging="648"/>
        <w:rPr>
          <w:rFonts w:ascii="Times New Roman" w:eastAsia="楷体_GB2312" w:hAnsi="Times New Roman"/>
          <w:sz w:val="24"/>
          <w:szCs w:val="24"/>
        </w:rPr>
      </w:pPr>
      <w:r>
        <w:rPr>
          <w:rFonts w:ascii="Times New Roman" w:eastAsia="楷体_GB2312" w:hAnsi="Times New Roman" w:hint="eastAsia"/>
          <w:sz w:val="24"/>
          <w:szCs w:val="24"/>
        </w:rPr>
        <w:t>名称：北京康信君安资产管理有限公司</w:t>
      </w:r>
    </w:p>
    <w:p w14:paraId="6BAC198F" w14:textId="77777777" w:rsidR="00CC4C43" w:rsidRDefault="007731E0">
      <w:pPr>
        <w:adjustRightInd w:val="0"/>
        <w:snapToGrid w:val="0"/>
        <w:spacing w:afterLines="20" w:after="62" w:line="288" w:lineRule="auto"/>
        <w:ind w:leftChars="309" w:left="1297" w:hangingChars="270" w:hanging="648"/>
        <w:rPr>
          <w:rFonts w:ascii="Times New Roman" w:eastAsia="楷体_GB2312" w:hAnsi="Times New Roman"/>
          <w:sz w:val="24"/>
          <w:szCs w:val="24"/>
        </w:rPr>
      </w:pPr>
      <w:r>
        <w:rPr>
          <w:rFonts w:ascii="Times New Roman" w:eastAsia="楷体_GB2312" w:hAnsi="Times New Roman" w:hint="eastAsia"/>
          <w:sz w:val="24"/>
          <w:szCs w:val="24"/>
        </w:rPr>
        <w:lastRenderedPageBreak/>
        <w:t>纳税人识别号：</w:t>
      </w:r>
      <w:r>
        <w:rPr>
          <w:rFonts w:ascii="Times New Roman" w:eastAsia="楷体_GB2312" w:hAnsi="Times New Roman"/>
          <w:sz w:val="24"/>
          <w:szCs w:val="24"/>
        </w:rPr>
        <w:t>91110108318246596L</w:t>
      </w:r>
    </w:p>
    <w:p w14:paraId="445D652E" w14:textId="77777777" w:rsidR="00CC4C43" w:rsidRDefault="007731E0">
      <w:pPr>
        <w:adjustRightInd w:val="0"/>
        <w:snapToGrid w:val="0"/>
        <w:spacing w:afterLines="20" w:after="62" w:line="288" w:lineRule="auto"/>
        <w:ind w:leftChars="309" w:left="1297" w:hangingChars="270" w:hanging="648"/>
        <w:rPr>
          <w:rFonts w:ascii="Times New Roman" w:eastAsia="楷体_GB2312" w:hAnsi="Times New Roman"/>
          <w:sz w:val="24"/>
          <w:szCs w:val="24"/>
        </w:rPr>
      </w:pPr>
      <w:r>
        <w:rPr>
          <w:rFonts w:ascii="Times New Roman" w:eastAsia="楷体_GB2312" w:hAnsi="Times New Roman" w:hint="eastAsia"/>
          <w:sz w:val="24"/>
          <w:szCs w:val="24"/>
        </w:rPr>
        <w:t>地址、电话：北京市朝阳区裕民路</w:t>
      </w:r>
      <w:r>
        <w:rPr>
          <w:rFonts w:ascii="Times New Roman" w:eastAsia="楷体_GB2312" w:hAnsi="Times New Roman"/>
          <w:sz w:val="24"/>
          <w:szCs w:val="24"/>
        </w:rPr>
        <w:t>12</w:t>
      </w:r>
      <w:r>
        <w:rPr>
          <w:rFonts w:ascii="Times New Roman" w:eastAsia="楷体_GB2312" w:hAnsi="Times New Roman" w:hint="eastAsia"/>
          <w:sz w:val="24"/>
          <w:szCs w:val="24"/>
        </w:rPr>
        <w:t>号</w:t>
      </w:r>
      <w:r>
        <w:rPr>
          <w:rFonts w:ascii="Times New Roman" w:eastAsia="楷体_GB2312" w:hAnsi="Times New Roman"/>
          <w:sz w:val="24"/>
          <w:szCs w:val="24"/>
        </w:rPr>
        <w:t>1</w:t>
      </w:r>
      <w:r>
        <w:rPr>
          <w:rFonts w:ascii="Times New Roman" w:eastAsia="楷体_GB2312" w:hAnsi="Times New Roman" w:hint="eastAsia"/>
          <w:sz w:val="24"/>
          <w:szCs w:val="24"/>
        </w:rPr>
        <w:t>号楼</w:t>
      </w:r>
      <w:r>
        <w:rPr>
          <w:rFonts w:ascii="Times New Roman" w:eastAsia="楷体_GB2312" w:hAnsi="Times New Roman"/>
          <w:sz w:val="24"/>
          <w:szCs w:val="24"/>
        </w:rPr>
        <w:t>10</w:t>
      </w:r>
      <w:r>
        <w:rPr>
          <w:rFonts w:ascii="Times New Roman" w:eastAsia="楷体_GB2312" w:hAnsi="Times New Roman" w:hint="eastAsia"/>
          <w:sz w:val="24"/>
          <w:szCs w:val="24"/>
        </w:rPr>
        <w:t>层</w:t>
      </w:r>
      <w:r>
        <w:rPr>
          <w:rFonts w:ascii="Times New Roman" w:eastAsia="楷体_GB2312" w:hAnsi="Times New Roman"/>
          <w:sz w:val="24"/>
          <w:szCs w:val="24"/>
        </w:rPr>
        <w:t>B1001 010-82253558</w:t>
      </w:r>
    </w:p>
    <w:p w14:paraId="4DFF74A5" w14:textId="77777777" w:rsidR="00CC4C43" w:rsidRDefault="007731E0">
      <w:pPr>
        <w:adjustRightInd w:val="0"/>
        <w:snapToGrid w:val="0"/>
        <w:spacing w:afterLines="20" w:after="62" w:line="288" w:lineRule="auto"/>
        <w:ind w:leftChars="309" w:left="649"/>
        <w:rPr>
          <w:rFonts w:ascii="Times New Roman" w:eastAsia="楷体_GB2312" w:hAnsi="Times New Roman"/>
          <w:sz w:val="24"/>
          <w:szCs w:val="24"/>
        </w:rPr>
      </w:pPr>
      <w:r>
        <w:rPr>
          <w:rFonts w:ascii="Times New Roman" w:eastAsia="楷体_GB2312" w:hAnsi="Times New Roman" w:hint="eastAsia"/>
          <w:sz w:val="24"/>
          <w:szCs w:val="24"/>
        </w:rPr>
        <w:t>开户行及账号：中国工商银行股份有限公司北京地安门支行</w:t>
      </w:r>
      <w:r>
        <w:rPr>
          <w:rFonts w:ascii="Times New Roman" w:eastAsia="楷体_GB2312" w:hAnsi="Times New Roman"/>
          <w:sz w:val="24"/>
          <w:szCs w:val="24"/>
        </w:rPr>
        <w:t>0200337619100015708</w:t>
      </w:r>
      <w:r>
        <w:rPr>
          <w:rFonts w:ascii="Times New Roman" w:eastAsia="楷体_GB2312" w:hAnsi="Times New Roman"/>
          <w:sz w:val="24"/>
          <w:szCs w:val="24"/>
        </w:rPr>
        <w:cr/>
      </w:r>
    </w:p>
    <w:p w14:paraId="5C2ABD19" w14:textId="77777777" w:rsidR="00CC4C43" w:rsidRDefault="00CC4C43">
      <w:pPr>
        <w:adjustRightInd w:val="0"/>
        <w:snapToGrid w:val="0"/>
        <w:spacing w:afterLines="20" w:after="62" w:line="288" w:lineRule="auto"/>
        <w:ind w:firstLine="1"/>
        <w:rPr>
          <w:rFonts w:ascii="Times New Roman" w:eastAsia="楷体_GB2312" w:hAnsi="Times New Roman"/>
          <w:b/>
          <w:sz w:val="24"/>
          <w:szCs w:val="24"/>
        </w:rPr>
      </w:pPr>
    </w:p>
    <w:p w14:paraId="6EA55C25"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第十</w:t>
      </w:r>
      <w:r>
        <w:rPr>
          <w:rFonts w:ascii="Times New Roman" w:eastAsia="楷体_GB2312" w:hAnsi="Times New Roman" w:hint="eastAsia"/>
          <w:b/>
          <w:sz w:val="24"/>
          <w:szCs w:val="24"/>
        </w:rPr>
        <w:t>一</w:t>
      </w:r>
      <w:r>
        <w:rPr>
          <w:rFonts w:ascii="Times New Roman" w:eastAsia="楷体_GB2312" w:hAnsi="Times New Roman"/>
          <w:b/>
          <w:sz w:val="24"/>
          <w:szCs w:val="24"/>
        </w:rPr>
        <w:t>条：保密义务</w:t>
      </w:r>
    </w:p>
    <w:p w14:paraId="58CCDF24"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11.1.</w:t>
      </w:r>
      <w:r>
        <w:rPr>
          <w:rFonts w:ascii="Times New Roman" w:eastAsia="楷体_GB2312" w:hAnsi="Times New Roman"/>
          <w:sz w:val="24"/>
          <w:szCs w:val="24"/>
        </w:rPr>
        <w:tab/>
      </w:r>
      <w:r>
        <w:rPr>
          <w:rFonts w:ascii="Times New Roman" w:eastAsia="楷体_GB2312" w:hAnsi="Times New Roman"/>
          <w:sz w:val="24"/>
          <w:szCs w:val="24"/>
        </w:rPr>
        <w:t>与本合同有关的任何信息均为本合同的保密信息，未经各方的明确事先书面同意，任何一方均不得向任何第三方披露本合同或</w:t>
      </w:r>
      <w:r>
        <w:rPr>
          <w:rFonts w:ascii="Times New Roman" w:eastAsia="楷体_GB2312" w:hAnsi="Times New Roman" w:hint="eastAsia"/>
          <w:sz w:val="24"/>
          <w:szCs w:val="24"/>
        </w:rPr>
        <w:t>被监管方</w:t>
      </w:r>
      <w:r>
        <w:rPr>
          <w:rFonts w:ascii="Times New Roman" w:eastAsia="楷体_GB2312" w:hAnsi="Times New Roman"/>
          <w:sz w:val="24"/>
          <w:szCs w:val="24"/>
        </w:rPr>
        <w:t>及标的项目有关的任何信息，但其同意受本保密条款约束的律师或其他顾问以及法律另有规定的除外。</w:t>
      </w:r>
    </w:p>
    <w:p w14:paraId="469950E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11.2.</w:t>
      </w:r>
      <w:r>
        <w:rPr>
          <w:rFonts w:ascii="Times New Roman" w:eastAsia="楷体_GB2312" w:hAnsi="Times New Roman"/>
          <w:sz w:val="24"/>
          <w:szCs w:val="24"/>
        </w:rPr>
        <w:tab/>
      </w:r>
      <w:r>
        <w:rPr>
          <w:rFonts w:ascii="Times New Roman" w:eastAsia="楷体_GB2312" w:hAnsi="Times New Roman"/>
          <w:sz w:val="24"/>
          <w:szCs w:val="24"/>
        </w:rPr>
        <w:t>在下列情形下，不适用前述第</w:t>
      </w:r>
      <w:r>
        <w:rPr>
          <w:rFonts w:ascii="Times New Roman" w:eastAsia="楷体_GB2312" w:hAnsi="Times New Roman"/>
          <w:sz w:val="24"/>
          <w:szCs w:val="24"/>
        </w:rPr>
        <w:t>11.1</w:t>
      </w:r>
      <w:r>
        <w:rPr>
          <w:rFonts w:ascii="Times New Roman" w:eastAsia="楷体_GB2312" w:hAnsi="Times New Roman"/>
          <w:sz w:val="24"/>
          <w:szCs w:val="24"/>
        </w:rPr>
        <w:t>款的约定：</w:t>
      </w:r>
    </w:p>
    <w:p w14:paraId="02C18C2F" w14:textId="77777777" w:rsidR="00CC4C43" w:rsidRDefault="007731E0">
      <w:pPr>
        <w:adjustRightInd w:val="0"/>
        <w:snapToGrid w:val="0"/>
        <w:spacing w:afterLines="20" w:after="62" w:line="288" w:lineRule="auto"/>
        <w:ind w:leftChars="97" w:left="1133" w:hangingChars="387" w:hanging="929"/>
        <w:rPr>
          <w:rFonts w:ascii="Times New Roman" w:eastAsia="楷体_GB2312" w:hAnsi="Times New Roman"/>
          <w:sz w:val="24"/>
          <w:szCs w:val="24"/>
        </w:rPr>
      </w:pPr>
      <w:r>
        <w:rPr>
          <w:rFonts w:ascii="Times New Roman" w:eastAsia="楷体_GB2312" w:hAnsi="Times New Roman"/>
          <w:sz w:val="24"/>
          <w:szCs w:val="24"/>
        </w:rPr>
        <w:t>11.2.1.</w:t>
      </w:r>
      <w:r>
        <w:rPr>
          <w:rFonts w:ascii="Times New Roman" w:eastAsia="楷体_GB2312" w:hAnsi="Times New Roman"/>
          <w:sz w:val="24"/>
          <w:szCs w:val="24"/>
        </w:rPr>
        <w:tab/>
      </w:r>
      <w:r>
        <w:rPr>
          <w:rFonts w:ascii="Times New Roman" w:eastAsia="楷体_GB2312" w:hAnsi="Times New Roman"/>
          <w:sz w:val="24"/>
          <w:szCs w:val="24"/>
        </w:rPr>
        <w:t>法律、法规、任何监管机关要求或根据信托计划信托文件约定披露或使用的；</w:t>
      </w:r>
    </w:p>
    <w:p w14:paraId="562B8784" w14:textId="77777777" w:rsidR="00CC4C43" w:rsidRDefault="007731E0">
      <w:pPr>
        <w:adjustRightInd w:val="0"/>
        <w:snapToGrid w:val="0"/>
        <w:spacing w:afterLines="20" w:after="62" w:line="288" w:lineRule="auto"/>
        <w:ind w:leftChars="97" w:left="1133" w:hangingChars="387" w:hanging="929"/>
        <w:rPr>
          <w:rFonts w:ascii="Times New Roman" w:eastAsia="楷体_GB2312" w:hAnsi="Times New Roman"/>
          <w:sz w:val="24"/>
          <w:szCs w:val="24"/>
        </w:rPr>
      </w:pPr>
      <w:r>
        <w:rPr>
          <w:rFonts w:ascii="Times New Roman" w:eastAsia="楷体_GB2312" w:hAnsi="Times New Roman"/>
          <w:sz w:val="24"/>
          <w:szCs w:val="24"/>
        </w:rPr>
        <w:t>11.2.2.</w:t>
      </w:r>
      <w:r>
        <w:rPr>
          <w:rFonts w:ascii="Times New Roman" w:eastAsia="楷体_GB2312" w:hAnsi="Times New Roman"/>
          <w:sz w:val="24"/>
          <w:szCs w:val="24"/>
        </w:rPr>
        <w:tab/>
      </w:r>
      <w:r>
        <w:rPr>
          <w:rFonts w:ascii="Times New Roman" w:eastAsia="楷体_GB2312" w:hAnsi="Times New Roman"/>
          <w:sz w:val="24"/>
          <w:szCs w:val="24"/>
        </w:rPr>
        <w:t>为将本合同的全部利益赋予各方而要求披露或使用的；</w:t>
      </w:r>
    </w:p>
    <w:p w14:paraId="5EFAC5BE" w14:textId="77777777" w:rsidR="00CC4C43" w:rsidRDefault="007731E0">
      <w:pPr>
        <w:adjustRightInd w:val="0"/>
        <w:snapToGrid w:val="0"/>
        <w:spacing w:afterLines="20" w:after="62" w:line="288" w:lineRule="auto"/>
        <w:ind w:leftChars="97" w:left="1133" w:hangingChars="387" w:hanging="929"/>
        <w:rPr>
          <w:rFonts w:ascii="Times New Roman" w:eastAsia="楷体_GB2312" w:hAnsi="Times New Roman"/>
          <w:sz w:val="24"/>
          <w:szCs w:val="24"/>
        </w:rPr>
      </w:pPr>
      <w:r>
        <w:rPr>
          <w:rFonts w:ascii="Times New Roman" w:eastAsia="楷体_GB2312" w:hAnsi="Times New Roman"/>
          <w:sz w:val="24"/>
          <w:szCs w:val="24"/>
        </w:rPr>
        <w:t>11.2.3.</w:t>
      </w:r>
      <w:r>
        <w:rPr>
          <w:rFonts w:ascii="Times New Roman" w:eastAsia="楷体_GB2312" w:hAnsi="Times New Roman"/>
          <w:sz w:val="24"/>
          <w:szCs w:val="24"/>
        </w:rPr>
        <w:tab/>
      </w:r>
      <w:r>
        <w:rPr>
          <w:rFonts w:ascii="Times New Roman" w:eastAsia="楷体_GB2312" w:hAnsi="Times New Roman"/>
          <w:sz w:val="24"/>
          <w:szCs w:val="24"/>
        </w:rPr>
        <w:t>因本合同或根据本合同而订立的任何其他合同而引起的任何司法程序而要求披露或使用的，或合理</w:t>
      </w:r>
      <w:proofErr w:type="gramStart"/>
      <w:r>
        <w:rPr>
          <w:rFonts w:ascii="Times New Roman" w:eastAsia="楷体_GB2312" w:hAnsi="Times New Roman"/>
          <w:sz w:val="24"/>
          <w:szCs w:val="24"/>
        </w:rPr>
        <w:t>向税收</w:t>
      </w:r>
      <w:proofErr w:type="gramEnd"/>
      <w:r>
        <w:rPr>
          <w:rFonts w:ascii="Times New Roman" w:eastAsia="楷体_GB2312" w:hAnsi="Times New Roman"/>
          <w:sz w:val="24"/>
          <w:szCs w:val="24"/>
        </w:rPr>
        <w:t>机关披露有关披露</w:t>
      </w:r>
      <w:proofErr w:type="gramStart"/>
      <w:r>
        <w:rPr>
          <w:rFonts w:ascii="Times New Roman" w:eastAsia="楷体_GB2312" w:hAnsi="Times New Roman"/>
          <w:sz w:val="24"/>
          <w:szCs w:val="24"/>
        </w:rPr>
        <w:t>方税收</w:t>
      </w:r>
      <w:proofErr w:type="gramEnd"/>
      <w:r>
        <w:rPr>
          <w:rFonts w:ascii="Times New Roman" w:eastAsia="楷体_GB2312" w:hAnsi="Times New Roman"/>
          <w:sz w:val="24"/>
          <w:szCs w:val="24"/>
        </w:rPr>
        <w:t>事宜的；</w:t>
      </w:r>
    </w:p>
    <w:p w14:paraId="5581055B" w14:textId="77777777" w:rsidR="00CC4C43" w:rsidRDefault="007731E0">
      <w:pPr>
        <w:adjustRightInd w:val="0"/>
        <w:snapToGrid w:val="0"/>
        <w:spacing w:afterLines="20" w:after="62" w:line="288" w:lineRule="auto"/>
        <w:ind w:leftChars="97" w:left="1133" w:hangingChars="387" w:hanging="929"/>
        <w:rPr>
          <w:rFonts w:ascii="Times New Roman" w:eastAsia="楷体_GB2312" w:hAnsi="Times New Roman"/>
          <w:sz w:val="24"/>
          <w:szCs w:val="24"/>
        </w:rPr>
      </w:pPr>
      <w:r>
        <w:rPr>
          <w:rFonts w:ascii="Times New Roman" w:eastAsia="楷体_GB2312" w:hAnsi="Times New Roman"/>
          <w:sz w:val="24"/>
          <w:szCs w:val="24"/>
        </w:rPr>
        <w:t>11.2.4.</w:t>
      </w:r>
      <w:r>
        <w:rPr>
          <w:rFonts w:ascii="Times New Roman" w:eastAsia="楷体_GB2312" w:hAnsi="Times New Roman"/>
          <w:sz w:val="24"/>
          <w:szCs w:val="24"/>
        </w:rPr>
        <w:tab/>
      </w:r>
      <w:r>
        <w:rPr>
          <w:rFonts w:ascii="Times New Roman" w:eastAsia="楷体_GB2312" w:hAnsi="Times New Roman"/>
          <w:sz w:val="24"/>
          <w:szCs w:val="24"/>
        </w:rPr>
        <w:t>非因违反本合同，信息已进入公知范围的；</w:t>
      </w:r>
    </w:p>
    <w:p w14:paraId="51B74D26" w14:textId="77777777" w:rsidR="00CC4C43" w:rsidRDefault="007731E0">
      <w:pPr>
        <w:adjustRightInd w:val="0"/>
        <w:snapToGrid w:val="0"/>
        <w:spacing w:afterLines="20" w:after="62" w:line="288" w:lineRule="auto"/>
        <w:ind w:leftChars="97" w:left="1133" w:hangingChars="387" w:hanging="929"/>
        <w:rPr>
          <w:rFonts w:ascii="Times New Roman" w:eastAsia="楷体_GB2312" w:hAnsi="Times New Roman"/>
          <w:sz w:val="24"/>
          <w:szCs w:val="24"/>
        </w:rPr>
      </w:pPr>
      <w:r>
        <w:rPr>
          <w:rFonts w:ascii="Times New Roman" w:eastAsia="楷体_GB2312" w:hAnsi="Times New Roman"/>
          <w:sz w:val="24"/>
          <w:szCs w:val="24"/>
        </w:rPr>
        <w:t>11.2.5.</w:t>
      </w:r>
      <w:r>
        <w:rPr>
          <w:rFonts w:ascii="Times New Roman" w:eastAsia="楷体_GB2312" w:hAnsi="Times New Roman"/>
          <w:sz w:val="24"/>
          <w:szCs w:val="24"/>
        </w:rPr>
        <w:tab/>
      </w:r>
      <w:r>
        <w:rPr>
          <w:rFonts w:ascii="Times New Roman" w:eastAsia="楷体_GB2312" w:hAnsi="Times New Roman"/>
          <w:sz w:val="24"/>
          <w:szCs w:val="24"/>
        </w:rPr>
        <w:t>其他方已事先书面批准披露或使用的；</w:t>
      </w:r>
    </w:p>
    <w:p w14:paraId="00178386" w14:textId="77777777" w:rsidR="00CC4C43" w:rsidRDefault="007731E0">
      <w:pPr>
        <w:adjustRightInd w:val="0"/>
        <w:snapToGrid w:val="0"/>
        <w:spacing w:afterLines="20" w:after="62" w:line="288" w:lineRule="auto"/>
        <w:ind w:leftChars="97" w:left="1133" w:hangingChars="387" w:hanging="929"/>
        <w:rPr>
          <w:rFonts w:ascii="Times New Roman" w:eastAsia="楷体_GB2312" w:hAnsi="Times New Roman"/>
          <w:sz w:val="24"/>
          <w:szCs w:val="24"/>
        </w:rPr>
      </w:pPr>
      <w:r>
        <w:rPr>
          <w:rFonts w:ascii="Times New Roman" w:eastAsia="楷体_GB2312" w:hAnsi="Times New Roman"/>
          <w:sz w:val="24"/>
          <w:szCs w:val="24"/>
        </w:rPr>
        <w:t>11.2.6.</w:t>
      </w:r>
      <w:r>
        <w:rPr>
          <w:rFonts w:ascii="Times New Roman" w:eastAsia="楷体_GB2312" w:hAnsi="Times New Roman"/>
          <w:sz w:val="24"/>
          <w:szCs w:val="24"/>
        </w:rPr>
        <w:tab/>
      </w:r>
      <w:r>
        <w:rPr>
          <w:rFonts w:ascii="Times New Roman" w:eastAsia="楷体_GB2312" w:hAnsi="Times New Roman"/>
          <w:sz w:val="24"/>
          <w:szCs w:val="24"/>
        </w:rPr>
        <w:t>信息是在本合同签订后独立开发的。</w:t>
      </w:r>
    </w:p>
    <w:p w14:paraId="211D618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11.3.</w:t>
      </w:r>
      <w:r>
        <w:rPr>
          <w:rFonts w:ascii="Times New Roman" w:eastAsia="楷体_GB2312" w:hAnsi="Times New Roman"/>
          <w:sz w:val="24"/>
          <w:szCs w:val="24"/>
        </w:rPr>
        <w:tab/>
      </w:r>
      <w:r>
        <w:rPr>
          <w:rFonts w:ascii="Times New Roman" w:eastAsia="楷体_GB2312" w:hAnsi="Times New Roman"/>
          <w:sz w:val="24"/>
          <w:szCs w:val="24"/>
        </w:rPr>
        <w:t>本条款下保密义务不因本合同终止而终止。为执行本合同目的，各方保证对在讨论、签订、执行本合同过程中所获悉的相关情况限定在有限范围内知晓。</w:t>
      </w:r>
    </w:p>
    <w:p w14:paraId="7F344F1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11.4.</w:t>
      </w:r>
      <w:r>
        <w:rPr>
          <w:rFonts w:ascii="Times New Roman" w:eastAsia="楷体_GB2312" w:hAnsi="Times New Roman"/>
          <w:sz w:val="24"/>
          <w:szCs w:val="24"/>
        </w:rPr>
        <w:tab/>
      </w:r>
      <w:r>
        <w:rPr>
          <w:rFonts w:ascii="Times New Roman" w:eastAsia="楷体_GB2312" w:hAnsi="Times New Roman"/>
          <w:sz w:val="24"/>
          <w:szCs w:val="24"/>
        </w:rPr>
        <w:t>如果一方违反保密义务造成其他各方损失的，应赔偿其他各方的直接损失和间接损失。</w:t>
      </w:r>
    </w:p>
    <w:p w14:paraId="14CA156C"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11.5.</w:t>
      </w:r>
      <w:r>
        <w:rPr>
          <w:rFonts w:ascii="Times New Roman" w:eastAsia="楷体_GB2312" w:hAnsi="Times New Roman"/>
          <w:sz w:val="24"/>
          <w:szCs w:val="24"/>
        </w:rPr>
        <w:tab/>
      </w:r>
      <w:r>
        <w:rPr>
          <w:rFonts w:ascii="Times New Roman" w:eastAsia="楷体_GB2312" w:hAnsi="Times New Roman"/>
          <w:sz w:val="24"/>
          <w:szCs w:val="24"/>
        </w:rPr>
        <w:t>本条在本合同终止或解除后仍继续有效。</w:t>
      </w:r>
    </w:p>
    <w:p w14:paraId="27A48669"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6DC52A21"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第十</w:t>
      </w:r>
      <w:r>
        <w:rPr>
          <w:rFonts w:ascii="Times New Roman" w:eastAsia="楷体_GB2312" w:hAnsi="Times New Roman" w:hint="eastAsia"/>
          <w:b/>
          <w:sz w:val="24"/>
          <w:szCs w:val="24"/>
        </w:rPr>
        <w:t>二</w:t>
      </w:r>
      <w:r>
        <w:rPr>
          <w:rFonts w:ascii="Times New Roman" w:eastAsia="楷体_GB2312" w:hAnsi="Times New Roman"/>
          <w:b/>
          <w:sz w:val="24"/>
          <w:szCs w:val="24"/>
        </w:rPr>
        <w:t>条：通知</w:t>
      </w:r>
    </w:p>
    <w:p w14:paraId="3FEE38D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12.1.</w:t>
      </w:r>
      <w:r>
        <w:rPr>
          <w:rFonts w:ascii="Times New Roman" w:eastAsia="楷体_GB2312" w:hAnsi="Times New Roman"/>
          <w:sz w:val="24"/>
          <w:szCs w:val="24"/>
        </w:rPr>
        <w:tab/>
      </w:r>
      <w:r>
        <w:rPr>
          <w:rFonts w:ascii="Times New Roman" w:eastAsia="楷体_GB2312" w:hAnsi="Times New Roman"/>
          <w:sz w:val="24"/>
          <w:szCs w:val="24"/>
        </w:rPr>
        <w:t>联系信息以本合同首部记载为准。除非本合同另有</w:t>
      </w:r>
      <w:r>
        <w:rPr>
          <w:rFonts w:ascii="Times New Roman" w:eastAsia="楷体_GB2312" w:hAnsi="Times New Roman" w:hint="eastAsia"/>
          <w:sz w:val="24"/>
          <w:szCs w:val="24"/>
        </w:rPr>
        <w:t>约定</w:t>
      </w:r>
      <w:r>
        <w:rPr>
          <w:rFonts w:ascii="Times New Roman" w:eastAsia="楷体_GB2312" w:hAnsi="Times New Roman"/>
          <w:sz w:val="24"/>
          <w:szCs w:val="24"/>
        </w:rPr>
        <w:t>，本合同项</w:t>
      </w:r>
      <w:proofErr w:type="gramStart"/>
      <w:r>
        <w:rPr>
          <w:rFonts w:ascii="Times New Roman" w:eastAsia="楷体_GB2312" w:hAnsi="Times New Roman"/>
          <w:sz w:val="24"/>
          <w:szCs w:val="24"/>
        </w:rPr>
        <w:t>下各方</w:t>
      </w:r>
      <w:proofErr w:type="gramEnd"/>
      <w:r>
        <w:rPr>
          <w:rFonts w:ascii="Times New Roman" w:eastAsia="楷体_GB2312" w:hAnsi="Times New Roman"/>
          <w:sz w:val="24"/>
          <w:szCs w:val="24"/>
        </w:rPr>
        <w:t>之间的一切通知均应使用中文，通过专人送达、挂号信函、快递送达。通知在下列日期视为到达日：</w:t>
      </w:r>
    </w:p>
    <w:p w14:paraId="31074588" w14:textId="77777777" w:rsidR="00CC4C43" w:rsidRDefault="007731E0">
      <w:pPr>
        <w:adjustRightInd w:val="0"/>
        <w:snapToGrid w:val="0"/>
        <w:spacing w:afterLines="20" w:after="62" w:line="288" w:lineRule="auto"/>
        <w:ind w:leftChars="270" w:left="728" w:hangingChars="67" w:hanging="161"/>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ab/>
      </w:r>
      <w:r>
        <w:rPr>
          <w:rFonts w:ascii="Times New Roman" w:eastAsia="楷体_GB2312" w:hAnsi="Times New Roman"/>
          <w:sz w:val="24"/>
          <w:szCs w:val="24"/>
        </w:rPr>
        <w:t>专人送达：通知方取得的被通知方签收单所示日；</w:t>
      </w:r>
    </w:p>
    <w:p w14:paraId="7F03396F" w14:textId="77777777" w:rsidR="00CC4C43" w:rsidRDefault="007731E0">
      <w:pPr>
        <w:adjustRightInd w:val="0"/>
        <w:snapToGrid w:val="0"/>
        <w:spacing w:afterLines="20" w:after="62" w:line="288" w:lineRule="auto"/>
        <w:ind w:leftChars="270" w:left="728" w:hangingChars="67" w:hanging="161"/>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ab/>
      </w:r>
      <w:r>
        <w:rPr>
          <w:rFonts w:ascii="Times New Roman" w:eastAsia="楷体_GB2312" w:hAnsi="Times New Roman"/>
          <w:sz w:val="24"/>
          <w:szCs w:val="24"/>
        </w:rPr>
        <w:t>挂号信邮递：发出通知方持有的国内挂号函件收据所示日后第</w:t>
      </w:r>
      <w:r>
        <w:rPr>
          <w:rFonts w:ascii="Times New Roman" w:eastAsia="楷体_GB2312" w:hAnsi="Times New Roman"/>
          <w:sz w:val="24"/>
          <w:szCs w:val="24"/>
        </w:rPr>
        <w:t>5</w:t>
      </w:r>
      <w:r>
        <w:rPr>
          <w:rFonts w:ascii="Times New Roman" w:eastAsia="楷体_GB2312" w:hAnsi="Times New Roman"/>
          <w:sz w:val="24"/>
          <w:szCs w:val="24"/>
        </w:rPr>
        <w:t>日；</w:t>
      </w:r>
    </w:p>
    <w:p w14:paraId="39BF5F05" w14:textId="77777777" w:rsidR="00CC4C43" w:rsidRDefault="007731E0">
      <w:pPr>
        <w:adjustRightInd w:val="0"/>
        <w:snapToGrid w:val="0"/>
        <w:spacing w:afterLines="20" w:after="62" w:line="288" w:lineRule="auto"/>
        <w:ind w:leftChars="270" w:left="728" w:hangingChars="67" w:hanging="161"/>
        <w:rPr>
          <w:rFonts w:ascii="Times New Roman" w:eastAsia="楷体_GB2312" w:hAnsi="Times New Roman"/>
          <w:sz w:val="24"/>
          <w:szCs w:val="24"/>
        </w:rPr>
      </w:pPr>
      <w:r>
        <w:rPr>
          <w:rFonts w:ascii="Times New Roman" w:eastAsia="楷体_GB2312" w:hAnsi="Times New Roman"/>
          <w:sz w:val="24"/>
          <w:szCs w:val="24"/>
        </w:rPr>
        <w:lastRenderedPageBreak/>
        <w:t>4)</w:t>
      </w:r>
      <w:r>
        <w:rPr>
          <w:rFonts w:ascii="Times New Roman" w:eastAsia="楷体_GB2312" w:hAnsi="Times New Roman"/>
          <w:sz w:val="24"/>
          <w:szCs w:val="24"/>
        </w:rPr>
        <w:tab/>
      </w:r>
      <w:r>
        <w:rPr>
          <w:rFonts w:ascii="Times New Roman" w:eastAsia="楷体_GB2312" w:hAnsi="Times New Roman"/>
          <w:sz w:val="24"/>
          <w:szCs w:val="24"/>
        </w:rPr>
        <w:t>快递：发出通知方持有的发送凭证上邮戳日起第</w:t>
      </w:r>
      <w:r>
        <w:rPr>
          <w:rFonts w:ascii="Times New Roman" w:eastAsia="楷体_GB2312" w:hAnsi="Times New Roman"/>
          <w:sz w:val="24"/>
          <w:szCs w:val="24"/>
        </w:rPr>
        <w:t>4</w:t>
      </w:r>
      <w:r>
        <w:rPr>
          <w:rFonts w:ascii="Times New Roman" w:eastAsia="楷体_GB2312" w:hAnsi="Times New Roman"/>
          <w:sz w:val="24"/>
          <w:szCs w:val="24"/>
        </w:rPr>
        <w:t>日。</w:t>
      </w:r>
    </w:p>
    <w:p w14:paraId="7DAD1ADB"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12.2.</w:t>
      </w:r>
      <w:r>
        <w:rPr>
          <w:rFonts w:ascii="Times New Roman" w:eastAsia="楷体_GB2312" w:hAnsi="Times New Roman"/>
          <w:sz w:val="24"/>
          <w:szCs w:val="24"/>
        </w:rPr>
        <w:tab/>
      </w:r>
      <w:r>
        <w:rPr>
          <w:rFonts w:ascii="Times New Roman" w:eastAsia="楷体_GB2312" w:hAnsi="Times New Roman"/>
          <w:sz w:val="24"/>
          <w:szCs w:val="24"/>
        </w:rPr>
        <w:t>采取上述方式发送，若被通知方拒收，或因被通知方更改通讯方式但未按照本合同约定通知其他方导致通知无法送达的，则通知发出之日视为到达日。</w:t>
      </w:r>
    </w:p>
    <w:p w14:paraId="74EC2DC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12.3.</w:t>
      </w:r>
      <w:r>
        <w:rPr>
          <w:rFonts w:ascii="Times New Roman" w:eastAsia="楷体_GB2312" w:hAnsi="Times New Roman"/>
          <w:sz w:val="24"/>
          <w:szCs w:val="24"/>
        </w:rPr>
        <w:tab/>
      </w:r>
      <w:r>
        <w:rPr>
          <w:rFonts w:ascii="Times New Roman" w:eastAsia="楷体_GB2312" w:hAnsi="Times New Roman"/>
          <w:sz w:val="24"/>
          <w:szCs w:val="24"/>
        </w:rPr>
        <w:t>一方通讯地址或联络方式发生变化，应自发生变化之日起</w:t>
      </w:r>
      <w:r>
        <w:rPr>
          <w:rFonts w:ascii="Times New Roman" w:eastAsia="楷体_GB2312" w:hAnsi="Times New Roman"/>
          <w:sz w:val="24"/>
          <w:szCs w:val="24"/>
        </w:rPr>
        <w:t>10</w:t>
      </w:r>
      <w:r>
        <w:rPr>
          <w:rFonts w:ascii="Times New Roman" w:eastAsia="楷体_GB2312" w:hAnsi="Times New Roman"/>
          <w:sz w:val="24"/>
          <w:szCs w:val="24"/>
        </w:rPr>
        <w:t>日内以书面形式通知其他方。任何一方违反前述规定，除非法律另有规定，变动一方应对由此而造成的影响和损失承担责任。</w:t>
      </w:r>
    </w:p>
    <w:p w14:paraId="23A6278E"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12.4.</w:t>
      </w:r>
      <w:r>
        <w:rPr>
          <w:rFonts w:ascii="Times New Roman" w:eastAsia="楷体_GB2312" w:hAnsi="Times New Roman"/>
          <w:sz w:val="24"/>
          <w:szCs w:val="24"/>
        </w:rPr>
        <w:tab/>
      </w:r>
      <w:r>
        <w:rPr>
          <w:rFonts w:ascii="Times New Roman" w:eastAsia="楷体_GB2312" w:hAnsi="Times New Roman"/>
          <w:sz w:val="24"/>
          <w:szCs w:val="24"/>
        </w:rPr>
        <w:t>各方同意本合同首部约定的各方的通讯地址及联系方式（</w:t>
      </w:r>
      <w:proofErr w:type="gramStart"/>
      <w:r>
        <w:rPr>
          <w:rFonts w:ascii="Times New Roman" w:eastAsia="楷体_GB2312" w:hAnsi="Times New Roman"/>
          <w:sz w:val="24"/>
          <w:szCs w:val="24"/>
        </w:rPr>
        <w:t>含根据</w:t>
      </w:r>
      <w:proofErr w:type="gramEnd"/>
      <w:r>
        <w:rPr>
          <w:rFonts w:ascii="Times New Roman" w:eastAsia="楷体_GB2312" w:hAnsi="Times New Roman"/>
          <w:sz w:val="24"/>
          <w:szCs w:val="24"/>
        </w:rPr>
        <w:t>本合同约定变更的地址及联系信息，下同）适用于争议解决阶段（包括但不限于仲裁或一审、二审、再审、执行等阶段），作为仲裁机构或人民法院法律文书及其他文件、信息的有效送达地址及接收方式。</w:t>
      </w:r>
    </w:p>
    <w:p w14:paraId="384845D5"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47ABCEA6"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第十</w:t>
      </w:r>
      <w:r>
        <w:rPr>
          <w:rFonts w:ascii="Times New Roman" w:eastAsia="楷体_GB2312" w:hAnsi="Times New Roman" w:hint="eastAsia"/>
          <w:b/>
          <w:sz w:val="24"/>
          <w:szCs w:val="24"/>
        </w:rPr>
        <w:t>三</w:t>
      </w:r>
      <w:r>
        <w:rPr>
          <w:rFonts w:ascii="Times New Roman" w:eastAsia="楷体_GB2312" w:hAnsi="Times New Roman"/>
          <w:b/>
          <w:sz w:val="24"/>
          <w:szCs w:val="24"/>
        </w:rPr>
        <w:t>条：合同生效、终止及转让</w:t>
      </w:r>
    </w:p>
    <w:p w14:paraId="2523A114"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13.1</w:t>
      </w:r>
      <w:r>
        <w:rPr>
          <w:rFonts w:ascii="Times New Roman" w:eastAsia="楷体_GB2312" w:hAnsi="Times New Roman"/>
          <w:sz w:val="24"/>
          <w:szCs w:val="24"/>
        </w:rPr>
        <w:tab/>
      </w:r>
      <w:r>
        <w:rPr>
          <w:rFonts w:ascii="Times New Roman" w:eastAsia="楷体_GB2312" w:hAnsi="Times New Roman"/>
          <w:sz w:val="24"/>
          <w:szCs w:val="24"/>
        </w:rPr>
        <w:t>本合同自各方法定代表人或授权</w:t>
      </w:r>
      <w:r>
        <w:rPr>
          <w:rFonts w:ascii="Times New Roman" w:eastAsia="楷体_GB2312" w:hAnsi="Times New Roman" w:hint="eastAsia"/>
          <w:sz w:val="24"/>
          <w:szCs w:val="24"/>
        </w:rPr>
        <w:t>代理人</w:t>
      </w:r>
      <w:r>
        <w:rPr>
          <w:rFonts w:ascii="Times New Roman" w:eastAsia="楷体_GB2312" w:hAnsi="Times New Roman"/>
          <w:sz w:val="24"/>
          <w:szCs w:val="24"/>
        </w:rPr>
        <w:t>签字或签章并加盖公章或合同专用章之日起生效。授权</w:t>
      </w:r>
      <w:r>
        <w:rPr>
          <w:rFonts w:ascii="Times New Roman" w:eastAsia="楷体_GB2312" w:hAnsi="Times New Roman" w:hint="eastAsia"/>
          <w:sz w:val="24"/>
          <w:szCs w:val="24"/>
        </w:rPr>
        <w:t>代理人</w:t>
      </w:r>
      <w:r>
        <w:rPr>
          <w:rFonts w:ascii="Times New Roman" w:eastAsia="楷体_GB2312" w:hAnsi="Times New Roman"/>
          <w:sz w:val="24"/>
          <w:szCs w:val="24"/>
        </w:rPr>
        <w:t>签署本合同的，应提交有效</w:t>
      </w:r>
      <w:r>
        <w:rPr>
          <w:rFonts w:ascii="Times New Roman" w:eastAsia="楷体_GB2312" w:hAnsi="Times New Roman" w:hint="eastAsia"/>
          <w:sz w:val="24"/>
          <w:szCs w:val="24"/>
        </w:rPr>
        <w:t>的书面</w:t>
      </w:r>
      <w:r>
        <w:rPr>
          <w:rFonts w:ascii="Times New Roman" w:eastAsia="楷体_GB2312" w:hAnsi="Times New Roman"/>
          <w:sz w:val="24"/>
          <w:szCs w:val="24"/>
        </w:rPr>
        <w:t>授权文件。</w:t>
      </w:r>
    </w:p>
    <w:p w14:paraId="62E74FE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13.2</w:t>
      </w:r>
      <w:r>
        <w:rPr>
          <w:rFonts w:ascii="Times New Roman" w:eastAsia="楷体_GB2312" w:hAnsi="Times New Roman"/>
          <w:sz w:val="24"/>
          <w:szCs w:val="24"/>
        </w:rPr>
        <w:tab/>
      </w:r>
      <w:r>
        <w:rPr>
          <w:rFonts w:ascii="Times New Roman" w:eastAsia="楷体_GB2312" w:hAnsi="Times New Roman"/>
          <w:sz w:val="24"/>
          <w:szCs w:val="24"/>
        </w:rPr>
        <w:t>本合同有效期至甲方书面通知终止监管之日止，具体监管终止日期以甲方书面通知为准。</w:t>
      </w:r>
    </w:p>
    <w:p w14:paraId="5EF0863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13.3</w:t>
      </w:r>
      <w:r>
        <w:rPr>
          <w:rFonts w:ascii="Times New Roman" w:eastAsia="楷体_GB2312" w:hAnsi="Times New Roman"/>
          <w:sz w:val="24"/>
          <w:szCs w:val="24"/>
        </w:rPr>
        <w:tab/>
      </w:r>
      <w:r>
        <w:rPr>
          <w:rFonts w:ascii="Times New Roman" w:eastAsia="楷体_GB2312" w:hAnsi="Times New Roman"/>
          <w:sz w:val="24"/>
          <w:szCs w:val="24"/>
        </w:rPr>
        <w:t>未经甲方</w:t>
      </w:r>
      <w:r>
        <w:rPr>
          <w:rFonts w:ascii="Times New Roman" w:eastAsia="楷体_GB2312" w:hAnsi="Times New Roman" w:hint="eastAsia"/>
          <w:sz w:val="24"/>
          <w:szCs w:val="24"/>
        </w:rPr>
        <w:t>和乙方</w:t>
      </w:r>
      <w:r>
        <w:rPr>
          <w:rFonts w:ascii="Times New Roman" w:eastAsia="楷体_GB2312" w:hAnsi="Times New Roman"/>
          <w:sz w:val="24"/>
          <w:szCs w:val="24"/>
        </w:rPr>
        <w:t>书面同意，</w:t>
      </w:r>
      <w:proofErr w:type="gramStart"/>
      <w:r>
        <w:rPr>
          <w:rFonts w:ascii="Times New Roman" w:eastAsia="楷体_GB2312" w:hAnsi="Times New Roman"/>
          <w:sz w:val="24"/>
          <w:szCs w:val="24"/>
        </w:rPr>
        <w:t>庚方不得</w:t>
      </w:r>
      <w:proofErr w:type="gramEnd"/>
      <w:r>
        <w:rPr>
          <w:rFonts w:ascii="Times New Roman" w:eastAsia="楷体_GB2312" w:hAnsi="Times New Roman"/>
          <w:sz w:val="24"/>
          <w:szCs w:val="24"/>
        </w:rPr>
        <w:t>将本合同项下的任何权利或义务转让给第三人。</w:t>
      </w:r>
    </w:p>
    <w:p w14:paraId="4C59C22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13.4</w:t>
      </w:r>
      <w:r>
        <w:rPr>
          <w:rFonts w:ascii="Times New Roman" w:eastAsia="楷体_GB2312" w:hAnsi="Times New Roman"/>
          <w:sz w:val="24"/>
          <w:szCs w:val="24"/>
        </w:rPr>
        <w:tab/>
      </w:r>
      <w:proofErr w:type="gramStart"/>
      <w:r>
        <w:rPr>
          <w:rFonts w:ascii="Times New Roman" w:eastAsia="楷体_GB2312" w:hAnsi="Times New Roman"/>
          <w:sz w:val="24"/>
          <w:szCs w:val="24"/>
        </w:rPr>
        <w:t>若合同</w:t>
      </w:r>
      <w:proofErr w:type="gramEnd"/>
      <w:r>
        <w:rPr>
          <w:rFonts w:ascii="Times New Roman" w:eastAsia="楷体_GB2312" w:hAnsi="Times New Roman"/>
          <w:sz w:val="24"/>
          <w:szCs w:val="24"/>
        </w:rPr>
        <w:t>执行过程中出现委托方单位变更，本合同仍然有效。甲方须向受让方说明本监管合同，并由甲方的受让方按照本合同的格式和内容</w:t>
      </w:r>
      <w:proofErr w:type="gramStart"/>
      <w:r>
        <w:rPr>
          <w:rFonts w:ascii="Times New Roman" w:eastAsia="楷体_GB2312" w:hAnsi="Times New Roman"/>
          <w:sz w:val="24"/>
          <w:szCs w:val="24"/>
        </w:rPr>
        <w:t>与庚方重新</w:t>
      </w:r>
      <w:proofErr w:type="gramEnd"/>
      <w:r>
        <w:rPr>
          <w:rFonts w:ascii="Times New Roman" w:eastAsia="楷体_GB2312" w:hAnsi="Times New Roman"/>
          <w:sz w:val="24"/>
          <w:szCs w:val="24"/>
        </w:rPr>
        <w:t>签订合同，且其他各方应接受该等约定条款。</w:t>
      </w:r>
    </w:p>
    <w:p w14:paraId="2A7A014D"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13.5</w:t>
      </w:r>
      <w:r>
        <w:rPr>
          <w:rFonts w:ascii="Times New Roman" w:eastAsia="楷体_GB2312" w:hAnsi="Times New Roman"/>
          <w:sz w:val="24"/>
          <w:szCs w:val="24"/>
        </w:rPr>
        <w:tab/>
      </w:r>
      <w:proofErr w:type="gramStart"/>
      <w:r>
        <w:rPr>
          <w:rFonts w:ascii="Times New Roman" w:eastAsia="楷体_GB2312" w:hAnsi="Times New Roman"/>
          <w:sz w:val="24"/>
          <w:szCs w:val="24"/>
        </w:rPr>
        <w:t>如果庚方提供</w:t>
      </w:r>
      <w:proofErr w:type="gramEnd"/>
      <w:r>
        <w:rPr>
          <w:rFonts w:ascii="Times New Roman" w:eastAsia="楷体_GB2312" w:hAnsi="Times New Roman"/>
          <w:sz w:val="24"/>
          <w:szCs w:val="24"/>
        </w:rPr>
        <w:t>的服务不符合本合同的约定，且经甲方通知仍未进行整改，</w:t>
      </w:r>
      <w:proofErr w:type="gramStart"/>
      <w:r>
        <w:rPr>
          <w:rFonts w:ascii="Times New Roman" w:eastAsia="楷体_GB2312" w:hAnsi="Times New Roman"/>
          <w:sz w:val="24"/>
          <w:szCs w:val="24"/>
        </w:rPr>
        <w:t>或者庚方在</w:t>
      </w:r>
      <w:proofErr w:type="gramEnd"/>
      <w:r>
        <w:rPr>
          <w:rFonts w:ascii="Times New Roman" w:eastAsia="楷体_GB2312" w:hAnsi="Times New Roman"/>
          <w:sz w:val="24"/>
          <w:szCs w:val="24"/>
        </w:rPr>
        <w:t>提供服务过程中有重大疏忽过错、故意隐瞒、提供虚假信息报告等情形的，甲方有权单方解除本合同。</w:t>
      </w:r>
    </w:p>
    <w:p w14:paraId="2590A41E"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38F4CEC4"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第十</w:t>
      </w:r>
      <w:r>
        <w:rPr>
          <w:rFonts w:ascii="Times New Roman" w:eastAsia="楷体_GB2312" w:hAnsi="Times New Roman" w:hint="eastAsia"/>
          <w:b/>
          <w:sz w:val="24"/>
          <w:szCs w:val="24"/>
        </w:rPr>
        <w:t>四</w:t>
      </w:r>
      <w:r>
        <w:rPr>
          <w:rFonts w:ascii="Times New Roman" w:eastAsia="楷体_GB2312" w:hAnsi="Times New Roman"/>
          <w:b/>
          <w:sz w:val="24"/>
          <w:szCs w:val="24"/>
        </w:rPr>
        <w:t>条：违约责任</w:t>
      </w:r>
    </w:p>
    <w:p w14:paraId="22AD1411"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14.1</w:t>
      </w:r>
      <w:r>
        <w:rPr>
          <w:rFonts w:ascii="Times New Roman" w:eastAsia="楷体_GB2312" w:hAnsi="Times New Roman"/>
          <w:sz w:val="24"/>
          <w:szCs w:val="24"/>
        </w:rPr>
        <w:tab/>
      </w:r>
      <w:proofErr w:type="gramStart"/>
      <w:r>
        <w:rPr>
          <w:rFonts w:ascii="Times New Roman" w:eastAsia="楷体_GB2312" w:hAnsi="Times New Roman"/>
          <w:sz w:val="24"/>
          <w:szCs w:val="24"/>
        </w:rPr>
        <w:t>庚方作为</w:t>
      </w:r>
      <w:proofErr w:type="gramEnd"/>
      <w:r>
        <w:rPr>
          <w:rFonts w:ascii="Times New Roman" w:eastAsia="楷体_GB2312" w:hAnsi="Times New Roman" w:hint="eastAsia"/>
          <w:sz w:val="24"/>
          <w:szCs w:val="24"/>
        </w:rPr>
        <w:t>甲方</w:t>
      </w:r>
      <w:r>
        <w:rPr>
          <w:rFonts w:ascii="Times New Roman" w:eastAsia="楷体_GB2312" w:hAnsi="Times New Roman"/>
          <w:sz w:val="24"/>
          <w:szCs w:val="24"/>
        </w:rPr>
        <w:t>派出项目的监督管理服务单位，有向甲方</w:t>
      </w:r>
      <w:r>
        <w:rPr>
          <w:rFonts w:ascii="Times New Roman" w:eastAsia="楷体_GB2312" w:hAnsi="Times New Roman" w:hint="eastAsia"/>
          <w:sz w:val="24"/>
          <w:szCs w:val="24"/>
        </w:rPr>
        <w:t>和乙方</w:t>
      </w:r>
      <w:r>
        <w:rPr>
          <w:rFonts w:ascii="Times New Roman" w:eastAsia="楷体_GB2312" w:hAnsi="Times New Roman"/>
          <w:sz w:val="24"/>
          <w:szCs w:val="24"/>
        </w:rPr>
        <w:t>的建议权</w:t>
      </w:r>
      <w:r>
        <w:rPr>
          <w:rFonts w:ascii="Times New Roman" w:eastAsia="楷体_GB2312" w:hAnsi="Times New Roman" w:hint="eastAsia"/>
          <w:sz w:val="24"/>
          <w:szCs w:val="24"/>
        </w:rPr>
        <w:t>并在本合同约定权限范围内享有相应的决策权，且甲方和乙方享有最终的决策权</w:t>
      </w:r>
      <w:r>
        <w:rPr>
          <w:rFonts w:ascii="Times New Roman" w:eastAsia="楷体_GB2312" w:hAnsi="Times New Roman"/>
          <w:sz w:val="24"/>
          <w:szCs w:val="24"/>
        </w:rPr>
        <w:t>，</w:t>
      </w:r>
      <w:proofErr w:type="gramStart"/>
      <w:r>
        <w:rPr>
          <w:rFonts w:ascii="Times New Roman" w:eastAsia="楷体_GB2312" w:hAnsi="Times New Roman"/>
          <w:sz w:val="24"/>
          <w:szCs w:val="24"/>
        </w:rPr>
        <w:t>庚方严格</w:t>
      </w:r>
      <w:proofErr w:type="gramEnd"/>
      <w:r>
        <w:rPr>
          <w:rFonts w:ascii="Times New Roman" w:eastAsia="楷体_GB2312" w:hAnsi="Times New Roman"/>
          <w:sz w:val="24"/>
          <w:szCs w:val="24"/>
        </w:rPr>
        <w:t>执行</w:t>
      </w:r>
      <w:r>
        <w:rPr>
          <w:rFonts w:ascii="Times New Roman" w:eastAsia="楷体_GB2312" w:hAnsi="Times New Roman" w:hint="eastAsia"/>
          <w:sz w:val="24"/>
          <w:szCs w:val="24"/>
        </w:rPr>
        <w:t>本合同</w:t>
      </w:r>
      <w:r>
        <w:rPr>
          <w:rFonts w:ascii="Times New Roman" w:eastAsia="楷体_GB2312" w:hAnsi="Times New Roman"/>
          <w:sz w:val="24"/>
          <w:szCs w:val="24"/>
        </w:rPr>
        <w:t>内容</w:t>
      </w:r>
      <w:r>
        <w:rPr>
          <w:rFonts w:ascii="Times New Roman" w:eastAsia="楷体_GB2312" w:hAnsi="Times New Roman" w:hint="eastAsia"/>
          <w:sz w:val="24"/>
          <w:szCs w:val="24"/>
        </w:rPr>
        <w:t>实施监管</w:t>
      </w:r>
      <w:r>
        <w:rPr>
          <w:rFonts w:ascii="Times New Roman" w:eastAsia="楷体_GB2312" w:hAnsi="Times New Roman"/>
          <w:sz w:val="24"/>
          <w:szCs w:val="24"/>
        </w:rPr>
        <w:t>并确保达到本合同约定的监管效果，如发生违反本合同约定和</w:t>
      </w:r>
      <w:r>
        <w:rPr>
          <w:rFonts w:ascii="Times New Roman" w:eastAsia="楷体_GB2312" w:hAnsi="Times New Roman"/>
          <w:sz w:val="24"/>
          <w:szCs w:val="24"/>
        </w:rPr>
        <w:t>/</w:t>
      </w:r>
      <w:r>
        <w:rPr>
          <w:rFonts w:ascii="Times New Roman" w:eastAsia="楷体_GB2312" w:hAnsi="Times New Roman"/>
          <w:sz w:val="24"/>
          <w:szCs w:val="24"/>
        </w:rPr>
        <w:t>或未按本合同约定尽职履行监管责任的，</w:t>
      </w:r>
      <w:r>
        <w:rPr>
          <w:rFonts w:ascii="Times New Roman" w:eastAsia="楷体_GB2312" w:hAnsi="Times New Roman" w:hint="eastAsia"/>
          <w:sz w:val="24"/>
          <w:szCs w:val="24"/>
        </w:rPr>
        <w:t>甲方</w:t>
      </w:r>
      <w:r>
        <w:rPr>
          <w:rFonts w:ascii="Times New Roman" w:eastAsia="楷体_GB2312" w:hAnsi="Times New Roman"/>
          <w:sz w:val="24"/>
          <w:szCs w:val="24"/>
        </w:rPr>
        <w:t>有权终止</w:t>
      </w:r>
      <w:proofErr w:type="gramStart"/>
      <w:r>
        <w:rPr>
          <w:rFonts w:ascii="Times New Roman" w:eastAsia="楷体_GB2312" w:hAnsi="Times New Roman"/>
          <w:sz w:val="24"/>
          <w:szCs w:val="24"/>
        </w:rPr>
        <w:t>对庚方的</w:t>
      </w:r>
      <w:proofErr w:type="gramEnd"/>
      <w:r>
        <w:rPr>
          <w:rFonts w:ascii="Times New Roman" w:eastAsia="楷体_GB2312" w:hAnsi="Times New Roman"/>
          <w:sz w:val="24"/>
          <w:szCs w:val="24"/>
        </w:rPr>
        <w:t>委托，</w:t>
      </w:r>
      <w:proofErr w:type="gramStart"/>
      <w:r>
        <w:rPr>
          <w:rStyle w:val="2SimHei2"/>
          <w:rFonts w:ascii="Times New Roman" w:eastAsia="楷体_GB2312" w:hAnsi="Times New Roman" w:cs="Times New Roman"/>
          <w:sz w:val="24"/>
          <w:szCs w:val="24"/>
        </w:rPr>
        <w:t>同时</w:t>
      </w:r>
      <w:r>
        <w:rPr>
          <w:rStyle w:val="2SimHei2"/>
          <w:rFonts w:ascii="Times New Roman" w:eastAsia="楷体_GB2312" w:hAnsi="Times New Roman" w:cs="Times New Roman" w:hint="eastAsia"/>
          <w:sz w:val="24"/>
          <w:szCs w:val="24"/>
        </w:rPr>
        <w:t>庚方</w:t>
      </w:r>
      <w:r>
        <w:rPr>
          <w:rStyle w:val="2SimHei2"/>
          <w:rFonts w:ascii="Times New Roman" w:eastAsia="楷体_GB2312" w:hAnsi="Times New Roman" w:cs="Times New Roman"/>
          <w:sz w:val="24"/>
          <w:szCs w:val="24"/>
        </w:rPr>
        <w:t>应向</w:t>
      </w:r>
      <w:proofErr w:type="gramEnd"/>
      <w:r>
        <w:rPr>
          <w:rStyle w:val="2SimHei2"/>
          <w:rFonts w:ascii="Times New Roman" w:eastAsia="楷体_GB2312" w:hAnsi="Times New Roman" w:cs="Times New Roman" w:hint="eastAsia"/>
          <w:sz w:val="24"/>
          <w:szCs w:val="24"/>
        </w:rPr>
        <w:t>甲方和</w:t>
      </w:r>
      <w:r>
        <w:rPr>
          <w:rStyle w:val="2SimHei2"/>
          <w:rFonts w:ascii="Times New Roman" w:eastAsia="楷体_GB2312" w:hAnsi="Times New Roman" w:cs="Times New Roman" w:hint="eastAsia"/>
          <w:sz w:val="24"/>
          <w:szCs w:val="24"/>
        </w:rPr>
        <w:t>/</w:t>
      </w:r>
      <w:r>
        <w:rPr>
          <w:rStyle w:val="2SimHei2"/>
          <w:rFonts w:ascii="Times New Roman" w:eastAsia="楷体_GB2312" w:hAnsi="Times New Roman" w:cs="Times New Roman" w:hint="eastAsia"/>
          <w:sz w:val="24"/>
          <w:szCs w:val="24"/>
        </w:rPr>
        <w:t>或乙方</w:t>
      </w:r>
      <w:r>
        <w:rPr>
          <w:rStyle w:val="2SimHei2"/>
          <w:rFonts w:ascii="Times New Roman" w:eastAsia="楷体_GB2312" w:hAnsi="Times New Roman" w:cs="Times New Roman"/>
          <w:sz w:val="24"/>
          <w:szCs w:val="24"/>
        </w:rPr>
        <w:t>支付金额等同于其</w:t>
      </w:r>
      <w:r>
        <w:rPr>
          <w:rStyle w:val="2SimHei2"/>
          <w:rFonts w:ascii="Times New Roman" w:eastAsia="楷体_GB2312" w:hAnsi="Times New Roman" w:cs="Times New Roman" w:hint="eastAsia"/>
          <w:sz w:val="24"/>
          <w:szCs w:val="24"/>
        </w:rPr>
        <w:t>已</w:t>
      </w:r>
      <w:r>
        <w:rPr>
          <w:rStyle w:val="2SimHei2"/>
          <w:rFonts w:ascii="Times New Roman" w:eastAsia="楷体_GB2312" w:hAnsi="Times New Roman" w:cs="Times New Roman"/>
          <w:sz w:val="24"/>
          <w:szCs w:val="24"/>
        </w:rPr>
        <w:t>实际收到的监管服务费</w:t>
      </w:r>
      <w:r>
        <w:rPr>
          <w:rStyle w:val="2SimHei2"/>
          <w:rFonts w:ascii="Times New Roman" w:eastAsia="楷体_GB2312" w:hAnsi="Times New Roman" w:cs="Times New Roman" w:hint="eastAsia"/>
          <w:sz w:val="24"/>
          <w:szCs w:val="24"/>
        </w:rPr>
        <w:t>金额的五倍</w:t>
      </w:r>
      <w:r>
        <w:rPr>
          <w:rStyle w:val="2SimHei2"/>
          <w:rFonts w:ascii="Times New Roman" w:eastAsia="楷体_GB2312" w:hAnsi="Times New Roman" w:cs="Times New Roman"/>
          <w:sz w:val="24"/>
          <w:szCs w:val="24"/>
        </w:rPr>
        <w:t>的违约金，</w:t>
      </w:r>
      <w:r>
        <w:rPr>
          <w:rStyle w:val="2SimHei2"/>
          <w:rFonts w:ascii="Times New Roman" w:eastAsia="楷体_GB2312" w:hAnsi="Times New Roman" w:cs="Times New Roman" w:hint="eastAsia"/>
          <w:sz w:val="24"/>
          <w:szCs w:val="24"/>
        </w:rPr>
        <w:t>如违约金不足以赔偿甲方和</w:t>
      </w:r>
      <w:r>
        <w:rPr>
          <w:rStyle w:val="2SimHei2"/>
          <w:rFonts w:ascii="Times New Roman" w:eastAsia="楷体_GB2312" w:hAnsi="Times New Roman" w:cs="Times New Roman" w:hint="eastAsia"/>
          <w:sz w:val="24"/>
          <w:szCs w:val="24"/>
        </w:rPr>
        <w:t>/</w:t>
      </w:r>
      <w:r>
        <w:rPr>
          <w:rStyle w:val="2SimHei2"/>
          <w:rFonts w:ascii="Times New Roman" w:eastAsia="楷体_GB2312" w:hAnsi="Times New Roman" w:cs="Times New Roman" w:hint="eastAsia"/>
          <w:sz w:val="24"/>
          <w:szCs w:val="24"/>
        </w:rPr>
        <w:t>或乙方损失的，还应继续赔偿甲方和</w:t>
      </w:r>
      <w:r>
        <w:rPr>
          <w:rStyle w:val="2SimHei2"/>
          <w:rFonts w:ascii="Times New Roman" w:eastAsia="楷体_GB2312" w:hAnsi="Times New Roman" w:cs="Times New Roman" w:hint="eastAsia"/>
          <w:sz w:val="24"/>
          <w:szCs w:val="24"/>
        </w:rPr>
        <w:t>/</w:t>
      </w:r>
      <w:r>
        <w:rPr>
          <w:rStyle w:val="2SimHei2"/>
          <w:rFonts w:ascii="Times New Roman" w:eastAsia="楷体_GB2312" w:hAnsi="Times New Roman" w:cs="Times New Roman" w:hint="eastAsia"/>
          <w:sz w:val="24"/>
          <w:szCs w:val="24"/>
        </w:rPr>
        <w:t>或乙方实际损失并按照本合同约定承担相应的责任</w:t>
      </w:r>
      <w:r>
        <w:rPr>
          <w:rStyle w:val="2SimHei2"/>
          <w:rFonts w:ascii="Times New Roman" w:eastAsia="楷体_GB2312" w:hAnsi="Times New Roman" w:cs="Times New Roman"/>
          <w:sz w:val="24"/>
          <w:szCs w:val="24"/>
        </w:rPr>
        <w:t>。</w:t>
      </w:r>
    </w:p>
    <w:p w14:paraId="64E7820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lastRenderedPageBreak/>
        <w:t>14.2</w:t>
      </w:r>
      <w:r>
        <w:rPr>
          <w:rFonts w:ascii="Times New Roman" w:eastAsia="楷体_GB2312" w:hAnsi="Times New Roman"/>
          <w:sz w:val="24"/>
          <w:szCs w:val="24"/>
        </w:rPr>
        <w:tab/>
      </w:r>
      <w:r>
        <w:rPr>
          <w:rFonts w:ascii="Times New Roman" w:eastAsia="楷体_GB2312" w:hAnsi="Times New Roman"/>
          <w:sz w:val="24"/>
          <w:szCs w:val="24"/>
        </w:rPr>
        <w:t>在本合同约定的监管服务项下，因</w:t>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w:t>
      </w:r>
      <w:r>
        <w:rPr>
          <w:rFonts w:ascii="Times New Roman" w:eastAsia="楷体_GB2312" w:hAnsi="Times New Roman"/>
          <w:sz w:val="24"/>
          <w:szCs w:val="24"/>
        </w:rPr>
        <w:t>原因故意提供错误虚假信息给甲方、</w:t>
      </w:r>
      <w:r>
        <w:rPr>
          <w:rFonts w:ascii="Times New Roman" w:eastAsia="楷体_GB2312" w:hAnsi="Times New Roman" w:hint="eastAsia"/>
          <w:sz w:val="24"/>
          <w:szCs w:val="24"/>
        </w:rPr>
        <w:t>乙方和</w:t>
      </w:r>
      <w:proofErr w:type="gramStart"/>
      <w:r>
        <w:rPr>
          <w:rFonts w:ascii="Times New Roman" w:eastAsia="楷体_GB2312" w:hAnsi="Times New Roman"/>
          <w:sz w:val="24"/>
          <w:szCs w:val="24"/>
        </w:rPr>
        <w:t>庚方</w:t>
      </w:r>
      <w:proofErr w:type="gramEnd"/>
      <w:r>
        <w:rPr>
          <w:rFonts w:ascii="Times New Roman" w:eastAsia="楷体_GB2312" w:hAnsi="Times New Roman"/>
          <w:sz w:val="24"/>
          <w:szCs w:val="24"/>
        </w:rPr>
        <w:t>而造成的直接或间接损失，由</w:t>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w:t>
      </w:r>
      <w:r>
        <w:rPr>
          <w:rFonts w:ascii="Times New Roman" w:eastAsia="楷体_GB2312" w:hAnsi="Times New Roman"/>
          <w:sz w:val="24"/>
          <w:szCs w:val="24"/>
        </w:rPr>
        <w:t>负责。</w:t>
      </w:r>
    </w:p>
    <w:p w14:paraId="2073323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1</w:t>
      </w:r>
      <w:r>
        <w:rPr>
          <w:rFonts w:ascii="Times New Roman" w:eastAsia="楷体_GB2312" w:hAnsi="Times New Roman"/>
          <w:sz w:val="24"/>
          <w:szCs w:val="24"/>
        </w:rPr>
        <w:t>4.3</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未履行或未适当履行其在本合同项下的义务，经甲方书面催告后在十个工作日内仍未纠正的，则视为违约，违约方应赔偿因其违约而对其他方造成的全部损失，其他方有权要求违约方采取包括但不限于实际履行、赔偿损失并承担《合作框架协议》项下违约责任。</w:t>
      </w:r>
    </w:p>
    <w:p w14:paraId="7E591C66"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1</w:t>
      </w:r>
      <w:r>
        <w:rPr>
          <w:rFonts w:ascii="Times New Roman" w:eastAsia="楷体_GB2312" w:hAnsi="Times New Roman"/>
          <w:sz w:val="24"/>
          <w:szCs w:val="24"/>
        </w:rPr>
        <w:t>4.4</w:t>
      </w:r>
      <w:r>
        <w:rPr>
          <w:rFonts w:ascii="Times New Roman" w:eastAsia="楷体_GB2312" w:hAnsi="Times New Roman"/>
          <w:sz w:val="24"/>
          <w:szCs w:val="24"/>
        </w:rPr>
        <w:tab/>
      </w:r>
      <w:r>
        <w:rPr>
          <w:rFonts w:ascii="Times New Roman" w:eastAsia="楷体_GB2312" w:hAnsi="Times New Roman" w:hint="eastAsia"/>
          <w:sz w:val="24"/>
          <w:szCs w:val="24"/>
        </w:rPr>
        <w:t>如标的项目开发进度、销售回款进度等未满足本合同附件《销售计划表》、《标的项目货值表》、《工程进度表》、《成本测算表》和《现金流量表》约定以及甲方要求的工程进度节点要求、销售回款安排、成本控制以及现金流管理等要求的，则甲方有权按照《合作框架协议》和《对赌协议》项下约定发出预警函，并有权通过提高《合作框架协议》项下分配的投资本金和投资收益，促使标的项目按照本合同及《合作框架协议》项下计划进行开发建设、销售。在预警函载明的宽限期届满之日，若预警函所指的重大偏差情形仍然存在，且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公司未能提供令甲方、乙方满意的调整或后续保证措施的，则甲方</w:t>
      </w:r>
      <w:r>
        <w:rPr>
          <w:rFonts w:ascii="Times New Roman" w:eastAsia="楷体_GB2312" w:hAnsi="Times New Roman" w:hint="eastAsia"/>
          <w:sz w:val="24"/>
          <w:szCs w:val="24"/>
        </w:rPr>
        <w:t>/</w:t>
      </w:r>
      <w:r>
        <w:rPr>
          <w:rFonts w:ascii="Times New Roman" w:eastAsia="楷体_GB2312" w:hAnsi="Times New Roman" w:hint="eastAsia"/>
          <w:sz w:val="24"/>
          <w:szCs w:val="24"/>
        </w:rPr>
        <w:t>乙方有权：</w:t>
      </w:r>
      <w:r>
        <w:rPr>
          <w:rFonts w:ascii="Times New Roman" w:eastAsia="楷体_GB2312" w:hAnsi="Times New Roman" w:hint="eastAsia"/>
          <w:sz w:val="24"/>
          <w:szCs w:val="24"/>
        </w:rPr>
        <w:t>1</w:t>
      </w:r>
      <w:r>
        <w:rPr>
          <w:rFonts w:ascii="Times New Roman" w:eastAsia="楷体_GB2312" w:hAnsi="Times New Roman" w:hint="eastAsia"/>
          <w:sz w:val="24"/>
          <w:szCs w:val="24"/>
        </w:rPr>
        <w:t>）按照《合作框架协议》和《对赌协议》项下约定启动对赌保护性退出机制，和</w:t>
      </w:r>
      <w:r>
        <w:rPr>
          <w:rFonts w:ascii="Times New Roman" w:eastAsia="楷体_GB2312" w:hAnsi="Times New Roman" w:hint="eastAsia"/>
          <w:sz w:val="24"/>
          <w:szCs w:val="24"/>
        </w:rPr>
        <w:t>/</w:t>
      </w:r>
      <w:r>
        <w:rPr>
          <w:rFonts w:ascii="Times New Roman" w:eastAsia="楷体_GB2312" w:hAnsi="Times New Roman" w:hint="eastAsia"/>
          <w:sz w:val="24"/>
          <w:szCs w:val="24"/>
        </w:rPr>
        <w:t>或；</w:t>
      </w:r>
      <w:r>
        <w:rPr>
          <w:rFonts w:ascii="Times New Roman" w:eastAsia="楷体_GB2312" w:hAnsi="Times New Roman" w:hint="eastAsia"/>
          <w:sz w:val="24"/>
          <w:szCs w:val="24"/>
        </w:rPr>
        <w:t>2</w:t>
      </w:r>
      <w:r>
        <w:rPr>
          <w:rFonts w:ascii="Times New Roman" w:eastAsia="楷体_GB2312" w:hAnsi="Times New Roman" w:hint="eastAsia"/>
          <w:sz w:val="24"/>
          <w:szCs w:val="24"/>
        </w:rPr>
        <w:t>）单方面变更标的项目的销售方案及销售定价。</w:t>
      </w:r>
    </w:p>
    <w:p w14:paraId="3BA3616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hint="eastAsia"/>
          <w:sz w:val="24"/>
          <w:szCs w:val="24"/>
        </w:rPr>
        <w:t>1</w:t>
      </w:r>
      <w:r>
        <w:rPr>
          <w:rFonts w:ascii="Times New Roman" w:eastAsia="楷体_GB2312" w:hAnsi="Times New Roman"/>
          <w:sz w:val="24"/>
          <w:szCs w:val="24"/>
        </w:rPr>
        <w:t>4.5</w:t>
      </w:r>
      <w:r>
        <w:rPr>
          <w:rFonts w:ascii="Times New Roman" w:eastAsia="楷体_GB2312" w:hAnsi="Times New Roman"/>
          <w:sz w:val="24"/>
          <w:szCs w:val="24"/>
        </w:rPr>
        <w:tab/>
      </w:r>
      <w:r>
        <w:rPr>
          <w:rFonts w:ascii="Times New Roman" w:eastAsia="楷体_GB2312" w:hAnsi="Times New Roman" w:hint="eastAsia"/>
          <w:sz w:val="24"/>
          <w:szCs w:val="24"/>
        </w:rPr>
        <w:t>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公司存在私刻印章</w:t>
      </w:r>
      <w:r>
        <w:rPr>
          <w:rFonts w:ascii="Times New Roman" w:eastAsia="楷体_GB2312" w:hAnsi="Times New Roman" w:hint="eastAsia"/>
          <w:sz w:val="24"/>
          <w:szCs w:val="24"/>
        </w:rPr>
        <w:t>/</w:t>
      </w:r>
      <w:r>
        <w:rPr>
          <w:rFonts w:ascii="Times New Roman" w:eastAsia="楷体_GB2312" w:hAnsi="Times New Roman" w:hint="eastAsia"/>
          <w:sz w:val="24"/>
          <w:szCs w:val="24"/>
        </w:rPr>
        <w:t>印鉴、挪用资金、私自开立银行账户或违反本合同约定收取款项等违约行为，甲方</w:t>
      </w:r>
      <w:r>
        <w:rPr>
          <w:rFonts w:ascii="Times New Roman" w:eastAsia="楷体_GB2312" w:hAnsi="Times New Roman" w:hint="eastAsia"/>
          <w:sz w:val="24"/>
          <w:szCs w:val="24"/>
        </w:rPr>
        <w:t>/</w:t>
      </w:r>
      <w:r>
        <w:rPr>
          <w:rFonts w:ascii="Times New Roman" w:eastAsia="楷体_GB2312" w:hAnsi="Times New Roman" w:hint="eastAsia"/>
          <w:sz w:val="24"/>
          <w:szCs w:val="24"/>
        </w:rPr>
        <w:t>乙方及现场监管人员有权要求被监管方及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公司立即整改，并有权向被监管方及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公司收取</w:t>
      </w:r>
      <w:r>
        <w:rPr>
          <w:rFonts w:ascii="Times New Roman" w:eastAsia="楷体_GB2312" w:hAnsi="Times New Roman" w:hint="eastAsia"/>
          <w:sz w:val="24"/>
          <w:szCs w:val="24"/>
        </w:rPr>
        <w:t>10</w:t>
      </w:r>
      <w:r>
        <w:rPr>
          <w:rFonts w:ascii="Times New Roman" w:eastAsia="楷体_GB2312" w:hAnsi="Times New Roman" w:hint="eastAsia"/>
          <w:sz w:val="24"/>
          <w:szCs w:val="24"/>
        </w:rPr>
        <w:t>万元以下违约金。经甲方</w:t>
      </w:r>
      <w:r>
        <w:rPr>
          <w:rFonts w:ascii="Times New Roman" w:eastAsia="楷体_GB2312" w:hAnsi="Times New Roman" w:hint="eastAsia"/>
          <w:sz w:val="24"/>
          <w:szCs w:val="24"/>
        </w:rPr>
        <w:t>/</w:t>
      </w:r>
      <w:r>
        <w:rPr>
          <w:rFonts w:ascii="Times New Roman" w:eastAsia="楷体_GB2312" w:hAnsi="Times New Roman" w:hint="eastAsia"/>
          <w:sz w:val="24"/>
          <w:szCs w:val="24"/>
        </w:rPr>
        <w:t>乙方或现场监管人员认定违约情节严重，且被监管方及</w:t>
      </w:r>
      <w:r>
        <w:rPr>
          <w:rFonts w:ascii="Times New Roman" w:eastAsia="楷体_GB2312" w:hAnsi="Times New Roman" w:hint="eastAsia"/>
          <w:sz w:val="24"/>
          <w:szCs w:val="24"/>
        </w:rPr>
        <w:t>GP</w:t>
      </w:r>
      <w:r>
        <w:rPr>
          <w:rFonts w:ascii="Times New Roman" w:eastAsia="楷体_GB2312" w:hAnsi="Times New Roman" w:hint="eastAsia"/>
          <w:sz w:val="24"/>
          <w:szCs w:val="24"/>
        </w:rPr>
        <w:t>公司自违约行为发生之日起</w:t>
      </w:r>
      <w:r>
        <w:rPr>
          <w:rFonts w:ascii="Times New Roman" w:eastAsia="楷体_GB2312" w:hAnsi="Times New Roman" w:hint="eastAsia"/>
          <w:sz w:val="24"/>
          <w:szCs w:val="24"/>
        </w:rPr>
        <w:t>1</w:t>
      </w:r>
      <w:r>
        <w:rPr>
          <w:rFonts w:ascii="Times New Roman" w:eastAsia="楷体_GB2312" w:hAnsi="Times New Roman" w:hint="eastAsia"/>
          <w:sz w:val="24"/>
          <w:szCs w:val="24"/>
        </w:rPr>
        <w:t>个月内未能及时整改的，甲方有权按照《合作框架协议》和《对赌协议》项下约定启动对赌保护性退出机制。</w:t>
      </w:r>
    </w:p>
    <w:p w14:paraId="05DC7913"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761D7A68"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第十</w:t>
      </w:r>
      <w:r>
        <w:rPr>
          <w:rFonts w:ascii="Times New Roman" w:eastAsia="楷体_GB2312" w:hAnsi="Times New Roman" w:hint="eastAsia"/>
          <w:b/>
          <w:sz w:val="24"/>
          <w:szCs w:val="24"/>
        </w:rPr>
        <w:t>五</w:t>
      </w:r>
      <w:r>
        <w:rPr>
          <w:rFonts w:ascii="Times New Roman" w:eastAsia="楷体_GB2312" w:hAnsi="Times New Roman"/>
          <w:b/>
          <w:sz w:val="24"/>
          <w:szCs w:val="24"/>
        </w:rPr>
        <w:t>条：适用法律及争议解决</w:t>
      </w:r>
    </w:p>
    <w:p w14:paraId="63EDE3F0"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15.1</w:t>
      </w:r>
      <w:r>
        <w:rPr>
          <w:rFonts w:ascii="Times New Roman" w:eastAsia="楷体_GB2312" w:hAnsi="Times New Roman"/>
          <w:sz w:val="24"/>
          <w:szCs w:val="24"/>
        </w:rPr>
        <w:tab/>
      </w:r>
      <w:r>
        <w:rPr>
          <w:rFonts w:ascii="Times New Roman" w:eastAsia="楷体_GB2312" w:hAnsi="Times New Roman"/>
          <w:sz w:val="24"/>
          <w:szCs w:val="24"/>
        </w:rPr>
        <w:t>本合同的成立、有效、解释和履行，适用中华人民共和国（为本合同之目的，不含香港特别行政区、澳门特别行政区和台湾地区）法律。</w:t>
      </w:r>
    </w:p>
    <w:p w14:paraId="384E4747"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15.2</w:t>
      </w:r>
      <w:r>
        <w:rPr>
          <w:rFonts w:ascii="Times New Roman" w:eastAsia="楷体_GB2312" w:hAnsi="Times New Roman"/>
          <w:sz w:val="24"/>
          <w:szCs w:val="24"/>
        </w:rPr>
        <w:tab/>
      </w:r>
      <w:r>
        <w:rPr>
          <w:rFonts w:ascii="Times New Roman" w:eastAsia="楷体_GB2312" w:hAnsi="Times New Roman"/>
          <w:sz w:val="24"/>
          <w:szCs w:val="24"/>
        </w:rPr>
        <w:t>在履行本合同过程中，合同当事人若发生纠纷，应本着友好协商，维护监管资产利益的原则协商解决；协商不成的，应向</w:t>
      </w:r>
      <w:r>
        <w:rPr>
          <w:rFonts w:ascii="Times New Roman" w:eastAsia="楷体_GB2312" w:hAnsi="Times New Roman" w:hint="eastAsia"/>
          <w:b/>
          <w:bCs/>
          <w:sz w:val="24"/>
          <w:szCs w:val="24"/>
        </w:rPr>
        <w:t>本合同签署地</w:t>
      </w:r>
      <w:r>
        <w:rPr>
          <w:rFonts w:ascii="Times New Roman" w:eastAsia="楷体_GB2312" w:hAnsi="Times New Roman"/>
          <w:sz w:val="24"/>
          <w:szCs w:val="24"/>
        </w:rPr>
        <w:t>有管辖权的人民法院提起诉讼以解决争议。</w:t>
      </w:r>
    </w:p>
    <w:p w14:paraId="2E11478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15.3</w:t>
      </w:r>
      <w:r>
        <w:rPr>
          <w:rFonts w:ascii="Times New Roman" w:eastAsia="楷体_GB2312" w:hAnsi="Times New Roman"/>
          <w:sz w:val="24"/>
          <w:szCs w:val="24"/>
        </w:rPr>
        <w:tab/>
      </w:r>
      <w:r>
        <w:rPr>
          <w:rFonts w:ascii="Times New Roman" w:eastAsia="楷体_GB2312" w:hAnsi="Times New Roman"/>
          <w:sz w:val="24"/>
          <w:szCs w:val="24"/>
        </w:rPr>
        <w:t>在发生任何争议和在任何争议正在进行诉讼时，除了所争议的事宜外，各方应继续完成其各自在本合同项下的义务。</w:t>
      </w:r>
    </w:p>
    <w:p w14:paraId="67F12276" w14:textId="77777777" w:rsidR="00CC4C43" w:rsidRDefault="00CC4C43">
      <w:pPr>
        <w:adjustRightInd w:val="0"/>
        <w:snapToGrid w:val="0"/>
        <w:spacing w:afterLines="20" w:after="62" w:line="288" w:lineRule="auto"/>
        <w:rPr>
          <w:rFonts w:ascii="Times New Roman" w:eastAsia="楷体_GB2312" w:hAnsi="Times New Roman"/>
          <w:sz w:val="24"/>
          <w:szCs w:val="24"/>
        </w:rPr>
      </w:pPr>
    </w:p>
    <w:p w14:paraId="28C3F9B6"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b/>
          <w:sz w:val="24"/>
          <w:szCs w:val="24"/>
        </w:rPr>
        <w:t>第十</w:t>
      </w:r>
      <w:r>
        <w:rPr>
          <w:rFonts w:ascii="Times New Roman" w:eastAsia="楷体_GB2312" w:hAnsi="Times New Roman" w:hint="eastAsia"/>
          <w:b/>
          <w:sz w:val="24"/>
          <w:szCs w:val="24"/>
        </w:rPr>
        <w:t>六</w:t>
      </w:r>
      <w:r>
        <w:rPr>
          <w:rFonts w:ascii="Times New Roman" w:eastAsia="楷体_GB2312" w:hAnsi="Times New Roman"/>
          <w:b/>
          <w:sz w:val="24"/>
          <w:szCs w:val="24"/>
        </w:rPr>
        <w:t>条：不可抗力</w:t>
      </w:r>
    </w:p>
    <w:p w14:paraId="014F83BA"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lastRenderedPageBreak/>
        <w:t>16.1</w:t>
      </w:r>
      <w:r>
        <w:rPr>
          <w:rFonts w:ascii="Times New Roman" w:eastAsia="楷体_GB2312" w:hAnsi="Times New Roman"/>
          <w:sz w:val="24"/>
          <w:szCs w:val="24"/>
        </w:rPr>
        <w:tab/>
      </w:r>
      <w:r>
        <w:rPr>
          <w:rFonts w:ascii="Times New Roman" w:eastAsia="楷体_GB2312" w:hAnsi="Times New Roman" w:hint="eastAsia"/>
          <w:sz w:val="24"/>
          <w:szCs w:val="24"/>
        </w:rPr>
        <w:t>本合同所称的不可抗力事件，是指在本合同签订并生效后，非由于任何一方的过失或故意，发生了各方不能预见、不能避免并不能克服的事件，且该事件妨碍、影响或延误任何一方根据本合同履行其全部或部分义务。该事件包括但不限于由于银行系统导致收付延迟、地震、台风、洪水、火灾、瘟疫、战争、政变、恐怖主义行动、骚乱、罢工以及新法律、行政法规、部门规章或国家政策、监管政策颁布或对原法律、行政法规、部门规章或国家政策、监管政策的修改等因素</w:t>
      </w:r>
      <w:r>
        <w:rPr>
          <w:rFonts w:ascii="Times New Roman" w:eastAsia="楷体_GB2312" w:hAnsi="Times New Roman"/>
          <w:sz w:val="24"/>
          <w:szCs w:val="24"/>
        </w:rPr>
        <w:t>；</w:t>
      </w:r>
    </w:p>
    <w:p w14:paraId="627D2A6B"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16.2</w:t>
      </w:r>
      <w:r>
        <w:rPr>
          <w:rFonts w:ascii="Times New Roman" w:eastAsia="楷体_GB2312" w:hAnsi="Times New Roman"/>
          <w:sz w:val="24"/>
          <w:szCs w:val="24"/>
        </w:rPr>
        <w:tab/>
      </w:r>
      <w:r>
        <w:rPr>
          <w:rFonts w:ascii="Times New Roman" w:eastAsia="楷体_GB2312" w:hAnsi="Times New Roman" w:hint="eastAsia"/>
          <w:sz w:val="24"/>
          <w:szCs w:val="24"/>
        </w:rPr>
        <w:t>如发生不可抗力事件，遭受该事件的一方应尽最大努力减少由此可能造成的损失，立即用可能的快捷方式通知对方，并在</w:t>
      </w:r>
      <w:r>
        <w:rPr>
          <w:rFonts w:ascii="Times New Roman" w:eastAsia="楷体_GB2312" w:hAnsi="Times New Roman" w:hint="eastAsia"/>
          <w:sz w:val="24"/>
          <w:szCs w:val="24"/>
        </w:rPr>
        <w:t>15</w:t>
      </w:r>
      <w:r>
        <w:rPr>
          <w:rFonts w:ascii="Times New Roman" w:eastAsia="楷体_GB2312" w:hAnsi="Times New Roman" w:hint="eastAsia"/>
          <w:sz w:val="24"/>
          <w:szCs w:val="24"/>
        </w:rPr>
        <w:t>个工作日内提供事件发生地的政府有关部门或公证机构出具的证明文件说明有关事件的细节和不能履行或部分不能履行或需延迟履行本合同的原因。各方应在协商一致的基础上决定是否延期履行本合同或终止本合同，并达成书面协议</w:t>
      </w:r>
      <w:r>
        <w:rPr>
          <w:rFonts w:ascii="Times New Roman" w:eastAsia="楷体_GB2312" w:hAnsi="Times New Roman"/>
          <w:sz w:val="24"/>
          <w:szCs w:val="24"/>
        </w:rPr>
        <w:t>；</w:t>
      </w:r>
    </w:p>
    <w:p w14:paraId="76D13F62" w14:textId="77777777" w:rsidR="00CC4C43" w:rsidRDefault="007731E0">
      <w:pPr>
        <w:adjustRightInd w:val="0"/>
        <w:snapToGrid w:val="0"/>
        <w:spacing w:afterLines="20" w:after="62" w:line="288" w:lineRule="auto"/>
        <w:ind w:left="648" w:hangingChars="270" w:hanging="648"/>
        <w:rPr>
          <w:rFonts w:ascii="Times New Roman" w:eastAsia="楷体_GB2312" w:hAnsi="Times New Roman"/>
          <w:sz w:val="24"/>
          <w:szCs w:val="24"/>
        </w:rPr>
      </w:pPr>
      <w:r>
        <w:rPr>
          <w:rFonts w:ascii="Times New Roman" w:eastAsia="楷体_GB2312" w:hAnsi="Times New Roman"/>
          <w:sz w:val="24"/>
          <w:szCs w:val="24"/>
        </w:rPr>
        <w:t>16.3</w:t>
      </w:r>
      <w:r>
        <w:rPr>
          <w:rFonts w:ascii="Times New Roman" w:eastAsia="楷体_GB2312" w:hAnsi="Times New Roman"/>
          <w:sz w:val="24"/>
          <w:szCs w:val="24"/>
        </w:rPr>
        <w:tab/>
      </w:r>
      <w:r>
        <w:rPr>
          <w:rFonts w:ascii="Times New Roman" w:eastAsia="楷体_GB2312" w:hAnsi="Times New Roman" w:hint="eastAsia"/>
          <w:sz w:val="24"/>
          <w:szCs w:val="24"/>
        </w:rPr>
        <w:t>如果发生不可抗力（包括因为银行系统导致收付延迟等因素），致使一方不能履行或迟延履行本合同项下之各项义务，则该方对无法履行或迟延履行其在本合同项下的任何义务不承担责任，但该方迟延履行其在本合同项</w:t>
      </w:r>
      <w:proofErr w:type="gramStart"/>
      <w:r>
        <w:rPr>
          <w:rFonts w:ascii="Times New Roman" w:eastAsia="楷体_GB2312" w:hAnsi="Times New Roman" w:hint="eastAsia"/>
          <w:sz w:val="24"/>
          <w:szCs w:val="24"/>
        </w:rPr>
        <w:t>下义务</w:t>
      </w:r>
      <w:proofErr w:type="gramEnd"/>
      <w:r>
        <w:rPr>
          <w:rFonts w:ascii="Times New Roman" w:eastAsia="楷体_GB2312" w:hAnsi="Times New Roman" w:hint="eastAsia"/>
          <w:sz w:val="24"/>
          <w:szCs w:val="24"/>
        </w:rPr>
        <w:t>后发生不可抗力的，该方对无法履行或迟延履行其在本合同项下的义务不能免除责任。</w:t>
      </w:r>
    </w:p>
    <w:p w14:paraId="54798936" w14:textId="77777777" w:rsidR="00CC4C43" w:rsidRDefault="00CC4C43">
      <w:pPr>
        <w:adjustRightInd w:val="0"/>
        <w:snapToGrid w:val="0"/>
        <w:spacing w:afterLines="20" w:after="62" w:line="288" w:lineRule="auto"/>
        <w:ind w:left="648" w:hangingChars="270" w:hanging="648"/>
        <w:rPr>
          <w:rFonts w:ascii="Times New Roman" w:eastAsia="楷体_GB2312" w:hAnsi="Times New Roman"/>
          <w:bCs/>
          <w:sz w:val="24"/>
          <w:szCs w:val="24"/>
        </w:rPr>
      </w:pPr>
    </w:p>
    <w:p w14:paraId="5591CB23" w14:textId="77777777" w:rsidR="00CC4C43" w:rsidRDefault="007731E0">
      <w:pPr>
        <w:adjustRightInd w:val="0"/>
        <w:snapToGrid w:val="0"/>
        <w:spacing w:afterLines="20" w:after="62" w:line="288" w:lineRule="auto"/>
        <w:outlineLvl w:val="0"/>
        <w:rPr>
          <w:rFonts w:ascii="Times New Roman" w:eastAsia="楷体_GB2312" w:hAnsi="Times New Roman"/>
          <w:b/>
          <w:sz w:val="24"/>
          <w:szCs w:val="24"/>
        </w:rPr>
      </w:pPr>
      <w:r>
        <w:rPr>
          <w:rFonts w:ascii="Times New Roman" w:eastAsia="楷体_GB2312" w:hAnsi="Times New Roman" w:hint="eastAsia"/>
          <w:b/>
          <w:sz w:val="24"/>
          <w:szCs w:val="24"/>
        </w:rPr>
        <w:t>第十七条：</w:t>
      </w:r>
      <w:r>
        <w:rPr>
          <w:rFonts w:ascii="Times New Roman" w:eastAsia="楷体_GB2312" w:hAnsi="Times New Roman"/>
          <w:b/>
          <w:sz w:val="24"/>
          <w:szCs w:val="24"/>
        </w:rPr>
        <w:t>文本及效力</w:t>
      </w:r>
    </w:p>
    <w:p w14:paraId="552AD47B"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sz w:val="24"/>
          <w:szCs w:val="24"/>
        </w:rPr>
        <w:t>17.1</w:t>
      </w:r>
      <w:r>
        <w:rPr>
          <w:rFonts w:ascii="Times New Roman" w:eastAsia="楷体_GB2312" w:hAnsi="Times New Roman"/>
          <w:sz w:val="24"/>
          <w:szCs w:val="24"/>
        </w:rPr>
        <w:tab/>
      </w:r>
      <w:r>
        <w:rPr>
          <w:rFonts w:ascii="楷体" w:eastAsia="楷体" w:hAnsi="楷体" w:hint="eastAsia"/>
          <w:sz w:val="24"/>
        </w:rPr>
        <w:t>除非本协议另有约定或上下文明确约定，本协议中的词语与定义与《合作框架协议》中使用的词语与定义具有相同的含义</w:t>
      </w:r>
      <w:r>
        <w:rPr>
          <w:rFonts w:ascii="Times New Roman" w:eastAsia="楷体_GB2312" w:hAnsi="Times New Roman"/>
          <w:sz w:val="24"/>
          <w:szCs w:val="24"/>
        </w:rPr>
        <w:t>。</w:t>
      </w:r>
    </w:p>
    <w:p w14:paraId="6726598F"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1</w:t>
      </w:r>
      <w:r>
        <w:rPr>
          <w:rFonts w:ascii="Times New Roman" w:eastAsia="楷体_GB2312" w:hAnsi="Times New Roman"/>
          <w:sz w:val="24"/>
          <w:szCs w:val="24"/>
        </w:rPr>
        <w:t>7.2</w:t>
      </w:r>
      <w:r>
        <w:rPr>
          <w:rFonts w:ascii="Times New Roman" w:eastAsia="楷体_GB2312" w:hAnsi="Times New Roman"/>
          <w:sz w:val="24"/>
          <w:szCs w:val="24"/>
        </w:rPr>
        <w:tab/>
      </w:r>
      <w:r>
        <w:rPr>
          <w:rFonts w:ascii="Times New Roman" w:eastAsia="楷体_GB2312" w:hAnsi="Times New Roman"/>
          <w:sz w:val="24"/>
          <w:szCs w:val="24"/>
        </w:rPr>
        <w:t>合同正本一式【</w:t>
      </w:r>
      <w:r>
        <w:rPr>
          <w:rFonts w:ascii="Times New Roman" w:eastAsia="楷体_GB2312" w:hAnsi="Times New Roman" w:hint="eastAsia"/>
          <w:sz w:val="24"/>
          <w:szCs w:val="24"/>
        </w:rPr>
        <w:t>壹拾陆</w:t>
      </w:r>
      <w:r>
        <w:rPr>
          <w:rFonts w:ascii="Times New Roman" w:eastAsia="楷体_GB2312" w:hAnsi="Times New Roman"/>
          <w:sz w:val="24"/>
          <w:szCs w:val="24"/>
        </w:rPr>
        <w:t>】份，各方各执【</w:t>
      </w:r>
      <w:r>
        <w:rPr>
          <w:rFonts w:ascii="Times New Roman" w:eastAsia="楷体_GB2312" w:hAnsi="Times New Roman" w:hint="eastAsia"/>
          <w:sz w:val="24"/>
          <w:szCs w:val="24"/>
        </w:rPr>
        <w:t>贰</w:t>
      </w:r>
      <w:r>
        <w:rPr>
          <w:rFonts w:ascii="Times New Roman" w:eastAsia="楷体_GB2312" w:hAnsi="Times New Roman"/>
          <w:sz w:val="24"/>
          <w:szCs w:val="24"/>
        </w:rPr>
        <w:t>】份，</w:t>
      </w:r>
      <w:r>
        <w:rPr>
          <w:rFonts w:ascii="Times New Roman" w:eastAsia="楷体_GB2312" w:hAnsi="Times New Roman" w:hint="eastAsia"/>
          <w:sz w:val="24"/>
          <w:szCs w:val="24"/>
        </w:rPr>
        <w:t>其余备份，</w:t>
      </w:r>
      <w:r>
        <w:rPr>
          <w:rFonts w:ascii="Times New Roman" w:eastAsia="楷体_GB2312" w:hAnsi="Times New Roman"/>
          <w:sz w:val="24"/>
          <w:szCs w:val="24"/>
        </w:rPr>
        <w:t>具同等法律效力。</w:t>
      </w:r>
    </w:p>
    <w:p w14:paraId="4546ABD9" w14:textId="77777777" w:rsidR="00CC4C43" w:rsidRDefault="007731E0">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1</w:t>
      </w:r>
      <w:r>
        <w:rPr>
          <w:rFonts w:ascii="Times New Roman" w:eastAsia="楷体_GB2312" w:hAnsi="Times New Roman"/>
          <w:sz w:val="24"/>
          <w:szCs w:val="24"/>
        </w:rPr>
        <w:t>7.3</w:t>
      </w:r>
      <w:r>
        <w:rPr>
          <w:rFonts w:ascii="Times New Roman" w:eastAsia="楷体_GB2312" w:hAnsi="Times New Roman"/>
          <w:sz w:val="24"/>
          <w:szCs w:val="24"/>
        </w:rPr>
        <w:tab/>
      </w:r>
      <w:r>
        <w:rPr>
          <w:rFonts w:ascii="Times New Roman" w:eastAsia="楷体_GB2312" w:hAnsi="Times New Roman" w:hint="eastAsia"/>
          <w:sz w:val="24"/>
          <w:szCs w:val="24"/>
        </w:rPr>
        <w:t>本合同附件为本合同组成部分，与合同正文具同等法律效力。</w:t>
      </w:r>
    </w:p>
    <w:p w14:paraId="433B890F" w14:textId="77777777" w:rsidR="00CC4C43" w:rsidRDefault="007731E0">
      <w:pPr>
        <w:adjustRightInd w:val="0"/>
        <w:snapToGrid w:val="0"/>
        <w:spacing w:afterLines="20" w:after="62" w:line="288" w:lineRule="auto"/>
        <w:rPr>
          <w:rFonts w:ascii="Times New Roman" w:eastAsia="楷体_GB2312" w:hAnsi="Times New Roman"/>
          <w:szCs w:val="21"/>
        </w:rPr>
      </w:pPr>
      <w:r>
        <w:rPr>
          <w:rFonts w:ascii="Times New Roman" w:eastAsia="楷体_GB2312" w:hAnsi="Times New Roman"/>
          <w:sz w:val="24"/>
          <w:szCs w:val="24"/>
        </w:rPr>
        <w:t>（以下无正文）</w:t>
      </w:r>
      <w:r>
        <w:rPr>
          <w:rFonts w:ascii="Times New Roman" w:eastAsia="楷体_GB2312" w:hAnsi="Times New Roman"/>
          <w:szCs w:val="21"/>
        </w:rPr>
        <w:br w:type="page"/>
      </w:r>
    </w:p>
    <w:p w14:paraId="5E05ED7F"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lastRenderedPageBreak/>
        <w:t>（本页无正文，为编号为</w:t>
      </w:r>
      <w:r>
        <w:rPr>
          <w:rFonts w:ascii="Times New Roman" w:eastAsia="楷体_GB2312" w:hAnsi="Times New Roman" w:hint="eastAsia"/>
          <w:sz w:val="24"/>
          <w:szCs w:val="24"/>
        </w:rPr>
        <w:t>2021Z0482-</w:t>
      </w:r>
      <w:r>
        <w:rPr>
          <w:rFonts w:ascii="Times New Roman" w:eastAsia="楷体_GB2312" w:hAnsi="Times New Roman" w:hint="eastAsia"/>
          <w:sz w:val="24"/>
          <w:szCs w:val="24"/>
        </w:rPr>
        <w:t>监管</w:t>
      </w:r>
      <w:r>
        <w:rPr>
          <w:rFonts w:ascii="Times New Roman" w:eastAsia="楷体_GB2312" w:hAnsi="Times New Roman" w:hint="eastAsia"/>
          <w:sz w:val="24"/>
          <w:szCs w:val="24"/>
        </w:rPr>
        <w:t>0</w:t>
      </w:r>
      <w:r>
        <w:rPr>
          <w:rFonts w:ascii="Times New Roman" w:eastAsia="楷体_GB2312" w:hAnsi="Times New Roman"/>
          <w:sz w:val="24"/>
          <w:szCs w:val="24"/>
        </w:rPr>
        <w:t>01</w:t>
      </w:r>
      <w:r>
        <w:rPr>
          <w:rFonts w:ascii="Times New Roman" w:eastAsia="楷体_GB2312" w:hAnsi="Times New Roman" w:hint="eastAsia"/>
          <w:sz w:val="24"/>
          <w:szCs w:val="24"/>
        </w:rPr>
        <w:t>的《监管合同》的签署页）</w:t>
      </w:r>
    </w:p>
    <w:p w14:paraId="2475144E" w14:textId="77777777" w:rsidR="00CC4C43" w:rsidRDefault="00CC4C43">
      <w:pPr>
        <w:spacing w:afterLines="20" w:after="62" w:line="288" w:lineRule="auto"/>
        <w:rPr>
          <w:rFonts w:ascii="Times New Roman" w:eastAsia="楷体_GB2312" w:hAnsi="Times New Roman"/>
          <w:sz w:val="24"/>
          <w:szCs w:val="24"/>
        </w:rPr>
      </w:pPr>
    </w:p>
    <w:p w14:paraId="3A98AEC8" w14:textId="77777777" w:rsidR="00CC4C43" w:rsidRDefault="007731E0">
      <w:pPr>
        <w:spacing w:afterLines="20" w:after="62" w:line="288" w:lineRule="auto"/>
        <w:ind w:firstLineChars="200" w:firstLine="482"/>
        <w:rPr>
          <w:rFonts w:ascii="Times New Roman" w:eastAsia="楷体_GB2312" w:hAnsi="Times New Roman"/>
          <w:b/>
          <w:bCs/>
          <w:sz w:val="24"/>
          <w:szCs w:val="24"/>
        </w:rPr>
      </w:pPr>
      <w:r>
        <w:rPr>
          <w:rFonts w:ascii="Times New Roman" w:eastAsia="楷体_GB2312" w:hAnsi="Times New Roman" w:hint="eastAsia"/>
          <w:b/>
          <w:bCs/>
          <w:sz w:val="24"/>
          <w:szCs w:val="24"/>
        </w:rPr>
        <w:t>在签署本合同时，各当事人对合同的所有条款已经阅悉，均无异议，并对当事人之间的法律关系、有关权利、义务和责任的条款的法律含义有准确无误的理解。</w:t>
      </w:r>
    </w:p>
    <w:p w14:paraId="0E75FC36" w14:textId="77777777" w:rsidR="00CC4C43" w:rsidRDefault="00CC4C43">
      <w:pPr>
        <w:spacing w:afterLines="20" w:after="62" w:line="288" w:lineRule="auto"/>
        <w:rPr>
          <w:rFonts w:ascii="Times New Roman" w:eastAsia="楷体_GB2312" w:hAnsi="Times New Roman"/>
          <w:sz w:val="24"/>
          <w:szCs w:val="24"/>
        </w:rPr>
      </w:pPr>
    </w:p>
    <w:p w14:paraId="5F595704"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甲方（盖章）：光大兴</w:t>
      </w:r>
      <w:proofErr w:type="gramStart"/>
      <w:r>
        <w:rPr>
          <w:rFonts w:ascii="Times New Roman" w:eastAsia="楷体_GB2312" w:hAnsi="Times New Roman" w:hint="eastAsia"/>
          <w:sz w:val="24"/>
          <w:szCs w:val="24"/>
        </w:rPr>
        <w:t>陇</w:t>
      </w:r>
      <w:proofErr w:type="gramEnd"/>
      <w:r>
        <w:rPr>
          <w:rFonts w:ascii="Times New Roman" w:eastAsia="楷体_GB2312" w:hAnsi="Times New Roman" w:hint="eastAsia"/>
          <w:sz w:val="24"/>
          <w:szCs w:val="24"/>
        </w:rPr>
        <w:t>信托有限责任公司</w:t>
      </w:r>
    </w:p>
    <w:p w14:paraId="016C2586"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法定代表人或授权代理人（签字或签章）：</w:t>
      </w:r>
    </w:p>
    <w:p w14:paraId="2CE83CD4" w14:textId="77777777" w:rsidR="00CC4C43" w:rsidRDefault="00CC4C43">
      <w:pPr>
        <w:spacing w:afterLines="20" w:after="62" w:line="288" w:lineRule="auto"/>
        <w:rPr>
          <w:rFonts w:ascii="Times New Roman" w:eastAsia="楷体_GB2312" w:hAnsi="Times New Roman"/>
          <w:sz w:val="24"/>
          <w:szCs w:val="24"/>
        </w:rPr>
      </w:pPr>
    </w:p>
    <w:p w14:paraId="64725EDE"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乙方（盖章）：</w:t>
      </w:r>
      <w:proofErr w:type="gramStart"/>
      <w:r>
        <w:rPr>
          <w:rFonts w:ascii="Times New Roman" w:eastAsia="楷体_GB2312" w:hAnsi="Times New Roman" w:hint="eastAsia"/>
          <w:sz w:val="24"/>
          <w:szCs w:val="24"/>
        </w:rPr>
        <w:t>合肥融畔企业管理</w:t>
      </w:r>
      <w:proofErr w:type="gramEnd"/>
      <w:r>
        <w:rPr>
          <w:rFonts w:ascii="Times New Roman" w:eastAsia="楷体_GB2312" w:hAnsi="Times New Roman" w:hint="eastAsia"/>
          <w:sz w:val="24"/>
          <w:szCs w:val="24"/>
        </w:rPr>
        <w:t>合伙企业（有限合伙）</w:t>
      </w:r>
    </w:p>
    <w:p w14:paraId="12AE456D"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执行事务合伙人委派代表或授权代理人（签字或签章）：</w:t>
      </w:r>
    </w:p>
    <w:p w14:paraId="42AA2F6E" w14:textId="77777777" w:rsidR="00CC4C43" w:rsidRDefault="00CC4C43">
      <w:pPr>
        <w:spacing w:afterLines="20" w:after="62" w:line="288" w:lineRule="auto"/>
        <w:rPr>
          <w:rFonts w:ascii="Times New Roman" w:eastAsia="楷体_GB2312" w:hAnsi="Times New Roman"/>
          <w:sz w:val="24"/>
          <w:szCs w:val="24"/>
        </w:rPr>
      </w:pPr>
    </w:p>
    <w:p w14:paraId="15EA57B8"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丙方（盖章）：</w:t>
      </w:r>
      <w:proofErr w:type="gramStart"/>
      <w:r>
        <w:rPr>
          <w:rFonts w:ascii="Times New Roman" w:eastAsia="楷体_GB2312" w:hAnsi="Times New Roman" w:hint="eastAsia"/>
          <w:sz w:val="24"/>
          <w:szCs w:val="24"/>
        </w:rPr>
        <w:t>合肥融沛企业管理</w:t>
      </w:r>
      <w:proofErr w:type="gramEnd"/>
      <w:r>
        <w:rPr>
          <w:rFonts w:ascii="Times New Roman" w:eastAsia="楷体_GB2312" w:hAnsi="Times New Roman" w:hint="eastAsia"/>
          <w:sz w:val="24"/>
          <w:szCs w:val="24"/>
        </w:rPr>
        <w:t>有限公司</w:t>
      </w:r>
    </w:p>
    <w:p w14:paraId="5A33EFA1"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法定代表人或授权代理人（签字或签章）：</w:t>
      </w:r>
    </w:p>
    <w:p w14:paraId="157CDFC3" w14:textId="77777777" w:rsidR="00CC4C43" w:rsidRDefault="00CC4C43">
      <w:pPr>
        <w:spacing w:afterLines="20" w:after="62" w:line="288" w:lineRule="auto"/>
        <w:rPr>
          <w:rFonts w:ascii="Times New Roman" w:eastAsia="楷体_GB2312" w:hAnsi="Times New Roman"/>
          <w:sz w:val="24"/>
          <w:szCs w:val="24"/>
        </w:rPr>
      </w:pPr>
    </w:p>
    <w:p w14:paraId="72A1015F"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丁方（盖章）：合肥赛越企业管理有限公司</w:t>
      </w:r>
    </w:p>
    <w:p w14:paraId="25BE88EF"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法定代表人或授权代理人（签字或签章）：</w:t>
      </w:r>
    </w:p>
    <w:p w14:paraId="1997F033" w14:textId="77777777" w:rsidR="00CC4C43" w:rsidRDefault="00CC4C43">
      <w:pPr>
        <w:spacing w:afterLines="20" w:after="62" w:line="288" w:lineRule="auto"/>
        <w:rPr>
          <w:rFonts w:ascii="Times New Roman" w:eastAsia="楷体_GB2312" w:hAnsi="Times New Roman"/>
          <w:sz w:val="24"/>
          <w:szCs w:val="24"/>
        </w:rPr>
      </w:pPr>
    </w:p>
    <w:p w14:paraId="74E690EB"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戊方（盖章）：合肥融望置业有限公司</w:t>
      </w:r>
    </w:p>
    <w:p w14:paraId="4C5270A5"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法定代表人或授权代理人（签字或签章）：</w:t>
      </w:r>
    </w:p>
    <w:p w14:paraId="11B84BBA" w14:textId="77777777" w:rsidR="00CC4C43" w:rsidRDefault="00CC4C43">
      <w:pPr>
        <w:spacing w:afterLines="20" w:after="62" w:line="288" w:lineRule="auto"/>
        <w:rPr>
          <w:rFonts w:ascii="Times New Roman" w:eastAsia="楷体_GB2312" w:hAnsi="Times New Roman"/>
          <w:sz w:val="24"/>
          <w:szCs w:val="24"/>
        </w:rPr>
      </w:pPr>
    </w:p>
    <w:p w14:paraId="663DD39E"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己方（盖章）：</w:t>
      </w:r>
      <w:proofErr w:type="gramStart"/>
      <w:r>
        <w:rPr>
          <w:rFonts w:ascii="Times New Roman" w:eastAsia="楷体_GB2312" w:hAnsi="Times New Roman" w:hint="eastAsia"/>
          <w:sz w:val="24"/>
          <w:szCs w:val="24"/>
        </w:rPr>
        <w:t>合肥创尚企业管理</w:t>
      </w:r>
      <w:proofErr w:type="gramEnd"/>
      <w:r>
        <w:rPr>
          <w:rFonts w:ascii="Times New Roman" w:eastAsia="楷体_GB2312" w:hAnsi="Times New Roman" w:hint="eastAsia"/>
          <w:sz w:val="24"/>
          <w:szCs w:val="24"/>
        </w:rPr>
        <w:t>有限公司</w:t>
      </w:r>
    </w:p>
    <w:p w14:paraId="6CEC4550"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法定代表人或授权代理人（签字或签章）：</w:t>
      </w:r>
    </w:p>
    <w:p w14:paraId="3F2C0400" w14:textId="77777777" w:rsidR="00CC4C43" w:rsidRDefault="00CC4C43">
      <w:pPr>
        <w:spacing w:afterLines="20" w:after="62" w:line="288" w:lineRule="auto"/>
        <w:rPr>
          <w:rFonts w:ascii="Times New Roman" w:eastAsia="楷体_GB2312" w:hAnsi="Times New Roman"/>
          <w:sz w:val="24"/>
          <w:szCs w:val="24"/>
        </w:rPr>
      </w:pPr>
    </w:p>
    <w:p w14:paraId="16A24A3F"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庚方（盖章）：北京康信君安资产管理有限公司</w:t>
      </w:r>
    </w:p>
    <w:p w14:paraId="6B0708FC"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法定代表人或授权代理人（签字或签章）：</w:t>
      </w:r>
    </w:p>
    <w:p w14:paraId="07F08AEF" w14:textId="77777777" w:rsidR="00CC4C43" w:rsidRDefault="00CC4C43">
      <w:pPr>
        <w:spacing w:afterLines="20" w:after="62" w:line="288" w:lineRule="auto"/>
        <w:rPr>
          <w:rFonts w:ascii="Times New Roman" w:eastAsia="楷体_GB2312" w:hAnsi="Times New Roman"/>
          <w:sz w:val="24"/>
          <w:szCs w:val="24"/>
        </w:rPr>
      </w:pPr>
    </w:p>
    <w:p w14:paraId="320EAF25" w14:textId="77777777" w:rsidR="00CC4C43" w:rsidRDefault="00CC4C43">
      <w:pPr>
        <w:spacing w:afterLines="20" w:after="62" w:line="288" w:lineRule="auto"/>
        <w:rPr>
          <w:rFonts w:ascii="Times New Roman" w:eastAsia="楷体_GB2312" w:hAnsi="Times New Roman"/>
          <w:sz w:val="24"/>
          <w:szCs w:val="24"/>
        </w:rPr>
      </w:pPr>
    </w:p>
    <w:p w14:paraId="7861DA62"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签约时间：【</w:t>
      </w:r>
      <w:r>
        <w:rPr>
          <w:rFonts w:ascii="Times New Roman" w:eastAsia="楷体_GB2312" w:hAnsi="Times New Roman"/>
          <w:sz w:val="24"/>
          <w:szCs w:val="24"/>
        </w:rPr>
        <w:t xml:space="preserve">    </w:t>
      </w:r>
      <w:r>
        <w:rPr>
          <w:rFonts w:ascii="Times New Roman" w:eastAsia="楷体_GB2312" w:hAnsi="Times New Roman" w:hint="eastAsia"/>
          <w:sz w:val="24"/>
          <w:szCs w:val="24"/>
        </w:rPr>
        <w:t>】年【</w:t>
      </w:r>
      <w:r>
        <w:rPr>
          <w:rFonts w:ascii="Times New Roman" w:eastAsia="楷体_GB2312" w:hAnsi="Times New Roman"/>
          <w:sz w:val="24"/>
          <w:szCs w:val="24"/>
        </w:rPr>
        <w:t xml:space="preserve">  </w:t>
      </w:r>
      <w:r>
        <w:rPr>
          <w:rFonts w:ascii="Times New Roman" w:eastAsia="楷体_GB2312" w:hAnsi="Times New Roman" w:hint="eastAsia"/>
          <w:sz w:val="24"/>
          <w:szCs w:val="24"/>
        </w:rPr>
        <w:t>】月【</w:t>
      </w:r>
      <w:r>
        <w:rPr>
          <w:rFonts w:ascii="Times New Roman" w:eastAsia="楷体_GB2312" w:hAnsi="Times New Roman"/>
          <w:sz w:val="24"/>
          <w:szCs w:val="24"/>
        </w:rPr>
        <w:t xml:space="preserve">  </w:t>
      </w:r>
      <w:r>
        <w:rPr>
          <w:rFonts w:ascii="Times New Roman" w:eastAsia="楷体_GB2312" w:hAnsi="Times New Roman" w:hint="eastAsia"/>
          <w:sz w:val="24"/>
          <w:szCs w:val="24"/>
        </w:rPr>
        <w:t>】日</w:t>
      </w:r>
    </w:p>
    <w:p w14:paraId="5D03C76D" w14:textId="77777777" w:rsidR="00CC4C43" w:rsidRDefault="007731E0">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签署地点：中国甘肃省兰州市城关区</w:t>
      </w:r>
      <w:r>
        <w:rPr>
          <w:rFonts w:ascii="Times New Roman" w:eastAsia="楷体_GB2312" w:hAnsi="Times New Roman"/>
          <w:sz w:val="24"/>
          <w:szCs w:val="24"/>
        </w:rPr>
        <w:br w:type="page"/>
      </w:r>
    </w:p>
    <w:p w14:paraId="75069B1A" w14:textId="77777777" w:rsidR="00CC4C43" w:rsidRDefault="007731E0">
      <w:pPr>
        <w:spacing w:afterLines="20" w:after="62" w:line="288" w:lineRule="auto"/>
        <w:outlineLvl w:val="0"/>
        <w:rPr>
          <w:rFonts w:ascii="Times New Roman" w:eastAsia="楷体_GB2312" w:hAnsi="Times New Roman"/>
          <w:sz w:val="24"/>
          <w:szCs w:val="24"/>
        </w:rPr>
      </w:pPr>
      <w:r>
        <w:rPr>
          <w:rFonts w:ascii="Times New Roman" w:eastAsia="楷体_GB2312" w:hAnsi="Times New Roman" w:hint="eastAsia"/>
          <w:sz w:val="24"/>
          <w:szCs w:val="24"/>
        </w:rPr>
        <w:lastRenderedPageBreak/>
        <w:t>附件一：标的项目工程进度表</w:t>
      </w:r>
    </w:p>
    <w:p w14:paraId="197933FA" w14:textId="77777777" w:rsidR="00CC4C43" w:rsidRDefault="00CC4C43">
      <w:pPr>
        <w:spacing w:afterLines="20" w:after="62" w:line="288" w:lineRule="auto"/>
        <w:outlineLvl w:val="0"/>
        <w:rPr>
          <w:rFonts w:ascii="Times New Roman" w:eastAsia="楷体_GB2312" w:hAnsi="Times New Roman"/>
          <w:sz w:val="24"/>
          <w:szCs w:val="24"/>
        </w:rPr>
      </w:pPr>
    </w:p>
    <w:tbl>
      <w:tblPr>
        <w:tblW w:w="5949" w:type="dxa"/>
        <w:jc w:val="center"/>
        <w:tblLayout w:type="fixed"/>
        <w:tblLook w:val="04A0" w:firstRow="1" w:lastRow="0" w:firstColumn="1" w:lastColumn="0" w:noHBand="0" w:noVBand="1"/>
      </w:tblPr>
      <w:tblGrid>
        <w:gridCol w:w="846"/>
        <w:gridCol w:w="3118"/>
        <w:gridCol w:w="1985"/>
      </w:tblGrid>
      <w:tr w:rsidR="00CC4C43" w14:paraId="73282261" w14:textId="77777777">
        <w:trPr>
          <w:trHeight w:val="37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CBB74A"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序  号</w:t>
            </w:r>
          </w:p>
        </w:tc>
        <w:tc>
          <w:tcPr>
            <w:tcW w:w="3118" w:type="dxa"/>
            <w:tcBorders>
              <w:top w:val="single" w:sz="4" w:space="0" w:color="auto"/>
              <w:left w:val="nil"/>
              <w:bottom w:val="single" w:sz="4" w:space="0" w:color="auto"/>
              <w:right w:val="single" w:sz="4" w:space="0" w:color="auto"/>
            </w:tcBorders>
            <w:shd w:val="clear" w:color="auto" w:fill="auto"/>
            <w:vAlign w:val="center"/>
          </w:tcPr>
          <w:p w14:paraId="774377EF"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项    目</w:t>
            </w:r>
          </w:p>
        </w:tc>
        <w:tc>
          <w:tcPr>
            <w:tcW w:w="1985" w:type="dxa"/>
            <w:tcBorders>
              <w:top w:val="single" w:sz="4" w:space="0" w:color="auto"/>
              <w:left w:val="nil"/>
              <w:bottom w:val="single" w:sz="4" w:space="0" w:color="auto"/>
              <w:right w:val="single" w:sz="4" w:space="0" w:color="auto"/>
            </w:tcBorders>
            <w:shd w:val="clear" w:color="auto" w:fill="auto"/>
            <w:vAlign w:val="center"/>
          </w:tcPr>
          <w:p w14:paraId="725CF4CC"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时  间</w:t>
            </w:r>
          </w:p>
        </w:tc>
      </w:tr>
      <w:tr w:rsidR="00CC4C43" w14:paraId="5275C7F3"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5BBCF35"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1</w:t>
            </w:r>
          </w:p>
        </w:tc>
        <w:tc>
          <w:tcPr>
            <w:tcW w:w="3118" w:type="dxa"/>
            <w:tcBorders>
              <w:top w:val="nil"/>
              <w:left w:val="nil"/>
              <w:bottom w:val="single" w:sz="4" w:space="0" w:color="auto"/>
              <w:right w:val="single" w:sz="4" w:space="0" w:color="auto"/>
            </w:tcBorders>
            <w:shd w:val="clear" w:color="auto" w:fill="auto"/>
            <w:vAlign w:val="center"/>
          </w:tcPr>
          <w:p w14:paraId="71091AB6"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土地摘牌</w:t>
            </w:r>
          </w:p>
        </w:tc>
        <w:tc>
          <w:tcPr>
            <w:tcW w:w="1985" w:type="dxa"/>
            <w:tcBorders>
              <w:top w:val="nil"/>
              <w:left w:val="nil"/>
              <w:bottom w:val="single" w:sz="4" w:space="0" w:color="auto"/>
              <w:right w:val="single" w:sz="4" w:space="0" w:color="auto"/>
            </w:tcBorders>
            <w:shd w:val="clear" w:color="auto" w:fill="auto"/>
            <w:vAlign w:val="center"/>
          </w:tcPr>
          <w:p w14:paraId="0552BEFE"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年1月2</w:t>
            </w:r>
            <w:r>
              <w:rPr>
                <w:rFonts w:ascii="仿宋" w:eastAsia="仿宋" w:hAnsi="仿宋"/>
                <w:kern w:val="0"/>
              </w:rPr>
              <w:t>2</w:t>
            </w:r>
            <w:r>
              <w:rPr>
                <w:rFonts w:ascii="仿宋" w:eastAsia="仿宋" w:hAnsi="仿宋" w:hint="eastAsia"/>
                <w:kern w:val="0"/>
              </w:rPr>
              <w:t>日</w:t>
            </w:r>
          </w:p>
        </w:tc>
      </w:tr>
      <w:tr w:rsidR="00CC4C43" w14:paraId="4F961397" w14:textId="77777777">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B849F87"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p>
        </w:tc>
        <w:tc>
          <w:tcPr>
            <w:tcW w:w="3118" w:type="dxa"/>
            <w:tcBorders>
              <w:top w:val="nil"/>
              <w:left w:val="nil"/>
              <w:bottom w:val="single" w:sz="4" w:space="0" w:color="auto"/>
              <w:right w:val="single" w:sz="4" w:space="0" w:color="auto"/>
            </w:tcBorders>
            <w:shd w:val="clear" w:color="auto" w:fill="auto"/>
            <w:vAlign w:val="center"/>
          </w:tcPr>
          <w:p w14:paraId="79E8C73F"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签订出让协议</w:t>
            </w:r>
          </w:p>
        </w:tc>
        <w:tc>
          <w:tcPr>
            <w:tcW w:w="1985" w:type="dxa"/>
            <w:tcBorders>
              <w:top w:val="nil"/>
              <w:left w:val="nil"/>
              <w:bottom w:val="single" w:sz="4" w:space="0" w:color="auto"/>
              <w:right w:val="single" w:sz="4" w:space="0" w:color="auto"/>
            </w:tcBorders>
            <w:shd w:val="clear" w:color="auto" w:fill="auto"/>
            <w:vAlign w:val="center"/>
          </w:tcPr>
          <w:p w14:paraId="7230A77B"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w:t>
            </w:r>
            <w:r>
              <w:rPr>
                <w:rFonts w:ascii="仿宋" w:eastAsia="仿宋" w:hAnsi="仿宋"/>
                <w:kern w:val="0"/>
              </w:rPr>
              <w:t>2</w:t>
            </w:r>
            <w:r>
              <w:rPr>
                <w:rFonts w:ascii="仿宋" w:eastAsia="仿宋" w:hAnsi="仿宋" w:hint="eastAsia"/>
                <w:kern w:val="0"/>
              </w:rPr>
              <w:t>月</w:t>
            </w:r>
          </w:p>
        </w:tc>
      </w:tr>
      <w:tr w:rsidR="00CC4C43" w14:paraId="4AAF6B3B" w14:textId="77777777">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B7A7613"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3</w:t>
            </w:r>
          </w:p>
        </w:tc>
        <w:tc>
          <w:tcPr>
            <w:tcW w:w="3118" w:type="dxa"/>
            <w:tcBorders>
              <w:top w:val="nil"/>
              <w:left w:val="nil"/>
              <w:bottom w:val="single" w:sz="4" w:space="0" w:color="auto"/>
              <w:right w:val="single" w:sz="4" w:space="0" w:color="auto"/>
            </w:tcBorders>
            <w:shd w:val="clear" w:color="auto" w:fill="auto"/>
            <w:vAlign w:val="center"/>
          </w:tcPr>
          <w:p w14:paraId="34109829"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建设用地</w:t>
            </w:r>
            <w:proofErr w:type="gramStart"/>
            <w:r>
              <w:rPr>
                <w:rFonts w:ascii="仿宋" w:eastAsia="仿宋" w:hAnsi="仿宋" w:hint="eastAsia"/>
                <w:kern w:val="0"/>
              </w:rPr>
              <w:t>规划证</w:t>
            </w:r>
            <w:proofErr w:type="gramEnd"/>
            <w:r>
              <w:rPr>
                <w:rFonts w:ascii="仿宋" w:eastAsia="仿宋" w:hAnsi="仿宋" w:hint="eastAsia"/>
                <w:kern w:val="0"/>
              </w:rPr>
              <w:t>可证获得时间</w:t>
            </w:r>
          </w:p>
        </w:tc>
        <w:tc>
          <w:tcPr>
            <w:tcW w:w="1985" w:type="dxa"/>
            <w:tcBorders>
              <w:top w:val="nil"/>
              <w:left w:val="nil"/>
              <w:bottom w:val="single" w:sz="4" w:space="0" w:color="auto"/>
              <w:right w:val="single" w:sz="4" w:space="0" w:color="auto"/>
            </w:tcBorders>
            <w:shd w:val="clear" w:color="auto" w:fill="auto"/>
            <w:vAlign w:val="center"/>
          </w:tcPr>
          <w:p w14:paraId="7BAA2DE4"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年5月</w:t>
            </w:r>
          </w:p>
        </w:tc>
      </w:tr>
      <w:tr w:rsidR="00CC4C43" w14:paraId="6AC7DA17" w14:textId="77777777">
        <w:trPr>
          <w:trHeight w:val="351"/>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6B18363"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4</w:t>
            </w:r>
          </w:p>
        </w:tc>
        <w:tc>
          <w:tcPr>
            <w:tcW w:w="3118" w:type="dxa"/>
            <w:tcBorders>
              <w:top w:val="nil"/>
              <w:left w:val="nil"/>
              <w:bottom w:val="single" w:sz="4" w:space="0" w:color="auto"/>
              <w:right w:val="single" w:sz="4" w:space="0" w:color="auto"/>
            </w:tcBorders>
            <w:shd w:val="clear" w:color="auto" w:fill="auto"/>
            <w:vAlign w:val="center"/>
          </w:tcPr>
          <w:p w14:paraId="230A3559"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土地证获得时间</w:t>
            </w:r>
          </w:p>
        </w:tc>
        <w:tc>
          <w:tcPr>
            <w:tcW w:w="1985" w:type="dxa"/>
            <w:tcBorders>
              <w:top w:val="nil"/>
              <w:left w:val="nil"/>
              <w:bottom w:val="single" w:sz="4" w:space="0" w:color="auto"/>
              <w:right w:val="single" w:sz="4" w:space="0" w:color="auto"/>
            </w:tcBorders>
            <w:shd w:val="clear" w:color="auto" w:fill="auto"/>
            <w:vAlign w:val="center"/>
          </w:tcPr>
          <w:p w14:paraId="59AD5CA4"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年5月</w:t>
            </w:r>
          </w:p>
        </w:tc>
      </w:tr>
      <w:tr w:rsidR="00CC4C43" w14:paraId="4AC4D844"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0068E62"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5</w:t>
            </w:r>
          </w:p>
        </w:tc>
        <w:tc>
          <w:tcPr>
            <w:tcW w:w="3118" w:type="dxa"/>
            <w:tcBorders>
              <w:top w:val="nil"/>
              <w:left w:val="nil"/>
              <w:bottom w:val="single" w:sz="4" w:space="0" w:color="auto"/>
              <w:right w:val="single" w:sz="4" w:space="0" w:color="auto"/>
            </w:tcBorders>
            <w:shd w:val="clear" w:color="auto" w:fill="auto"/>
            <w:vAlign w:val="center"/>
          </w:tcPr>
          <w:p w14:paraId="6690F9F9"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建设工程规划许可证取得时间</w:t>
            </w:r>
          </w:p>
        </w:tc>
        <w:tc>
          <w:tcPr>
            <w:tcW w:w="1985" w:type="dxa"/>
            <w:tcBorders>
              <w:top w:val="nil"/>
              <w:left w:val="nil"/>
              <w:bottom w:val="single" w:sz="4" w:space="0" w:color="auto"/>
              <w:right w:val="single" w:sz="4" w:space="0" w:color="auto"/>
            </w:tcBorders>
            <w:shd w:val="clear" w:color="auto" w:fill="auto"/>
            <w:vAlign w:val="center"/>
          </w:tcPr>
          <w:p w14:paraId="62D2C462"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年5月</w:t>
            </w:r>
          </w:p>
        </w:tc>
      </w:tr>
      <w:tr w:rsidR="00CC4C43" w14:paraId="16BB7CED"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CA97B6C"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6</w:t>
            </w:r>
          </w:p>
        </w:tc>
        <w:tc>
          <w:tcPr>
            <w:tcW w:w="3118" w:type="dxa"/>
            <w:tcBorders>
              <w:top w:val="nil"/>
              <w:left w:val="nil"/>
              <w:bottom w:val="single" w:sz="4" w:space="0" w:color="auto"/>
              <w:right w:val="single" w:sz="4" w:space="0" w:color="auto"/>
            </w:tcBorders>
            <w:shd w:val="clear" w:color="auto" w:fill="auto"/>
            <w:vAlign w:val="center"/>
          </w:tcPr>
          <w:p w14:paraId="0CF0CC75"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建设施工许可证获得时间</w:t>
            </w:r>
          </w:p>
        </w:tc>
        <w:tc>
          <w:tcPr>
            <w:tcW w:w="1985" w:type="dxa"/>
            <w:tcBorders>
              <w:top w:val="nil"/>
              <w:left w:val="nil"/>
              <w:bottom w:val="single" w:sz="4" w:space="0" w:color="auto"/>
              <w:right w:val="single" w:sz="4" w:space="0" w:color="auto"/>
            </w:tcBorders>
            <w:shd w:val="clear" w:color="auto" w:fill="auto"/>
            <w:vAlign w:val="center"/>
          </w:tcPr>
          <w:p w14:paraId="0CE05F7A"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w:t>
            </w:r>
            <w:r>
              <w:rPr>
                <w:rFonts w:ascii="仿宋" w:eastAsia="仿宋" w:hAnsi="仿宋"/>
                <w:kern w:val="0"/>
              </w:rPr>
              <w:t>6</w:t>
            </w:r>
            <w:r>
              <w:rPr>
                <w:rFonts w:ascii="仿宋" w:eastAsia="仿宋" w:hAnsi="仿宋" w:hint="eastAsia"/>
                <w:kern w:val="0"/>
              </w:rPr>
              <w:t>月</w:t>
            </w:r>
          </w:p>
        </w:tc>
      </w:tr>
      <w:tr w:rsidR="00CC4C43" w14:paraId="5935DF18" w14:textId="77777777">
        <w:trPr>
          <w:trHeight w:val="335"/>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1B44D04"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7</w:t>
            </w:r>
          </w:p>
        </w:tc>
        <w:tc>
          <w:tcPr>
            <w:tcW w:w="3118" w:type="dxa"/>
            <w:tcBorders>
              <w:top w:val="nil"/>
              <w:left w:val="nil"/>
              <w:bottom w:val="single" w:sz="4" w:space="0" w:color="auto"/>
              <w:right w:val="single" w:sz="4" w:space="0" w:color="auto"/>
            </w:tcBorders>
            <w:shd w:val="clear" w:color="auto" w:fill="auto"/>
            <w:vAlign w:val="center"/>
          </w:tcPr>
          <w:p w14:paraId="6CFB5FC7"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首开部分出正负零</w:t>
            </w:r>
          </w:p>
        </w:tc>
        <w:tc>
          <w:tcPr>
            <w:tcW w:w="1985" w:type="dxa"/>
            <w:tcBorders>
              <w:top w:val="nil"/>
              <w:left w:val="nil"/>
              <w:bottom w:val="single" w:sz="4" w:space="0" w:color="auto"/>
              <w:right w:val="single" w:sz="4" w:space="0" w:color="auto"/>
            </w:tcBorders>
            <w:shd w:val="clear" w:color="auto" w:fill="auto"/>
            <w:vAlign w:val="center"/>
          </w:tcPr>
          <w:p w14:paraId="02964085"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年6月</w:t>
            </w:r>
          </w:p>
        </w:tc>
      </w:tr>
      <w:tr w:rsidR="00CC4C43" w14:paraId="19DD1C95"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2BC7F14"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8</w:t>
            </w:r>
          </w:p>
        </w:tc>
        <w:tc>
          <w:tcPr>
            <w:tcW w:w="3118" w:type="dxa"/>
            <w:tcBorders>
              <w:top w:val="nil"/>
              <w:left w:val="nil"/>
              <w:bottom w:val="single" w:sz="4" w:space="0" w:color="auto"/>
              <w:right w:val="single" w:sz="4" w:space="0" w:color="auto"/>
            </w:tcBorders>
            <w:shd w:val="clear" w:color="auto" w:fill="auto"/>
            <w:vAlign w:val="center"/>
          </w:tcPr>
          <w:p w14:paraId="1463E734"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首开部分预售</w:t>
            </w:r>
            <w:proofErr w:type="gramStart"/>
            <w:r>
              <w:rPr>
                <w:rFonts w:ascii="仿宋" w:eastAsia="仿宋" w:hAnsi="仿宋" w:hint="eastAsia"/>
                <w:kern w:val="0"/>
              </w:rPr>
              <w:t>证获得</w:t>
            </w:r>
            <w:proofErr w:type="gramEnd"/>
            <w:r>
              <w:rPr>
                <w:rFonts w:ascii="仿宋" w:eastAsia="仿宋" w:hAnsi="仿宋" w:hint="eastAsia"/>
                <w:kern w:val="0"/>
              </w:rPr>
              <w:t>时间</w:t>
            </w:r>
          </w:p>
        </w:tc>
        <w:tc>
          <w:tcPr>
            <w:tcW w:w="1985" w:type="dxa"/>
            <w:tcBorders>
              <w:top w:val="nil"/>
              <w:left w:val="nil"/>
              <w:bottom w:val="single" w:sz="4" w:space="0" w:color="auto"/>
              <w:right w:val="single" w:sz="4" w:space="0" w:color="auto"/>
            </w:tcBorders>
            <w:shd w:val="clear" w:color="auto" w:fill="auto"/>
            <w:vAlign w:val="center"/>
          </w:tcPr>
          <w:p w14:paraId="57A96D90"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021</w:t>
            </w:r>
            <w:r>
              <w:rPr>
                <w:rFonts w:ascii="仿宋" w:eastAsia="仿宋" w:hAnsi="仿宋" w:hint="eastAsia"/>
                <w:kern w:val="0"/>
              </w:rPr>
              <w:t>年</w:t>
            </w:r>
            <w:r>
              <w:rPr>
                <w:rFonts w:ascii="仿宋" w:eastAsia="仿宋" w:hAnsi="仿宋"/>
                <w:kern w:val="0"/>
              </w:rPr>
              <w:t>7</w:t>
            </w:r>
            <w:r>
              <w:rPr>
                <w:rFonts w:ascii="仿宋" w:eastAsia="仿宋" w:hAnsi="仿宋" w:hint="eastAsia"/>
                <w:kern w:val="0"/>
              </w:rPr>
              <w:t>月</w:t>
            </w:r>
          </w:p>
        </w:tc>
      </w:tr>
      <w:tr w:rsidR="00CC4C43" w14:paraId="33B87212"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29E4FDA"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9</w:t>
            </w:r>
          </w:p>
        </w:tc>
        <w:tc>
          <w:tcPr>
            <w:tcW w:w="3118" w:type="dxa"/>
            <w:tcBorders>
              <w:top w:val="nil"/>
              <w:left w:val="nil"/>
              <w:bottom w:val="single" w:sz="4" w:space="0" w:color="auto"/>
              <w:right w:val="single" w:sz="4" w:space="0" w:color="auto"/>
            </w:tcBorders>
            <w:shd w:val="clear" w:color="auto" w:fill="auto"/>
            <w:vAlign w:val="center"/>
          </w:tcPr>
          <w:p w14:paraId="1E6A423A"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主体结构封顶</w:t>
            </w:r>
          </w:p>
        </w:tc>
        <w:tc>
          <w:tcPr>
            <w:tcW w:w="1985" w:type="dxa"/>
            <w:tcBorders>
              <w:top w:val="nil"/>
              <w:left w:val="nil"/>
              <w:bottom w:val="single" w:sz="4" w:space="0" w:color="auto"/>
              <w:right w:val="single" w:sz="4" w:space="0" w:color="auto"/>
            </w:tcBorders>
            <w:shd w:val="clear" w:color="auto" w:fill="auto"/>
            <w:vAlign w:val="center"/>
          </w:tcPr>
          <w:p w14:paraId="6D7B715A"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022</w:t>
            </w:r>
            <w:r>
              <w:rPr>
                <w:rFonts w:ascii="仿宋" w:eastAsia="仿宋" w:hAnsi="仿宋" w:hint="eastAsia"/>
                <w:kern w:val="0"/>
              </w:rPr>
              <w:t>年</w:t>
            </w:r>
            <w:r>
              <w:rPr>
                <w:rFonts w:ascii="仿宋" w:eastAsia="仿宋" w:hAnsi="仿宋"/>
                <w:kern w:val="0"/>
              </w:rPr>
              <w:t>3</w:t>
            </w:r>
            <w:r>
              <w:rPr>
                <w:rFonts w:ascii="仿宋" w:eastAsia="仿宋" w:hAnsi="仿宋" w:hint="eastAsia"/>
                <w:kern w:val="0"/>
              </w:rPr>
              <w:t>月</w:t>
            </w:r>
          </w:p>
        </w:tc>
      </w:tr>
      <w:tr w:rsidR="00CC4C43" w14:paraId="20B93656"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5FCF76D"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10</w:t>
            </w:r>
          </w:p>
        </w:tc>
        <w:tc>
          <w:tcPr>
            <w:tcW w:w="3118" w:type="dxa"/>
            <w:tcBorders>
              <w:top w:val="nil"/>
              <w:left w:val="nil"/>
              <w:bottom w:val="single" w:sz="4" w:space="0" w:color="auto"/>
              <w:right w:val="single" w:sz="4" w:space="0" w:color="auto"/>
            </w:tcBorders>
            <w:shd w:val="clear" w:color="auto" w:fill="auto"/>
            <w:vAlign w:val="center"/>
          </w:tcPr>
          <w:p w14:paraId="14ACF71A"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内装饰完成时间</w:t>
            </w:r>
          </w:p>
        </w:tc>
        <w:tc>
          <w:tcPr>
            <w:tcW w:w="1985" w:type="dxa"/>
            <w:tcBorders>
              <w:top w:val="nil"/>
              <w:left w:val="nil"/>
              <w:bottom w:val="single" w:sz="4" w:space="0" w:color="auto"/>
              <w:right w:val="single" w:sz="4" w:space="0" w:color="auto"/>
            </w:tcBorders>
            <w:shd w:val="clear" w:color="auto" w:fill="auto"/>
            <w:vAlign w:val="center"/>
          </w:tcPr>
          <w:p w14:paraId="4A906681"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022</w:t>
            </w:r>
            <w:r>
              <w:rPr>
                <w:rFonts w:ascii="仿宋" w:eastAsia="仿宋" w:hAnsi="仿宋" w:hint="eastAsia"/>
                <w:kern w:val="0"/>
              </w:rPr>
              <w:t>年1</w:t>
            </w:r>
            <w:r>
              <w:rPr>
                <w:rFonts w:ascii="仿宋" w:eastAsia="仿宋" w:hAnsi="仿宋"/>
                <w:kern w:val="0"/>
              </w:rPr>
              <w:t>2</w:t>
            </w:r>
            <w:r>
              <w:rPr>
                <w:rFonts w:ascii="仿宋" w:eastAsia="仿宋" w:hAnsi="仿宋" w:hint="eastAsia"/>
                <w:kern w:val="0"/>
              </w:rPr>
              <w:t>月</w:t>
            </w:r>
          </w:p>
        </w:tc>
      </w:tr>
      <w:tr w:rsidR="00CC4C43" w14:paraId="7C13C75C"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C66420D"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11</w:t>
            </w:r>
          </w:p>
        </w:tc>
        <w:tc>
          <w:tcPr>
            <w:tcW w:w="3118" w:type="dxa"/>
            <w:tcBorders>
              <w:top w:val="nil"/>
              <w:left w:val="nil"/>
              <w:bottom w:val="single" w:sz="4" w:space="0" w:color="auto"/>
              <w:right w:val="single" w:sz="4" w:space="0" w:color="auto"/>
            </w:tcBorders>
            <w:shd w:val="clear" w:color="auto" w:fill="auto"/>
            <w:vAlign w:val="center"/>
          </w:tcPr>
          <w:p w14:paraId="7A00F17E"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外装备</w:t>
            </w:r>
            <w:proofErr w:type="gramStart"/>
            <w:r>
              <w:rPr>
                <w:rFonts w:ascii="仿宋" w:eastAsia="仿宋" w:hAnsi="仿宋" w:hint="eastAsia"/>
                <w:kern w:val="0"/>
              </w:rPr>
              <w:t>饰完成</w:t>
            </w:r>
            <w:proofErr w:type="gramEnd"/>
            <w:r>
              <w:rPr>
                <w:rFonts w:ascii="仿宋" w:eastAsia="仿宋" w:hAnsi="仿宋" w:hint="eastAsia"/>
                <w:kern w:val="0"/>
              </w:rPr>
              <w:t>时间</w:t>
            </w:r>
          </w:p>
        </w:tc>
        <w:tc>
          <w:tcPr>
            <w:tcW w:w="1985" w:type="dxa"/>
            <w:tcBorders>
              <w:top w:val="nil"/>
              <w:left w:val="nil"/>
              <w:bottom w:val="single" w:sz="4" w:space="0" w:color="auto"/>
              <w:right w:val="single" w:sz="4" w:space="0" w:color="auto"/>
            </w:tcBorders>
            <w:shd w:val="clear" w:color="auto" w:fill="auto"/>
            <w:vAlign w:val="center"/>
          </w:tcPr>
          <w:p w14:paraId="113D69E2"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022</w:t>
            </w:r>
            <w:r>
              <w:rPr>
                <w:rFonts w:ascii="仿宋" w:eastAsia="仿宋" w:hAnsi="仿宋" w:hint="eastAsia"/>
                <w:kern w:val="0"/>
              </w:rPr>
              <w:t>年1</w:t>
            </w:r>
            <w:r>
              <w:rPr>
                <w:rFonts w:ascii="仿宋" w:eastAsia="仿宋" w:hAnsi="仿宋"/>
                <w:kern w:val="0"/>
              </w:rPr>
              <w:t>2</w:t>
            </w:r>
            <w:r>
              <w:rPr>
                <w:rFonts w:ascii="仿宋" w:eastAsia="仿宋" w:hAnsi="仿宋" w:hint="eastAsia"/>
                <w:kern w:val="0"/>
              </w:rPr>
              <w:t>月</w:t>
            </w:r>
          </w:p>
        </w:tc>
      </w:tr>
      <w:tr w:rsidR="00CC4C43" w14:paraId="00AB2FF7"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DD40079"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12</w:t>
            </w:r>
          </w:p>
        </w:tc>
        <w:tc>
          <w:tcPr>
            <w:tcW w:w="3118" w:type="dxa"/>
            <w:tcBorders>
              <w:top w:val="nil"/>
              <w:left w:val="nil"/>
              <w:bottom w:val="single" w:sz="4" w:space="0" w:color="auto"/>
              <w:right w:val="single" w:sz="4" w:space="0" w:color="auto"/>
            </w:tcBorders>
            <w:shd w:val="clear" w:color="auto" w:fill="auto"/>
            <w:vAlign w:val="center"/>
          </w:tcPr>
          <w:p w14:paraId="6922D2BC"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竣工验收及交房</w:t>
            </w:r>
          </w:p>
        </w:tc>
        <w:tc>
          <w:tcPr>
            <w:tcW w:w="1985" w:type="dxa"/>
            <w:tcBorders>
              <w:top w:val="nil"/>
              <w:left w:val="nil"/>
              <w:bottom w:val="single" w:sz="4" w:space="0" w:color="auto"/>
              <w:right w:val="single" w:sz="4" w:space="0" w:color="auto"/>
            </w:tcBorders>
            <w:shd w:val="clear" w:color="auto" w:fill="auto"/>
            <w:vAlign w:val="center"/>
          </w:tcPr>
          <w:p w14:paraId="77FB59A6" w14:textId="77777777" w:rsidR="00CC4C43" w:rsidRDefault="007731E0">
            <w:pPr>
              <w:spacing w:line="276" w:lineRule="auto"/>
              <w:contextualSpacing/>
              <w:rPr>
                <w:rFonts w:ascii="仿宋" w:eastAsia="仿宋" w:hAnsi="仿宋"/>
                <w:kern w:val="0"/>
              </w:rPr>
            </w:pPr>
            <w:r>
              <w:rPr>
                <w:rFonts w:ascii="仿宋" w:eastAsia="仿宋" w:hAnsi="仿宋" w:hint="eastAsia"/>
                <w:kern w:val="0"/>
              </w:rPr>
              <w:t>2</w:t>
            </w:r>
            <w:r>
              <w:rPr>
                <w:rFonts w:ascii="仿宋" w:eastAsia="仿宋" w:hAnsi="仿宋"/>
                <w:kern w:val="0"/>
              </w:rPr>
              <w:t>023</w:t>
            </w:r>
            <w:r>
              <w:rPr>
                <w:rFonts w:ascii="仿宋" w:eastAsia="仿宋" w:hAnsi="仿宋" w:hint="eastAsia"/>
                <w:kern w:val="0"/>
              </w:rPr>
              <w:t>年3月</w:t>
            </w:r>
          </w:p>
        </w:tc>
      </w:tr>
    </w:tbl>
    <w:p w14:paraId="425BD78B" w14:textId="77777777" w:rsidR="00CC4C43" w:rsidRDefault="00CC4C43">
      <w:pPr>
        <w:spacing w:afterLines="20" w:after="62" w:line="288" w:lineRule="auto"/>
        <w:rPr>
          <w:rFonts w:ascii="Times New Roman" w:eastAsia="楷体_GB2312" w:hAnsi="Times New Roman"/>
          <w:sz w:val="24"/>
          <w:szCs w:val="24"/>
        </w:rPr>
      </w:pPr>
    </w:p>
    <w:p w14:paraId="5868CDE8" w14:textId="77777777" w:rsidR="00CC4C43" w:rsidRDefault="007731E0">
      <w:pPr>
        <w:widowControl/>
        <w:jc w:val="left"/>
        <w:rPr>
          <w:rFonts w:ascii="Times New Roman" w:eastAsia="楷体_GB2312" w:hAnsi="Times New Roman"/>
          <w:sz w:val="24"/>
          <w:szCs w:val="24"/>
        </w:rPr>
      </w:pPr>
      <w:r>
        <w:rPr>
          <w:rFonts w:ascii="Times New Roman" w:eastAsia="楷体_GB2312" w:hAnsi="Times New Roman"/>
          <w:sz w:val="24"/>
          <w:szCs w:val="24"/>
        </w:rPr>
        <w:br w:type="page"/>
      </w:r>
    </w:p>
    <w:p w14:paraId="47B01D7D" w14:textId="77777777" w:rsidR="00CC4C43" w:rsidRDefault="007731E0">
      <w:pPr>
        <w:spacing w:afterLines="20" w:after="62" w:line="288" w:lineRule="auto"/>
        <w:outlineLvl w:val="0"/>
        <w:rPr>
          <w:rFonts w:ascii="Times New Roman" w:eastAsia="楷体_GB2312" w:hAnsi="Times New Roman"/>
          <w:sz w:val="24"/>
          <w:szCs w:val="24"/>
        </w:rPr>
      </w:pPr>
      <w:r>
        <w:rPr>
          <w:rFonts w:ascii="Times New Roman" w:eastAsia="楷体_GB2312" w:hAnsi="Times New Roman" w:hint="eastAsia"/>
          <w:sz w:val="24"/>
          <w:szCs w:val="24"/>
        </w:rPr>
        <w:lastRenderedPageBreak/>
        <w:t>附件二：标的项目成本测算表</w:t>
      </w:r>
    </w:p>
    <w:p w14:paraId="4A6826F1" w14:textId="77777777" w:rsidR="00CC4C43" w:rsidRDefault="00CC4C43">
      <w:pPr>
        <w:spacing w:afterLines="20" w:after="62" w:line="288" w:lineRule="auto"/>
        <w:outlineLvl w:val="0"/>
        <w:rPr>
          <w:rFonts w:ascii="Times New Roman" w:eastAsia="楷体_GB2312" w:hAnsi="Times New Roman"/>
          <w:sz w:val="24"/>
          <w:szCs w:val="24"/>
        </w:rPr>
      </w:pPr>
    </w:p>
    <w:p w14:paraId="18AABFEC" w14:textId="77777777" w:rsidR="00CC4C43" w:rsidRDefault="007731E0">
      <w:pPr>
        <w:spacing w:line="360" w:lineRule="auto"/>
        <w:jc w:val="center"/>
        <w:rPr>
          <w:rFonts w:ascii="仿宋" w:eastAsia="仿宋" w:hAnsi="仿宋"/>
          <w:b/>
          <w:kern w:val="0"/>
          <w:sz w:val="24"/>
        </w:rPr>
      </w:pPr>
      <w:r>
        <w:rPr>
          <w:rFonts w:ascii="仿宋" w:eastAsia="仿宋" w:hAnsi="仿宋" w:hint="eastAsia"/>
          <w:b/>
          <w:kern w:val="0"/>
          <w:sz w:val="24"/>
        </w:rPr>
        <w:t>《标的项目成本测算表》</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447"/>
        <w:gridCol w:w="2410"/>
      </w:tblGrid>
      <w:tr w:rsidR="00CC4C43" w14:paraId="53CD4767"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vAlign w:val="center"/>
          </w:tcPr>
          <w:p w14:paraId="69918870"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序号</w:t>
            </w:r>
          </w:p>
        </w:tc>
        <w:tc>
          <w:tcPr>
            <w:tcW w:w="2447" w:type="dxa"/>
            <w:tcBorders>
              <w:top w:val="single" w:sz="4" w:space="0" w:color="auto"/>
              <w:left w:val="single" w:sz="4" w:space="0" w:color="auto"/>
              <w:bottom w:val="single" w:sz="4" w:space="0" w:color="auto"/>
              <w:right w:val="single" w:sz="4" w:space="0" w:color="auto"/>
              <w:tl2br w:val="nil"/>
              <w:tr2bl w:val="nil"/>
            </w:tcBorders>
            <w:vAlign w:val="center"/>
          </w:tcPr>
          <w:p w14:paraId="0F2C2A60"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费用名称</w:t>
            </w:r>
          </w:p>
        </w:tc>
        <w:tc>
          <w:tcPr>
            <w:tcW w:w="2410" w:type="dxa"/>
            <w:tcBorders>
              <w:top w:val="single" w:sz="4" w:space="0" w:color="auto"/>
              <w:left w:val="single" w:sz="4" w:space="0" w:color="auto"/>
              <w:bottom w:val="single" w:sz="4" w:space="0" w:color="auto"/>
              <w:right w:val="single" w:sz="4" w:space="0" w:color="auto"/>
              <w:tl2br w:val="nil"/>
              <w:tr2bl w:val="nil"/>
            </w:tcBorders>
            <w:vAlign w:val="center"/>
          </w:tcPr>
          <w:p w14:paraId="2C6257C1" w14:textId="77777777" w:rsidR="00CC4C43" w:rsidRDefault="007731E0">
            <w:pPr>
              <w:widowControl/>
              <w:jc w:val="center"/>
              <w:rPr>
                <w:rFonts w:ascii="仿宋" w:eastAsia="仿宋" w:hAnsi="仿宋"/>
                <w:b/>
                <w:color w:val="000000"/>
                <w:kern w:val="0"/>
              </w:rPr>
            </w:pPr>
            <w:r>
              <w:rPr>
                <w:rFonts w:ascii="仿宋" w:eastAsia="仿宋" w:hAnsi="仿宋" w:hint="eastAsia"/>
                <w:b/>
                <w:color w:val="000000"/>
                <w:kern w:val="0"/>
              </w:rPr>
              <w:t>总概算金额</w:t>
            </w:r>
            <w:r>
              <w:rPr>
                <w:rFonts w:ascii="仿宋" w:eastAsia="仿宋" w:hAnsi="仿宋" w:hint="eastAsia"/>
                <w:b/>
              </w:rPr>
              <w:t>（万元）</w:t>
            </w:r>
          </w:p>
        </w:tc>
      </w:tr>
      <w:tr w:rsidR="00CC4C43" w14:paraId="5143C126"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5390E6B" w14:textId="77777777" w:rsidR="00CC4C43" w:rsidRDefault="007731E0">
            <w:pPr>
              <w:widowControl/>
              <w:jc w:val="center"/>
              <w:rPr>
                <w:rFonts w:ascii="仿宋" w:eastAsia="仿宋" w:hAnsi="仿宋"/>
                <w:b/>
                <w:color w:val="000000"/>
                <w:kern w:val="0"/>
                <w:sz w:val="18"/>
              </w:rPr>
            </w:pPr>
            <w:proofErr w:type="gramStart"/>
            <w:r>
              <w:rPr>
                <w:rFonts w:ascii="仿宋" w:eastAsia="仿宋" w:hAnsi="仿宋" w:hint="eastAsia"/>
                <w:b/>
                <w:color w:val="000000"/>
                <w:kern w:val="0"/>
                <w:sz w:val="18"/>
              </w:rPr>
              <w:t>一</w:t>
            </w:r>
            <w:proofErr w:type="gramEnd"/>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8EAC3BC"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土地成本</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6163EB39"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155,657.25</w:t>
            </w:r>
          </w:p>
        </w:tc>
      </w:tr>
      <w:tr w:rsidR="00CC4C43" w14:paraId="3FB95C30"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2F55A7AC"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40E354C"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土地出让金</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301F66D9"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149,291.85</w:t>
            </w:r>
          </w:p>
        </w:tc>
      </w:tr>
      <w:tr w:rsidR="00CC4C43" w14:paraId="1AB625F1"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512709C"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2</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F76DBF9"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契税</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3DE1CE5A"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4,478.76</w:t>
            </w:r>
          </w:p>
        </w:tc>
      </w:tr>
      <w:tr w:rsidR="00CC4C43" w14:paraId="214FC113"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8DA60D2"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3</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CC14310"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印花税</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2D36906F"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74.65</w:t>
            </w:r>
          </w:p>
        </w:tc>
      </w:tr>
      <w:tr w:rsidR="00CC4C43" w14:paraId="22E26061"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BAECC13"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4</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BD7A408"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配套费</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2ABCAA6A"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1,812.00</w:t>
            </w:r>
          </w:p>
        </w:tc>
      </w:tr>
      <w:tr w:rsidR="00CC4C43" w14:paraId="3062C0C3"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619821BC"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二</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2453017D"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前期费用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1F6CEA3C"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2,280.20</w:t>
            </w:r>
          </w:p>
        </w:tc>
      </w:tr>
      <w:tr w:rsidR="00CC4C43" w14:paraId="1BE14345"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5789BED2"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三</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5A6A7127"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土建安装及配套工程费用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4083D077"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61,675.86</w:t>
            </w:r>
          </w:p>
        </w:tc>
      </w:tr>
      <w:tr w:rsidR="00CC4C43" w14:paraId="1208270F"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2BDE5FF8"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0D1485E3"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土建安装费用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6761124E"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60,240.52</w:t>
            </w:r>
          </w:p>
        </w:tc>
      </w:tr>
      <w:tr w:rsidR="00CC4C43" w14:paraId="737EE36C"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5DCF336E"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2</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70F4D9A6"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配套工程</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7C4EBB93"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1,435.34</w:t>
            </w:r>
          </w:p>
        </w:tc>
      </w:tr>
      <w:tr w:rsidR="00CC4C43" w14:paraId="79CF5C05"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65E78B29"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3</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7ED29781"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不可预见费</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700B3A7A"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w:t>
            </w:r>
          </w:p>
        </w:tc>
      </w:tr>
      <w:tr w:rsidR="00CC4C43" w14:paraId="19ECAD92"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230A15D8"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四</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54F4B3D8"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市政基础设施费</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4AA43E09"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6,412.42</w:t>
            </w:r>
          </w:p>
        </w:tc>
      </w:tr>
      <w:tr w:rsidR="00CC4C43" w14:paraId="5DD023BB"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27CB8CC3"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五</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46E3DCB2"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期间费用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2E9679EC"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17,317.40</w:t>
            </w:r>
          </w:p>
        </w:tc>
      </w:tr>
      <w:tr w:rsidR="00CC4C43" w14:paraId="0EF49252"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14F7A456"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7B684431"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销售费用</w:t>
            </w:r>
          </w:p>
        </w:tc>
        <w:tc>
          <w:tcPr>
            <w:tcW w:w="2410" w:type="dxa"/>
            <w:tcBorders>
              <w:top w:val="single" w:sz="4" w:space="0" w:color="auto"/>
              <w:left w:val="single" w:sz="4" w:space="0" w:color="auto"/>
              <w:bottom w:val="single" w:sz="4" w:space="0" w:color="auto"/>
              <w:right w:val="single" w:sz="4" w:space="0" w:color="auto"/>
              <w:tl2br w:val="nil"/>
              <w:tr2bl w:val="nil"/>
            </w:tcBorders>
            <w:noWrap/>
          </w:tcPr>
          <w:p w14:paraId="6A0CFA8B"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2,871.10</w:t>
            </w:r>
          </w:p>
        </w:tc>
      </w:tr>
      <w:tr w:rsidR="00CC4C43" w14:paraId="321D9778"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579E15E0"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2</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66BA1428"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管理费用</w:t>
            </w:r>
          </w:p>
        </w:tc>
        <w:tc>
          <w:tcPr>
            <w:tcW w:w="2410" w:type="dxa"/>
            <w:tcBorders>
              <w:top w:val="single" w:sz="4" w:space="0" w:color="auto"/>
              <w:left w:val="single" w:sz="4" w:space="0" w:color="auto"/>
              <w:bottom w:val="single" w:sz="4" w:space="0" w:color="auto"/>
              <w:right w:val="single" w:sz="4" w:space="0" w:color="auto"/>
              <w:tl2br w:val="nil"/>
              <w:tr2bl w:val="nil"/>
            </w:tcBorders>
            <w:noWrap/>
          </w:tcPr>
          <w:p w14:paraId="0BA41DF3"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2,871.10</w:t>
            </w:r>
          </w:p>
        </w:tc>
      </w:tr>
      <w:tr w:rsidR="00CC4C43" w14:paraId="011579FE"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448A62B"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3</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21B95B6" w14:textId="77777777" w:rsidR="00CC4C43" w:rsidRDefault="007731E0">
            <w:pPr>
              <w:widowControl/>
              <w:jc w:val="left"/>
              <w:rPr>
                <w:rFonts w:ascii="仿宋" w:eastAsia="仿宋" w:hAnsi="仿宋"/>
                <w:color w:val="000000"/>
                <w:kern w:val="0"/>
                <w:sz w:val="18"/>
              </w:rPr>
            </w:pPr>
            <w:r>
              <w:rPr>
                <w:rFonts w:ascii="仿宋" w:eastAsia="仿宋" w:hAnsi="仿宋" w:hint="eastAsia"/>
                <w:color w:val="000000"/>
                <w:kern w:val="0"/>
                <w:sz w:val="18"/>
              </w:rPr>
              <w:t>财务费用</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574B5C01"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11,575.20</w:t>
            </w:r>
          </w:p>
        </w:tc>
      </w:tr>
      <w:tr w:rsidR="00CC4C43" w14:paraId="672E9932"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2FF5C0C5"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六</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01F10197"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增值税及附加</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15D6A96E"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9,492.00</w:t>
            </w:r>
          </w:p>
        </w:tc>
      </w:tr>
      <w:tr w:rsidR="00CC4C43" w14:paraId="31A17442"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01B7FD27"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七</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0A778535"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土地增值税</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263DF309"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3,991.00</w:t>
            </w:r>
          </w:p>
        </w:tc>
      </w:tr>
      <w:tr w:rsidR="00CC4C43" w14:paraId="795E13E0"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19F5C3F6" w14:textId="77777777" w:rsidR="00CC4C43" w:rsidRDefault="007731E0">
            <w:pPr>
              <w:widowControl/>
              <w:jc w:val="center"/>
              <w:rPr>
                <w:rFonts w:ascii="仿宋" w:eastAsia="仿宋" w:hAnsi="仿宋"/>
                <w:b/>
                <w:color w:val="000000"/>
                <w:kern w:val="0"/>
                <w:sz w:val="18"/>
              </w:rPr>
            </w:pPr>
            <w:r>
              <w:rPr>
                <w:rFonts w:ascii="仿宋" w:eastAsia="仿宋" w:hAnsi="仿宋" w:hint="eastAsia"/>
                <w:b/>
                <w:color w:val="000000"/>
                <w:kern w:val="0"/>
                <w:sz w:val="18"/>
              </w:rPr>
              <w:t>八</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046B6423" w14:textId="77777777" w:rsidR="00CC4C43" w:rsidRDefault="007731E0">
            <w:pPr>
              <w:widowControl/>
              <w:jc w:val="left"/>
              <w:rPr>
                <w:rFonts w:ascii="仿宋" w:eastAsia="仿宋" w:hAnsi="仿宋"/>
                <w:b/>
                <w:color w:val="000000"/>
                <w:kern w:val="0"/>
                <w:sz w:val="18"/>
              </w:rPr>
            </w:pPr>
            <w:r>
              <w:rPr>
                <w:rFonts w:ascii="仿宋" w:eastAsia="仿宋" w:hAnsi="仿宋" w:hint="eastAsia"/>
                <w:b/>
                <w:color w:val="000000"/>
                <w:kern w:val="0"/>
                <w:sz w:val="18"/>
              </w:rPr>
              <w:t>所得税</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26ED518B" w14:textId="77777777" w:rsidR="00CC4C43" w:rsidRDefault="007731E0">
            <w:pPr>
              <w:widowControl/>
              <w:jc w:val="center"/>
              <w:rPr>
                <w:rFonts w:ascii="仿宋" w:eastAsia="仿宋" w:hAnsi="仿宋"/>
                <w:color w:val="000000"/>
                <w:kern w:val="0"/>
                <w:sz w:val="18"/>
              </w:rPr>
            </w:pPr>
            <w:r>
              <w:rPr>
                <w:rFonts w:ascii="仿宋" w:eastAsia="仿宋" w:hAnsi="仿宋" w:hint="eastAsia"/>
                <w:color w:val="000000"/>
                <w:kern w:val="0"/>
                <w:sz w:val="18"/>
              </w:rPr>
              <w:t>15,753.00</w:t>
            </w:r>
          </w:p>
        </w:tc>
      </w:tr>
    </w:tbl>
    <w:p w14:paraId="292D80C9" w14:textId="77777777" w:rsidR="00CC4C43" w:rsidRDefault="00CC4C43">
      <w:pPr>
        <w:spacing w:afterLines="20" w:after="62" w:line="288" w:lineRule="auto"/>
        <w:outlineLvl w:val="0"/>
        <w:rPr>
          <w:rFonts w:ascii="Times New Roman" w:eastAsia="楷体_GB2312" w:hAnsi="Times New Roman"/>
          <w:sz w:val="24"/>
        </w:rPr>
      </w:pPr>
    </w:p>
    <w:p w14:paraId="51B25963" w14:textId="77777777" w:rsidR="00CC4C43" w:rsidRDefault="007731E0">
      <w:pPr>
        <w:widowControl/>
        <w:jc w:val="left"/>
        <w:rPr>
          <w:rFonts w:ascii="Times New Roman" w:eastAsia="楷体_GB2312" w:hAnsi="Times New Roman"/>
          <w:sz w:val="24"/>
          <w:szCs w:val="24"/>
        </w:rPr>
        <w:sectPr w:rsidR="00CC4C43">
          <w:footerReference w:type="default" r:id="rId9"/>
          <w:pgSz w:w="11906" w:h="16838"/>
          <w:pgMar w:top="1440" w:right="1800" w:bottom="1440" w:left="1800" w:header="851" w:footer="992" w:gutter="0"/>
          <w:cols w:space="425"/>
          <w:docGrid w:type="lines" w:linePitch="312"/>
        </w:sectPr>
      </w:pPr>
      <w:r>
        <w:rPr>
          <w:rFonts w:ascii="Times New Roman" w:eastAsia="楷体_GB2312" w:hAnsi="Times New Roman"/>
          <w:sz w:val="24"/>
        </w:rPr>
        <w:br w:type="page"/>
      </w:r>
    </w:p>
    <w:p w14:paraId="421C17E9" w14:textId="77777777" w:rsidR="00CC4C43" w:rsidRDefault="007731E0">
      <w:pPr>
        <w:spacing w:afterLines="20" w:after="62" w:line="288" w:lineRule="auto"/>
        <w:jc w:val="left"/>
        <w:outlineLvl w:val="0"/>
        <w:rPr>
          <w:rFonts w:ascii="Times New Roman" w:eastAsia="楷体_GB2312" w:hAnsi="Times New Roman"/>
          <w:sz w:val="24"/>
          <w:szCs w:val="24"/>
        </w:rPr>
      </w:pPr>
      <w:r>
        <w:rPr>
          <w:rFonts w:ascii="Times New Roman" w:eastAsia="楷体_GB2312" w:hAnsi="Times New Roman" w:hint="eastAsia"/>
          <w:sz w:val="24"/>
          <w:szCs w:val="24"/>
        </w:rPr>
        <w:lastRenderedPageBreak/>
        <w:t>附件三：标的项目货值估算表</w:t>
      </w:r>
    </w:p>
    <w:p w14:paraId="4ACE2388" w14:textId="77777777" w:rsidR="00CC4C43" w:rsidRDefault="00CC4C43">
      <w:pPr>
        <w:jc w:val="center"/>
        <w:rPr>
          <w:b/>
        </w:rPr>
      </w:pPr>
    </w:p>
    <w:p w14:paraId="6135E2BC" w14:textId="77777777" w:rsidR="00CC4C43" w:rsidRDefault="007731E0">
      <w:pPr>
        <w:jc w:val="center"/>
        <w:rPr>
          <w:b/>
        </w:rPr>
      </w:pPr>
      <w:r>
        <w:rPr>
          <w:rFonts w:hint="eastAsia"/>
          <w:b/>
        </w:rPr>
        <w:t>标的项目货值估算表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206"/>
        <w:gridCol w:w="1705"/>
        <w:gridCol w:w="1559"/>
        <w:gridCol w:w="1370"/>
      </w:tblGrid>
      <w:tr w:rsidR="00CC4C43" w14:paraId="252E077E" w14:textId="77777777">
        <w:trPr>
          <w:trHeight w:val="357"/>
          <w:jc w:val="center"/>
        </w:trPr>
        <w:tc>
          <w:tcPr>
            <w:tcW w:w="18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B482754" w14:textId="77777777" w:rsidR="00CC4C43" w:rsidRDefault="007731E0">
            <w:pPr>
              <w:jc w:val="center"/>
              <w:rPr>
                <w:rFonts w:ascii="宋体" w:hAnsi="宋体"/>
                <w:b/>
                <w:sz w:val="18"/>
              </w:rPr>
            </w:pPr>
            <w:r>
              <w:rPr>
                <w:rFonts w:ascii="宋体" w:hAnsi="宋体" w:hint="eastAsia"/>
                <w:b/>
                <w:sz w:val="18"/>
              </w:rPr>
              <w:t>内容</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4A19A3F9" w14:textId="77777777" w:rsidR="00CC4C43" w:rsidRDefault="007731E0">
            <w:pPr>
              <w:widowControl/>
              <w:jc w:val="center"/>
              <w:rPr>
                <w:rFonts w:ascii="宋体" w:hAnsi="宋体"/>
                <w:b/>
                <w:sz w:val="18"/>
              </w:rPr>
            </w:pPr>
            <w:r>
              <w:rPr>
                <w:rFonts w:ascii="宋体" w:hAnsi="宋体" w:hint="eastAsia"/>
                <w:b/>
                <w:sz w:val="18"/>
              </w:rPr>
              <w:t>计算公式</w:t>
            </w:r>
          </w:p>
        </w:tc>
        <w:tc>
          <w:tcPr>
            <w:tcW w:w="4634"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54B45502" w14:textId="77777777" w:rsidR="00CC4C43" w:rsidRDefault="007731E0">
            <w:pPr>
              <w:widowControl/>
              <w:jc w:val="center"/>
              <w:rPr>
                <w:rFonts w:ascii="宋体" w:hAnsi="宋体"/>
                <w:b/>
                <w:sz w:val="18"/>
              </w:rPr>
            </w:pPr>
            <w:r>
              <w:rPr>
                <w:rFonts w:ascii="宋体" w:hAnsi="宋体" w:hint="eastAsia"/>
                <w:b/>
                <w:sz w:val="18"/>
              </w:rPr>
              <w:t>可售物业</w:t>
            </w:r>
          </w:p>
        </w:tc>
      </w:tr>
      <w:tr w:rsidR="00CC4C43" w14:paraId="32B7D541" w14:textId="77777777">
        <w:trPr>
          <w:trHeight w:val="365"/>
          <w:jc w:val="center"/>
        </w:trPr>
        <w:tc>
          <w:tcPr>
            <w:tcW w:w="1810" w:type="dxa"/>
            <w:vMerge/>
            <w:tcBorders>
              <w:top w:val="single" w:sz="4" w:space="0" w:color="auto"/>
              <w:left w:val="single" w:sz="4" w:space="0" w:color="auto"/>
              <w:bottom w:val="single" w:sz="4" w:space="0" w:color="auto"/>
              <w:right w:val="single" w:sz="4" w:space="0" w:color="auto"/>
              <w:tl2br w:val="nil"/>
              <w:tr2bl w:val="nil"/>
            </w:tcBorders>
            <w:vAlign w:val="center"/>
          </w:tcPr>
          <w:p w14:paraId="71E23779" w14:textId="77777777" w:rsidR="00CC4C43" w:rsidRDefault="00CC4C43">
            <w:pPr>
              <w:widowControl/>
              <w:jc w:val="center"/>
              <w:rPr>
                <w:rFonts w:ascii="宋体" w:hAnsi="宋体"/>
                <w:b/>
                <w:sz w:val="18"/>
              </w:rPr>
            </w:pP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0E7720D6" w14:textId="77777777" w:rsidR="00CC4C43" w:rsidRDefault="00CC4C43">
            <w:pPr>
              <w:widowControl/>
              <w:jc w:val="center"/>
              <w:rPr>
                <w:rFonts w:ascii="宋体" w:hAnsi="宋体"/>
                <w:b/>
                <w:sz w:val="18"/>
              </w:rPr>
            </w:pP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0B33593C" w14:textId="77777777" w:rsidR="00CC4C43" w:rsidRDefault="007731E0">
            <w:pPr>
              <w:widowControl/>
              <w:jc w:val="center"/>
              <w:rPr>
                <w:rFonts w:ascii="宋体" w:hAnsi="宋体"/>
                <w:b/>
                <w:sz w:val="18"/>
              </w:rPr>
            </w:pPr>
            <w:r>
              <w:rPr>
                <w:rFonts w:ascii="宋体" w:hAnsi="宋体" w:hint="eastAsia"/>
                <w:b/>
                <w:sz w:val="18"/>
              </w:rPr>
              <w:t>面积/个数</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4BF2FBB5" w14:textId="77777777" w:rsidR="00CC4C43" w:rsidRDefault="007731E0">
            <w:pPr>
              <w:widowControl/>
              <w:jc w:val="center"/>
              <w:rPr>
                <w:rFonts w:ascii="宋体" w:hAnsi="宋体"/>
                <w:b/>
                <w:sz w:val="18"/>
              </w:rPr>
            </w:pPr>
            <w:r>
              <w:rPr>
                <w:rFonts w:ascii="宋体" w:hAnsi="宋体" w:hint="eastAsia"/>
                <w:b/>
                <w:sz w:val="18"/>
              </w:rPr>
              <w:t>单位成本</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43AF2F56" w14:textId="77777777" w:rsidR="00CC4C43" w:rsidRDefault="007731E0">
            <w:pPr>
              <w:widowControl/>
              <w:jc w:val="center"/>
              <w:rPr>
                <w:rFonts w:ascii="宋体" w:hAnsi="宋体"/>
                <w:b/>
                <w:sz w:val="18"/>
              </w:rPr>
            </w:pPr>
            <w:r>
              <w:rPr>
                <w:rFonts w:ascii="宋体" w:hAnsi="宋体" w:hint="eastAsia"/>
                <w:b/>
                <w:sz w:val="18"/>
              </w:rPr>
              <w:t>总额</w:t>
            </w:r>
          </w:p>
        </w:tc>
      </w:tr>
      <w:tr w:rsidR="00CC4C43" w14:paraId="7C5834F3" w14:textId="77777777">
        <w:trPr>
          <w:trHeight w:val="343"/>
          <w:jc w:val="center"/>
        </w:trPr>
        <w:tc>
          <w:tcPr>
            <w:tcW w:w="1810" w:type="dxa"/>
            <w:vMerge/>
            <w:tcBorders>
              <w:top w:val="single" w:sz="4" w:space="0" w:color="auto"/>
              <w:left w:val="single" w:sz="4" w:space="0" w:color="auto"/>
              <w:bottom w:val="single" w:sz="4" w:space="0" w:color="auto"/>
              <w:right w:val="single" w:sz="4" w:space="0" w:color="auto"/>
              <w:tl2br w:val="nil"/>
              <w:tr2bl w:val="nil"/>
            </w:tcBorders>
            <w:vAlign w:val="center"/>
          </w:tcPr>
          <w:p w14:paraId="517CDE60" w14:textId="77777777" w:rsidR="00CC4C43" w:rsidRDefault="00CC4C43">
            <w:pPr>
              <w:widowControl/>
              <w:jc w:val="center"/>
              <w:rPr>
                <w:rFonts w:ascii="宋体" w:hAnsi="宋体"/>
                <w:b/>
                <w:sz w:val="18"/>
              </w:rPr>
            </w:pP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3E6BF8D1" w14:textId="77777777" w:rsidR="00CC4C43" w:rsidRDefault="00CC4C43">
            <w:pPr>
              <w:widowControl/>
              <w:jc w:val="center"/>
              <w:rPr>
                <w:rFonts w:ascii="宋体" w:hAnsi="宋体"/>
                <w:b/>
                <w:sz w:val="18"/>
              </w:rPr>
            </w:pP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4F355200" w14:textId="77777777" w:rsidR="00CC4C43" w:rsidRDefault="007731E0">
            <w:pPr>
              <w:widowControl/>
              <w:jc w:val="center"/>
              <w:rPr>
                <w:rFonts w:ascii="宋体" w:hAnsi="宋体"/>
                <w:b/>
                <w:sz w:val="18"/>
              </w:rPr>
            </w:pPr>
            <w:r>
              <w:rPr>
                <w:rFonts w:ascii="宋体" w:hAnsi="宋体" w:hint="eastAsia"/>
                <w:b/>
                <w:sz w:val="18"/>
              </w:rPr>
              <w:t>（平米）</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4B97AF4D" w14:textId="77777777" w:rsidR="00CC4C43" w:rsidRDefault="007731E0">
            <w:pPr>
              <w:widowControl/>
              <w:jc w:val="center"/>
              <w:rPr>
                <w:rFonts w:ascii="宋体" w:hAnsi="宋体"/>
                <w:b/>
                <w:sz w:val="18"/>
              </w:rPr>
            </w:pPr>
            <w:r>
              <w:rPr>
                <w:rFonts w:ascii="宋体" w:hAnsi="宋体" w:hint="eastAsia"/>
                <w:b/>
                <w:sz w:val="18"/>
              </w:rPr>
              <w:t>(元/</w:t>
            </w:r>
            <w:proofErr w:type="gramStart"/>
            <w:r>
              <w:rPr>
                <w:rFonts w:ascii="宋体" w:hAnsi="宋体" w:hint="eastAsia"/>
                <w:b/>
                <w:sz w:val="18"/>
              </w:rPr>
              <w:t>平米)</w:t>
            </w:r>
            <w:proofErr w:type="gramEnd"/>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152D0CFE" w14:textId="77777777" w:rsidR="00CC4C43" w:rsidRDefault="007731E0">
            <w:pPr>
              <w:widowControl/>
              <w:jc w:val="center"/>
              <w:rPr>
                <w:rFonts w:ascii="宋体" w:hAnsi="宋体"/>
                <w:b/>
                <w:sz w:val="18"/>
              </w:rPr>
            </w:pPr>
            <w:r>
              <w:rPr>
                <w:rFonts w:ascii="宋体" w:hAnsi="宋体" w:hint="eastAsia"/>
                <w:b/>
                <w:sz w:val="18"/>
              </w:rPr>
              <w:t>(万元)</w:t>
            </w:r>
          </w:p>
        </w:tc>
      </w:tr>
      <w:tr w:rsidR="00CC4C43" w14:paraId="7F8E44F1" w14:textId="77777777">
        <w:trPr>
          <w:trHeight w:val="401"/>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5EF455D2" w14:textId="77777777" w:rsidR="00CC4C43" w:rsidRDefault="007731E0">
            <w:pPr>
              <w:widowControl/>
              <w:jc w:val="center"/>
              <w:rPr>
                <w:rFonts w:ascii="宋体" w:hAnsi="宋体"/>
                <w:sz w:val="18"/>
              </w:rPr>
            </w:pPr>
            <w:r>
              <w:rPr>
                <w:rFonts w:ascii="宋体" w:hAnsi="宋体" w:hint="eastAsia"/>
                <w:sz w:val="18"/>
              </w:rPr>
              <w:t>洋房（7层）</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5E8D49C1" w14:textId="77777777" w:rsidR="00CC4C43" w:rsidRDefault="007731E0">
            <w:pPr>
              <w:widowControl/>
              <w:jc w:val="center"/>
              <w:rPr>
                <w:rFonts w:ascii="宋体" w:hAnsi="宋体"/>
                <w:sz w:val="18"/>
              </w:rPr>
            </w:pPr>
            <w:r>
              <w:rPr>
                <w:rFonts w:ascii="宋体" w:hAnsi="宋体" w:hint="eastAsia"/>
                <w:sz w:val="18"/>
              </w:rPr>
              <w:t>（元/平米）</w:t>
            </w: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6D53639A" w14:textId="77777777" w:rsidR="00CC4C43" w:rsidRDefault="007731E0">
            <w:pPr>
              <w:widowControl/>
              <w:jc w:val="center"/>
              <w:rPr>
                <w:rFonts w:ascii="宋体" w:hAnsi="宋体"/>
                <w:sz w:val="18"/>
              </w:rPr>
            </w:pPr>
            <w:r>
              <w:rPr>
                <w:rFonts w:ascii="宋体" w:hAnsi="宋体" w:hint="eastAsia"/>
                <w:sz w:val="18"/>
              </w:rPr>
              <w:t>71,395.10</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3320F9C4" w14:textId="77777777" w:rsidR="00CC4C43" w:rsidRDefault="007731E0">
            <w:pPr>
              <w:widowControl/>
              <w:jc w:val="center"/>
              <w:rPr>
                <w:rFonts w:ascii="宋体" w:hAnsi="宋体"/>
                <w:sz w:val="18"/>
              </w:rPr>
            </w:pPr>
            <w:r>
              <w:rPr>
                <w:rFonts w:ascii="宋体" w:hAnsi="宋体" w:hint="eastAsia"/>
                <w:sz w:val="18"/>
              </w:rPr>
              <w:t>25,750</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131AA08F" w14:textId="77777777" w:rsidR="00CC4C43" w:rsidRDefault="007731E0">
            <w:pPr>
              <w:widowControl/>
              <w:jc w:val="center"/>
              <w:rPr>
                <w:rFonts w:ascii="宋体" w:hAnsi="宋体"/>
                <w:sz w:val="18"/>
              </w:rPr>
            </w:pPr>
            <w:r>
              <w:rPr>
                <w:rFonts w:ascii="宋体" w:hAnsi="宋体" w:hint="eastAsia"/>
                <w:sz w:val="18"/>
              </w:rPr>
              <w:t>183,842.38</w:t>
            </w:r>
          </w:p>
        </w:tc>
      </w:tr>
      <w:tr w:rsidR="00CC4C43" w14:paraId="2EF11A85" w14:textId="77777777">
        <w:trPr>
          <w:trHeight w:val="393"/>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0FF7DE32" w14:textId="77777777" w:rsidR="00CC4C43" w:rsidRDefault="007731E0">
            <w:pPr>
              <w:widowControl/>
              <w:jc w:val="center"/>
              <w:rPr>
                <w:rFonts w:ascii="宋体" w:hAnsi="宋体"/>
                <w:sz w:val="18"/>
              </w:rPr>
            </w:pPr>
            <w:r>
              <w:rPr>
                <w:rFonts w:ascii="宋体" w:hAnsi="宋体" w:hint="eastAsia"/>
                <w:sz w:val="18"/>
              </w:rPr>
              <w:t>洋房（11层）</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3313D565" w14:textId="77777777" w:rsidR="00CC4C43" w:rsidRDefault="007731E0">
            <w:pPr>
              <w:widowControl/>
              <w:jc w:val="center"/>
              <w:rPr>
                <w:rFonts w:ascii="宋体" w:hAnsi="宋体"/>
                <w:sz w:val="18"/>
              </w:rPr>
            </w:pPr>
            <w:r>
              <w:rPr>
                <w:rFonts w:ascii="宋体" w:hAnsi="宋体" w:hint="eastAsia"/>
                <w:sz w:val="18"/>
              </w:rPr>
              <w:t>（元/平米）</w:t>
            </w: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1AEE4422" w14:textId="77777777" w:rsidR="00CC4C43" w:rsidRDefault="007731E0">
            <w:pPr>
              <w:widowControl/>
              <w:jc w:val="center"/>
              <w:rPr>
                <w:rFonts w:ascii="宋体" w:hAnsi="宋体"/>
                <w:sz w:val="18"/>
              </w:rPr>
            </w:pPr>
            <w:r>
              <w:rPr>
                <w:rFonts w:ascii="宋体" w:hAnsi="宋体" w:hint="eastAsia"/>
                <w:sz w:val="18"/>
              </w:rPr>
              <w:t>14,355.12</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41B887EB" w14:textId="77777777" w:rsidR="00CC4C43" w:rsidRDefault="007731E0">
            <w:pPr>
              <w:widowControl/>
              <w:jc w:val="center"/>
              <w:rPr>
                <w:rFonts w:ascii="宋体" w:hAnsi="宋体"/>
                <w:sz w:val="18"/>
              </w:rPr>
            </w:pPr>
            <w:r>
              <w:rPr>
                <w:rFonts w:ascii="宋体" w:hAnsi="宋体" w:hint="eastAsia"/>
                <w:sz w:val="18"/>
              </w:rPr>
              <w:t>23,250</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5F432BB8" w14:textId="77777777" w:rsidR="00CC4C43" w:rsidRDefault="007731E0">
            <w:pPr>
              <w:widowControl/>
              <w:jc w:val="center"/>
              <w:rPr>
                <w:rFonts w:ascii="宋体" w:hAnsi="宋体"/>
                <w:sz w:val="18"/>
              </w:rPr>
            </w:pPr>
            <w:r>
              <w:rPr>
                <w:rFonts w:ascii="宋体" w:hAnsi="宋体" w:hint="eastAsia"/>
                <w:sz w:val="18"/>
              </w:rPr>
              <w:t>33,375.65</w:t>
            </w:r>
          </w:p>
        </w:tc>
      </w:tr>
      <w:tr w:rsidR="00CC4C43" w14:paraId="56250ADC" w14:textId="77777777">
        <w:trPr>
          <w:trHeight w:val="274"/>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729330A3" w14:textId="77777777" w:rsidR="00CC4C43" w:rsidRDefault="007731E0">
            <w:pPr>
              <w:widowControl/>
              <w:jc w:val="center"/>
              <w:rPr>
                <w:rFonts w:ascii="宋体" w:hAnsi="宋体"/>
                <w:sz w:val="18"/>
              </w:rPr>
            </w:pPr>
            <w:r>
              <w:rPr>
                <w:rFonts w:ascii="宋体" w:hAnsi="宋体" w:hint="eastAsia"/>
                <w:sz w:val="18"/>
              </w:rPr>
              <w:t>车位</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13BDD2A1" w14:textId="77777777" w:rsidR="00CC4C43" w:rsidRDefault="007731E0">
            <w:pPr>
              <w:widowControl/>
              <w:jc w:val="center"/>
              <w:rPr>
                <w:rFonts w:ascii="宋体" w:hAnsi="宋体"/>
                <w:sz w:val="18"/>
              </w:rPr>
            </w:pPr>
            <w:proofErr w:type="gramStart"/>
            <w:r>
              <w:rPr>
                <w:rFonts w:ascii="宋体" w:hAnsi="宋体" w:hint="eastAsia"/>
                <w:sz w:val="18"/>
              </w:rPr>
              <w:t>个</w:t>
            </w:r>
            <w:proofErr w:type="gramEnd"/>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7446363D" w14:textId="77777777" w:rsidR="00CC4C43" w:rsidRDefault="007731E0">
            <w:pPr>
              <w:widowControl/>
              <w:jc w:val="center"/>
              <w:rPr>
                <w:rFonts w:ascii="宋体" w:hAnsi="宋体"/>
                <w:sz w:val="18"/>
              </w:rPr>
            </w:pPr>
            <w:r>
              <w:rPr>
                <w:rFonts w:ascii="宋体" w:hAnsi="宋体" w:hint="eastAsia"/>
                <w:sz w:val="18"/>
              </w:rPr>
              <w:t>873</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449BB480" w14:textId="77777777" w:rsidR="00CC4C43" w:rsidRDefault="007731E0">
            <w:pPr>
              <w:widowControl/>
              <w:jc w:val="center"/>
              <w:rPr>
                <w:rFonts w:ascii="宋体" w:hAnsi="宋体"/>
                <w:sz w:val="18"/>
              </w:rPr>
            </w:pPr>
            <w:r>
              <w:rPr>
                <w:rFonts w:ascii="宋体" w:hAnsi="宋体" w:hint="eastAsia"/>
                <w:sz w:val="18"/>
              </w:rPr>
              <w:t>300,000</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24687389" w14:textId="77777777" w:rsidR="00CC4C43" w:rsidRDefault="007731E0">
            <w:pPr>
              <w:widowControl/>
              <w:jc w:val="center"/>
              <w:rPr>
                <w:rFonts w:ascii="宋体" w:hAnsi="宋体"/>
                <w:sz w:val="18"/>
              </w:rPr>
            </w:pPr>
            <w:r>
              <w:rPr>
                <w:rFonts w:ascii="宋体" w:hAnsi="宋体" w:hint="eastAsia"/>
                <w:sz w:val="18"/>
              </w:rPr>
              <w:t>18,104.00</w:t>
            </w:r>
          </w:p>
        </w:tc>
      </w:tr>
      <w:tr w:rsidR="00CC4C43" w14:paraId="5050C229" w14:textId="77777777">
        <w:trPr>
          <w:trHeight w:val="438"/>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661E8DAF" w14:textId="77777777" w:rsidR="00CC4C43" w:rsidRDefault="007731E0">
            <w:pPr>
              <w:widowControl/>
              <w:jc w:val="center"/>
              <w:rPr>
                <w:rFonts w:ascii="宋体" w:hAnsi="宋体"/>
                <w:sz w:val="18"/>
              </w:rPr>
            </w:pPr>
            <w:r>
              <w:rPr>
                <w:rFonts w:ascii="宋体" w:hAnsi="宋体" w:hint="eastAsia"/>
                <w:sz w:val="18"/>
              </w:rPr>
              <w:t>合计</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3D2E64C4" w14:textId="77777777" w:rsidR="00CC4C43" w:rsidRDefault="007731E0">
            <w:pPr>
              <w:widowControl/>
              <w:jc w:val="center"/>
              <w:rPr>
                <w:rFonts w:ascii="宋体" w:hAnsi="宋体"/>
                <w:sz w:val="18"/>
              </w:rPr>
            </w:pPr>
            <w:r>
              <w:rPr>
                <w:rFonts w:ascii="宋体" w:hAnsi="宋体" w:hint="eastAsia"/>
                <w:sz w:val="18"/>
              </w:rPr>
              <w:t>-</w:t>
            </w: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37DC8626" w14:textId="77777777" w:rsidR="00CC4C43" w:rsidRDefault="007731E0">
            <w:pPr>
              <w:widowControl/>
              <w:jc w:val="center"/>
              <w:rPr>
                <w:rFonts w:ascii="宋体" w:hAnsi="宋体"/>
                <w:color w:val="000000"/>
                <w:kern w:val="0"/>
                <w:sz w:val="18"/>
              </w:rPr>
            </w:pPr>
            <w:r>
              <w:rPr>
                <w:rFonts w:ascii="宋体" w:hAnsi="宋体" w:hint="eastAsia"/>
                <w:color w:val="000000"/>
                <w:sz w:val="18"/>
              </w:rPr>
              <w:t>-</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22133C91" w14:textId="77777777" w:rsidR="00CC4C43" w:rsidRDefault="007731E0">
            <w:pPr>
              <w:jc w:val="center"/>
              <w:rPr>
                <w:rFonts w:ascii="宋体" w:hAnsi="宋体"/>
                <w:kern w:val="0"/>
                <w:sz w:val="18"/>
              </w:rPr>
            </w:pPr>
            <w:r>
              <w:rPr>
                <w:rFonts w:ascii="宋体" w:hAnsi="宋体" w:hint="eastAsia"/>
                <w:kern w:val="0"/>
                <w:sz w:val="18"/>
              </w:rPr>
              <w:t>-</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57075B92" w14:textId="77777777" w:rsidR="00CC4C43" w:rsidRDefault="007731E0">
            <w:pPr>
              <w:widowControl/>
              <w:jc w:val="center"/>
              <w:rPr>
                <w:rFonts w:ascii="宋体" w:hAnsi="宋体"/>
                <w:sz w:val="18"/>
              </w:rPr>
            </w:pPr>
            <w:r>
              <w:rPr>
                <w:rFonts w:ascii="宋体" w:hAnsi="宋体" w:hint="eastAsia"/>
                <w:sz w:val="18"/>
              </w:rPr>
              <w:t>235,322.04</w:t>
            </w:r>
          </w:p>
        </w:tc>
      </w:tr>
    </w:tbl>
    <w:p w14:paraId="45357BBB" w14:textId="77777777" w:rsidR="00CC4C43" w:rsidRDefault="00CC4C43">
      <w:pPr>
        <w:widowControl/>
        <w:jc w:val="left"/>
        <w:rPr>
          <w:rFonts w:ascii="Times New Roman" w:eastAsia="楷体_GB2312" w:hAnsi="Times New Roman"/>
          <w:sz w:val="24"/>
        </w:rPr>
      </w:pPr>
    </w:p>
    <w:p w14:paraId="2FD890CC" w14:textId="77777777" w:rsidR="00CC4C43" w:rsidRDefault="00CC4C43">
      <w:pPr>
        <w:spacing w:afterLines="20" w:after="62" w:line="288" w:lineRule="auto"/>
        <w:outlineLvl w:val="0"/>
        <w:rPr>
          <w:rFonts w:ascii="Times New Roman" w:eastAsia="楷体_GB2312" w:hAnsi="Times New Roman"/>
          <w:sz w:val="24"/>
          <w:szCs w:val="24"/>
        </w:rPr>
        <w:sectPr w:rsidR="00CC4C43">
          <w:pgSz w:w="11906" w:h="16838"/>
          <w:pgMar w:top="1440" w:right="1800" w:bottom="1440" w:left="1800" w:header="851" w:footer="992" w:gutter="0"/>
          <w:cols w:space="425"/>
          <w:docGrid w:type="lines" w:linePitch="312"/>
        </w:sectPr>
      </w:pPr>
    </w:p>
    <w:p w14:paraId="2237B01D" w14:textId="77777777" w:rsidR="00CC4C43" w:rsidRDefault="007731E0">
      <w:pPr>
        <w:spacing w:afterLines="20" w:after="62" w:line="288" w:lineRule="auto"/>
        <w:outlineLvl w:val="0"/>
        <w:rPr>
          <w:rFonts w:ascii="Times New Roman" w:eastAsia="楷体_GB2312" w:hAnsi="Times New Roman"/>
          <w:sz w:val="24"/>
          <w:szCs w:val="24"/>
        </w:rPr>
      </w:pPr>
      <w:r>
        <w:rPr>
          <w:rFonts w:ascii="Times New Roman" w:eastAsia="楷体_GB2312" w:hAnsi="Times New Roman" w:hint="eastAsia"/>
          <w:sz w:val="24"/>
          <w:szCs w:val="24"/>
        </w:rPr>
        <w:lastRenderedPageBreak/>
        <w:t>附件四：标的项目销售计划表</w:t>
      </w:r>
    </w:p>
    <w:p w14:paraId="4D6BFF62" w14:textId="77777777" w:rsidR="00CC4C43" w:rsidRDefault="00CC4C43">
      <w:pPr>
        <w:widowControl/>
        <w:jc w:val="left"/>
        <w:rPr>
          <w:rFonts w:ascii="Times New Roman" w:eastAsia="楷体_GB2312" w:hAnsi="Times New Roman"/>
          <w:sz w:val="24"/>
          <w:szCs w:val="24"/>
        </w:rPr>
      </w:pPr>
    </w:p>
    <w:p w14:paraId="43312AF1" w14:textId="77777777" w:rsidR="00CC4C43" w:rsidRDefault="007731E0">
      <w:pPr>
        <w:spacing w:line="360" w:lineRule="auto"/>
        <w:contextualSpacing/>
        <w:jc w:val="center"/>
        <w:rPr>
          <w:rFonts w:ascii="仿宋" w:eastAsia="仿宋" w:hAnsi="仿宋"/>
          <w:b/>
          <w:bCs/>
          <w:kern w:val="0"/>
          <w:sz w:val="24"/>
          <w:szCs w:val="24"/>
        </w:rPr>
      </w:pPr>
      <w:r>
        <w:rPr>
          <w:rFonts w:ascii="仿宋" w:eastAsia="仿宋" w:hAnsi="仿宋" w:hint="eastAsia"/>
          <w:b/>
          <w:bCs/>
          <w:kern w:val="0"/>
          <w:sz w:val="24"/>
          <w:szCs w:val="24"/>
        </w:rPr>
        <w:t>销售计划表</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88"/>
        <w:gridCol w:w="1060"/>
        <w:gridCol w:w="854"/>
        <w:gridCol w:w="709"/>
        <w:gridCol w:w="878"/>
        <w:gridCol w:w="1134"/>
        <w:gridCol w:w="1134"/>
        <w:gridCol w:w="1134"/>
        <w:gridCol w:w="993"/>
        <w:gridCol w:w="959"/>
      </w:tblGrid>
      <w:tr w:rsidR="00CC4C43" w14:paraId="34D22C31" w14:textId="77777777">
        <w:trPr>
          <w:trHeight w:val="435"/>
          <w:jc w:val="center"/>
        </w:trPr>
        <w:tc>
          <w:tcPr>
            <w:tcW w:w="567" w:type="dxa"/>
            <w:vMerge w:val="restart"/>
            <w:shd w:val="clear" w:color="000000" w:fill="8DB4E2"/>
            <w:noWrap/>
            <w:vAlign w:val="center"/>
          </w:tcPr>
          <w:p w14:paraId="50493F4F"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序号</w:t>
            </w:r>
          </w:p>
        </w:tc>
        <w:tc>
          <w:tcPr>
            <w:tcW w:w="1488" w:type="dxa"/>
            <w:vMerge w:val="restart"/>
            <w:shd w:val="clear" w:color="000000" w:fill="8DB4E2"/>
            <w:noWrap/>
            <w:vAlign w:val="center"/>
          </w:tcPr>
          <w:p w14:paraId="250E98C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项目</w:t>
            </w:r>
          </w:p>
        </w:tc>
        <w:tc>
          <w:tcPr>
            <w:tcW w:w="1060" w:type="dxa"/>
            <w:vMerge w:val="restart"/>
            <w:shd w:val="clear" w:color="000000" w:fill="8DB4E2"/>
            <w:noWrap/>
            <w:vAlign w:val="center"/>
          </w:tcPr>
          <w:p w14:paraId="3C081DC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总计</w:t>
            </w:r>
          </w:p>
        </w:tc>
        <w:tc>
          <w:tcPr>
            <w:tcW w:w="3575" w:type="dxa"/>
            <w:gridSpan w:val="4"/>
            <w:shd w:val="clear" w:color="000000" w:fill="8DB4E2"/>
            <w:noWrap/>
            <w:vAlign w:val="center"/>
          </w:tcPr>
          <w:p w14:paraId="1E6A3A9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2021年</w:t>
            </w:r>
          </w:p>
        </w:tc>
        <w:tc>
          <w:tcPr>
            <w:tcW w:w="4220" w:type="dxa"/>
            <w:gridSpan w:val="4"/>
            <w:shd w:val="clear" w:color="000000" w:fill="8DB4E2"/>
            <w:noWrap/>
            <w:vAlign w:val="center"/>
          </w:tcPr>
          <w:p w14:paraId="6C55DB7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w:t>
            </w:r>
          </w:p>
        </w:tc>
      </w:tr>
      <w:tr w:rsidR="00CC4C43" w14:paraId="2C437571" w14:textId="77777777">
        <w:trPr>
          <w:trHeight w:val="300"/>
          <w:jc w:val="center"/>
        </w:trPr>
        <w:tc>
          <w:tcPr>
            <w:tcW w:w="567" w:type="dxa"/>
            <w:vMerge/>
            <w:vAlign w:val="center"/>
          </w:tcPr>
          <w:p w14:paraId="7DF62F49" w14:textId="77777777" w:rsidR="00CC4C43" w:rsidRDefault="00CC4C43">
            <w:pPr>
              <w:widowControl/>
              <w:jc w:val="left"/>
              <w:rPr>
                <w:rFonts w:ascii="宋体" w:hAnsi="宋体" w:cs="宋体"/>
                <w:b/>
                <w:bCs/>
                <w:color w:val="000000"/>
                <w:kern w:val="0"/>
                <w:sz w:val="15"/>
                <w:szCs w:val="15"/>
              </w:rPr>
            </w:pPr>
          </w:p>
        </w:tc>
        <w:tc>
          <w:tcPr>
            <w:tcW w:w="1488" w:type="dxa"/>
            <w:vMerge/>
            <w:vAlign w:val="center"/>
          </w:tcPr>
          <w:p w14:paraId="6880FB67" w14:textId="77777777" w:rsidR="00CC4C43" w:rsidRDefault="00CC4C43">
            <w:pPr>
              <w:widowControl/>
              <w:jc w:val="left"/>
              <w:rPr>
                <w:rFonts w:ascii="宋体" w:hAnsi="宋体" w:cs="宋体"/>
                <w:color w:val="000000"/>
                <w:kern w:val="0"/>
                <w:sz w:val="15"/>
                <w:szCs w:val="15"/>
              </w:rPr>
            </w:pPr>
          </w:p>
        </w:tc>
        <w:tc>
          <w:tcPr>
            <w:tcW w:w="1060" w:type="dxa"/>
            <w:vMerge/>
            <w:vAlign w:val="center"/>
          </w:tcPr>
          <w:p w14:paraId="3739903C" w14:textId="77777777" w:rsidR="00CC4C43" w:rsidRDefault="00CC4C43">
            <w:pPr>
              <w:widowControl/>
              <w:jc w:val="left"/>
              <w:rPr>
                <w:rFonts w:ascii="宋体" w:hAnsi="宋体" w:cs="宋体"/>
                <w:color w:val="000000"/>
                <w:kern w:val="0"/>
                <w:sz w:val="15"/>
                <w:szCs w:val="15"/>
              </w:rPr>
            </w:pPr>
          </w:p>
        </w:tc>
        <w:tc>
          <w:tcPr>
            <w:tcW w:w="854" w:type="dxa"/>
            <w:shd w:val="clear" w:color="000000" w:fill="8DB4E2"/>
            <w:noWrap/>
            <w:vAlign w:val="center"/>
          </w:tcPr>
          <w:p w14:paraId="365F244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Q1</w:t>
            </w:r>
          </w:p>
        </w:tc>
        <w:tc>
          <w:tcPr>
            <w:tcW w:w="709" w:type="dxa"/>
            <w:shd w:val="clear" w:color="000000" w:fill="8DB4E2"/>
            <w:noWrap/>
            <w:vAlign w:val="center"/>
          </w:tcPr>
          <w:p w14:paraId="7AFF0FB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Q2</w:t>
            </w:r>
          </w:p>
        </w:tc>
        <w:tc>
          <w:tcPr>
            <w:tcW w:w="878" w:type="dxa"/>
            <w:shd w:val="clear" w:color="000000" w:fill="8DB4E2"/>
            <w:noWrap/>
            <w:vAlign w:val="center"/>
          </w:tcPr>
          <w:p w14:paraId="260A65C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Q3</w:t>
            </w:r>
          </w:p>
        </w:tc>
        <w:tc>
          <w:tcPr>
            <w:tcW w:w="1134" w:type="dxa"/>
            <w:shd w:val="clear" w:color="000000" w:fill="8DB4E2"/>
            <w:noWrap/>
            <w:vAlign w:val="center"/>
          </w:tcPr>
          <w:p w14:paraId="77EF40A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Q4</w:t>
            </w:r>
          </w:p>
        </w:tc>
        <w:tc>
          <w:tcPr>
            <w:tcW w:w="1134" w:type="dxa"/>
            <w:shd w:val="clear" w:color="000000" w:fill="8DB4E2"/>
            <w:noWrap/>
            <w:vAlign w:val="center"/>
          </w:tcPr>
          <w:p w14:paraId="3090642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Q1</w:t>
            </w:r>
          </w:p>
        </w:tc>
        <w:tc>
          <w:tcPr>
            <w:tcW w:w="1134" w:type="dxa"/>
            <w:shd w:val="clear" w:color="000000" w:fill="8DB4E2"/>
            <w:noWrap/>
            <w:vAlign w:val="center"/>
          </w:tcPr>
          <w:p w14:paraId="2E5F984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Q2</w:t>
            </w:r>
          </w:p>
        </w:tc>
        <w:tc>
          <w:tcPr>
            <w:tcW w:w="993" w:type="dxa"/>
            <w:shd w:val="clear" w:color="000000" w:fill="8DB4E2"/>
            <w:noWrap/>
            <w:vAlign w:val="center"/>
          </w:tcPr>
          <w:p w14:paraId="24614FF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Q3</w:t>
            </w:r>
          </w:p>
        </w:tc>
        <w:tc>
          <w:tcPr>
            <w:tcW w:w="959" w:type="dxa"/>
            <w:shd w:val="clear" w:color="000000" w:fill="8DB4E2"/>
            <w:noWrap/>
            <w:vAlign w:val="center"/>
          </w:tcPr>
          <w:p w14:paraId="4445290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Q4及以后</w:t>
            </w:r>
          </w:p>
        </w:tc>
      </w:tr>
      <w:tr w:rsidR="00CC4C43" w14:paraId="08B4B6F2" w14:textId="77777777">
        <w:trPr>
          <w:trHeight w:val="300"/>
          <w:jc w:val="center"/>
        </w:trPr>
        <w:tc>
          <w:tcPr>
            <w:tcW w:w="567" w:type="dxa"/>
            <w:shd w:val="clear" w:color="auto" w:fill="auto"/>
            <w:noWrap/>
            <w:vAlign w:val="center"/>
          </w:tcPr>
          <w:p w14:paraId="32FD349C"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w:t>
            </w:r>
          </w:p>
        </w:tc>
        <w:tc>
          <w:tcPr>
            <w:tcW w:w="1488" w:type="dxa"/>
            <w:shd w:val="clear" w:color="auto" w:fill="auto"/>
            <w:noWrap/>
            <w:vAlign w:val="center"/>
          </w:tcPr>
          <w:p w14:paraId="36D8263B" w14:textId="77777777" w:rsidR="00CC4C43" w:rsidRDefault="007731E0">
            <w:pPr>
              <w:widowControl/>
              <w:rPr>
                <w:rFonts w:ascii="宋体" w:hAnsi="宋体" w:cs="宋体"/>
                <w:b/>
                <w:bCs/>
                <w:color w:val="000000"/>
                <w:kern w:val="0"/>
                <w:sz w:val="15"/>
                <w:szCs w:val="15"/>
              </w:rPr>
            </w:pPr>
            <w:r>
              <w:rPr>
                <w:rFonts w:ascii="宋体" w:hAnsi="宋体" w:cs="宋体" w:hint="eastAsia"/>
                <w:b/>
                <w:bCs/>
                <w:color w:val="000000"/>
                <w:kern w:val="0"/>
                <w:sz w:val="15"/>
                <w:szCs w:val="15"/>
              </w:rPr>
              <w:t>销售收入</w:t>
            </w:r>
          </w:p>
        </w:tc>
        <w:tc>
          <w:tcPr>
            <w:tcW w:w="1060" w:type="dxa"/>
            <w:shd w:val="clear" w:color="auto" w:fill="auto"/>
            <w:noWrap/>
            <w:vAlign w:val="center"/>
          </w:tcPr>
          <w:p w14:paraId="1D3F6BF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235,322</w:t>
            </w:r>
          </w:p>
        </w:tc>
        <w:tc>
          <w:tcPr>
            <w:tcW w:w="854" w:type="dxa"/>
            <w:shd w:val="clear" w:color="auto" w:fill="auto"/>
            <w:noWrap/>
            <w:vAlign w:val="center"/>
          </w:tcPr>
          <w:p w14:paraId="251CD37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auto" w:fill="auto"/>
            <w:noWrap/>
            <w:vAlign w:val="center"/>
          </w:tcPr>
          <w:p w14:paraId="5DE9710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auto" w:fill="auto"/>
            <w:noWrap/>
            <w:vAlign w:val="center"/>
          </w:tcPr>
          <w:p w14:paraId="5FA293A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60,816</w:t>
            </w:r>
          </w:p>
        </w:tc>
        <w:tc>
          <w:tcPr>
            <w:tcW w:w="1134" w:type="dxa"/>
            <w:shd w:val="clear" w:color="auto" w:fill="auto"/>
            <w:noWrap/>
            <w:vAlign w:val="center"/>
          </w:tcPr>
          <w:p w14:paraId="7B0753A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64,945</w:t>
            </w:r>
          </w:p>
        </w:tc>
        <w:tc>
          <w:tcPr>
            <w:tcW w:w="1134" w:type="dxa"/>
            <w:shd w:val="clear" w:color="auto" w:fill="auto"/>
            <w:noWrap/>
            <w:vAlign w:val="center"/>
          </w:tcPr>
          <w:p w14:paraId="6320C2F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59,577</w:t>
            </w:r>
          </w:p>
        </w:tc>
        <w:tc>
          <w:tcPr>
            <w:tcW w:w="1134" w:type="dxa"/>
            <w:shd w:val="clear" w:color="auto" w:fill="auto"/>
            <w:noWrap/>
            <w:vAlign w:val="center"/>
          </w:tcPr>
          <w:p w14:paraId="7AE3AE3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29,762</w:t>
            </w:r>
          </w:p>
        </w:tc>
        <w:tc>
          <w:tcPr>
            <w:tcW w:w="993" w:type="dxa"/>
            <w:shd w:val="clear" w:color="auto" w:fill="auto"/>
            <w:noWrap/>
            <w:vAlign w:val="center"/>
          </w:tcPr>
          <w:p w14:paraId="0B9FF1F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11,031</w:t>
            </w:r>
          </w:p>
        </w:tc>
        <w:tc>
          <w:tcPr>
            <w:tcW w:w="959" w:type="dxa"/>
            <w:shd w:val="clear" w:color="auto" w:fill="auto"/>
            <w:noWrap/>
            <w:vAlign w:val="center"/>
          </w:tcPr>
          <w:p w14:paraId="121347C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9,192</w:t>
            </w:r>
          </w:p>
        </w:tc>
      </w:tr>
      <w:tr w:rsidR="00CC4C43" w14:paraId="3BAAB54F" w14:textId="77777777">
        <w:trPr>
          <w:trHeight w:val="300"/>
          <w:jc w:val="center"/>
        </w:trPr>
        <w:tc>
          <w:tcPr>
            <w:tcW w:w="567" w:type="dxa"/>
            <w:vMerge w:val="restart"/>
            <w:shd w:val="clear" w:color="auto" w:fill="auto"/>
            <w:noWrap/>
            <w:vAlign w:val="center"/>
          </w:tcPr>
          <w:p w14:paraId="17DB10B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w:t>
            </w:r>
          </w:p>
        </w:tc>
        <w:tc>
          <w:tcPr>
            <w:tcW w:w="1488" w:type="dxa"/>
            <w:shd w:val="clear" w:color="auto" w:fill="auto"/>
            <w:noWrap/>
            <w:vAlign w:val="center"/>
          </w:tcPr>
          <w:p w14:paraId="4A1E3705"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洋房7F销售收入</w:t>
            </w:r>
          </w:p>
        </w:tc>
        <w:tc>
          <w:tcPr>
            <w:tcW w:w="1060" w:type="dxa"/>
            <w:shd w:val="clear" w:color="auto" w:fill="auto"/>
            <w:noWrap/>
            <w:vAlign w:val="center"/>
          </w:tcPr>
          <w:p w14:paraId="0431872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183,842</w:t>
            </w:r>
          </w:p>
        </w:tc>
        <w:tc>
          <w:tcPr>
            <w:tcW w:w="854" w:type="dxa"/>
            <w:shd w:val="clear" w:color="auto" w:fill="auto"/>
            <w:noWrap/>
            <w:vAlign w:val="center"/>
          </w:tcPr>
          <w:p w14:paraId="7B1B59F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auto" w:fill="auto"/>
            <w:noWrap/>
            <w:vAlign w:val="center"/>
          </w:tcPr>
          <w:p w14:paraId="6357D87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auto" w:fill="auto"/>
            <w:noWrap/>
            <w:vAlign w:val="center"/>
          </w:tcPr>
          <w:p w14:paraId="3C17FE7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55,153</w:t>
            </w:r>
          </w:p>
        </w:tc>
        <w:tc>
          <w:tcPr>
            <w:tcW w:w="1134" w:type="dxa"/>
            <w:shd w:val="clear" w:color="auto" w:fill="auto"/>
            <w:noWrap/>
            <w:vAlign w:val="center"/>
          </w:tcPr>
          <w:p w14:paraId="7F89B54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45,961</w:t>
            </w:r>
          </w:p>
        </w:tc>
        <w:tc>
          <w:tcPr>
            <w:tcW w:w="1134" w:type="dxa"/>
            <w:shd w:val="clear" w:color="auto" w:fill="auto"/>
            <w:noWrap/>
            <w:vAlign w:val="center"/>
          </w:tcPr>
          <w:p w14:paraId="60FD534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45,961</w:t>
            </w:r>
          </w:p>
        </w:tc>
        <w:tc>
          <w:tcPr>
            <w:tcW w:w="1134" w:type="dxa"/>
            <w:shd w:val="clear" w:color="auto" w:fill="auto"/>
            <w:noWrap/>
            <w:vAlign w:val="center"/>
          </w:tcPr>
          <w:p w14:paraId="7170412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36,768</w:t>
            </w:r>
          </w:p>
        </w:tc>
        <w:tc>
          <w:tcPr>
            <w:tcW w:w="993" w:type="dxa"/>
            <w:shd w:val="clear" w:color="auto" w:fill="auto"/>
            <w:noWrap/>
            <w:vAlign w:val="center"/>
          </w:tcPr>
          <w:p w14:paraId="7A7F584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59" w:type="dxa"/>
            <w:shd w:val="clear" w:color="auto" w:fill="auto"/>
            <w:noWrap/>
            <w:vAlign w:val="center"/>
          </w:tcPr>
          <w:p w14:paraId="026A1B6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27C34377" w14:textId="77777777">
        <w:trPr>
          <w:trHeight w:val="300"/>
          <w:jc w:val="center"/>
        </w:trPr>
        <w:tc>
          <w:tcPr>
            <w:tcW w:w="567" w:type="dxa"/>
            <w:vMerge/>
            <w:vAlign w:val="center"/>
          </w:tcPr>
          <w:p w14:paraId="1EFA5E96" w14:textId="77777777" w:rsidR="00CC4C43" w:rsidRDefault="00CC4C43">
            <w:pPr>
              <w:widowControl/>
              <w:jc w:val="left"/>
              <w:rPr>
                <w:rFonts w:ascii="宋体" w:hAnsi="宋体" w:cs="宋体"/>
                <w:color w:val="000000"/>
                <w:kern w:val="0"/>
                <w:sz w:val="15"/>
                <w:szCs w:val="15"/>
              </w:rPr>
            </w:pPr>
          </w:p>
        </w:tc>
        <w:tc>
          <w:tcPr>
            <w:tcW w:w="1488" w:type="dxa"/>
            <w:shd w:val="clear" w:color="auto" w:fill="auto"/>
            <w:noWrap/>
            <w:vAlign w:val="center"/>
          </w:tcPr>
          <w:p w14:paraId="060B6488"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销售比例</w:t>
            </w:r>
          </w:p>
        </w:tc>
        <w:tc>
          <w:tcPr>
            <w:tcW w:w="1060" w:type="dxa"/>
            <w:shd w:val="clear" w:color="auto" w:fill="auto"/>
            <w:noWrap/>
            <w:vAlign w:val="center"/>
          </w:tcPr>
          <w:p w14:paraId="7E1C662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w:t>
            </w:r>
          </w:p>
        </w:tc>
        <w:tc>
          <w:tcPr>
            <w:tcW w:w="854" w:type="dxa"/>
            <w:shd w:val="clear" w:color="auto" w:fill="auto"/>
            <w:noWrap/>
            <w:vAlign w:val="center"/>
          </w:tcPr>
          <w:p w14:paraId="2288FC6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000000" w:fill="FFFFFF"/>
            <w:noWrap/>
            <w:vAlign w:val="center"/>
          </w:tcPr>
          <w:p w14:paraId="7C48DC6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000000" w:fill="FFFFFF"/>
            <w:noWrap/>
            <w:vAlign w:val="center"/>
          </w:tcPr>
          <w:p w14:paraId="123C507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30.00%</w:t>
            </w:r>
          </w:p>
        </w:tc>
        <w:tc>
          <w:tcPr>
            <w:tcW w:w="1134" w:type="dxa"/>
            <w:shd w:val="clear" w:color="000000" w:fill="FFFFFF"/>
            <w:noWrap/>
            <w:vAlign w:val="center"/>
          </w:tcPr>
          <w:p w14:paraId="2EE767D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25.00%</w:t>
            </w:r>
          </w:p>
        </w:tc>
        <w:tc>
          <w:tcPr>
            <w:tcW w:w="1134" w:type="dxa"/>
            <w:shd w:val="clear" w:color="000000" w:fill="FFFFFF"/>
            <w:noWrap/>
            <w:vAlign w:val="center"/>
          </w:tcPr>
          <w:p w14:paraId="7E87FDB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25.00%</w:t>
            </w:r>
          </w:p>
        </w:tc>
        <w:tc>
          <w:tcPr>
            <w:tcW w:w="1134" w:type="dxa"/>
            <w:shd w:val="clear" w:color="000000" w:fill="FFFFFF"/>
            <w:noWrap/>
            <w:vAlign w:val="center"/>
          </w:tcPr>
          <w:p w14:paraId="421E634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993" w:type="dxa"/>
            <w:shd w:val="clear" w:color="000000" w:fill="FFFFFF"/>
            <w:noWrap/>
            <w:vAlign w:val="center"/>
          </w:tcPr>
          <w:p w14:paraId="22D35B0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c>
          <w:tcPr>
            <w:tcW w:w="959" w:type="dxa"/>
            <w:shd w:val="clear" w:color="auto" w:fill="auto"/>
            <w:noWrap/>
            <w:vAlign w:val="center"/>
          </w:tcPr>
          <w:p w14:paraId="215728C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r>
      <w:tr w:rsidR="00CC4C43" w14:paraId="20B86B7B" w14:textId="77777777">
        <w:trPr>
          <w:trHeight w:val="300"/>
          <w:jc w:val="center"/>
        </w:trPr>
        <w:tc>
          <w:tcPr>
            <w:tcW w:w="567" w:type="dxa"/>
            <w:vMerge w:val="restart"/>
            <w:shd w:val="clear" w:color="auto" w:fill="auto"/>
            <w:noWrap/>
            <w:vAlign w:val="center"/>
          </w:tcPr>
          <w:p w14:paraId="08FFED6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1.2</w:t>
            </w:r>
          </w:p>
        </w:tc>
        <w:tc>
          <w:tcPr>
            <w:tcW w:w="1488" w:type="dxa"/>
            <w:shd w:val="clear" w:color="auto" w:fill="auto"/>
            <w:noWrap/>
            <w:vAlign w:val="center"/>
          </w:tcPr>
          <w:p w14:paraId="5D43FCC2"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洋房11F销售收入</w:t>
            </w:r>
          </w:p>
        </w:tc>
        <w:tc>
          <w:tcPr>
            <w:tcW w:w="1060" w:type="dxa"/>
            <w:shd w:val="clear" w:color="auto" w:fill="auto"/>
            <w:noWrap/>
            <w:vAlign w:val="center"/>
          </w:tcPr>
          <w:p w14:paraId="144484F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33,376</w:t>
            </w:r>
          </w:p>
        </w:tc>
        <w:tc>
          <w:tcPr>
            <w:tcW w:w="854" w:type="dxa"/>
            <w:shd w:val="clear" w:color="auto" w:fill="auto"/>
            <w:noWrap/>
            <w:vAlign w:val="center"/>
          </w:tcPr>
          <w:p w14:paraId="23AE573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auto" w:fill="auto"/>
            <w:noWrap/>
            <w:vAlign w:val="center"/>
          </w:tcPr>
          <w:p w14:paraId="7255B8F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auto" w:fill="auto"/>
            <w:noWrap/>
            <w:vAlign w:val="center"/>
          </w:tcPr>
          <w:p w14:paraId="5DA6CF7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1134" w:type="dxa"/>
            <w:shd w:val="clear" w:color="auto" w:fill="auto"/>
            <w:noWrap/>
            <w:vAlign w:val="center"/>
          </w:tcPr>
          <w:p w14:paraId="63714D4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1134" w:type="dxa"/>
            <w:shd w:val="clear" w:color="auto" w:fill="auto"/>
            <w:noWrap/>
            <w:vAlign w:val="center"/>
          </w:tcPr>
          <w:p w14:paraId="0CADDF0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1134" w:type="dxa"/>
            <w:shd w:val="clear" w:color="auto" w:fill="auto"/>
            <w:noWrap/>
            <w:vAlign w:val="center"/>
          </w:tcPr>
          <w:p w14:paraId="0552DC2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993" w:type="dxa"/>
            <w:shd w:val="clear" w:color="auto" w:fill="auto"/>
            <w:noWrap/>
            <w:vAlign w:val="center"/>
          </w:tcPr>
          <w:p w14:paraId="56D4834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59" w:type="dxa"/>
            <w:shd w:val="clear" w:color="auto" w:fill="auto"/>
            <w:noWrap/>
            <w:vAlign w:val="center"/>
          </w:tcPr>
          <w:p w14:paraId="31BC529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628E87B2" w14:textId="77777777">
        <w:trPr>
          <w:trHeight w:val="300"/>
          <w:jc w:val="center"/>
        </w:trPr>
        <w:tc>
          <w:tcPr>
            <w:tcW w:w="567" w:type="dxa"/>
            <w:vMerge/>
            <w:vAlign w:val="center"/>
          </w:tcPr>
          <w:p w14:paraId="5E000940" w14:textId="77777777" w:rsidR="00CC4C43" w:rsidRDefault="00CC4C43">
            <w:pPr>
              <w:widowControl/>
              <w:jc w:val="left"/>
              <w:rPr>
                <w:rFonts w:ascii="宋体" w:hAnsi="宋体" w:cs="宋体"/>
                <w:color w:val="000000"/>
                <w:kern w:val="0"/>
                <w:sz w:val="15"/>
                <w:szCs w:val="15"/>
              </w:rPr>
            </w:pPr>
          </w:p>
        </w:tc>
        <w:tc>
          <w:tcPr>
            <w:tcW w:w="1488" w:type="dxa"/>
            <w:shd w:val="clear" w:color="auto" w:fill="auto"/>
            <w:noWrap/>
            <w:vAlign w:val="center"/>
          </w:tcPr>
          <w:p w14:paraId="426FC599"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销售比例</w:t>
            </w:r>
          </w:p>
        </w:tc>
        <w:tc>
          <w:tcPr>
            <w:tcW w:w="1060" w:type="dxa"/>
            <w:shd w:val="clear" w:color="auto" w:fill="auto"/>
            <w:noWrap/>
            <w:vAlign w:val="center"/>
          </w:tcPr>
          <w:p w14:paraId="54FC674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w:t>
            </w:r>
          </w:p>
        </w:tc>
        <w:tc>
          <w:tcPr>
            <w:tcW w:w="854" w:type="dxa"/>
            <w:shd w:val="clear" w:color="auto" w:fill="auto"/>
            <w:noWrap/>
            <w:vAlign w:val="center"/>
          </w:tcPr>
          <w:p w14:paraId="72121F4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000000" w:fill="FFFFFF"/>
            <w:noWrap/>
            <w:vAlign w:val="center"/>
          </w:tcPr>
          <w:p w14:paraId="3C479C0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auto" w:fill="auto"/>
            <w:noWrap/>
            <w:vAlign w:val="center"/>
          </w:tcPr>
          <w:p w14:paraId="22395DE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1134" w:type="dxa"/>
            <w:shd w:val="clear" w:color="auto" w:fill="auto"/>
            <w:noWrap/>
            <w:vAlign w:val="center"/>
          </w:tcPr>
          <w:p w14:paraId="0DD565C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1134" w:type="dxa"/>
            <w:shd w:val="clear" w:color="auto" w:fill="auto"/>
            <w:noWrap/>
            <w:vAlign w:val="center"/>
          </w:tcPr>
          <w:p w14:paraId="4EAF4A5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1134" w:type="dxa"/>
            <w:shd w:val="clear" w:color="000000" w:fill="FFFFFF"/>
            <w:noWrap/>
            <w:vAlign w:val="center"/>
          </w:tcPr>
          <w:p w14:paraId="35C4599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993" w:type="dxa"/>
            <w:shd w:val="clear" w:color="auto" w:fill="auto"/>
            <w:noWrap/>
            <w:vAlign w:val="center"/>
          </w:tcPr>
          <w:p w14:paraId="48AD586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c>
          <w:tcPr>
            <w:tcW w:w="959" w:type="dxa"/>
            <w:shd w:val="clear" w:color="auto" w:fill="auto"/>
            <w:noWrap/>
            <w:vAlign w:val="center"/>
          </w:tcPr>
          <w:p w14:paraId="3D257F3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r>
      <w:tr w:rsidR="00CC4C43" w14:paraId="16C92A3E" w14:textId="77777777">
        <w:trPr>
          <w:trHeight w:val="300"/>
          <w:jc w:val="center"/>
        </w:trPr>
        <w:tc>
          <w:tcPr>
            <w:tcW w:w="567" w:type="dxa"/>
            <w:vMerge w:val="restart"/>
            <w:shd w:val="clear" w:color="auto" w:fill="auto"/>
            <w:noWrap/>
            <w:vAlign w:val="center"/>
          </w:tcPr>
          <w:p w14:paraId="10F8974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1.3</w:t>
            </w:r>
          </w:p>
        </w:tc>
        <w:tc>
          <w:tcPr>
            <w:tcW w:w="1488" w:type="dxa"/>
            <w:shd w:val="clear" w:color="auto" w:fill="auto"/>
            <w:noWrap/>
            <w:vAlign w:val="center"/>
          </w:tcPr>
          <w:p w14:paraId="2BD02994"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车位销售收入</w:t>
            </w:r>
          </w:p>
        </w:tc>
        <w:tc>
          <w:tcPr>
            <w:tcW w:w="1060" w:type="dxa"/>
            <w:shd w:val="clear" w:color="auto" w:fill="auto"/>
            <w:noWrap/>
            <w:vAlign w:val="center"/>
          </w:tcPr>
          <w:p w14:paraId="6BD7E1B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18,104</w:t>
            </w:r>
          </w:p>
        </w:tc>
        <w:tc>
          <w:tcPr>
            <w:tcW w:w="854" w:type="dxa"/>
            <w:shd w:val="clear" w:color="auto" w:fill="auto"/>
            <w:noWrap/>
            <w:vAlign w:val="center"/>
          </w:tcPr>
          <w:p w14:paraId="53FBFAB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auto" w:fill="auto"/>
            <w:noWrap/>
            <w:vAlign w:val="center"/>
          </w:tcPr>
          <w:p w14:paraId="04CEC78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auto" w:fill="auto"/>
            <w:noWrap/>
            <w:vAlign w:val="center"/>
          </w:tcPr>
          <w:p w14:paraId="0BC8651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1134" w:type="dxa"/>
            <w:shd w:val="clear" w:color="auto" w:fill="auto"/>
            <w:noWrap/>
            <w:vAlign w:val="center"/>
          </w:tcPr>
          <w:p w14:paraId="21DB43A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1134" w:type="dxa"/>
            <w:shd w:val="clear" w:color="auto" w:fill="auto"/>
            <w:noWrap/>
            <w:vAlign w:val="center"/>
          </w:tcPr>
          <w:p w14:paraId="73BE3F4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1134" w:type="dxa"/>
            <w:shd w:val="clear" w:color="auto" w:fill="auto"/>
            <w:noWrap/>
            <w:vAlign w:val="center"/>
          </w:tcPr>
          <w:p w14:paraId="648E145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993" w:type="dxa"/>
            <w:shd w:val="clear" w:color="auto" w:fill="auto"/>
            <w:noWrap/>
            <w:vAlign w:val="center"/>
          </w:tcPr>
          <w:p w14:paraId="39AFBC4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959" w:type="dxa"/>
            <w:shd w:val="clear" w:color="auto" w:fill="auto"/>
            <w:noWrap/>
            <w:vAlign w:val="center"/>
          </w:tcPr>
          <w:p w14:paraId="25D5D13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0C16042C" w14:textId="77777777">
        <w:trPr>
          <w:trHeight w:val="300"/>
          <w:jc w:val="center"/>
        </w:trPr>
        <w:tc>
          <w:tcPr>
            <w:tcW w:w="567" w:type="dxa"/>
            <w:vMerge/>
            <w:vAlign w:val="center"/>
          </w:tcPr>
          <w:p w14:paraId="3E664385" w14:textId="77777777" w:rsidR="00CC4C43" w:rsidRDefault="00CC4C43">
            <w:pPr>
              <w:widowControl/>
              <w:jc w:val="left"/>
              <w:rPr>
                <w:rFonts w:ascii="宋体" w:hAnsi="宋体" w:cs="宋体"/>
                <w:color w:val="000000"/>
                <w:kern w:val="0"/>
                <w:sz w:val="15"/>
                <w:szCs w:val="15"/>
              </w:rPr>
            </w:pPr>
          </w:p>
        </w:tc>
        <w:tc>
          <w:tcPr>
            <w:tcW w:w="1488" w:type="dxa"/>
            <w:shd w:val="clear" w:color="auto" w:fill="auto"/>
            <w:noWrap/>
            <w:vAlign w:val="center"/>
          </w:tcPr>
          <w:p w14:paraId="74392B97"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销售比例</w:t>
            </w:r>
          </w:p>
        </w:tc>
        <w:tc>
          <w:tcPr>
            <w:tcW w:w="1060" w:type="dxa"/>
            <w:shd w:val="clear" w:color="auto" w:fill="auto"/>
            <w:noWrap/>
            <w:vAlign w:val="center"/>
          </w:tcPr>
          <w:p w14:paraId="504A3DB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w:t>
            </w:r>
          </w:p>
        </w:tc>
        <w:tc>
          <w:tcPr>
            <w:tcW w:w="854" w:type="dxa"/>
            <w:shd w:val="clear" w:color="auto" w:fill="auto"/>
            <w:noWrap/>
            <w:vAlign w:val="center"/>
          </w:tcPr>
          <w:p w14:paraId="4B2F352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709" w:type="dxa"/>
            <w:shd w:val="clear" w:color="000000" w:fill="FFFFFF"/>
            <w:noWrap/>
            <w:vAlign w:val="center"/>
          </w:tcPr>
          <w:p w14:paraId="6D16190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78" w:type="dxa"/>
            <w:shd w:val="clear" w:color="auto" w:fill="auto"/>
            <w:noWrap/>
            <w:vAlign w:val="center"/>
          </w:tcPr>
          <w:p w14:paraId="03CB7D9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1134" w:type="dxa"/>
            <w:shd w:val="clear" w:color="auto" w:fill="auto"/>
            <w:noWrap/>
            <w:vAlign w:val="center"/>
          </w:tcPr>
          <w:p w14:paraId="309E8F9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1134" w:type="dxa"/>
            <w:shd w:val="clear" w:color="auto" w:fill="auto"/>
            <w:noWrap/>
            <w:vAlign w:val="center"/>
          </w:tcPr>
          <w:p w14:paraId="4DF70CA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1134" w:type="dxa"/>
            <w:shd w:val="clear" w:color="auto" w:fill="auto"/>
            <w:noWrap/>
            <w:vAlign w:val="center"/>
          </w:tcPr>
          <w:p w14:paraId="19AD9ED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993" w:type="dxa"/>
            <w:shd w:val="clear" w:color="auto" w:fill="auto"/>
            <w:noWrap/>
            <w:vAlign w:val="center"/>
          </w:tcPr>
          <w:p w14:paraId="34B26F3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959" w:type="dxa"/>
            <w:shd w:val="clear" w:color="auto" w:fill="auto"/>
            <w:noWrap/>
            <w:vAlign w:val="center"/>
          </w:tcPr>
          <w:p w14:paraId="3C61B97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r>
    </w:tbl>
    <w:p w14:paraId="43AAC6F4" w14:textId="77777777" w:rsidR="00CC4C43" w:rsidRDefault="00CC4C43">
      <w:pPr>
        <w:widowControl/>
        <w:jc w:val="left"/>
        <w:rPr>
          <w:rFonts w:ascii="Times New Roman" w:eastAsia="楷体_GB2312" w:hAnsi="Times New Roman"/>
          <w:sz w:val="24"/>
          <w:szCs w:val="24"/>
        </w:rPr>
      </w:pPr>
    </w:p>
    <w:p w14:paraId="099F569C" w14:textId="77777777" w:rsidR="00CC4C43" w:rsidRDefault="007731E0">
      <w:pPr>
        <w:widowControl/>
        <w:jc w:val="left"/>
        <w:rPr>
          <w:rFonts w:ascii="Times New Roman" w:eastAsia="楷体_GB2312" w:hAnsi="Times New Roman"/>
          <w:sz w:val="24"/>
          <w:szCs w:val="24"/>
        </w:rPr>
      </w:pPr>
      <w:r>
        <w:rPr>
          <w:rFonts w:ascii="Times New Roman" w:eastAsia="楷体_GB2312" w:hAnsi="Times New Roman"/>
          <w:sz w:val="24"/>
          <w:szCs w:val="24"/>
        </w:rPr>
        <w:br w:type="page"/>
      </w:r>
    </w:p>
    <w:p w14:paraId="40CA5B97" w14:textId="77777777" w:rsidR="00CC4C43" w:rsidRDefault="007731E0">
      <w:pPr>
        <w:spacing w:afterLines="20" w:after="62" w:line="288" w:lineRule="auto"/>
        <w:outlineLvl w:val="0"/>
        <w:rPr>
          <w:rFonts w:ascii="Times New Roman" w:eastAsia="楷体_GB2312" w:hAnsi="Times New Roman"/>
          <w:sz w:val="24"/>
          <w:szCs w:val="24"/>
        </w:rPr>
      </w:pPr>
      <w:r>
        <w:rPr>
          <w:rFonts w:ascii="Times New Roman" w:eastAsia="楷体_GB2312" w:hAnsi="Times New Roman" w:hint="eastAsia"/>
          <w:sz w:val="24"/>
          <w:szCs w:val="24"/>
        </w:rPr>
        <w:lastRenderedPageBreak/>
        <w:t>附件五：标的项目现金流量表</w:t>
      </w:r>
    </w:p>
    <w:p w14:paraId="2E287D2F" w14:textId="77777777" w:rsidR="00CC4C43" w:rsidRDefault="00CC4C43">
      <w:pPr>
        <w:spacing w:afterLines="20" w:after="62" w:line="288" w:lineRule="auto"/>
        <w:rPr>
          <w:rFonts w:ascii="Times New Roman" w:eastAsia="楷体_GB2312" w:hAnsi="Times New Roman"/>
          <w:sz w:val="24"/>
          <w:szCs w:val="24"/>
        </w:rPr>
      </w:pPr>
    </w:p>
    <w:tbl>
      <w:tblPr>
        <w:tblW w:w="11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757"/>
        <w:gridCol w:w="1060"/>
        <w:gridCol w:w="944"/>
        <w:gridCol w:w="992"/>
        <w:gridCol w:w="1134"/>
        <w:gridCol w:w="992"/>
        <w:gridCol w:w="851"/>
        <w:gridCol w:w="850"/>
        <w:gridCol w:w="851"/>
        <w:gridCol w:w="992"/>
      </w:tblGrid>
      <w:tr w:rsidR="00CC4C43" w14:paraId="3499C0D6" w14:textId="77777777">
        <w:trPr>
          <w:trHeight w:val="435"/>
          <w:jc w:val="center"/>
        </w:trPr>
        <w:tc>
          <w:tcPr>
            <w:tcW w:w="638" w:type="dxa"/>
            <w:vMerge w:val="restart"/>
            <w:shd w:val="clear" w:color="000000" w:fill="8DB4E2"/>
            <w:noWrap/>
            <w:vAlign w:val="center"/>
          </w:tcPr>
          <w:p w14:paraId="625738EE"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序号</w:t>
            </w:r>
          </w:p>
        </w:tc>
        <w:tc>
          <w:tcPr>
            <w:tcW w:w="1757" w:type="dxa"/>
            <w:vMerge w:val="restart"/>
            <w:shd w:val="clear" w:color="000000" w:fill="8DB4E2"/>
            <w:noWrap/>
            <w:vAlign w:val="center"/>
          </w:tcPr>
          <w:p w14:paraId="472FFFE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项目</w:t>
            </w:r>
          </w:p>
        </w:tc>
        <w:tc>
          <w:tcPr>
            <w:tcW w:w="1060" w:type="dxa"/>
            <w:vMerge w:val="restart"/>
            <w:shd w:val="clear" w:color="000000" w:fill="8DB4E2"/>
            <w:noWrap/>
            <w:vAlign w:val="center"/>
          </w:tcPr>
          <w:p w14:paraId="1778AA3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总计</w:t>
            </w:r>
          </w:p>
        </w:tc>
        <w:tc>
          <w:tcPr>
            <w:tcW w:w="4062" w:type="dxa"/>
            <w:gridSpan w:val="4"/>
            <w:shd w:val="clear" w:color="000000" w:fill="8DB4E2"/>
            <w:noWrap/>
            <w:vAlign w:val="center"/>
          </w:tcPr>
          <w:p w14:paraId="0B26D86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2021</w:t>
            </w:r>
          </w:p>
        </w:tc>
        <w:tc>
          <w:tcPr>
            <w:tcW w:w="3544" w:type="dxa"/>
            <w:gridSpan w:val="4"/>
            <w:shd w:val="clear" w:color="000000" w:fill="8DB4E2"/>
            <w:noWrap/>
            <w:vAlign w:val="center"/>
          </w:tcPr>
          <w:p w14:paraId="6C48816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w:t>
            </w:r>
          </w:p>
        </w:tc>
      </w:tr>
      <w:tr w:rsidR="00CC4C43" w14:paraId="1A57E1F8" w14:textId="77777777">
        <w:trPr>
          <w:trHeight w:val="300"/>
          <w:jc w:val="center"/>
        </w:trPr>
        <w:tc>
          <w:tcPr>
            <w:tcW w:w="638" w:type="dxa"/>
            <w:vMerge/>
            <w:vAlign w:val="center"/>
          </w:tcPr>
          <w:p w14:paraId="09879901" w14:textId="77777777" w:rsidR="00CC4C43" w:rsidRDefault="00CC4C43">
            <w:pPr>
              <w:widowControl/>
              <w:jc w:val="left"/>
              <w:rPr>
                <w:rFonts w:ascii="宋体" w:hAnsi="宋体" w:cs="宋体"/>
                <w:b/>
                <w:bCs/>
                <w:color w:val="000000"/>
                <w:kern w:val="0"/>
                <w:sz w:val="15"/>
                <w:szCs w:val="15"/>
              </w:rPr>
            </w:pPr>
          </w:p>
        </w:tc>
        <w:tc>
          <w:tcPr>
            <w:tcW w:w="1757" w:type="dxa"/>
            <w:vMerge/>
            <w:vAlign w:val="center"/>
          </w:tcPr>
          <w:p w14:paraId="320564E0" w14:textId="77777777" w:rsidR="00CC4C43" w:rsidRDefault="00CC4C43">
            <w:pPr>
              <w:widowControl/>
              <w:jc w:val="left"/>
              <w:rPr>
                <w:rFonts w:ascii="宋体" w:hAnsi="宋体" w:cs="宋体"/>
                <w:color w:val="000000"/>
                <w:kern w:val="0"/>
                <w:sz w:val="15"/>
                <w:szCs w:val="15"/>
              </w:rPr>
            </w:pPr>
          </w:p>
        </w:tc>
        <w:tc>
          <w:tcPr>
            <w:tcW w:w="1060" w:type="dxa"/>
            <w:vMerge/>
            <w:vAlign w:val="center"/>
          </w:tcPr>
          <w:p w14:paraId="13FBB0FB" w14:textId="77777777" w:rsidR="00CC4C43" w:rsidRDefault="00CC4C43">
            <w:pPr>
              <w:widowControl/>
              <w:jc w:val="left"/>
              <w:rPr>
                <w:rFonts w:ascii="宋体" w:hAnsi="宋体" w:cs="宋体"/>
                <w:color w:val="000000"/>
                <w:kern w:val="0"/>
                <w:sz w:val="15"/>
                <w:szCs w:val="15"/>
              </w:rPr>
            </w:pPr>
          </w:p>
        </w:tc>
        <w:tc>
          <w:tcPr>
            <w:tcW w:w="944" w:type="dxa"/>
            <w:shd w:val="clear" w:color="000000" w:fill="8DB4E2"/>
            <w:noWrap/>
            <w:vAlign w:val="center"/>
          </w:tcPr>
          <w:p w14:paraId="39C14B3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Q1</w:t>
            </w:r>
          </w:p>
        </w:tc>
        <w:tc>
          <w:tcPr>
            <w:tcW w:w="992" w:type="dxa"/>
            <w:shd w:val="clear" w:color="000000" w:fill="8DB4E2"/>
            <w:noWrap/>
            <w:vAlign w:val="center"/>
          </w:tcPr>
          <w:p w14:paraId="476FB2D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Q2</w:t>
            </w:r>
          </w:p>
        </w:tc>
        <w:tc>
          <w:tcPr>
            <w:tcW w:w="1134" w:type="dxa"/>
            <w:shd w:val="clear" w:color="000000" w:fill="8DB4E2"/>
            <w:noWrap/>
            <w:vAlign w:val="center"/>
          </w:tcPr>
          <w:p w14:paraId="232C692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Q3</w:t>
            </w:r>
          </w:p>
        </w:tc>
        <w:tc>
          <w:tcPr>
            <w:tcW w:w="992" w:type="dxa"/>
            <w:shd w:val="clear" w:color="000000" w:fill="8DB4E2"/>
            <w:noWrap/>
            <w:vAlign w:val="center"/>
          </w:tcPr>
          <w:p w14:paraId="79CAB37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Q4</w:t>
            </w:r>
          </w:p>
        </w:tc>
        <w:tc>
          <w:tcPr>
            <w:tcW w:w="851" w:type="dxa"/>
            <w:shd w:val="clear" w:color="000000" w:fill="8DB4E2"/>
            <w:noWrap/>
            <w:vAlign w:val="center"/>
          </w:tcPr>
          <w:p w14:paraId="7054B6B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Q1</w:t>
            </w:r>
          </w:p>
        </w:tc>
        <w:tc>
          <w:tcPr>
            <w:tcW w:w="850" w:type="dxa"/>
            <w:shd w:val="clear" w:color="000000" w:fill="8DB4E2"/>
            <w:noWrap/>
            <w:vAlign w:val="center"/>
          </w:tcPr>
          <w:p w14:paraId="7CF1C74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Q2</w:t>
            </w:r>
          </w:p>
        </w:tc>
        <w:tc>
          <w:tcPr>
            <w:tcW w:w="851" w:type="dxa"/>
            <w:shd w:val="clear" w:color="000000" w:fill="8DB4E2"/>
            <w:noWrap/>
            <w:vAlign w:val="center"/>
          </w:tcPr>
          <w:p w14:paraId="62767E9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Q3</w:t>
            </w:r>
          </w:p>
        </w:tc>
        <w:tc>
          <w:tcPr>
            <w:tcW w:w="992" w:type="dxa"/>
            <w:shd w:val="clear" w:color="000000" w:fill="8DB4E2"/>
            <w:noWrap/>
            <w:vAlign w:val="center"/>
          </w:tcPr>
          <w:p w14:paraId="76E3C05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Q4及以后</w:t>
            </w:r>
          </w:p>
        </w:tc>
      </w:tr>
      <w:tr w:rsidR="00CC4C43" w14:paraId="30D1BBB9" w14:textId="77777777">
        <w:trPr>
          <w:trHeight w:val="300"/>
          <w:jc w:val="center"/>
        </w:trPr>
        <w:tc>
          <w:tcPr>
            <w:tcW w:w="638" w:type="dxa"/>
            <w:shd w:val="clear" w:color="000000" w:fill="D9D9D9"/>
            <w:noWrap/>
            <w:vAlign w:val="center"/>
          </w:tcPr>
          <w:p w14:paraId="38849879"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w:t>
            </w:r>
          </w:p>
        </w:tc>
        <w:tc>
          <w:tcPr>
            <w:tcW w:w="1757" w:type="dxa"/>
            <w:shd w:val="clear" w:color="000000" w:fill="D9D9D9"/>
            <w:noWrap/>
            <w:vAlign w:val="center"/>
          </w:tcPr>
          <w:p w14:paraId="51DA2855" w14:textId="77777777" w:rsidR="00CC4C43" w:rsidRDefault="007731E0">
            <w:pPr>
              <w:widowControl/>
              <w:rPr>
                <w:rFonts w:ascii="宋体" w:hAnsi="宋体" w:cs="宋体"/>
                <w:b/>
                <w:bCs/>
                <w:color w:val="000000"/>
                <w:kern w:val="0"/>
                <w:sz w:val="15"/>
                <w:szCs w:val="15"/>
              </w:rPr>
            </w:pPr>
            <w:r>
              <w:rPr>
                <w:rFonts w:ascii="宋体" w:hAnsi="宋体" w:cs="宋体" w:hint="eastAsia"/>
                <w:b/>
                <w:bCs/>
                <w:color w:val="000000"/>
                <w:kern w:val="0"/>
                <w:sz w:val="15"/>
                <w:szCs w:val="15"/>
              </w:rPr>
              <w:t>现金流入</w:t>
            </w:r>
          </w:p>
        </w:tc>
        <w:tc>
          <w:tcPr>
            <w:tcW w:w="1060" w:type="dxa"/>
            <w:shd w:val="clear" w:color="000000" w:fill="D9D9D9"/>
            <w:noWrap/>
            <w:vAlign w:val="center"/>
          </w:tcPr>
          <w:p w14:paraId="394A1E92"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494,855</w:t>
            </w:r>
          </w:p>
        </w:tc>
        <w:tc>
          <w:tcPr>
            <w:tcW w:w="944" w:type="dxa"/>
            <w:shd w:val="clear" w:color="000000" w:fill="D9D9D9"/>
            <w:noWrap/>
            <w:vAlign w:val="center"/>
          </w:tcPr>
          <w:p w14:paraId="6B838AC6"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79,000</w:t>
            </w:r>
          </w:p>
        </w:tc>
        <w:tc>
          <w:tcPr>
            <w:tcW w:w="992" w:type="dxa"/>
            <w:shd w:val="clear" w:color="000000" w:fill="D9D9D9"/>
            <w:noWrap/>
            <w:vAlign w:val="center"/>
          </w:tcPr>
          <w:p w14:paraId="306FAF90"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131,266</w:t>
            </w:r>
          </w:p>
        </w:tc>
        <w:tc>
          <w:tcPr>
            <w:tcW w:w="1134" w:type="dxa"/>
            <w:shd w:val="clear" w:color="000000" w:fill="D9D9D9"/>
            <w:noWrap/>
            <w:vAlign w:val="center"/>
          </w:tcPr>
          <w:p w14:paraId="47AEF4D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60,816</w:t>
            </w:r>
          </w:p>
        </w:tc>
        <w:tc>
          <w:tcPr>
            <w:tcW w:w="992" w:type="dxa"/>
            <w:shd w:val="clear" w:color="000000" w:fill="D9D9D9"/>
            <w:noWrap/>
            <w:vAlign w:val="center"/>
          </w:tcPr>
          <w:p w14:paraId="1DF49C0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114,211</w:t>
            </w:r>
          </w:p>
        </w:tc>
        <w:tc>
          <w:tcPr>
            <w:tcW w:w="851" w:type="dxa"/>
            <w:shd w:val="clear" w:color="000000" w:fill="D9D9D9"/>
            <w:noWrap/>
            <w:vAlign w:val="center"/>
          </w:tcPr>
          <w:p w14:paraId="4C13696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59,577</w:t>
            </w:r>
          </w:p>
        </w:tc>
        <w:tc>
          <w:tcPr>
            <w:tcW w:w="850" w:type="dxa"/>
            <w:shd w:val="clear" w:color="000000" w:fill="D9D9D9"/>
            <w:noWrap/>
            <w:vAlign w:val="center"/>
          </w:tcPr>
          <w:p w14:paraId="1FC0581C"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29,762</w:t>
            </w:r>
          </w:p>
        </w:tc>
        <w:tc>
          <w:tcPr>
            <w:tcW w:w="851" w:type="dxa"/>
            <w:shd w:val="clear" w:color="000000" w:fill="D9D9D9"/>
            <w:noWrap/>
            <w:vAlign w:val="center"/>
          </w:tcPr>
          <w:p w14:paraId="3100F806"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11,031</w:t>
            </w:r>
          </w:p>
        </w:tc>
        <w:tc>
          <w:tcPr>
            <w:tcW w:w="992" w:type="dxa"/>
            <w:shd w:val="clear" w:color="000000" w:fill="D9D9D9"/>
            <w:noWrap/>
            <w:vAlign w:val="center"/>
          </w:tcPr>
          <w:p w14:paraId="0D37CD75"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9,192</w:t>
            </w:r>
          </w:p>
        </w:tc>
      </w:tr>
      <w:tr w:rsidR="00CC4C43" w14:paraId="32E6BA74" w14:textId="77777777">
        <w:trPr>
          <w:trHeight w:val="300"/>
          <w:jc w:val="center"/>
        </w:trPr>
        <w:tc>
          <w:tcPr>
            <w:tcW w:w="638" w:type="dxa"/>
            <w:shd w:val="clear" w:color="auto" w:fill="auto"/>
            <w:noWrap/>
            <w:vAlign w:val="center"/>
          </w:tcPr>
          <w:p w14:paraId="791B8737"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1.1</w:t>
            </w:r>
          </w:p>
        </w:tc>
        <w:tc>
          <w:tcPr>
            <w:tcW w:w="1757" w:type="dxa"/>
            <w:shd w:val="clear" w:color="auto" w:fill="auto"/>
            <w:noWrap/>
            <w:vAlign w:val="center"/>
          </w:tcPr>
          <w:p w14:paraId="301F2F1C" w14:textId="77777777" w:rsidR="00CC4C43" w:rsidRDefault="007731E0">
            <w:pPr>
              <w:widowControl/>
              <w:rPr>
                <w:rFonts w:ascii="宋体" w:hAnsi="宋体" w:cs="宋体"/>
                <w:b/>
                <w:bCs/>
                <w:color w:val="000000"/>
                <w:kern w:val="0"/>
                <w:sz w:val="15"/>
                <w:szCs w:val="15"/>
              </w:rPr>
            </w:pPr>
            <w:r>
              <w:rPr>
                <w:rFonts w:ascii="宋体" w:hAnsi="宋体" w:cs="宋体" w:hint="eastAsia"/>
                <w:b/>
                <w:bCs/>
                <w:color w:val="000000"/>
                <w:kern w:val="0"/>
                <w:sz w:val="15"/>
                <w:szCs w:val="15"/>
              </w:rPr>
              <w:t>销售收入</w:t>
            </w:r>
          </w:p>
        </w:tc>
        <w:tc>
          <w:tcPr>
            <w:tcW w:w="1060" w:type="dxa"/>
            <w:shd w:val="clear" w:color="auto" w:fill="auto"/>
            <w:noWrap/>
            <w:vAlign w:val="center"/>
          </w:tcPr>
          <w:p w14:paraId="375F0ED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235,322</w:t>
            </w:r>
          </w:p>
        </w:tc>
        <w:tc>
          <w:tcPr>
            <w:tcW w:w="944" w:type="dxa"/>
            <w:shd w:val="clear" w:color="auto" w:fill="auto"/>
            <w:noWrap/>
            <w:vAlign w:val="center"/>
          </w:tcPr>
          <w:p w14:paraId="54C8A3B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303CC4D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265882D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60,816</w:t>
            </w:r>
          </w:p>
        </w:tc>
        <w:tc>
          <w:tcPr>
            <w:tcW w:w="992" w:type="dxa"/>
            <w:shd w:val="clear" w:color="auto" w:fill="auto"/>
            <w:noWrap/>
            <w:vAlign w:val="center"/>
          </w:tcPr>
          <w:p w14:paraId="2CA11D7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64,945</w:t>
            </w:r>
          </w:p>
        </w:tc>
        <w:tc>
          <w:tcPr>
            <w:tcW w:w="851" w:type="dxa"/>
            <w:shd w:val="clear" w:color="auto" w:fill="auto"/>
            <w:noWrap/>
            <w:vAlign w:val="center"/>
          </w:tcPr>
          <w:p w14:paraId="3BF36AF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59,577</w:t>
            </w:r>
          </w:p>
        </w:tc>
        <w:tc>
          <w:tcPr>
            <w:tcW w:w="850" w:type="dxa"/>
            <w:shd w:val="clear" w:color="auto" w:fill="auto"/>
            <w:noWrap/>
            <w:vAlign w:val="center"/>
          </w:tcPr>
          <w:p w14:paraId="045C5E2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29,762</w:t>
            </w:r>
          </w:p>
        </w:tc>
        <w:tc>
          <w:tcPr>
            <w:tcW w:w="851" w:type="dxa"/>
            <w:shd w:val="clear" w:color="auto" w:fill="auto"/>
            <w:noWrap/>
            <w:vAlign w:val="center"/>
          </w:tcPr>
          <w:p w14:paraId="6695BE4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11,031</w:t>
            </w:r>
          </w:p>
        </w:tc>
        <w:tc>
          <w:tcPr>
            <w:tcW w:w="992" w:type="dxa"/>
            <w:shd w:val="clear" w:color="auto" w:fill="auto"/>
            <w:noWrap/>
            <w:vAlign w:val="center"/>
          </w:tcPr>
          <w:p w14:paraId="19B0E8F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9,192</w:t>
            </w:r>
          </w:p>
        </w:tc>
      </w:tr>
      <w:tr w:rsidR="00CC4C43" w14:paraId="2E12CDEE" w14:textId="77777777">
        <w:trPr>
          <w:trHeight w:val="300"/>
          <w:jc w:val="center"/>
        </w:trPr>
        <w:tc>
          <w:tcPr>
            <w:tcW w:w="638" w:type="dxa"/>
            <w:vMerge w:val="restart"/>
            <w:shd w:val="clear" w:color="auto" w:fill="auto"/>
            <w:noWrap/>
            <w:vAlign w:val="center"/>
          </w:tcPr>
          <w:p w14:paraId="588BC2B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1.1.1</w:t>
            </w:r>
          </w:p>
        </w:tc>
        <w:tc>
          <w:tcPr>
            <w:tcW w:w="1757" w:type="dxa"/>
            <w:shd w:val="clear" w:color="auto" w:fill="auto"/>
            <w:noWrap/>
            <w:vAlign w:val="center"/>
          </w:tcPr>
          <w:p w14:paraId="04BABB42"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洋房7F销售合同收入</w:t>
            </w:r>
          </w:p>
        </w:tc>
        <w:tc>
          <w:tcPr>
            <w:tcW w:w="1060" w:type="dxa"/>
            <w:shd w:val="clear" w:color="auto" w:fill="auto"/>
            <w:noWrap/>
            <w:vAlign w:val="center"/>
          </w:tcPr>
          <w:p w14:paraId="0AAE8A5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183,842</w:t>
            </w:r>
          </w:p>
        </w:tc>
        <w:tc>
          <w:tcPr>
            <w:tcW w:w="944" w:type="dxa"/>
            <w:shd w:val="clear" w:color="auto" w:fill="auto"/>
            <w:noWrap/>
            <w:vAlign w:val="center"/>
          </w:tcPr>
          <w:p w14:paraId="64FE5B1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0CF9444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51BCC66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55,153</w:t>
            </w:r>
          </w:p>
        </w:tc>
        <w:tc>
          <w:tcPr>
            <w:tcW w:w="992" w:type="dxa"/>
            <w:shd w:val="clear" w:color="auto" w:fill="auto"/>
            <w:noWrap/>
            <w:vAlign w:val="center"/>
          </w:tcPr>
          <w:p w14:paraId="52147E9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45,961</w:t>
            </w:r>
          </w:p>
        </w:tc>
        <w:tc>
          <w:tcPr>
            <w:tcW w:w="851" w:type="dxa"/>
            <w:shd w:val="clear" w:color="auto" w:fill="auto"/>
            <w:noWrap/>
            <w:vAlign w:val="center"/>
          </w:tcPr>
          <w:p w14:paraId="7749358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45,961</w:t>
            </w:r>
          </w:p>
        </w:tc>
        <w:tc>
          <w:tcPr>
            <w:tcW w:w="850" w:type="dxa"/>
            <w:shd w:val="clear" w:color="auto" w:fill="auto"/>
            <w:noWrap/>
            <w:vAlign w:val="center"/>
          </w:tcPr>
          <w:p w14:paraId="4E97719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36,768</w:t>
            </w:r>
          </w:p>
        </w:tc>
        <w:tc>
          <w:tcPr>
            <w:tcW w:w="851" w:type="dxa"/>
            <w:shd w:val="clear" w:color="auto" w:fill="auto"/>
            <w:noWrap/>
            <w:vAlign w:val="center"/>
          </w:tcPr>
          <w:p w14:paraId="22EE210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2474C0B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45CCAD21" w14:textId="77777777">
        <w:trPr>
          <w:trHeight w:val="300"/>
          <w:jc w:val="center"/>
        </w:trPr>
        <w:tc>
          <w:tcPr>
            <w:tcW w:w="638" w:type="dxa"/>
            <w:vMerge/>
            <w:vAlign w:val="center"/>
          </w:tcPr>
          <w:p w14:paraId="2272F0F0" w14:textId="77777777" w:rsidR="00CC4C43" w:rsidRDefault="00CC4C43">
            <w:pPr>
              <w:widowControl/>
              <w:jc w:val="left"/>
              <w:rPr>
                <w:rFonts w:ascii="宋体" w:hAnsi="宋体" w:cs="宋体"/>
                <w:color w:val="000000"/>
                <w:kern w:val="0"/>
                <w:sz w:val="15"/>
                <w:szCs w:val="15"/>
              </w:rPr>
            </w:pPr>
          </w:p>
        </w:tc>
        <w:tc>
          <w:tcPr>
            <w:tcW w:w="1757" w:type="dxa"/>
            <w:shd w:val="clear" w:color="auto" w:fill="auto"/>
            <w:noWrap/>
            <w:vAlign w:val="center"/>
          </w:tcPr>
          <w:p w14:paraId="2E91F9FC"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销售比例</w:t>
            </w:r>
          </w:p>
        </w:tc>
        <w:tc>
          <w:tcPr>
            <w:tcW w:w="1060" w:type="dxa"/>
            <w:shd w:val="clear" w:color="auto" w:fill="auto"/>
            <w:noWrap/>
            <w:vAlign w:val="center"/>
          </w:tcPr>
          <w:p w14:paraId="3130075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w:t>
            </w:r>
          </w:p>
        </w:tc>
        <w:tc>
          <w:tcPr>
            <w:tcW w:w="944" w:type="dxa"/>
            <w:shd w:val="clear" w:color="auto" w:fill="auto"/>
            <w:noWrap/>
            <w:vAlign w:val="center"/>
          </w:tcPr>
          <w:p w14:paraId="1A97A4A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000000" w:fill="FFFFFF"/>
            <w:noWrap/>
            <w:vAlign w:val="center"/>
          </w:tcPr>
          <w:p w14:paraId="469445A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000000" w:fill="FFFFFF"/>
            <w:noWrap/>
            <w:vAlign w:val="center"/>
          </w:tcPr>
          <w:p w14:paraId="4141E1B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30.00%</w:t>
            </w:r>
          </w:p>
        </w:tc>
        <w:tc>
          <w:tcPr>
            <w:tcW w:w="992" w:type="dxa"/>
            <w:shd w:val="clear" w:color="000000" w:fill="FFFFFF"/>
            <w:noWrap/>
            <w:vAlign w:val="center"/>
          </w:tcPr>
          <w:p w14:paraId="177D7B4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25.00%</w:t>
            </w:r>
          </w:p>
        </w:tc>
        <w:tc>
          <w:tcPr>
            <w:tcW w:w="851" w:type="dxa"/>
            <w:shd w:val="clear" w:color="000000" w:fill="FFFFFF"/>
            <w:noWrap/>
            <w:vAlign w:val="center"/>
          </w:tcPr>
          <w:p w14:paraId="43EF436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25.00%</w:t>
            </w:r>
          </w:p>
        </w:tc>
        <w:tc>
          <w:tcPr>
            <w:tcW w:w="850" w:type="dxa"/>
            <w:shd w:val="clear" w:color="000000" w:fill="FFFFFF"/>
            <w:noWrap/>
            <w:vAlign w:val="center"/>
          </w:tcPr>
          <w:p w14:paraId="4CF9ED3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851" w:type="dxa"/>
            <w:shd w:val="clear" w:color="000000" w:fill="FFFFFF"/>
            <w:noWrap/>
            <w:vAlign w:val="center"/>
          </w:tcPr>
          <w:p w14:paraId="2B0DF0D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c>
          <w:tcPr>
            <w:tcW w:w="992" w:type="dxa"/>
            <w:shd w:val="clear" w:color="auto" w:fill="auto"/>
            <w:noWrap/>
            <w:vAlign w:val="center"/>
          </w:tcPr>
          <w:p w14:paraId="50DCE86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r>
      <w:tr w:rsidR="00CC4C43" w14:paraId="045A5342" w14:textId="77777777">
        <w:trPr>
          <w:trHeight w:val="300"/>
          <w:jc w:val="center"/>
        </w:trPr>
        <w:tc>
          <w:tcPr>
            <w:tcW w:w="638" w:type="dxa"/>
            <w:vMerge/>
            <w:vAlign w:val="center"/>
          </w:tcPr>
          <w:p w14:paraId="581AB28A" w14:textId="77777777" w:rsidR="00CC4C43" w:rsidRDefault="00CC4C43">
            <w:pPr>
              <w:widowControl/>
              <w:jc w:val="left"/>
              <w:rPr>
                <w:rFonts w:ascii="宋体" w:hAnsi="宋体" w:cs="宋体"/>
                <w:color w:val="000000"/>
                <w:kern w:val="0"/>
                <w:sz w:val="15"/>
                <w:szCs w:val="15"/>
              </w:rPr>
            </w:pPr>
          </w:p>
        </w:tc>
        <w:tc>
          <w:tcPr>
            <w:tcW w:w="1757" w:type="dxa"/>
            <w:shd w:val="clear" w:color="auto" w:fill="auto"/>
            <w:noWrap/>
            <w:vAlign w:val="center"/>
          </w:tcPr>
          <w:p w14:paraId="13403306"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销售回款</w:t>
            </w:r>
          </w:p>
        </w:tc>
        <w:tc>
          <w:tcPr>
            <w:tcW w:w="1060" w:type="dxa"/>
            <w:shd w:val="clear" w:color="auto" w:fill="auto"/>
            <w:noWrap/>
            <w:vAlign w:val="center"/>
          </w:tcPr>
          <w:p w14:paraId="20F22D5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183,842</w:t>
            </w:r>
          </w:p>
        </w:tc>
        <w:tc>
          <w:tcPr>
            <w:tcW w:w="944" w:type="dxa"/>
            <w:shd w:val="clear" w:color="auto" w:fill="auto"/>
            <w:noWrap/>
            <w:vAlign w:val="center"/>
          </w:tcPr>
          <w:p w14:paraId="05C168D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shd w:val="clear" w:color="auto" w:fill="auto"/>
            <w:noWrap/>
            <w:vAlign w:val="center"/>
          </w:tcPr>
          <w:p w14:paraId="67E0204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shd w:val="clear" w:color="auto" w:fill="auto"/>
            <w:noWrap/>
            <w:vAlign w:val="center"/>
          </w:tcPr>
          <w:p w14:paraId="1C44112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36,768</w:t>
            </w:r>
          </w:p>
        </w:tc>
        <w:tc>
          <w:tcPr>
            <w:tcW w:w="992" w:type="dxa"/>
            <w:shd w:val="clear" w:color="auto" w:fill="auto"/>
            <w:noWrap/>
            <w:vAlign w:val="center"/>
          </w:tcPr>
          <w:p w14:paraId="7A52BD3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55,153</w:t>
            </w:r>
          </w:p>
        </w:tc>
        <w:tc>
          <w:tcPr>
            <w:tcW w:w="851" w:type="dxa"/>
            <w:shd w:val="clear" w:color="auto" w:fill="auto"/>
            <w:noWrap/>
            <w:vAlign w:val="center"/>
          </w:tcPr>
          <w:p w14:paraId="5331BBB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55,153</w:t>
            </w:r>
          </w:p>
        </w:tc>
        <w:tc>
          <w:tcPr>
            <w:tcW w:w="850" w:type="dxa"/>
            <w:shd w:val="clear" w:color="auto" w:fill="auto"/>
            <w:noWrap/>
            <w:vAlign w:val="center"/>
          </w:tcPr>
          <w:p w14:paraId="35FB92D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16,546</w:t>
            </w:r>
          </w:p>
        </w:tc>
        <w:tc>
          <w:tcPr>
            <w:tcW w:w="851" w:type="dxa"/>
            <w:shd w:val="clear" w:color="auto" w:fill="auto"/>
            <w:noWrap/>
            <w:vAlign w:val="center"/>
          </w:tcPr>
          <w:p w14:paraId="0F3CBB1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11,031</w:t>
            </w:r>
          </w:p>
        </w:tc>
        <w:tc>
          <w:tcPr>
            <w:tcW w:w="992" w:type="dxa"/>
            <w:shd w:val="clear" w:color="auto" w:fill="auto"/>
            <w:noWrap/>
            <w:vAlign w:val="center"/>
          </w:tcPr>
          <w:p w14:paraId="27E12BC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9,192</w:t>
            </w:r>
          </w:p>
        </w:tc>
      </w:tr>
      <w:tr w:rsidR="00CC4C43" w14:paraId="5DBA2589" w14:textId="77777777">
        <w:trPr>
          <w:trHeight w:val="300"/>
          <w:jc w:val="center"/>
        </w:trPr>
        <w:tc>
          <w:tcPr>
            <w:tcW w:w="638" w:type="dxa"/>
            <w:vMerge w:val="restart"/>
            <w:shd w:val="clear" w:color="auto" w:fill="auto"/>
            <w:noWrap/>
            <w:vAlign w:val="center"/>
          </w:tcPr>
          <w:p w14:paraId="1838C12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1.1.2</w:t>
            </w:r>
          </w:p>
        </w:tc>
        <w:tc>
          <w:tcPr>
            <w:tcW w:w="1757" w:type="dxa"/>
            <w:shd w:val="clear" w:color="auto" w:fill="auto"/>
            <w:noWrap/>
            <w:vAlign w:val="center"/>
          </w:tcPr>
          <w:p w14:paraId="5456B528"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洋房11F销售合同收入</w:t>
            </w:r>
          </w:p>
        </w:tc>
        <w:tc>
          <w:tcPr>
            <w:tcW w:w="1060" w:type="dxa"/>
            <w:shd w:val="clear" w:color="auto" w:fill="auto"/>
            <w:noWrap/>
            <w:vAlign w:val="center"/>
          </w:tcPr>
          <w:p w14:paraId="1D709E0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33,376</w:t>
            </w:r>
          </w:p>
        </w:tc>
        <w:tc>
          <w:tcPr>
            <w:tcW w:w="944" w:type="dxa"/>
            <w:shd w:val="clear" w:color="auto" w:fill="auto"/>
            <w:noWrap/>
            <w:vAlign w:val="center"/>
          </w:tcPr>
          <w:p w14:paraId="046ADB2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1266C0B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0AFADF0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992" w:type="dxa"/>
            <w:shd w:val="clear" w:color="auto" w:fill="auto"/>
            <w:noWrap/>
            <w:vAlign w:val="center"/>
          </w:tcPr>
          <w:p w14:paraId="554AE72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851" w:type="dxa"/>
            <w:shd w:val="clear" w:color="auto" w:fill="auto"/>
            <w:noWrap/>
            <w:vAlign w:val="center"/>
          </w:tcPr>
          <w:p w14:paraId="3591EA2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850" w:type="dxa"/>
            <w:shd w:val="clear" w:color="auto" w:fill="auto"/>
            <w:noWrap/>
            <w:vAlign w:val="center"/>
          </w:tcPr>
          <w:p w14:paraId="39D0BC1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851" w:type="dxa"/>
            <w:shd w:val="clear" w:color="auto" w:fill="auto"/>
            <w:noWrap/>
            <w:vAlign w:val="center"/>
          </w:tcPr>
          <w:p w14:paraId="17CCF46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2CCA08A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2C7AFFB7" w14:textId="77777777">
        <w:trPr>
          <w:trHeight w:val="300"/>
          <w:jc w:val="center"/>
        </w:trPr>
        <w:tc>
          <w:tcPr>
            <w:tcW w:w="638" w:type="dxa"/>
            <w:vMerge/>
            <w:vAlign w:val="center"/>
          </w:tcPr>
          <w:p w14:paraId="493EEE2F" w14:textId="77777777" w:rsidR="00CC4C43" w:rsidRDefault="00CC4C43">
            <w:pPr>
              <w:widowControl/>
              <w:jc w:val="left"/>
              <w:rPr>
                <w:rFonts w:ascii="宋体" w:hAnsi="宋体" w:cs="宋体"/>
                <w:color w:val="000000"/>
                <w:kern w:val="0"/>
                <w:sz w:val="15"/>
                <w:szCs w:val="15"/>
              </w:rPr>
            </w:pPr>
          </w:p>
        </w:tc>
        <w:tc>
          <w:tcPr>
            <w:tcW w:w="1757" w:type="dxa"/>
            <w:shd w:val="clear" w:color="auto" w:fill="auto"/>
            <w:noWrap/>
            <w:vAlign w:val="center"/>
          </w:tcPr>
          <w:p w14:paraId="0E444CC1"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销售比例</w:t>
            </w:r>
          </w:p>
        </w:tc>
        <w:tc>
          <w:tcPr>
            <w:tcW w:w="1060" w:type="dxa"/>
            <w:shd w:val="clear" w:color="auto" w:fill="auto"/>
            <w:noWrap/>
            <w:vAlign w:val="center"/>
          </w:tcPr>
          <w:p w14:paraId="6D414D1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w:t>
            </w:r>
          </w:p>
        </w:tc>
        <w:tc>
          <w:tcPr>
            <w:tcW w:w="944" w:type="dxa"/>
            <w:shd w:val="clear" w:color="auto" w:fill="auto"/>
            <w:noWrap/>
            <w:vAlign w:val="center"/>
          </w:tcPr>
          <w:p w14:paraId="7D38834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000000" w:fill="FFFFFF"/>
            <w:noWrap/>
            <w:vAlign w:val="center"/>
          </w:tcPr>
          <w:p w14:paraId="7C109BD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2437AD1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992" w:type="dxa"/>
            <w:shd w:val="clear" w:color="auto" w:fill="auto"/>
            <w:noWrap/>
            <w:vAlign w:val="center"/>
          </w:tcPr>
          <w:p w14:paraId="06F7724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851" w:type="dxa"/>
            <w:shd w:val="clear" w:color="auto" w:fill="auto"/>
            <w:noWrap/>
            <w:vAlign w:val="center"/>
          </w:tcPr>
          <w:p w14:paraId="5DE775A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850" w:type="dxa"/>
            <w:shd w:val="clear" w:color="000000" w:fill="FFFFFF"/>
            <w:noWrap/>
            <w:vAlign w:val="center"/>
          </w:tcPr>
          <w:p w14:paraId="1399E83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851" w:type="dxa"/>
            <w:shd w:val="clear" w:color="auto" w:fill="auto"/>
            <w:noWrap/>
            <w:vAlign w:val="center"/>
          </w:tcPr>
          <w:p w14:paraId="126EE16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c>
          <w:tcPr>
            <w:tcW w:w="992" w:type="dxa"/>
            <w:shd w:val="clear" w:color="auto" w:fill="auto"/>
            <w:noWrap/>
            <w:vAlign w:val="center"/>
          </w:tcPr>
          <w:p w14:paraId="42C8CD5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r>
      <w:tr w:rsidR="00CC4C43" w14:paraId="799E9AE6" w14:textId="77777777">
        <w:trPr>
          <w:trHeight w:val="300"/>
          <w:jc w:val="center"/>
        </w:trPr>
        <w:tc>
          <w:tcPr>
            <w:tcW w:w="638" w:type="dxa"/>
            <w:vMerge/>
            <w:vAlign w:val="center"/>
          </w:tcPr>
          <w:p w14:paraId="05B0D94A" w14:textId="77777777" w:rsidR="00CC4C43" w:rsidRDefault="00CC4C43">
            <w:pPr>
              <w:widowControl/>
              <w:jc w:val="left"/>
              <w:rPr>
                <w:rFonts w:ascii="宋体" w:hAnsi="宋体" w:cs="宋体"/>
                <w:color w:val="000000"/>
                <w:kern w:val="0"/>
                <w:sz w:val="15"/>
                <w:szCs w:val="15"/>
              </w:rPr>
            </w:pPr>
          </w:p>
        </w:tc>
        <w:tc>
          <w:tcPr>
            <w:tcW w:w="1757" w:type="dxa"/>
            <w:shd w:val="clear" w:color="auto" w:fill="auto"/>
            <w:noWrap/>
            <w:vAlign w:val="center"/>
          </w:tcPr>
          <w:p w14:paraId="6C8C9C22"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销售回款</w:t>
            </w:r>
          </w:p>
        </w:tc>
        <w:tc>
          <w:tcPr>
            <w:tcW w:w="1060" w:type="dxa"/>
            <w:shd w:val="clear" w:color="auto" w:fill="auto"/>
            <w:noWrap/>
            <w:vAlign w:val="center"/>
          </w:tcPr>
          <w:p w14:paraId="694EC3A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33,376</w:t>
            </w:r>
          </w:p>
        </w:tc>
        <w:tc>
          <w:tcPr>
            <w:tcW w:w="944" w:type="dxa"/>
            <w:shd w:val="clear" w:color="auto" w:fill="auto"/>
            <w:noWrap/>
            <w:vAlign w:val="center"/>
          </w:tcPr>
          <w:p w14:paraId="0DB4CEE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shd w:val="clear" w:color="000000" w:fill="FFFFFF"/>
            <w:noWrap/>
            <w:vAlign w:val="center"/>
          </w:tcPr>
          <w:p w14:paraId="6C719F8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shd w:val="clear" w:color="auto" w:fill="auto"/>
            <w:noWrap/>
            <w:vAlign w:val="center"/>
          </w:tcPr>
          <w:p w14:paraId="5E02A9D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21,694</w:t>
            </w:r>
          </w:p>
        </w:tc>
        <w:tc>
          <w:tcPr>
            <w:tcW w:w="992" w:type="dxa"/>
            <w:shd w:val="clear" w:color="auto" w:fill="auto"/>
            <w:noWrap/>
            <w:vAlign w:val="center"/>
          </w:tcPr>
          <w:p w14:paraId="273A207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8,344</w:t>
            </w:r>
          </w:p>
        </w:tc>
        <w:tc>
          <w:tcPr>
            <w:tcW w:w="851" w:type="dxa"/>
            <w:shd w:val="clear" w:color="auto" w:fill="auto"/>
            <w:noWrap/>
            <w:vAlign w:val="center"/>
          </w:tcPr>
          <w:p w14:paraId="7BFCC8D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3,338</w:t>
            </w:r>
          </w:p>
        </w:tc>
        <w:tc>
          <w:tcPr>
            <w:tcW w:w="850" w:type="dxa"/>
            <w:shd w:val="clear" w:color="000000" w:fill="FFFFFF"/>
            <w:noWrap/>
            <w:vAlign w:val="center"/>
          </w:tcPr>
          <w:p w14:paraId="2BB1450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51" w:type="dxa"/>
            <w:shd w:val="clear" w:color="auto" w:fill="auto"/>
            <w:noWrap/>
            <w:vAlign w:val="center"/>
          </w:tcPr>
          <w:p w14:paraId="4AB3146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shd w:val="clear" w:color="auto" w:fill="auto"/>
            <w:noWrap/>
            <w:vAlign w:val="center"/>
          </w:tcPr>
          <w:p w14:paraId="5322D05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rsidR="00CC4C43" w14:paraId="29EF25B5" w14:textId="77777777">
        <w:trPr>
          <w:trHeight w:val="300"/>
          <w:jc w:val="center"/>
        </w:trPr>
        <w:tc>
          <w:tcPr>
            <w:tcW w:w="638" w:type="dxa"/>
            <w:vMerge w:val="restart"/>
            <w:shd w:val="clear" w:color="auto" w:fill="auto"/>
            <w:noWrap/>
            <w:vAlign w:val="center"/>
          </w:tcPr>
          <w:p w14:paraId="54A963D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1.1.3</w:t>
            </w:r>
          </w:p>
        </w:tc>
        <w:tc>
          <w:tcPr>
            <w:tcW w:w="1757" w:type="dxa"/>
            <w:shd w:val="clear" w:color="auto" w:fill="auto"/>
            <w:noWrap/>
            <w:vAlign w:val="center"/>
          </w:tcPr>
          <w:p w14:paraId="0167F35F"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车位销售合同收入</w:t>
            </w:r>
          </w:p>
        </w:tc>
        <w:tc>
          <w:tcPr>
            <w:tcW w:w="1060" w:type="dxa"/>
            <w:shd w:val="clear" w:color="auto" w:fill="auto"/>
            <w:noWrap/>
            <w:vAlign w:val="center"/>
          </w:tcPr>
          <w:p w14:paraId="0BF022D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18,104</w:t>
            </w:r>
          </w:p>
        </w:tc>
        <w:tc>
          <w:tcPr>
            <w:tcW w:w="944" w:type="dxa"/>
            <w:shd w:val="clear" w:color="auto" w:fill="auto"/>
            <w:noWrap/>
            <w:vAlign w:val="center"/>
          </w:tcPr>
          <w:p w14:paraId="16751C6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25CE496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75E3EC2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992" w:type="dxa"/>
            <w:shd w:val="clear" w:color="auto" w:fill="auto"/>
            <w:noWrap/>
            <w:vAlign w:val="center"/>
          </w:tcPr>
          <w:p w14:paraId="43E72E3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851" w:type="dxa"/>
            <w:shd w:val="clear" w:color="auto" w:fill="auto"/>
            <w:noWrap/>
            <w:vAlign w:val="center"/>
          </w:tcPr>
          <w:p w14:paraId="16E4728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850" w:type="dxa"/>
            <w:shd w:val="clear" w:color="auto" w:fill="auto"/>
            <w:noWrap/>
            <w:vAlign w:val="center"/>
          </w:tcPr>
          <w:p w14:paraId="550BA07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851" w:type="dxa"/>
            <w:shd w:val="clear" w:color="auto" w:fill="auto"/>
            <w:noWrap/>
            <w:vAlign w:val="center"/>
          </w:tcPr>
          <w:p w14:paraId="3A1861E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3,621</w:t>
            </w:r>
          </w:p>
        </w:tc>
        <w:tc>
          <w:tcPr>
            <w:tcW w:w="992" w:type="dxa"/>
            <w:shd w:val="clear" w:color="auto" w:fill="auto"/>
            <w:noWrap/>
            <w:vAlign w:val="center"/>
          </w:tcPr>
          <w:p w14:paraId="5471B9B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5031822B" w14:textId="77777777">
        <w:trPr>
          <w:trHeight w:val="300"/>
          <w:jc w:val="center"/>
        </w:trPr>
        <w:tc>
          <w:tcPr>
            <w:tcW w:w="638" w:type="dxa"/>
            <w:vMerge/>
            <w:vAlign w:val="center"/>
          </w:tcPr>
          <w:p w14:paraId="5686645F" w14:textId="77777777" w:rsidR="00CC4C43" w:rsidRDefault="00CC4C43">
            <w:pPr>
              <w:widowControl/>
              <w:jc w:val="left"/>
              <w:rPr>
                <w:rFonts w:ascii="宋体" w:hAnsi="宋体" w:cs="宋体"/>
                <w:color w:val="000000"/>
                <w:kern w:val="0"/>
                <w:sz w:val="15"/>
                <w:szCs w:val="15"/>
              </w:rPr>
            </w:pPr>
          </w:p>
        </w:tc>
        <w:tc>
          <w:tcPr>
            <w:tcW w:w="1757" w:type="dxa"/>
            <w:shd w:val="clear" w:color="auto" w:fill="auto"/>
            <w:noWrap/>
            <w:vAlign w:val="center"/>
          </w:tcPr>
          <w:p w14:paraId="7CC5859F"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销售比例</w:t>
            </w:r>
          </w:p>
        </w:tc>
        <w:tc>
          <w:tcPr>
            <w:tcW w:w="1060" w:type="dxa"/>
            <w:shd w:val="clear" w:color="auto" w:fill="auto"/>
            <w:noWrap/>
            <w:vAlign w:val="center"/>
          </w:tcPr>
          <w:p w14:paraId="40A4214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w:t>
            </w:r>
          </w:p>
        </w:tc>
        <w:tc>
          <w:tcPr>
            <w:tcW w:w="944" w:type="dxa"/>
            <w:shd w:val="clear" w:color="auto" w:fill="auto"/>
            <w:noWrap/>
            <w:vAlign w:val="center"/>
          </w:tcPr>
          <w:p w14:paraId="739E0FE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000000" w:fill="FFFFFF"/>
            <w:noWrap/>
            <w:vAlign w:val="center"/>
          </w:tcPr>
          <w:p w14:paraId="11D468E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1CC9666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992" w:type="dxa"/>
            <w:shd w:val="clear" w:color="auto" w:fill="auto"/>
            <w:noWrap/>
            <w:vAlign w:val="center"/>
          </w:tcPr>
          <w:p w14:paraId="756B046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851" w:type="dxa"/>
            <w:shd w:val="clear" w:color="auto" w:fill="auto"/>
            <w:noWrap/>
            <w:vAlign w:val="center"/>
          </w:tcPr>
          <w:p w14:paraId="259545C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850" w:type="dxa"/>
            <w:shd w:val="clear" w:color="auto" w:fill="auto"/>
            <w:noWrap/>
            <w:vAlign w:val="center"/>
          </w:tcPr>
          <w:p w14:paraId="6AA2B31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851" w:type="dxa"/>
            <w:shd w:val="clear" w:color="auto" w:fill="auto"/>
            <w:noWrap/>
            <w:vAlign w:val="center"/>
          </w:tcPr>
          <w:p w14:paraId="7EBD645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20.00%</w:t>
            </w:r>
          </w:p>
        </w:tc>
        <w:tc>
          <w:tcPr>
            <w:tcW w:w="992" w:type="dxa"/>
            <w:shd w:val="clear" w:color="auto" w:fill="auto"/>
            <w:noWrap/>
            <w:vAlign w:val="center"/>
          </w:tcPr>
          <w:p w14:paraId="42BFB93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0.00%</w:t>
            </w:r>
          </w:p>
        </w:tc>
      </w:tr>
      <w:tr w:rsidR="00CC4C43" w14:paraId="07AE4D55" w14:textId="77777777">
        <w:trPr>
          <w:trHeight w:val="300"/>
          <w:jc w:val="center"/>
        </w:trPr>
        <w:tc>
          <w:tcPr>
            <w:tcW w:w="638" w:type="dxa"/>
            <w:vMerge/>
            <w:vAlign w:val="center"/>
          </w:tcPr>
          <w:p w14:paraId="165B89E2" w14:textId="77777777" w:rsidR="00CC4C43" w:rsidRDefault="00CC4C43">
            <w:pPr>
              <w:widowControl/>
              <w:jc w:val="left"/>
              <w:rPr>
                <w:rFonts w:ascii="宋体" w:hAnsi="宋体" w:cs="宋体"/>
                <w:color w:val="000000"/>
                <w:kern w:val="0"/>
                <w:sz w:val="15"/>
                <w:szCs w:val="15"/>
              </w:rPr>
            </w:pPr>
          </w:p>
        </w:tc>
        <w:tc>
          <w:tcPr>
            <w:tcW w:w="1757" w:type="dxa"/>
            <w:shd w:val="clear" w:color="auto" w:fill="auto"/>
            <w:noWrap/>
            <w:vAlign w:val="center"/>
          </w:tcPr>
          <w:p w14:paraId="50C569E8"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销售回款</w:t>
            </w:r>
          </w:p>
        </w:tc>
        <w:tc>
          <w:tcPr>
            <w:tcW w:w="1060" w:type="dxa"/>
            <w:shd w:val="clear" w:color="auto" w:fill="auto"/>
            <w:noWrap/>
            <w:vAlign w:val="center"/>
          </w:tcPr>
          <w:p w14:paraId="407CDC1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18,104</w:t>
            </w:r>
          </w:p>
        </w:tc>
        <w:tc>
          <w:tcPr>
            <w:tcW w:w="944" w:type="dxa"/>
            <w:shd w:val="clear" w:color="auto" w:fill="auto"/>
            <w:noWrap/>
            <w:vAlign w:val="center"/>
          </w:tcPr>
          <w:p w14:paraId="111382D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shd w:val="clear" w:color="auto" w:fill="auto"/>
            <w:noWrap/>
            <w:vAlign w:val="center"/>
          </w:tcPr>
          <w:p w14:paraId="349060C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1134" w:type="dxa"/>
            <w:shd w:val="clear" w:color="auto" w:fill="auto"/>
            <w:noWrap/>
            <w:vAlign w:val="center"/>
          </w:tcPr>
          <w:p w14:paraId="21DE96B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2,354</w:t>
            </w:r>
          </w:p>
        </w:tc>
        <w:tc>
          <w:tcPr>
            <w:tcW w:w="992" w:type="dxa"/>
            <w:shd w:val="clear" w:color="auto" w:fill="auto"/>
            <w:noWrap/>
            <w:vAlign w:val="center"/>
          </w:tcPr>
          <w:p w14:paraId="734939E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1,448</w:t>
            </w:r>
          </w:p>
        </w:tc>
        <w:tc>
          <w:tcPr>
            <w:tcW w:w="851" w:type="dxa"/>
            <w:shd w:val="clear" w:color="auto" w:fill="auto"/>
            <w:noWrap/>
            <w:vAlign w:val="center"/>
          </w:tcPr>
          <w:p w14:paraId="5B3E648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1,086</w:t>
            </w:r>
          </w:p>
        </w:tc>
        <w:tc>
          <w:tcPr>
            <w:tcW w:w="850" w:type="dxa"/>
            <w:shd w:val="clear" w:color="auto" w:fill="auto"/>
            <w:noWrap/>
            <w:vAlign w:val="center"/>
          </w:tcPr>
          <w:p w14:paraId="03A439C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13,216</w:t>
            </w:r>
          </w:p>
        </w:tc>
        <w:tc>
          <w:tcPr>
            <w:tcW w:w="851" w:type="dxa"/>
            <w:shd w:val="clear" w:color="auto" w:fill="auto"/>
            <w:noWrap/>
            <w:vAlign w:val="center"/>
          </w:tcPr>
          <w:p w14:paraId="4E498F3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shd w:val="clear" w:color="auto" w:fill="auto"/>
            <w:noWrap/>
            <w:vAlign w:val="center"/>
          </w:tcPr>
          <w:p w14:paraId="7707F77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r>
      <w:tr w:rsidR="00CC4C43" w14:paraId="657BADA5" w14:textId="77777777">
        <w:trPr>
          <w:trHeight w:val="300"/>
          <w:jc w:val="center"/>
        </w:trPr>
        <w:tc>
          <w:tcPr>
            <w:tcW w:w="638" w:type="dxa"/>
            <w:shd w:val="clear" w:color="auto" w:fill="auto"/>
            <w:noWrap/>
            <w:vAlign w:val="center"/>
          </w:tcPr>
          <w:p w14:paraId="44D95DF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1.2</w:t>
            </w:r>
          </w:p>
        </w:tc>
        <w:tc>
          <w:tcPr>
            <w:tcW w:w="1757" w:type="dxa"/>
            <w:shd w:val="clear" w:color="auto" w:fill="auto"/>
            <w:noWrap/>
            <w:vAlign w:val="center"/>
          </w:tcPr>
          <w:p w14:paraId="61F6AD63"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股东自有资金投入</w:t>
            </w:r>
          </w:p>
        </w:tc>
        <w:tc>
          <w:tcPr>
            <w:tcW w:w="1060" w:type="dxa"/>
            <w:shd w:val="clear" w:color="auto" w:fill="auto"/>
            <w:noWrap/>
            <w:vAlign w:val="center"/>
          </w:tcPr>
          <w:p w14:paraId="4F6694F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161,000</w:t>
            </w:r>
          </w:p>
        </w:tc>
        <w:tc>
          <w:tcPr>
            <w:tcW w:w="944" w:type="dxa"/>
            <w:shd w:val="clear" w:color="auto" w:fill="auto"/>
            <w:noWrap/>
            <w:vAlign w:val="center"/>
          </w:tcPr>
          <w:p w14:paraId="2D6CC38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79,000 </w:t>
            </w:r>
          </w:p>
        </w:tc>
        <w:tc>
          <w:tcPr>
            <w:tcW w:w="992" w:type="dxa"/>
            <w:shd w:val="clear" w:color="auto" w:fill="auto"/>
            <w:noWrap/>
            <w:vAlign w:val="center"/>
          </w:tcPr>
          <w:p w14:paraId="40970EE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82,000</w:t>
            </w:r>
          </w:p>
        </w:tc>
        <w:tc>
          <w:tcPr>
            <w:tcW w:w="1134" w:type="dxa"/>
            <w:shd w:val="clear" w:color="auto" w:fill="auto"/>
            <w:noWrap/>
            <w:vAlign w:val="center"/>
          </w:tcPr>
          <w:p w14:paraId="7E23987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0 </w:t>
            </w:r>
          </w:p>
        </w:tc>
        <w:tc>
          <w:tcPr>
            <w:tcW w:w="992" w:type="dxa"/>
            <w:shd w:val="clear" w:color="auto" w:fill="auto"/>
            <w:noWrap/>
            <w:vAlign w:val="center"/>
          </w:tcPr>
          <w:p w14:paraId="369D2AA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0 </w:t>
            </w:r>
          </w:p>
        </w:tc>
        <w:tc>
          <w:tcPr>
            <w:tcW w:w="851" w:type="dxa"/>
            <w:shd w:val="clear" w:color="auto" w:fill="auto"/>
            <w:noWrap/>
            <w:vAlign w:val="center"/>
          </w:tcPr>
          <w:p w14:paraId="467A3AA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0" w:type="dxa"/>
            <w:shd w:val="clear" w:color="auto" w:fill="auto"/>
            <w:noWrap/>
            <w:vAlign w:val="center"/>
          </w:tcPr>
          <w:p w14:paraId="5A283D4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1" w:type="dxa"/>
            <w:shd w:val="clear" w:color="auto" w:fill="auto"/>
            <w:noWrap/>
            <w:vAlign w:val="center"/>
          </w:tcPr>
          <w:p w14:paraId="54C2CFB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50A8596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4E19C7C6" w14:textId="77777777">
        <w:trPr>
          <w:trHeight w:val="300"/>
          <w:jc w:val="center"/>
        </w:trPr>
        <w:tc>
          <w:tcPr>
            <w:tcW w:w="638" w:type="dxa"/>
            <w:shd w:val="clear" w:color="auto" w:fill="auto"/>
            <w:noWrap/>
            <w:vAlign w:val="center"/>
          </w:tcPr>
          <w:p w14:paraId="54C1873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1.3</w:t>
            </w:r>
          </w:p>
        </w:tc>
        <w:tc>
          <w:tcPr>
            <w:tcW w:w="1757" w:type="dxa"/>
            <w:shd w:val="clear" w:color="auto" w:fill="auto"/>
            <w:noWrap/>
            <w:vAlign w:val="center"/>
          </w:tcPr>
          <w:p w14:paraId="1F6DB8AE"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金融机构融资</w:t>
            </w:r>
          </w:p>
        </w:tc>
        <w:tc>
          <w:tcPr>
            <w:tcW w:w="1060" w:type="dxa"/>
            <w:shd w:val="clear" w:color="auto" w:fill="auto"/>
            <w:noWrap/>
            <w:vAlign w:val="center"/>
          </w:tcPr>
          <w:p w14:paraId="4F52A14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98,533</w:t>
            </w:r>
          </w:p>
        </w:tc>
        <w:tc>
          <w:tcPr>
            <w:tcW w:w="944" w:type="dxa"/>
            <w:shd w:val="clear" w:color="auto" w:fill="auto"/>
            <w:noWrap/>
            <w:vAlign w:val="center"/>
          </w:tcPr>
          <w:p w14:paraId="3003331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05CB8F3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49,266</w:t>
            </w:r>
          </w:p>
        </w:tc>
        <w:tc>
          <w:tcPr>
            <w:tcW w:w="1134" w:type="dxa"/>
            <w:shd w:val="clear" w:color="auto" w:fill="auto"/>
            <w:noWrap/>
            <w:vAlign w:val="center"/>
          </w:tcPr>
          <w:p w14:paraId="6D42CC2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369E1E4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49,266</w:t>
            </w:r>
          </w:p>
        </w:tc>
        <w:tc>
          <w:tcPr>
            <w:tcW w:w="851" w:type="dxa"/>
            <w:shd w:val="clear" w:color="auto" w:fill="auto"/>
            <w:noWrap/>
            <w:vAlign w:val="center"/>
          </w:tcPr>
          <w:p w14:paraId="6AFD43D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0" w:type="dxa"/>
            <w:shd w:val="clear" w:color="auto" w:fill="auto"/>
            <w:noWrap/>
            <w:vAlign w:val="center"/>
          </w:tcPr>
          <w:p w14:paraId="111F8C9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1" w:type="dxa"/>
            <w:shd w:val="clear" w:color="auto" w:fill="auto"/>
            <w:noWrap/>
            <w:vAlign w:val="center"/>
          </w:tcPr>
          <w:p w14:paraId="0260FA1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5D66DC2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5399D516" w14:textId="77777777">
        <w:trPr>
          <w:trHeight w:val="300"/>
          <w:jc w:val="center"/>
        </w:trPr>
        <w:tc>
          <w:tcPr>
            <w:tcW w:w="638" w:type="dxa"/>
            <w:shd w:val="clear" w:color="000000" w:fill="D9D9D9"/>
            <w:noWrap/>
            <w:vAlign w:val="center"/>
          </w:tcPr>
          <w:p w14:paraId="4E11D976"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2</w:t>
            </w:r>
          </w:p>
        </w:tc>
        <w:tc>
          <w:tcPr>
            <w:tcW w:w="1757" w:type="dxa"/>
            <w:shd w:val="clear" w:color="000000" w:fill="D9D9D9"/>
            <w:noWrap/>
            <w:vAlign w:val="center"/>
          </w:tcPr>
          <w:p w14:paraId="1DD0583D" w14:textId="77777777" w:rsidR="00CC4C43" w:rsidRDefault="007731E0">
            <w:pPr>
              <w:widowControl/>
              <w:rPr>
                <w:rFonts w:ascii="宋体" w:hAnsi="宋体" w:cs="宋体"/>
                <w:b/>
                <w:bCs/>
                <w:color w:val="000000"/>
                <w:kern w:val="0"/>
                <w:sz w:val="15"/>
                <w:szCs w:val="15"/>
              </w:rPr>
            </w:pPr>
            <w:r>
              <w:rPr>
                <w:rFonts w:ascii="宋体" w:hAnsi="宋体" w:cs="宋体" w:hint="eastAsia"/>
                <w:b/>
                <w:bCs/>
                <w:color w:val="000000"/>
                <w:kern w:val="0"/>
                <w:sz w:val="15"/>
                <w:szCs w:val="15"/>
              </w:rPr>
              <w:t>现金流出</w:t>
            </w:r>
          </w:p>
        </w:tc>
        <w:tc>
          <w:tcPr>
            <w:tcW w:w="1060" w:type="dxa"/>
            <w:shd w:val="clear" w:color="000000" w:fill="D9D9D9"/>
            <w:noWrap/>
            <w:vAlign w:val="center"/>
          </w:tcPr>
          <w:p w14:paraId="5CD5E3D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532,112</w:t>
            </w:r>
          </w:p>
        </w:tc>
        <w:tc>
          <w:tcPr>
            <w:tcW w:w="944" w:type="dxa"/>
            <w:shd w:val="clear" w:color="000000" w:fill="D9D9D9"/>
            <w:noWrap/>
            <w:vAlign w:val="center"/>
          </w:tcPr>
          <w:p w14:paraId="14938EF9"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77,829</w:t>
            </w:r>
          </w:p>
        </w:tc>
        <w:tc>
          <w:tcPr>
            <w:tcW w:w="992" w:type="dxa"/>
            <w:shd w:val="clear" w:color="000000" w:fill="D9D9D9"/>
            <w:noWrap/>
            <w:vAlign w:val="center"/>
          </w:tcPr>
          <w:p w14:paraId="7BE09954"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86,597</w:t>
            </w:r>
          </w:p>
        </w:tc>
        <w:tc>
          <w:tcPr>
            <w:tcW w:w="1134" w:type="dxa"/>
            <w:shd w:val="clear" w:color="000000" w:fill="D9D9D9"/>
            <w:noWrap/>
            <w:vAlign w:val="center"/>
          </w:tcPr>
          <w:p w14:paraId="72673887"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65,491</w:t>
            </w:r>
          </w:p>
        </w:tc>
        <w:tc>
          <w:tcPr>
            <w:tcW w:w="992" w:type="dxa"/>
            <w:shd w:val="clear" w:color="000000" w:fill="D9D9D9"/>
            <w:noWrap/>
            <w:vAlign w:val="center"/>
          </w:tcPr>
          <w:p w14:paraId="7CF08D8C"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91,697</w:t>
            </w:r>
          </w:p>
        </w:tc>
        <w:tc>
          <w:tcPr>
            <w:tcW w:w="851" w:type="dxa"/>
            <w:shd w:val="clear" w:color="000000" w:fill="D9D9D9"/>
            <w:noWrap/>
            <w:vAlign w:val="center"/>
          </w:tcPr>
          <w:p w14:paraId="33733377"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69,697</w:t>
            </w:r>
          </w:p>
        </w:tc>
        <w:tc>
          <w:tcPr>
            <w:tcW w:w="850" w:type="dxa"/>
            <w:shd w:val="clear" w:color="000000" w:fill="D9D9D9"/>
            <w:noWrap/>
            <w:vAlign w:val="center"/>
          </w:tcPr>
          <w:p w14:paraId="658A1C98"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71,230</w:t>
            </w:r>
          </w:p>
        </w:tc>
        <w:tc>
          <w:tcPr>
            <w:tcW w:w="851" w:type="dxa"/>
            <w:shd w:val="clear" w:color="000000" w:fill="D9D9D9"/>
            <w:noWrap/>
            <w:vAlign w:val="center"/>
          </w:tcPr>
          <w:p w14:paraId="7E77CE2E"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12,494</w:t>
            </w:r>
          </w:p>
        </w:tc>
        <w:tc>
          <w:tcPr>
            <w:tcW w:w="992" w:type="dxa"/>
            <w:shd w:val="clear" w:color="000000" w:fill="D9D9D9"/>
            <w:noWrap/>
            <w:vAlign w:val="center"/>
          </w:tcPr>
          <w:p w14:paraId="552DA82E"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56,722</w:t>
            </w:r>
          </w:p>
        </w:tc>
      </w:tr>
      <w:tr w:rsidR="00CC4C43" w14:paraId="3A534C22" w14:textId="77777777">
        <w:trPr>
          <w:trHeight w:val="300"/>
          <w:jc w:val="center"/>
        </w:trPr>
        <w:tc>
          <w:tcPr>
            <w:tcW w:w="638" w:type="dxa"/>
            <w:shd w:val="clear" w:color="auto" w:fill="auto"/>
            <w:noWrap/>
            <w:vAlign w:val="center"/>
          </w:tcPr>
          <w:p w14:paraId="4F9087C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2.1</w:t>
            </w:r>
          </w:p>
        </w:tc>
        <w:tc>
          <w:tcPr>
            <w:tcW w:w="1757" w:type="dxa"/>
            <w:shd w:val="clear" w:color="auto" w:fill="auto"/>
            <w:noWrap/>
            <w:vAlign w:val="center"/>
          </w:tcPr>
          <w:p w14:paraId="76B6C95E"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土地成本</w:t>
            </w:r>
          </w:p>
        </w:tc>
        <w:tc>
          <w:tcPr>
            <w:tcW w:w="1060" w:type="dxa"/>
            <w:shd w:val="clear" w:color="auto" w:fill="auto"/>
            <w:noWrap/>
            <w:vAlign w:val="center"/>
          </w:tcPr>
          <w:p w14:paraId="5D580BB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155,657</w:t>
            </w:r>
          </w:p>
        </w:tc>
        <w:tc>
          <w:tcPr>
            <w:tcW w:w="944" w:type="dxa"/>
            <w:shd w:val="clear" w:color="auto" w:fill="auto"/>
            <w:noWrap/>
            <w:vAlign w:val="center"/>
          </w:tcPr>
          <w:p w14:paraId="15C5588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77,829</w:t>
            </w:r>
          </w:p>
        </w:tc>
        <w:tc>
          <w:tcPr>
            <w:tcW w:w="992" w:type="dxa"/>
            <w:shd w:val="clear" w:color="auto" w:fill="auto"/>
            <w:noWrap/>
            <w:vAlign w:val="center"/>
          </w:tcPr>
          <w:p w14:paraId="4EE2C52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77,829</w:t>
            </w:r>
          </w:p>
        </w:tc>
        <w:tc>
          <w:tcPr>
            <w:tcW w:w="1134" w:type="dxa"/>
            <w:shd w:val="clear" w:color="auto" w:fill="auto"/>
            <w:noWrap/>
            <w:vAlign w:val="center"/>
          </w:tcPr>
          <w:p w14:paraId="6CB16DC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6DCCA57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1" w:type="dxa"/>
            <w:shd w:val="clear" w:color="auto" w:fill="auto"/>
            <w:noWrap/>
            <w:vAlign w:val="center"/>
          </w:tcPr>
          <w:p w14:paraId="5EF46E9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0" w:type="dxa"/>
            <w:shd w:val="clear" w:color="auto" w:fill="auto"/>
            <w:noWrap/>
            <w:vAlign w:val="center"/>
          </w:tcPr>
          <w:p w14:paraId="624479A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1" w:type="dxa"/>
            <w:shd w:val="clear" w:color="auto" w:fill="auto"/>
            <w:noWrap/>
            <w:vAlign w:val="center"/>
          </w:tcPr>
          <w:p w14:paraId="77FB650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0260100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1ED9AC8A" w14:textId="77777777">
        <w:trPr>
          <w:trHeight w:val="300"/>
          <w:jc w:val="center"/>
        </w:trPr>
        <w:tc>
          <w:tcPr>
            <w:tcW w:w="638" w:type="dxa"/>
            <w:shd w:val="clear" w:color="auto" w:fill="auto"/>
            <w:noWrap/>
            <w:vAlign w:val="center"/>
          </w:tcPr>
          <w:p w14:paraId="289C96A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2.2</w:t>
            </w:r>
          </w:p>
        </w:tc>
        <w:tc>
          <w:tcPr>
            <w:tcW w:w="1757" w:type="dxa"/>
            <w:shd w:val="clear" w:color="auto" w:fill="auto"/>
            <w:noWrap/>
            <w:vAlign w:val="center"/>
          </w:tcPr>
          <w:p w14:paraId="1A4CA7DD"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开发建设投资</w:t>
            </w:r>
          </w:p>
        </w:tc>
        <w:tc>
          <w:tcPr>
            <w:tcW w:w="1060" w:type="dxa"/>
            <w:shd w:val="clear" w:color="auto" w:fill="auto"/>
            <w:noWrap/>
            <w:vAlign w:val="center"/>
          </w:tcPr>
          <w:p w14:paraId="09D0944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70,368</w:t>
            </w:r>
          </w:p>
        </w:tc>
        <w:tc>
          <w:tcPr>
            <w:tcW w:w="944" w:type="dxa"/>
            <w:shd w:val="clear" w:color="auto" w:fill="auto"/>
            <w:noWrap/>
            <w:vAlign w:val="center"/>
          </w:tcPr>
          <w:p w14:paraId="21D5ADE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92" w:type="dxa"/>
            <w:shd w:val="clear" w:color="auto" w:fill="auto"/>
            <w:noWrap/>
            <w:vAlign w:val="center"/>
          </w:tcPr>
          <w:p w14:paraId="1D7D5AA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7,037</w:t>
            </w:r>
          </w:p>
        </w:tc>
        <w:tc>
          <w:tcPr>
            <w:tcW w:w="1134" w:type="dxa"/>
            <w:shd w:val="clear" w:color="auto" w:fill="auto"/>
            <w:noWrap/>
            <w:vAlign w:val="center"/>
          </w:tcPr>
          <w:p w14:paraId="6D0B631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10,555</w:t>
            </w:r>
          </w:p>
        </w:tc>
        <w:tc>
          <w:tcPr>
            <w:tcW w:w="992" w:type="dxa"/>
            <w:shd w:val="clear" w:color="auto" w:fill="auto"/>
            <w:noWrap/>
            <w:vAlign w:val="center"/>
          </w:tcPr>
          <w:p w14:paraId="68E4C8C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7,037</w:t>
            </w:r>
          </w:p>
        </w:tc>
        <w:tc>
          <w:tcPr>
            <w:tcW w:w="851" w:type="dxa"/>
            <w:shd w:val="clear" w:color="auto" w:fill="auto"/>
            <w:noWrap/>
            <w:vAlign w:val="center"/>
          </w:tcPr>
          <w:p w14:paraId="2BF6BA3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7,037</w:t>
            </w:r>
          </w:p>
        </w:tc>
        <w:tc>
          <w:tcPr>
            <w:tcW w:w="850" w:type="dxa"/>
            <w:shd w:val="clear" w:color="auto" w:fill="auto"/>
            <w:noWrap/>
            <w:vAlign w:val="center"/>
          </w:tcPr>
          <w:p w14:paraId="335337A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10,555</w:t>
            </w:r>
          </w:p>
        </w:tc>
        <w:tc>
          <w:tcPr>
            <w:tcW w:w="851" w:type="dxa"/>
            <w:shd w:val="clear" w:color="auto" w:fill="auto"/>
            <w:noWrap/>
            <w:vAlign w:val="center"/>
          </w:tcPr>
          <w:p w14:paraId="1A8B1A2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10,555</w:t>
            </w:r>
          </w:p>
        </w:tc>
        <w:tc>
          <w:tcPr>
            <w:tcW w:w="992" w:type="dxa"/>
            <w:shd w:val="clear" w:color="auto" w:fill="auto"/>
            <w:noWrap/>
            <w:vAlign w:val="center"/>
          </w:tcPr>
          <w:p w14:paraId="6576EFC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17,592</w:t>
            </w:r>
          </w:p>
        </w:tc>
      </w:tr>
      <w:tr w:rsidR="00CC4C43" w14:paraId="048703D1" w14:textId="77777777">
        <w:trPr>
          <w:trHeight w:val="300"/>
          <w:jc w:val="center"/>
        </w:trPr>
        <w:tc>
          <w:tcPr>
            <w:tcW w:w="638" w:type="dxa"/>
            <w:shd w:val="clear" w:color="auto" w:fill="auto"/>
            <w:noWrap/>
            <w:vAlign w:val="center"/>
          </w:tcPr>
          <w:p w14:paraId="1FBCFEA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2.3</w:t>
            </w:r>
          </w:p>
        </w:tc>
        <w:tc>
          <w:tcPr>
            <w:tcW w:w="1757" w:type="dxa"/>
            <w:shd w:val="clear" w:color="auto" w:fill="auto"/>
            <w:noWrap/>
            <w:vAlign w:val="center"/>
          </w:tcPr>
          <w:p w14:paraId="30822250"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期间费用</w:t>
            </w:r>
          </w:p>
        </w:tc>
        <w:tc>
          <w:tcPr>
            <w:tcW w:w="1060" w:type="dxa"/>
            <w:shd w:val="clear" w:color="auto" w:fill="auto"/>
            <w:noWrap/>
            <w:vAlign w:val="center"/>
          </w:tcPr>
          <w:p w14:paraId="0B6B222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17,317</w:t>
            </w:r>
          </w:p>
        </w:tc>
        <w:tc>
          <w:tcPr>
            <w:tcW w:w="944" w:type="dxa"/>
            <w:shd w:val="clear" w:color="auto" w:fill="auto"/>
            <w:noWrap/>
            <w:vAlign w:val="center"/>
          </w:tcPr>
          <w:p w14:paraId="2809991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134200C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1,732</w:t>
            </w:r>
          </w:p>
        </w:tc>
        <w:tc>
          <w:tcPr>
            <w:tcW w:w="1134" w:type="dxa"/>
            <w:shd w:val="clear" w:color="auto" w:fill="auto"/>
            <w:noWrap/>
            <w:vAlign w:val="center"/>
          </w:tcPr>
          <w:p w14:paraId="6624F02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2,598</w:t>
            </w:r>
          </w:p>
        </w:tc>
        <w:tc>
          <w:tcPr>
            <w:tcW w:w="992" w:type="dxa"/>
            <w:shd w:val="clear" w:color="auto" w:fill="auto"/>
            <w:noWrap/>
            <w:vAlign w:val="center"/>
          </w:tcPr>
          <w:p w14:paraId="321E709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3,463</w:t>
            </w:r>
          </w:p>
        </w:tc>
        <w:tc>
          <w:tcPr>
            <w:tcW w:w="851" w:type="dxa"/>
            <w:shd w:val="clear" w:color="auto" w:fill="auto"/>
            <w:noWrap/>
            <w:vAlign w:val="center"/>
          </w:tcPr>
          <w:p w14:paraId="54D2624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3,463</w:t>
            </w:r>
          </w:p>
        </w:tc>
        <w:tc>
          <w:tcPr>
            <w:tcW w:w="850" w:type="dxa"/>
            <w:shd w:val="clear" w:color="auto" w:fill="auto"/>
            <w:noWrap/>
            <w:vAlign w:val="center"/>
          </w:tcPr>
          <w:p w14:paraId="2611A06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1,732</w:t>
            </w:r>
          </w:p>
        </w:tc>
        <w:tc>
          <w:tcPr>
            <w:tcW w:w="851" w:type="dxa"/>
            <w:shd w:val="clear" w:color="auto" w:fill="auto"/>
            <w:noWrap/>
            <w:vAlign w:val="center"/>
          </w:tcPr>
          <w:p w14:paraId="0D42678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1,732</w:t>
            </w:r>
          </w:p>
        </w:tc>
        <w:tc>
          <w:tcPr>
            <w:tcW w:w="992" w:type="dxa"/>
            <w:shd w:val="clear" w:color="auto" w:fill="auto"/>
            <w:noWrap/>
            <w:vAlign w:val="center"/>
          </w:tcPr>
          <w:p w14:paraId="4789978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2,598</w:t>
            </w:r>
          </w:p>
        </w:tc>
      </w:tr>
      <w:tr w:rsidR="00CC4C43" w14:paraId="7C9D04A5" w14:textId="77777777">
        <w:trPr>
          <w:trHeight w:val="300"/>
          <w:jc w:val="center"/>
        </w:trPr>
        <w:tc>
          <w:tcPr>
            <w:tcW w:w="638" w:type="dxa"/>
            <w:shd w:val="clear" w:color="auto" w:fill="auto"/>
            <w:noWrap/>
            <w:vAlign w:val="center"/>
          </w:tcPr>
          <w:p w14:paraId="4AAA205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2.4</w:t>
            </w:r>
          </w:p>
        </w:tc>
        <w:tc>
          <w:tcPr>
            <w:tcW w:w="1757" w:type="dxa"/>
            <w:shd w:val="clear" w:color="000000" w:fill="FFFFFF"/>
            <w:noWrap/>
            <w:vAlign w:val="center"/>
          </w:tcPr>
          <w:p w14:paraId="7BA8C63B"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融资本金退出</w:t>
            </w:r>
          </w:p>
        </w:tc>
        <w:tc>
          <w:tcPr>
            <w:tcW w:w="1060" w:type="dxa"/>
            <w:shd w:val="clear" w:color="000000" w:fill="FFFFFF"/>
            <w:noWrap/>
            <w:vAlign w:val="center"/>
          </w:tcPr>
          <w:p w14:paraId="14C9D0F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98,533</w:t>
            </w:r>
          </w:p>
        </w:tc>
        <w:tc>
          <w:tcPr>
            <w:tcW w:w="944" w:type="dxa"/>
            <w:shd w:val="clear" w:color="auto" w:fill="auto"/>
            <w:noWrap/>
            <w:vAlign w:val="center"/>
          </w:tcPr>
          <w:p w14:paraId="1D61DC8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4E55461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386E922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04EAE6E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14,000</w:t>
            </w:r>
          </w:p>
        </w:tc>
        <w:tc>
          <w:tcPr>
            <w:tcW w:w="851" w:type="dxa"/>
            <w:shd w:val="clear" w:color="auto" w:fill="auto"/>
            <w:noWrap/>
            <w:vAlign w:val="center"/>
          </w:tcPr>
          <w:p w14:paraId="42A8C68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48,000</w:t>
            </w:r>
          </w:p>
        </w:tc>
        <w:tc>
          <w:tcPr>
            <w:tcW w:w="850" w:type="dxa"/>
            <w:shd w:val="clear" w:color="auto" w:fill="auto"/>
            <w:noWrap/>
            <w:vAlign w:val="center"/>
          </w:tcPr>
          <w:p w14:paraId="5FD4A24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851" w:type="dxa"/>
            <w:shd w:val="clear" w:color="auto" w:fill="auto"/>
            <w:noWrap/>
            <w:vAlign w:val="center"/>
          </w:tcPr>
          <w:p w14:paraId="7B63307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27477D4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36,533</w:t>
            </w:r>
          </w:p>
        </w:tc>
      </w:tr>
      <w:tr w:rsidR="00CC4C43" w14:paraId="650C2120" w14:textId="77777777">
        <w:trPr>
          <w:trHeight w:val="300"/>
          <w:jc w:val="center"/>
        </w:trPr>
        <w:tc>
          <w:tcPr>
            <w:tcW w:w="638" w:type="dxa"/>
            <w:shd w:val="clear" w:color="auto" w:fill="auto"/>
            <w:noWrap/>
            <w:vAlign w:val="center"/>
          </w:tcPr>
          <w:p w14:paraId="2EC82C92"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2.5</w:t>
            </w:r>
          </w:p>
        </w:tc>
        <w:tc>
          <w:tcPr>
            <w:tcW w:w="1757" w:type="dxa"/>
            <w:shd w:val="clear" w:color="auto" w:fill="auto"/>
            <w:noWrap/>
            <w:vAlign w:val="center"/>
          </w:tcPr>
          <w:p w14:paraId="5062B5FA"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土地增值税</w:t>
            </w:r>
          </w:p>
        </w:tc>
        <w:tc>
          <w:tcPr>
            <w:tcW w:w="1060" w:type="dxa"/>
            <w:shd w:val="clear" w:color="auto" w:fill="auto"/>
            <w:noWrap/>
            <w:vAlign w:val="center"/>
          </w:tcPr>
          <w:p w14:paraId="75EC28F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3,991</w:t>
            </w:r>
          </w:p>
        </w:tc>
        <w:tc>
          <w:tcPr>
            <w:tcW w:w="944" w:type="dxa"/>
            <w:shd w:val="clear" w:color="auto" w:fill="auto"/>
            <w:noWrap/>
            <w:vAlign w:val="center"/>
          </w:tcPr>
          <w:p w14:paraId="7FEC49D8"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26D9D3A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0D98EAE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1,138</w:t>
            </w:r>
          </w:p>
        </w:tc>
        <w:tc>
          <w:tcPr>
            <w:tcW w:w="992" w:type="dxa"/>
            <w:shd w:val="clear" w:color="auto" w:fill="auto"/>
            <w:noWrap/>
            <w:vAlign w:val="center"/>
          </w:tcPr>
          <w:p w14:paraId="3E78A63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982</w:t>
            </w:r>
          </w:p>
        </w:tc>
        <w:tc>
          <w:tcPr>
            <w:tcW w:w="851" w:type="dxa"/>
            <w:shd w:val="clear" w:color="auto" w:fill="auto"/>
            <w:noWrap/>
            <w:vAlign w:val="center"/>
          </w:tcPr>
          <w:p w14:paraId="358C6C7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982</w:t>
            </w:r>
          </w:p>
        </w:tc>
        <w:tc>
          <w:tcPr>
            <w:tcW w:w="850" w:type="dxa"/>
            <w:shd w:val="clear" w:color="auto" w:fill="auto"/>
            <w:noWrap/>
            <w:vAlign w:val="center"/>
          </w:tcPr>
          <w:p w14:paraId="6729A95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827</w:t>
            </w:r>
          </w:p>
        </w:tc>
        <w:tc>
          <w:tcPr>
            <w:tcW w:w="851" w:type="dxa"/>
            <w:shd w:val="clear" w:color="auto" w:fill="auto"/>
            <w:noWrap/>
            <w:vAlign w:val="center"/>
          </w:tcPr>
          <w:p w14:paraId="4452F4A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61</w:t>
            </w:r>
          </w:p>
        </w:tc>
        <w:tc>
          <w:tcPr>
            <w:tcW w:w="992" w:type="dxa"/>
            <w:shd w:val="clear" w:color="auto" w:fill="auto"/>
            <w:noWrap/>
            <w:vAlign w:val="center"/>
          </w:tcPr>
          <w:p w14:paraId="3D7FA5E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73EA2F53" w14:textId="77777777">
        <w:trPr>
          <w:trHeight w:val="300"/>
          <w:jc w:val="center"/>
        </w:trPr>
        <w:tc>
          <w:tcPr>
            <w:tcW w:w="638" w:type="dxa"/>
            <w:shd w:val="clear" w:color="auto" w:fill="auto"/>
            <w:noWrap/>
            <w:vAlign w:val="center"/>
          </w:tcPr>
          <w:p w14:paraId="1D5FA7C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2.6</w:t>
            </w:r>
          </w:p>
        </w:tc>
        <w:tc>
          <w:tcPr>
            <w:tcW w:w="1757" w:type="dxa"/>
            <w:shd w:val="clear" w:color="000000" w:fill="FFFFFF"/>
            <w:noWrap/>
            <w:vAlign w:val="center"/>
          </w:tcPr>
          <w:p w14:paraId="79B497B8"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经营税金及附加</w:t>
            </w:r>
          </w:p>
        </w:tc>
        <w:tc>
          <w:tcPr>
            <w:tcW w:w="1060" w:type="dxa"/>
            <w:shd w:val="clear" w:color="000000" w:fill="FFFFFF"/>
            <w:noWrap/>
            <w:vAlign w:val="center"/>
          </w:tcPr>
          <w:p w14:paraId="202D558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9,492</w:t>
            </w:r>
          </w:p>
        </w:tc>
        <w:tc>
          <w:tcPr>
            <w:tcW w:w="944" w:type="dxa"/>
            <w:shd w:val="clear" w:color="auto" w:fill="auto"/>
            <w:noWrap/>
            <w:vAlign w:val="center"/>
          </w:tcPr>
          <w:p w14:paraId="06379E53"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1EC18E0D"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02734F8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2,707</w:t>
            </w:r>
          </w:p>
        </w:tc>
        <w:tc>
          <w:tcPr>
            <w:tcW w:w="992" w:type="dxa"/>
            <w:shd w:val="clear" w:color="auto" w:fill="auto"/>
            <w:noWrap/>
            <w:vAlign w:val="center"/>
          </w:tcPr>
          <w:p w14:paraId="1CBEE0D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2,336</w:t>
            </w:r>
          </w:p>
        </w:tc>
        <w:tc>
          <w:tcPr>
            <w:tcW w:w="851" w:type="dxa"/>
            <w:shd w:val="clear" w:color="auto" w:fill="auto"/>
            <w:noWrap/>
            <w:vAlign w:val="center"/>
          </w:tcPr>
          <w:p w14:paraId="61C42FB5"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2,336</w:t>
            </w:r>
          </w:p>
        </w:tc>
        <w:tc>
          <w:tcPr>
            <w:tcW w:w="850" w:type="dxa"/>
            <w:shd w:val="clear" w:color="auto" w:fill="auto"/>
            <w:noWrap/>
            <w:vAlign w:val="center"/>
          </w:tcPr>
          <w:p w14:paraId="3E672BE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1,966</w:t>
            </w:r>
          </w:p>
        </w:tc>
        <w:tc>
          <w:tcPr>
            <w:tcW w:w="851" w:type="dxa"/>
            <w:shd w:val="clear" w:color="auto" w:fill="auto"/>
            <w:noWrap/>
            <w:vAlign w:val="center"/>
          </w:tcPr>
          <w:p w14:paraId="170C7ED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146</w:t>
            </w:r>
          </w:p>
        </w:tc>
        <w:tc>
          <w:tcPr>
            <w:tcW w:w="992" w:type="dxa"/>
            <w:shd w:val="clear" w:color="auto" w:fill="auto"/>
            <w:noWrap/>
            <w:vAlign w:val="center"/>
          </w:tcPr>
          <w:p w14:paraId="556A8E8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4C08DDF3" w14:textId="77777777">
        <w:trPr>
          <w:trHeight w:val="300"/>
          <w:jc w:val="center"/>
        </w:trPr>
        <w:tc>
          <w:tcPr>
            <w:tcW w:w="638" w:type="dxa"/>
            <w:shd w:val="clear" w:color="auto" w:fill="auto"/>
            <w:noWrap/>
            <w:vAlign w:val="center"/>
          </w:tcPr>
          <w:p w14:paraId="7A26670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2.7</w:t>
            </w:r>
          </w:p>
        </w:tc>
        <w:tc>
          <w:tcPr>
            <w:tcW w:w="1757" w:type="dxa"/>
            <w:shd w:val="clear" w:color="auto" w:fill="auto"/>
            <w:noWrap/>
            <w:vAlign w:val="center"/>
          </w:tcPr>
          <w:p w14:paraId="2E4B7CB1"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所得税</w:t>
            </w:r>
          </w:p>
        </w:tc>
        <w:tc>
          <w:tcPr>
            <w:tcW w:w="1060" w:type="dxa"/>
            <w:shd w:val="clear" w:color="auto" w:fill="auto"/>
            <w:noWrap/>
            <w:vAlign w:val="center"/>
          </w:tcPr>
          <w:p w14:paraId="20FB639A"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15,753</w:t>
            </w:r>
          </w:p>
        </w:tc>
        <w:tc>
          <w:tcPr>
            <w:tcW w:w="944" w:type="dxa"/>
            <w:shd w:val="clear" w:color="auto" w:fill="auto"/>
            <w:noWrap/>
            <w:vAlign w:val="center"/>
          </w:tcPr>
          <w:p w14:paraId="6728C17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2193E19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4142C130"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4,493</w:t>
            </w:r>
          </w:p>
        </w:tc>
        <w:tc>
          <w:tcPr>
            <w:tcW w:w="992" w:type="dxa"/>
            <w:shd w:val="clear" w:color="auto" w:fill="auto"/>
            <w:noWrap/>
            <w:vAlign w:val="center"/>
          </w:tcPr>
          <w:p w14:paraId="38FA2C06"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3,878</w:t>
            </w:r>
          </w:p>
        </w:tc>
        <w:tc>
          <w:tcPr>
            <w:tcW w:w="851" w:type="dxa"/>
            <w:shd w:val="clear" w:color="auto" w:fill="auto"/>
            <w:noWrap/>
            <w:vAlign w:val="center"/>
          </w:tcPr>
          <w:p w14:paraId="7077B6F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3,878</w:t>
            </w:r>
          </w:p>
        </w:tc>
        <w:tc>
          <w:tcPr>
            <w:tcW w:w="850" w:type="dxa"/>
            <w:shd w:val="clear" w:color="auto" w:fill="auto"/>
            <w:noWrap/>
            <w:vAlign w:val="center"/>
          </w:tcPr>
          <w:p w14:paraId="3BB4462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3,151</w:t>
            </w:r>
          </w:p>
        </w:tc>
        <w:tc>
          <w:tcPr>
            <w:tcW w:w="851" w:type="dxa"/>
            <w:shd w:val="clear" w:color="auto" w:fill="auto"/>
            <w:noWrap/>
            <w:vAlign w:val="center"/>
          </w:tcPr>
          <w:p w14:paraId="0DF4273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6A90B1F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01685D2D" w14:textId="77777777">
        <w:trPr>
          <w:trHeight w:val="300"/>
          <w:jc w:val="center"/>
        </w:trPr>
        <w:tc>
          <w:tcPr>
            <w:tcW w:w="638" w:type="dxa"/>
            <w:shd w:val="clear" w:color="auto" w:fill="auto"/>
            <w:noWrap/>
            <w:vAlign w:val="center"/>
          </w:tcPr>
          <w:p w14:paraId="0B377F1C"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2.8</w:t>
            </w:r>
          </w:p>
        </w:tc>
        <w:tc>
          <w:tcPr>
            <w:tcW w:w="1757" w:type="dxa"/>
            <w:shd w:val="clear" w:color="auto" w:fill="auto"/>
            <w:noWrap/>
            <w:vAlign w:val="center"/>
          </w:tcPr>
          <w:p w14:paraId="6B1401C0" w14:textId="77777777" w:rsidR="00CC4C43" w:rsidRDefault="007731E0">
            <w:pPr>
              <w:widowControl/>
              <w:rPr>
                <w:rFonts w:ascii="宋体" w:hAnsi="宋体" w:cs="宋体"/>
                <w:color w:val="000000"/>
                <w:kern w:val="0"/>
                <w:sz w:val="15"/>
                <w:szCs w:val="15"/>
              </w:rPr>
            </w:pPr>
            <w:r>
              <w:rPr>
                <w:rFonts w:ascii="宋体" w:hAnsi="宋体" w:cs="宋体" w:hint="eastAsia"/>
                <w:color w:val="000000"/>
                <w:kern w:val="0"/>
                <w:sz w:val="15"/>
                <w:szCs w:val="15"/>
              </w:rPr>
              <w:t>股东预分配</w:t>
            </w:r>
          </w:p>
        </w:tc>
        <w:tc>
          <w:tcPr>
            <w:tcW w:w="1060" w:type="dxa"/>
            <w:shd w:val="clear" w:color="auto" w:fill="auto"/>
            <w:noWrap/>
            <w:vAlign w:val="center"/>
          </w:tcPr>
          <w:p w14:paraId="799425D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161,000</w:t>
            </w:r>
          </w:p>
        </w:tc>
        <w:tc>
          <w:tcPr>
            <w:tcW w:w="944" w:type="dxa"/>
            <w:shd w:val="clear" w:color="auto" w:fill="auto"/>
            <w:noWrap/>
            <w:vAlign w:val="center"/>
          </w:tcPr>
          <w:p w14:paraId="437DD76B"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4DBE040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1134" w:type="dxa"/>
            <w:shd w:val="clear" w:color="auto" w:fill="auto"/>
            <w:noWrap/>
            <w:vAlign w:val="center"/>
          </w:tcPr>
          <w:p w14:paraId="0DAC75EE"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44,000</w:t>
            </w:r>
          </w:p>
        </w:tc>
        <w:tc>
          <w:tcPr>
            <w:tcW w:w="992" w:type="dxa"/>
            <w:shd w:val="clear" w:color="auto" w:fill="auto"/>
            <w:noWrap/>
            <w:vAlign w:val="center"/>
          </w:tcPr>
          <w:p w14:paraId="2C34DD9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60,000</w:t>
            </w:r>
          </w:p>
        </w:tc>
        <w:tc>
          <w:tcPr>
            <w:tcW w:w="851" w:type="dxa"/>
            <w:shd w:val="clear" w:color="auto" w:fill="auto"/>
            <w:noWrap/>
            <w:vAlign w:val="center"/>
          </w:tcPr>
          <w:p w14:paraId="0325B131"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4,000</w:t>
            </w:r>
          </w:p>
        </w:tc>
        <w:tc>
          <w:tcPr>
            <w:tcW w:w="850" w:type="dxa"/>
            <w:shd w:val="clear" w:color="auto" w:fill="auto"/>
            <w:noWrap/>
            <w:vAlign w:val="center"/>
          </w:tcPr>
          <w:p w14:paraId="580B5547"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53,000</w:t>
            </w:r>
          </w:p>
        </w:tc>
        <w:tc>
          <w:tcPr>
            <w:tcW w:w="851" w:type="dxa"/>
            <w:shd w:val="clear" w:color="auto" w:fill="auto"/>
            <w:noWrap/>
            <w:vAlign w:val="center"/>
          </w:tcPr>
          <w:p w14:paraId="45D372A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c>
          <w:tcPr>
            <w:tcW w:w="992" w:type="dxa"/>
            <w:shd w:val="clear" w:color="auto" w:fill="auto"/>
            <w:noWrap/>
            <w:vAlign w:val="center"/>
          </w:tcPr>
          <w:p w14:paraId="5BE1D2FF"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0</w:t>
            </w:r>
          </w:p>
        </w:tc>
      </w:tr>
      <w:tr w:rsidR="00CC4C43" w14:paraId="26E740FC" w14:textId="77777777">
        <w:trPr>
          <w:trHeight w:val="300"/>
          <w:jc w:val="center"/>
        </w:trPr>
        <w:tc>
          <w:tcPr>
            <w:tcW w:w="638" w:type="dxa"/>
            <w:shd w:val="clear" w:color="auto" w:fill="auto"/>
            <w:noWrap/>
            <w:vAlign w:val="center"/>
          </w:tcPr>
          <w:p w14:paraId="1BCB4757"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3</w:t>
            </w:r>
          </w:p>
        </w:tc>
        <w:tc>
          <w:tcPr>
            <w:tcW w:w="1757" w:type="dxa"/>
            <w:shd w:val="clear" w:color="auto" w:fill="auto"/>
            <w:noWrap/>
            <w:vAlign w:val="center"/>
          </w:tcPr>
          <w:p w14:paraId="607C8CBA" w14:textId="77777777" w:rsidR="00CC4C43" w:rsidRDefault="007731E0">
            <w:pPr>
              <w:widowControl/>
              <w:rPr>
                <w:rFonts w:ascii="宋体" w:hAnsi="宋体" w:cs="宋体"/>
                <w:b/>
                <w:bCs/>
                <w:color w:val="000000"/>
                <w:kern w:val="0"/>
                <w:sz w:val="15"/>
                <w:szCs w:val="15"/>
              </w:rPr>
            </w:pPr>
            <w:r>
              <w:rPr>
                <w:rFonts w:ascii="宋体" w:hAnsi="宋体" w:cs="宋体" w:hint="eastAsia"/>
                <w:b/>
                <w:bCs/>
                <w:color w:val="000000"/>
                <w:kern w:val="0"/>
                <w:sz w:val="15"/>
                <w:szCs w:val="15"/>
              </w:rPr>
              <w:t>净现金流量</w:t>
            </w:r>
          </w:p>
        </w:tc>
        <w:tc>
          <w:tcPr>
            <w:tcW w:w="1060" w:type="dxa"/>
            <w:shd w:val="clear" w:color="auto" w:fill="auto"/>
            <w:noWrap/>
            <w:vAlign w:val="center"/>
          </w:tcPr>
          <w:p w14:paraId="252FA2C9"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-36,903</w:t>
            </w:r>
          </w:p>
        </w:tc>
        <w:tc>
          <w:tcPr>
            <w:tcW w:w="944" w:type="dxa"/>
            <w:shd w:val="clear" w:color="auto" w:fill="auto"/>
            <w:noWrap/>
            <w:vAlign w:val="center"/>
          </w:tcPr>
          <w:p w14:paraId="2F84C7B2"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1,171</w:t>
            </w:r>
          </w:p>
        </w:tc>
        <w:tc>
          <w:tcPr>
            <w:tcW w:w="992" w:type="dxa"/>
            <w:shd w:val="clear" w:color="auto" w:fill="auto"/>
            <w:noWrap/>
            <w:vAlign w:val="center"/>
          </w:tcPr>
          <w:p w14:paraId="13EDC6DE"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44,669</w:t>
            </w:r>
          </w:p>
        </w:tc>
        <w:tc>
          <w:tcPr>
            <w:tcW w:w="1134" w:type="dxa"/>
            <w:shd w:val="clear" w:color="auto" w:fill="auto"/>
            <w:noWrap/>
            <w:vAlign w:val="center"/>
          </w:tcPr>
          <w:p w14:paraId="23F2E5E7"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-4,675</w:t>
            </w:r>
          </w:p>
        </w:tc>
        <w:tc>
          <w:tcPr>
            <w:tcW w:w="992" w:type="dxa"/>
            <w:shd w:val="clear" w:color="auto" w:fill="auto"/>
            <w:noWrap/>
            <w:vAlign w:val="center"/>
          </w:tcPr>
          <w:p w14:paraId="386A8BB0"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22,514</w:t>
            </w:r>
          </w:p>
        </w:tc>
        <w:tc>
          <w:tcPr>
            <w:tcW w:w="851" w:type="dxa"/>
            <w:shd w:val="clear" w:color="auto" w:fill="auto"/>
            <w:noWrap/>
            <w:vAlign w:val="center"/>
          </w:tcPr>
          <w:p w14:paraId="6A7D9E53"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-10,120</w:t>
            </w:r>
          </w:p>
        </w:tc>
        <w:tc>
          <w:tcPr>
            <w:tcW w:w="850" w:type="dxa"/>
            <w:shd w:val="clear" w:color="auto" w:fill="auto"/>
            <w:noWrap/>
            <w:vAlign w:val="center"/>
          </w:tcPr>
          <w:p w14:paraId="702FC99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-41,468</w:t>
            </w:r>
          </w:p>
        </w:tc>
        <w:tc>
          <w:tcPr>
            <w:tcW w:w="851" w:type="dxa"/>
            <w:shd w:val="clear" w:color="auto" w:fill="auto"/>
            <w:noWrap/>
            <w:vAlign w:val="center"/>
          </w:tcPr>
          <w:p w14:paraId="745688B7"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-1,464</w:t>
            </w:r>
          </w:p>
        </w:tc>
        <w:tc>
          <w:tcPr>
            <w:tcW w:w="992" w:type="dxa"/>
            <w:shd w:val="clear" w:color="auto" w:fill="auto"/>
            <w:noWrap/>
            <w:vAlign w:val="center"/>
          </w:tcPr>
          <w:p w14:paraId="36C7B7E9"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-47,530</w:t>
            </w:r>
          </w:p>
        </w:tc>
      </w:tr>
      <w:tr w:rsidR="00CC4C43" w14:paraId="1E122DB7" w14:textId="77777777">
        <w:trPr>
          <w:trHeight w:val="300"/>
          <w:jc w:val="center"/>
        </w:trPr>
        <w:tc>
          <w:tcPr>
            <w:tcW w:w="638" w:type="dxa"/>
            <w:shd w:val="clear" w:color="auto" w:fill="auto"/>
            <w:noWrap/>
            <w:vAlign w:val="center"/>
          </w:tcPr>
          <w:p w14:paraId="10B4C723"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w:t>
            </w:r>
          </w:p>
        </w:tc>
        <w:tc>
          <w:tcPr>
            <w:tcW w:w="1757" w:type="dxa"/>
            <w:shd w:val="clear" w:color="auto" w:fill="auto"/>
            <w:noWrap/>
            <w:vAlign w:val="center"/>
          </w:tcPr>
          <w:p w14:paraId="0248370D" w14:textId="77777777" w:rsidR="00CC4C43" w:rsidRDefault="007731E0">
            <w:pPr>
              <w:widowControl/>
              <w:jc w:val="left"/>
              <w:rPr>
                <w:rFonts w:ascii="宋体" w:hAnsi="宋体" w:cs="宋体"/>
                <w:b/>
                <w:bCs/>
                <w:color w:val="000000"/>
                <w:kern w:val="0"/>
                <w:sz w:val="15"/>
                <w:szCs w:val="15"/>
              </w:rPr>
            </w:pPr>
            <w:r>
              <w:rPr>
                <w:rFonts w:ascii="宋体" w:hAnsi="宋体" w:cs="宋体" w:hint="eastAsia"/>
                <w:b/>
                <w:bCs/>
                <w:color w:val="000000"/>
                <w:kern w:val="0"/>
                <w:sz w:val="15"/>
                <w:szCs w:val="15"/>
              </w:rPr>
              <w:t>累计净现金流</w:t>
            </w:r>
          </w:p>
        </w:tc>
        <w:tc>
          <w:tcPr>
            <w:tcW w:w="1060" w:type="dxa"/>
            <w:shd w:val="clear" w:color="auto" w:fill="auto"/>
            <w:noWrap/>
            <w:vAlign w:val="center"/>
          </w:tcPr>
          <w:p w14:paraId="27749D14" w14:textId="77777777" w:rsidR="00CC4C43" w:rsidRDefault="007731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944" w:type="dxa"/>
            <w:shd w:val="clear" w:color="auto" w:fill="auto"/>
            <w:noWrap/>
            <w:vAlign w:val="center"/>
          </w:tcPr>
          <w:p w14:paraId="3FBADA51"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1,171</w:t>
            </w:r>
          </w:p>
        </w:tc>
        <w:tc>
          <w:tcPr>
            <w:tcW w:w="992" w:type="dxa"/>
            <w:shd w:val="clear" w:color="auto" w:fill="auto"/>
            <w:noWrap/>
            <w:vAlign w:val="center"/>
          </w:tcPr>
          <w:p w14:paraId="7E561BEE"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45,840</w:t>
            </w:r>
          </w:p>
        </w:tc>
        <w:tc>
          <w:tcPr>
            <w:tcW w:w="1134" w:type="dxa"/>
            <w:shd w:val="clear" w:color="auto" w:fill="auto"/>
            <w:noWrap/>
            <w:vAlign w:val="center"/>
          </w:tcPr>
          <w:p w14:paraId="487A76BE"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41,165</w:t>
            </w:r>
          </w:p>
        </w:tc>
        <w:tc>
          <w:tcPr>
            <w:tcW w:w="992" w:type="dxa"/>
            <w:shd w:val="clear" w:color="auto" w:fill="auto"/>
            <w:noWrap/>
            <w:vAlign w:val="center"/>
          </w:tcPr>
          <w:p w14:paraId="1D2A257A"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63,680</w:t>
            </w:r>
          </w:p>
        </w:tc>
        <w:tc>
          <w:tcPr>
            <w:tcW w:w="851" w:type="dxa"/>
            <w:shd w:val="clear" w:color="auto" w:fill="auto"/>
            <w:noWrap/>
            <w:vAlign w:val="center"/>
          </w:tcPr>
          <w:p w14:paraId="74EC739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53,559</w:t>
            </w:r>
          </w:p>
        </w:tc>
        <w:tc>
          <w:tcPr>
            <w:tcW w:w="850" w:type="dxa"/>
            <w:shd w:val="clear" w:color="auto" w:fill="auto"/>
            <w:noWrap/>
            <w:vAlign w:val="center"/>
          </w:tcPr>
          <w:p w14:paraId="2E1C3404"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12,091</w:t>
            </w:r>
          </w:p>
        </w:tc>
        <w:tc>
          <w:tcPr>
            <w:tcW w:w="851" w:type="dxa"/>
            <w:shd w:val="clear" w:color="auto" w:fill="auto"/>
            <w:noWrap/>
            <w:vAlign w:val="center"/>
          </w:tcPr>
          <w:p w14:paraId="0B04392D"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10,627</w:t>
            </w:r>
          </w:p>
        </w:tc>
        <w:tc>
          <w:tcPr>
            <w:tcW w:w="992" w:type="dxa"/>
            <w:shd w:val="clear" w:color="auto" w:fill="auto"/>
            <w:noWrap/>
            <w:vAlign w:val="center"/>
          </w:tcPr>
          <w:p w14:paraId="3C121DE8" w14:textId="77777777" w:rsidR="00CC4C43" w:rsidRDefault="007731E0">
            <w:pPr>
              <w:widowControl/>
              <w:jc w:val="center"/>
              <w:rPr>
                <w:rFonts w:ascii="宋体" w:hAnsi="宋体" w:cs="宋体"/>
                <w:b/>
                <w:bCs/>
                <w:color w:val="000000"/>
                <w:kern w:val="0"/>
                <w:sz w:val="15"/>
                <w:szCs w:val="15"/>
              </w:rPr>
            </w:pPr>
            <w:r>
              <w:rPr>
                <w:rFonts w:ascii="宋体" w:hAnsi="宋体" w:cs="宋体" w:hint="eastAsia"/>
                <w:b/>
                <w:bCs/>
                <w:color w:val="000000"/>
                <w:kern w:val="0"/>
                <w:sz w:val="15"/>
                <w:szCs w:val="15"/>
              </w:rPr>
              <w:t>-36,903</w:t>
            </w:r>
          </w:p>
        </w:tc>
      </w:tr>
    </w:tbl>
    <w:p w14:paraId="3A70968E" w14:textId="77777777" w:rsidR="00CC4C43" w:rsidRDefault="00CC4C43">
      <w:pPr>
        <w:spacing w:line="360" w:lineRule="auto"/>
        <w:contextualSpacing/>
        <w:outlineLvl w:val="0"/>
        <w:rPr>
          <w:rFonts w:ascii="Times New Roman" w:eastAsia="楷体_GB2312" w:hAnsi="Times New Roman"/>
          <w:sz w:val="24"/>
          <w:szCs w:val="24"/>
        </w:rPr>
      </w:pPr>
    </w:p>
    <w:sectPr w:rsidR="00CC4C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436F4" w14:textId="77777777" w:rsidR="008B4A6F" w:rsidRDefault="008B4A6F">
      <w:r>
        <w:separator/>
      </w:r>
    </w:p>
  </w:endnote>
  <w:endnote w:type="continuationSeparator" w:id="0">
    <w:p w14:paraId="1F31FBD0" w14:textId="77777777" w:rsidR="008B4A6F" w:rsidRDefault="008B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C9F00" w14:textId="77777777" w:rsidR="00CC4C43" w:rsidRDefault="007731E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E27E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E27E5">
      <w:rPr>
        <w:b/>
        <w:bCs/>
        <w:noProof/>
      </w:rPr>
      <w:t>26</w:t>
    </w:r>
    <w:r>
      <w:rPr>
        <w:b/>
        <w:bCs/>
        <w:sz w:val="24"/>
        <w:szCs w:val="24"/>
      </w:rPr>
      <w:fldChar w:fldCharType="end"/>
    </w:r>
  </w:p>
  <w:p w14:paraId="035C8C0F" w14:textId="77777777" w:rsidR="00CC4C43" w:rsidRDefault="00CC4C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9D928" w14:textId="77777777" w:rsidR="008B4A6F" w:rsidRDefault="008B4A6F">
      <w:r>
        <w:separator/>
      </w:r>
    </w:p>
  </w:footnote>
  <w:footnote w:type="continuationSeparator" w:id="0">
    <w:p w14:paraId="4E7913D7" w14:textId="77777777" w:rsidR="008B4A6F" w:rsidRDefault="008B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20"/>
    <w:rsid w:val="0000340E"/>
    <w:rsid w:val="0000467D"/>
    <w:rsid w:val="0001091F"/>
    <w:rsid w:val="00011D8E"/>
    <w:rsid w:val="00011E3E"/>
    <w:rsid w:val="00013BA2"/>
    <w:rsid w:val="00014F1F"/>
    <w:rsid w:val="00016187"/>
    <w:rsid w:val="00016CE5"/>
    <w:rsid w:val="00020B7B"/>
    <w:rsid w:val="00021A25"/>
    <w:rsid w:val="00022C87"/>
    <w:rsid w:val="0002359E"/>
    <w:rsid w:val="000243B4"/>
    <w:rsid w:val="00030C4A"/>
    <w:rsid w:val="00031ACB"/>
    <w:rsid w:val="00032A58"/>
    <w:rsid w:val="00034348"/>
    <w:rsid w:val="00035109"/>
    <w:rsid w:val="000359FA"/>
    <w:rsid w:val="00036E05"/>
    <w:rsid w:val="00037350"/>
    <w:rsid w:val="00037FB8"/>
    <w:rsid w:val="0004188F"/>
    <w:rsid w:val="000442A3"/>
    <w:rsid w:val="00051CB5"/>
    <w:rsid w:val="000535DD"/>
    <w:rsid w:val="000544CB"/>
    <w:rsid w:val="00054FD3"/>
    <w:rsid w:val="00056641"/>
    <w:rsid w:val="000575A2"/>
    <w:rsid w:val="00062445"/>
    <w:rsid w:val="000628BE"/>
    <w:rsid w:val="00070D87"/>
    <w:rsid w:val="000715BC"/>
    <w:rsid w:val="000718A1"/>
    <w:rsid w:val="00071D10"/>
    <w:rsid w:val="00073977"/>
    <w:rsid w:val="000739FF"/>
    <w:rsid w:val="000759B6"/>
    <w:rsid w:val="00075D86"/>
    <w:rsid w:val="00081140"/>
    <w:rsid w:val="0008176C"/>
    <w:rsid w:val="0008196B"/>
    <w:rsid w:val="000821DD"/>
    <w:rsid w:val="00083A3C"/>
    <w:rsid w:val="0008454F"/>
    <w:rsid w:val="000860DB"/>
    <w:rsid w:val="00086F1D"/>
    <w:rsid w:val="00087106"/>
    <w:rsid w:val="0009196B"/>
    <w:rsid w:val="00091CFC"/>
    <w:rsid w:val="0009354A"/>
    <w:rsid w:val="00094C09"/>
    <w:rsid w:val="00095517"/>
    <w:rsid w:val="000959AE"/>
    <w:rsid w:val="00095DEC"/>
    <w:rsid w:val="00096955"/>
    <w:rsid w:val="000971F9"/>
    <w:rsid w:val="000A088F"/>
    <w:rsid w:val="000A4BB4"/>
    <w:rsid w:val="000A5675"/>
    <w:rsid w:val="000A74F2"/>
    <w:rsid w:val="000B0A64"/>
    <w:rsid w:val="000B2311"/>
    <w:rsid w:val="000B2414"/>
    <w:rsid w:val="000B397D"/>
    <w:rsid w:val="000B583A"/>
    <w:rsid w:val="000B7C55"/>
    <w:rsid w:val="000C09BD"/>
    <w:rsid w:val="000C3714"/>
    <w:rsid w:val="000C727E"/>
    <w:rsid w:val="000D0F79"/>
    <w:rsid w:val="000D20E9"/>
    <w:rsid w:val="000D286A"/>
    <w:rsid w:val="000D3E28"/>
    <w:rsid w:val="000D3E78"/>
    <w:rsid w:val="000D3F38"/>
    <w:rsid w:val="000D4773"/>
    <w:rsid w:val="000D49B5"/>
    <w:rsid w:val="000D4E84"/>
    <w:rsid w:val="000D5449"/>
    <w:rsid w:val="000E07F1"/>
    <w:rsid w:val="000E114A"/>
    <w:rsid w:val="000E182D"/>
    <w:rsid w:val="000E2AA2"/>
    <w:rsid w:val="000E2EEB"/>
    <w:rsid w:val="000E2EFB"/>
    <w:rsid w:val="000E2F02"/>
    <w:rsid w:val="000E54A1"/>
    <w:rsid w:val="000E60CE"/>
    <w:rsid w:val="000E70B9"/>
    <w:rsid w:val="000E7B2F"/>
    <w:rsid w:val="000F4739"/>
    <w:rsid w:val="000F5649"/>
    <w:rsid w:val="000F72A6"/>
    <w:rsid w:val="001000A4"/>
    <w:rsid w:val="0010126B"/>
    <w:rsid w:val="00101308"/>
    <w:rsid w:val="0010301C"/>
    <w:rsid w:val="001038E7"/>
    <w:rsid w:val="001044B0"/>
    <w:rsid w:val="00104876"/>
    <w:rsid w:val="00104B76"/>
    <w:rsid w:val="001051E9"/>
    <w:rsid w:val="001063EB"/>
    <w:rsid w:val="00106CD6"/>
    <w:rsid w:val="001077B2"/>
    <w:rsid w:val="00107914"/>
    <w:rsid w:val="00107C88"/>
    <w:rsid w:val="00107EE7"/>
    <w:rsid w:val="00111467"/>
    <w:rsid w:val="0011381C"/>
    <w:rsid w:val="001146BF"/>
    <w:rsid w:val="00114708"/>
    <w:rsid w:val="001148FD"/>
    <w:rsid w:val="0011637C"/>
    <w:rsid w:val="0011642A"/>
    <w:rsid w:val="00117E6F"/>
    <w:rsid w:val="00120605"/>
    <w:rsid w:val="00123469"/>
    <w:rsid w:val="0012405D"/>
    <w:rsid w:val="001245FE"/>
    <w:rsid w:val="00124712"/>
    <w:rsid w:val="00125F10"/>
    <w:rsid w:val="0013080B"/>
    <w:rsid w:val="00130A2F"/>
    <w:rsid w:val="00134A33"/>
    <w:rsid w:val="00134FFE"/>
    <w:rsid w:val="001416E4"/>
    <w:rsid w:val="0014258E"/>
    <w:rsid w:val="00142E81"/>
    <w:rsid w:val="00144DEB"/>
    <w:rsid w:val="001459A9"/>
    <w:rsid w:val="001518CD"/>
    <w:rsid w:val="00151E52"/>
    <w:rsid w:val="00152869"/>
    <w:rsid w:val="00153869"/>
    <w:rsid w:val="0015444C"/>
    <w:rsid w:val="00155811"/>
    <w:rsid w:val="00156C3D"/>
    <w:rsid w:val="00160DEA"/>
    <w:rsid w:val="001613FA"/>
    <w:rsid w:val="00161B86"/>
    <w:rsid w:val="00161F7A"/>
    <w:rsid w:val="001623BB"/>
    <w:rsid w:val="0016251F"/>
    <w:rsid w:val="00164B80"/>
    <w:rsid w:val="00166600"/>
    <w:rsid w:val="0016780A"/>
    <w:rsid w:val="00172A27"/>
    <w:rsid w:val="001750DA"/>
    <w:rsid w:val="001804E4"/>
    <w:rsid w:val="00181BF0"/>
    <w:rsid w:val="00183F5D"/>
    <w:rsid w:val="00184C04"/>
    <w:rsid w:val="00187647"/>
    <w:rsid w:val="00190BE8"/>
    <w:rsid w:val="001910F8"/>
    <w:rsid w:val="00192010"/>
    <w:rsid w:val="001925EA"/>
    <w:rsid w:val="00193926"/>
    <w:rsid w:val="00194177"/>
    <w:rsid w:val="00195C44"/>
    <w:rsid w:val="00196A23"/>
    <w:rsid w:val="001A041D"/>
    <w:rsid w:val="001A0A55"/>
    <w:rsid w:val="001A0CE8"/>
    <w:rsid w:val="001A0F2F"/>
    <w:rsid w:val="001A1BFE"/>
    <w:rsid w:val="001A230B"/>
    <w:rsid w:val="001A4919"/>
    <w:rsid w:val="001A5384"/>
    <w:rsid w:val="001A6670"/>
    <w:rsid w:val="001A700B"/>
    <w:rsid w:val="001A7F21"/>
    <w:rsid w:val="001B111E"/>
    <w:rsid w:val="001B1A71"/>
    <w:rsid w:val="001B1CFE"/>
    <w:rsid w:val="001B3197"/>
    <w:rsid w:val="001B3255"/>
    <w:rsid w:val="001B3DC5"/>
    <w:rsid w:val="001B4557"/>
    <w:rsid w:val="001B4AE9"/>
    <w:rsid w:val="001B78EE"/>
    <w:rsid w:val="001C1B7B"/>
    <w:rsid w:val="001C2218"/>
    <w:rsid w:val="001C415E"/>
    <w:rsid w:val="001C44A1"/>
    <w:rsid w:val="001C47AE"/>
    <w:rsid w:val="001C4CC6"/>
    <w:rsid w:val="001C5657"/>
    <w:rsid w:val="001C5F2E"/>
    <w:rsid w:val="001C6388"/>
    <w:rsid w:val="001C6436"/>
    <w:rsid w:val="001C7452"/>
    <w:rsid w:val="001D01B5"/>
    <w:rsid w:val="001D0C25"/>
    <w:rsid w:val="001D1D0F"/>
    <w:rsid w:val="001D4170"/>
    <w:rsid w:val="001D45A5"/>
    <w:rsid w:val="001D523E"/>
    <w:rsid w:val="001D65B4"/>
    <w:rsid w:val="001D73C4"/>
    <w:rsid w:val="001E1008"/>
    <w:rsid w:val="001E2147"/>
    <w:rsid w:val="001E27E5"/>
    <w:rsid w:val="001E3C67"/>
    <w:rsid w:val="001E4C81"/>
    <w:rsid w:val="001E7BE0"/>
    <w:rsid w:val="001F1F6B"/>
    <w:rsid w:val="001F2E05"/>
    <w:rsid w:val="001F7DC7"/>
    <w:rsid w:val="002003FF"/>
    <w:rsid w:val="002007E9"/>
    <w:rsid w:val="00203E19"/>
    <w:rsid w:val="0020596F"/>
    <w:rsid w:val="002067FF"/>
    <w:rsid w:val="00211667"/>
    <w:rsid w:val="002129F9"/>
    <w:rsid w:val="0021317F"/>
    <w:rsid w:val="00213590"/>
    <w:rsid w:val="00216D48"/>
    <w:rsid w:val="002173AA"/>
    <w:rsid w:val="00217A8E"/>
    <w:rsid w:val="002224E8"/>
    <w:rsid w:val="00226DCA"/>
    <w:rsid w:val="0023106D"/>
    <w:rsid w:val="00231567"/>
    <w:rsid w:val="00232EB9"/>
    <w:rsid w:val="0023463D"/>
    <w:rsid w:val="0024145F"/>
    <w:rsid w:val="0024196B"/>
    <w:rsid w:val="00242BA5"/>
    <w:rsid w:val="00245E91"/>
    <w:rsid w:val="00246C8C"/>
    <w:rsid w:val="00250322"/>
    <w:rsid w:val="0025050E"/>
    <w:rsid w:val="002514B2"/>
    <w:rsid w:val="002523D8"/>
    <w:rsid w:val="0025363D"/>
    <w:rsid w:val="0025536E"/>
    <w:rsid w:val="0025561F"/>
    <w:rsid w:val="002558A1"/>
    <w:rsid w:val="00256172"/>
    <w:rsid w:val="002573C9"/>
    <w:rsid w:val="002602E0"/>
    <w:rsid w:val="00261DF7"/>
    <w:rsid w:val="002620F3"/>
    <w:rsid w:val="00262314"/>
    <w:rsid w:val="00263193"/>
    <w:rsid w:val="00263894"/>
    <w:rsid w:val="00264671"/>
    <w:rsid w:val="00265487"/>
    <w:rsid w:val="00267660"/>
    <w:rsid w:val="0027041F"/>
    <w:rsid w:val="00271F23"/>
    <w:rsid w:val="002722B4"/>
    <w:rsid w:val="002724E3"/>
    <w:rsid w:val="002731C2"/>
    <w:rsid w:val="002736A6"/>
    <w:rsid w:val="0027410D"/>
    <w:rsid w:val="00274A0E"/>
    <w:rsid w:val="00274E4B"/>
    <w:rsid w:val="00276044"/>
    <w:rsid w:val="00276B8C"/>
    <w:rsid w:val="0027764A"/>
    <w:rsid w:val="00277DDC"/>
    <w:rsid w:val="00282A76"/>
    <w:rsid w:val="00283C3E"/>
    <w:rsid w:val="00285493"/>
    <w:rsid w:val="0028609C"/>
    <w:rsid w:val="00286415"/>
    <w:rsid w:val="00290A6E"/>
    <w:rsid w:val="00290D46"/>
    <w:rsid w:val="002915B0"/>
    <w:rsid w:val="002915FD"/>
    <w:rsid w:val="002933A6"/>
    <w:rsid w:val="00295B38"/>
    <w:rsid w:val="0029630D"/>
    <w:rsid w:val="002A0A55"/>
    <w:rsid w:val="002A0AE7"/>
    <w:rsid w:val="002A2B52"/>
    <w:rsid w:val="002A2C75"/>
    <w:rsid w:val="002A4F8F"/>
    <w:rsid w:val="002A50F9"/>
    <w:rsid w:val="002B0167"/>
    <w:rsid w:val="002B0F8E"/>
    <w:rsid w:val="002B2268"/>
    <w:rsid w:val="002B4295"/>
    <w:rsid w:val="002B54C4"/>
    <w:rsid w:val="002B5873"/>
    <w:rsid w:val="002B6649"/>
    <w:rsid w:val="002B7FB6"/>
    <w:rsid w:val="002C1390"/>
    <w:rsid w:val="002C46B8"/>
    <w:rsid w:val="002C5E29"/>
    <w:rsid w:val="002C74B5"/>
    <w:rsid w:val="002D1402"/>
    <w:rsid w:val="002D1E0E"/>
    <w:rsid w:val="002D2A09"/>
    <w:rsid w:val="002D3047"/>
    <w:rsid w:val="002D3921"/>
    <w:rsid w:val="002D4B40"/>
    <w:rsid w:val="002D5ABC"/>
    <w:rsid w:val="002E128F"/>
    <w:rsid w:val="002E4B99"/>
    <w:rsid w:val="002E4EC4"/>
    <w:rsid w:val="002E64C5"/>
    <w:rsid w:val="002E67D3"/>
    <w:rsid w:val="002F0D30"/>
    <w:rsid w:val="002F45FA"/>
    <w:rsid w:val="002F69CB"/>
    <w:rsid w:val="002F6AE4"/>
    <w:rsid w:val="002F7255"/>
    <w:rsid w:val="003006BA"/>
    <w:rsid w:val="00301DA4"/>
    <w:rsid w:val="003020B6"/>
    <w:rsid w:val="00302C36"/>
    <w:rsid w:val="003033EC"/>
    <w:rsid w:val="00305FB3"/>
    <w:rsid w:val="00306F0E"/>
    <w:rsid w:val="00307A64"/>
    <w:rsid w:val="003107B3"/>
    <w:rsid w:val="00311782"/>
    <w:rsid w:val="003133F1"/>
    <w:rsid w:val="00314260"/>
    <w:rsid w:val="00314436"/>
    <w:rsid w:val="00315F3C"/>
    <w:rsid w:val="003164F7"/>
    <w:rsid w:val="003168CC"/>
    <w:rsid w:val="00320C39"/>
    <w:rsid w:val="003223C4"/>
    <w:rsid w:val="00323BF5"/>
    <w:rsid w:val="00325B74"/>
    <w:rsid w:val="003278E6"/>
    <w:rsid w:val="00330878"/>
    <w:rsid w:val="003315E3"/>
    <w:rsid w:val="003321B8"/>
    <w:rsid w:val="0033450E"/>
    <w:rsid w:val="003352DF"/>
    <w:rsid w:val="00336077"/>
    <w:rsid w:val="00336BD9"/>
    <w:rsid w:val="00337FC8"/>
    <w:rsid w:val="00340E31"/>
    <w:rsid w:val="00342191"/>
    <w:rsid w:val="003427FF"/>
    <w:rsid w:val="00344006"/>
    <w:rsid w:val="003464A7"/>
    <w:rsid w:val="00352EE0"/>
    <w:rsid w:val="00354D2C"/>
    <w:rsid w:val="003578DE"/>
    <w:rsid w:val="00364DED"/>
    <w:rsid w:val="003651E3"/>
    <w:rsid w:val="0036579F"/>
    <w:rsid w:val="0036584A"/>
    <w:rsid w:val="00367FDD"/>
    <w:rsid w:val="003711B2"/>
    <w:rsid w:val="0037135D"/>
    <w:rsid w:val="0037197E"/>
    <w:rsid w:val="00371C4F"/>
    <w:rsid w:val="00373FF5"/>
    <w:rsid w:val="00377329"/>
    <w:rsid w:val="003777AF"/>
    <w:rsid w:val="003824E9"/>
    <w:rsid w:val="00382B64"/>
    <w:rsid w:val="00384F6C"/>
    <w:rsid w:val="003856A6"/>
    <w:rsid w:val="00386966"/>
    <w:rsid w:val="003909B3"/>
    <w:rsid w:val="0039301A"/>
    <w:rsid w:val="0039338D"/>
    <w:rsid w:val="003948F5"/>
    <w:rsid w:val="00394A9A"/>
    <w:rsid w:val="0039650B"/>
    <w:rsid w:val="003A0D92"/>
    <w:rsid w:val="003A2733"/>
    <w:rsid w:val="003A29A3"/>
    <w:rsid w:val="003A32B2"/>
    <w:rsid w:val="003B0B06"/>
    <w:rsid w:val="003B20B5"/>
    <w:rsid w:val="003B2391"/>
    <w:rsid w:val="003B438E"/>
    <w:rsid w:val="003B483B"/>
    <w:rsid w:val="003B5943"/>
    <w:rsid w:val="003C023D"/>
    <w:rsid w:val="003C20FB"/>
    <w:rsid w:val="003C26A8"/>
    <w:rsid w:val="003C3B2E"/>
    <w:rsid w:val="003C6F1C"/>
    <w:rsid w:val="003D19D1"/>
    <w:rsid w:val="003D3D40"/>
    <w:rsid w:val="003D43B7"/>
    <w:rsid w:val="003D509E"/>
    <w:rsid w:val="003D6472"/>
    <w:rsid w:val="003D68F8"/>
    <w:rsid w:val="003D6A84"/>
    <w:rsid w:val="003D6A8E"/>
    <w:rsid w:val="003D6EA1"/>
    <w:rsid w:val="003D714D"/>
    <w:rsid w:val="003D7375"/>
    <w:rsid w:val="003D7BF6"/>
    <w:rsid w:val="003E102D"/>
    <w:rsid w:val="003E2914"/>
    <w:rsid w:val="003E6166"/>
    <w:rsid w:val="003E79A2"/>
    <w:rsid w:val="003F0496"/>
    <w:rsid w:val="003F17D1"/>
    <w:rsid w:val="003F2526"/>
    <w:rsid w:val="003F3C22"/>
    <w:rsid w:val="003F3E4E"/>
    <w:rsid w:val="003F4531"/>
    <w:rsid w:val="004027EF"/>
    <w:rsid w:val="004039AB"/>
    <w:rsid w:val="00405720"/>
    <w:rsid w:val="00405ADC"/>
    <w:rsid w:val="00411D8A"/>
    <w:rsid w:val="004127B8"/>
    <w:rsid w:val="004147A0"/>
    <w:rsid w:val="00420C8A"/>
    <w:rsid w:val="0042100C"/>
    <w:rsid w:val="0042121F"/>
    <w:rsid w:val="00421B10"/>
    <w:rsid w:val="00421D87"/>
    <w:rsid w:val="0042741E"/>
    <w:rsid w:val="00427F66"/>
    <w:rsid w:val="00430539"/>
    <w:rsid w:val="00430CF5"/>
    <w:rsid w:val="004326C4"/>
    <w:rsid w:val="00432769"/>
    <w:rsid w:val="00433065"/>
    <w:rsid w:val="00433BC6"/>
    <w:rsid w:val="00434540"/>
    <w:rsid w:val="004346A1"/>
    <w:rsid w:val="00435147"/>
    <w:rsid w:val="00435B8B"/>
    <w:rsid w:val="00435D65"/>
    <w:rsid w:val="00436B47"/>
    <w:rsid w:val="00437129"/>
    <w:rsid w:val="00437D3C"/>
    <w:rsid w:val="004405D2"/>
    <w:rsid w:val="00441FD1"/>
    <w:rsid w:val="00443FF2"/>
    <w:rsid w:val="004468B9"/>
    <w:rsid w:val="00452E63"/>
    <w:rsid w:val="004535DA"/>
    <w:rsid w:val="00461473"/>
    <w:rsid w:val="00463396"/>
    <w:rsid w:val="00463E12"/>
    <w:rsid w:val="004645A7"/>
    <w:rsid w:val="00464C27"/>
    <w:rsid w:val="00467504"/>
    <w:rsid w:val="004675C3"/>
    <w:rsid w:val="0047313B"/>
    <w:rsid w:val="00473274"/>
    <w:rsid w:val="00473D84"/>
    <w:rsid w:val="00473EAC"/>
    <w:rsid w:val="00474419"/>
    <w:rsid w:val="00475D77"/>
    <w:rsid w:val="00480CE0"/>
    <w:rsid w:val="00484182"/>
    <w:rsid w:val="0048507F"/>
    <w:rsid w:val="0048640D"/>
    <w:rsid w:val="004864BE"/>
    <w:rsid w:val="004901BE"/>
    <w:rsid w:val="00490207"/>
    <w:rsid w:val="00491541"/>
    <w:rsid w:val="0049295F"/>
    <w:rsid w:val="004934B9"/>
    <w:rsid w:val="004935CC"/>
    <w:rsid w:val="0049450A"/>
    <w:rsid w:val="00494B22"/>
    <w:rsid w:val="00494E3B"/>
    <w:rsid w:val="004978BE"/>
    <w:rsid w:val="004A023C"/>
    <w:rsid w:val="004A19F2"/>
    <w:rsid w:val="004A22D5"/>
    <w:rsid w:val="004A5ADD"/>
    <w:rsid w:val="004A5D9F"/>
    <w:rsid w:val="004A66CA"/>
    <w:rsid w:val="004A6B09"/>
    <w:rsid w:val="004A6CBA"/>
    <w:rsid w:val="004A6F85"/>
    <w:rsid w:val="004B5DE8"/>
    <w:rsid w:val="004B6E05"/>
    <w:rsid w:val="004B7125"/>
    <w:rsid w:val="004C08F3"/>
    <w:rsid w:val="004C14DC"/>
    <w:rsid w:val="004C1F24"/>
    <w:rsid w:val="004C31C6"/>
    <w:rsid w:val="004C3FFA"/>
    <w:rsid w:val="004C426A"/>
    <w:rsid w:val="004C46AB"/>
    <w:rsid w:val="004C6183"/>
    <w:rsid w:val="004C70B5"/>
    <w:rsid w:val="004C7689"/>
    <w:rsid w:val="004D1A31"/>
    <w:rsid w:val="004D3C4E"/>
    <w:rsid w:val="004D4C89"/>
    <w:rsid w:val="004D50D4"/>
    <w:rsid w:val="004D59FB"/>
    <w:rsid w:val="004D6CA4"/>
    <w:rsid w:val="004E1847"/>
    <w:rsid w:val="004E2392"/>
    <w:rsid w:val="004E2476"/>
    <w:rsid w:val="004E511C"/>
    <w:rsid w:val="004E7539"/>
    <w:rsid w:val="004F25A2"/>
    <w:rsid w:val="004F51CB"/>
    <w:rsid w:val="004F52CD"/>
    <w:rsid w:val="004F5F2E"/>
    <w:rsid w:val="004F68A9"/>
    <w:rsid w:val="004F7F19"/>
    <w:rsid w:val="00504B38"/>
    <w:rsid w:val="00512E30"/>
    <w:rsid w:val="005156F9"/>
    <w:rsid w:val="00515C87"/>
    <w:rsid w:val="00516A5F"/>
    <w:rsid w:val="005175AD"/>
    <w:rsid w:val="005219DE"/>
    <w:rsid w:val="00522155"/>
    <w:rsid w:val="00522AF6"/>
    <w:rsid w:val="00525B81"/>
    <w:rsid w:val="005268FE"/>
    <w:rsid w:val="0052724E"/>
    <w:rsid w:val="00527E5E"/>
    <w:rsid w:val="00535FB8"/>
    <w:rsid w:val="005365C2"/>
    <w:rsid w:val="005377C7"/>
    <w:rsid w:val="0054108C"/>
    <w:rsid w:val="00542F11"/>
    <w:rsid w:val="00544396"/>
    <w:rsid w:val="00545486"/>
    <w:rsid w:val="00545E3B"/>
    <w:rsid w:val="0054654C"/>
    <w:rsid w:val="0054791C"/>
    <w:rsid w:val="00547B59"/>
    <w:rsid w:val="00547B95"/>
    <w:rsid w:val="005504CB"/>
    <w:rsid w:val="00552058"/>
    <w:rsid w:val="00553501"/>
    <w:rsid w:val="0055470B"/>
    <w:rsid w:val="00554E8F"/>
    <w:rsid w:val="00555347"/>
    <w:rsid w:val="00555A89"/>
    <w:rsid w:val="00556690"/>
    <w:rsid w:val="005572E7"/>
    <w:rsid w:val="00561394"/>
    <w:rsid w:val="005662A4"/>
    <w:rsid w:val="0056679B"/>
    <w:rsid w:val="00566C29"/>
    <w:rsid w:val="005718ED"/>
    <w:rsid w:val="00572193"/>
    <w:rsid w:val="00572F45"/>
    <w:rsid w:val="005730B7"/>
    <w:rsid w:val="0057417B"/>
    <w:rsid w:val="0057432E"/>
    <w:rsid w:val="00576BC4"/>
    <w:rsid w:val="0057758B"/>
    <w:rsid w:val="00580D6A"/>
    <w:rsid w:val="005821E7"/>
    <w:rsid w:val="005860CB"/>
    <w:rsid w:val="00587176"/>
    <w:rsid w:val="00587E02"/>
    <w:rsid w:val="0059088D"/>
    <w:rsid w:val="005912E7"/>
    <w:rsid w:val="00593E51"/>
    <w:rsid w:val="00593F53"/>
    <w:rsid w:val="00594202"/>
    <w:rsid w:val="005951E5"/>
    <w:rsid w:val="00595C50"/>
    <w:rsid w:val="00595EF9"/>
    <w:rsid w:val="005961BF"/>
    <w:rsid w:val="005A00AB"/>
    <w:rsid w:val="005A2879"/>
    <w:rsid w:val="005A2D83"/>
    <w:rsid w:val="005A3EEC"/>
    <w:rsid w:val="005A4CF1"/>
    <w:rsid w:val="005A70E5"/>
    <w:rsid w:val="005B1C78"/>
    <w:rsid w:val="005B2C7F"/>
    <w:rsid w:val="005B495E"/>
    <w:rsid w:val="005B5C42"/>
    <w:rsid w:val="005B669D"/>
    <w:rsid w:val="005B7365"/>
    <w:rsid w:val="005C0C41"/>
    <w:rsid w:val="005C1441"/>
    <w:rsid w:val="005C23B5"/>
    <w:rsid w:val="005C44BB"/>
    <w:rsid w:val="005C4A3F"/>
    <w:rsid w:val="005C5E4E"/>
    <w:rsid w:val="005C651E"/>
    <w:rsid w:val="005D0271"/>
    <w:rsid w:val="005D04F9"/>
    <w:rsid w:val="005D138D"/>
    <w:rsid w:val="005D4CFB"/>
    <w:rsid w:val="005E0236"/>
    <w:rsid w:val="005E068D"/>
    <w:rsid w:val="005E099D"/>
    <w:rsid w:val="005E3FA2"/>
    <w:rsid w:val="005E54C5"/>
    <w:rsid w:val="005E708A"/>
    <w:rsid w:val="005E7995"/>
    <w:rsid w:val="005F064B"/>
    <w:rsid w:val="005F0684"/>
    <w:rsid w:val="005F0704"/>
    <w:rsid w:val="005F1887"/>
    <w:rsid w:val="005F1D52"/>
    <w:rsid w:val="005F34CC"/>
    <w:rsid w:val="00600098"/>
    <w:rsid w:val="00600894"/>
    <w:rsid w:val="006020F1"/>
    <w:rsid w:val="00603BBE"/>
    <w:rsid w:val="00603F8C"/>
    <w:rsid w:val="00605E76"/>
    <w:rsid w:val="00607188"/>
    <w:rsid w:val="006075EC"/>
    <w:rsid w:val="0061011D"/>
    <w:rsid w:val="006107AE"/>
    <w:rsid w:val="0061172D"/>
    <w:rsid w:val="00615761"/>
    <w:rsid w:val="006161EE"/>
    <w:rsid w:val="0062071F"/>
    <w:rsid w:val="00620DE0"/>
    <w:rsid w:val="00620F51"/>
    <w:rsid w:val="006224DD"/>
    <w:rsid w:val="00623996"/>
    <w:rsid w:val="006256BF"/>
    <w:rsid w:val="00630485"/>
    <w:rsid w:val="00633A88"/>
    <w:rsid w:val="00633DC5"/>
    <w:rsid w:val="00634841"/>
    <w:rsid w:val="00635149"/>
    <w:rsid w:val="006357D9"/>
    <w:rsid w:val="006370BE"/>
    <w:rsid w:val="006371A1"/>
    <w:rsid w:val="00637B1B"/>
    <w:rsid w:val="00637D79"/>
    <w:rsid w:val="006406AB"/>
    <w:rsid w:val="00640802"/>
    <w:rsid w:val="00640FC6"/>
    <w:rsid w:val="00641506"/>
    <w:rsid w:val="00642C83"/>
    <w:rsid w:val="006439A8"/>
    <w:rsid w:val="00645307"/>
    <w:rsid w:val="0064657E"/>
    <w:rsid w:val="006516B8"/>
    <w:rsid w:val="00651765"/>
    <w:rsid w:val="00652516"/>
    <w:rsid w:val="00652DE7"/>
    <w:rsid w:val="00653985"/>
    <w:rsid w:val="006543A1"/>
    <w:rsid w:val="00654736"/>
    <w:rsid w:val="006603D8"/>
    <w:rsid w:val="0066125A"/>
    <w:rsid w:val="00662A40"/>
    <w:rsid w:val="00665850"/>
    <w:rsid w:val="00665E83"/>
    <w:rsid w:val="006671E0"/>
    <w:rsid w:val="00667D1C"/>
    <w:rsid w:val="00671FD7"/>
    <w:rsid w:val="006727A2"/>
    <w:rsid w:val="00672A94"/>
    <w:rsid w:val="00673B8A"/>
    <w:rsid w:val="00673B99"/>
    <w:rsid w:val="00673C4D"/>
    <w:rsid w:val="006772A8"/>
    <w:rsid w:val="00681861"/>
    <w:rsid w:val="00682E04"/>
    <w:rsid w:val="00683101"/>
    <w:rsid w:val="00683239"/>
    <w:rsid w:val="00685F7A"/>
    <w:rsid w:val="00687C94"/>
    <w:rsid w:val="00691721"/>
    <w:rsid w:val="00692856"/>
    <w:rsid w:val="00697513"/>
    <w:rsid w:val="006A0CA7"/>
    <w:rsid w:val="006A1331"/>
    <w:rsid w:val="006A1EE9"/>
    <w:rsid w:val="006A21B2"/>
    <w:rsid w:val="006A27BB"/>
    <w:rsid w:val="006A3F67"/>
    <w:rsid w:val="006A6695"/>
    <w:rsid w:val="006A7D34"/>
    <w:rsid w:val="006B056C"/>
    <w:rsid w:val="006B1289"/>
    <w:rsid w:val="006B13B1"/>
    <w:rsid w:val="006B53E4"/>
    <w:rsid w:val="006B55C7"/>
    <w:rsid w:val="006B5A75"/>
    <w:rsid w:val="006B7BF9"/>
    <w:rsid w:val="006B7E15"/>
    <w:rsid w:val="006C0392"/>
    <w:rsid w:val="006C29F3"/>
    <w:rsid w:val="006C2C96"/>
    <w:rsid w:val="006C4462"/>
    <w:rsid w:val="006C6C40"/>
    <w:rsid w:val="006C77F8"/>
    <w:rsid w:val="006D23F0"/>
    <w:rsid w:val="006D31AB"/>
    <w:rsid w:val="006D4321"/>
    <w:rsid w:val="006D7101"/>
    <w:rsid w:val="006E4212"/>
    <w:rsid w:val="006E648A"/>
    <w:rsid w:val="006E76FB"/>
    <w:rsid w:val="006F2CE3"/>
    <w:rsid w:val="0070264F"/>
    <w:rsid w:val="00713F34"/>
    <w:rsid w:val="0071523B"/>
    <w:rsid w:val="00715F55"/>
    <w:rsid w:val="00717FB5"/>
    <w:rsid w:val="00720CAA"/>
    <w:rsid w:val="007228DD"/>
    <w:rsid w:val="00724586"/>
    <w:rsid w:val="0072476B"/>
    <w:rsid w:val="00724AE8"/>
    <w:rsid w:val="007268A8"/>
    <w:rsid w:val="007326E8"/>
    <w:rsid w:val="00732838"/>
    <w:rsid w:val="00732E0D"/>
    <w:rsid w:val="00733290"/>
    <w:rsid w:val="00733767"/>
    <w:rsid w:val="00733F42"/>
    <w:rsid w:val="00736161"/>
    <w:rsid w:val="0073789C"/>
    <w:rsid w:val="007408E0"/>
    <w:rsid w:val="00740B62"/>
    <w:rsid w:val="00742085"/>
    <w:rsid w:val="0074352C"/>
    <w:rsid w:val="007442EA"/>
    <w:rsid w:val="00744FC9"/>
    <w:rsid w:val="00745348"/>
    <w:rsid w:val="00745F17"/>
    <w:rsid w:val="007471A2"/>
    <w:rsid w:val="007501AF"/>
    <w:rsid w:val="007501E7"/>
    <w:rsid w:val="0075168F"/>
    <w:rsid w:val="0075375E"/>
    <w:rsid w:val="00754428"/>
    <w:rsid w:val="00754B51"/>
    <w:rsid w:val="00754C8B"/>
    <w:rsid w:val="00755ECD"/>
    <w:rsid w:val="007560F2"/>
    <w:rsid w:val="00757CA0"/>
    <w:rsid w:val="00757F42"/>
    <w:rsid w:val="0076059A"/>
    <w:rsid w:val="00760C09"/>
    <w:rsid w:val="00763606"/>
    <w:rsid w:val="00765DFA"/>
    <w:rsid w:val="00766508"/>
    <w:rsid w:val="007667C6"/>
    <w:rsid w:val="00766D80"/>
    <w:rsid w:val="007673E9"/>
    <w:rsid w:val="00770991"/>
    <w:rsid w:val="00770AC9"/>
    <w:rsid w:val="0077270A"/>
    <w:rsid w:val="007731E0"/>
    <w:rsid w:val="00775051"/>
    <w:rsid w:val="007750D8"/>
    <w:rsid w:val="007777FE"/>
    <w:rsid w:val="00780FE0"/>
    <w:rsid w:val="00782F82"/>
    <w:rsid w:val="0078447E"/>
    <w:rsid w:val="00785D3B"/>
    <w:rsid w:val="007903B6"/>
    <w:rsid w:val="00791402"/>
    <w:rsid w:val="00792A9D"/>
    <w:rsid w:val="00792B13"/>
    <w:rsid w:val="007930C7"/>
    <w:rsid w:val="00794E7E"/>
    <w:rsid w:val="00795D27"/>
    <w:rsid w:val="00797707"/>
    <w:rsid w:val="007A0CBA"/>
    <w:rsid w:val="007A1384"/>
    <w:rsid w:val="007A26F4"/>
    <w:rsid w:val="007A577A"/>
    <w:rsid w:val="007A583F"/>
    <w:rsid w:val="007A5E26"/>
    <w:rsid w:val="007A5F58"/>
    <w:rsid w:val="007A7516"/>
    <w:rsid w:val="007B089D"/>
    <w:rsid w:val="007B1D96"/>
    <w:rsid w:val="007B22E6"/>
    <w:rsid w:val="007B30AC"/>
    <w:rsid w:val="007B4EF4"/>
    <w:rsid w:val="007C2EE9"/>
    <w:rsid w:val="007C3F9D"/>
    <w:rsid w:val="007C688F"/>
    <w:rsid w:val="007D0140"/>
    <w:rsid w:val="007D10BC"/>
    <w:rsid w:val="007D1EAE"/>
    <w:rsid w:val="007D3A08"/>
    <w:rsid w:val="007D489B"/>
    <w:rsid w:val="007D5654"/>
    <w:rsid w:val="007D72BD"/>
    <w:rsid w:val="007D7B10"/>
    <w:rsid w:val="007D7EAE"/>
    <w:rsid w:val="007E116C"/>
    <w:rsid w:val="007E1C17"/>
    <w:rsid w:val="007E2955"/>
    <w:rsid w:val="007E29EB"/>
    <w:rsid w:val="007E3A8E"/>
    <w:rsid w:val="007E4218"/>
    <w:rsid w:val="007E4DF7"/>
    <w:rsid w:val="007E5ADE"/>
    <w:rsid w:val="007E7D42"/>
    <w:rsid w:val="007F2C67"/>
    <w:rsid w:val="007F3A7D"/>
    <w:rsid w:val="007F7214"/>
    <w:rsid w:val="00801599"/>
    <w:rsid w:val="0080552B"/>
    <w:rsid w:val="008103C6"/>
    <w:rsid w:val="00810537"/>
    <w:rsid w:val="00811AB4"/>
    <w:rsid w:val="00812A0A"/>
    <w:rsid w:val="008133A9"/>
    <w:rsid w:val="00815440"/>
    <w:rsid w:val="0081767C"/>
    <w:rsid w:val="00817F72"/>
    <w:rsid w:val="008207D2"/>
    <w:rsid w:val="008211BA"/>
    <w:rsid w:val="008223F2"/>
    <w:rsid w:val="0082308B"/>
    <w:rsid w:val="0082405E"/>
    <w:rsid w:val="008244DF"/>
    <w:rsid w:val="008248BE"/>
    <w:rsid w:val="00824A93"/>
    <w:rsid w:val="008254BE"/>
    <w:rsid w:val="008257E1"/>
    <w:rsid w:val="00831357"/>
    <w:rsid w:val="00831C7F"/>
    <w:rsid w:val="00832258"/>
    <w:rsid w:val="00832709"/>
    <w:rsid w:val="00833324"/>
    <w:rsid w:val="008363CB"/>
    <w:rsid w:val="00841C8F"/>
    <w:rsid w:val="0084216D"/>
    <w:rsid w:val="00843D9D"/>
    <w:rsid w:val="008472A4"/>
    <w:rsid w:val="0084757C"/>
    <w:rsid w:val="00850694"/>
    <w:rsid w:val="008520E3"/>
    <w:rsid w:val="00852B5C"/>
    <w:rsid w:val="00852D19"/>
    <w:rsid w:val="00854254"/>
    <w:rsid w:val="00856990"/>
    <w:rsid w:val="008574B9"/>
    <w:rsid w:val="0086176D"/>
    <w:rsid w:val="008621A1"/>
    <w:rsid w:val="00862A28"/>
    <w:rsid w:val="00862B32"/>
    <w:rsid w:val="00862B74"/>
    <w:rsid w:val="008631E2"/>
    <w:rsid w:val="00863200"/>
    <w:rsid w:val="00863CE4"/>
    <w:rsid w:val="00863DD5"/>
    <w:rsid w:val="008648E1"/>
    <w:rsid w:val="00865BFD"/>
    <w:rsid w:val="00867813"/>
    <w:rsid w:val="008719DA"/>
    <w:rsid w:val="00871B5C"/>
    <w:rsid w:val="0087213F"/>
    <w:rsid w:val="008723C5"/>
    <w:rsid w:val="008772FF"/>
    <w:rsid w:val="00882CE8"/>
    <w:rsid w:val="00884AF5"/>
    <w:rsid w:val="00891B20"/>
    <w:rsid w:val="008920D0"/>
    <w:rsid w:val="00892A68"/>
    <w:rsid w:val="00893855"/>
    <w:rsid w:val="008941B9"/>
    <w:rsid w:val="00895C0A"/>
    <w:rsid w:val="00895CBF"/>
    <w:rsid w:val="00896650"/>
    <w:rsid w:val="00897282"/>
    <w:rsid w:val="008A1105"/>
    <w:rsid w:val="008A1AE4"/>
    <w:rsid w:val="008A42C3"/>
    <w:rsid w:val="008A43B7"/>
    <w:rsid w:val="008A60F9"/>
    <w:rsid w:val="008A758C"/>
    <w:rsid w:val="008B0446"/>
    <w:rsid w:val="008B3759"/>
    <w:rsid w:val="008B4A6F"/>
    <w:rsid w:val="008B69A3"/>
    <w:rsid w:val="008B6F1A"/>
    <w:rsid w:val="008B75E0"/>
    <w:rsid w:val="008C4589"/>
    <w:rsid w:val="008C4FCC"/>
    <w:rsid w:val="008C6660"/>
    <w:rsid w:val="008C7921"/>
    <w:rsid w:val="008C79B9"/>
    <w:rsid w:val="008C7DB0"/>
    <w:rsid w:val="008D2D3B"/>
    <w:rsid w:val="008D512B"/>
    <w:rsid w:val="008E037E"/>
    <w:rsid w:val="008E08A0"/>
    <w:rsid w:val="008E218B"/>
    <w:rsid w:val="008E4622"/>
    <w:rsid w:val="008E4FAC"/>
    <w:rsid w:val="008E5BF5"/>
    <w:rsid w:val="008E5C45"/>
    <w:rsid w:val="008E7B9E"/>
    <w:rsid w:val="008E7C63"/>
    <w:rsid w:val="008F0119"/>
    <w:rsid w:val="008F0733"/>
    <w:rsid w:val="008F4111"/>
    <w:rsid w:val="008F436E"/>
    <w:rsid w:val="008F496F"/>
    <w:rsid w:val="008F5C92"/>
    <w:rsid w:val="008F6E4C"/>
    <w:rsid w:val="009019B8"/>
    <w:rsid w:val="00902A40"/>
    <w:rsid w:val="0090467B"/>
    <w:rsid w:val="00904FF2"/>
    <w:rsid w:val="0091063A"/>
    <w:rsid w:val="00911237"/>
    <w:rsid w:val="00913D2F"/>
    <w:rsid w:val="00914141"/>
    <w:rsid w:val="009144F1"/>
    <w:rsid w:val="00914BF3"/>
    <w:rsid w:val="00914FA8"/>
    <w:rsid w:val="00915C0E"/>
    <w:rsid w:val="00916281"/>
    <w:rsid w:val="00917899"/>
    <w:rsid w:val="009206DC"/>
    <w:rsid w:val="009209E0"/>
    <w:rsid w:val="009212A0"/>
    <w:rsid w:val="00921E53"/>
    <w:rsid w:val="00922F81"/>
    <w:rsid w:val="00923878"/>
    <w:rsid w:val="0092552D"/>
    <w:rsid w:val="00927072"/>
    <w:rsid w:val="0092721C"/>
    <w:rsid w:val="00930F02"/>
    <w:rsid w:val="0093124E"/>
    <w:rsid w:val="00931F84"/>
    <w:rsid w:val="0093378B"/>
    <w:rsid w:val="00933AA8"/>
    <w:rsid w:val="009341E3"/>
    <w:rsid w:val="009352E6"/>
    <w:rsid w:val="009369DC"/>
    <w:rsid w:val="009375FE"/>
    <w:rsid w:val="009406E9"/>
    <w:rsid w:val="0094500A"/>
    <w:rsid w:val="00945A46"/>
    <w:rsid w:val="00950182"/>
    <w:rsid w:val="009514D8"/>
    <w:rsid w:val="009517B9"/>
    <w:rsid w:val="00954515"/>
    <w:rsid w:val="00955C5C"/>
    <w:rsid w:val="00955E2E"/>
    <w:rsid w:val="00956C2A"/>
    <w:rsid w:val="00956DF0"/>
    <w:rsid w:val="009574DF"/>
    <w:rsid w:val="009604D1"/>
    <w:rsid w:val="009608E5"/>
    <w:rsid w:val="009617AE"/>
    <w:rsid w:val="00961C12"/>
    <w:rsid w:val="00961CD9"/>
    <w:rsid w:val="00964139"/>
    <w:rsid w:val="00965455"/>
    <w:rsid w:val="00970110"/>
    <w:rsid w:val="009719D3"/>
    <w:rsid w:val="0097292C"/>
    <w:rsid w:val="00972AF8"/>
    <w:rsid w:val="00972B99"/>
    <w:rsid w:val="0097474A"/>
    <w:rsid w:val="00974920"/>
    <w:rsid w:val="00977EC8"/>
    <w:rsid w:val="009810C3"/>
    <w:rsid w:val="0098245C"/>
    <w:rsid w:val="00985F73"/>
    <w:rsid w:val="009865E2"/>
    <w:rsid w:val="00987266"/>
    <w:rsid w:val="00987E1B"/>
    <w:rsid w:val="009902EB"/>
    <w:rsid w:val="0099042F"/>
    <w:rsid w:val="00992F2A"/>
    <w:rsid w:val="00993523"/>
    <w:rsid w:val="00994AF2"/>
    <w:rsid w:val="0099626C"/>
    <w:rsid w:val="009A251D"/>
    <w:rsid w:val="009A4D1A"/>
    <w:rsid w:val="009A5854"/>
    <w:rsid w:val="009A5B4E"/>
    <w:rsid w:val="009A6644"/>
    <w:rsid w:val="009A753C"/>
    <w:rsid w:val="009B07CD"/>
    <w:rsid w:val="009B0F97"/>
    <w:rsid w:val="009B3863"/>
    <w:rsid w:val="009B7ACB"/>
    <w:rsid w:val="009C1F00"/>
    <w:rsid w:val="009C26F6"/>
    <w:rsid w:val="009C2D8A"/>
    <w:rsid w:val="009C7364"/>
    <w:rsid w:val="009D026A"/>
    <w:rsid w:val="009D1965"/>
    <w:rsid w:val="009D1E72"/>
    <w:rsid w:val="009D2156"/>
    <w:rsid w:val="009D2260"/>
    <w:rsid w:val="009D37E0"/>
    <w:rsid w:val="009D51FF"/>
    <w:rsid w:val="009D5B6D"/>
    <w:rsid w:val="009D6601"/>
    <w:rsid w:val="009D73F2"/>
    <w:rsid w:val="009E16A1"/>
    <w:rsid w:val="009E18C4"/>
    <w:rsid w:val="009E2C8B"/>
    <w:rsid w:val="009E4C38"/>
    <w:rsid w:val="009F05AF"/>
    <w:rsid w:val="009F06DF"/>
    <w:rsid w:val="009F1A09"/>
    <w:rsid w:val="009F255A"/>
    <w:rsid w:val="009F4665"/>
    <w:rsid w:val="009F7B85"/>
    <w:rsid w:val="009F7CF5"/>
    <w:rsid w:val="00A000C6"/>
    <w:rsid w:val="00A00712"/>
    <w:rsid w:val="00A00D10"/>
    <w:rsid w:val="00A01363"/>
    <w:rsid w:val="00A02486"/>
    <w:rsid w:val="00A0515C"/>
    <w:rsid w:val="00A05B2C"/>
    <w:rsid w:val="00A11F31"/>
    <w:rsid w:val="00A12500"/>
    <w:rsid w:val="00A12C0B"/>
    <w:rsid w:val="00A143E5"/>
    <w:rsid w:val="00A1559C"/>
    <w:rsid w:val="00A15810"/>
    <w:rsid w:val="00A174DA"/>
    <w:rsid w:val="00A17C1C"/>
    <w:rsid w:val="00A20A15"/>
    <w:rsid w:val="00A2213B"/>
    <w:rsid w:val="00A235C2"/>
    <w:rsid w:val="00A257C9"/>
    <w:rsid w:val="00A2721F"/>
    <w:rsid w:val="00A30467"/>
    <w:rsid w:val="00A30983"/>
    <w:rsid w:val="00A319D0"/>
    <w:rsid w:val="00A33583"/>
    <w:rsid w:val="00A3385C"/>
    <w:rsid w:val="00A364D1"/>
    <w:rsid w:val="00A408E9"/>
    <w:rsid w:val="00A41C7F"/>
    <w:rsid w:val="00A42557"/>
    <w:rsid w:val="00A44EDA"/>
    <w:rsid w:val="00A50E6B"/>
    <w:rsid w:val="00A538DD"/>
    <w:rsid w:val="00A54D7D"/>
    <w:rsid w:val="00A55D3F"/>
    <w:rsid w:val="00A6041D"/>
    <w:rsid w:val="00A62CBF"/>
    <w:rsid w:val="00A63F02"/>
    <w:rsid w:val="00A664E9"/>
    <w:rsid w:val="00A678EE"/>
    <w:rsid w:val="00A70943"/>
    <w:rsid w:val="00A70ECF"/>
    <w:rsid w:val="00A7457E"/>
    <w:rsid w:val="00A74893"/>
    <w:rsid w:val="00A7608D"/>
    <w:rsid w:val="00A80178"/>
    <w:rsid w:val="00A817F8"/>
    <w:rsid w:val="00A81B47"/>
    <w:rsid w:val="00A8204E"/>
    <w:rsid w:val="00A82571"/>
    <w:rsid w:val="00A832CF"/>
    <w:rsid w:val="00A83ADC"/>
    <w:rsid w:val="00A83E8F"/>
    <w:rsid w:val="00A85BB4"/>
    <w:rsid w:val="00A85E8D"/>
    <w:rsid w:val="00A86242"/>
    <w:rsid w:val="00A9277E"/>
    <w:rsid w:val="00A92E43"/>
    <w:rsid w:val="00A955E1"/>
    <w:rsid w:val="00A9567E"/>
    <w:rsid w:val="00A96660"/>
    <w:rsid w:val="00A974FC"/>
    <w:rsid w:val="00AA069F"/>
    <w:rsid w:val="00AA11AE"/>
    <w:rsid w:val="00AA1361"/>
    <w:rsid w:val="00AA3076"/>
    <w:rsid w:val="00AA3767"/>
    <w:rsid w:val="00AA3D1C"/>
    <w:rsid w:val="00AA5583"/>
    <w:rsid w:val="00AA786B"/>
    <w:rsid w:val="00AB0C63"/>
    <w:rsid w:val="00AB130F"/>
    <w:rsid w:val="00AB392A"/>
    <w:rsid w:val="00AB675E"/>
    <w:rsid w:val="00AB68DD"/>
    <w:rsid w:val="00AC0D83"/>
    <w:rsid w:val="00AC12C9"/>
    <w:rsid w:val="00AC25A1"/>
    <w:rsid w:val="00AC4091"/>
    <w:rsid w:val="00AC45DD"/>
    <w:rsid w:val="00AC5B85"/>
    <w:rsid w:val="00AC5E15"/>
    <w:rsid w:val="00AC7221"/>
    <w:rsid w:val="00AD0CF3"/>
    <w:rsid w:val="00AD2D0E"/>
    <w:rsid w:val="00AD4F57"/>
    <w:rsid w:val="00AD5CB8"/>
    <w:rsid w:val="00AD626F"/>
    <w:rsid w:val="00AD7434"/>
    <w:rsid w:val="00AE143D"/>
    <w:rsid w:val="00AE1589"/>
    <w:rsid w:val="00AE2E09"/>
    <w:rsid w:val="00AE5817"/>
    <w:rsid w:val="00AE5E0A"/>
    <w:rsid w:val="00AE7588"/>
    <w:rsid w:val="00AF58D6"/>
    <w:rsid w:val="00AF658B"/>
    <w:rsid w:val="00AF72D0"/>
    <w:rsid w:val="00B0467E"/>
    <w:rsid w:val="00B0496E"/>
    <w:rsid w:val="00B04D27"/>
    <w:rsid w:val="00B05629"/>
    <w:rsid w:val="00B07218"/>
    <w:rsid w:val="00B10240"/>
    <w:rsid w:val="00B10393"/>
    <w:rsid w:val="00B1084C"/>
    <w:rsid w:val="00B12406"/>
    <w:rsid w:val="00B12541"/>
    <w:rsid w:val="00B1791D"/>
    <w:rsid w:val="00B2084B"/>
    <w:rsid w:val="00B22B6D"/>
    <w:rsid w:val="00B230CB"/>
    <w:rsid w:val="00B2738F"/>
    <w:rsid w:val="00B2743E"/>
    <w:rsid w:val="00B2778B"/>
    <w:rsid w:val="00B302AA"/>
    <w:rsid w:val="00B306F9"/>
    <w:rsid w:val="00B34D38"/>
    <w:rsid w:val="00B35A41"/>
    <w:rsid w:val="00B35C74"/>
    <w:rsid w:val="00B4172E"/>
    <w:rsid w:val="00B41938"/>
    <w:rsid w:val="00B4350A"/>
    <w:rsid w:val="00B44A66"/>
    <w:rsid w:val="00B45A3C"/>
    <w:rsid w:val="00B46F8E"/>
    <w:rsid w:val="00B53010"/>
    <w:rsid w:val="00B536E8"/>
    <w:rsid w:val="00B54083"/>
    <w:rsid w:val="00B5631E"/>
    <w:rsid w:val="00B56D90"/>
    <w:rsid w:val="00B575C6"/>
    <w:rsid w:val="00B61404"/>
    <w:rsid w:val="00B63194"/>
    <w:rsid w:val="00B634D7"/>
    <w:rsid w:val="00B65985"/>
    <w:rsid w:val="00B671C3"/>
    <w:rsid w:val="00B67F8A"/>
    <w:rsid w:val="00B70090"/>
    <w:rsid w:val="00B70520"/>
    <w:rsid w:val="00B70EC6"/>
    <w:rsid w:val="00B726E7"/>
    <w:rsid w:val="00B750E3"/>
    <w:rsid w:val="00B7641F"/>
    <w:rsid w:val="00B77C27"/>
    <w:rsid w:val="00B805BE"/>
    <w:rsid w:val="00B83EB7"/>
    <w:rsid w:val="00B851BE"/>
    <w:rsid w:val="00B9110C"/>
    <w:rsid w:val="00B917EA"/>
    <w:rsid w:val="00B93C2C"/>
    <w:rsid w:val="00B94E95"/>
    <w:rsid w:val="00B95EE8"/>
    <w:rsid w:val="00B965A7"/>
    <w:rsid w:val="00B967C4"/>
    <w:rsid w:val="00B97F44"/>
    <w:rsid w:val="00BA0057"/>
    <w:rsid w:val="00BA0166"/>
    <w:rsid w:val="00BA0ADA"/>
    <w:rsid w:val="00BA167D"/>
    <w:rsid w:val="00BA32D5"/>
    <w:rsid w:val="00BA4A7A"/>
    <w:rsid w:val="00BA50E9"/>
    <w:rsid w:val="00BA5CED"/>
    <w:rsid w:val="00BA6DEB"/>
    <w:rsid w:val="00BA7C1C"/>
    <w:rsid w:val="00BB0B19"/>
    <w:rsid w:val="00BB36C0"/>
    <w:rsid w:val="00BB44A1"/>
    <w:rsid w:val="00BB5922"/>
    <w:rsid w:val="00BC00E6"/>
    <w:rsid w:val="00BC135F"/>
    <w:rsid w:val="00BC2637"/>
    <w:rsid w:val="00BC38A4"/>
    <w:rsid w:val="00BC3AF9"/>
    <w:rsid w:val="00BC3D54"/>
    <w:rsid w:val="00BC4D1F"/>
    <w:rsid w:val="00BC4D2A"/>
    <w:rsid w:val="00BD1BAA"/>
    <w:rsid w:val="00BD4028"/>
    <w:rsid w:val="00BD40DC"/>
    <w:rsid w:val="00BD428B"/>
    <w:rsid w:val="00BE1038"/>
    <w:rsid w:val="00BE1BE4"/>
    <w:rsid w:val="00BE1FD0"/>
    <w:rsid w:val="00BE35FD"/>
    <w:rsid w:val="00BE3710"/>
    <w:rsid w:val="00BE4469"/>
    <w:rsid w:val="00BE5B63"/>
    <w:rsid w:val="00BF0EC9"/>
    <w:rsid w:val="00BF663F"/>
    <w:rsid w:val="00BF72EB"/>
    <w:rsid w:val="00BF7B12"/>
    <w:rsid w:val="00BF7EAD"/>
    <w:rsid w:val="00C010F7"/>
    <w:rsid w:val="00C012D0"/>
    <w:rsid w:val="00C020D6"/>
    <w:rsid w:val="00C026E7"/>
    <w:rsid w:val="00C0291D"/>
    <w:rsid w:val="00C03269"/>
    <w:rsid w:val="00C03A28"/>
    <w:rsid w:val="00C04795"/>
    <w:rsid w:val="00C049EE"/>
    <w:rsid w:val="00C05BD2"/>
    <w:rsid w:val="00C077BE"/>
    <w:rsid w:val="00C11329"/>
    <w:rsid w:val="00C1218D"/>
    <w:rsid w:val="00C139EF"/>
    <w:rsid w:val="00C14783"/>
    <w:rsid w:val="00C14D55"/>
    <w:rsid w:val="00C15650"/>
    <w:rsid w:val="00C17E74"/>
    <w:rsid w:val="00C20B3B"/>
    <w:rsid w:val="00C22FA7"/>
    <w:rsid w:val="00C2321E"/>
    <w:rsid w:val="00C23BAC"/>
    <w:rsid w:val="00C2413F"/>
    <w:rsid w:val="00C303F1"/>
    <w:rsid w:val="00C330A0"/>
    <w:rsid w:val="00C33D2C"/>
    <w:rsid w:val="00C35A92"/>
    <w:rsid w:val="00C37E1F"/>
    <w:rsid w:val="00C404FE"/>
    <w:rsid w:val="00C40A40"/>
    <w:rsid w:val="00C42985"/>
    <w:rsid w:val="00C43714"/>
    <w:rsid w:val="00C43CDB"/>
    <w:rsid w:val="00C43E7F"/>
    <w:rsid w:val="00C454E3"/>
    <w:rsid w:val="00C468FB"/>
    <w:rsid w:val="00C5047E"/>
    <w:rsid w:val="00C5063C"/>
    <w:rsid w:val="00C514D9"/>
    <w:rsid w:val="00C52FFF"/>
    <w:rsid w:val="00C5463E"/>
    <w:rsid w:val="00C570D5"/>
    <w:rsid w:val="00C60059"/>
    <w:rsid w:val="00C63632"/>
    <w:rsid w:val="00C65FC5"/>
    <w:rsid w:val="00C6754A"/>
    <w:rsid w:val="00C74545"/>
    <w:rsid w:val="00C74C25"/>
    <w:rsid w:val="00C74E5C"/>
    <w:rsid w:val="00C80AB7"/>
    <w:rsid w:val="00C83DBC"/>
    <w:rsid w:val="00C83DF2"/>
    <w:rsid w:val="00C845F9"/>
    <w:rsid w:val="00C86993"/>
    <w:rsid w:val="00C8784C"/>
    <w:rsid w:val="00C941C5"/>
    <w:rsid w:val="00C94574"/>
    <w:rsid w:val="00C94B1D"/>
    <w:rsid w:val="00C951DB"/>
    <w:rsid w:val="00C95AD8"/>
    <w:rsid w:val="00C96C85"/>
    <w:rsid w:val="00C976E1"/>
    <w:rsid w:val="00C97F74"/>
    <w:rsid w:val="00CA09EC"/>
    <w:rsid w:val="00CA1FFD"/>
    <w:rsid w:val="00CA3061"/>
    <w:rsid w:val="00CA351E"/>
    <w:rsid w:val="00CA5905"/>
    <w:rsid w:val="00CA6F9A"/>
    <w:rsid w:val="00CA7DB6"/>
    <w:rsid w:val="00CB05B4"/>
    <w:rsid w:val="00CB1A79"/>
    <w:rsid w:val="00CB267D"/>
    <w:rsid w:val="00CB2787"/>
    <w:rsid w:val="00CB34F9"/>
    <w:rsid w:val="00CB43EE"/>
    <w:rsid w:val="00CB49AF"/>
    <w:rsid w:val="00CB511B"/>
    <w:rsid w:val="00CB6B33"/>
    <w:rsid w:val="00CB7747"/>
    <w:rsid w:val="00CC0007"/>
    <w:rsid w:val="00CC057A"/>
    <w:rsid w:val="00CC08A4"/>
    <w:rsid w:val="00CC0CE4"/>
    <w:rsid w:val="00CC1509"/>
    <w:rsid w:val="00CC2F32"/>
    <w:rsid w:val="00CC3766"/>
    <w:rsid w:val="00CC3CBD"/>
    <w:rsid w:val="00CC4C43"/>
    <w:rsid w:val="00CC6F2D"/>
    <w:rsid w:val="00CC708B"/>
    <w:rsid w:val="00CC7388"/>
    <w:rsid w:val="00CD052A"/>
    <w:rsid w:val="00CD18B6"/>
    <w:rsid w:val="00CD2146"/>
    <w:rsid w:val="00CD30D0"/>
    <w:rsid w:val="00CD3DC3"/>
    <w:rsid w:val="00CD3F96"/>
    <w:rsid w:val="00CD63D0"/>
    <w:rsid w:val="00CD6B18"/>
    <w:rsid w:val="00CD6DEC"/>
    <w:rsid w:val="00CD765C"/>
    <w:rsid w:val="00CE3B7E"/>
    <w:rsid w:val="00CE6C23"/>
    <w:rsid w:val="00CE738B"/>
    <w:rsid w:val="00CE7892"/>
    <w:rsid w:val="00CF0075"/>
    <w:rsid w:val="00CF0D22"/>
    <w:rsid w:val="00CF2DC2"/>
    <w:rsid w:val="00CF360C"/>
    <w:rsid w:val="00CF3EC1"/>
    <w:rsid w:val="00CF78BE"/>
    <w:rsid w:val="00CF791C"/>
    <w:rsid w:val="00D028F8"/>
    <w:rsid w:val="00D03946"/>
    <w:rsid w:val="00D047D1"/>
    <w:rsid w:val="00D05E2F"/>
    <w:rsid w:val="00D076CB"/>
    <w:rsid w:val="00D07E75"/>
    <w:rsid w:val="00D10833"/>
    <w:rsid w:val="00D12775"/>
    <w:rsid w:val="00D14EA9"/>
    <w:rsid w:val="00D15168"/>
    <w:rsid w:val="00D20C10"/>
    <w:rsid w:val="00D20C4B"/>
    <w:rsid w:val="00D2295F"/>
    <w:rsid w:val="00D22D5A"/>
    <w:rsid w:val="00D2376C"/>
    <w:rsid w:val="00D24350"/>
    <w:rsid w:val="00D25A85"/>
    <w:rsid w:val="00D277CF"/>
    <w:rsid w:val="00D34986"/>
    <w:rsid w:val="00D34ED0"/>
    <w:rsid w:val="00D35CBF"/>
    <w:rsid w:val="00D424B5"/>
    <w:rsid w:val="00D42B14"/>
    <w:rsid w:val="00D44007"/>
    <w:rsid w:val="00D44499"/>
    <w:rsid w:val="00D45BE9"/>
    <w:rsid w:val="00D46580"/>
    <w:rsid w:val="00D46628"/>
    <w:rsid w:val="00D47C9E"/>
    <w:rsid w:val="00D47E66"/>
    <w:rsid w:val="00D51117"/>
    <w:rsid w:val="00D51428"/>
    <w:rsid w:val="00D529AD"/>
    <w:rsid w:val="00D54022"/>
    <w:rsid w:val="00D541D9"/>
    <w:rsid w:val="00D54621"/>
    <w:rsid w:val="00D56C44"/>
    <w:rsid w:val="00D57768"/>
    <w:rsid w:val="00D57E84"/>
    <w:rsid w:val="00D65BF0"/>
    <w:rsid w:val="00D65C5E"/>
    <w:rsid w:val="00D66C34"/>
    <w:rsid w:val="00D66CFB"/>
    <w:rsid w:val="00D67016"/>
    <w:rsid w:val="00D7271B"/>
    <w:rsid w:val="00D72787"/>
    <w:rsid w:val="00D7402B"/>
    <w:rsid w:val="00D7473B"/>
    <w:rsid w:val="00D81BFD"/>
    <w:rsid w:val="00D82F8E"/>
    <w:rsid w:val="00D84E3D"/>
    <w:rsid w:val="00D84ECD"/>
    <w:rsid w:val="00D85135"/>
    <w:rsid w:val="00D85A8D"/>
    <w:rsid w:val="00D92F21"/>
    <w:rsid w:val="00D930AC"/>
    <w:rsid w:val="00D93455"/>
    <w:rsid w:val="00D94372"/>
    <w:rsid w:val="00D94C59"/>
    <w:rsid w:val="00D962C4"/>
    <w:rsid w:val="00D968AC"/>
    <w:rsid w:val="00D97A49"/>
    <w:rsid w:val="00DA09FC"/>
    <w:rsid w:val="00DA11A6"/>
    <w:rsid w:val="00DA1D60"/>
    <w:rsid w:val="00DA26C0"/>
    <w:rsid w:val="00DA46E8"/>
    <w:rsid w:val="00DA5DAC"/>
    <w:rsid w:val="00DA5F4B"/>
    <w:rsid w:val="00DB095F"/>
    <w:rsid w:val="00DB7B0E"/>
    <w:rsid w:val="00DB7CD7"/>
    <w:rsid w:val="00DC24F5"/>
    <w:rsid w:val="00DC425D"/>
    <w:rsid w:val="00DD0F64"/>
    <w:rsid w:val="00DD177E"/>
    <w:rsid w:val="00DD2FDF"/>
    <w:rsid w:val="00DD4412"/>
    <w:rsid w:val="00DD57EA"/>
    <w:rsid w:val="00DD653E"/>
    <w:rsid w:val="00DD6631"/>
    <w:rsid w:val="00DD7833"/>
    <w:rsid w:val="00DD7FA4"/>
    <w:rsid w:val="00DE27B4"/>
    <w:rsid w:val="00DE421B"/>
    <w:rsid w:val="00DE64CA"/>
    <w:rsid w:val="00DE65F1"/>
    <w:rsid w:val="00DE69B6"/>
    <w:rsid w:val="00DE7597"/>
    <w:rsid w:val="00DF12CF"/>
    <w:rsid w:val="00DF7510"/>
    <w:rsid w:val="00E001F1"/>
    <w:rsid w:val="00E0074D"/>
    <w:rsid w:val="00E01A3F"/>
    <w:rsid w:val="00E01D9C"/>
    <w:rsid w:val="00E01E8F"/>
    <w:rsid w:val="00E04AFD"/>
    <w:rsid w:val="00E04EDA"/>
    <w:rsid w:val="00E05F6F"/>
    <w:rsid w:val="00E0633D"/>
    <w:rsid w:val="00E07BA1"/>
    <w:rsid w:val="00E07DC0"/>
    <w:rsid w:val="00E10152"/>
    <w:rsid w:val="00E101B7"/>
    <w:rsid w:val="00E125BD"/>
    <w:rsid w:val="00E16792"/>
    <w:rsid w:val="00E17499"/>
    <w:rsid w:val="00E17E9D"/>
    <w:rsid w:val="00E20B9B"/>
    <w:rsid w:val="00E22E3B"/>
    <w:rsid w:val="00E22FA3"/>
    <w:rsid w:val="00E23CC9"/>
    <w:rsid w:val="00E25043"/>
    <w:rsid w:val="00E251F6"/>
    <w:rsid w:val="00E27952"/>
    <w:rsid w:val="00E31C6F"/>
    <w:rsid w:val="00E31D54"/>
    <w:rsid w:val="00E3387E"/>
    <w:rsid w:val="00E33966"/>
    <w:rsid w:val="00E33D8B"/>
    <w:rsid w:val="00E34953"/>
    <w:rsid w:val="00E373D0"/>
    <w:rsid w:val="00E37C89"/>
    <w:rsid w:val="00E43829"/>
    <w:rsid w:val="00E43D72"/>
    <w:rsid w:val="00E44AF5"/>
    <w:rsid w:val="00E46F91"/>
    <w:rsid w:val="00E4778E"/>
    <w:rsid w:val="00E479AB"/>
    <w:rsid w:val="00E5125A"/>
    <w:rsid w:val="00E5250C"/>
    <w:rsid w:val="00E55A23"/>
    <w:rsid w:val="00E5670D"/>
    <w:rsid w:val="00E57143"/>
    <w:rsid w:val="00E60BED"/>
    <w:rsid w:val="00E62D6A"/>
    <w:rsid w:val="00E62F0B"/>
    <w:rsid w:val="00E64ADB"/>
    <w:rsid w:val="00E6524E"/>
    <w:rsid w:val="00E65913"/>
    <w:rsid w:val="00E65EB6"/>
    <w:rsid w:val="00E67658"/>
    <w:rsid w:val="00E72FD4"/>
    <w:rsid w:val="00E743E3"/>
    <w:rsid w:val="00E74440"/>
    <w:rsid w:val="00E75065"/>
    <w:rsid w:val="00E75073"/>
    <w:rsid w:val="00E75294"/>
    <w:rsid w:val="00E76CB8"/>
    <w:rsid w:val="00E77004"/>
    <w:rsid w:val="00E80E89"/>
    <w:rsid w:val="00E818C3"/>
    <w:rsid w:val="00E824C3"/>
    <w:rsid w:val="00E833C8"/>
    <w:rsid w:val="00E854FD"/>
    <w:rsid w:val="00E85D8B"/>
    <w:rsid w:val="00E86946"/>
    <w:rsid w:val="00E8736B"/>
    <w:rsid w:val="00E903D0"/>
    <w:rsid w:val="00E9042B"/>
    <w:rsid w:val="00E95307"/>
    <w:rsid w:val="00E977D7"/>
    <w:rsid w:val="00EA011D"/>
    <w:rsid w:val="00EA4113"/>
    <w:rsid w:val="00EB2E28"/>
    <w:rsid w:val="00EB42B9"/>
    <w:rsid w:val="00EB46E8"/>
    <w:rsid w:val="00EB61AA"/>
    <w:rsid w:val="00EB73A1"/>
    <w:rsid w:val="00EC42B1"/>
    <w:rsid w:val="00EC4B34"/>
    <w:rsid w:val="00EC587A"/>
    <w:rsid w:val="00EC6FDD"/>
    <w:rsid w:val="00EC7158"/>
    <w:rsid w:val="00EC7E57"/>
    <w:rsid w:val="00ED0121"/>
    <w:rsid w:val="00ED074B"/>
    <w:rsid w:val="00ED2AE4"/>
    <w:rsid w:val="00ED45E4"/>
    <w:rsid w:val="00ED6669"/>
    <w:rsid w:val="00EE1B5A"/>
    <w:rsid w:val="00EE2CB0"/>
    <w:rsid w:val="00EE6923"/>
    <w:rsid w:val="00EE737F"/>
    <w:rsid w:val="00EF01C1"/>
    <w:rsid w:val="00EF1CED"/>
    <w:rsid w:val="00EF3FFD"/>
    <w:rsid w:val="00EF780B"/>
    <w:rsid w:val="00F005D1"/>
    <w:rsid w:val="00F019E8"/>
    <w:rsid w:val="00F0205A"/>
    <w:rsid w:val="00F0304E"/>
    <w:rsid w:val="00F036D3"/>
    <w:rsid w:val="00F037BC"/>
    <w:rsid w:val="00F047D2"/>
    <w:rsid w:val="00F0523A"/>
    <w:rsid w:val="00F05876"/>
    <w:rsid w:val="00F064CB"/>
    <w:rsid w:val="00F077DA"/>
    <w:rsid w:val="00F107DE"/>
    <w:rsid w:val="00F11262"/>
    <w:rsid w:val="00F11BCC"/>
    <w:rsid w:val="00F12931"/>
    <w:rsid w:val="00F142A2"/>
    <w:rsid w:val="00F1557D"/>
    <w:rsid w:val="00F17E23"/>
    <w:rsid w:val="00F218C2"/>
    <w:rsid w:val="00F231DA"/>
    <w:rsid w:val="00F232CE"/>
    <w:rsid w:val="00F23491"/>
    <w:rsid w:val="00F23D94"/>
    <w:rsid w:val="00F23F78"/>
    <w:rsid w:val="00F2427E"/>
    <w:rsid w:val="00F264A6"/>
    <w:rsid w:val="00F306FB"/>
    <w:rsid w:val="00F31805"/>
    <w:rsid w:val="00F34060"/>
    <w:rsid w:val="00F34A12"/>
    <w:rsid w:val="00F40240"/>
    <w:rsid w:val="00F4047D"/>
    <w:rsid w:val="00F416F9"/>
    <w:rsid w:val="00F42BB9"/>
    <w:rsid w:val="00F42FC4"/>
    <w:rsid w:val="00F45071"/>
    <w:rsid w:val="00F457A6"/>
    <w:rsid w:val="00F46737"/>
    <w:rsid w:val="00F479D2"/>
    <w:rsid w:val="00F47FE6"/>
    <w:rsid w:val="00F52BC6"/>
    <w:rsid w:val="00F5360C"/>
    <w:rsid w:val="00F57296"/>
    <w:rsid w:val="00F5762F"/>
    <w:rsid w:val="00F61054"/>
    <w:rsid w:val="00F61673"/>
    <w:rsid w:val="00F622D1"/>
    <w:rsid w:val="00F62427"/>
    <w:rsid w:val="00F65AD6"/>
    <w:rsid w:val="00F67C12"/>
    <w:rsid w:val="00F7142A"/>
    <w:rsid w:val="00F72591"/>
    <w:rsid w:val="00F72955"/>
    <w:rsid w:val="00F73C2F"/>
    <w:rsid w:val="00F73D09"/>
    <w:rsid w:val="00F74718"/>
    <w:rsid w:val="00F74764"/>
    <w:rsid w:val="00F75ED0"/>
    <w:rsid w:val="00F81974"/>
    <w:rsid w:val="00F81E5E"/>
    <w:rsid w:val="00F81F76"/>
    <w:rsid w:val="00F84A6F"/>
    <w:rsid w:val="00F853D2"/>
    <w:rsid w:val="00F862A5"/>
    <w:rsid w:val="00F875F8"/>
    <w:rsid w:val="00F905B6"/>
    <w:rsid w:val="00F91BA8"/>
    <w:rsid w:val="00F922F7"/>
    <w:rsid w:val="00F9430D"/>
    <w:rsid w:val="00F949AC"/>
    <w:rsid w:val="00F949CE"/>
    <w:rsid w:val="00F96CDA"/>
    <w:rsid w:val="00F97044"/>
    <w:rsid w:val="00F97A06"/>
    <w:rsid w:val="00F97FE2"/>
    <w:rsid w:val="00FA1B9A"/>
    <w:rsid w:val="00FA4535"/>
    <w:rsid w:val="00FA49C6"/>
    <w:rsid w:val="00FA4AC6"/>
    <w:rsid w:val="00FA51E5"/>
    <w:rsid w:val="00FA6589"/>
    <w:rsid w:val="00FB18DF"/>
    <w:rsid w:val="00FB2855"/>
    <w:rsid w:val="00FB2D60"/>
    <w:rsid w:val="00FB481F"/>
    <w:rsid w:val="00FB4C36"/>
    <w:rsid w:val="00FB4C7C"/>
    <w:rsid w:val="00FC2213"/>
    <w:rsid w:val="00FC3D8F"/>
    <w:rsid w:val="00FC71BA"/>
    <w:rsid w:val="00FD0E9E"/>
    <w:rsid w:val="00FD0EA5"/>
    <w:rsid w:val="00FD463C"/>
    <w:rsid w:val="00FD5F27"/>
    <w:rsid w:val="00FD6132"/>
    <w:rsid w:val="00FD7262"/>
    <w:rsid w:val="00FE2104"/>
    <w:rsid w:val="00FE60C7"/>
    <w:rsid w:val="00FE67DE"/>
    <w:rsid w:val="00FE73DD"/>
    <w:rsid w:val="00FF07B5"/>
    <w:rsid w:val="00FF104E"/>
    <w:rsid w:val="00FF16EE"/>
    <w:rsid w:val="00FF188B"/>
    <w:rsid w:val="00FF259E"/>
    <w:rsid w:val="00FF3488"/>
    <w:rsid w:val="00FF3FA6"/>
    <w:rsid w:val="00FF4C45"/>
    <w:rsid w:val="00FF4D39"/>
    <w:rsid w:val="00FF6648"/>
    <w:rsid w:val="00FF7231"/>
    <w:rsid w:val="00FF7F5F"/>
    <w:rsid w:val="015A31BE"/>
    <w:rsid w:val="02B9175C"/>
    <w:rsid w:val="03011994"/>
    <w:rsid w:val="03BE1973"/>
    <w:rsid w:val="049A2BAC"/>
    <w:rsid w:val="04A77613"/>
    <w:rsid w:val="063061E0"/>
    <w:rsid w:val="08647021"/>
    <w:rsid w:val="091175B2"/>
    <w:rsid w:val="09770701"/>
    <w:rsid w:val="0E28338D"/>
    <w:rsid w:val="0FBD7E0B"/>
    <w:rsid w:val="10A11F69"/>
    <w:rsid w:val="128801EB"/>
    <w:rsid w:val="138051D8"/>
    <w:rsid w:val="13914121"/>
    <w:rsid w:val="144D4272"/>
    <w:rsid w:val="15F56B68"/>
    <w:rsid w:val="16962939"/>
    <w:rsid w:val="16D46675"/>
    <w:rsid w:val="16E0464F"/>
    <w:rsid w:val="18C22EE1"/>
    <w:rsid w:val="19ED188F"/>
    <w:rsid w:val="1A89519A"/>
    <w:rsid w:val="1CD122C9"/>
    <w:rsid w:val="1CFB5DF7"/>
    <w:rsid w:val="1D0A3F7A"/>
    <w:rsid w:val="1D8F63AF"/>
    <w:rsid w:val="1D9344FB"/>
    <w:rsid w:val="1EA5647F"/>
    <w:rsid w:val="1F1F0597"/>
    <w:rsid w:val="1F695EBA"/>
    <w:rsid w:val="1FEB09EF"/>
    <w:rsid w:val="2000609F"/>
    <w:rsid w:val="20195FC1"/>
    <w:rsid w:val="214838D9"/>
    <w:rsid w:val="21B8757A"/>
    <w:rsid w:val="21F1631E"/>
    <w:rsid w:val="240B5649"/>
    <w:rsid w:val="24A16FDA"/>
    <w:rsid w:val="24DD701B"/>
    <w:rsid w:val="2512329B"/>
    <w:rsid w:val="253A1501"/>
    <w:rsid w:val="26507A90"/>
    <w:rsid w:val="28AD55C9"/>
    <w:rsid w:val="28AF3E5C"/>
    <w:rsid w:val="28D368B6"/>
    <w:rsid w:val="290503DF"/>
    <w:rsid w:val="29377919"/>
    <w:rsid w:val="29A7112F"/>
    <w:rsid w:val="29E23F30"/>
    <w:rsid w:val="2B20041E"/>
    <w:rsid w:val="2B201306"/>
    <w:rsid w:val="2C0A6B88"/>
    <w:rsid w:val="2ED92EE5"/>
    <w:rsid w:val="32696044"/>
    <w:rsid w:val="32B9072B"/>
    <w:rsid w:val="39792203"/>
    <w:rsid w:val="3B6B2DE2"/>
    <w:rsid w:val="3BCA6C2A"/>
    <w:rsid w:val="3BF5330F"/>
    <w:rsid w:val="3DBB1010"/>
    <w:rsid w:val="43767746"/>
    <w:rsid w:val="466C286E"/>
    <w:rsid w:val="46953529"/>
    <w:rsid w:val="46AB57B0"/>
    <w:rsid w:val="477C76B9"/>
    <w:rsid w:val="4ACB3790"/>
    <w:rsid w:val="4BBB2456"/>
    <w:rsid w:val="4C0032B7"/>
    <w:rsid w:val="4C655F56"/>
    <w:rsid w:val="4DBF3F53"/>
    <w:rsid w:val="4ED809E8"/>
    <w:rsid w:val="4ED834C7"/>
    <w:rsid w:val="52965AF0"/>
    <w:rsid w:val="52F53942"/>
    <w:rsid w:val="54AE5B32"/>
    <w:rsid w:val="575C448D"/>
    <w:rsid w:val="578103E1"/>
    <w:rsid w:val="588C5572"/>
    <w:rsid w:val="59122E83"/>
    <w:rsid w:val="5AA97695"/>
    <w:rsid w:val="5AB779C2"/>
    <w:rsid w:val="5BBA513B"/>
    <w:rsid w:val="5BD51D86"/>
    <w:rsid w:val="5C703BF4"/>
    <w:rsid w:val="61146245"/>
    <w:rsid w:val="614E1B31"/>
    <w:rsid w:val="63914228"/>
    <w:rsid w:val="649038C5"/>
    <w:rsid w:val="65036ACF"/>
    <w:rsid w:val="65976C82"/>
    <w:rsid w:val="69C843A2"/>
    <w:rsid w:val="6AB35646"/>
    <w:rsid w:val="6AD501BF"/>
    <w:rsid w:val="6AE96639"/>
    <w:rsid w:val="6B097666"/>
    <w:rsid w:val="6BDF3425"/>
    <w:rsid w:val="6CFF12A1"/>
    <w:rsid w:val="6F8736BA"/>
    <w:rsid w:val="71F01316"/>
    <w:rsid w:val="7207006F"/>
    <w:rsid w:val="72DE27F6"/>
    <w:rsid w:val="74C3704C"/>
    <w:rsid w:val="77BB4CAF"/>
    <w:rsid w:val="77FF6B25"/>
    <w:rsid w:val="783E391E"/>
    <w:rsid w:val="7A9B1E71"/>
    <w:rsid w:val="7B677366"/>
    <w:rsid w:val="7BFA0B3B"/>
    <w:rsid w:val="7CC71D93"/>
    <w:rsid w:val="7D8061DE"/>
    <w:rsid w:val="7E0D3946"/>
    <w:rsid w:val="7E14400F"/>
    <w:rsid w:val="7E7123F3"/>
    <w:rsid w:val="7FB0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E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0"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semiHidden="0" w:unhideWhenUsed="0"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spacing w:line="360" w:lineRule="auto"/>
      <w:ind w:firstLineChars="200" w:firstLine="200"/>
      <w:outlineLvl w:val="0"/>
    </w:pPr>
    <w:rPr>
      <w:rFonts w:ascii="华文楷体" w:hAnsi="华文楷体"/>
      <w:b/>
      <w:sz w:val="32"/>
      <w:szCs w:val="2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libri Light" w:hAnsi="Calibri Light"/>
      <w:b/>
      <w:bCs/>
      <w:kern w:val="0"/>
      <w:sz w:val="28"/>
      <w:szCs w:val="32"/>
    </w:rPr>
  </w:style>
  <w:style w:type="paragraph" w:styleId="3">
    <w:name w:val="heading 3"/>
    <w:basedOn w:val="a"/>
    <w:next w:val="a"/>
    <w:link w:val="3Char"/>
    <w:uiPriority w:val="9"/>
    <w:unhideWhenUsed/>
    <w:qFormat/>
    <w:pPr>
      <w:keepNext/>
      <w:keepLines/>
      <w:spacing w:before="240" w:after="24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9">
    <w:name w:val="footnote text"/>
    <w:basedOn w:val="a"/>
    <w:link w:val="Char5"/>
    <w:uiPriority w:val="99"/>
    <w:qFormat/>
    <w:pPr>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uiPriority w:val="99"/>
    <w:unhideWhenUsed/>
    <w:qFormat/>
    <w:rPr>
      <w:sz w:val="21"/>
      <w:szCs w:val="21"/>
    </w:rPr>
  </w:style>
  <w:style w:type="character" w:styleId="af1">
    <w:name w:val="footnote reference"/>
    <w:uiPriority w:val="99"/>
    <w:semiHidden/>
    <w:qFormat/>
    <w:rPr>
      <w:vertAlign w:val="superscript"/>
    </w:rPr>
  </w:style>
  <w:style w:type="paragraph" w:customStyle="1" w:styleId="10">
    <w:name w:val="列出段落1"/>
    <w:basedOn w:val="a"/>
    <w:qFormat/>
    <w:pPr>
      <w:ind w:firstLineChars="200" w:firstLine="420"/>
    </w:pPr>
    <w:rPr>
      <w:rFonts w:ascii="Times New Roman" w:hAnsi="Times New Roman"/>
      <w:szCs w:val="24"/>
    </w:rPr>
  </w:style>
  <w:style w:type="paragraph" w:customStyle="1" w:styleId="11">
    <w:name w:val="批注主题1"/>
    <w:basedOn w:val="a3"/>
    <w:next w:val="a3"/>
    <w:link w:val="af2"/>
    <w:qFormat/>
    <w:rPr>
      <w:b/>
      <w:bCs/>
    </w:rPr>
  </w:style>
  <w:style w:type="paragraph" w:customStyle="1" w:styleId="20">
    <w:name w:val="列出段落2"/>
    <w:basedOn w:val="a"/>
    <w:qFormat/>
    <w:pPr>
      <w:ind w:firstLineChars="200" w:firstLine="420"/>
    </w:pPr>
    <w:rPr>
      <w:rFonts w:ascii="Times New Roman" w:hAnsi="Times New Roman"/>
      <w:szCs w:val="24"/>
    </w:rPr>
  </w:style>
  <w:style w:type="paragraph" w:customStyle="1" w:styleId="12">
    <w:name w:val="文档结构图1"/>
    <w:basedOn w:val="a"/>
    <w:link w:val="af3"/>
    <w:qFormat/>
    <w:rPr>
      <w:rFonts w:ascii="宋体"/>
      <w:sz w:val="18"/>
      <w:szCs w:val="18"/>
    </w:rPr>
  </w:style>
  <w:style w:type="paragraph" w:customStyle="1" w:styleId="13">
    <w:name w:val="修订1"/>
    <w:qFormat/>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1">
    <w:name w:val="批注框文本 Char"/>
    <w:link w:val="a5"/>
    <w:uiPriority w:val="99"/>
    <w:semiHidden/>
    <w:qFormat/>
    <w:rPr>
      <w:sz w:val="18"/>
      <w:szCs w:val="18"/>
    </w:rPr>
  </w:style>
  <w:style w:type="character" w:customStyle="1" w:styleId="14">
    <w:name w:val="批注引用1"/>
    <w:qFormat/>
    <w:rPr>
      <w:sz w:val="21"/>
      <w:szCs w:val="21"/>
    </w:rPr>
  </w:style>
  <w:style w:type="character" w:customStyle="1" w:styleId="Char">
    <w:name w:val="批注文字 Char"/>
    <w:basedOn w:val="a0"/>
    <w:link w:val="a3"/>
    <w:uiPriority w:val="99"/>
    <w:qFormat/>
  </w:style>
  <w:style w:type="character" w:customStyle="1" w:styleId="af2">
    <w:name w:val="批注主题 字符"/>
    <w:link w:val="11"/>
    <w:uiPriority w:val="99"/>
    <w:semiHidden/>
    <w:qFormat/>
    <w:rPr>
      <w:b/>
      <w:bCs/>
    </w:rPr>
  </w:style>
  <w:style w:type="character" w:customStyle="1" w:styleId="af3">
    <w:name w:val="文档结构图 字符"/>
    <w:link w:val="12"/>
    <w:semiHidden/>
    <w:qFormat/>
    <w:rPr>
      <w:rFonts w:ascii="宋体" w:eastAsia="宋体"/>
      <w:sz w:val="18"/>
      <w:szCs w:val="18"/>
    </w:rPr>
  </w:style>
  <w:style w:type="character" w:customStyle="1" w:styleId="21">
    <w:name w:val="批注引用2"/>
    <w:qFormat/>
    <w:rPr>
      <w:sz w:val="21"/>
      <w:szCs w:val="21"/>
    </w:rPr>
  </w:style>
  <w:style w:type="character" w:customStyle="1" w:styleId="Char7">
    <w:name w:val="批注主题 Char"/>
    <w:link w:val="ac"/>
    <w:uiPriority w:val="99"/>
    <w:semiHidden/>
    <w:qFormat/>
    <w:rPr>
      <w:rFonts w:ascii="Calibri" w:hAnsi="Calibri"/>
      <w:b/>
      <w:bCs/>
      <w:kern w:val="2"/>
      <w:sz w:val="21"/>
      <w:szCs w:val="22"/>
    </w:rPr>
  </w:style>
  <w:style w:type="character" w:customStyle="1" w:styleId="Char0">
    <w:name w:val="日期 Char"/>
    <w:link w:val="a4"/>
    <w:uiPriority w:val="99"/>
    <w:semiHidden/>
    <w:qFormat/>
    <w:rPr>
      <w:rFonts w:ascii="Calibri" w:hAnsi="Calibri"/>
      <w:kern w:val="2"/>
      <w:sz w:val="21"/>
      <w:szCs w:val="22"/>
    </w:rPr>
  </w:style>
  <w:style w:type="paragraph" w:customStyle="1" w:styleId="22">
    <w:name w:val="修订2"/>
    <w:hidden/>
    <w:uiPriority w:val="99"/>
    <w:semiHidden/>
    <w:qFormat/>
    <w:rPr>
      <w:rFonts w:ascii="Calibri" w:hAnsi="Calibri"/>
      <w:kern w:val="2"/>
      <w:sz w:val="21"/>
      <w:szCs w:val="22"/>
    </w:rPr>
  </w:style>
  <w:style w:type="character" w:customStyle="1" w:styleId="2SimHei2">
    <w:name w:val="正文文本 (2) + SimHei2"/>
    <w:qFormat/>
    <w:rPr>
      <w:rFonts w:ascii="黑体" w:eastAsia="黑体" w:hAnsi="黑体" w:cs="黑体"/>
      <w:sz w:val="30"/>
      <w:szCs w:val="30"/>
    </w:rPr>
  </w:style>
  <w:style w:type="character" w:customStyle="1" w:styleId="1Char">
    <w:name w:val="标题 1 Char"/>
    <w:basedOn w:val="a0"/>
    <w:link w:val="1"/>
    <w:uiPriority w:val="9"/>
    <w:qFormat/>
    <w:rPr>
      <w:rFonts w:ascii="华文楷体" w:hAnsi="华文楷体"/>
      <w:b/>
      <w:kern w:val="2"/>
      <w:sz w:val="32"/>
      <w:szCs w:val="28"/>
    </w:rPr>
  </w:style>
  <w:style w:type="character" w:customStyle="1" w:styleId="Char4">
    <w:name w:val="副标题 Char"/>
    <w:basedOn w:val="a0"/>
    <w:link w:val="a8"/>
    <w:qFormat/>
    <w:rPr>
      <w:rFonts w:asciiTheme="majorHAnsi" w:hAnsiTheme="majorHAnsi" w:cstheme="majorBidi"/>
      <w:bCs/>
      <w:kern w:val="28"/>
      <w:sz w:val="28"/>
      <w:szCs w:val="32"/>
    </w:rPr>
  </w:style>
  <w:style w:type="character" w:customStyle="1" w:styleId="Char6">
    <w:name w:val="标题 Char"/>
    <w:basedOn w:val="a0"/>
    <w:link w:val="ab"/>
    <w:uiPriority w:val="10"/>
    <w:qFormat/>
    <w:rPr>
      <w:rFonts w:asciiTheme="majorHAnsi" w:hAnsiTheme="majorHAnsi" w:cstheme="majorBidi"/>
      <w:b/>
      <w:bCs/>
      <w:kern w:val="2"/>
      <w:sz w:val="32"/>
      <w:szCs w:val="32"/>
    </w:rPr>
  </w:style>
  <w:style w:type="paragraph" w:styleId="af4">
    <w:name w:val="List Paragraph"/>
    <w:basedOn w:val="a"/>
    <w:link w:val="Char8"/>
    <w:uiPriority w:val="34"/>
    <w:qFormat/>
    <w:pPr>
      <w:ind w:firstLineChars="200" w:firstLine="420"/>
    </w:pPr>
  </w:style>
  <w:style w:type="paragraph" w:customStyle="1" w:styleId="210">
    <w:name w:val="标题 21"/>
    <w:basedOn w:val="a"/>
    <w:next w:val="a"/>
    <w:uiPriority w:val="9"/>
    <w:unhideWhenUsed/>
    <w:qFormat/>
    <w:pPr>
      <w:keepNext/>
      <w:keepLines/>
      <w:spacing w:before="120" w:after="120"/>
      <w:outlineLvl w:val="1"/>
    </w:pPr>
    <w:rPr>
      <w:rFonts w:ascii="Calibri Light" w:hAnsi="Calibri Light"/>
      <w:b/>
      <w:bCs/>
      <w:sz w:val="28"/>
      <w:szCs w:val="32"/>
    </w:rPr>
  </w:style>
  <w:style w:type="character" w:customStyle="1" w:styleId="3Char">
    <w:name w:val="标题 3 Char"/>
    <w:basedOn w:val="a0"/>
    <w:link w:val="3"/>
    <w:uiPriority w:val="9"/>
    <w:qFormat/>
    <w:rPr>
      <w:rFonts w:ascii="Calibri" w:hAnsi="Calibri"/>
      <w:b/>
      <w:bCs/>
      <w:kern w:val="2"/>
      <w:sz w:val="24"/>
      <w:szCs w:val="32"/>
    </w:rPr>
  </w:style>
  <w:style w:type="character" w:customStyle="1" w:styleId="Char5">
    <w:name w:val="脚注文本 Char"/>
    <w:basedOn w:val="a0"/>
    <w:link w:val="a9"/>
    <w:uiPriority w:val="99"/>
    <w:qFormat/>
    <w:rPr>
      <w:rFonts w:ascii="Calibri" w:hAnsi="Calibri"/>
      <w:kern w:val="2"/>
      <w:sz w:val="18"/>
      <w:szCs w:val="18"/>
    </w:rPr>
  </w:style>
  <w:style w:type="paragraph" w:customStyle="1" w:styleId="3--">
    <w:name w:val="信托标题3--标题"/>
    <w:basedOn w:val="a"/>
    <w:qFormat/>
    <w:pPr>
      <w:spacing w:beforeLines="100" w:afterLines="50" w:line="360" w:lineRule="auto"/>
      <w:jc w:val="left"/>
      <w:outlineLvl w:val="1"/>
    </w:pPr>
    <w:rPr>
      <w:rFonts w:eastAsia="仿宋"/>
      <w:b/>
      <w:sz w:val="28"/>
    </w:rPr>
  </w:style>
  <w:style w:type="character" w:styleId="af5">
    <w:name w:val="Placeholder Text"/>
    <w:basedOn w:val="a0"/>
    <w:uiPriority w:val="99"/>
    <w:semiHidden/>
    <w:qFormat/>
    <w:rPr>
      <w:color w:val="808080"/>
    </w:rPr>
  </w:style>
  <w:style w:type="paragraph" w:customStyle="1" w:styleId="-12">
    <w:name w:val="彩色列表 - 强调文字颜色 12"/>
    <w:basedOn w:val="a"/>
    <w:qFormat/>
    <w:pPr>
      <w:ind w:firstLineChars="200" w:firstLine="420"/>
    </w:pPr>
  </w:style>
  <w:style w:type="character" w:customStyle="1" w:styleId="AODocTxtCharChar">
    <w:name w:val="AODocTxt Char Char"/>
    <w:link w:val="AODocTxt"/>
    <w:qFormat/>
    <w:rPr>
      <w:sz w:val="22"/>
      <w:lang w:val="en-GB" w:eastAsia="en-US"/>
    </w:rPr>
  </w:style>
  <w:style w:type="paragraph" w:customStyle="1" w:styleId="AODocTxt">
    <w:name w:val="AODocTxt"/>
    <w:basedOn w:val="a"/>
    <w:link w:val="AODocTxtCharChar"/>
    <w:qFormat/>
    <w:pPr>
      <w:widowControl/>
      <w:spacing w:before="240" w:line="260" w:lineRule="atLeast"/>
    </w:pPr>
    <w:rPr>
      <w:rFonts w:ascii="Times New Roman" w:hAnsi="Times New Roman"/>
      <w:kern w:val="0"/>
      <w:sz w:val="22"/>
      <w:szCs w:val="20"/>
      <w:lang w:val="en-GB" w:eastAsia="en-US"/>
    </w:rPr>
  </w:style>
  <w:style w:type="character" w:customStyle="1" w:styleId="Char8">
    <w:name w:val="列出段落 Char"/>
    <w:link w:val="af4"/>
    <w:uiPriority w:val="34"/>
    <w:qFormat/>
    <w:rPr>
      <w:rFonts w:ascii="Calibri" w:hAnsi="Calibri"/>
      <w:kern w:val="2"/>
      <w:sz w:val="21"/>
      <w:szCs w:val="22"/>
    </w:rPr>
  </w:style>
  <w:style w:type="character" w:customStyle="1" w:styleId="2Char">
    <w:name w:val="标题 2 Char"/>
    <w:basedOn w:val="a0"/>
    <w:link w:val="2"/>
    <w:uiPriority w:val="9"/>
    <w:qFormat/>
    <w:rPr>
      <w:rFonts w:ascii="Calibri Light" w:eastAsia="宋体" w:hAnsi="Calibri Light" w:cs="Times New Roman"/>
      <w:b/>
      <w:bCs/>
      <w:sz w:val="28"/>
      <w:szCs w:val="32"/>
    </w:rPr>
  </w:style>
  <w:style w:type="character" w:customStyle="1" w:styleId="211">
    <w:name w:val="标题 2 字符1"/>
    <w:basedOn w:val="a0"/>
    <w:uiPriority w:val="9"/>
    <w:semiHidden/>
    <w:qFormat/>
    <w:rPr>
      <w:rFonts w:asciiTheme="majorHAnsi" w:eastAsiaTheme="majorEastAsia" w:hAnsiTheme="majorHAnsi" w:cstheme="majorBidi"/>
      <w:b/>
      <w:bCs/>
      <w:kern w:val="2"/>
      <w:sz w:val="32"/>
      <w:szCs w:val="32"/>
    </w:rPr>
  </w:style>
  <w:style w:type="character" w:customStyle="1" w:styleId="15">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0"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semiHidden="0" w:unhideWhenUsed="0"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spacing w:line="360" w:lineRule="auto"/>
      <w:ind w:firstLineChars="200" w:firstLine="200"/>
      <w:outlineLvl w:val="0"/>
    </w:pPr>
    <w:rPr>
      <w:rFonts w:ascii="华文楷体" w:hAnsi="华文楷体"/>
      <w:b/>
      <w:sz w:val="32"/>
      <w:szCs w:val="2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libri Light" w:hAnsi="Calibri Light"/>
      <w:b/>
      <w:bCs/>
      <w:kern w:val="0"/>
      <w:sz w:val="28"/>
      <w:szCs w:val="32"/>
    </w:rPr>
  </w:style>
  <w:style w:type="paragraph" w:styleId="3">
    <w:name w:val="heading 3"/>
    <w:basedOn w:val="a"/>
    <w:next w:val="a"/>
    <w:link w:val="3Char"/>
    <w:uiPriority w:val="9"/>
    <w:unhideWhenUsed/>
    <w:qFormat/>
    <w:pPr>
      <w:keepNext/>
      <w:keepLines/>
      <w:spacing w:before="240" w:after="24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9">
    <w:name w:val="footnote text"/>
    <w:basedOn w:val="a"/>
    <w:link w:val="Char5"/>
    <w:uiPriority w:val="99"/>
    <w:qFormat/>
    <w:pPr>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uiPriority w:val="99"/>
    <w:unhideWhenUsed/>
    <w:qFormat/>
    <w:rPr>
      <w:sz w:val="21"/>
      <w:szCs w:val="21"/>
    </w:rPr>
  </w:style>
  <w:style w:type="character" w:styleId="af1">
    <w:name w:val="footnote reference"/>
    <w:uiPriority w:val="99"/>
    <w:semiHidden/>
    <w:qFormat/>
    <w:rPr>
      <w:vertAlign w:val="superscript"/>
    </w:rPr>
  </w:style>
  <w:style w:type="paragraph" w:customStyle="1" w:styleId="10">
    <w:name w:val="列出段落1"/>
    <w:basedOn w:val="a"/>
    <w:qFormat/>
    <w:pPr>
      <w:ind w:firstLineChars="200" w:firstLine="420"/>
    </w:pPr>
    <w:rPr>
      <w:rFonts w:ascii="Times New Roman" w:hAnsi="Times New Roman"/>
      <w:szCs w:val="24"/>
    </w:rPr>
  </w:style>
  <w:style w:type="paragraph" w:customStyle="1" w:styleId="11">
    <w:name w:val="批注主题1"/>
    <w:basedOn w:val="a3"/>
    <w:next w:val="a3"/>
    <w:link w:val="af2"/>
    <w:qFormat/>
    <w:rPr>
      <w:b/>
      <w:bCs/>
    </w:rPr>
  </w:style>
  <w:style w:type="paragraph" w:customStyle="1" w:styleId="20">
    <w:name w:val="列出段落2"/>
    <w:basedOn w:val="a"/>
    <w:qFormat/>
    <w:pPr>
      <w:ind w:firstLineChars="200" w:firstLine="420"/>
    </w:pPr>
    <w:rPr>
      <w:rFonts w:ascii="Times New Roman" w:hAnsi="Times New Roman"/>
      <w:szCs w:val="24"/>
    </w:rPr>
  </w:style>
  <w:style w:type="paragraph" w:customStyle="1" w:styleId="12">
    <w:name w:val="文档结构图1"/>
    <w:basedOn w:val="a"/>
    <w:link w:val="af3"/>
    <w:qFormat/>
    <w:rPr>
      <w:rFonts w:ascii="宋体"/>
      <w:sz w:val="18"/>
      <w:szCs w:val="18"/>
    </w:rPr>
  </w:style>
  <w:style w:type="paragraph" w:customStyle="1" w:styleId="13">
    <w:name w:val="修订1"/>
    <w:qFormat/>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1">
    <w:name w:val="批注框文本 Char"/>
    <w:link w:val="a5"/>
    <w:uiPriority w:val="99"/>
    <w:semiHidden/>
    <w:qFormat/>
    <w:rPr>
      <w:sz w:val="18"/>
      <w:szCs w:val="18"/>
    </w:rPr>
  </w:style>
  <w:style w:type="character" w:customStyle="1" w:styleId="14">
    <w:name w:val="批注引用1"/>
    <w:qFormat/>
    <w:rPr>
      <w:sz w:val="21"/>
      <w:szCs w:val="21"/>
    </w:rPr>
  </w:style>
  <w:style w:type="character" w:customStyle="1" w:styleId="Char">
    <w:name w:val="批注文字 Char"/>
    <w:basedOn w:val="a0"/>
    <w:link w:val="a3"/>
    <w:uiPriority w:val="99"/>
    <w:qFormat/>
  </w:style>
  <w:style w:type="character" w:customStyle="1" w:styleId="af2">
    <w:name w:val="批注主题 字符"/>
    <w:link w:val="11"/>
    <w:uiPriority w:val="99"/>
    <w:semiHidden/>
    <w:qFormat/>
    <w:rPr>
      <w:b/>
      <w:bCs/>
    </w:rPr>
  </w:style>
  <w:style w:type="character" w:customStyle="1" w:styleId="af3">
    <w:name w:val="文档结构图 字符"/>
    <w:link w:val="12"/>
    <w:semiHidden/>
    <w:qFormat/>
    <w:rPr>
      <w:rFonts w:ascii="宋体" w:eastAsia="宋体"/>
      <w:sz w:val="18"/>
      <w:szCs w:val="18"/>
    </w:rPr>
  </w:style>
  <w:style w:type="character" w:customStyle="1" w:styleId="21">
    <w:name w:val="批注引用2"/>
    <w:qFormat/>
    <w:rPr>
      <w:sz w:val="21"/>
      <w:szCs w:val="21"/>
    </w:rPr>
  </w:style>
  <w:style w:type="character" w:customStyle="1" w:styleId="Char7">
    <w:name w:val="批注主题 Char"/>
    <w:link w:val="ac"/>
    <w:uiPriority w:val="99"/>
    <w:semiHidden/>
    <w:qFormat/>
    <w:rPr>
      <w:rFonts w:ascii="Calibri" w:hAnsi="Calibri"/>
      <w:b/>
      <w:bCs/>
      <w:kern w:val="2"/>
      <w:sz w:val="21"/>
      <w:szCs w:val="22"/>
    </w:rPr>
  </w:style>
  <w:style w:type="character" w:customStyle="1" w:styleId="Char0">
    <w:name w:val="日期 Char"/>
    <w:link w:val="a4"/>
    <w:uiPriority w:val="99"/>
    <w:semiHidden/>
    <w:qFormat/>
    <w:rPr>
      <w:rFonts w:ascii="Calibri" w:hAnsi="Calibri"/>
      <w:kern w:val="2"/>
      <w:sz w:val="21"/>
      <w:szCs w:val="22"/>
    </w:rPr>
  </w:style>
  <w:style w:type="paragraph" w:customStyle="1" w:styleId="22">
    <w:name w:val="修订2"/>
    <w:hidden/>
    <w:uiPriority w:val="99"/>
    <w:semiHidden/>
    <w:qFormat/>
    <w:rPr>
      <w:rFonts w:ascii="Calibri" w:hAnsi="Calibri"/>
      <w:kern w:val="2"/>
      <w:sz w:val="21"/>
      <w:szCs w:val="22"/>
    </w:rPr>
  </w:style>
  <w:style w:type="character" w:customStyle="1" w:styleId="2SimHei2">
    <w:name w:val="正文文本 (2) + SimHei2"/>
    <w:qFormat/>
    <w:rPr>
      <w:rFonts w:ascii="黑体" w:eastAsia="黑体" w:hAnsi="黑体" w:cs="黑体"/>
      <w:sz w:val="30"/>
      <w:szCs w:val="30"/>
    </w:rPr>
  </w:style>
  <w:style w:type="character" w:customStyle="1" w:styleId="1Char">
    <w:name w:val="标题 1 Char"/>
    <w:basedOn w:val="a0"/>
    <w:link w:val="1"/>
    <w:uiPriority w:val="9"/>
    <w:qFormat/>
    <w:rPr>
      <w:rFonts w:ascii="华文楷体" w:hAnsi="华文楷体"/>
      <w:b/>
      <w:kern w:val="2"/>
      <w:sz w:val="32"/>
      <w:szCs w:val="28"/>
    </w:rPr>
  </w:style>
  <w:style w:type="character" w:customStyle="1" w:styleId="Char4">
    <w:name w:val="副标题 Char"/>
    <w:basedOn w:val="a0"/>
    <w:link w:val="a8"/>
    <w:qFormat/>
    <w:rPr>
      <w:rFonts w:asciiTheme="majorHAnsi" w:hAnsiTheme="majorHAnsi" w:cstheme="majorBidi"/>
      <w:bCs/>
      <w:kern w:val="28"/>
      <w:sz w:val="28"/>
      <w:szCs w:val="32"/>
    </w:rPr>
  </w:style>
  <w:style w:type="character" w:customStyle="1" w:styleId="Char6">
    <w:name w:val="标题 Char"/>
    <w:basedOn w:val="a0"/>
    <w:link w:val="ab"/>
    <w:uiPriority w:val="10"/>
    <w:qFormat/>
    <w:rPr>
      <w:rFonts w:asciiTheme="majorHAnsi" w:hAnsiTheme="majorHAnsi" w:cstheme="majorBidi"/>
      <w:b/>
      <w:bCs/>
      <w:kern w:val="2"/>
      <w:sz w:val="32"/>
      <w:szCs w:val="32"/>
    </w:rPr>
  </w:style>
  <w:style w:type="paragraph" w:styleId="af4">
    <w:name w:val="List Paragraph"/>
    <w:basedOn w:val="a"/>
    <w:link w:val="Char8"/>
    <w:uiPriority w:val="34"/>
    <w:qFormat/>
    <w:pPr>
      <w:ind w:firstLineChars="200" w:firstLine="420"/>
    </w:pPr>
  </w:style>
  <w:style w:type="paragraph" w:customStyle="1" w:styleId="210">
    <w:name w:val="标题 21"/>
    <w:basedOn w:val="a"/>
    <w:next w:val="a"/>
    <w:uiPriority w:val="9"/>
    <w:unhideWhenUsed/>
    <w:qFormat/>
    <w:pPr>
      <w:keepNext/>
      <w:keepLines/>
      <w:spacing w:before="120" w:after="120"/>
      <w:outlineLvl w:val="1"/>
    </w:pPr>
    <w:rPr>
      <w:rFonts w:ascii="Calibri Light" w:hAnsi="Calibri Light"/>
      <w:b/>
      <w:bCs/>
      <w:sz w:val="28"/>
      <w:szCs w:val="32"/>
    </w:rPr>
  </w:style>
  <w:style w:type="character" w:customStyle="1" w:styleId="3Char">
    <w:name w:val="标题 3 Char"/>
    <w:basedOn w:val="a0"/>
    <w:link w:val="3"/>
    <w:uiPriority w:val="9"/>
    <w:qFormat/>
    <w:rPr>
      <w:rFonts w:ascii="Calibri" w:hAnsi="Calibri"/>
      <w:b/>
      <w:bCs/>
      <w:kern w:val="2"/>
      <w:sz w:val="24"/>
      <w:szCs w:val="32"/>
    </w:rPr>
  </w:style>
  <w:style w:type="character" w:customStyle="1" w:styleId="Char5">
    <w:name w:val="脚注文本 Char"/>
    <w:basedOn w:val="a0"/>
    <w:link w:val="a9"/>
    <w:uiPriority w:val="99"/>
    <w:qFormat/>
    <w:rPr>
      <w:rFonts w:ascii="Calibri" w:hAnsi="Calibri"/>
      <w:kern w:val="2"/>
      <w:sz w:val="18"/>
      <w:szCs w:val="18"/>
    </w:rPr>
  </w:style>
  <w:style w:type="paragraph" w:customStyle="1" w:styleId="3--">
    <w:name w:val="信托标题3--标题"/>
    <w:basedOn w:val="a"/>
    <w:qFormat/>
    <w:pPr>
      <w:spacing w:beforeLines="100" w:afterLines="50" w:line="360" w:lineRule="auto"/>
      <w:jc w:val="left"/>
      <w:outlineLvl w:val="1"/>
    </w:pPr>
    <w:rPr>
      <w:rFonts w:eastAsia="仿宋"/>
      <w:b/>
      <w:sz w:val="28"/>
    </w:rPr>
  </w:style>
  <w:style w:type="character" w:styleId="af5">
    <w:name w:val="Placeholder Text"/>
    <w:basedOn w:val="a0"/>
    <w:uiPriority w:val="99"/>
    <w:semiHidden/>
    <w:qFormat/>
    <w:rPr>
      <w:color w:val="808080"/>
    </w:rPr>
  </w:style>
  <w:style w:type="paragraph" w:customStyle="1" w:styleId="-12">
    <w:name w:val="彩色列表 - 强调文字颜色 12"/>
    <w:basedOn w:val="a"/>
    <w:qFormat/>
    <w:pPr>
      <w:ind w:firstLineChars="200" w:firstLine="420"/>
    </w:pPr>
  </w:style>
  <w:style w:type="character" w:customStyle="1" w:styleId="AODocTxtCharChar">
    <w:name w:val="AODocTxt Char Char"/>
    <w:link w:val="AODocTxt"/>
    <w:qFormat/>
    <w:rPr>
      <w:sz w:val="22"/>
      <w:lang w:val="en-GB" w:eastAsia="en-US"/>
    </w:rPr>
  </w:style>
  <w:style w:type="paragraph" w:customStyle="1" w:styleId="AODocTxt">
    <w:name w:val="AODocTxt"/>
    <w:basedOn w:val="a"/>
    <w:link w:val="AODocTxtCharChar"/>
    <w:qFormat/>
    <w:pPr>
      <w:widowControl/>
      <w:spacing w:before="240" w:line="260" w:lineRule="atLeast"/>
    </w:pPr>
    <w:rPr>
      <w:rFonts w:ascii="Times New Roman" w:hAnsi="Times New Roman"/>
      <w:kern w:val="0"/>
      <w:sz w:val="22"/>
      <w:szCs w:val="20"/>
      <w:lang w:val="en-GB" w:eastAsia="en-US"/>
    </w:rPr>
  </w:style>
  <w:style w:type="character" w:customStyle="1" w:styleId="Char8">
    <w:name w:val="列出段落 Char"/>
    <w:link w:val="af4"/>
    <w:uiPriority w:val="34"/>
    <w:qFormat/>
    <w:rPr>
      <w:rFonts w:ascii="Calibri" w:hAnsi="Calibri"/>
      <w:kern w:val="2"/>
      <w:sz w:val="21"/>
      <w:szCs w:val="22"/>
    </w:rPr>
  </w:style>
  <w:style w:type="character" w:customStyle="1" w:styleId="2Char">
    <w:name w:val="标题 2 Char"/>
    <w:basedOn w:val="a0"/>
    <w:link w:val="2"/>
    <w:uiPriority w:val="9"/>
    <w:qFormat/>
    <w:rPr>
      <w:rFonts w:ascii="Calibri Light" w:eastAsia="宋体" w:hAnsi="Calibri Light" w:cs="Times New Roman"/>
      <w:b/>
      <w:bCs/>
      <w:sz w:val="28"/>
      <w:szCs w:val="32"/>
    </w:rPr>
  </w:style>
  <w:style w:type="character" w:customStyle="1" w:styleId="211">
    <w:name w:val="标题 2 字符1"/>
    <w:basedOn w:val="a0"/>
    <w:uiPriority w:val="9"/>
    <w:semiHidden/>
    <w:qFormat/>
    <w:rPr>
      <w:rFonts w:asciiTheme="majorHAnsi" w:eastAsiaTheme="majorEastAsia" w:hAnsiTheme="majorHAnsi" w:cstheme="majorBidi"/>
      <w:b/>
      <w:bCs/>
      <w:kern w:val="2"/>
      <w:sz w:val="32"/>
      <w:szCs w:val="3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94702-CA86-4090-8553-BE5ABC9C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3327</Words>
  <Characters>18970</Characters>
  <Application>Microsoft Office Word</Application>
  <DocSecurity>0</DocSecurity>
  <Lines>158</Lines>
  <Paragraphs>44</Paragraphs>
  <ScaleCrop>false</ScaleCrop>
  <Company/>
  <LinksUpToDate>false</LinksUpToDate>
  <CharactersWithSpaces>22253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监管协议</dc:title>
  <dc:creator>dentons</dc:creator>
  <cp:lastModifiedBy>su</cp:lastModifiedBy>
  <cp:revision>13</cp:revision>
  <cp:lastPrinted>2021-04-15T00:10:00Z</cp:lastPrinted>
  <dcterms:created xsi:type="dcterms:W3CDTF">2021-04-13T11:00:00Z</dcterms:created>
  <dcterms:modified xsi:type="dcterms:W3CDTF">2021-04-15T04:47:00Z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1A713459E3D846AEA08D8E41B3DB097A</vt:lpwstr>
  </property>
</Properties>
</file>