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2020年10月监管报告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1"/>
        </w:rPr>
      </w:pPr>
      <w:r>
        <w:rPr>
          <w:rFonts w:ascii="Arial" w:hAnsi="Arial" w:cs="Arial"/>
          <w:b/>
          <w:color w:val="000000"/>
          <w:szCs w:val="21"/>
        </w:rPr>
        <w:t>项目名称：光大信托·瑞华6号武汉汉口正荣府项目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日期：二零二零年十一月十一日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4"/>
        <w:tabs>
          <w:tab w:val="right" w:leader="dot" w:pos="9298"/>
          <w:tab w:val="clear" w:pos="8302"/>
        </w:tabs>
      </w:pPr>
      <w:r>
        <w:rPr>
          <w:rFonts w:ascii="Arial" w:hAnsi="Arial" w:cs="Arial"/>
          <w:sz w:val="21"/>
          <w:szCs w:val="21"/>
        </w:rPr>
        <w:fldChar w:fldCharType="begin"/>
      </w:r>
      <w:r>
        <w:rPr>
          <w:rStyle w:val="26"/>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"_Toc25610" </w:instrText>
      </w:r>
      <w:r>
        <w:fldChar w:fldCharType="separate"/>
      </w:r>
      <w:r>
        <w:rPr>
          <w:rFonts w:ascii="Arial" w:hAnsi="Arial" w:cs="Arial"/>
          <w:szCs w:val="24"/>
        </w:rPr>
        <w:t>1项目基本情况</w:t>
      </w:r>
      <w:r>
        <w:tab/>
      </w:r>
      <w:r>
        <w:fldChar w:fldCharType="begin"/>
      </w:r>
      <w:r>
        <w:instrText xml:space="preserve"> PAGEREF _Toc25610 </w:instrText>
      </w:r>
      <w:r>
        <w:fldChar w:fldCharType="separate"/>
      </w:r>
      <w:r>
        <w:t>1</w:t>
      </w:r>
      <w:r>
        <w:fldChar w:fldCharType="end"/>
      </w:r>
      <w:r>
        <w:fldChar w:fldCharType="end"/>
      </w:r>
    </w:p>
    <w:p>
      <w:pPr>
        <w:pStyle w:val="14"/>
        <w:tabs>
          <w:tab w:val="right" w:leader="dot" w:pos="9298"/>
          <w:tab w:val="clear" w:pos="8302"/>
        </w:tabs>
      </w:pPr>
      <w:r>
        <w:fldChar w:fldCharType="begin"/>
      </w:r>
      <w:r>
        <w:instrText xml:space="preserve"> HYPERLINK \l "_Toc6196" </w:instrText>
      </w:r>
      <w:r>
        <w:fldChar w:fldCharType="separate"/>
      </w:r>
      <w:r>
        <w:rPr>
          <w:rFonts w:ascii="Arial" w:hAnsi="Arial" w:cs="Arial"/>
          <w:szCs w:val="24"/>
        </w:rPr>
        <w:t>2重大事件披露</w:t>
      </w:r>
      <w:r>
        <w:tab/>
      </w:r>
      <w:r>
        <w:fldChar w:fldCharType="begin"/>
      </w:r>
      <w:r>
        <w:instrText xml:space="preserve"> PAGEREF _Toc6196 </w:instrText>
      </w:r>
      <w:r>
        <w:fldChar w:fldCharType="separate"/>
      </w:r>
      <w:r>
        <w:t>2</w:t>
      </w:r>
      <w:r>
        <w:fldChar w:fldCharType="end"/>
      </w:r>
      <w:r>
        <w:fldChar w:fldCharType="end"/>
      </w:r>
    </w:p>
    <w:p>
      <w:pPr>
        <w:pStyle w:val="14"/>
        <w:tabs>
          <w:tab w:val="right" w:leader="dot" w:pos="9298"/>
          <w:tab w:val="clear" w:pos="8302"/>
        </w:tabs>
      </w:pPr>
      <w:r>
        <w:fldChar w:fldCharType="begin"/>
      </w:r>
      <w:r>
        <w:instrText xml:space="preserve"> HYPERLINK \l "_Toc17426" </w:instrText>
      </w:r>
      <w:r>
        <w:fldChar w:fldCharType="separate"/>
      </w:r>
      <w:r>
        <w:rPr>
          <w:rFonts w:ascii="Arial" w:hAnsi="Arial" w:cs="Arial"/>
          <w:szCs w:val="24"/>
        </w:rPr>
        <w:t>3项目五证办理情况及施工进度情况</w:t>
      </w:r>
      <w:r>
        <w:tab/>
      </w:r>
      <w:r>
        <w:fldChar w:fldCharType="begin"/>
      </w:r>
      <w:r>
        <w:instrText xml:space="preserve"> PAGEREF _Toc17426 </w:instrText>
      </w:r>
      <w:r>
        <w:fldChar w:fldCharType="separate"/>
      </w:r>
      <w:r>
        <w:t>2</w:t>
      </w:r>
      <w:r>
        <w:fldChar w:fldCharType="end"/>
      </w:r>
      <w:r>
        <w:fldChar w:fldCharType="end"/>
      </w:r>
    </w:p>
    <w:p>
      <w:pPr>
        <w:pStyle w:val="18"/>
        <w:tabs>
          <w:tab w:val="right" w:leader="dot" w:pos="9298"/>
          <w:tab w:val="clear" w:pos="8302"/>
        </w:tabs>
      </w:pPr>
      <w:r>
        <w:fldChar w:fldCharType="begin"/>
      </w:r>
      <w:r>
        <w:instrText xml:space="preserve"> HYPERLINK \l "_Toc26389" </w:instrText>
      </w:r>
      <w:r>
        <w:fldChar w:fldCharType="separate"/>
      </w:r>
      <w:r>
        <w:rPr>
          <w:rFonts w:ascii="Arial" w:hAnsi="Arial" w:cs="Arial"/>
          <w:szCs w:val="24"/>
        </w:rPr>
        <w:t>3.1项目五证办理情况说明</w:t>
      </w:r>
      <w:r>
        <w:tab/>
      </w:r>
      <w:r>
        <w:fldChar w:fldCharType="begin"/>
      </w:r>
      <w:r>
        <w:instrText xml:space="preserve"> PAGEREF _Toc26389 </w:instrText>
      </w:r>
      <w:r>
        <w:fldChar w:fldCharType="separate"/>
      </w:r>
      <w:r>
        <w:t>2</w:t>
      </w:r>
      <w:r>
        <w:fldChar w:fldCharType="end"/>
      </w:r>
      <w:r>
        <w:fldChar w:fldCharType="end"/>
      </w:r>
    </w:p>
    <w:p>
      <w:pPr>
        <w:pStyle w:val="18"/>
        <w:tabs>
          <w:tab w:val="right" w:leader="dot" w:pos="9298"/>
          <w:tab w:val="clear" w:pos="8302"/>
        </w:tabs>
      </w:pPr>
      <w:r>
        <w:fldChar w:fldCharType="begin"/>
      </w:r>
      <w:r>
        <w:instrText xml:space="preserve"> HYPERLINK \l "_Toc19242" </w:instrText>
      </w:r>
      <w:r>
        <w:fldChar w:fldCharType="separate"/>
      </w:r>
      <w:r>
        <w:rPr>
          <w:rFonts w:ascii="Arial" w:hAnsi="Arial" w:cs="Arial"/>
          <w:szCs w:val="24"/>
        </w:rPr>
        <w:t>3.2工程进度考核</w:t>
      </w:r>
      <w:r>
        <w:tab/>
      </w:r>
      <w:r>
        <w:fldChar w:fldCharType="begin"/>
      </w:r>
      <w:r>
        <w:instrText xml:space="preserve"> PAGEREF _Toc19242 </w:instrText>
      </w:r>
      <w:r>
        <w:fldChar w:fldCharType="separate"/>
      </w:r>
      <w:r>
        <w:t>2</w:t>
      </w:r>
      <w:r>
        <w:fldChar w:fldCharType="end"/>
      </w:r>
      <w:r>
        <w:fldChar w:fldCharType="end"/>
      </w:r>
    </w:p>
    <w:p>
      <w:pPr>
        <w:pStyle w:val="18"/>
        <w:tabs>
          <w:tab w:val="right" w:leader="dot" w:pos="9298"/>
          <w:tab w:val="clear" w:pos="8302"/>
        </w:tabs>
      </w:pPr>
      <w:r>
        <w:fldChar w:fldCharType="begin"/>
      </w:r>
      <w:r>
        <w:instrText xml:space="preserve"> HYPERLINK \l "_Toc13505" </w:instrText>
      </w:r>
      <w:r>
        <w:fldChar w:fldCharType="separate"/>
      </w:r>
      <w:r>
        <w:rPr>
          <w:rFonts w:ascii="Arial" w:hAnsi="Arial" w:cs="Arial"/>
          <w:szCs w:val="24"/>
        </w:rPr>
        <w:t>3.3项目2020年10月份施工进度情况</w:t>
      </w:r>
      <w:r>
        <w:tab/>
      </w:r>
      <w:r>
        <w:fldChar w:fldCharType="begin"/>
      </w:r>
      <w:r>
        <w:instrText xml:space="preserve"> PAGEREF _Toc13505 </w:instrText>
      </w:r>
      <w:r>
        <w:fldChar w:fldCharType="separate"/>
      </w:r>
      <w:r>
        <w:t>3</w:t>
      </w:r>
      <w:r>
        <w:fldChar w:fldCharType="end"/>
      </w:r>
      <w:r>
        <w:fldChar w:fldCharType="end"/>
      </w:r>
    </w:p>
    <w:p>
      <w:pPr>
        <w:pStyle w:val="14"/>
        <w:tabs>
          <w:tab w:val="right" w:leader="dot" w:pos="9298"/>
          <w:tab w:val="clear" w:pos="8302"/>
        </w:tabs>
      </w:pPr>
      <w:r>
        <w:fldChar w:fldCharType="begin"/>
      </w:r>
      <w:r>
        <w:instrText xml:space="preserve"> HYPERLINK \l "_Toc32486" </w:instrText>
      </w:r>
      <w:r>
        <w:fldChar w:fldCharType="separate"/>
      </w:r>
      <w:r>
        <w:rPr>
          <w:rFonts w:ascii="Arial" w:hAnsi="Arial" w:cs="Arial"/>
          <w:szCs w:val="24"/>
        </w:rPr>
        <w:t>4印鉴使用情况</w:t>
      </w:r>
      <w:r>
        <w:tab/>
      </w:r>
      <w:r>
        <w:fldChar w:fldCharType="begin"/>
      </w:r>
      <w:r>
        <w:instrText xml:space="preserve"> PAGEREF _Toc32486 </w:instrText>
      </w:r>
      <w:r>
        <w:fldChar w:fldCharType="separate"/>
      </w:r>
      <w:r>
        <w:t>4</w:t>
      </w:r>
      <w:r>
        <w:fldChar w:fldCharType="end"/>
      </w:r>
      <w:r>
        <w:fldChar w:fldCharType="end"/>
      </w:r>
    </w:p>
    <w:p>
      <w:pPr>
        <w:pStyle w:val="14"/>
        <w:tabs>
          <w:tab w:val="right" w:leader="dot" w:pos="9298"/>
          <w:tab w:val="clear" w:pos="8302"/>
        </w:tabs>
      </w:pPr>
      <w:r>
        <w:fldChar w:fldCharType="begin"/>
      </w:r>
      <w:r>
        <w:instrText xml:space="preserve"> HYPERLINK \l "_Toc29289" </w:instrText>
      </w:r>
      <w:r>
        <w:fldChar w:fldCharType="separate"/>
      </w:r>
      <w:r>
        <w:rPr>
          <w:rFonts w:ascii="Arial" w:hAnsi="Arial" w:cs="Arial"/>
          <w:szCs w:val="24"/>
        </w:rPr>
        <w:t>5合同签订情况</w:t>
      </w:r>
      <w:r>
        <w:tab/>
      </w:r>
      <w:r>
        <w:fldChar w:fldCharType="begin"/>
      </w:r>
      <w:r>
        <w:instrText xml:space="preserve"> PAGEREF _Toc29289 </w:instrText>
      </w:r>
      <w:r>
        <w:fldChar w:fldCharType="separate"/>
      </w:r>
      <w:r>
        <w:t>5</w:t>
      </w:r>
      <w:r>
        <w:fldChar w:fldCharType="end"/>
      </w:r>
      <w:r>
        <w:fldChar w:fldCharType="end"/>
      </w:r>
    </w:p>
    <w:p>
      <w:pPr>
        <w:pStyle w:val="14"/>
        <w:tabs>
          <w:tab w:val="right" w:leader="dot" w:pos="9298"/>
          <w:tab w:val="clear" w:pos="8302"/>
        </w:tabs>
      </w:pPr>
      <w:r>
        <w:fldChar w:fldCharType="begin"/>
      </w:r>
      <w:r>
        <w:instrText xml:space="preserve"> HYPERLINK \l "_Toc11769" </w:instrText>
      </w:r>
      <w:r>
        <w:fldChar w:fldCharType="separate"/>
      </w:r>
      <w:r>
        <w:rPr>
          <w:rFonts w:ascii="Arial" w:hAnsi="Arial" w:cs="Arial"/>
          <w:szCs w:val="24"/>
        </w:rPr>
        <w:t>6 项目销售情况汇总表</w:t>
      </w:r>
      <w:r>
        <w:tab/>
      </w:r>
      <w:r>
        <w:fldChar w:fldCharType="begin"/>
      </w:r>
      <w:r>
        <w:instrText xml:space="preserve"> PAGEREF _Toc11769 </w:instrText>
      </w:r>
      <w:r>
        <w:fldChar w:fldCharType="separate"/>
      </w:r>
      <w:r>
        <w:t>7</w:t>
      </w:r>
      <w:r>
        <w:fldChar w:fldCharType="end"/>
      </w:r>
      <w:r>
        <w:fldChar w:fldCharType="end"/>
      </w:r>
    </w:p>
    <w:p>
      <w:pPr>
        <w:pStyle w:val="14"/>
        <w:tabs>
          <w:tab w:val="right" w:leader="dot" w:pos="9298"/>
          <w:tab w:val="clear" w:pos="8302"/>
        </w:tabs>
      </w:pPr>
      <w:r>
        <w:fldChar w:fldCharType="begin"/>
      </w:r>
      <w:r>
        <w:instrText xml:space="preserve"> HYPERLINK \l "_Toc21806" </w:instrText>
      </w:r>
      <w:r>
        <w:fldChar w:fldCharType="separate"/>
      </w:r>
      <w:r>
        <w:rPr>
          <w:rFonts w:ascii="Arial" w:hAnsi="Arial" w:cs="Arial"/>
          <w:szCs w:val="21"/>
        </w:rPr>
        <w:t>7 项目竞品分析</w:t>
      </w:r>
      <w:r>
        <w:tab/>
      </w:r>
      <w:r>
        <w:fldChar w:fldCharType="begin"/>
      </w:r>
      <w:r>
        <w:instrText xml:space="preserve"> PAGEREF _Toc21806 </w:instrText>
      </w:r>
      <w:r>
        <w:fldChar w:fldCharType="separate"/>
      </w:r>
      <w:r>
        <w:t>8</w:t>
      </w:r>
      <w:r>
        <w:fldChar w:fldCharType="end"/>
      </w:r>
      <w:r>
        <w:fldChar w:fldCharType="end"/>
      </w:r>
    </w:p>
    <w:p>
      <w:pPr>
        <w:pStyle w:val="14"/>
        <w:tabs>
          <w:tab w:val="right" w:leader="dot" w:pos="9298"/>
          <w:tab w:val="clear" w:pos="8302"/>
        </w:tabs>
      </w:pPr>
      <w:r>
        <w:fldChar w:fldCharType="begin"/>
      </w:r>
      <w:r>
        <w:instrText xml:space="preserve"> HYPERLINK \l "_Toc15698" </w:instrText>
      </w:r>
      <w:r>
        <w:fldChar w:fldCharType="separate"/>
      </w:r>
      <w:r>
        <w:rPr>
          <w:rFonts w:ascii="Arial" w:hAnsi="Arial" w:cs="Arial"/>
          <w:szCs w:val="24"/>
        </w:rPr>
        <w:t>8 资金情况</w:t>
      </w:r>
      <w:r>
        <w:tab/>
      </w:r>
      <w:r>
        <w:fldChar w:fldCharType="begin"/>
      </w:r>
      <w:r>
        <w:instrText xml:space="preserve"> PAGEREF _Toc15698 </w:instrText>
      </w:r>
      <w:r>
        <w:fldChar w:fldCharType="separate"/>
      </w:r>
      <w:r>
        <w:t>9</w:t>
      </w:r>
      <w:r>
        <w:fldChar w:fldCharType="end"/>
      </w:r>
      <w:r>
        <w:fldChar w:fldCharType="end"/>
      </w:r>
    </w:p>
    <w:p>
      <w:pPr>
        <w:pStyle w:val="18"/>
        <w:tabs>
          <w:tab w:val="right" w:leader="dot" w:pos="9298"/>
          <w:tab w:val="clear" w:pos="8302"/>
        </w:tabs>
      </w:pPr>
      <w:r>
        <w:fldChar w:fldCharType="begin"/>
      </w:r>
      <w:r>
        <w:instrText xml:space="preserve"> HYPERLINK \l "_Toc26956" </w:instrText>
      </w:r>
      <w:r>
        <w:fldChar w:fldCharType="separate"/>
      </w:r>
      <w:r>
        <w:rPr>
          <w:rFonts w:ascii="Arial" w:hAnsi="Arial" w:cs="Arial"/>
          <w:szCs w:val="24"/>
        </w:rPr>
        <w:t>8.1 资金使用汇总表（2020年10月）</w:t>
      </w:r>
      <w:r>
        <w:tab/>
      </w:r>
      <w:r>
        <w:fldChar w:fldCharType="begin"/>
      </w:r>
      <w:r>
        <w:instrText xml:space="preserve"> PAGEREF _Toc26956 </w:instrText>
      </w:r>
      <w:r>
        <w:fldChar w:fldCharType="separate"/>
      </w:r>
      <w:r>
        <w:t>9</w:t>
      </w:r>
      <w:r>
        <w:fldChar w:fldCharType="end"/>
      </w:r>
      <w:r>
        <w:fldChar w:fldCharType="end"/>
      </w:r>
    </w:p>
    <w:p>
      <w:pPr>
        <w:pStyle w:val="18"/>
        <w:tabs>
          <w:tab w:val="right" w:leader="dot" w:pos="9298"/>
          <w:tab w:val="clear" w:pos="8302"/>
        </w:tabs>
      </w:pPr>
      <w:r>
        <w:fldChar w:fldCharType="begin"/>
      </w:r>
      <w:r>
        <w:instrText xml:space="preserve"> HYPERLINK \l "_Toc32542" </w:instrText>
      </w:r>
      <w:r>
        <w:fldChar w:fldCharType="separate"/>
      </w:r>
      <w:r>
        <w:rPr>
          <w:rFonts w:ascii="Arial" w:hAnsi="Arial" w:cs="Arial"/>
          <w:szCs w:val="24"/>
        </w:rPr>
        <w:t>8.2资金流出情况</w:t>
      </w:r>
      <w:r>
        <w:tab/>
      </w:r>
      <w:r>
        <w:fldChar w:fldCharType="begin"/>
      </w:r>
      <w:r>
        <w:instrText xml:space="preserve"> PAGEREF _Toc32542 </w:instrText>
      </w:r>
      <w:r>
        <w:fldChar w:fldCharType="separate"/>
      </w:r>
      <w:r>
        <w:t>9</w:t>
      </w:r>
      <w:r>
        <w:fldChar w:fldCharType="end"/>
      </w:r>
      <w:r>
        <w:fldChar w:fldCharType="end"/>
      </w:r>
    </w:p>
    <w:p>
      <w:pPr>
        <w:pStyle w:val="18"/>
        <w:tabs>
          <w:tab w:val="right" w:leader="dot" w:pos="9298"/>
          <w:tab w:val="clear" w:pos="8302"/>
        </w:tabs>
      </w:pPr>
      <w:r>
        <w:fldChar w:fldCharType="begin"/>
      </w:r>
      <w:r>
        <w:instrText xml:space="preserve"> HYPERLINK \l "_Toc23446" </w:instrText>
      </w:r>
      <w:r>
        <w:fldChar w:fldCharType="separate"/>
      </w:r>
      <w:r>
        <w:rPr>
          <w:rFonts w:ascii="Arial" w:hAnsi="Arial" w:cs="Arial"/>
          <w:szCs w:val="24"/>
        </w:rPr>
        <w:t>8.3 资金流入情况</w:t>
      </w:r>
      <w:r>
        <w:tab/>
      </w:r>
      <w:r>
        <w:fldChar w:fldCharType="begin"/>
      </w:r>
      <w:r>
        <w:instrText xml:space="preserve"> PAGEREF _Toc23446 </w:instrText>
      </w:r>
      <w:r>
        <w:fldChar w:fldCharType="separate"/>
      </w:r>
      <w:r>
        <w:t>14</w:t>
      </w:r>
      <w:r>
        <w:fldChar w:fldCharType="end"/>
      </w:r>
      <w:r>
        <w:fldChar w:fldCharType="end"/>
      </w:r>
    </w:p>
    <w:p>
      <w:pPr>
        <w:pStyle w:val="8"/>
        <w:tabs>
          <w:tab w:val="right" w:leader="dot" w:pos="9298"/>
        </w:tabs>
      </w:pPr>
      <w:r>
        <w:fldChar w:fldCharType="begin"/>
      </w:r>
      <w:r>
        <w:instrText xml:space="preserve"> HYPERLINK \l "_Toc27350" </w:instrText>
      </w:r>
      <w:r>
        <w:fldChar w:fldCharType="separate"/>
      </w:r>
      <w:r>
        <w:rPr>
          <w:rFonts w:hint="eastAsia" w:cs="Arial"/>
          <w:szCs w:val="24"/>
        </w:rPr>
        <w:t>8</w:t>
      </w:r>
      <w:r>
        <w:rPr>
          <w:rFonts w:ascii="Arial" w:hAnsi="Arial" w:cs="Arial"/>
          <w:szCs w:val="24"/>
        </w:rPr>
        <w:t>.3.1其他资金流入明细</w:t>
      </w:r>
      <w:r>
        <w:tab/>
      </w:r>
      <w:r>
        <w:fldChar w:fldCharType="begin"/>
      </w:r>
      <w:r>
        <w:instrText xml:space="preserve"> PAGEREF _Toc27350 </w:instrText>
      </w:r>
      <w:r>
        <w:fldChar w:fldCharType="separate"/>
      </w:r>
      <w:r>
        <w:t>14</w:t>
      </w:r>
      <w:r>
        <w:fldChar w:fldCharType="end"/>
      </w:r>
      <w:r>
        <w:fldChar w:fldCharType="end"/>
      </w:r>
    </w:p>
    <w:p>
      <w:pPr>
        <w:pStyle w:val="8"/>
        <w:tabs>
          <w:tab w:val="right" w:leader="dot" w:pos="9298"/>
        </w:tabs>
      </w:pPr>
      <w:r>
        <w:fldChar w:fldCharType="begin"/>
      </w:r>
      <w:r>
        <w:instrText xml:space="preserve"> HYPERLINK \l "_Toc5065" </w:instrText>
      </w:r>
      <w:r>
        <w:fldChar w:fldCharType="separate"/>
      </w:r>
      <w:r>
        <w:rPr>
          <w:rFonts w:ascii="Arial" w:hAnsi="Arial" w:cs="Arial"/>
          <w:bCs/>
          <w:szCs w:val="24"/>
        </w:rPr>
        <w:t>8.3.2销售资金流入明细</w:t>
      </w:r>
      <w:r>
        <w:tab/>
      </w:r>
      <w:r>
        <w:fldChar w:fldCharType="begin"/>
      </w:r>
      <w:r>
        <w:instrText xml:space="preserve"> PAGEREF _Toc5065 </w:instrText>
      </w:r>
      <w:r>
        <w:fldChar w:fldCharType="separate"/>
      </w:r>
      <w:r>
        <w:t>16</w:t>
      </w:r>
      <w:r>
        <w:fldChar w:fldCharType="end"/>
      </w:r>
      <w:r>
        <w:fldChar w:fldCharType="end"/>
      </w:r>
    </w:p>
    <w:p>
      <w:pPr>
        <w:pStyle w:val="8"/>
        <w:tabs>
          <w:tab w:val="right" w:leader="dot" w:pos="9298"/>
        </w:tabs>
      </w:pPr>
      <w:r>
        <w:fldChar w:fldCharType="begin"/>
      </w:r>
      <w:r>
        <w:instrText xml:space="preserve"> HYPERLINK \l "_Toc1733" </w:instrText>
      </w:r>
      <w:r>
        <w:fldChar w:fldCharType="separate"/>
      </w:r>
      <w:r>
        <w:rPr>
          <w:rFonts w:ascii="Arial" w:hAnsi="Arial" w:cs="Arial"/>
          <w:szCs w:val="24"/>
        </w:rPr>
        <w:t>8.3.3销售回款流入明细</w:t>
      </w:r>
      <w:r>
        <w:tab/>
      </w:r>
      <w:r>
        <w:fldChar w:fldCharType="begin"/>
      </w:r>
      <w:r>
        <w:instrText xml:space="preserve"> PAGEREF _Toc1733 </w:instrText>
      </w:r>
      <w:r>
        <w:fldChar w:fldCharType="separate"/>
      </w:r>
      <w:r>
        <w:t>18</w:t>
      </w:r>
      <w:r>
        <w:fldChar w:fldCharType="end"/>
      </w:r>
      <w:r>
        <w:fldChar w:fldCharType="end"/>
      </w:r>
    </w:p>
    <w:p>
      <w:pPr>
        <w:pStyle w:val="18"/>
        <w:tabs>
          <w:tab w:val="right" w:leader="dot" w:pos="9298"/>
          <w:tab w:val="clear" w:pos="8302"/>
        </w:tabs>
      </w:pPr>
      <w:r>
        <w:fldChar w:fldCharType="begin"/>
      </w:r>
      <w:r>
        <w:instrText xml:space="preserve"> HYPERLINK \l "_Toc20099" </w:instrText>
      </w:r>
      <w:r>
        <w:fldChar w:fldCharType="separate"/>
      </w:r>
      <w:r>
        <w:rPr>
          <w:rFonts w:ascii="Arial" w:hAnsi="Arial" w:cs="Arial"/>
          <w:szCs w:val="24"/>
        </w:rPr>
        <w:t>8.4 各银行账户余额</w:t>
      </w:r>
      <w:r>
        <w:tab/>
      </w:r>
      <w:r>
        <w:fldChar w:fldCharType="begin"/>
      </w:r>
      <w:r>
        <w:instrText xml:space="preserve"> PAGEREF _Toc20099 </w:instrText>
      </w:r>
      <w:r>
        <w:fldChar w:fldCharType="separate"/>
      </w:r>
      <w:r>
        <w:t>18</w:t>
      </w:r>
      <w:r>
        <w:fldChar w:fldCharType="end"/>
      </w:r>
      <w:r>
        <w:fldChar w:fldCharType="end"/>
      </w:r>
    </w:p>
    <w:p>
      <w:pPr>
        <w:pStyle w:val="18"/>
        <w:tabs>
          <w:tab w:val="right" w:leader="dot" w:pos="9298"/>
          <w:tab w:val="clear" w:pos="8302"/>
        </w:tabs>
        <w:ind w:left="0"/>
      </w:pPr>
      <w:r>
        <w:fldChar w:fldCharType="begin"/>
      </w:r>
      <w:r>
        <w:instrText xml:space="preserve"> HYPERLINK \l "_Toc5797" </w:instrText>
      </w:r>
      <w:r>
        <w:fldChar w:fldCharType="separate"/>
      </w:r>
      <w:r>
        <w:rPr>
          <w:rFonts w:ascii="Arial" w:hAnsi="Arial" w:cs="Arial"/>
          <w:szCs w:val="24"/>
        </w:rPr>
        <w:t>附件</w:t>
      </w:r>
      <w:r>
        <w:tab/>
      </w:r>
      <w:r>
        <w:fldChar w:fldCharType="begin"/>
      </w:r>
      <w:r>
        <w:instrText xml:space="preserve"> PAGEREF _Toc5797 </w:instrText>
      </w:r>
      <w:r>
        <w:fldChar w:fldCharType="separate"/>
      </w:r>
      <w:r>
        <w:t>20</w:t>
      </w:r>
      <w:r>
        <w:fldChar w:fldCharType="end"/>
      </w:r>
      <w:r>
        <w:fldChar w:fldCharType="end"/>
      </w:r>
    </w:p>
    <w:p>
      <w:pPr>
        <w:pStyle w:val="18"/>
        <w:tabs>
          <w:tab w:val="right" w:leader="dot" w:pos="9298"/>
          <w:tab w:val="clear" w:pos="8302"/>
        </w:tabs>
      </w:pPr>
      <w:r>
        <w:fldChar w:fldCharType="begin"/>
      </w:r>
      <w:r>
        <w:instrText xml:space="preserve"> HYPERLINK \l "_Toc7135" </w:instrText>
      </w:r>
      <w:r>
        <w:fldChar w:fldCharType="separate"/>
      </w:r>
      <w:r>
        <w:rPr>
          <w:rFonts w:ascii="Arial" w:hAnsi="Arial" w:cs="Arial"/>
          <w:szCs w:val="24"/>
        </w:rPr>
        <w:t>附件一 三块地项目总平面图</w:t>
      </w:r>
      <w:r>
        <w:tab/>
      </w:r>
      <w:r>
        <w:fldChar w:fldCharType="begin"/>
      </w:r>
      <w:r>
        <w:instrText xml:space="preserve"> PAGEREF _Toc7135 </w:instrText>
      </w:r>
      <w:r>
        <w:fldChar w:fldCharType="separate"/>
      </w:r>
      <w:r>
        <w:t>20</w:t>
      </w:r>
      <w:r>
        <w:fldChar w:fldCharType="end"/>
      </w:r>
      <w:r>
        <w:fldChar w:fldCharType="end"/>
      </w:r>
    </w:p>
    <w:p>
      <w:pPr>
        <w:pStyle w:val="18"/>
        <w:tabs>
          <w:tab w:val="right" w:leader="dot" w:pos="9298"/>
          <w:tab w:val="clear" w:pos="8302"/>
        </w:tabs>
      </w:pPr>
      <w:r>
        <w:fldChar w:fldCharType="begin"/>
      </w:r>
      <w:r>
        <w:instrText xml:space="preserve"> HYPERLINK \l "_Toc69" </w:instrText>
      </w:r>
      <w:r>
        <w:fldChar w:fldCharType="separate"/>
      </w:r>
      <w:r>
        <w:rPr>
          <w:rFonts w:ascii="Arial" w:hAnsi="Arial" w:cs="Arial"/>
          <w:szCs w:val="24"/>
        </w:rPr>
        <w:t>附件</w:t>
      </w:r>
      <w:r>
        <w:rPr>
          <w:rFonts w:hint="eastAsia" w:cs="Arial"/>
          <w:szCs w:val="24"/>
        </w:rPr>
        <w:t>二</w:t>
      </w:r>
      <w:r>
        <w:rPr>
          <w:rFonts w:ascii="Arial" w:hAnsi="Arial" w:cs="Arial"/>
          <w:szCs w:val="24"/>
        </w:rPr>
        <w:t xml:space="preserve"> </w:t>
      </w:r>
      <w:r>
        <w:rPr>
          <w:rFonts w:ascii="Arial" w:hAnsi="Arial" w:cs="Arial"/>
          <w:bCs/>
          <w:szCs w:val="24"/>
        </w:rPr>
        <w:t>印鉴卡</w:t>
      </w:r>
      <w:r>
        <w:tab/>
      </w:r>
      <w:r>
        <w:fldChar w:fldCharType="begin"/>
      </w:r>
      <w:r>
        <w:instrText xml:space="preserve"> PAGEREF _Toc69 </w:instrText>
      </w:r>
      <w:r>
        <w:fldChar w:fldCharType="separate"/>
      </w:r>
      <w:r>
        <w:t>20</w:t>
      </w:r>
      <w:r>
        <w:fldChar w:fldCharType="end"/>
      </w:r>
      <w:r>
        <w:fldChar w:fldCharType="end"/>
      </w:r>
    </w:p>
    <w:p>
      <w:pPr>
        <w:pStyle w:val="18"/>
        <w:tabs>
          <w:tab w:val="right" w:leader="dot" w:pos="9298"/>
          <w:tab w:val="clear" w:pos="8302"/>
        </w:tabs>
      </w:pPr>
      <w:r>
        <w:fldChar w:fldCharType="begin"/>
      </w:r>
      <w:r>
        <w:instrText xml:space="preserve"> HYPERLINK \l "_Toc4100" </w:instrText>
      </w:r>
      <w:r>
        <w:fldChar w:fldCharType="separate"/>
      </w:r>
      <w:r>
        <w:rPr>
          <w:rFonts w:ascii="Arial" w:hAnsi="Arial" w:cs="Arial"/>
          <w:szCs w:val="24"/>
        </w:rPr>
        <w:t>附件</w:t>
      </w:r>
      <w:r>
        <w:rPr>
          <w:rFonts w:hint="eastAsia" w:cs="Arial"/>
          <w:szCs w:val="24"/>
        </w:rPr>
        <w:t>三</w:t>
      </w:r>
      <w:r>
        <w:rPr>
          <w:rFonts w:ascii="Arial" w:hAnsi="Arial" w:cs="Arial"/>
          <w:szCs w:val="24"/>
        </w:rPr>
        <w:t xml:space="preserve"> </w:t>
      </w:r>
      <w:r>
        <w:rPr>
          <w:rFonts w:hint="eastAsia" w:cs="Arial"/>
          <w:szCs w:val="24"/>
        </w:rPr>
        <w:t>营业执照</w:t>
      </w:r>
      <w:r>
        <w:tab/>
      </w:r>
      <w:r>
        <w:fldChar w:fldCharType="begin"/>
      </w:r>
      <w:r>
        <w:instrText xml:space="preserve"> PAGEREF _Toc4100 </w:instrText>
      </w:r>
      <w:r>
        <w:fldChar w:fldCharType="separate"/>
      </w:r>
      <w:r>
        <w:t>22</w:t>
      </w:r>
      <w:r>
        <w:fldChar w:fldCharType="end"/>
      </w:r>
      <w:r>
        <w:fldChar w:fldCharType="end"/>
      </w:r>
    </w:p>
    <w:p>
      <w:pPr>
        <w:pStyle w:val="39"/>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·标的项目：武汉汉口正荣府项目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 xml:space="preserve">公司：武汉正锦企业管理咨询有限公司（以下简称“正锦”）          </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·项目公司：武汉正舟置业发展有限公司（以下简称“正舟”）</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spacing w:before="300" w:after="300" w:line="360" w:lineRule="exact"/>
        <w:jc w:val="left"/>
        <w:rPr>
          <w:rFonts w:ascii="Arial" w:hAnsi="Arial" w:cs="Arial"/>
          <w:color w:val="000000"/>
          <w:sz w:val="24"/>
          <w:szCs w:val="24"/>
        </w:rPr>
      </w:pPr>
      <w:bookmarkStart w:id="2" w:name="_Toc25610"/>
      <w:bookmarkStart w:id="3" w:name="_Toc532281654"/>
      <w:bookmarkStart w:id="4" w:name="_Toc535580086"/>
      <w:bookmarkStart w:id="5" w:name="_Toc535570745"/>
      <w:bookmarkStart w:id="6" w:name="_Toc535580018"/>
      <w:bookmarkStart w:id="7" w:name="_Toc535508633"/>
      <w:r>
        <w:rPr>
          <w:rFonts w:ascii="Arial" w:hAnsi="Arial" w:cs="Arial"/>
          <w:color w:val="000000"/>
          <w:sz w:val="24"/>
          <w:szCs w:val="24"/>
        </w:rPr>
        <w:t>1项目基本情况</w:t>
      </w:r>
      <w:bookmarkEnd w:id="2"/>
      <w:bookmarkEnd w:id="3"/>
      <w:bookmarkEnd w:id="4"/>
      <w:bookmarkEnd w:id="5"/>
      <w:bookmarkEnd w:id="6"/>
      <w:bookmarkEnd w:id="7"/>
    </w:p>
    <w:p>
      <w:pPr>
        <w:spacing w:line="480" w:lineRule="auto"/>
        <w:ind w:firstLine="420" w:firstLineChars="200"/>
        <w:rPr>
          <w:rFonts w:ascii="Arial" w:hAnsi="Arial" w:cs="Arial"/>
          <w:bCs/>
          <w:kern w:val="44"/>
          <w:szCs w:val="21"/>
        </w:rPr>
      </w:pPr>
      <w:r>
        <w:rPr>
          <w:rFonts w:ascii="Arial" w:hAnsi="Arial" w:cs="Arial"/>
        </w:rP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49250.90㎡，总建筑面积204348.56㎡，商业用房144841.17㎡，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Arial" w:hAnsi="Arial" w:cs="Arial"/>
          <w:bCs/>
          <w:kern w:val="44"/>
          <w:szCs w:val="21"/>
        </w:rPr>
      </w:pPr>
    </w:p>
    <w:p>
      <w:pPr>
        <w:pStyle w:val="2"/>
        <w:spacing w:before="300" w:after="300" w:line="360" w:lineRule="exact"/>
        <w:jc w:val="left"/>
        <w:rPr>
          <w:rFonts w:ascii="Arial" w:hAnsi="Arial" w:cs="Arial"/>
          <w:color w:val="000000"/>
          <w:sz w:val="24"/>
          <w:szCs w:val="24"/>
        </w:rPr>
      </w:pPr>
      <w:bookmarkStart w:id="8" w:name="_Toc535570748"/>
      <w:bookmarkStart w:id="9" w:name="_Toc535508634"/>
      <w:bookmarkStart w:id="10" w:name="_Toc6196"/>
      <w:bookmarkStart w:id="11" w:name="_Toc532281655"/>
      <w:bookmarkStart w:id="12" w:name="_Toc535580089"/>
      <w:bookmarkStart w:id="13" w:name="_Toc535580021"/>
      <w:r>
        <w:rPr>
          <w:rFonts w:ascii="Arial" w:hAnsi="Arial" w:cs="Arial"/>
          <w:color w:val="000000"/>
          <w:sz w:val="24"/>
          <w:szCs w:val="24"/>
        </w:rPr>
        <w:t>2重大事件披露</w:t>
      </w:r>
      <w:bookmarkEnd w:id="8"/>
      <w:bookmarkEnd w:id="9"/>
      <w:bookmarkEnd w:id="10"/>
      <w:bookmarkEnd w:id="11"/>
      <w:bookmarkEnd w:id="12"/>
      <w:bookmarkEnd w:id="13"/>
    </w:p>
    <w:p>
      <w:pPr>
        <w:numPr>
          <w:ilvl w:val="0"/>
          <w:numId w:val="1"/>
        </w:numPr>
        <w:spacing w:line="480" w:lineRule="auto"/>
        <w:ind w:firstLine="420" w:firstLineChars="200"/>
        <w:rPr>
          <w:rFonts w:ascii="Arial" w:hAnsi="Arial" w:cs="Arial"/>
          <w:bCs/>
          <w:kern w:val="44"/>
          <w:szCs w:val="21"/>
        </w:rPr>
      </w:pPr>
      <w:r>
        <w:rPr>
          <w:rFonts w:ascii="Arial" w:hAnsi="Arial" w:cs="Arial"/>
          <w:bCs/>
          <w:kern w:val="44"/>
          <w:szCs w:val="21"/>
        </w:rPr>
        <w:t>正舟于2020年10月14日办理了</w:t>
      </w:r>
      <w:r>
        <w:rPr>
          <w:rFonts w:hint="eastAsia" w:ascii="Arial" w:hAnsi="Arial" w:cs="Arial"/>
          <w:bCs/>
          <w:kern w:val="44"/>
          <w:szCs w:val="21"/>
        </w:rPr>
        <w:t>工商银行武汉汉阳支行支行</w:t>
      </w:r>
      <w:r>
        <w:rPr>
          <w:rFonts w:ascii="Arial" w:hAnsi="Arial" w:cs="Arial"/>
          <w:bCs/>
          <w:kern w:val="44"/>
          <w:szCs w:val="21"/>
        </w:rPr>
        <w:t>预留印鉴变更手续</w:t>
      </w:r>
      <w:r>
        <w:rPr>
          <w:rFonts w:hint="eastAsia" w:ascii="Arial" w:hAnsi="Arial" w:cs="Arial"/>
          <w:bCs/>
          <w:kern w:val="44"/>
          <w:szCs w:val="21"/>
        </w:rPr>
        <w:t>，</w:t>
      </w:r>
      <w:r>
        <w:rPr>
          <w:rFonts w:ascii="Arial" w:hAnsi="Arial" w:cs="Arial"/>
          <w:bCs/>
          <w:kern w:val="44"/>
          <w:szCs w:val="21"/>
        </w:rPr>
        <w:t>印鉴卡详见附件二</w:t>
      </w:r>
      <w:r>
        <w:rPr>
          <w:rFonts w:hint="eastAsia" w:ascii="Arial" w:hAnsi="Arial" w:cs="Arial"/>
          <w:bCs/>
          <w:kern w:val="44"/>
          <w:szCs w:val="21"/>
        </w:rPr>
        <w:t>；</w:t>
      </w:r>
    </w:p>
    <w:p>
      <w:pPr>
        <w:numPr>
          <w:ilvl w:val="0"/>
          <w:numId w:val="1"/>
        </w:numPr>
        <w:spacing w:line="480" w:lineRule="auto"/>
        <w:ind w:firstLine="420" w:firstLineChars="200"/>
        <w:rPr>
          <w:rFonts w:ascii="Arial" w:hAnsi="Arial" w:cs="Arial"/>
          <w:bCs/>
          <w:kern w:val="44"/>
          <w:szCs w:val="21"/>
        </w:rPr>
      </w:pPr>
      <w:r>
        <w:rPr>
          <w:rFonts w:hint="eastAsia" w:ascii="Arial" w:hAnsi="Arial" w:cs="Arial"/>
          <w:bCs/>
          <w:kern w:val="44"/>
          <w:szCs w:val="21"/>
        </w:rPr>
        <w:t>由于</w:t>
      </w:r>
      <w:r>
        <w:rPr>
          <w:rFonts w:ascii="Arial" w:hAnsi="Arial" w:cs="Arial"/>
          <w:bCs/>
          <w:kern w:val="44"/>
          <w:szCs w:val="21"/>
        </w:rPr>
        <w:t>正舟</w:t>
      </w:r>
      <w:r>
        <w:rPr>
          <w:rFonts w:hint="eastAsia" w:ascii="Arial" w:hAnsi="Arial" w:cs="Arial"/>
          <w:bCs/>
          <w:kern w:val="44"/>
          <w:szCs w:val="21"/>
        </w:rPr>
        <w:t>法人</w:t>
      </w:r>
      <w:r>
        <w:rPr>
          <w:rFonts w:ascii="Arial" w:hAnsi="Arial" w:cs="Arial"/>
          <w:bCs/>
          <w:kern w:val="44"/>
          <w:szCs w:val="21"/>
        </w:rPr>
        <w:t>由崔剑变更为何熠</w:t>
      </w:r>
      <w:r>
        <w:rPr>
          <w:rFonts w:hint="eastAsia" w:ascii="Arial" w:hAnsi="Arial" w:cs="Arial"/>
          <w:bCs/>
          <w:kern w:val="44"/>
          <w:szCs w:val="21"/>
        </w:rPr>
        <w:t>，</w:t>
      </w:r>
      <w:r>
        <w:rPr>
          <w:rFonts w:ascii="Arial" w:hAnsi="Arial" w:cs="Arial"/>
          <w:bCs/>
          <w:kern w:val="44"/>
          <w:szCs w:val="21"/>
        </w:rPr>
        <w:t>2020年10月22日</w:t>
      </w:r>
      <w:r>
        <w:rPr>
          <w:rFonts w:hint="eastAsia" w:ascii="Arial" w:hAnsi="Arial" w:cs="Arial"/>
          <w:bCs/>
          <w:kern w:val="44"/>
          <w:szCs w:val="21"/>
        </w:rPr>
        <w:t>企业</w:t>
      </w:r>
      <w:r>
        <w:rPr>
          <w:rFonts w:ascii="Arial" w:hAnsi="Arial" w:cs="Arial"/>
          <w:bCs/>
          <w:kern w:val="44"/>
          <w:szCs w:val="21"/>
        </w:rPr>
        <w:t>更</w:t>
      </w:r>
      <w:r>
        <w:rPr>
          <w:rFonts w:hint="eastAsia" w:ascii="Arial" w:hAnsi="Arial" w:cs="Arial"/>
          <w:bCs/>
          <w:kern w:val="44"/>
          <w:szCs w:val="21"/>
        </w:rPr>
        <w:t>换</w:t>
      </w:r>
      <w:r>
        <w:rPr>
          <w:rFonts w:ascii="Arial" w:hAnsi="Arial" w:cs="Arial"/>
          <w:bCs/>
          <w:kern w:val="44"/>
          <w:szCs w:val="21"/>
        </w:rPr>
        <w:t>营业执照</w:t>
      </w:r>
      <w:r>
        <w:rPr>
          <w:rFonts w:hint="eastAsia" w:ascii="Arial" w:hAnsi="Arial" w:cs="Arial"/>
          <w:bCs/>
          <w:kern w:val="44"/>
          <w:szCs w:val="21"/>
        </w:rPr>
        <w:t>，新营业执照详见附件三。</w:t>
      </w:r>
    </w:p>
    <w:p>
      <w:pPr>
        <w:pStyle w:val="2"/>
        <w:keepNext w:val="0"/>
        <w:keepLines w:val="0"/>
        <w:spacing w:before="300" w:after="300" w:line="360" w:lineRule="exact"/>
        <w:jc w:val="left"/>
        <w:rPr>
          <w:rFonts w:ascii="Arial" w:hAnsi="Arial" w:cs="Arial"/>
          <w:sz w:val="24"/>
          <w:szCs w:val="24"/>
        </w:rPr>
      </w:pPr>
      <w:bookmarkStart w:id="14" w:name="_Toc17426"/>
      <w:r>
        <w:rPr>
          <w:rFonts w:ascii="Arial" w:hAnsi="Arial" w:cs="Arial"/>
          <w:sz w:val="24"/>
          <w:szCs w:val="24"/>
        </w:rPr>
        <w:t>3项目五证办理情况及施工进度情况</w:t>
      </w:r>
      <w:bookmarkEnd w:id="14"/>
    </w:p>
    <w:p>
      <w:pPr>
        <w:pStyle w:val="3"/>
        <w:keepNext w:val="0"/>
        <w:keepLines w:val="0"/>
        <w:spacing w:before="300" w:after="300" w:line="360" w:lineRule="exact"/>
        <w:jc w:val="left"/>
        <w:rPr>
          <w:rFonts w:eastAsia="宋体" w:cs="Arial"/>
          <w:sz w:val="24"/>
          <w:szCs w:val="24"/>
        </w:rPr>
      </w:pPr>
      <w:bookmarkStart w:id="15" w:name="_Toc26389"/>
      <w:r>
        <w:rPr>
          <w:rFonts w:eastAsia="宋体" w:cs="Arial"/>
          <w:sz w:val="24"/>
          <w:szCs w:val="24"/>
        </w:rPr>
        <w:t>3.1项目五证办理情况说明</w:t>
      </w:r>
      <w:bookmarkEnd w:id="15"/>
    </w:p>
    <w:p>
      <w:pPr>
        <w:spacing w:before="240" w:beforeLines="100"/>
        <w:jc w:val="center"/>
        <w:rPr>
          <w:rFonts w:ascii="Arial" w:hAnsi="Arial" w:cs="Arial"/>
          <w:b/>
          <w:bCs/>
          <w:kern w:val="44"/>
          <w:sz w:val="24"/>
        </w:rPr>
      </w:pPr>
      <w:r>
        <w:rPr>
          <w:rFonts w:ascii="Arial" w:hAnsi="Arial" w:cs="Arial"/>
          <w:b/>
          <w:bCs/>
          <w:kern w:val="44"/>
          <w:sz w:val="24"/>
        </w:rPr>
        <w:t>截至2020年10月31日项目五证办理计划及进度情况</w:t>
      </w:r>
    </w:p>
    <w:tbl>
      <w:tblPr>
        <w:tblStyle w:val="22"/>
        <w:tblW w:w="6000" w:type="dxa"/>
        <w:jc w:val="center"/>
        <w:tblLayout w:type="autofit"/>
        <w:tblCellMar>
          <w:top w:w="0" w:type="dxa"/>
          <w:left w:w="0" w:type="dxa"/>
          <w:bottom w:w="0" w:type="dxa"/>
          <w:right w:w="0" w:type="dxa"/>
        </w:tblCellMar>
      </w:tblPr>
      <w:tblGrid>
        <w:gridCol w:w="2880"/>
        <w:gridCol w:w="3120"/>
      </w:tblGrid>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办理情况</w:t>
            </w:r>
          </w:p>
        </w:tc>
      </w:tr>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不动产权证书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2019年8月7日</w:t>
            </w:r>
          </w:p>
        </w:tc>
      </w:tr>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建设用地规划许可证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2019年7月23日</w:t>
            </w:r>
          </w:p>
        </w:tc>
      </w:tr>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建设工程规划许可证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2019年11月26日</w:t>
            </w:r>
          </w:p>
        </w:tc>
      </w:tr>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建筑工程施工许可证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2019年11月27日</w:t>
            </w:r>
          </w:p>
        </w:tc>
      </w:tr>
      <w:tr>
        <w:tblPrEx>
          <w:tblCellMar>
            <w:top w:w="0" w:type="dxa"/>
            <w:left w:w="0" w:type="dxa"/>
            <w:bottom w:w="0" w:type="dxa"/>
            <w:right w:w="0" w:type="dxa"/>
          </w:tblCellMar>
        </w:tblPrEx>
        <w:trPr>
          <w:trHeight w:val="522" w:hRule="atLeast"/>
          <w:jc w:val="center"/>
        </w:trPr>
        <w:tc>
          <w:tcPr>
            <w:tcW w:w="2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预售许可证</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2020年5月20日（1#楼）</w:t>
            </w:r>
          </w:p>
        </w:tc>
      </w:tr>
      <w:tr>
        <w:tblPrEx>
          <w:tblCellMar>
            <w:top w:w="0" w:type="dxa"/>
            <w:left w:w="0" w:type="dxa"/>
            <w:bottom w:w="0" w:type="dxa"/>
            <w:right w:w="0" w:type="dxa"/>
          </w:tblCellMar>
        </w:tblPrEx>
        <w:trPr>
          <w:trHeight w:val="522"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Cs w:val="21"/>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2020年6月8日（2#楼）</w:t>
            </w:r>
          </w:p>
        </w:tc>
      </w:tr>
      <w:tr>
        <w:tblPrEx>
          <w:tblCellMar>
            <w:top w:w="0" w:type="dxa"/>
            <w:left w:w="0" w:type="dxa"/>
            <w:bottom w:w="0" w:type="dxa"/>
            <w:right w:w="0" w:type="dxa"/>
          </w:tblCellMar>
        </w:tblPrEx>
        <w:trPr>
          <w:trHeight w:val="522"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Cs w:val="21"/>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2020年6月29日（3#楼）</w:t>
            </w:r>
          </w:p>
        </w:tc>
      </w:tr>
      <w:tr>
        <w:tblPrEx>
          <w:tblCellMar>
            <w:top w:w="0" w:type="dxa"/>
            <w:left w:w="0" w:type="dxa"/>
            <w:bottom w:w="0" w:type="dxa"/>
            <w:right w:w="0" w:type="dxa"/>
          </w:tblCellMar>
        </w:tblPrEx>
        <w:trPr>
          <w:trHeight w:val="522" w:hRule="atLeast"/>
          <w:jc w:val="center"/>
        </w:trPr>
        <w:tc>
          <w:tcPr>
            <w:tcW w:w="2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color w:val="000000"/>
                <w:szCs w:val="21"/>
              </w:rPr>
            </w:pP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2020年8月20日（4#楼）</w:t>
            </w:r>
          </w:p>
        </w:tc>
      </w:tr>
      <w:tr>
        <w:tblPrEx>
          <w:tblCellMar>
            <w:top w:w="0" w:type="dxa"/>
            <w:left w:w="0" w:type="dxa"/>
            <w:bottom w:w="0" w:type="dxa"/>
            <w:right w:w="0" w:type="dxa"/>
          </w:tblCellMar>
        </w:tblPrEx>
        <w:trPr>
          <w:trHeight w:val="522" w:hRule="atLeast"/>
          <w:jc w:val="center"/>
        </w:trPr>
        <w:tc>
          <w:tcPr>
            <w:tcW w:w="2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资质证书</w:t>
            </w:r>
          </w:p>
        </w:tc>
        <w:tc>
          <w:tcPr>
            <w:tcW w:w="3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2019年7月12日暂定等级</w:t>
            </w:r>
          </w:p>
        </w:tc>
      </w:tr>
    </w:tbl>
    <w:p>
      <w:pPr>
        <w:spacing w:before="240" w:beforeLines="100"/>
        <w:jc w:val="center"/>
        <w:rPr>
          <w:rFonts w:ascii="Arial" w:hAnsi="Arial" w:cs="Arial"/>
          <w:b/>
          <w:bCs/>
          <w:kern w:val="44"/>
          <w:sz w:val="24"/>
        </w:rPr>
      </w:pPr>
    </w:p>
    <w:p>
      <w:pPr>
        <w:pStyle w:val="3"/>
        <w:keepNext w:val="0"/>
        <w:keepLines w:val="0"/>
        <w:spacing w:before="300" w:after="300" w:line="360" w:lineRule="exact"/>
        <w:jc w:val="left"/>
        <w:rPr>
          <w:rFonts w:eastAsia="宋体" w:cs="Arial"/>
          <w:sz w:val="24"/>
          <w:szCs w:val="24"/>
        </w:rPr>
      </w:pPr>
      <w:bookmarkStart w:id="16" w:name="_Toc19242"/>
      <w:r>
        <w:rPr>
          <w:rFonts w:eastAsia="宋体" w:cs="Arial"/>
          <w:sz w:val="24"/>
          <w:szCs w:val="24"/>
        </w:rPr>
        <w:t>3.2工程进度考核</w:t>
      </w:r>
      <w:bookmarkEnd w:id="16"/>
    </w:p>
    <w:p>
      <w:pPr>
        <w:spacing w:line="480" w:lineRule="auto"/>
        <w:ind w:firstLine="420" w:firstLineChars="200"/>
        <w:rPr>
          <w:rFonts w:ascii="Arial" w:hAnsi="Arial" w:cs="Arial"/>
          <w:bCs/>
          <w:kern w:val="44"/>
          <w:szCs w:val="21"/>
        </w:rPr>
      </w:pPr>
      <w:r>
        <w:rPr>
          <w:rFonts w:ascii="Arial" w:hAnsi="Arial" w:cs="Arial"/>
        </w:rPr>
        <w:t>根据监管协议信托计划工程进度考核，合伙企业支付首笔项目投资款后【6】个月内，目标项目可取得预售许可证面积应不低于总可售面积【40】%，截至2020年</w:t>
      </w:r>
      <w:r>
        <w:rPr>
          <w:rFonts w:hint="eastAsia" w:ascii="Arial" w:hAnsi="Arial" w:cs="Arial"/>
        </w:rPr>
        <w:t>10</w:t>
      </w:r>
      <w:r>
        <w:rPr>
          <w:rFonts w:ascii="Arial" w:hAnsi="Arial" w:cs="Arial"/>
        </w:rPr>
        <w:t>月3</w:t>
      </w:r>
      <w:r>
        <w:rPr>
          <w:rFonts w:hint="eastAsia" w:ascii="Arial" w:hAnsi="Arial" w:cs="Arial"/>
        </w:rPr>
        <w:t>1</w:t>
      </w:r>
      <w:r>
        <w:rPr>
          <w:rFonts w:ascii="Arial" w:hAnsi="Arial" w:cs="Arial"/>
        </w:rPr>
        <w:t>日，项目公司收到首笔投资款</w:t>
      </w:r>
      <w:r>
        <w:rPr>
          <w:rFonts w:hint="eastAsia" w:ascii="Arial" w:hAnsi="Arial" w:cs="Arial"/>
        </w:rPr>
        <w:t>3</w:t>
      </w:r>
      <w:r>
        <w:rPr>
          <w:rFonts w:ascii="Arial" w:hAnsi="Arial" w:cs="Arial"/>
        </w:rPr>
        <w:t>.5个月，项目总建筑面积为204348.56</w:t>
      </w:r>
      <w:r>
        <w:rPr>
          <w:rFonts w:ascii="Arial" w:hAnsi="Arial" w:cs="Arial"/>
          <w:bCs/>
          <w:kern w:val="44"/>
          <w:szCs w:val="21"/>
        </w:rPr>
        <w:t>㎡，总可售商票房面积</w:t>
      </w:r>
      <w:r>
        <w:rPr>
          <w:rFonts w:ascii="Arial" w:hAnsi="Arial" w:eastAsia="仿宋_GB2312" w:cs="Arial"/>
          <w:sz w:val="24"/>
        </w:rPr>
        <w:t>144841.17</w:t>
      </w:r>
      <w:r>
        <w:rPr>
          <w:rFonts w:ascii="Arial" w:hAnsi="Arial" w:cs="Arial"/>
          <w:bCs/>
          <w:kern w:val="44"/>
          <w:szCs w:val="21"/>
        </w:rPr>
        <w:t>㎡，</w:t>
      </w:r>
      <w:r>
        <w:rPr>
          <w:rFonts w:ascii="Arial" w:hAnsi="Arial" w:cs="Arial"/>
        </w:rPr>
        <w:t>已取得预售许可面积56721.67</w:t>
      </w:r>
      <w:r>
        <w:rPr>
          <w:rFonts w:ascii="Arial" w:hAnsi="Arial" w:cs="Arial"/>
          <w:bCs/>
          <w:kern w:val="44"/>
          <w:szCs w:val="21"/>
        </w:rPr>
        <w:t>㎡，占项目总建筑面积39.16%。</w:t>
      </w:r>
    </w:p>
    <w:p>
      <w:pPr>
        <w:spacing w:line="480" w:lineRule="auto"/>
        <w:ind w:firstLine="420" w:firstLineChars="200"/>
        <w:rPr>
          <w:rFonts w:ascii="Arial" w:hAnsi="Arial" w:cs="Arial"/>
          <w:bCs/>
          <w:kern w:val="44"/>
          <w:szCs w:val="21"/>
        </w:rPr>
      </w:pPr>
    </w:p>
    <w:tbl>
      <w:tblPr>
        <w:tblStyle w:val="22"/>
        <w:tblW w:w="4876" w:type="dxa"/>
        <w:jc w:val="center"/>
        <w:tblLayout w:type="autofit"/>
        <w:tblCellMar>
          <w:top w:w="0" w:type="dxa"/>
          <w:left w:w="0" w:type="dxa"/>
          <w:bottom w:w="0" w:type="dxa"/>
          <w:right w:w="0" w:type="dxa"/>
        </w:tblCellMar>
      </w:tblPr>
      <w:tblGrid>
        <w:gridCol w:w="2160"/>
        <w:gridCol w:w="2716"/>
      </w:tblGrid>
      <w:tr>
        <w:tblPrEx>
          <w:tblCellMar>
            <w:top w:w="0" w:type="dxa"/>
            <w:left w:w="0" w:type="dxa"/>
            <w:bottom w:w="0" w:type="dxa"/>
            <w:right w:w="0" w:type="dxa"/>
          </w:tblCellMar>
        </w:tblPrEx>
        <w:trPr>
          <w:trHeight w:val="810" w:hRule="atLeast"/>
          <w:jc w:val="center"/>
        </w:trPr>
        <w:tc>
          <w:tcPr>
            <w:tcW w:w="216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企业</w:t>
            </w:r>
          </w:p>
        </w:tc>
        <w:tc>
          <w:tcPr>
            <w:tcW w:w="271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首笔放款日期</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2020年7月14日</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预售许可证面积</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56721.67</w:t>
            </w:r>
            <w:r>
              <w:rPr>
                <w:rFonts w:ascii="Arial" w:hAnsi="Arial" w:cs="Arial"/>
                <w:bCs/>
                <w:kern w:val="44"/>
                <w:szCs w:val="21"/>
              </w:rPr>
              <w:t>㎡</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总可售面积</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eastAsia="仿宋_GB2312" w:cs="Arial"/>
                <w:sz w:val="24"/>
              </w:rPr>
              <w:t>144841.17</w:t>
            </w:r>
            <w:r>
              <w:rPr>
                <w:rFonts w:ascii="Arial" w:hAnsi="Arial" w:cs="Arial"/>
                <w:bCs/>
                <w:kern w:val="44"/>
                <w:szCs w:val="21"/>
              </w:rPr>
              <w:t>㎡</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比例</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39.16%</w:t>
            </w:r>
          </w:p>
        </w:tc>
      </w:tr>
      <w:tr>
        <w:tblPrEx>
          <w:tblCellMar>
            <w:top w:w="0" w:type="dxa"/>
            <w:left w:w="0" w:type="dxa"/>
            <w:bottom w:w="0" w:type="dxa"/>
            <w:right w:w="0" w:type="dxa"/>
          </w:tblCellMar>
        </w:tblPrEx>
        <w:trPr>
          <w:trHeight w:val="560" w:hRule="atLeast"/>
          <w:jc w:val="center"/>
        </w:trPr>
        <w:tc>
          <w:tcPr>
            <w:tcW w:w="216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进度</w:t>
            </w:r>
          </w:p>
        </w:tc>
        <w:tc>
          <w:tcPr>
            <w:tcW w:w="27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未逾期</w:t>
            </w:r>
          </w:p>
        </w:tc>
      </w:tr>
    </w:tbl>
    <w:p>
      <w:pPr>
        <w:rPr>
          <w:rFonts w:ascii="Arial" w:hAnsi="Arial" w:cs="Arial"/>
        </w:rPr>
      </w:pPr>
    </w:p>
    <w:p>
      <w:pPr>
        <w:pStyle w:val="3"/>
        <w:keepNext w:val="0"/>
        <w:keepLines w:val="0"/>
        <w:spacing w:before="300" w:after="300" w:line="360" w:lineRule="exact"/>
        <w:jc w:val="left"/>
        <w:rPr>
          <w:rFonts w:eastAsia="宋体" w:cs="Arial"/>
          <w:sz w:val="24"/>
          <w:szCs w:val="24"/>
        </w:rPr>
      </w:pPr>
      <w:bookmarkStart w:id="17" w:name="_Toc13505"/>
      <w:r>
        <w:rPr>
          <w:rFonts w:eastAsia="宋体" w:cs="Arial"/>
          <w:sz w:val="24"/>
          <w:szCs w:val="24"/>
        </w:rPr>
        <w:t>3.3项目2020年10月份施工进度情况</w:t>
      </w:r>
      <w:bookmarkEnd w:id="17"/>
    </w:p>
    <w:p>
      <w:pPr>
        <w:numPr>
          <w:ilvl w:val="255"/>
          <w:numId w:val="0"/>
        </w:numPr>
        <w:spacing w:line="480" w:lineRule="auto"/>
        <w:rPr>
          <w:rFonts w:ascii="Arial" w:hAnsi="Arial" w:cs="Arial"/>
        </w:rPr>
      </w:pPr>
      <w:r>
        <w:rPr>
          <w:rFonts w:ascii="Arial" w:hAnsi="Arial" w:cs="Arial"/>
        </w:rPr>
        <w:t>1、汉口正荣府形象进度：</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（1）1#楼已封顶，33-34层及2层砌体砌筑中，33层二次结构支模及浇筑完成，完成10-17层内墙抹灰，正在进行18-20层内墙抹灰，完成18-13层外墙抹灰，正在进行12层外墙抹灰，13-9层窗框进行安装。</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（2）2#楼完成31层墙柱32层梁板砼浇筑，正在进行33层梁板钢筋绑扎，19层砌体施工，二次结构施工完成至19层。</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（3）3#楼22层墙柱23层梁板砼浇筑，正在进行13-14层砌体施工。</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（4）4#楼完成18层墙柱19层梁板砼浇筑，正在进行19层墙柱20层梁板模板安装，5-6层砌体砌筑，一层防水施工。</w:t>
      </w:r>
    </w:p>
    <w:p>
      <w:pPr>
        <w:numPr>
          <w:ilvl w:val="0"/>
          <w:numId w:val="2"/>
        </w:num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S1#楼A-H轴4层墙柱设备层梁板砼浇筑，H-T轴设备层梁板钢筋进行绑扎，样板房进行施工。</w:t>
      </w:r>
    </w:p>
    <w:p>
      <w:pPr>
        <w:numPr>
          <w:ilvl w:val="0"/>
          <w:numId w:val="2"/>
        </w:num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8#楼正在进行地下室顶板梁板钢筋绑扎。</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（7）7#楼底板、承台筏板砼浇筑完成，正在进行负二层墙柱钢筋绑扎。</w:t>
      </w:r>
    </w:p>
    <w:p>
      <w:pPr>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（8）5#楼抗浮锚杆开始施工。</w:t>
      </w:r>
    </w:p>
    <w:p>
      <w:pPr>
        <w:spacing w:line="360" w:lineRule="auto"/>
        <w:ind w:left="426"/>
        <w:rPr>
          <w:rFonts w:ascii="Arial" w:hAnsi="Arial" w:cs="Arial"/>
          <w:color w:val="000000"/>
          <w:szCs w:val="21"/>
        </w:rPr>
      </w:pPr>
    </w:p>
    <w:p>
      <w:pPr>
        <w:spacing w:line="360" w:lineRule="auto"/>
        <w:rPr>
          <w:rFonts w:ascii="Arial" w:hAnsi="Arial" w:cs="Arial"/>
          <w:color w:val="000000" w:themeColor="text1"/>
          <w:szCs w:val="21"/>
          <w14:textFill>
            <w14:solidFill>
              <w14:schemeClr w14:val="tx1"/>
            </w14:solidFill>
          </w14:textFill>
        </w:rPr>
      </w:pPr>
    </w:p>
    <w:p>
      <w:pPr>
        <w:rPr>
          <w:rFonts w:ascii="Arial" w:hAnsi="Arial" w:cs="Arial"/>
          <w:b/>
          <w:bCs/>
          <w:sz w:val="24"/>
        </w:rPr>
      </w:pPr>
      <w:r>
        <w:rPr>
          <w:rFonts w:ascii="Arial" w:hAnsi="Arial" w:cs="Arial"/>
          <w:b/>
          <w:bCs/>
          <w:sz w:val="24"/>
        </w:rPr>
        <w:t>3.4项目2020年11月施工计划</w:t>
      </w:r>
    </w:p>
    <w:p>
      <w:pPr>
        <w:rPr>
          <w:rFonts w:ascii="Arial" w:hAnsi="Arial" w:cs="Arial"/>
          <w:sz w:val="24"/>
        </w:rPr>
      </w:pPr>
    </w:p>
    <w:p>
      <w:pPr>
        <w:numPr>
          <w:ilvl w:val="255"/>
          <w:numId w:val="0"/>
        </w:numPr>
        <w:spacing w:line="480" w:lineRule="auto"/>
        <w:rPr>
          <w:rFonts w:ascii="Arial" w:hAnsi="Arial" w:cs="Arial"/>
        </w:rPr>
      </w:pPr>
      <w:r>
        <w:rPr>
          <w:rFonts w:ascii="Arial" w:hAnsi="Arial" w:cs="Arial"/>
        </w:rPr>
        <w:t>1、汉口正荣府形象进度：</w:t>
      </w:r>
    </w:p>
    <w:p>
      <w:pPr>
        <w:numPr>
          <w:ilvl w:val="0"/>
          <w:numId w:val="3"/>
        </w:numPr>
        <w:spacing w:line="480" w:lineRule="auto"/>
        <w:rPr>
          <w:rFonts w:ascii="Arial" w:hAnsi="Arial" w:cs="Arial"/>
        </w:rPr>
      </w:pPr>
      <w:r>
        <w:rPr>
          <w:rFonts w:ascii="Arial" w:hAnsi="Arial" w:cs="Arial"/>
        </w:rPr>
        <w:t>1#楼完成二次结构施工，完成20-25层内墙抹灰。</w:t>
      </w:r>
    </w:p>
    <w:p>
      <w:pPr>
        <w:numPr>
          <w:ilvl w:val="0"/>
          <w:numId w:val="3"/>
        </w:numPr>
        <w:spacing w:line="480" w:lineRule="auto"/>
        <w:rPr>
          <w:rFonts w:ascii="Arial" w:hAnsi="Arial" w:cs="Arial"/>
        </w:rPr>
      </w:pPr>
      <w:r>
        <w:rPr>
          <w:rFonts w:ascii="Arial" w:hAnsi="Arial" w:cs="Arial"/>
        </w:rPr>
        <w:t>2#楼完成梁板砼浇筑，完成20-26层砌体施工，二次结构施工完成至26层。</w:t>
      </w:r>
    </w:p>
    <w:p>
      <w:pPr>
        <w:numPr>
          <w:ilvl w:val="0"/>
          <w:numId w:val="3"/>
        </w:numPr>
        <w:spacing w:line="480" w:lineRule="auto"/>
        <w:rPr>
          <w:rFonts w:ascii="Arial" w:hAnsi="Arial" w:cs="Arial"/>
        </w:rPr>
      </w:pPr>
      <w:r>
        <w:rPr>
          <w:rFonts w:ascii="Arial" w:hAnsi="Arial" w:cs="Arial"/>
        </w:rPr>
        <w:t>3#楼完成23层墙柱25层梁板砼浇筑，完成15-20层砌体施工。</w:t>
      </w:r>
    </w:p>
    <w:p>
      <w:pPr>
        <w:numPr>
          <w:ilvl w:val="0"/>
          <w:numId w:val="3"/>
        </w:numPr>
        <w:spacing w:line="480" w:lineRule="auto"/>
        <w:rPr>
          <w:rFonts w:ascii="Arial" w:hAnsi="Arial" w:cs="Arial"/>
        </w:rPr>
      </w:pPr>
      <w:r>
        <w:rPr>
          <w:rFonts w:ascii="Arial" w:hAnsi="Arial" w:cs="Arial"/>
        </w:rPr>
        <w:t>4#楼完成20层墙柱24层梁板砼浇筑，完成</w:t>
      </w:r>
      <w:r>
        <w:rPr>
          <w:rFonts w:ascii="Arial" w:hAnsi="Arial" w:cs="Arial"/>
          <w:szCs w:val="21"/>
        </w:rPr>
        <w:t>7-12层砌体砌筑</w:t>
      </w:r>
      <w:r>
        <w:rPr>
          <w:rFonts w:ascii="Arial" w:hAnsi="Arial" w:cs="Arial"/>
        </w:rPr>
        <w:t>。</w:t>
      </w:r>
    </w:p>
    <w:p>
      <w:pPr>
        <w:numPr>
          <w:ilvl w:val="0"/>
          <w:numId w:val="3"/>
        </w:numPr>
        <w:spacing w:line="480" w:lineRule="auto"/>
        <w:rPr>
          <w:rFonts w:ascii="Arial" w:hAnsi="Arial" w:cs="Arial"/>
        </w:rPr>
      </w:pPr>
      <w:r>
        <w:rPr>
          <w:rFonts w:ascii="Arial" w:hAnsi="Arial" w:cs="Arial"/>
        </w:rPr>
        <w:t>S1#楼完成8层墙柱钢筋进行绑扎，</w:t>
      </w:r>
    </w:p>
    <w:p>
      <w:pPr>
        <w:numPr>
          <w:ilvl w:val="0"/>
          <w:numId w:val="3"/>
        </w:numPr>
        <w:spacing w:line="480" w:lineRule="auto"/>
        <w:rPr>
          <w:rFonts w:ascii="Arial" w:hAnsi="Arial" w:cs="Arial"/>
        </w:rPr>
      </w:pPr>
      <w:r>
        <w:rPr>
          <w:rFonts w:ascii="Arial" w:hAnsi="Arial" w:cs="Arial"/>
        </w:rPr>
        <w:t>7#楼楼完成1-3层梁板砼浇筑。</w:t>
      </w:r>
    </w:p>
    <w:p>
      <w:pPr>
        <w:numPr>
          <w:ilvl w:val="0"/>
          <w:numId w:val="3"/>
        </w:numPr>
        <w:spacing w:line="480" w:lineRule="auto"/>
        <w:rPr>
          <w:rFonts w:ascii="Arial" w:hAnsi="Arial" w:cs="Arial"/>
        </w:rPr>
      </w:pPr>
      <w:r>
        <w:rPr>
          <w:rFonts w:ascii="Arial" w:hAnsi="Arial" w:cs="Arial"/>
        </w:rPr>
        <w:t>8#楼完成地下室至1-2层梁板砼浇筑。</w:t>
      </w:r>
    </w:p>
    <w:p>
      <w:pPr>
        <w:numPr>
          <w:ilvl w:val="255"/>
          <w:numId w:val="0"/>
        </w:numPr>
        <w:spacing w:line="480" w:lineRule="auto"/>
        <w:rPr>
          <w:rFonts w:ascii="Arial" w:hAnsi="Arial" w:cs="Arial"/>
          <w:szCs w:val="21"/>
        </w:rPr>
      </w:pPr>
    </w:p>
    <w:p>
      <w:pPr>
        <w:tabs>
          <w:tab w:val="left" w:pos="397"/>
        </w:tabs>
        <w:spacing w:line="360" w:lineRule="auto"/>
        <w:rPr>
          <w:rFonts w:ascii="Arial" w:hAnsi="Arial" w:cs="Arial"/>
          <w:b/>
          <w:bCs/>
          <w:sz w:val="24"/>
        </w:rPr>
      </w:pPr>
      <w:r>
        <w:rPr>
          <w:rFonts w:ascii="Arial" w:hAnsi="Arial" w:cs="Arial"/>
          <w:b/>
          <w:bCs/>
          <w:sz w:val="24"/>
        </w:rPr>
        <w:t>3.5 项目现场照片</w:t>
      </w:r>
      <w:bookmarkEnd w:id="0"/>
      <w:bookmarkStart w:id="18" w:name="_Toc32317072"/>
      <w:bookmarkEnd w:id="18"/>
      <w:bookmarkStart w:id="19" w:name="_Toc32317073"/>
      <w:bookmarkEnd w:id="19"/>
      <w:bookmarkStart w:id="20" w:name="_Toc32317096"/>
      <w:bookmarkEnd w:id="20"/>
      <w:bookmarkStart w:id="21" w:name="_Toc32317097"/>
      <w:bookmarkEnd w:id="21"/>
      <w:bookmarkStart w:id="22" w:name="_Toc32432202"/>
      <w:bookmarkEnd w:id="22"/>
      <w:bookmarkStart w:id="23" w:name="_Toc32432201"/>
      <w:bookmarkEnd w:id="23"/>
    </w:p>
    <w:tbl>
      <w:tblPr>
        <w:tblStyle w:val="23"/>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Arial" w:hAnsi="Arial" w:eastAsia="黑体" w:cs="Arial"/>
                <w:sz w:val="22"/>
                <w:szCs w:val="32"/>
              </w:rPr>
            </w:pPr>
            <w:bookmarkStart w:id="24" w:name="_Toc535580026"/>
            <w:bookmarkStart w:id="25" w:name="_Toc532281660"/>
            <w:bookmarkStart w:id="26" w:name="_Toc535580094"/>
            <w:bookmarkStart w:id="27" w:name="_Toc535508639"/>
            <w:bookmarkStart w:id="28" w:name="_Toc535570753"/>
            <w:r>
              <w:rPr>
                <w:rFonts w:ascii="Arial" w:hAnsi="Arial" w:cs="Arial"/>
                <w:color w:val="000000"/>
                <w:szCs w:val="21"/>
              </w:rPr>
              <w:t>武汉黄陂盘龙·正荣府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3" name="图片 3" descr="微信图片_2020110517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05175912"/>
                          <pic:cNvPicPr>
                            <a:picLocks noChangeAspect="1"/>
                          </pic:cNvPicPr>
                        </pic:nvPicPr>
                        <pic:blipFill>
                          <a:blip r:embed="rId8"/>
                          <a:stretch>
                            <a:fillRect/>
                          </a:stretch>
                        </pic:blipFill>
                        <pic:spPr>
                          <a:xfrm>
                            <a:off x="0" y="0"/>
                            <a:ext cx="2073910" cy="1555750"/>
                          </a:xfrm>
                          <a:prstGeom prst="rect">
                            <a:avLst/>
                          </a:prstGeom>
                        </pic:spPr>
                      </pic:pic>
                    </a:graphicData>
                  </a:graphic>
                </wp:inline>
              </w:drawing>
            </w:r>
            <w:r>
              <w:rPr>
                <w:rFonts w:ascii="Arial" w:hAnsi="Arial" w:cs="Arial"/>
              </w:rPr>
              <w:t>盘龙项目</w:t>
            </w:r>
          </w:p>
        </w:tc>
        <w:tc>
          <w:tcPr>
            <w:tcW w:w="2665" w:type="dxa"/>
            <w:vAlign w:val="center"/>
          </w:tcPr>
          <w:p>
            <w:pPr>
              <w:ind w:left="630" w:hanging="630" w:hangingChars="300"/>
              <w:rPr>
                <w:rFonts w:ascii="Arial" w:hAnsi="Arial" w:cs="Arial"/>
              </w:rPr>
            </w:pPr>
            <w:r>
              <w:rPr>
                <w:rFonts w:ascii="Arial" w:hAnsi="Arial" w:cs="Arial"/>
              </w:rPr>
              <w:drawing>
                <wp:inline distT="0" distB="0" distL="114300" distR="114300">
                  <wp:extent cx="2073275" cy="1555115"/>
                  <wp:effectExtent l="0" t="0" r="3175" b="6985"/>
                  <wp:docPr id="5" name="图片 5" descr="微信图片_202011051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05175748"/>
                          <pic:cNvPicPr>
                            <a:picLocks noChangeAspect="1"/>
                          </pic:cNvPicPr>
                        </pic:nvPicPr>
                        <pic:blipFill>
                          <a:blip r:embed="rId9"/>
                          <a:stretch>
                            <a:fillRect/>
                          </a:stretch>
                        </pic:blipFill>
                        <pic:spPr>
                          <a:xfrm>
                            <a:off x="0" y="0"/>
                            <a:ext cx="2073275" cy="1555115"/>
                          </a:xfrm>
                          <a:prstGeom prst="rect">
                            <a:avLst/>
                          </a:prstGeom>
                        </pic:spPr>
                      </pic:pic>
                    </a:graphicData>
                  </a:graphic>
                </wp:inline>
              </w:drawing>
            </w:r>
            <w:r>
              <w:rPr>
                <w:rFonts w:ascii="Arial" w:hAnsi="Arial" w:cs="Arial"/>
              </w:rPr>
              <w:t>1#楼</w:t>
            </w:r>
          </w:p>
        </w:tc>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6" name="图片 6" descr="微信图片_2020110517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05175741"/>
                          <pic:cNvPicPr>
                            <a:picLocks noChangeAspect="1"/>
                          </pic:cNvPicPr>
                        </pic:nvPicPr>
                        <pic:blipFill>
                          <a:blip r:embed="rId10"/>
                          <a:stretch>
                            <a:fillRect/>
                          </a:stretch>
                        </pic:blipFill>
                        <pic:spPr>
                          <a:xfrm>
                            <a:off x="0" y="0"/>
                            <a:ext cx="2073910" cy="1555750"/>
                          </a:xfrm>
                          <a:prstGeom prst="rect">
                            <a:avLst/>
                          </a:prstGeom>
                        </pic:spPr>
                      </pic:pic>
                    </a:graphicData>
                  </a:graphic>
                </wp:inline>
              </w:drawing>
            </w:r>
            <w:r>
              <w:rPr>
                <w:rFonts w:ascii="Arial" w:hAnsi="Arial" w:cs="Arial"/>
              </w:rPr>
              <w:t>2#楼</w:t>
            </w:r>
          </w:p>
        </w:tc>
        <w:tc>
          <w:tcPr>
            <w:tcW w:w="2665" w:type="dxa"/>
            <w:vAlign w:val="center"/>
          </w:tcPr>
          <w:p>
            <w:pPr>
              <w:jc w:val="center"/>
              <w:rPr>
                <w:rFonts w:ascii="Arial" w:hAnsi="Arial" w:cs="Arial"/>
              </w:rPr>
            </w:pPr>
            <w:r>
              <w:rPr>
                <w:rFonts w:ascii="Arial" w:hAnsi="Arial" w:cs="Arial"/>
              </w:rPr>
              <w:drawing>
                <wp:inline distT="0" distB="0" distL="114300" distR="114300">
                  <wp:extent cx="2073275" cy="1555115"/>
                  <wp:effectExtent l="0" t="0" r="3175" b="6985"/>
                  <wp:docPr id="8" name="图片 8" descr="fd7f0f9ec6fba251ba3356e21bb8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7f0f9ec6fba251ba3356e21bb8e8a"/>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rPr>
              <w:t>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7" name="图片 7" descr="微信图片_2020110517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05175720"/>
                          <pic:cNvPicPr>
                            <a:picLocks noChangeAspect="1"/>
                          </pic:cNvPicPr>
                        </pic:nvPicPr>
                        <pic:blipFill>
                          <a:blip r:embed="rId12"/>
                          <a:stretch>
                            <a:fillRect/>
                          </a:stretch>
                        </pic:blipFill>
                        <pic:spPr>
                          <a:xfrm>
                            <a:off x="0" y="0"/>
                            <a:ext cx="2073910" cy="1555750"/>
                          </a:xfrm>
                          <a:prstGeom prst="rect">
                            <a:avLst/>
                          </a:prstGeom>
                        </pic:spPr>
                      </pic:pic>
                    </a:graphicData>
                  </a:graphic>
                </wp:inline>
              </w:drawing>
            </w:r>
            <w:r>
              <w:rPr>
                <w:rFonts w:ascii="Arial" w:hAnsi="Arial" w:cs="Arial"/>
              </w:rPr>
              <w:t>4#楼</w:t>
            </w:r>
          </w:p>
        </w:tc>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9" name="图片 9" descr="微信图片_202011051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05175908"/>
                          <pic:cNvPicPr>
                            <a:picLocks noChangeAspect="1"/>
                          </pic:cNvPicPr>
                        </pic:nvPicPr>
                        <pic:blipFill>
                          <a:blip r:embed="rId13"/>
                          <a:stretch>
                            <a:fillRect/>
                          </a:stretch>
                        </pic:blipFill>
                        <pic:spPr>
                          <a:xfrm>
                            <a:off x="0" y="0"/>
                            <a:ext cx="2073910" cy="1555750"/>
                          </a:xfrm>
                          <a:prstGeom prst="rect">
                            <a:avLst/>
                          </a:prstGeom>
                        </pic:spPr>
                      </pic:pic>
                    </a:graphicData>
                  </a:graphic>
                </wp:inline>
              </w:drawing>
            </w:r>
            <w:r>
              <w:rPr>
                <w:rFonts w:ascii="Arial" w:hAnsi="Arial" w:cs="Arial"/>
              </w:rPr>
              <w:t>S1#楼</w:t>
            </w:r>
          </w:p>
        </w:tc>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10" name="图片 10" descr="微信图片_202011051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105175724"/>
                          <pic:cNvPicPr>
                            <a:picLocks noChangeAspect="1"/>
                          </pic:cNvPicPr>
                        </pic:nvPicPr>
                        <pic:blipFill>
                          <a:blip r:embed="rId14"/>
                          <a:stretch>
                            <a:fillRect/>
                          </a:stretch>
                        </pic:blipFill>
                        <pic:spPr>
                          <a:xfrm>
                            <a:off x="0" y="0"/>
                            <a:ext cx="2073910" cy="1555750"/>
                          </a:xfrm>
                          <a:prstGeom prst="rect">
                            <a:avLst/>
                          </a:prstGeom>
                        </pic:spPr>
                      </pic:pic>
                    </a:graphicData>
                  </a:graphic>
                </wp:inline>
              </w:drawing>
            </w:r>
            <w:r>
              <w:rPr>
                <w:rFonts w:ascii="Arial" w:hAnsi="Arial" w:cs="Arial"/>
              </w:rPr>
              <w:t>全景</w:t>
            </w:r>
          </w:p>
        </w:tc>
        <w:tc>
          <w:tcPr>
            <w:tcW w:w="2665" w:type="dxa"/>
            <w:vAlign w:val="center"/>
          </w:tcPr>
          <w:p>
            <w:pPr>
              <w:jc w:val="center"/>
              <w:rPr>
                <w:rFonts w:ascii="Arial" w:hAnsi="Arial" w:cs="Arial"/>
              </w:rPr>
            </w:pPr>
            <w:r>
              <w:rPr>
                <w:rFonts w:ascii="Arial" w:hAnsi="Arial" w:cs="Arial"/>
              </w:rPr>
              <w:drawing>
                <wp:inline distT="0" distB="0" distL="114300" distR="114300">
                  <wp:extent cx="2073910" cy="1555750"/>
                  <wp:effectExtent l="0" t="0" r="2540" b="6350"/>
                  <wp:docPr id="14" name="图片 14" descr="微信图片_2020110517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05175727"/>
                          <pic:cNvPicPr>
                            <a:picLocks noChangeAspect="1"/>
                          </pic:cNvPicPr>
                        </pic:nvPicPr>
                        <pic:blipFill>
                          <a:blip r:embed="rId15"/>
                          <a:stretch>
                            <a:fillRect/>
                          </a:stretch>
                        </pic:blipFill>
                        <pic:spPr>
                          <a:xfrm>
                            <a:off x="0" y="0"/>
                            <a:ext cx="2073910" cy="1555750"/>
                          </a:xfrm>
                          <a:prstGeom prst="rect">
                            <a:avLst/>
                          </a:prstGeom>
                        </pic:spPr>
                      </pic:pic>
                    </a:graphicData>
                  </a:graphic>
                </wp:inline>
              </w:drawing>
            </w:r>
            <w:r>
              <w:rPr>
                <w:rFonts w:ascii="Arial" w:hAnsi="Arial" w:cs="Arial"/>
              </w:rPr>
              <w:t>沙坑</w:t>
            </w:r>
          </w:p>
        </w:tc>
      </w:tr>
    </w:tbl>
    <w:p>
      <w:pPr>
        <w:pStyle w:val="2"/>
        <w:spacing w:before="300" w:after="300" w:line="360" w:lineRule="exact"/>
        <w:jc w:val="left"/>
        <w:rPr>
          <w:rFonts w:ascii="Arial" w:hAnsi="Arial" w:cs="Arial"/>
          <w:sz w:val="24"/>
          <w:szCs w:val="24"/>
        </w:rPr>
      </w:pPr>
      <w:bookmarkStart w:id="29" w:name="_Toc32486"/>
      <w:r>
        <w:rPr>
          <w:rFonts w:ascii="Arial" w:hAnsi="Arial" w:cs="Arial"/>
          <w:sz w:val="24"/>
          <w:szCs w:val="24"/>
        </w:rPr>
        <w:t>4印鉴使用情况</w:t>
      </w:r>
      <w:bookmarkEnd w:id="24"/>
      <w:bookmarkEnd w:id="25"/>
      <w:bookmarkEnd w:id="26"/>
      <w:bookmarkEnd w:id="27"/>
      <w:bookmarkEnd w:id="28"/>
      <w:bookmarkEnd w:id="29"/>
    </w:p>
    <w:p>
      <w:pPr>
        <w:spacing w:line="480" w:lineRule="auto"/>
        <w:ind w:firstLine="420" w:firstLineChars="20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ascii="Arial" w:hAnsi="Arial" w:cs="Arial"/>
          <w:b/>
          <w:kern w:val="44"/>
          <w:sz w:val="24"/>
        </w:rPr>
      </w:pPr>
      <w:bookmarkStart w:id="30" w:name="_Hlk18530413"/>
      <w:r>
        <w:rPr>
          <w:rFonts w:ascii="Arial" w:hAnsi="Arial" w:cs="Arial"/>
          <w:b/>
          <w:kern w:val="44"/>
          <w:sz w:val="24"/>
        </w:rPr>
        <w:t xml:space="preserve">2020年10月印鉴使用登记表 </w:t>
      </w:r>
    </w:p>
    <w:tbl>
      <w:tblPr>
        <w:tblStyle w:val="22"/>
        <w:tblW w:w="9257" w:type="dxa"/>
        <w:tblInd w:w="0" w:type="dxa"/>
        <w:tblLayout w:type="fixed"/>
        <w:tblCellMar>
          <w:top w:w="0" w:type="dxa"/>
          <w:left w:w="0" w:type="dxa"/>
          <w:bottom w:w="0" w:type="dxa"/>
          <w:right w:w="0" w:type="dxa"/>
        </w:tblCellMar>
      </w:tblPr>
      <w:tblGrid>
        <w:gridCol w:w="857"/>
        <w:gridCol w:w="1140"/>
        <w:gridCol w:w="705"/>
        <w:gridCol w:w="1860"/>
        <w:gridCol w:w="2940"/>
        <w:gridCol w:w="945"/>
        <w:gridCol w:w="810"/>
      </w:tblGrid>
      <w:tr>
        <w:tblPrEx>
          <w:tblCellMar>
            <w:top w:w="0" w:type="dxa"/>
            <w:left w:w="0" w:type="dxa"/>
            <w:bottom w:w="0" w:type="dxa"/>
            <w:right w:w="0" w:type="dxa"/>
          </w:tblCellMar>
        </w:tblPrEx>
        <w:trPr>
          <w:trHeight w:val="272" w:hRule="atLeast"/>
          <w:tblHeader/>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用印公司</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用印部门</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经办人</w:t>
            </w:r>
          </w:p>
        </w:tc>
      </w:tr>
      <w:tr>
        <w:tblPrEx>
          <w:tblCellMar>
            <w:top w:w="0" w:type="dxa"/>
            <w:left w:w="0" w:type="dxa"/>
            <w:bottom w:w="0" w:type="dxa"/>
            <w:right w:w="0" w:type="dxa"/>
          </w:tblCellMar>
        </w:tblPrEx>
        <w:trPr>
          <w:trHeight w:val="68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2020-10-9</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公章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基坑支护图纸及门窗图纸会审用印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1、图纸会审记录；2、武汉盘龙项目大区门窗联合审图报告；（</w:t>
            </w:r>
            <w:r>
              <w:rPr>
                <w:rFonts w:ascii="Arial" w:hAnsi="Arial" w:cs="Arial"/>
                <w:color w:val="000000"/>
                <w:kern w:val="0"/>
                <w:sz w:val="20"/>
                <w:szCs w:val="20"/>
                <w:lang w:bidi="ar"/>
              </w:rPr>
              <w:t>2</w:t>
            </w:r>
            <w:r>
              <w:rPr>
                <w:rFonts w:hint="eastAsia" w:ascii="宋体" w:hAnsi="宋体" w:cs="宋体"/>
                <w:color w:val="000000"/>
                <w:kern w:val="0"/>
                <w:sz w:val="20"/>
                <w:szCs w:val="20"/>
                <w:lang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设计</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宋体" w:hAnsi="宋体" w:cs="宋体"/>
                <w:color w:val="000000"/>
                <w:kern w:val="0"/>
                <w:sz w:val="20"/>
                <w:szCs w:val="20"/>
                <w:lang w:bidi="ar"/>
              </w:rPr>
              <w:t>周洁</w:t>
            </w:r>
          </w:p>
        </w:tc>
      </w:tr>
      <w:tr>
        <w:tblPrEx>
          <w:tblCellMar>
            <w:top w:w="0" w:type="dxa"/>
            <w:left w:w="0" w:type="dxa"/>
            <w:bottom w:w="0" w:type="dxa"/>
            <w:right w:w="0" w:type="dxa"/>
          </w:tblCellMar>
        </w:tblPrEx>
        <w:trPr>
          <w:trHeight w:val="495"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2020-10-9</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项目架空层设计合同用印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正荣</w:t>
            </w:r>
            <w:r>
              <w:rPr>
                <w:rFonts w:ascii="Arial" w:hAnsi="Arial" w:cs="Arial"/>
                <w:color w:val="000000"/>
                <w:kern w:val="0"/>
                <w:sz w:val="20"/>
                <w:szCs w:val="20"/>
                <w:lang w:bidi="ar"/>
              </w:rPr>
              <w:t>·</w:t>
            </w:r>
            <w:r>
              <w:rPr>
                <w:rFonts w:hint="eastAsia" w:ascii="宋体" w:hAnsi="宋体" w:cs="宋体"/>
                <w:color w:val="000000"/>
                <w:kern w:val="0"/>
                <w:sz w:val="20"/>
                <w:szCs w:val="20"/>
                <w:lang w:bidi="ar"/>
              </w:rPr>
              <w:t>武汉盘龙正荣府项目架空层设计合同</w:t>
            </w:r>
            <w:r>
              <w:rPr>
                <w:rFonts w:ascii="Arial" w:hAnsi="Arial" w:cs="Arial"/>
                <w:color w:val="000000"/>
                <w:kern w:val="0"/>
                <w:sz w:val="20"/>
                <w:szCs w:val="20"/>
                <w:lang w:bidi="ar"/>
              </w:rPr>
              <w:t>（</w:t>
            </w:r>
            <w:r>
              <w:rPr>
                <w:rFonts w:hint="eastAsia" w:ascii="宋体" w:hAnsi="宋体" w:cs="宋体"/>
                <w:color w:val="000000"/>
                <w:kern w:val="0"/>
                <w:sz w:val="20"/>
                <w:szCs w:val="20"/>
                <w:lang w:bidi="ar"/>
              </w:rPr>
              <w:t>概念设计</w:t>
            </w:r>
            <w:r>
              <w:rPr>
                <w:rFonts w:ascii="Arial" w:hAnsi="Arial" w:cs="Arial"/>
                <w:color w:val="000000"/>
                <w:kern w:val="0"/>
                <w:sz w:val="20"/>
                <w:szCs w:val="20"/>
                <w:lang w:bidi="ar"/>
              </w:rPr>
              <w:t>-</w:t>
            </w:r>
            <w:r>
              <w:rPr>
                <w:rFonts w:hint="eastAsia" w:ascii="宋体" w:hAnsi="宋体" w:cs="宋体"/>
                <w:color w:val="000000"/>
                <w:kern w:val="0"/>
                <w:sz w:val="20"/>
                <w:szCs w:val="20"/>
                <w:lang w:bidi="ar"/>
              </w:rPr>
              <w:t>施工图设计阶段</w:t>
            </w:r>
            <w:r>
              <w:rPr>
                <w:rFonts w:ascii="Arial" w:hAnsi="Arial" w:cs="Arial"/>
                <w:color w:val="000000"/>
                <w:kern w:val="0"/>
                <w:sz w:val="20"/>
                <w:szCs w:val="20"/>
                <w:lang w:bidi="ar"/>
              </w:rPr>
              <w:t>）</w:t>
            </w:r>
            <w:r>
              <w:rPr>
                <w:rFonts w:hint="eastAsia" w:ascii="宋体" w:hAnsi="宋体" w:cs="宋体"/>
                <w:color w:val="000000"/>
                <w:kern w:val="0"/>
                <w:sz w:val="20"/>
                <w:szCs w:val="20"/>
                <w:lang w:bidi="ar"/>
              </w:rPr>
              <w:t>（</w:t>
            </w:r>
            <w:r>
              <w:rPr>
                <w:rFonts w:ascii="Arial" w:hAnsi="Arial" w:cs="Arial"/>
                <w:color w:val="000000"/>
                <w:kern w:val="0"/>
                <w:sz w:val="20"/>
                <w:szCs w:val="20"/>
                <w:lang w:bidi="ar"/>
              </w:rPr>
              <w:t>6</w:t>
            </w:r>
            <w:r>
              <w:rPr>
                <w:rFonts w:hint="eastAsia" w:ascii="宋体" w:hAnsi="宋体" w:cs="宋体"/>
                <w:color w:val="000000"/>
                <w:kern w:val="0"/>
                <w:sz w:val="20"/>
                <w:szCs w:val="20"/>
                <w:lang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设计</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hint="eastAsia" w:ascii="宋体" w:hAnsi="宋体" w:cs="宋体"/>
                <w:color w:val="000000"/>
                <w:kern w:val="0"/>
                <w:sz w:val="20"/>
                <w:szCs w:val="20"/>
                <w:lang w:bidi="ar"/>
              </w:rPr>
              <w:t>李雯</w:t>
            </w:r>
          </w:p>
        </w:tc>
      </w:tr>
      <w:tr>
        <w:tblPrEx>
          <w:tblCellMar>
            <w:top w:w="0" w:type="dxa"/>
            <w:left w:w="0" w:type="dxa"/>
            <w:bottom w:w="0" w:type="dxa"/>
            <w:right w:w="0" w:type="dxa"/>
          </w:tblCellMar>
        </w:tblPrEx>
        <w:trPr>
          <w:trHeight w:val="495"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公章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催告函用印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商品房买卖合同签约及首付款缴款催告函（张艳玲、朱露各</w:t>
            </w:r>
            <w:r>
              <w:rPr>
                <w:rFonts w:ascii="Arial" w:hAnsi="Arial" w:cs="Arial"/>
                <w:color w:val="000000"/>
                <w:kern w:val="0"/>
                <w:sz w:val="20"/>
                <w:szCs w:val="20"/>
                <w:lang w:bidi="ar"/>
              </w:rPr>
              <w:t>1</w:t>
            </w:r>
            <w:r>
              <w:rPr>
                <w:rFonts w:hint="eastAsia" w:ascii="宋体" w:hAnsi="宋体" w:cs="宋体"/>
                <w:color w:val="000000"/>
                <w:kern w:val="0"/>
                <w:sz w:val="20"/>
                <w:szCs w:val="20"/>
                <w:lang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销售团队</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杨琦</w:t>
            </w:r>
          </w:p>
        </w:tc>
      </w:tr>
      <w:tr>
        <w:tblPrEx>
          <w:tblCellMar>
            <w:top w:w="0" w:type="dxa"/>
            <w:left w:w="0" w:type="dxa"/>
            <w:bottom w:w="0" w:type="dxa"/>
            <w:right w:w="0" w:type="dxa"/>
          </w:tblCellMar>
        </w:tblPrEx>
        <w:trPr>
          <w:trHeight w:val="495"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营销电梯灯箱广告发布合同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盘龙正荣府</w:t>
            </w:r>
            <w:r>
              <w:rPr>
                <w:rFonts w:ascii="Arial" w:hAnsi="Arial" w:cs="Arial"/>
                <w:color w:val="000000"/>
                <w:kern w:val="0"/>
                <w:sz w:val="20"/>
                <w:szCs w:val="20"/>
                <w:lang w:bidi="ar"/>
              </w:rPr>
              <w:t>6</w:t>
            </w:r>
            <w:r>
              <w:rPr>
                <w:rFonts w:hint="eastAsia" w:ascii="宋体" w:hAnsi="宋体" w:cs="宋体"/>
                <w:color w:val="000000"/>
                <w:kern w:val="0"/>
                <w:sz w:val="20"/>
                <w:szCs w:val="20"/>
                <w:lang w:bidi="ar"/>
              </w:rPr>
              <w:t>月汉口中心区电梯灯箱广告发布合同</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策划</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林思捷</w:t>
            </w:r>
          </w:p>
        </w:tc>
      </w:tr>
      <w:tr>
        <w:tblPrEx>
          <w:tblCellMar>
            <w:top w:w="0" w:type="dxa"/>
            <w:left w:w="0" w:type="dxa"/>
            <w:bottom w:w="0" w:type="dxa"/>
            <w:right w:w="0" w:type="dxa"/>
          </w:tblCellMar>
        </w:tblPrEx>
        <w:trPr>
          <w:trHeight w:val="96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营销汉口中心区及后湖电梯灯箱广告发布合同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盘龙正荣府</w:t>
            </w:r>
            <w:r>
              <w:rPr>
                <w:rFonts w:ascii="Arial" w:hAnsi="Arial" w:cs="Arial"/>
                <w:color w:val="000000"/>
                <w:kern w:val="0"/>
                <w:sz w:val="20"/>
                <w:szCs w:val="20"/>
                <w:lang w:bidi="ar"/>
              </w:rPr>
              <w:t>8-9</w:t>
            </w:r>
            <w:r>
              <w:rPr>
                <w:rFonts w:hint="eastAsia" w:ascii="宋体" w:hAnsi="宋体" w:cs="宋体"/>
                <w:color w:val="000000"/>
                <w:kern w:val="0"/>
                <w:sz w:val="20"/>
                <w:szCs w:val="20"/>
                <w:lang w:bidi="ar"/>
              </w:rPr>
              <w:t>月汉口中心区及后湖电梯灯箱广告发布合同</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策划</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林思捷</w:t>
            </w:r>
          </w:p>
        </w:tc>
      </w:tr>
      <w:tr>
        <w:tblPrEx>
          <w:tblCellMar>
            <w:top w:w="0" w:type="dxa"/>
            <w:left w:w="0" w:type="dxa"/>
            <w:bottom w:w="0" w:type="dxa"/>
            <w:right w:w="0" w:type="dxa"/>
          </w:tblCellMar>
        </w:tblPrEx>
        <w:trPr>
          <w:trHeight w:val="96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营销媒体广告阿松评楼发布合同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盘龙正荣府</w:t>
            </w:r>
            <w:r>
              <w:rPr>
                <w:rFonts w:ascii="Arial" w:hAnsi="Arial" w:cs="Arial"/>
                <w:color w:val="000000"/>
                <w:kern w:val="0"/>
                <w:sz w:val="20"/>
                <w:szCs w:val="20"/>
                <w:lang w:bidi="ar"/>
              </w:rPr>
              <w:t>9</w:t>
            </w:r>
            <w:r>
              <w:rPr>
                <w:rFonts w:hint="eastAsia" w:ascii="宋体" w:hAnsi="宋体" w:cs="宋体"/>
                <w:color w:val="000000"/>
                <w:kern w:val="0"/>
                <w:sz w:val="20"/>
                <w:szCs w:val="20"/>
                <w:lang w:bidi="ar"/>
              </w:rPr>
              <w:t>月自媒体广告阿松评楼发布合同</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策划</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林思捷</w:t>
            </w:r>
          </w:p>
        </w:tc>
      </w:tr>
      <w:tr>
        <w:tblPrEx>
          <w:tblCellMar>
            <w:top w:w="0" w:type="dxa"/>
            <w:left w:w="0" w:type="dxa"/>
            <w:bottom w:w="0" w:type="dxa"/>
            <w:right w:w="0" w:type="dxa"/>
          </w:tblCellMar>
        </w:tblPrEx>
        <w:trPr>
          <w:trHeight w:val="270"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营销媒体广告老欢咵房发布合同</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盘龙正荣府自媒体广告老欢咵房发布合同</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策划</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林思捷</w:t>
            </w:r>
          </w:p>
        </w:tc>
      </w:tr>
      <w:tr>
        <w:tblPrEx>
          <w:tblCellMar>
            <w:top w:w="0" w:type="dxa"/>
            <w:left w:w="0" w:type="dxa"/>
            <w:bottom w:w="0" w:type="dxa"/>
            <w:right w:w="0" w:type="dxa"/>
          </w:tblCellMar>
        </w:tblPrEx>
        <w:trPr>
          <w:trHeight w:val="735" w:hRule="atLeast"/>
        </w:trPr>
        <w:tc>
          <w:tcPr>
            <w:tcW w:w="8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正舟</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2020-10-12</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合同章</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土方工程调价协议用印</w:t>
            </w:r>
          </w:p>
        </w:tc>
        <w:tc>
          <w:tcPr>
            <w:tcW w:w="2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《正荣黄陂</w:t>
            </w:r>
            <w:r>
              <w:rPr>
                <w:rFonts w:ascii="Arial" w:hAnsi="Arial" w:cs="Arial"/>
                <w:color w:val="000000"/>
                <w:kern w:val="0"/>
                <w:sz w:val="20"/>
                <w:szCs w:val="20"/>
                <w:lang w:bidi="ar"/>
              </w:rPr>
              <w:t xml:space="preserve"> 073 </w:t>
            </w:r>
            <w:r>
              <w:rPr>
                <w:rFonts w:hint="eastAsia" w:ascii="宋体" w:hAnsi="宋体" w:cs="宋体"/>
                <w:color w:val="000000"/>
                <w:kern w:val="0"/>
                <w:sz w:val="20"/>
                <w:szCs w:val="20"/>
                <w:lang w:bidi="ar"/>
              </w:rPr>
              <w:t>项目土石方工程施工合同》之调价补偿补充协议二</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宋体" w:hAnsi="宋体" w:cs="宋体"/>
                <w:color w:val="000000"/>
                <w:kern w:val="0"/>
                <w:sz w:val="20"/>
                <w:szCs w:val="20"/>
                <w:lang w:bidi="ar"/>
              </w:rPr>
              <w:t>成本管理部</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蒋逸凡</w:t>
            </w:r>
          </w:p>
        </w:tc>
      </w:tr>
    </w:tbl>
    <w:p>
      <w:pPr>
        <w:spacing w:before="240" w:beforeLines="100"/>
        <w:jc w:val="center"/>
        <w:rPr>
          <w:rFonts w:ascii="Arial" w:hAnsi="Arial" w:cs="Arial"/>
          <w:b/>
          <w:kern w:val="44"/>
          <w:sz w:val="24"/>
        </w:rPr>
      </w:pPr>
    </w:p>
    <w:bookmarkEnd w:id="30"/>
    <w:p>
      <w:pPr>
        <w:rPr>
          <w:rFonts w:ascii="Arial" w:hAnsi="Arial" w:cs="Arial"/>
        </w:rPr>
      </w:pPr>
      <w:bookmarkStart w:id="31" w:name="_Toc535580027"/>
      <w:bookmarkStart w:id="32" w:name="_Toc532281661"/>
      <w:bookmarkStart w:id="33" w:name="_Toc535570754"/>
      <w:bookmarkStart w:id="34" w:name="_Toc535508640"/>
      <w:bookmarkStart w:id="35" w:name="_Toc535580095"/>
      <w:bookmarkStart w:id="36" w:name="_Toc411430359"/>
      <w:bookmarkStart w:id="37" w:name="_Toc373309851"/>
    </w:p>
    <w:p>
      <w:pPr>
        <w:spacing w:line="360" w:lineRule="auto"/>
        <w:ind w:firstLine="420" w:firstLineChars="200"/>
        <w:rPr>
          <w:rFonts w:ascii="Arial" w:hAnsi="Arial" w:cs="Arial"/>
          <w:bCs/>
          <w:kern w:val="44"/>
          <w:szCs w:val="21"/>
        </w:rPr>
      </w:pPr>
      <w:r>
        <w:rPr>
          <w:rFonts w:ascii="Arial" w:hAnsi="Arial" w:cs="Arial"/>
          <w:bCs/>
          <w:kern w:val="44"/>
          <w:szCs w:val="21"/>
        </w:rPr>
        <w:t>本月证照章外带情况表如下：</w:t>
      </w:r>
    </w:p>
    <w:tbl>
      <w:tblPr>
        <w:tblStyle w:val="22"/>
        <w:tblW w:w="9360" w:type="dxa"/>
        <w:jc w:val="center"/>
        <w:tblLayout w:type="autofit"/>
        <w:tblCellMar>
          <w:top w:w="0" w:type="dxa"/>
          <w:left w:w="0" w:type="dxa"/>
          <w:bottom w:w="0" w:type="dxa"/>
          <w:right w:w="0" w:type="dxa"/>
        </w:tblCellMar>
      </w:tblPr>
      <w:tblGrid>
        <w:gridCol w:w="1020"/>
        <w:gridCol w:w="1110"/>
        <w:gridCol w:w="1920"/>
        <w:gridCol w:w="2145"/>
        <w:gridCol w:w="1950"/>
        <w:gridCol w:w="1215"/>
      </w:tblGrid>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外/借出日期</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印鉴/证照名称</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外/借出至机构</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tblPrEx>
          <w:tblCellMar>
            <w:top w:w="0" w:type="dxa"/>
            <w:left w:w="0" w:type="dxa"/>
            <w:bottom w:w="0" w:type="dxa"/>
            <w:right w:w="0" w:type="dxa"/>
          </w:tblCellMar>
        </w:tblPrEx>
        <w:trPr>
          <w:trHeight w:val="48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2020-10-14</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法人章、公章、财务章、营业执照</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预留印鉴变更</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工商银行汉阳支行</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财务办</w:t>
            </w:r>
          </w:p>
        </w:tc>
      </w:tr>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2020-10-22</w:t>
            </w:r>
          </w:p>
        </w:tc>
        <w:tc>
          <w:tcPr>
            <w:tcW w:w="1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公章、营业执照</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办理营业执照变更</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黄陂区政务服务中心</w:t>
            </w:r>
          </w:p>
        </w:tc>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行政</w:t>
            </w:r>
          </w:p>
        </w:tc>
      </w:tr>
    </w:tbl>
    <w:p>
      <w:pPr>
        <w:rPr>
          <w:rFonts w:ascii="Arial" w:hAnsi="Arial" w:cs="Arial"/>
        </w:rPr>
      </w:pPr>
    </w:p>
    <w:p>
      <w:pPr>
        <w:pStyle w:val="2"/>
        <w:spacing w:before="300" w:after="300" w:line="360" w:lineRule="exact"/>
        <w:jc w:val="left"/>
        <w:rPr>
          <w:rFonts w:ascii="Arial" w:hAnsi="Arial" w:cs="Arial"/>
          <w:color w:val="000000"/>
          <w:sz w:val="24"/>
          <w:szCs w:val="24"/>
        </w:rPr>
      </w:pPr>
      <w:bookmarkStart w:id="38" w:name="_Toc29289"/>
      <w:r>
        <w:rPr>
          <w:rFonts w:ascii="Arial" w:hAnsi="Arial" w:cs="Arial"/>
          <w:color w:val="000000"/>
          <w:sz w:val="24"/>
          <w:szCs w:val="24"/>
        </w:rPr>
        <w:t>5合同签订情况</w:t>
      </w:r>
      <w:bookmarkEnd w:id="31"/>
      <w:bookmarkEnd w:id="32"/>
      <w:bookmarkEnd w:id="33"/>
      <w:bookmarkEnd w:id="34"/>
      <w:bookmarkEnd w:id="35"/>
      <w:bookmarkEnd w:id="38"/>
      <w:r>
        <w:rPr>
          <w:rFonts w:ascii="Arial" w:hAnsi="Arial" w:cs="Arial"/>
          <w:color w:val="000000"/>
          <w:sz w:val="24"/>
          <w:szCs w:val="24"/>
        </w:rPr>
        <w:tab/>
      </w:r>
    </w:p>
    <w:p>
      <w:pPr>
        <w:spacing w:line="360" w:lineRule="auto"/>
        <w:ind w:firstLine="420" w:firstLineChars="200"/>
        <w:rPr>
          <w:rFonts w:ascii="Arial" w:hAnsi="Arial" w:cs="Arial"/>
          <w:b/>
          <w:color w:val="000000"/>
          <w:szCs w:val="21"/>
        </w:rPr>
      </w:pPr>
      <w:r>
        <w:rPr>
          <w:rFonts w:ascii="Arial" w:hAnsi="Arial" w:cs="Arial"/>
          <w:bCs/>
          <w:kern w:val="44"/>
          <w:szCs w:val="21"/>
        </w:rPr>
        <w:t>截止2020年10月31日期间，项目公司新签订合同共计7份。</w:t>
      </w:r>
    </w:p>
    <w:p>
      <w:pPr>
        <w:spacing w:line="360" w:lineRule="auto"/>
        <w:rPr>
          <w:rFonts w:ascii="Arial" w:hAnsi="Arial" w:cs="Arial"/>
          <w:b/>
          <w:color w:val="000000"/>
          <w:szCs w:val="21"/>
        </w:rPr>
      </w:pPr>
    </w:p>
    <w:p>
      <w:pPr>
        <w:spacing w:line="360" w:lineRule="auto"/>
        <w:jc w:val="center"/>
        <w:rPr>
          <w:rFonts w:ascii="Arial" w:hAnsi="Arial" w:cs="Arial"/>
          <w:b/>
          <w:color w:val="000000"/>
          <w:sz w:val="24"/>
        </w:rPr>
      </w:pPr>
      <w:r>
        <w:rPr>
          <w:rFonts w:ascii="Arial" w:hAnsi="Arial" w:cs="Arial"/>
          <w:b/>
          <w:color w:val="000000"/>
          <w:sz w:val="24"/>
        </w:rPr>
        <w:t>2020年9月合同签订情况表</w:t>
      </w:r>
    </w:p>
    <w:tbl>
      <w:tblPr>
        <w:tblStyle w:val="22"/>
        <w:tblW w:w="10905" w:type="dxa"/>
        <w:jc w:val="center"/>
        <w:tblLayout w:type="autofit"/>
        <w:tblCellMar>
          <w:top w:w="0" w:type="dxa"/>
          <w:left w:w="0" w:type="dxa"/>
          <w:bottom w:w="0" w:type="dxa"/>
          <w:right w:w="0" w:type="dxa"/>
        </w:tblCellMar>
      </w:tblPr>
      <w:tblGrid>
        <w:gridCol w:w="915"/>
        <w:gridCol w:w="1365"/>
        <w:gridCol w:w="1845"/>
        <w:gridCol w:w="2470"/>
        <w:gridCol w:w="3080"/>
        <w:gridCol w:w="1230"/>
      </w:tblGrid>
      <w:tr>
        <w:tblPrEx>
          <w:tblCellMar>
            <w:top w:w="0" w:type="dxa"/>
            <w:left w:w="0" w:type="dxa"/>
            <w:bottom w:w="0" w:type="dxa"/>
            <w:right w:w="0" w:type="dxa"/>
          </w:tblCellMar>
        </w:tblPrEx>
        <w:trPr>
          <w:trHeight w:val="48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付款节点</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tblPrEx>
          <w:tblCellMar>
            <w:top w:w="0" w:type="dxa"/>
            <w:left w:w="0" w:type="dxa"/>
            <w:bottom w:w="0" w:type="dxa"/>
            <w:right w:w="0" w:type="dxa"/>
          </w:tblCellMar>
        </w:tblPrEx>
        <w:trPr>
          <w:cantSplit/>
          <w:trHeight w:val="86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武汉中标水平室内设计有限公司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正荣·武汉盘龙正荣府项目架空层设计合同（概念设计-施工图设计阶段）</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发包人委托设计人承担盘龙正荣府项目（以下简称“本项目” ）1 号楼架空层概念设计至施工图设计阶段精装修设计工作，双方为明确各方权利、义务，根据国家相关法律、法规、规章，并合本项目实际情况，本着平等、互利的原则，经协商一致，签订本项目设计合同，以资共同遵守。</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一、合同定金10 % 3000合同签订后 7 个工作日内。二、概念设计15 % 4500设计人提交经发包人书面签字盖章确认的概念设计阶段最终成果。三、方案设计 25 % 7500 设计人提交经发包人书面签字盖章确认的方案设计阶段最终成果。四、施工图设计35 % 10500 设计人提交经发包人书面签字盖章确认的施工图设计最终成果。五、施工配合服务15 % 4500项目竣工验收合格</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30</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198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梯彩（湖北）传媒有限公司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盘龙正荣府6月汉口中心区电梯灯箱广告发布合同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甲方委托乙方制作并发布 盘龙正荣府 6 月汉口中心区电梯灯箱广告，具体要求如下：发布期间： 2020 年 6 月 20 日至 2020 年 7 月 19 日发布地点： 金银潭、后湖、汉口火车站、武汉天地片区 （具体详见附件）发布数量： 125 块（另额外赠送 13 块），尺寸： 500mm*800mm</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20"/>
                <w:szCs w:val="20"/>
                <w:lang w:bidi="ar"/>
              </w:rPr>
              <w:t>无预售款，</w:t>
            </w:r>
            <w:r>
              <w:rPr>
                <w:rFonts w:ascii="Arial" w:hAnsi="Arial" w:cs="Arial"/>
                <w:color w:val="000000"/>
                <w:kern w:val="0"/>
                <w:sz w:val="20"/>
                <w:szCs w:val="20"/>
                <w:lang w:bidi="ar"/>
              </w:rPr>
              <w:t>合同总价款100000元整，作为质保金，待广告发布期届满后支付。</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100</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144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梯彩（湖北）传媒有限公司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盘龙正荣府8-9月汉口中心区及后湖电梯灯箱广告发布合同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甲方委托乙方制作并发布 盘龙正荣府电梯灯箱 广告，具体要求如下：发布期间： 2020 年 8 月 25 日至 2020 年 9 月 30 日（具体上画时间以合同流程执行完为准）发布地点： 后湖、汉口火车站、武汉天地片区发布数量： 150 块/周，共计 5 周 ，尺寸： 500mm*800mm</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20"/>
                <w:szCs w:val="20"/>
                <w:lang w:bidi="ar"/>
              </w:rPr>
              <w:t>无预售款，</w:t>
            </w:r>
            <w:r>
              <w:rPr>
                <w:rFonts w:ascii="Arial" w:hAnsi="Arial" w:cs="Arial"/>
                <w:color w:val="000000"/>
                <w:kern w:val="0"/>
                <w:sz w:val="20"/>
                <w:szCs w:val="20"/>
                <w:lang w:bidi="ar"/>
              </w:rPr>
              <w:t>乙方制作及发布的广告经甲方验收合格后三个月内，甲方向乙方支付合同总价款的100%，壹拾万零玖仟元。</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109</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24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武汉陌青春创意科技有限公司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盘龙正荣府9月自媒体广告阿松评楼发布合同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1、广告发布内容：微信公众号《老欢咵房》头条推文 1 篇、抖音号《老欢咵房》直播 1 次、线下看房团 1 场 2、广告发布媒体：公众号《老欢咵房》3、广告发布时间：2020 年 9 月 15 日-2020 年 9 月 30 日 4、广告发布效果：本次合作预计软文 1.2w—1.8w 阅读量，抖音直播观看人数5000-8000 人，看房团 40 人，意向客户 20 组，来访 30 组；</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20"/>
                <w:szCs w:val="20"/>
                <w:lang w:bidi="ar"/>
              </w:rPr>
              <w:t>无预售款，</w:t>
            </w:r>
            <w:r>
              <w:rPr>
                <w:rFonts w:ascii="Arial" w:hAnsi="Arial" w:cs="Arial"/>
                <w:color w:val="000000"/>
                <w:kern w:val="0"/>
                <w:sz w:val="20"/>
                <w:szCs w:val="20"/>
                <w:lang w:bidi="ar"/>
              </w:rPr>
              <w:t>乙方按本合同约定发布完广告并经甲方验收通过后 15 个工作日内，支付本合同结算价款35000元。</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35</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12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武汉云松文化传播有限公司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盘龙正荣府自媒体广告老欢咵房发布合同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广告发布内容：盘龙正荣府项目微信自媒体推广2、广告发布媒体：微信自媒体“阿松评楼”3、广告发布时间：2020 年 9 月 15 日-2020 年 9 月 30 日 （具体上线日期以合同流程执行完为准） 4、广告发布效果：提升项目在 C 端客群中的知名度，阅读量 3 万+详见本合同附件一</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20"/>
                <w:szCs w:val="20"/>
                <w:lang w:bidi="ar"/>
              </w:rPr>
              <w:t>无预售款，</w:t>
            </w:r>
            <w:r>
              <w:rPr>
                <w:rFonts w:ascii="Arial" w:hAnsi="Arial" w:cs="Arial"/>
                <w:color w:val="000000"/>
                <w:kern w:val="0"/>
                <w:sz w:val="20"/>
                <w:szCs w:val="20"/>
                <w:lang w:bidi="ar"/>
              </w:rPr>
              <w:t>乙方按本合同约定发布完广告并经甲方验收通过后 15 个工作日内，支付本合同结算价款39000元</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39</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193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湖北福珍建筑工程有限公司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《正荣黄陂 073 项目土石方工程施工合同》之调价补偿补充协议二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本次调价补偿总金额为在主合同总价基础上上调工程价款含税暂定总价为：（大写:贰佰万元整）（人民币）￥：（小写: 2000000.00）元</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调价补偿款付款方式：按季度付款，每季度随主合同约定的工程款支付，即以当季度工程进度款为基数确定调价补偿款并随工程款同期支付，支付比例为100%。</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2</w:t>
            </w:r>
            <w:r>
              <w:rPr>
                <w:rFonts w:hint="eastAsia" w:ascii="Arial" w:hAnsi="Arial" w:cs="Arial"/>
                <w:color w:val="000000"/>
                <w:kern w:val="0"/>
                <w:sz w:val="20"/>
                <w:szCs w:val="20"/>
                <w:lang w:bidi="ar"/>
              </w:rPr>
              <w:t>,</w:t>
            </w:r>
            <w:r>
              <w:rPr>
                <w:rFonts w:ascii="Arial" w:hAnsi="Arial" w:cs="Arial"/>
                <w:color w:val="000000"/>
                <w:kern w:val="0"/>
                <w:sz w:val="20"/>
                <w:szCs w:val="20"/>
                <w:lang w:bidi="ar"/>
              </w:rPr>
              <w:t>000</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000.00 </w:t>
            </w:r>
          </w:p>
        </w:tc>
      </w:tr>
      <w:tr>
        <w:tblPrEx>
          <w:tblCellMar>
            <w:top w:w="0" w:type="dxa"/>
            <w:left w:w="0" w:type="dxa"/>
            <w:bottom w:w="0" w:type="dxa"/>
            <w:right w:w="0" w:type="dxa"/>
          </w:tblCellMar>
        </w:tblPrEx>
        <w:trPr>
          <w:cantSplit/>
          <w:trHeight w:val="1935"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3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上海东方雨虹防水工程有限公司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武汉正荣盘龙正荣府项目水工程施工承包合同</w:t>
            </w:r>
          </w:p>
        </w:tc>
        <w:tc>
          <w:tcPr>
            <w:tcW w:w="247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承包范围：按甲方所批准的施工进度计划完成本项目防水材料的供应及施工工程，工作内容包括但不限于深化设计、生产制作、供应、安装、成品保护、保养及维修等</w:t>
            </w:r>
          </w:p>
        </w:tc>
        <w:tc>
          <w:tcPr>
            <w:tcW w:w="3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1、本工程无预付款；2、乙方指定施工单位将当月付款申请</w:t>
            </w:r>
            <w:r>
              <w:rPr>
                <w:rFonts w:hint="eastAsia" w:ascii="Arial" w:hAnsi="Arial" w:cs="Arial"/>
                <w:color w:val="000000"/>
                <w:kern w:val="0"/>
                <w:sz w:val="20"/>
                <w:szCs w:val="20"/>
                <w:lang w:bidi="ar"/>
              </w:rPr>
              <w:t>发</w:t>
            </w:r>
            <w:r>
              <w:rPr>
                <w:rFonts w:ascii="Arial" w:hAnsi="Arial" w:cs="Arial"/>
                <w:color w:val="000000"/>
                <w:kern w:val="0"/>
                <w:sz w:val="20"/>
                <w:szCs w:val="20"/>
                <w:lang w:bidi="ar"/>
              </w:rPr>
              <w:t>送需方，经甲方、监理等各方校核实际已完工工程量后，甲方将在30个日历天内支付已完工程产值的75%；3</w:t>
            </w:r>
            <w:r>
              <w:rPr>
                <w:rFonts w:hint="eastAsia" w:ascii="Arial" w:hAnsi="Arial" w:cs="Arial"/>
                <w:color w:val="000000"/>
                <w:kern w:val="0"/>
                <w:sz w:val="20"/>
                <w:szCs w:val="20"/>
                <w:lang w:bidi="ar"/>
              </w:rPr>
              <w:t>、</w:t>
            </w:r>
            <w:r>
              <w:rPr>
                <w:rFonts w:ascii="Arial" w:hAnsi="Arial" w:cs="Arial"/>
                <w:color w:val="000000"/>
                <w:kern w:val="0"/>
                <w:sz w:val="20"/>
                <w:szCs w:val="20"/>
                <w:lang w:bidi="ar"/>
              </w:rPr>
              <w:t>防水工程竣工验收合格后30个日历天内，付至已完工程产值的90%；4</w:t>
            </w:r>
            <w:r>
              <w:rPr>
                <w:rFonts w:hint="eastAsia" w:ascii="Arial" w:hAnsi="Arial" w:cs="Arial"/>
                <w:color w:val="000000"/>
                <w:kern w:val="0"/>
                <w:sz w:val="20"/>
                <w:szCs w:val="20"/>
                <w:lang w:bidi="ar"/>
              </w:rPr>
              <w:t>、</w:t>
            </w:r>
            <w:r>
              <w:rPr>
                <w:rFonts w:ascii="Arial" w:hAnsi="Arial" w:cs="Arial"/>
                <w:color w:val="000000"/>
                <w:kern w:val="0"/>
                <w:sz w:val="20"/>
                <w:szCs w:val="20"/>
                <w:lang w:bidi="ar"/>
              </w:rPr>
              <w:t>防水工程全部竣工验收合格，结算手续办理完成后30个日历天内，付至结算价款的100%；</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8</w:t>
            </w:r>
            <w:r>
              <w:rPr>
                <w:rFonts w:hint="eastAsia" w:ascii="Arial" w:hAnsi="Arial" w:cs="Arial"/>
                <w:color w:val="000000"/>
                <w:kern w:val="0"/>
                <w:sz w:val="20"/>
                <w:szCs w:val="20"/>
                <w:lang w:bidi="ar"/>
              </w:rPr>
              <w:t>,</w:t>
            </w:r>
            <w:r>
              <w:rPr>
                <w:rFonts w:ascii="Arial" w:hAnsi="Arial" w:cs="Arial"/>
                <w:color w:val="000000"/>
                <w:kern w:val="0"/>
                <w:sz w:val="20"/>
                <w:szCs w:val="20"/>
                <w:lang w:bidi="ar"/>
              </w:rPr>
              <w:t>223</w:t>
            </w:r>
            <w:r>
              <w:rPr>
                <w:rFonts w:hint="eastAsia" w:ascii="Arial" w:hAnsi="Arial" w:cs="Arial"/>
                <w:color w:val="000000"/>
                <w:kern w:val="0"/>
                <w:sz w:val="20"/>
                <w:szCs w:val="20"/>
                <w:lang w:bidi="ar"/>
              </w:rPr>
              <w:t>,</w:t>
            </w:r>
            <w:r>
              <w:rPr>
                <w:rFonts w:ascii="Arial" w:hAnsi="Arial" w:cs="Arial"/>
                <w:color w:val="000000"/>
                <w:kern w:val="0"/>
                <w:sz w:val="20"/>
                <w:szCs w:val="20"/>
                <w:lang w:bidi="ar"/>
              </w:rPr>
              <w:t xml:space="preserve">639.76 </w:t>
            </w:r>
          </w:p>
        </w:tc>
      </w:tr>
    </w:tbl>
    <w:p>
      <w:pPr>
        <w:pStyle w:val="2"/>
        <w:spacing w:before="300" w:after="300" w:line="360" w:lineRule="exact"/>
        <w:jc w:val="left"/>
        <w:rPr>
          <w:rFonts w:ascii="Arial" w:hAnsi="Arial" w:cs="Arial"/>
          <w:sz w:val="24"/>
          <w:szCs w:val="24"/>
        </w:rPr>
      </w:pPr>
      <w:bookmarkStart w:id="39" w:name="_Toc11769"/>
      <w:r>
        <w:rPr>
          <w:rFonts w:ascii="Arial" w:hAnsi="Arial" w:cs="Arial"/>
          <w:sz w:val="24"/>
          <w:szCs w:val="24"/>
        </w:rPr>
        <w:t>6 项目销售情况汇总表</w:t>
      </w:r>
      <w:bookmarkEnd w:id="39"/>
    </w:p>
    <w:p>
      <w:pPr>
        <w:spacing w:line="360" w:lineRule="auto"/>
        <w:ind w:firstLine="420" w:firstLineChars="200"/>
        <w:rPr>
          <w:rFonts w:ascii="Arial" w:hAnsi="Arial" w:cs="Arial"/>
          <w:bCs/>
          <w:kern w:val="44"/>
          <w:szCs w:val="21"/>
        </w:rPr>
      </w:pPr>
      <w:r>
        <w:rPr>
          <w:rFonts w:ascii="Arial" w:hAnsi="Arial" w:cs="Arial"/>
          <w:bCs/>
          <w:kern w:val="44"/>
          <w:szCs w:val="21"/>
        </w:rPr>
        <w:t>截至2020年10月31日汉口正荣府项目销售汇总表：</w:t>
      </w:r>
    </w:p>
    <w:tbl>
      <w:tblPr>
        <w:tblStyle w:val="22"/>
        <w:tblW w:w="8954" w:type="dxa"/>
        <w:jc w:val="center"/>
        <w:tblLayout w:type="fixed"/>
        <w:tblCellMar>
          <w:top w:w="0" w:type="dxa"/>
          <w:left w:w="0" w:type="dxa"/>
          <w:bottom w:w="0" w:type="dxa"/>
          <w:right w:w="0" w:type="dxa"/>
        </w:tblCellMar>
      </w:tblPr>
      <w:tblGrid>
        <w:gridCol w:w="2362"/>
        <w:gridCol w:w="660"/>
        <w:gridCol w:w="2820"/>
        <w:gridCol w:w="3112"/>
      </w:tblGrid>
      <w:tr>
        <w:tblPrEx>
          <w:tblCellMar>
            <w:top w:w="0" w:type="dxa"/>
            <w:left w:w="0" w:type="dxa"/>
            <w:bottom w:w="0" w:type="dxa"/>
            <w:right w:w="0" w:type="dxa"/>
          </w:tblCellMar>
        </w:tblPrEx>
        <w:trPr>
          <w:trHeight w:val="455" w:hRule="atLeast"/>
          <w:jc w:val="center"/>
        </w:trPr>
        <w:tc>
          <w:tcPr>
            <w:tcW w:w="2362" w:type="dxa"/>
            <w:tcBorders>
              <w:top w:val="single" w:color="auto" w:sz="4" w:space="0"/>
              <w:left w:val="single" w:color="auto" w:sz="4" w:space="0"/>
              <w:bottom w:val="single" w:color="auto" w:sz="4"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w:t>
            </w:r>
          </w:p>
        </w:tc>
        <w:tc>
          <w:tcPr>
            <w:tcW w:w="66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单位</w:t>
            </w:r>
          </w:p>
        </w:tc>
        <w:tc>
          <w:tcPr>
            <w:tcW w:w="2820" w:type="dxa"/>
            <w:tcBorders>
              <w:top w:val="single" w:color="000000" w:sz="8" w:space="0"/>
              <w:left w:val="single" w:color="auto" w:sz="4"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累计</w:t>
            </w:r>
          </w:p>
        </w:tc>
        <w:tc>
          <w:tcPr>
            <w:tcW w:w="3112"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本月新增</w:t>
            </w:r>
          </w:p>
        </w:tc>
      </w:tr>
      <w:tr>
        <w:tblPrEx>
          <w:tblCellMar>
            <w:top w:w="0" w:type="dxa"/>
            <w:left w:w="0" w:type="dxa"/>
            <w:bottom w:w="0" w:type="dxa"/>
            <w:right w:w="0" w:type="dxa"/>
          </w:tblCellMar>
        </w:tblPrEx>
        <w:trPr>
          <w:trHeight w:val="440" w:hRule="atLeast"/>
          <w:jc w:val="center"/>
        </w:trPr>
        <w:tc>
          <w:tcPr>
            <w:tcW w:w="2362" w:type="dxa"/>
            <w:tcBorders>
              <w:top w:val="single" w:color="auto" w:sz="4"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660" w:type="dxa"/>
            <w:tcBorders>
              <w:top w:val="single" w:color="auto" w:sz="4"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540</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0</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197</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26</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187</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2</w:t>
            </w:r>
            <w:r>
              <w:rPr>
                <w:rFonts w:hint="eastAsia" w:ascii="Arial" w:hAnsi="Arial" w:cs="Arial"/>
                <w:color w:val="000000"/>
                <w:kern w:val="0"/>
                <w:sz w:val="22"/>
                <w:szCs w:val="22"/>
                <w:lang w:bidi="ar"/>
              </w:rPr>
              <w:t>4</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153</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21</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56,721.67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0.00 </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20,415.64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2</w:t>
            </w:r>
            <w:r>
              <w:rPr>
                <w:rFonts w:hint="eastAsia" w:ascii="Arial" w:hAnsi="Arial" w:cs="Arial"/>
                <w:color w:val="000000"/>
                <w:kern w:val="0"/>
                <w:sz w:val="22"/>
                <w:szCs w:val="22"/>
                <w:lang w:bidi="ar"/>
              </w:rPr>
              <w:t>,</w:t>
            </w:r>
            <w:r>
              <w:rPr>
                <w:rFonts w:ascii="Arial" w:hAnsi="Arial" w:cs="Arial"/>
                <w:color w:val="000000"/>
                <w:kern w:val="0"/>
                <w:sz w:val="22"/>
                <w:szCs w:val="22"/>
                <w:lang w:bidi="ar"/>
              </w:rPr>
              <w:t>512.11</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19,359.28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2,742.89 </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15,783.86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2,186.75 </w:t>
            </w:r>
          </w:p>
        </w:tc>
      </w:tr>
      <w:tr>
        <w:tblPrEx>
          <w:tblCellMar>
            <w:top w:w="0" w:type="dxa"/>
            <w:left w:w="0" w:type="dxa"/>
            <w:bottom w:w="0" w:type="dxa"/>
            <w:right w:w="0" w:type="dxa"/>
          </w:tblCellMar>
        </w:tblPrEx>
        <w:trPr>
          <w:trHeight w:val="440"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248,671,322.00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35,452,805.00 </w:t>
            </w:r>
          </w:p>
        </w:tc>
      </w:tr>
      <w:tr>
        <w:tblPrEx>
          <w:tblCellMar>
            <w:top w:w="0" w:type="dxa"/>
            <w:left w:w="0" w:type="dxa"/>
            <w:bottom w:w="0" w:type="dxa"/>
            <w:right w:w="0" w:type="dxa"/>
          </w:tblCellMar>
        </w:tblPrEx>
        <w:trPr>
          <w:trHeight w:val="455" w:hRule="atLeast"/>
          <w:jc w:val="center"/>
        </w:trPr>
        <w:tc>
          <w:tcPr>
            <w:tcW w:w="2362" w:type="dxa"/>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66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82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201,955,632.00 </w:t>
            </w:r>
          </w:p>
        </w:tc>
        <w:tc>
          <w:tcPr>
            <w:tcW w:w="3112"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2"/>
                <w:szCs w:val="22"/>
                <w:lang w:bidi="ar"/>
              </w:rPr>
              <w:t xml:space="preserve">29,048,374.00 </w:t>
            </w:r>
          </w:p>
        </w:tc>
      </w:tr>
    </w:tbl>
    <w:p>
      <w:pPr>
        <w:ind w:right="525" w:rightChars="250" w:firstLine="150" w:firstLineChars="100"/>
        <w:rPr>
          <w:rFonts w:ascii="Arial" w:hAnsi="Arial" w:cs="Arial"/>
          <w:sz w:val="15"/>
          <w:szCs w:val="15"/>
        </w:rPr>
      </w:pPr>
      <w:r>
        <w:rPr>
          <w:rFonts w:ascii="Arial" w:hAnsi="Arial" w:cs="Arial"/>
          <w:sz w:val="15"/>
          <w:szCs w:val="15"/>
        </w:rPr>
        <w:t>注：1、网签账户名、密码未移交共管，网签备案信息来源为项目公司提供的网签明细表；</w:t>
      </w:r>
    </w:p>
    <w:p>
      <w:pPr>
        <w:ind w:right="525" w:rightChars="250" w:firstLine="450" w:firstLineChars="300"/>
        <w:rPr>
          <w:rFonts w:ascii="Arial" w:hAnsi="Arial" w:cs="Arial"/>
          <w:sz w:val="15"/>
          <w:szCs w:val="15"/>
        </w:rPr>
      </w:pPr>
      <w:r>
        <w:rPr>
          <w:rFonts w:ascii="Arial" w:hAnsi="Arial" w:cs="Arial"/>
          <w:sz w:val="15"/>
          <w:szCs w:val="15"/>
        </w:rPr>
        <w:t>2、房源套数及房源面积为汉口项目已取得商品房预售证的总套数及总面积,回款总额为银行收到销售回款金额。</w:t>
      </w:r>
    </w:p>
    <w:p>
      <w:pPr>
        <w:ind w:right="525" w:rightChars="250" w:firstLine="450" w:firstLineChars="300"/>
        <w:rPr>
          <w:rFonts w:ascii="Arial" w:hAnsi="Arial" w:cs="Arial"/>
          <w:sz w:val="15"/>
          <w:szCs w:val="15"/>
        </w:rPr>
      </w:pPr>
      <w:r>
        <w:rPr>
          <w:rFonts w:hint="eastAsia" w:ascii="Arial" w:hAnsi="Arial" w:cs="Arial"/>
          <w:sz w:val="15"/>
          <w:szCs w:val="15"/>
        </w:rPr>
        <w:t>3、2套已认购客户于本月退认购，计入本月新增认购套数减少2套，本月实际新认购套数26套。</w:t>
      </w:r>
    </w:p>
    <w:p>
      <w:pPr>
        <w:pStyle w:val="2"/>
        <w:spacing w:before="300" w:after="300" w:line="360" w:lineRule="exact"/>
        <w:jc w:val="left"/>
        <w:rPr>
          <w:rFonts w:ascii="Arial" w:hAnsi="Arial" w:cs="Arial"/>
          <w:sz w:val="21"/>
          <w:szCs w:val="21"/>
        </w:rPr>
      </w:pPr>
      <w:bookmarkStart w:id="40" w:name="_Toc21806"/>
      <w:bookmarkStart w:id="41" w:name="_Toc535508642"/>
      <w:bookmarkStart w:id="42" w:name="_Toc535580029"/>
      <w:bookmarkStart w:id="43" w:name="_Toc535570756"/>
      <w:bookmarkStart w:id="44" w:name="_Toc535580097"/>
      <w:bookmarkStart w:id="45" w:name="_Toc532281663"/>
      <w:r>
        <w:rPr>
          <w:rFonts w:ascii="Arial" w:hAnsi="Arial" w:cs="Arial"/>
          <w:sz w:val="21"/>
          <w:szCs w:val="21"/>
        </w:rPr>
        <w:t>7 项目竞品分析</w:t>
      </w:r>
      <w:bookmarkEnd w:id="40"/>
    </w:p>
    <w:p>
      <w:pPr>
        <w:rPr>
          <w:rFonts w:ascii="Arial" w:hAnsi="Arial" w:cs="Arial"/>
          <w:szCs w:val="21"/>
        </w:rPr>
      </w:pPr>
      <w:r>
        <w:rPr>
          <w:rFonts w:ascii="Arial" w:hAnsi="Arial" w:cs="Arial"/>
        </w:rP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901690" cy="3530600"/>
                    </a:xfrm>
                    <a:prstGeom prst="rect">
                      <a:avLst/>
                    </a:prstGeom>
                    <a:noFill/>
                    <a:ln>
                      <a:noFill/>
                    </a:ln>
                  </pic:spPr>
                </pic:pic>
              </a:graphicData>
            </a:graphic>
          </wp:inline>
        </w:drawing>
      </w:r>
    </w:p>
    <w:p>
      <w:pPr>
        <w:rPr>
          <w:rFonts w:ascii="Arial" w:hAnsi="Arial" w:cs="Arial"/>
          <w:szCs w:val="21"/>
        </w:rPr>
      </w:pPr>
    </w:p>
    <w:p>
      <w:pPr>
        <w:spacing w:line="480" w:lineRule="auto"/>
        <w:ind w:firstLine="420" w:firstLineChars="20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増长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tbl>
      <w:tblPr>
        <w:tblStyle w:val="22"/>
        <w:tblW w:w="10328" w:type="dxa"/>
        <w:jc w:val="center"/>
        <w:tblLayout w:type="autofit"/>
        <w:tblCellMar>
          <w:top w:w="0" w:type="dxa"/>
          <w:left w:w="0" w:type="dxa"/>
          <w:bottom w:w="0" w:type="dxa"/>
          <w:right w:w="0" w:type="dxa"/>
        </w:tblCellMar>
      </w:tblPr>
      <w:tblGrid>
        <w:gridCol w:w="465"/>
        <w:gridCol w:w="1110"/>
        <w:gridCol w:w="3375"/>
        <w:gridCol w:w="855"/>
        <w:gridCol w:w="1035"/>
        <w:gridCol w:w="1080"/>
        <w:gridCol w:w="2408"/>
      </w:tblGrid>
      <w:tr>
        <w:tblPrEx>
          <w:tblCellMar>
            <w:top w:w="0" w:type="dxa"/>
            <w:left w:w="0" w:type="dxa"/>
            <w:bottom w:w="0" w:type="dxa"/>
            <w:right w:w="0" w:type="dxa"/>
          </w:tblCellMar>
        </w:tblPrEx>
        <w:trPr>
          <w:trHeight w:val="48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项目名称</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项目简介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主力在售</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面积分布（㎡）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2020年</w:t>
            </w:r>
            <w:r>
              <w:rPr>
                <w:rFonts w:hint="eastAsia" w:ascii="Arial" w:hAnsi="Arial" w:cs="Arial"/>
                <w:color w:val="000000"/>
                <w:kern w:val="0"/>
                <w:sz w:val="20"/>
                <w:szCs w:val="20"/>
                <w:lang w:bidi="ar"/>
              </w:rPr>
              <w:t>10</w:t>
            </w:r>
            <w:r>
              <w:rPr>
                <w:rFonts w:ascii="Arial" w:hAnsi="Arial" w:cs="Arial"/>
                <w:color w:val="000000"/>
                <w:kern w:val="0"/>
                <w:sz w:val="20"/>
                <w:szCs w:val="20"/>
                <w:lang w:bidi="ar"/>
              </w:rPr>
              <w:t>月</w:t>
            </w:r>
          </w:p>
        </w:tc>
        <w:tc>
          <w:tcPr>
            <w:tcW w:w="2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当前楼盘详情</w:t>
            </w:r>
          </w:p>
        </w:tc>
      </w:tr>
      <w:tr>
        <w:tblPrEx>
          <w:tblCellMar>
            <w:top w:w="0" w:type="dxa"/>
            <w:left w:w="0" w:type="dxa"/>
            <w:bottom w:w="0" w:type="dxa"/>
            <w:right w:w="0" w:type="dxa"/>
          </w:tblCellMar>
        </w:tblPrEx>
        <w:trPr>
          <w:trHeight w:val="102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鑫叶龙城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黄陂区盘龙城经济开发区盘龙大道41号附近，项目占地约73875.2平方米，建筑面积268067.59平方米，项目规划建设1690户。11栋高层住宅楼2栋商业楼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待定</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待定</w:t>
            </w:r>
          </w:p>
        </w:tc>
        <w:tc>
          <w:tcPr>
            <w:tcW w:w="2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总房源1809套，非住宅84套，住宅可售1690，当前已售0套</w:t>
            </w:r>
          </w:p>
        </w:tc>
      </w:tr>
      <w:tr>
        <w:tblPrEx>
          <w:tblCellMar>
            <w:top w:w="0" w:type="dxa"/>
            <w:left w:w="0" w:type="dxa"/>
            <w:bottom w:w="0" w:type="dxa"/>
            <w:right w:w="0" w:type="dxa"/>
          </w:tblCellMar>
        </w:tblPrEx>
        <w:trPr>
          <w:trHeight w:val="1005"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恒达盘龙湾梅苑</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黄陂区盘龙城盘龙大道与腾龙大道交汇处，项目占地约130000平方米，建筑面积约430000平方米，项目共规划29栋，10栋高层，19栋洋房</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毛坯高层洋房</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104-142㎡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均价10433元/㎡</w:t>
            </w:r>
          </w:p>
        </w:tc>
        <w:tc>
          <w:tcPr>
            <w:tcW w:w="2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总房源390套，非住宅84套，住宅可售10，当前已售295套</w:t>
            </w:r>
          </w:p>
        </w:tc>
      </w:tr>
      <w:tr>
        <w:tblPrEx>
          <w:tblCellMar>
            <w:top w:w="0" w:type="dxa"/>
            <w:left w:w="0" w:type="dxa"/>
            <w:bottom w:w="0" w:type="dxa"/>
            <w:right w:w="0" w:type="dxa"/>
          </w:tblCellMar>
        </w:tblPrEx>
        <w:trPr>
          <w:trHeight w:val="102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帝大·御璟城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武汉市黄陂区经济开发区巨龙大道196号，项目占地约280000平方米，建筑面积约1000000平方米，项目共规划54栋，13栋小高层，41栋高层</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精装高层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91-125㎡</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均价12664元/㎡</w:t>
            </w:r>
          </w:p>
        </w:tc>
        <w:tc>
          <w:tcPr>
            <w:tcW w:w="2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总房源1833套，非住宅176套，住宅可售1057，9月已售581套，当前已售639套，10月去化58套</w:t>
            </w:r>
          </w:p>
        </w:tc>
      </w:tr>
      <w:tr>
        <w:tblPrEx>
          <w:tblCellMar>
            <w:top w:w="0" w:type="dxa"/>
            <w:left w:w="0" w:type="dxa"/>
            <w:bottom w:w="0" w:type="dxa"/>
            <w:right w:w="0" w:type="dxa"/>
          </w:tblCellMar>
        </w:tblPrEx>
        <w:trPr>
          <w:trHeight w:val="1005"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天汇龙城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黄陂区盘龙城巨龙大道90号项目占地约130000平方米，建筑面积约430000平方米，项目共规划29栋，10栋高层，19栋洋房</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86-138㎡</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extAlignment w:val="center"/>
              <w:rPr>
                <w:rFonts w:ascii="Arial" w:hAnsi="Arial" w:cs="Arial"/>
                <w:color w:val="000000"/>
                <w:sz w:val="20"/>
                <w:szCs w:val="20"/>
              </w:rPr>
            </w:pPr>
            <w:r>
              <w:rPr>
                <w:rFonts w:ascii="Arial" w:hAnsi="Arial" w:cs="Arial"/>
                <w:color w:val="000000"/>
                <w:kern w:val="0"/>
                <w:sz w:val="20"/>
                <w:szCs w:val="20"/>
                <w:lang w:bidi="ar"/>
              </w:rPr>
              <w:t>均价10433元/㎡</w:t>
            </w:r>
          </w:p>
        </w:tc>
        <w:tc>
          <w:tcPr>
            <w:tcW w:w="2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总房源1186套，非住宅94套，住宅可售934，9月已售152套，当前已售157套，10月去化5套</w:t>
            </w:r>
          </w:p>
        </w:tc>
      </w:tr>
    </w:tbl>
    <w:p>
      <w:pPr>
        <w:ind w:right="525" w:rightChars="250" w:firstLine="150" w:firstLineChars="100"/>
        <w:rPr>
          <w:rFonts w:ascii="Arial" w:hAnsi="Arial" w:cs="Arial"/>
          <w:sz w:val="15"/>
          <w:szCs w:val="15"/>
        </w:rPr>
      </w:pPr>
      <w:r>
        <w:rPr>
          <w:rFonts w:ascii="Arial" w:hAnsi="Arial" w:cs="Arial"/>
          <w:sz w:val="15"/>
          <w:szCs w:val="15"/>
        </w:rPr>
        <w:t>注：以上数据来源武汉住房保障和房屋管理局</w:t>
      </w:r>
    </w:p>
    <w:p>
      <w:pPr>
        <w:pStyle w:val="2"/>
        <w:spacing w:before="300" w:after="300" w:line="360" w:lineRule="exact"/>
        <w:jc w:val="left"/>
        <w:rPr>
          <w:rFonts w:ascii="Arial" w:hAnsi="Arial" w:cs="Arial"/>
          <w:sz w:val="24"/>
          <w:szCs w:val="24"/>
        </w:rPr>
      </w:pPr>
      <w:bookmarkStart w:id="46" w:name="_Toc15698"/>
      <w:r>
        <w:rPr>
          <w:rFonts w:ascii="Arial" w:hAnsi="Arial" w:cs="Arial"/>
          <w:sz w:val="24"/>
          <w:szCs w:val="24"/>
        </w:rPr>
        <w:t>8 资金情况</w:t>
      </w:r>
      <w:bookmarkEnd w:id="36"/>
      <w:bookmarkEnd w:id="37"/>
      <w:bookmarkEnd w:id="41"/>
      <w:bookmarkEnd w:id="42"/>
      <w:bookmarkEnd w:id="43"/>
      <w:bookmarkEnd w:id="44"/>
      <w:bookmarkEnd w:id="45"/>
      <w:bookmarkEnd w:id="46"/>
    </w:p>
    <w:p>
      <w:pPr>
        <w:pStyle w:val="3"/>
        <w:spacing w:before="300" w:after="300" w:line="360" w:lineRule="exact"/>
        <w:rPr>
          <w:rFonts w:eastAsia="宋体" w:cs="Arial"/>
          <w:sz w:val="24"/>
          <w:szCs w:val="24"/>
        </w:rPr>
      </w:pPr>
      <w:bookmarkStart w:id="47" w:name="_Toc26956"/>
      <w:r>
        <w:rPr>
          <w:rFonts w:eastAsia="宋体" w:cs="Arial"/>
          <w:sz w:val="24"/>
          <w:szCs w:val="24"/>
        </w:rPr>
        <w:t>8.1 资金使用汇总表（2020年10月）</w:t>
      </w:r>
      <w:bookmarkEnd w:id="47"/>
    </w:p>
    <w:tbl>
      <w:tblPr>
        <w:tblStyle w:val="22"/>
        <w:tblW w:w="8030" w:type="dxa"/>
        <w:jc w:val="center"/>
        <w:tblLayout w:type="fixed"/>
        <w:tblCellMar>
          <w:top w:w="0" w:type="dxa"/>
          <w:left w:w="0" w:type="dxa"/>
          <w:bottom w:w="0" w:type="dxa"/>
          <w:right w:w="0" w:type="dxa"/>
        </w:tblCellMar>
      </w:tblPr>
      <w:tblGrid>
        <w:gridCol w:w="755"/>
        <w:gridCol w:w="1905"/>
        <w:gridCol w:w="2115"/>
        <w:gridCol w:w="1995"/>
        <w:gridCol w:w="1260"/>
      </w:tblGrid>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b/>
                <w:bCs/>
                <w:kern w:val="0"/>
                <w:sz w:val="18"/>
                <w:szCs w:val="18"/>
              </w:rPr>
            </w:pPr>
            <w:r>
              <w:rPr>
                <w:rFonts w:ascii="Arial" w:hAnsi="Arial" w:cs="Arial"/>
                <w:b/>
                <w:bCs/>
                <w:kern w:val="0"/>
                <w:sz w:val="18"/>
                <w:szCs w:val="18"/>
              </w:rPr>
              <w:t>序号</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b/>
                <w:bCs/>
                <w:kern w:val="0"/>
                <w:sz w:val="18"/>
                <w:szCs w:val="18"/>
              </w:rPr>
              <w:t>本月付款（元）</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sz w:val="18"/>
                <w:szCs w:val="18"/>
              </w:rPr>
            </w:pPr>
            <w:r>
              <w:rPr>
                <w:rFonts w:ascii="Arial" w:hAnsi="Arial" w:cs="Arial"/>
                <w:b/>
                <w:bCs/>
                <w:kern w:val="0"/>
                <w:sz w:val="18"/>
                <w:szCs w:val="18"/>
              </w:rPr>
              <w:t>入场后累计已支付（元）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b/>
                <w:bCs/>
                <w:kern w:val="0"/>
                <w:sz w:val="18"/>
                <w:szCs w:val="18"/>
              </w:rPr>
            </w:pPr>
            <w:r>
              <w:rPr>
                <w:rFonts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土地费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前期费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180,000.00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180,000.00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建筑工程费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52,932.00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7,693,143.41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开发间接费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财务费用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755.59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15,311,314.79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税费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2,223,198.69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5,923,872.61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管理费</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1,941,357.11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22,340,398.82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营销费用</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685,074.49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1,585,073.68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往来款</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20,000,000.00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588,904,500.00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收费退缴</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840,000.00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266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color w:val="000000"/>
                <w:kern w:val="0"/>
                <w:sz w:val="20"/>
                <w:szCs w:val="20"/>
                <w:lang w:bidi="ar"/>
              </w:rPr>
              <w:t xml:space="preserve">25,083,317.88 </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color w:val="000000"/>
                <w:kern w:val="0"/>
                <w:sz w:val="20"/>
                <w:szCs w:val="20"/>
                <w:lang w:bidi="ar"/>
              </w:rPr>
              <w:t xml:space="preserve">642,778,303.31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bl>
    <w:p>
      <w:pPr>
        <w:rPr>
          <w:rFonts w:ascii="Arial" w:hAnsi="Arial" w:cs="Arial"/>
        </w:rPr>
      </w:pPr>
    </w:p>
    <w:p>
      <w:pPr>
        <w:rPr>
          <w:rFonts w:ascii="Arial" w:hAnsi="Arial" w:cs="Arial"/>
        </w:rPr>
      </w:pPr>
    </w:p>
    <w:p>
      <w:pPr>
        <w:pStyle w:val="3"/>
        <w:spacing w:before="300" w:after="300" w:line="360" w:lineRule="exact"/>
        <w:rPr>
          <w:rFonts w:eastAsia="宋体" w:cs="Arial"/>
          <w:sz w:val="24"/>
          <w:szCs w:val="24"/>
        </w:rPr>
      </w:pPr>
      <w:bookmarkStart w:id="48" w:name="_Toc32542"/>
      <w:r>
        <w:rPr>
          <w:rFonts w:eastAsia="宋体" w:cs="Arial"/>
          <w:sz w:val="24"/>
          <w:szCs w:val="24"/>
        </w:rPr>
        <w:t>8.2资金流出情况</w:t>
      </w:r>
      <w:bookmarkEnd w:id="48"/>
    </w:p>
    <w:p>
      <w:pPr>
        <w:spacing w:line="480" w:lineRule="auto"/>
        <w:ind w:firstLine="420" w:firstLineChars="200"/>
        <w:rPr>
          <w:rFonts w:ascii="Arial" w:hAnsi="Arial" w:cs="Arial"/>
          <w:bCs/>
          <w:kern w:val="44"/>
          <w:szCs w:val="21"/>
        </w:rPr>
      </w:pPr>
      <w:r>
        <w:rPr>
          <w:rFonts w:ascii="Arial" w:hAnsi="Arial" w:cs="Arial"/>
          <w:bCs/>
          <w:kern w:val="44"/>
          <w:szCs w:val="21"/>
        </w:rPr>
        <w:t>2020年10月监管范围内资金流出额共计</w:t>
      </w:r>
      <w:r>
        <w:rPr>
          <w:rFonts w:ascii="Arial" w:hAnsi="Arial" w:cs="Arial"/>
          <w:color w:val="000000"/>
          <w:kern w:val="0"/>
          <w:sz w:val="20"/>
          <w:szCs w:val="20"/>
          <w:lang w:bidi="ar"/>
        </w:rPr>
        <w:t xml:space="preserve">25,083,317.88 </w:t>
      </w:r>
      <w:r>
        <w:rPr>
          <w:rFonts w:ascii="Arial" w:hAnsi="Arial" w:cs="Arial"/>
          <w:bCs/>
          <w:kern w:val="44"/>
          <w:szCs w:val="21"/>
        </w:rPr>
        <w:t>元。</w:t>
      </w:r>
    </w:p>
    <w:p>
      <w:pPr>
        <w:widowControl/>
        <w:textAlignment w:val="center"/>
        <w:rPr>
          <w:rFonts w:ascii="Arial" w:hAnsi="Arial" w:cs="Arial"/>
          <w:b/>
          <w:color w:val="000000"/>
          <w:szCs w:val="21"/>
        </w:rPr>
      </w:pPr>
    </w:p>
    <w:p>
      <w:pPr>
        <w:widowControl/>
        <w:jc w:val="center"/>
        <w:textAlignment w:val="center"/>
        <w:rPr>
          <w:rFonts w:ascii="Arial" w:hAnsi="Arial" w:cs="Arial"/>
          <w:b/>
          <w:color w:val="000000"/>
          <w:sz w:val="24"/>
        </w:rPr>
      </w:pPr>
      <w:r>
        <w:rPr>
          <w:rFonts w:ascii="Arial" w:hAnsi="Arial" w:cs="Arial"/>
          <w:b/>
          <w:color w:val="000000"/>
          <w:sz w:val="24"/>
        </w:rPr>
        <w:t>2020年10月资金流出明细表</w:t>
      </w:r>
    </w:p>
    <w:tbl>
      <w:tblPr>
        <w:tblStyle w:val="22"/>
        <w:tblW w:w="9828" w:type="dxa"/>
        <w:jc w:val="center"/>
        <w:tblLayout w:type="fixed"/>
        <w:tblCellMar>
          <w:top w:w="0" w:type="dxa"/>
          <w:left w:w="0" w:type="dxa"/>
          <w:bottom w:w="0" w:type="dxa"/>
          <w:right w:w="0" w:type="dxa"/>
        </w:tblCellMar>
      </w:tblPr>
      <w:tblGrid>
        <w:gridCol w:w="960"/>
        <w:gridCol w:w="1350"/>
        <w:gridCol w:w="2270"/>
        <w:gridCol w:w="1491"/>
        <w:gridCol w:w="1382"/>
        <w:gridCol w:w="1332"/>
        <w:gridCol w:w="1043"/>
      </w:tblGrid>
      <w:tr>
        <w:tblPrEx>
          <w:tblCellMar>
            <w:top w:w="0" w:type="dxa"/>
            <w:left w:w="0" w:type="dxa"/>
            <w:bottom w:w="0" w:type="dxa"/>
            <w:right w:w="0" w:type="dxa"/>
          </w:tblCellMar>
        </w:tblPrEx>
        <w:trPr>
          <w:trHeight w:val="283" w:hRule="atLeast"/>
          <w:tblHeader/>
          <w:jc w:val="center"/>
        </w:trPr>
        <w:tc>
          <w:tcPr>
            <w:tcW w:w="96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35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支付时间</w:t>
            </w:r>
          </w:p>
        </w:tc>
        <w:tc>
          <w:tcPr>
            <w:tcW w:w="227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收款方</w:t>
            </w:r>
          </w:p>
        </w:tc>
        <w:tc>
          <w:tcPr>
            <w:tcW w:w="149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38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金额（元）</w:t>
            </w:r>
          </w:p>
        </w:tc>
        <w:tc>
          <w:tcPr>
            <w:tcW w:w="133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出款行</w:t>
            </w:r>
          </w:p>
        </w:tc>
        <w:tc>
          <w:tcPr>
            <w:tcW w:w="1043"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用款类型</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平安1287营业部</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武汉盘龙城税务局</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90,186.99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2.79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26.45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2020-10-10</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845,143.25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李宁</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劳动补偿金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61,343.05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国网湖北省电力有限公司武汉供电公司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29,417.67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李睿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18,823.00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27,180.00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上海中智项目外包咨询服务有限公司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外包服务费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13,909.25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银联商务股份有限公司湖北分公司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缴税</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135,967.90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缴税</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613,051.33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缴税</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76,725.09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缴税</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17,546.20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缴税</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1,289,721.18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中秋采购</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5,814.40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下午茶</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4,082.46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邓翔</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18,968.57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阮文静</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员工福利费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1,799.00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1,890.00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刘晓</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2,468.00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武汉诚信成商贸有限公司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64,077.20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邓翔</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17,325.00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空调费用</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5,699.00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殷婷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差旅费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1,558.00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殷婷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差旅费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沈国烯</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退房款</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赵强</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夏天慰问</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1,488.00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王敏</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冲刺慰问</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4,656.00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张江生</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退房款</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133,402.00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2020-10-25</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108.50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2020-10-25</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309.85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10,167.00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差旅费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1,050.00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殷婷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公务借支</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王敏</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下午茶费用报销</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11,728.05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28,922.37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刘旖莎</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4,349.70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武汉豪翼盛世图文广告有限公司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24,361.00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95"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同道精英（天津）信息技术有限公司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14,800.00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阮文静</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招聘经费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694.70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王敏</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中秋慰问费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4,656.00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王诗璐</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3,937.00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17,636.00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17,628.00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罗玉婷</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19,962.03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武汉百花林园林景观工程有限公司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绿植采购款</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4,018.00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武汉领航时代商务发展有限公司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渠道派单费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77,635.00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中国邮政速递物流股份有限公司武汉市分公司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快递费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95"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澜景（武汉）文化传播有限公司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49,500.00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武汉查美策划有限公司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67,383.50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95"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大好年华商业管理（武汉）有限公司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武汉至上广告有限公司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149,695.00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武汉众视云传媒科技有限公司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33,000.00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武汉市雅琅广告有限公司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47,500.00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武汉欣怡腾广告有限公司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武汉博瑞银福广告有限公司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98,800.00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上海和视品牌管理有限公司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深圳市弘绅文化传播有限公司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甘露</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15,900.00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武汉德美印刷有限公司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印刷费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74,325.75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新余友仁人力资源有限公司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外包服务费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78,794.99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武汉顶秀仪景物业管理有限公司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案场消杀费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武汉市钰和科技有限公司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物业物资采购费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6,114.23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电话费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1,683.91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双节认购礼</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19,284.00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认购礼补给</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11,091.00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办公用品费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787.60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物业物资补给费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518.00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销售线礼品采购费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13,850.00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物业物资采购费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10,238.50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办公用品费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2,948.45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武汉舍鱼环境与健康检测评价有限公司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技术服务费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180,000.00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前期费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上海三菱电梯有限公司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电梯设备供应费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52,932.00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武汉黄陂凯迪水务有限公司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水费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14,049.00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邱海燕</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9,691.70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上海携程宏睿国际旅行社有限公司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交通住宿费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30,139.00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武汉百花林园林景观工程有限公司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绿植采购费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4,018.00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武汉仙莉邦商贸有限公司</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工装采购费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11,610.00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4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武汉市江岸区立勇纯净水经营部</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桶装水采购费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黄倩玉</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招待费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1,500.00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吕吉蒙</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9,468.13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湛勇</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9,841.88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刘振</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11,528.11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喻凯能</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11,968.87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雷连爱</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9,634.35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中国平安银行</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8.00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tblPrEx>
          <w:tblCellMar>
            <w:top w:w="0" w:type="dxa"/>
            <w:left w:w="0" w:type="dxa"/>
            <w:bottom w:w="0" w:type="dxa"/>
            <w:right w:w="0" w:type="dxa"/>
          </w:tblCellMar>
        </w:tblPrEx>
        <w:trPr>
          <w:trHeight w:val="2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荆靖</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11,788.93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平安1287</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tblPrEx>
          <w:tblCellMar>
            <w:top w:w="0" w:type="dxa"/>
            <w:left w:w="0" w:type="dxa"/>
            <w:bottom w:w="0" w:type="dxa"/>
            <w:right w:w="0" w:type="dxa"/>
          </w:tblCellMar>
        </w:tblPrEx>
        <w:trPr>
          <w:trHeight w:val="270" w:hRule="atLeast"/>
          <w:jc w:val="center"/>
        </w:trPr>
        <w:tc>
          <w:tcPr>
            <w:tcW w:w="60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13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25,083,317.88 </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20"/>
                <w:szCs w:val="20"/>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20"/>
                <w:szCs w:val="20"/>
              </w:rPr>
            </w:pPr>
          </w:p>
        </w:tc>
      </w:tr>
    </w:tbl>
    <w:p>
      <w:pPr>
        <w:widowControl/>
        <w:jc w:val="center"/>
        <w:textAlignment w:val="center"/>
        <w:rPr>
          <w:rFonts w:ascii="Arial" w:hAnsi="Arial" w:cs="Arial"/>
          <w:b/>
          <w:color w:val="000000"/>
          <w:sz w:val="24"/>
        </w:rPr>
      </w:pPr>
    </w:p>
    <w:p>
      <w:pPr>
        <w:widowControl/>
        <w:jc w:val="center"/>
        <w:textAlignment w:val="center"/>
        <w:rPr>
          <w:rFonts w:ascii="Arial" w:hAnsi="Arial" w:cs="Arial"/>
          <w:b/>
          <w:color w:val="000000"/>
          <w:sz w:val="24"/>
        </w:rPr>
      </w:pPr>
    </w:p>
    <w:p>
      <w:pPr>
        <w:widowControl/>
        <w:jc w:val="center"/>
        <w:textAlignment w:val="center"/>
        <w:rPr>
          <w:rFonts w:ascii="Arial" w:hAnsi="Arial" w:cs="Arial"/>
          <w:b/>
          <w:color w:val="000000"/>
          <w:sz w:val="24"/>
        </w:rPr>
      </w:pPr>
    </w:p>
    <w:p>
      <w:pPr>
        <w:widowControl/>
        <w:ind w:firstLine="2891" w:firstLineChars="1200"/>
        <w:textAlignment w:val="center"/>
        <w:rPr>
          <w:rFonts w:ascii="Arial" w:hAnsi="Arial" w:cs="Arial"/>
          <w:b/>
          <w:color w:val="000000"/>
          <w:sz w:val="24"/>
        </w:rPr>
      </w:pPr>
      <w:r>
        <w:rPr>
          <w:rFonts w:ascii="Arial" w:hAnsi="Arial" w:cs="Arial"/>
          <w:b/>
          <w:color w:val="000000"/>
          <w:sz w:val="24"/>
        </w:rPr>
        <w:t>2020年10月商票支付表</w:t>
      </w:r>
    </w:p>
    <w:p>
      <w:pPr>
        <w:widowControl/>
        <w:jc w:val="center"/>
        <w:textAlignment w:val="center"/>
        <w:rPr>
          <w:rFonts w:ascii="Arial" w:hAnsi="Arial" w:cs="Arial"/>
          <w:b/>
          <w:color w:val="000000"/>
          <w:sz w:val="24"/>
        </w:rPr>
      </w:pPr>
    </w:p>
    <w:tbl>
      <w:tblPr>
        <w:tblStyle w:val="2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143"/>
        <w:gridCol w:w="1287"/>
        <w:gridCol w:w="1208"/>
        <w:gridCol w:w="1110"/>
        <w:gridCol w:w="135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1862" w:type="dxa"/>
            <w:shd w:val="clear" w:color="auto" w:fill="auto"/>
            <w:noWrap/>
            <w:vAlign w:val="center"/>
          </w:tcPr>
          <w:p>
            <w:pPr>
              <w:jc w:val="center"/>
              <w:rPr>
                <w:rFonts w:ascii="Arial" w:hAnsi="Arial" w:cs="Arial"/>
                <w:b/>
                <w:bCs/>
                <w:sz w:val="18"/>
                <w:szCs w:val="18"/>
              </w:rPr>
            </w:pPr>
            <w:r>
              <w:rPr>
                <w:rFonts w:ascii="Arial" w:hAnsi="Arial" w:cs="Arial"/>
                <w:b/>
                <w:bCs/>
                <w:sz w:val="18"/>
                <w:szCs w:val="18"/>
              </w:rPr>
              <w:t>票据号码</w:t>
            </w:r>
          </w:p>
        </w:tc>
        <w:tc>
          <w:tcPr>
            <w:tcW w:w="1143" w:type="dxa"/>
            <w:shd w:val="clear" w:color="auto" w:fill="auto"/>
            <w:noWrap/>
            <w:vAlign w:val="center"/>
          </w:tcPr>
          <w:p>
            <w:pPr>
              <w:jc w:val="center"/>
              <w:rPr>
                <w:rFonts w:ascii="Arial" w:hAnsi="Arial" w:cs="Arial"/>
                <w:b/>
                <w:bCs/>
                <w:sz w:val="18"/>
                <w:szCs w:val="18"/>
              </w:rPr>
            </w:pPr>
            <w:r>
              <w:rPr>
                <w:rFonts w:ascii="Arial" w:hAnsi="Arial" w:cs="Arial"/>
                <w:b/>
                <w:bCs/>
                <w:sz w:val="18"/>
                <w:szCs w:val="18"/>
              </w:rPr>
              <w:t>票据金额（元）</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出票日期</w:t>
            </w:r>
          </w:p>
        </w:tc>
        <w:tc>
          <w:tcPr>
            <w:tcW w:w="1208" w:type="dxa"/>
            <w:shd w:val="clear" w:color="auto" w:fill="auto"/>
            <w:vAlign w:val="center"/>
          </w:tcPr>
          <w:p>
            <w:pPr>
              <w:jc w:val="center"/>
              <w:rPr>
                <w:rFonts w:ascii="Arial" w:hAnsi="Arial" w:cs="Arial"/>
                <w:b/>
                <w:bCs/>
                <w:sz w:val="18"/>
                <w:szCs w:val="18"/>
              </w:rPr>
            </w:pPr>
            <w:r>
              <w:rPr>
                <w:rFonts w:ascii="Arial" w:hAnsi="Arial" w:cs="Arial"/>
                <w:b/>
                <w:bCs/>
                <w:sz w:val="18"/>
                <w:szCs w:val="18"/>
              </w:rPr>
              <w:t>到期日期</w:t>
            </w:r>
          </w:p>
        </w:tc>
        <w:tc>
          <w:tcPr>
            <w:tcW w:w="1110" w:type="dxa"/>
            <w:shd w:val="clear" w:color="auto" w:fill="auto"/>
            <w:noWrap/>
            <w:vAlign w:val="center"/>
          </w:tcPr>
          <w:p>
            <w:pPr>
              <w:jc w:val="center"/>
              <w:rPr>
                <w:rFonts w:ascii="Arial" w:hAnsi="Arial" w:cs="Arial"/>
                <w:b/>
                <w:bCs/>
                <w:sz w:val="18"/>
                <w:szCs w:val="18"/>
              </w:rPr>
            </w:pPr>
            <w:r>
              <w:rPr>
                <w:rFonts w:ascii="Arial" w:hAnsi="Arial" w:cs="Arial"/>
                <w:b/>
                <w:bCs/>
                <w:sz w:val="18"/>
                <w:szCs w:val="18"/>
              </w:rPr>
              <w:t>业务日期</w:t>
            </w:r>
          </w:p>
        </w:tc>
        <w:tc>
          <w:tcPr>
            <w:tcW w:w="1357" w:type="dxa"/>
            <w:shd w:val="clear" w:color="auto" w:fill="auto"/>
            <w:noWrap/>
            <w:vAlign w:val="center"/>
          </w:tcPr>
          <w:p>
            <w:pPr>
              <w:jc w:val="center"/>
              <w:rPr>
                <w:rFonts w:ascii="Arial" w:hAnsi="Arial" w:cs="Arial"/>
                <w:b/>
                <w:bCs/>
                <w:sz w:val="18"/>
                <w:szCs w:val="18"/>
              </w:rPr>
            </w:pPr>
            <w:r>
              <w:rPr>
                <w:rFonts w:ascii="Arial" w:hAnsi="Arial" w:cs="Arial"/>
                <w:b/>
                <w:bCs/>
                <w:sz w:val="18"/>
                <w:szCs w:val="18"/>
              </w:rPr>
              <w:t>出票人名称</w:t>
            </w:r>
          </w:p>
        </w:tc>
        <w:tc>
          <w:tcPr>
            <w:tcW w:w="1547" w:type="dxa"/>
            <w:shd w:val="clear" w:color="auto" w:fill="auto"/>
            <w:noWrap/>
            <w:vAlign w:val="center"/>
          </w:tcPr>
          <w:p>
            <w:pPr>
              <w:jc w:val="center"/>
              <w:rPr>
                <w:rFonts w:ascii="Arial" w:hAnsi="Arial" w:cs="Arial"/>
                <w:b/>
                <w:bCs/>
                <w:sz w:val="18"/>
                <w:szCs w:val="18"/>
              </w:rPr>
            </w:pPr>
            <w:r>
              <w:rPr>
                <w:rFonts w:ascii="Arial" w:hAnsi="Arial" w:cs="Arial"/>
                <w:b/>
                <w:bCs/>
                <w:sz w:val="18"/>
                <w:szCs w:val="18"/>
              </w:rPr>
              <w:t>收款人名称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862"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210252100040920201029758094363</w:t>
            </w:r>
          </w:p>
        </w:tc>
        <w:tc>
          <w:tcPr>
            <w:tcW w:w="1143" w:type="dxa"/>
            <w:shd w:val="clear" w:color="auto" w:fill="auto"/>
            <w:noWrap/>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34083.8</w:t>
            </w:r>
          </w:p>
        </w:tc>
        <w:tc>
          <w:tcPr>
            <w:tcW w:w="1287"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2020-10-29</w:t>
            </w:r>
          </w:p>
        </w:tc>
        <w:tc>
          <w:tcPr>
            <w:tcW w:w="1208"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2021-4-28</w:t>
            </w:r>
          </w:p>
        </w:tc>
        <w:tc>
          <w:tcPr>
            <w:tcW w:w="1110"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2020-9-28</w:t>
            </w:r>
          </w:p>
        </w:tc>
        <w:tc>
          <w:tcPr>
            <w:tcW w:w="1357"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547" w:type="dxa"/>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r>
    </w:tbl>
    <w:p>
      <w:pPr>
        <w:widowControl/>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textAlignment w:val="center"/>
        <w:rPr>
          <w:rFonts w:ascii="Arial" w:hAnsi="Arial" w:cs="Arial"/>
          <w:b/>
          <w:color w:val="000000"/>
          <w:sz w:val="24"/>
        </w:rPr>
      </w:pPr>
    </w:p>
    <w:p>
      <w:pPr>
        <w:widowControl/>
        <w:ind w:firstLine="2891" w:firstLineChars="1200"/>
        <w:textAlignment w:val="center"/>
        <w:rPr>
          <w:rFonts w:ascii="Arial" w:hAnsi="Arial" w:cs="Arial"/>
          <w:b/>
          <w:color w:val="000000"/>
          <w:sz w:val="24"/>
        </w:rPr>
      </w:pPr>
      <w:r>
        <w:rPr>
          <w:rFonts w:ascii="Arial" w:hAnsi="Arial" w:cs="Arial"/>
          <w:b/>
          <w:color w:val="000000"/>
          <w:sz w:val="24"/>
        </w:rPr>
        <w:t>2020年10月账内互转表</w:t>
      </w:r>
    </w:p>
    <w:p>
      <w:pPr>
        <w:widowControl/>
        <w:textAlignment w:val="center"/>
        <w:rPr>
          <w:rFonts w:ascii="Arial" w:hAnsi="Arial" w:cs="Arial"/>
          <w:bCs/>
          <w:color w:val="000000"/>
          <w:sz w:val="20"/>
          <w:szCs w:val="20"/>
        </w:rPr>
      </w:pPr>
    </w:p>
    <w:tbl>
      <w:tblPr>
        <w:tblStyle w:val="22"/>
        <w:tblW w:w="8883" w:type="dxa"/>
        <w:jc w:val="center"/>
        <w:tblLayout w:type="fixed"/>
        <w:tblCellMar>
          <w:top w:w="0" w:type="dxa"/>
          <w:left w:w="0" w:type="dxa"/>
          <w:bottom w:w="0" w:type="dxa"/>
          <w:right w:w="0" w:type="dxa"/>
        </w:tblCellMar>
      </w:tblPr>
      <w:tblGrid>
        <w:gridCol w:w="1037"/>
        <w:gridCol w:w="1605"/>
        <w:gridCol w:w="1485"/>
        <w:gridCol w:w="1590"/>
        <w:gridCol w:w="1770"/>
        <w:gridCol w:w="1396"/>
      </w:tblGrid>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20"/>
                <w:szCs w:val="20"/>
                <w:lang w:bidi="ar"/>
              </w:rPr>
              <w:t>项目公司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eastAsia="Batang" w:cs="Arial"/>
                <w:b/>
                <w:color w:val="000000"/>
                <w:sz w:val="18"/>
                <w:szCs w:val="18"/>
              </w:rPr>
            </w:pPr>
            <w:r>
              <w:rPr>
                <w:rFonts w:ascii="Arial" w:hAnsi="Arial" w:eastAsia="Batang" w:cs="Arial"/>
                <w:b/>
                <w:color w:val="000000"/>
                <w:kern w:val="0"/>
                <w:sz w:val="20"/>
                <w:szCs w:val="20"/>
                <w:lang w:bidi="ar"/>
              </w:rPr>
              <w:t>事由</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20"/>
                <w:szCs w:val="20"/>
                <w:lang w:bidi="ar"/>
              </w:rPr>
              <w:t>付款行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20"/>
                <w:szCs w:val="20"/>
                <w:lang w:bidi="ar"/>
              </w:rPr>
              <w:t>收款行</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eastAsia="Batang" w:cs="Arial"/>
                <w:b/>
                <w:color w:val="000000"/>
                <w:sz w:val="18"/>
                <w:szCs w:val="18"/>
              </w:rPr>
            </w:pPr>
            <w:r>
              <w:rPr>
                <w:rFonts w:ascii="Arial" w:hAnsi="Arial" w:eastAsia="Batang" w:cs="Arial"/>
                <w:b/>
                <w:color w:val="000000"/>
                <w:kern w:val="0"/>
                <w:sz w:val="20"/>
                <w:szCs w:val="20"/>
                <w:lang w:bidi="ar"/>
              </w:rPr>
              <w:t>金</w:t>
            </w:r>
            <w:r>
              <w:rPr>
                <w:rFonts w:ascii="Arial" w:hAnsi="Arial" w:cs="Arial"/>
                <w:b/>
                <w:color w:val="000000"/>
                <w:kern w:val="0"/>
                <w:sz w:val="20"/>
                <w:szCs w:val="20"/>
                <w:lang w:bidi="ar"/>
              </w:rPr>
              <w:t>额</w:t>
            </w:r>
            <w:r>
              <w:rPr>
                <w:rFonts w:ascii="Arial" w:hAnsi="Arial" w:eastAsia="Batang" w:cs="Arial"/>
                <w:b/>
                <w:color w:val="000000"/>
                <w:kern w:val="0"/>
                <w:sz w:val="20"/>
                <w:szCs w:val="20"/>
                <w:lang w:bidi="ar"/>
              </w:rPr>
              <w:t>（元）</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eastAsia="Batang" w:cs="Arial"/>
                <w:b/>
                <w:color w:val="000000"/>
                <w:sz w:val="18"/>
                <w:szCs w:val="18"/>
              </w:rPr>
            </w:pPr>
            <w:r>
              <w:rPr>
                <w:rFonts w:ascii="Arial" w:hAnsi="Arial" w:eastAsia="Batang" w:cs="Arial"/>
                <w:b/>
                <w:color w:val="000000"/>
                <w:kern w:val="0"/>
                <w:sz w:val="20"/>
                <w:szCs w:val="20"/>
                <w:lang w:bidi="ar"/>
              </w:rPr>
              <w:t>申</w:t>
            </w:r>
            <w:r>
              <w:rPr>
                <w:rFonts w:ascii="Arial" w:hAnsi="Arial" w:cs="Arial"/>
                <w:b/>
                <w:color w:val="000000"/>
                <w:kern w:val="0"/>
                <w:sz w:val="20"/>
                <w:szCs w:val="20"/>
                <w:lang w:bidi="ar"/>
              </w:rPr>
              <w:t>请</w:t>
            </w:r>
            <w:r>
              <w:rPr>
                <w:rFonts w:ascii="Arial" w:hAnsi="Arial" w:eastAsia="Batang" w:cs="Arial"/>
                <w:b/>
                <w:color w:val="000000"/>
                <w:kern w:val="0"/>
                <w:sz w:val="20"/>
                <w:szCs w:val="20"/>
                <w:lang w:bidi="ar"/>
              </w:rPr>
              <w:t>日期</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转监管户</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平安监管0058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2,677,045.00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2020-10-20</w:t>
            </w:r>
          </w:p>
        </w:tc>
      </w:tr>
      <w:tr>
        <w:tblPrEx>
          <w:tblCellMar>
            <w:top w:w="0" w:type="dxa"/>
            <w:left w:w="0" w:type="dxa"/>
            <w:bottom w:w="0" w:type="dxa"/>
            <w:right w:w="0" w:type="dxa"/>
          </w:tblCellMar>
        </w:tblPrEx>
        <w:trPr>
          <w:trHeight w:val="44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提取小额账户资金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工商银行0232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平安1287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1,900,000.00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2020-10-21</w:t>
            </w:r>
          </w:p>
        </w:tc>
      </w:tr>
      <w:tr>
        <w:tblPrEx>
          <w:tblCellMar>
            <w:top w:w="0" w:type="dxa"/>
            <w:left w:w="0" w:type="dxa"/>
            <w:bottom w:w="0" w:type="dxa"/>
            <w:right w:w="0" w:type="dxa"/>
          </w:tblCellMar>
        </w:tblPrEx>
        <w:trPr>
          <w:trHeight w:val="440" w:hRule="atLeast"/>
          <w:jc w:val="center"/>
        </w:trPr>
        <w:tc>
          <w:tcPr>
            <w:tcW w:w="57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合计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4,577,045.00 </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18"/>
                <w:szCs w:val="18"/>
              </w:rPr>
            </w:pPr>
          </w:p>
        </w:tc>
      </w:tr>
    </w:tbl>
    <w:p>
      <w:pPr>
        <w:widowControl/>
        <w:textAlignment w:val="center"/>
        <w:rPr>
          <w:rFonts w:ascii="Arial" w:hAnsi="Arial" w:cs="Arial"/>
          <w:bCs/>
          <w:color w:val="000000"/>
          <w:sz w:val="20"/>
          <w:szCs w:val="20"/>
        </w:rPr>
      </w:pPr>
    </w:p>
    <w:p>
      <w:pPr>
        <w:pStyle w:val="3"/>
        <w:spacing w:before="300" w:after="300" w:line="360" w:lineRule="exact"/>
        <w:rPr>
          <w:rFonts w:eastAsia="宋体" w:cs="Arial"/>
          <w:sz w:val="24"/>
          <w:szCs w:val="24"/>
        </w:rPr>
      </w:pPr>
      <w:bookmarkStart w:id="49" w:name="_Toc23446"/>
      <w:r>
        <w:rPr>
          <w:rFonts w:eastAsia="宋体" w:cs="Arial"/>
          <w:sz w:val="24"/>
          <w:szCs w:val="24"/>
        </w:rPr>
        <w:t>8.3 资金流入情况</w:t>
      </w:r>
      <w:bookmarkEnd w:id="49"/>
    </w:p>
    <w:p>
      <w:pPr>
        <w:spacing w:line="480" w:lineRule="auto"/>
        <w:ind w:firstLine="420" w:firstLineChars="200"/>
        <w:rPr>
          <w:rFonts w:ascii="Arial" w:hAnsi="Arial" w:cs="Arial"/>
          <w:bCs/>
          <w:kern w:val="44"/>
          <w:szCs w:val="21"/>
        </w:rPr>
      </w:pPr>
      <w:r>
        <w:rPr>
          <w:rFonts w:ascii="Arial" w:hAnsi="Arial" w:cs="Arial"/>
          <w:bCs/>
          <w:kern w:val="44"/>
          <w:szCs w:val="21"/>
        </w:rPr>
        <w:t>2020年10月监管范围内各类资金流入共计39，453,030.00元，其中销售回款流入</w:t>
      </w:r>
      <w:r>
        <w:rPr>
          <w:rFonts w:ascii="Arial" w:hAnsi="Arial" w:cs="Arial"/>
          <w:color w:val="000000"/>
          <w:kern w:val="0"/>
          <w:sz w:val="20"/>
          <w:szCs w:val="20"/>
          <w:lang w:bidi="ar"/>
        </w:rPr>
        <w:t>29,048,374.00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color w:val="000000"/>
          <w:kern w:val="0"/>
          <w:sz w:val="20"/>
          <w:szCs w:val="20"/>
          <w:lang w:bidi="ar"/>
        </w:rPr>
        <w:t>10,404,656.00</w:t>
      </w:r>
      <w:r>
        <w:rPr>
          <w:rFonts w:ascii="Arial" w:hAnsi="Arial" w:cs="Arial"/>
          <w:bCs/>
          <w:kern w:val="44"/>
          <w:szCs w:val="21"/>
        </w:rPr>
        <w:t>元。</w:t>
      </w:r>
    </w:p>
    <w:p>
      <w:pPr>
        <w:pStyle w:val="4"/>
        <w:spacing w:before="300" w:after="300" w:line="360" w:lineRule="exact"/>
        <w:rPr>
          <w:rFonts w:ascii="Arial" w:hAnsi="Arial" w:cs="Arial"/>
          <w:sz w:val="24"/>
          <w:szCs w:val="24"/>
        </w:rPr>
      </w:pPr>
      <w:bookmarkStart w:id="50" w:name="_Toc27350"/>
      <w:r>
        <w:rPr>
          <w:rFonts w:hint="eastAsia" w:cs="Arial"/>
          <w:sz w:val="24"/>
          <w:szCs w:val="24"/>
        </w:rPr>
        <w:t>8</w:t>
      </w:r>
      <w:r>
        <w:rPr>
          <w:rFonts w:ascii="Arial" w:hAnsi="Arial" w:cs="Arial"/>
          <w:sz w:val="24"/>
          <w:szCs w:val="24"/>
        </w:rPr>
        <w:t>.3.1其他资金流入明细</w:t>
      </w:r>
      <w:bookmarkEnd w:id="50"/>
    </w:p>
    <w:p>
      <w:pPr>
        <w:widowControl/>
        <w:jc w:val="center"/>
        <w:textAlignment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10</w:t>
      </w:r>
      <w:r>
        <w:rPr>
          <w:rFonts w:ascii="Arial" w:hAnsi="Arial" w:cs="Arial"/>
          <w:b/>
          <w:color w:val="000000"/>
          <w:sz w:val="24"/>
        </w:rPr>
        <w:t>月资金流入明细表</w:t>
      </w:r>
    </w:p>
    <w:p>
      <w:pPr>
        <w:widowControl/>
        <w:jc w:val="center"/>
        <w:textAlignment w:val="center"/>
        <w:rPr>
          <w:rFonts w:ascii="Arial" w:hAnsi="Arial" w:cs="Arial"/>
          <w:b/>
          <w:color w:val="000000"/>
          <w:sz w:val="24"/>
        </w:rPr>
      </w:pPr>
    </w:p>
    <w:tbl>
      <w:tblPr>
        <w:tblStyle w:val="22"/>
        <w:tblW w:w="8385" w:type="dxa"/>
        <w:tblInd w:w="0" w:type="dxa"/>
        <w:tblLayout w:type="autofit"/>
        <w:tblCellMar>
          <w:top w:w="0" w:type="dxa"/>
          <w:left w:w="0" w:type="dxa"/>
          <w:bottom w:w="0" w:type="dxa"/>
          <w:right w:w="0" w:type="dxa"/>
        </w:tblCellMar>
      </w:tblPr>
      <w:tblGrid>
        <w:gridCol w:w="915"/>
        <w:gridCol w:w="1125"/>
        <w:gridCol w:w="2595"/>
        <w:gridCol w:w="915"/>
        <w:gridCol w:w="1485"/>
        <w:gridCol w:w="1350"/>
      </w:tblGrid>
      <w:tr>
        <w:tblPrEx>
          <w:tblCellMar>
            <w:top w:w="0" w:type="dxa"/>
            <w:left w:w="0" w:type="dxa"/>
            <w:bottom w:w="0" w:type="dxa"/>
            <w:right w:w="0" w:type="dxa"/>
          </w:tblCellMar>
        </w:tblPrEx>
        <w:trPr>
          <w:cantSplit/>
          <w:trHeight w:val="272" w:hRule="atLeast"/>
          <w:tblHead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收款日期</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tblPrEx>
          <w:tblCellMar>
            <w:top w:w="0" w:type="dxa"/>
            <w:left w:w="0" w:type="dxa"/>
            <w:bottom w:w="0" w:type="dxa"/>
            <w:right w:w="0" w:type="dxa"/>
          </w:tblCellMar>
        </w:tblPrEx>
        <w:trPr>
          <w:trHeight w:val="48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2020-10-15</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武汉正舟置业有限公司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招商银行0902</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2020-10-23</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湖北敦和建设有限公司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48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武汉三江源水务工程有限公司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武汉凌宇供水工程有限公司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48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奇力士（武汉）智慧水务科技有限公司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王敏</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4,656.00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平安1287</w:t>
            </w:r>
          </w:p>
        </w:tc>
      </w:tr>
      <w:tr>
        <w:tblPrEx>
          <w:tblCellMar>
            <w:top w:w="0" w:type="dxa"/>
            <w:left w:w="0" w:type="dxa"/>
            <w:bottom w:w="0" w:type="dxa"/>
            <w:right w:w="0" w:type="dxa"/>
          </w:tblCellMar>
        </w:tblPrEx>
        <w:trPr>
          <w:trHeight w:val="48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25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武汉德润洪昌水务工程有限公司</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555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10,404,656.00 </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Arial" w:hAnsi="Arial" w:cs="Arial"/>
                <w:color w:val="000000"/>
                <w:sz w:val="20"/>
                <w:szCs w:val="20"/>
              </w:rPr>
            </w:pPr>
          </w:p>
        </w:tc>
      </w:tr>
    </w:tbl>
    <w:p>
      <w:pPr>
        <w:rPr>
          <w:rFonts w:ascii="Arial" w:hAnsi="Arial" w:cs="Arial"/>
          <w:sz w:val="24"/>
        </w:rPr>
      </w:pPr>
    </w:p>
    <w:p>
      <w:pPr>
        <w:pStyle w:val="4"/>
        <w:spacing w:before="300" w:after="300" w:line="360" w:lineRule="exact"/>
        <w:rPr>
          <w:rFonts w:ascii="Arial" w:hAnsi="Arial" w:cs="Arial"/>
          <w:sz w:val="24"/>
          <w:szCs w:val="24"/>
        </w:rPr>
      </w:pPr>
      <w:bookmarkStart w:id="51" w:name="_Toc5065"/>
      <w:r>
        <w:rPr>
          <w:rFonts w:ascii="Arial" w:hAnsi="Arial" w:cs="Arial"/>
          <w:sz w:val="24"/>
          <w:szCs w:val="24"/>
        </w:rPr>
        <w:t>8.3.2销售资金流入明细</w:t>
      </w:r>
      <w:bookmarkEnd w:id="51"/>
    </w:p>
    <w:p>
      <w:pPr>
        <w:widowControl/>
        <w:jc w:val="center"/>
        <w:textAlignment w:val="center"/>
        <w:rPr>
          <w:rFonts w:ascii="Arial" w:hAnsi="Arial" w:cs="Arial"/>
          <w:bCs/>
          <w:kern w:val="44"/>
          <w:szCs w:val="21"/>
        </w:rPr>
      </w:pPr>
      <w:r>
        <w:rPr>
          <w:rFonts w:ascii="Arial" w:hAnsi="Arial" w:cs="Arial"/>
          <w:b/>
          <w:color w:val="000000"/>
          <w:sz w:val="24"/>
        </w:rPr>
        <w:t>2020年10月销售资金流入明细表</w:t>
      </w:r>
    </w:p>
    <w:p>
      <w:pPr>
        <w:rPr>
          <w:rFonts w:ascii="Arial" w:hAnsi="Arial" w:cs="Arial"/>
        </w:rPr>
      </w:pPr>
    </w:p>
    <w:tbl>
      <w:tblPr>
        <w:tblStyle w:val="22"/>
        <w:tblW w:w="8385" w:type="dxa"/>
        <w:tblInd w:w="0" w:type="dxa"/>
        <w:tblLayout w:type="autofit"/>
        <w:tblCellMar>
          <w:top w:w="0" w:type="dxa"/>
          <w:left w:w="0" w:type="dxa"/>
          <w:bottom w:w="0" w:type="dxa"/>
          <w:right w:w="0" w:type="dxa"/>
        </w:tblCellMar>
      </w:tblPr>
      <w:tblGrid>
        <w:gridCol w:w="915"/>
        <w:gridCol w:w="1125"/>
        <w:gridCol w:w="2595"/>
        <w:gridCol w:w="915"/>
        <w:gridCol w:w="1485"/>
        <w:gridCol w:w="1350"/>
      </w:tblGrid>
      <w:tr>
        <w:tblPrEx>
          <w:tblCellMar>
            <w:top w:w="0" w:type="dxa"/>
            <w:left w:w="0" w:type="dxa"/>
            <w:bottom w:w="0" w:type="dxa"/>
            <w:right w:w="0" w:type="dxa"/>
          </w:tblCellMar>
        </w:tblPrEx>
        <w:trPr>
          <w:trHeight w:val="270" w:hRule="atLeast"/>
        </w:trPr>
        <w:tc>
          <w:tcPr>
            <w:tcW w:w="915"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项目公司</w:t>
            </w:r>
          </w:p>
        </w:tc>
        <w:tc>
          <w:tcPr>
            <w:tcW w:w="112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收款日期</w:t>
            </w:r>
          </w:p>
        </w:tc>
        <w:tc>
          <w:tcPr>
            <w:tcW w:w="259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88" name="Host_Control__7"/>
                  <wp:cNvGraphicFramePr/>
                  <a:graphic xmlns:a="http://schemas.openxmlformats.org/drawingml/2006/main">
                    <a:graphicData uri="http://schemas.openxmlformats.org/drawingml/2006/picture">
                      <pic:pic xmlns:pic="http://schemas.openxmlformats.org/drawingml/2006/picture">
                        <pic:nvPicPr>
                          <pic:cNvPr id="188" name="Host_Control__7"/>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923925" cy="161925"/>
                  <wp:effectExtent l="0" t="0" r="0" b="0"/>
                  <wp:wrapNone/>
                  <wp:docPr id="187" name="Host_Control__9"/>
                  <wp:cNvGraphicFramePr/>
                  <a:graphic xmlns:a="http://schemas.openxmlformats.org/drawingml/2006/main">
                    <a:graphicData uri="http://schemas.openxmlformats.org/drawingml/2006/picture">
                      <pic:pic xmlns:pic="http://schemas.openxmlformats.org/drawingml/2006/picture">
                        <pic:nvPicPr>
                          <pic:cNvPr id="187" name="Host_Control__9"/>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2" name="Host_Control__13"/>
                  <wp:cNvGraphicFramePr/>
                  <a:graphic xmlns:a="http://schemas.openxmlformats.org/drawingml/2006/main">
                    <a:graphicData uri="http://schemas.openxmlformats.org/drawingml/2006/picture">
                      <pic:pic xmlns:pic="http://schemas.openxmlformats.org/drawingml/2006/picture">
                        <pic:nvPicPr>
                          <pic:cNvPr id="212" name="Host_Control__1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3" name="Host_Control__21"/>
                  <wp:cNvGraphicFramePr/>
                  <a:graphic xmlns:a="http://schemas.openxmlformats.org/drawingml/2006/main">
                    <a:graphicData uri="http://schemas.openxmlformats.org/drawingml/2006/picture">
                      <pic:pic xmlns:pic="http://schemas.openxmlformats.org/drawingml/2006/picture">
                        <pic:nvPicPr>
                          <pic:cNvPr id="213" name="Host_Control__2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4" name="Host_Control__37"/>
                  <wp:cNvGraphicFramePr/>
                  <a:graphic xmlns:a="http://schemas.openxmlformats.org/drawingml/2006/main">
                    <a:graphicData uri="http://schemas.openxmlformats.org/drawingml/2006/picture">
                      <pic:pic xmlns:pic="http://schemas.openxmlformats.org/drawingml/2006/picture">
                        <pic:nvPicPr>
                          <pic:cNvPr id="214" name="Host_Control__37"/>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5" name="Host_Control__37_SpCnt_1"/>
                  <wp:cNvGraphicFramePr/>
                  <a:graphic xmlns:a="http://schemas.openxmlformats.org/drawingml/2006/main">
                    <a:graphicData uri="http://schemas.openxmlformats.org/drawingml/2006/picture">
                      <pic:pic xmlns:pic="http://schemas.openxmlformats.org/drawingml/2006/picture">
                        <pic:nvPicPr>
                          <pic:cNvPr id="215" name="Host_Control__37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6" name="Host_Control__36"/>
                  <wp:cNvGraphicFramePr/>
                  <a:graphic xmlns:a="http://schemas.openxmlformats.org/drawingml/2006/main">
                    <a:graphicData uri="http://schemas.openxmlformats.org/drawingml/2006/picture">
                      <pic:pic xmlns:pic="http://schemas.openxmlformats.org/drawingml/2006/picture">
                        <pic:nvPicPr>
                          <pic:cNvPr id="216" name="Host_Control__36"/>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7" name="Host_Control__35"/>
                  <wp:cNvGraphicFramePr/>
                  <a:graphic xmlns:a="http://schemas.openxmlformats.org/drawingml/2006/main">
                    <a:graphicData uri="http://schemas.openxmlformats.org/drawingml/2006/picture">
                      <pic:pic xmlns:pic="http://schemas.openxmlformats.org/drawingml/2006/picture">
                        <pic:nvPicPr>
                          <pic:cNvPr id="217" name="Host_Control__35"/>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8" name="Host_Control__34"/>
                  <wp:cNvGraphicFramePr/>
                  <a:graphic xmlns:a="http://schemas.openxmlformats.org/drawingml/2006/main">
                    <a:graphicData uri="http://schemas.openxmlformats.org/drawingml/2006/picture">
                      <pic:pic xmlns:pic="http://schemas.openxmlformats.org/drawingml/2006/picture">
                        <pic:nvPicPr>
                          <pic:cNvPr id="218" name="Host_Control__34"/>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9" name="Host_Control__33"/>
                  <wp:cNvGraphicFramePr/>
                  <a:graphic xmlns:a="http://schemas.openxmlformats.org/drawingml/2006/main">
                    <a:graphicData uri="http://schemas.openxmlformats.org/drawingml/2006/picture">
                      <pic:pic xmlns:pic="http://schemas.openxmlformats.org/drawingml/2006/picture">
                        <pic:nvPicPr>
                          <pic:cNvPr id="219" name="Host_Control__3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0" name="Host_Control__32"/>
                  <wp:cNvGraphicFramePr/>
                  <a:graphic xmlns:a="http://schemas.openxmlformats.org/drawingml/2006/main">
                    <a:graphicData uri="http://schemas.openxmlformats.org/drawingml/2006/picture">
                      <pic:pic xmlns:pic="http://schemas.openxmlformats.org/drawingml/2006/picture">
                        <pic:nvPicPr>
                          <pic:cNvPr id="220" name="Host_Control__3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1" name="Host_Control__31"/>
                  <wp:cNvGraphicFramePr/>
                  <a:graphic xmlns:a="http://schemas.openxmlformats.org/drawingml/2006/main">
                    <a:graphicData uri="http://schemas.openxmlformats.org/drawingml/2006/picture">
                      <pic:pic xmlns:pic="http://schemas.openxmlformats.org/drawingml/2006/picture">
                        <pic:nvPicPr>
                          <pic:cNvPr id="221" name="Host_Control__3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2" name="Host_Control__30"/>
                  <wp:cNvGraphicFramePr/>
                  <a:graphic xmlns:a="http://schemas.openxmlformats.org/drawingml/2006/main">
                    <a:graphicData uri="http://schemas.openxmlformats.org/drawingml/2006/picture">
                      <pic:pic xmlns:pic="http://schemas.openxmlformats.org/drawingml/2006/picture">
                        <pic:nvPicPr>
                          <pic:cNvPr id="222" name="Host_Control__30"/>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3" name="Host_Control__29"/>
                  <wp:cNvGraphicFramePr/>
                  <a:graphic xmlns:a="http://schemas.openxmlformats.org/drawingml/2006/main">
                    <a:graphicData uri="http://schemas.openxmlformats.org/drawingml/2006/picture">
                      <pic:pic xmlns:pic="http://schemas.openxmlformats.org/drawingml/2006/picture">
                        <pic:nvPicPr>
                          <pic:cNvPr id="223" name="Host_Control__29"/>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4" name="Host_Control__28"/>
                  <wp:cNvGraphicFramePr/>
                  <a:graphic xmlns:a="http://schemas.openxmlformats.org/drawingml/2006/main">
                    <a:graphicData uri="http://schemas.openxmlformats.org/drawingml/2006/picture">
                      <pic:pic xmlns:pic="http://schemas.openxmlformats.org/drawingml/2006/picture">
                        <pic:nvPicPr>
                          <pic:cNvPr id="224" name="Host_Control__28"/>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5" name="Host_Control__27"/>
                  <wp:cNvGraphicFramePr/>
                  <a:graphic xmlns:a="http://schemas.openxmlformats.org/drawingml/2006/main">
                    <a:graphicData uri="http://schemas.openxmlformats.org/drawingml/2006/picture">
                      <pic:pic xmlns:pic="http://schemas.openxmlformats.org/drawingml/2006/picture">
                        <pic:nvPicPr>
                          <pic:cNvPr id="225" name="Host_Control__27"/>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6" name="Host_Control__26"/>
                  <wp:cNvGraphicFramePr/>
                  <a:graphic xmlns:a="http://schemas.openxmlformats.org/drawingml/2006/main">
                    <a:graphicData uri="http://schemas.openxmlformats.org/drawingml/2006/picture">
                      <pic:pic xmlns:pic="http://schemas.openxmlformats.org/drawingml/2006/picture">
                        <pic:nvPicPr>
                          <pic:cNvPr id="226" name="Host_Control__26"/>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7" name="Host_Control__25"/>
                  <wp:cNvGraphicFramePr/>
                  <a:graphic xmlns:a="http://schemas.openxmlformats.org/drawingml/2006/main">
                    <a:graphicData uri="http://schemas.openxmlformats.org/drawingml/2006/picture">
                      <pic:pic xmlns:pic="http://schemas.openxmlformats.org/drawingml/2006/picture">
                        <pic:nvPicPr>
                          <pic:cNvPr id="227" name="Host_Control__25"/>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8" name="Host_Control__24"/>
                  <wp:cNvGraphicFramePr/>
                  <a:graphic xmlns:a="http://schemas.openxmlformats.org/drawingml/2006/main">
                    <a:graphicData uri="http://schemas.openxmlformats.org/drawingml/2006/picture">
                      <pic:pic xmlns:pic="http://schemas.openxmlformats.org/drawingml/2006/picture">
                        <pic:nvPicPr>
                          <pic:cNvPr id="228" name="Host_Control__24"/>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29" name="Host_Control__23"/>
                  <wp:cNvGraphicFramePr/>
                  <a:graphic xmlns:a="http://schemas.openxmlformats.org/drawingml/2006/main">
                    <a:graphicData uri="http://schemas.openxmlformats.org/drawingml/2006/picture">
                      <pic:pic xmlns:pic="http://schemas.openxmlformats.org/drawingml/2006/picture">
                        <pic:nvPicPr>
                          <pic:cNvPr id="229" name="Host_Control__23"/>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0" name="Host_Control__22"/>
                  <wp:cNvGraphicFramePr/>
                  <a:graphic xmlns:a="http://schemas.openxmlformats.org/drawingml/2006/main">
                    <a:graphicData uri="http://schemas.openxmlformats.org/drawingml/2006/picture">
                      <pic:pic xmlns:pic="http://schemas.openxmlformats.org/drawingml/2006/picture">
                        <pic:nvPicPr>
                          <pic:cNvPr id="230" name="Host_Control__2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1" name="Host_Control__21_SpCnt_1"/>
                  <wp:cNvGraphicFramePr/>
                  <a:graphic xmlns:a="http://schemas.openxmlformats.org/drawingml/2006/main">
                    <a:graphicData uri="http://schemas.openxmlformats.org/drawingml/2006/picture">
                      <pic:pic xmlns:pic="http://schemas.openxmlformats.org/drawingml/2006/picture">
                        <pic:nvPicPr>
                          <pic:cNvPr id="231" name="Host_Control__21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2" name="Host_Control__20"/>
                  <wp:cNvGraphicFramePr/>
                  <a:graphic xmlns:a="http://schemas.openxmlformats.org/drawingml/2006/main">
                    <a:graphicData uri="http://schemas.openxmlformats.org/drawingml/2006/picture">
                      <pic:pic xmlns:pic="http://schemas.openxmlformats.org/drawingml/2006/picture">
                        <pic:nvPicPr>
                          <pic:cNvPr id="232" name="Host_Control__20"/>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3" name="Host_Control__19"/>
                  <wp:cNvGraphicFramePr/>
                  <a:graphic xmlns:a="http://schemas.openxmlformats.org/drawingml/2006/main">
                    <a:graphicData uri="http://schemas.openxmlformats.org/drawingml/2006/picture">
                      <pic:pic xmlns:pic="http://schemas.openxmlformats.org/drawingml/2006/picture">
                        <pic:nvPicPr>
                          <pic:cNvPr id="233" name="Host_Control__19"/>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4" name="Host_Control__18"/>
                  <wp:cNvGraphicFramePr/>
                  <a:graphic xmlns:a="http://schemas.openxmlformats.org/drawingml/2006/main">
                    <a:graphicData uri="http://schemas.openxmlformats.org/drawingml/2006/picture">
                      <pic:pic xmlns:pic="http://schemas.openxmlformats.org/drawingml/2006/picture">
                        <pic:nvPicPr>
                          <pic:cNvPr id="234" name="Host_Control__18"/>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5" name="Host_Control__17"/>
                  <wp:cNvGraphicFramePr/>
                  <a:graphic xmlns:a="http://schemas.openxmlformats.org/drawingml/2006/main">
                    <a:graphicData uri="http://schemas.openxmlformats.org/drawingml/2006/picture">
                      <pic:pic xmlns:pic="http://schemas.openxmlformats.org/drawingml/2006/picture">
                        <pic:nvPicPr>
                          <pic:cNvPr id="235" name="Host_Control__17"/>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6" name="Host_Control__16"/>
                  <wp:cNvGraphicFramePr/>
                  <a:graphic xmlns:a="http://schemas.openxmlformats.org/drawingml/2006/main">
                    <a:graphicData uri="http://schemas.openxmlformats.org/drawingml/2006/picture">
                      <pic:pic xmlns:pic="http://schemas.openxmlformats.org/drawingml/2006/picture">
                        <pic:nvPicPr>
                          <pic:cNvPr id="236" name="Host_Control__16"/>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7" name="Host_Control__15"/>
                  <wp:cNvGraphicFramePr/>
                  <a:graphic xmlns:a="http://schemas.openxmlformats.org/drawingml/2006/main">
                    <a:graphicData uri="http://schemas.openxmlformats.org/drawingml/2006/picture">
                      <pic:pic xmlns:pic="http://schemas.openxmlformats.org/drawingml/2006/picture">
                        <pic:nvPicPr>
                          <pic:cNvPr id="237" name="Host_Control__15"/>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8" name="Host_Control__14"/>
                  <wp:cNvGraphicFramePr/>
                  <a:graphic xmlns:a="http://schemas.openxmlformats.org/drawingml/2006/main">
                    <a:graphicData uri="http://schemas.openxmlformats.org/drawingml/2006/picture">
                      <pic:pic xmlns:pic="http://schemas.openxmlformats.org/drawingml/2006/picture">
                        <pic:nvPicPr>
                          <pic:cNvPr id="238" name="Host_Control__14"/>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39" name="Host_Control__13_SpCnt_1"/>
                  <wp:cNvGraphicFramePr/>
                  <a:graphic xmlns:a="http://schemas.openxmlformats.org/drawingml/2006/main">
                    <a:graphicData uri="http://schemas.openxmlformats.org/drawingml/2006/picture">
                      <pic:pic xmlns:pic="http://schemas.openxmlformats.org/drawingml/2006/picture">
                        <pic:nvPicPr>
                          <pic:cNvPr id="239" name="Host_Control__13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0" name="Host_Control__12"/>
                  <wp:cNvGraphicFramePr/>
                  <a:graphic xmlns:a="http://schemas.openxmlformats.org/drawingml/2006/main">
                    <a:graphicData uri="http://schemas.openxmlformats.org/drawingml/2006/picture">
                      <pic:pic xmlns:pic="http://schemas.openxmlformats.org/drawingml/2006/picture">
                        <pic:nvPicPr>
                          <pic:cNvPr id="240" name="Host_Control__12"/>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1" name="Host_Control__11"/>
                  <wp:cNvGraphicFramePr/>
                  <a:graphic xmlns:a="http://schemas.openxmlformats.org/drawingml/2006/main">
                    <a:graphicData uri="http://schemas.openxmlformats.org/drawingml/2006/picture">
                      <pic:pic xmlns:pic="http://schemas.openxmlformats.org/drawingml/2006/picture">
                        <pic:nvPicPr>
                          <pic:cNvPr id="241" name="Host_Control__1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2" name="Host_Control__10"/>
                  <wp:cNvGraphicFramePr/>
                  <a:graphic xmlns:a="http://schemas.openxmlformats.org/drawingml/2006/main">
                    <a:graphicData uri="http://schemas.openxmlformats.org/drawingml/2006/picture">
                      <pic:pic xmlns:pic="http://schemas.openxmlformats.org/drawingml/2006/picture">
                        <pic:nvPicPr>
                          <pic:cNvPr id="242" name="Host_Control__10"/>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3" name="Host_Control__9_SpCnt_1"/>
                  <wp:cNvGraphicFramePr/>
                  <a:graphic xmlns:a="http://schemas.openxmlformats.org/drawingml/2006/main">
                    <a:graphicData uri="http://schemas.openxmlformats.org/drawingml/2006/picture">
                      <pic:pic xmlns:pic="http://schemas.openxmlformats.org/drawingml/2006/picture">
                        <pic:nvPicPr>
                          <pic:cNvPr id="243" name="Host_Control__9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4" name="Host_Control__8"/>
                  <wp:cNvGraphicFramePr/>
                  <a:graphic xmlns:a="http://schemas.openxmlformats.org/drawingml/2006/main">
                    <a:graphicData uri="http://schemas.openxmlformats.org/drawingml/2006/picture">
                      <pic:pic xmlns:pic="http://schemas.openxmlformats.org/drawingml/2006/picture">
                        <pic:nvPicPr>
                          <pic:cNvPr id="244" name="Host_Control__8"/>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5" name="Host_Control__36_SpCnt_1"/>
                  <wp:cNvGraphicFramePr/>
                  <a:graphic xmlns:a="http://schemas.openxmlformats.org/drawingml/2006/main">
                    <a:graphicData uri="http://schemas.openxmlformats.org/drawingml/2006/picture">
                      <pic:pic xmlns:pic="http://schemas.openxmlformats.org/drawingml/2006/picture">
                        <pic:nvPicPr>
                          <pic:cNvPr id="245" name="Host_Control__36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6" name="Host_Control__7_SpCnt_1"/>
                  <wp:cNvGraphicFramePr/>
                  <a:graphic xmlns:a="http://schemas.openxmlformats.org/drawingml/2006/main">
                    <a:graphicData uri="http://schemas.openxmlformats.org/drawingml/2006/picture">
                      <pic:pic xmlns:pic="http://schemas.openxmlformats.org/drawingml/2006/picture">
                        <pic:nvPicPr>
                          <pic:cNvPr id="246" name="Host_Control__7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7" name="Host_Control__35_SpCnt_1"/>
                  <wp:cNvGraphicFramePr/>
                  <a:graphic xmlns:a="http://schemas.openxmlformats.org/drawingml/2006/main">
                    <a:graphicData uri="http://schemas.openxmlformats.org/drawingml/2006/picture">
                      <pic:pic xmlns:pic="http://schemas.openxmlformats.org/drawingml/2006/picture">
                        <pic:nvPicPr>
                          <pic:cNvPr id="247" name="Host_Control__35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48" name="Host_Control__34_SpCnt_1"/>
                  <wp:cNvGraphicFramePr/>
                  <a:graphic xmlns:a="http://schemas.openxmlformats.org/drawingml/2006/main">
                    <a:graphicData uri="http://schemas.openxmlformats.org/drawingml/2006/picture">
                      <pic:pic xmlns:pic="http://schemas.openxmlformats.org/drawingml/2006/picture">
                        <pic:nvPicPr>
                          <pic:cNvPr id="248" name="Host_Control__34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923925" cy="161925"/>
                  <wp:effectExtent l="0" t="0" r="0" b="0"/>
                  <wp:wrapNone/>
                  <wp:docPr id="189" name="Host_Control__33_SpCnt_1"/>
                  <wp:cNvGraphicFramePr/>
                  <a:graphic xmlns:a="http://schemas.openxmlformats.org/drawingml/2006/main">
                    <a:graphicData uri="http://schemas.openxmlformats.org/drawingml/2006/picture">
                      <pic:pic xmlns:pic="http://schemas.openxmlformats.org/drawingml/2006/picture">
                        <pic:nvPicPr>
                          <pic:cNvPr id="189" name="Host_Control__33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0" name="Host_Control__32_SpCnt_1"/>
                  <wp:cNvGraphicFramePr/>
                  <a:graphic xmlns:a="http://schemas.openxmlformats.org/drawingml/2006/main">
                    <a:graphicData uri="http://schemas.openxmlformats.org/drawingml/2006/picture">
                      <pic:pic xmlns:pic="http://schemas.openxmlformats.org/drawingml/2006/picture">
                        <pic:nvPicPr>
                          <pic:cNvPr id="190" name="Host_Control__32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1" name="Host_Control__31_SpCnt_1"/>
                  <wp:cNvGraphicFramePr/>
                  <a:graphic xmlns:a="http://schemas.openxmlformats.org/drawingml/2006/main">
                    <a:graphicData uri="http://schemas.openxmlformats.org/drawingml/2006/picture">
                      <pic:pic xmlns:pic="http://schemas.openxmlformats.org/drawingml/2006/picture">
                        <pic:nvPicPr>
                          <pic:cNvPr id="191" name="Host_Control__31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2" name="Host_Control__30_SpCnt_1"/>
                  <wp:cNvGraphicFramePr/>
                  <a:graphic xmlns:a="http://schemas.openxmlformats.org/drawingml/2006/main">
                    <a:graphicData uri="http://schemas.openxmlformats.org/drawingml/2006/picture">
                      <pic:pic xmlns:pic="http://schemas.openxmlformats.org/drawingml/2006/picture">
                        <pic:nvPicPr>
                          <pic:cNvPr id="192" name="Host_Control__30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3" name="Host_Control__29_SpCnt_1"/>
                  <wp:cNvGraphicFramePr/>
                  <a:graphic xmlns:a="http://schemas.openxmlformats.org/drawingml/2006/main">
                    <a:graphicData uri="http://schemas.openxmlformats.org/drawingml/2006/picture">
                      <pic:pic xmlns:pic="http://schemas.openxmlformats.org/drawingml/2006/picture">
                        <pic:nvPicPr>
                          <pic:cNvPr id="193" name="Host_Control__29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4" name="Host_Control__28_SpCnt_1"/>
                  <wp:cNvGraphicFramePr/>
                  <a:graphic xmlns:a="http://schemas.openxmlformats.org/drawingml/2006/main">
                    <a:graphicData uri="http://schemas.openxmlformats.org/drawingml/2006/picture">
                      <pic:pic xmlns:pic="http://schemas.openxmlformats.org/drawingml/2006/picture">
                        <pic:nvPicPr>
                          <pic:cNvPr id="194" name="Host_Control__28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5" name="Host_Control__27_SpCnt_1"/>
                  <wp:cNvGraphicFramePr/>
                  <a:graphic xmlns:a="http://schemas.openxmlformats.org/drawingml/2006/main">
                    <a:graphicData uri="http://schemas.openxmlformats.org/drawingml/2006/picture">
                      <pic:pic xmlns:pic="http://schemas.openxmlformats.org/drawingml/2006/picture">
                        <pic:nvPicPr>
                          <pic:cNvPr id="195" name="Host_Control__27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6" name="Host_Control__26_SpCnt_1"/>
                  <wp:cNvGraphicFramePr/>
                  <a:graphic xmlns:a="http://schemas.openxmlformats.org/drawingml/2006/main">
                    <a:graphicData uri="http://schemas.openxmlformats.org/drawingml/2006/picture">
                      <pic:pic xmlns:pic="http://schemas.openxmlformats.org/drawingml/2006/picture">
                        <pic:nvPicPr>
                          <pic:cNvPr id="196" name="Host_Control__26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7" name="Host_Control__25_SpCnt_1"/>
                  <wp:cNvGraphicFramePr/>
                  <a:graphic xmlns:a="http://schemas.openxmlformats.org/drawingml/2006/main">
                    <a:graphicData uri="http://schemas.openxmlformats.org/drawingml/2006/picture">
                      <pic:pic xmlns:pic="http://schemas.openxmlformats.org/drawingml/2006/picture">
                        <pic:nvPicPr>
                          <pic:cNvPr id="197" name="Host_Control__25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8" name="Host_Control__24_SpCnt_1"/>
                  <wp:cNvGraphicFramePr/>
                  <a:graphic xmlns:a="http://schemas.openxmlformats.org/drawingml/2006/main">
                    <a:graphicData uri="http://schemas.openxmlformats.org/drawingml/2006/picture">
                      <pic:pic xmlns:pic="http://schemas.openxmlformats.org/drawingml/2006/picture">
                        <pic:nvPicPr>
                          <pic:cNvPr id="198" name="Host_Control__24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23925" cy="161925"/>
                  <wp:effectExtent l="0" t="0" r="0" b="0"/>
                  <wp:wrapNone/>
                  <wp:docPr id="199" name="Host_Control__23_SpCnt_1"/>
                  <wp:cNvGraphicFramePr/>
                  <a:graphic xmlns:a="http://schemas.openxmlformats.org/drawingml/2006/main">
                    <a:graphicData uri="http://schemas.openxmlformats.org/drawingml/2006/picture">
                      <pic:pic xmlns:pic="http://schemas.openxmlformats.org/drawingml/2006/picture">
                        <pic:nvPicPr>
                          <pic:cNvPr id="199" name="Host_Control__23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0" name="Host_Control__20_SpCnt_1"/>
                  <wp:cNvGraphicFramePr/>
                  <a:graphic xmlns:a="http://schemas.openxmlformats.org/drawingml/2006/main">
                    <a:graphicData uri="http://schemas.openxmlformats.org/drawingml/2006/picture">
                      <pic:pic xmlns:pic="http://schemas.openxmlformats.org/drawingml/2006/picture">
                        <pic:nvPicPr>
                          <pic:cNvPr id="200" name="Host_Control__20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1" name="Host_Control__22_SpCnt_1"/>
                  <wp:cNvGraphicFramePr/>
                  <a:graphic xmlns:a="http://schemas.openxmlformats.org/drawingml/2006/main">
                    <a:graphicData uri="http://schemas.openxmlformats.org/drawingml/2006/picture">
                      <pic:pic xmlns:pic="http://schemas.openxmlformats.org/drawingml/2006/picture">
                        <pic:nvPicPr>
                          <pic:cNvPr id="201" name="Host_Control__22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2" name="Host_Control__19_SpCnt_1"/>
                  <wp:cNvGraphicFramePr/>
                  <a:graphic xmlns:a="http://schemas.openxmlformats.org/drawingml/2006/main">
                    <a:graphicData uri="http://schemas.openxmlformats.org/drawingml/2006/picture">
                      <pic:pic xmlns:pic="http://schemas.openxmlformats.org/drawingml/2006/picture">
                        <pic:nvPicPr>
                          <pic:cNvPr id="202" name="Host_Control__19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3" name="Host_Control__18_SpCnt_1"/>
                  <wp:cNvGraphicFramePr/>
                  <a:graphic xmlns:a="http://schemas.openxmlformats.org/drawingml/2006/main">
                    <a:graphicData uri="http://schemas.openxmlformats.org/drawingml/2006/picture">
                      <pic:pic xmlns:pic="http://schemas.openxmlformats.org/drawingml/2006/picture">
                        <pic:nvPicPr>
                          <pic:cNvPr id="203" name="Host_Control__18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4" name="Host_Control__17_SpCnt_1"/>
                  <wp:cNvGraphicFramePr/>
                  <a:graphic xmlns:a="http://schemas.openxmlformats.org/drawingml/2006/main">
                    <a:graphicData uri="http://schemas.openxmlformats.org/drawingml/2006/picture">
                      <pic:pic xmlns:pic="http://schemas.openxmlformats.org/drawingml/2006/picture">
                        <pic:nvPicPr>
                          <pic:cNvPr id="204" name="Host_Control__17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5" name="Host_Control__16_SpCnt_1"/>
                  <wp:cNvGraphicFramePr/>
                  <a:graphic xmlns:a="http://schemas.openxmlformats.org/drawingml/2006/main">
                    <a:graphicData uri="http://schemas.openxmlformats.org/drawingml/2006/picture">
                      <pic:pic xmlns:pic="http://schemas.openxmlformats.org/drawingml/2006/picture">
                        <pic:nvPicPr>
                          <pic:cNvPr id="205" name="Host_Control__16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6" name="Host_Control__15_SpCnt_1"/>
                  <wp:cNvGraphicFramePr/>
                  <a:graphic xmlns:a="http://schemas.openxmlformats.org/drawingml/2006/main">
                    <a:graphicData uri="http://schemas.openxmlformats.org/drawingml/2006/picture">
                      <pic:pic xmlns:pic="http://schemas.openxmlformats.org/drawingml/2006/picture">
                        <pic:nvPicPr>
                          <pic:cNvPr id="206" name="Host_Control__15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7" name="Host_Control__12_SpCnt_1"/>
                  <wp:cNvGraphicFramePr/>
                  <a:graphic xmlns:a="http://schemas.openxmlformats.org/drawingml/2006/main">
                    <a:graphicData uri="http://schemas.openxmlformats.org/drawingml/2006/picture">
                      <pic:pic xmlns:pic="http://schemas.openxmlformats.org/drawingml/2006/picture">
                        <pic:nvPicPr>
                          <pic:cNvPr id="207" name="Host_Control__12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8" name="Host_Control__14_SpCnt_1"/>
                  <wp:cNvGraphicFramePr/>
                  <a:graphic xmlns:a="http://schemas.openxmlformats.org/drawingml/2006/main">
                    <a:graphicData uri="http://schemas.openxmlformats.org/drawingml/2006/picture">
                      <pic:pic xmlns:pic="http://schemas.openxmlformats.org/drawingml/2006/picture">
                        <pic:nvPicPr>
                          <pic:cNvPr id="208" name="Host_Control__14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923925" cy="161925"/>
                  <wp:effectExtent l="0" t="0" r="0" b="0"/>
                  <wp:wrapNone/>
                  <wp:docPr id="209" name="Host_Control__11_SpCnt_1"/>
                  <wp:cNvGraphicFramePr/>
                  <a:graphic xmlns:a="http://schemas.openxmlformats.org/drawingml/2006/main">
                    <a:graphicData uri="http://schemas.openxmlformats.org/drawingml/2006/picture">
                      <pic:pic xmlns:pic="http://schemas.openxmlformats.org/drawingml/2006/picture">
                        <pic:nvPicPr>
                          <pic:cNvPr id="209" name="Host_Control__11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0" name="Host_Control__8_SpCnt_1"/>
                  <wp:cNvGraphicFramePr/>
                  <a:graphic xmlns:a="http://schemas.openxmlformats.org/drawingml/2006/main">
                    <a:graphicData uri="http://schemas.openxmlformats.org/drawingml/2006/picture">
                      <pic:pic xmlns:pic="http://schemas.openxmlformats.org/drawingml/2006/picture">
                        <pic:nvPicPr>
                          <pic:cNvPr id="210" name="Host_Control__8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923925" cy="161925"/>
                  <wp:effectExtent l="0" t="0" r="0" b="0"/>
                  <wp:wrapNone/>
                  <wp:docPr id="211" name="Host_Control__10_SpCnt_1"/>
                  <wp:cNvGraphicFramePr/>
                  <a:graphic xmlns:a="http://schemas.openxmlformats.org/drawingml/2006/main">
                    <a:graphicData uri="http://schemas.openxmlformats.org/drawingml/2006/picture">
                      <pic:pic xmlns:pic="http://schemas.openxmlformats.org/drawingml/2006/picture">
                        <pic:nvPicPr>
                          <pic:cNvPr id="211" name="Host_Control__10_SpCnt_1"/>
                          <pic:cNvPicPr/>
                        </pic:nvPicPr>
                        <pic:blipFill>
                          <a:blip r:embed="rId17"/>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20"/>
                <w:szCs w:val="20"/>
                <w:lang w:bidi="ar"/>
              </w:rPr>
              <w:t>付款方</w:t>
            </w:r>
          </w:p>
        </w:tc>
        <w:tc>
          <w:tcPr>
            <w:tcW w:w="91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资金用途</w:t>
            </w:r>
          </w:p>
        </w:tc>
        <w:tc>
          <w:tcPr>
            <w:tcW w:w="1485"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金额</w:t>
            </w:r>
          </w:p>
        </w:tc>
        <w:tc>
          <w:tcPr>
            <w:tcW w:w="1350" w:type="dxa"/>
            <w:tcBorders>
              <w:top w:val="single" w:color="000000" w:sz="8" w:space="0"/>
              <w:left w:val="nil"/>
              <w:bottom w:val="nil"/>
              <w:right w:val="nil"/>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收款行</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客户按揭放款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荆靖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平安监管0044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客户转账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陈嘉昕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356,694.00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王昭慧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872,535.00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姜勇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19,657.00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姜勇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79,680.00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371,534.00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59,760.00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598,376.00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246,654.00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59,760.00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黎家传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郑建超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贷款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刘军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侯银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顾丹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王昭慧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孟晶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102,610.00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625,609.00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79,680.00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394,092.00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王昭慧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21,715.00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刘军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荆靖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平安监管0044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王昭慧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吴春华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甘辉琼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137,820.00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吴春华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791,017.00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王昭慧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109,999.00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1,216,174.00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武艳莉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周丹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平安监管0044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肖禅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78,045.00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颜虎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727,996.00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甘辉琼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266,990.00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359,465.00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宋海英+黄波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348,980.00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严邱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平安监管3957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周丽丽+黎家传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558,640.00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520,612.00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张帆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101,841.00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308,277.00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244,314.00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周春博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胡昭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201,249.00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周月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432,260.00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姜勇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姜克彪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296,654.00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孟志军+姜友玲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金佩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钟建康+吴超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平安监管0058</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高群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40,803.00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高群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高群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高群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熊胜超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夏园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185,751.00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任金珍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熊胜超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588,227.00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工商银行0232</w:t>
            </w:r>
          </w:p>
        </w:tc>
      </w:tr>
      <w:tr>
        <w:tblPrEx>
          <w:tblCellMar>
            <w:top w:w="0" w:type="dxa"/>
            <w:left w:w="0" w:type="dxa"/>
            <w:bottom w:w="0" w:type="dxa"/>
            <w:right w:w="0"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29,048,374.00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color w:val="000000"/>
                <w:sz w:val="20"/>
                <w:szCs w:val="20"/>
              </w:rPr>
            </w:pPr>
          </w:p>
        </w:tc>
      </w:tr>
    </w:tbl>
    <w:p>
      <w:pPr>
        <w:rPr>
          <w:rFonts w:ascii="Arial" w:hAnsi="Arial" w:cs="Arial"/>
        </w:rPr>
      </w:pPr>
    </w:p>
    <w:p>
      <w:pPr>
        <w:pStyle w:val="4"/>
        <w:spacing w:before="300" w:after="300" w:line="360" w:lineRule="exact"/>
        <w:rPr>
          <w:rFonts w:ascii="Arial" w:hAnsi="Arial" w:cs="Arial"/>
          <w:sz w:val="24"/>
          <w:szCs w:val="24"/>
        </w:rPr>
      </w:pPr>
      <w:bookmarkStart w:id="52" w:name="_Toc1733"/>
      <w:r>
        <w:rPr>
          <w:rFonts w:ascii="Arial" w:hAnsi="Arial" w:cs="Arial"/>
          <w:sz w:val="24"/>
          <w:szCs w:val="24"/>
        </w:rPr>
        <w:t>8.3.3销售回款流入明细</w:t>
      </w:r>
      <w:bookmarkEnd w:id="52"/>
    </w:p>
    <w:tbl>
      <w:tblPr>
        <w:tblStyle w:val="22"/>
        <w:tblW w:w="8369" w:type="dxa"/>
        <w:tblInd w:w="0" w:type="dxa"/>
        <w:tblLayout w:type="fixed"/>
        <w:tblCellMar>
          <w:top w:w="0" w:type="dxa"/>
          <w:left w:w="0" w:type="dxa"/>
          <w:bottom w:w="0" w:type="dxa"/>
          <w:right w:w="0" w:type="dxa"/>
        </w:tblCellMar>
      </w:tblPr>
      <w:tblGrid>
        <w:gridCol w:w="1125"/>
        <w:gridCol w:w="2099"/>
        <w:gridCol w:w="1725"/>
        <w:gridCol w:w="1785"/>
        <w:gridCol w:w="1635"/>
      </w:tblGrid>
      <w:tr>
        <w:tblPrEx>
          <w:tblCellMar>
            <w:top w:w="0" w:type="dxa"/>
            <w:left w:w="0" w:type="dxa"/>
            <w:bottom w:w="0" w:type="dxa"/>
            <w:right w:w="0" w:type="dxa"/>
          </w:tblCellMar>
        </w:tblPrEx>
        <w:trPr>
          <w:trHeight w:val="272" w:hRule="atLeast"/>
          <w:tblHead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日期</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住宅定金（元）</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首期</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按揭放款（元）</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合计（元）</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2020-10-4</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336,694.00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336,694.00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892,635.00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892,635.00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2020-10-6</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578,436.00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598,436.00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520,000.00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2020-10-8</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451,574.00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406,694.00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858,268.00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2020-10-9</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1,432,000.00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2,140,000.00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3,572,000.00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394,112.00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161,715.00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1,985,827.00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337,823.00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467,826.00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805,649.00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2020-10-12</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791,077.00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222,610.00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1,013,687.00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2020-10-13</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682,814.00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682,814.00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2020-10-14</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1,406,081.00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1,406,081.00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2020-10-16</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359,505.00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2,140,000.00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2,499,505.00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317,030.00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317,030.00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2020-10-19</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349,000.00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349,000.00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578,720.00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1,628,720.00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2020-10-22</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520,632.00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1,550,632.00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2020-10-23</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328,317.00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898,317.00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2020-10-24</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121,841.00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121,841.00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2020-10-26</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264,334.00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264,334.00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2020-10-27</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201,269.00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201,269.00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2020-10-28</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575,552.00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3,460,000.00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4,035,552.00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2020-10-29</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890,000.00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1,180,000.00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color w:val="000000"/>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481,554.00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481,554.00 </w:t>
            </w:r>
          </w:p>
        </w:tc>
      </w:tr>
      <w:tr>
        <w:tblPrEx>
          <w:tblCellMar>
            <w:top w:w="0" w:type="dxa"/>
            <w:left w:w="0" w:type="dxa"/>
            <w:bottom w:w="0" w:type="dxa"/>
            <w:right w:w="0" w:type="dxa"/>
          </w:tblCellMar>
        </w:tblPrEx>
        <w:trPr>
          <w:trHeight w:val="270" w:hRule="atLeast"/>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2020-10-31</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2,078,961.00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2,098,961.00 </w:t>
            </w:r>
          </w:p>
        </w:tc>
      </w:tr>
      <w:tr>
        <w:tblPrEx>
          <w:tblCellMar>
            <w:top w:w="0" w:type="dxa"/>
            <w:left w:w="0" w:type="dxa"/>
            <w:bottom w:w="0" w:type="dxa"/>
            <w:right w:w="0" w:type="dxa"/>
          </w:tblCellMar>
        </w:tblPrEx>
        <w:trPr>
          <w:trHeight w:val="270" w:hRule="atLeast"/>
        </w:trPr>
        <w:tc>
          <w:tcPr>
            <w:tcW w:w="673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28,718,806.00 </w:t>
            </w:r>
          </w:p>
        </w:tc>
      </w:tr>
    </w:tbl>
    <w:p>
      <w:pPr>
        <w:rPr>
          <w:rFonts w:ascii="Arial" w:hAnsi="Arial" w:cs="Arial"/>
        </w:rPr>
      </w:pPr>
    </w:p>
    <w:p>
      <w:pPr>
        <w:rPr>
          <w:rFonts w:ascii="Arial" w:hAnsi="Arial" w:cs="Arial"/>
          <w:sz w:val="15"/>
          <w:szCs w:val="15"/>
        </w:rPr>
      </w:pPr>
      <w:r>
        <w:rPr>
          <w:rFonts w:ascii="Arial" w:hAnsi="Arial" w:cs="Arial"/>
          <w:sz w:val="15"/>
          <w:szCs w:val="15"/>
        </w:rPr>
        <w:t>注：由于银联支付时间差，销售回款中POS刷卡收入将于次一工作日进入项目公司相应账户</w:t>
      </w:r>
    </w:p>
    <w:p>
      <w:pPr>
        <w:pStyle w:val="3"/>
        <w:spacing w:before="300" w:after="300" w:line="360" w:lineRule="exact"/>
        <w:rPr>
          <w:rFonts w:eastAsia="宋体" w:cs="Arial"/>
          <w:color w:val="FF0000"/>
          <w:sz w:val="24"/>
          <w:szCs w:val="24"/>
        </w:rPr>
      </w:pPr>
      <w:bookmarkStart w:id="53" w:name="_Toc20099"/>
      <w:r>
        <w:rPr>
          <w:rFonts w:eastAsia="宋体" w:cs="Arial"/>
          <w:sz w:val="24"/>
          <w:szCs w:val="24"/>
        </w:rPr>
        <w:t>8.4 各银行账户余额</w:t>
      </w:r>
      <w:bookmarkEnd w:id="53"/>
    </w:p>
    <w:p>
      <w:pPr>
        <w:widowControl/>
        <w:spacing w:line="480" w:lineRule="auto"/>
        <w:ind w:firstLine="420" w:firstLineChars="200"/>
        <w:rPr>
          <w:rFonts w:ascii="Arial" w:hAnsi="Arial" w:cs="Arial"/>
          <w:kern w:val="44"/>
          <w:szCs w:val="21"/>
        </w:rPr>
      </w:pPr>
      <w:r>
        <w:rPr>
          <w:rFonts w:ascii="Arial" w:hAnsi="Arial" w:cs="Arial"/>
          <w:kern w:val="44"/>
          <w:szCs w:val="21"/>
        </w:rPr>
        <w:t>根据项目公司的银行对账单，截至2020年10月31日，项目公司各资金账户余额总计</w:t>
      </w:r>
      <w:r>
        <w:rPr>
          <w:rFonts w:ascii="Arial" w:hAnsi="Arial" w:cs="Arial"/>
          <w:color w:val="000000"/>
          <w:kern w:val="0"/>
          <w:sz w:val="20"/>
          <w:szCs w:val="20"/>
          <w:lang w:bidi="ar"/>
        </w:rPr>
        <w:t>128,723,488.18</w:t>
      </w:r>
      <w:r>
        <w:rPr>
          <w:rFonts w:ascii="Arial" w:hAnsi="Arial" w:cs="Arial"/>
          <w:kern w:val="44"/>
          <w:szCs w:val="21"/>
        </w:rPr>
        <w:drawing>
          <wp:anchor distT="0" distB="0" distL="114300" distR="114300" simplePos="0" relativeHeight="251626496"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8"/>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pPr>
        <w:spacing w:before="120" w:beforeLines="50" w:after="120" w:afterLines="50"/>
        <w:jc w:val="center"/>
        <w:rPr>
          <w:rFonts w:ascii="Arial" w:hAnsi="Arial" w:cs="Arial"/>
          <w:b/>
          <w:color w:val="000000"/>
          <w:sz w:val="24"/>
        </w:rPr>
      </w:pPr>
      <w:r>
        <w:rPr>
          <w:rFonts w:ascii="Arial" w:hAnsi="Arial" w:cs="Arial"/>
          <w:b/>
          <w:color w:val="000000"/>
          <w:sz w:val="24"/>
        </w:rPr>
        <w:t>截止2020年10月31日各银行账户余额汇总</w:t>
      </w:r>
    </w:p>
    <w:tbl>
      <w:tblPr>
        <w:tblStyle w:val="22"/>
        <w:tblW w:w="9270" w:type="dxa"/>
        <w:tblInd w:w="0" w:type="dxa"/>
        <w:tblLayout w:type="autofit"/>
        <w:tblCellMar>
          <w:top w:w="0" w:type="dxa"/>
          <w:left w:w="0" w:type="dxa"/>
          <w:bottom w:w="0" w:type="dxa"/>
          <w:right w:w="0" w:type="dxa"/>
        </w:tblCellMar>
      </w:tblPr>
      <w:tblGrid>
        <w:gridCol w:w="465"/>
        <w:gridCol w:w="3300"/>
        <w:gridCol w:w="2490"/>
        <w:gridCol w:w="1485"/>
        <w:gridCol w:w="1530"/>
      </w:tblGrid>
      <w:tr>
        <w:tblPrEx>
          <w:tblCellMar>
            <w:top w:w="0" w:type="dxa"/>
            <w:left w:w="0" w:type="dxa"/>
            <w:bottom w:w="0" w:type="dxa"/>
            <w:right w:w="0" w:type="dxa"/>
          </w:tblCellMar>
        </w:tblPrEx>
        <w:trPr>
          <w:trHeight w:val="285" w:hRule="atLeast"/>
        </w:trPr>
        <w:tc>
          <w:tcPr>
            <w:tcW w:w="46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公司</w:t>
            </w:r>
          </w:p>
        </w:tc>
        <w:tc>
          <w:tcPr>
            <w:tcW w:w="330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开户银行名称</w:t>
            </w:r>
          </w:p>
        </w:tc>
        <w:tc>
          <w:tcPr>
            <w:tcW w:w="24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账号</w:t>
            </w:r>
          </w:p>
        </w:tc>
        <w:tc>
          <w:tcPr>
            <w:tcW w:w="148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账户性质</w:t>
            </w:r>
          </w:p>
        </w:tc>
        <w:tc>
          <w:tcPr>
            <w:tcW w:w="153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账户余额</w:t>
            </w:r>
          </w:p>
        </w:tc>
      </w:tr>
      <w:tr>
        <w:tblPrEx>
          <w:tblCellMar>
            <w:top w:w="0" w:type="dxa"/>
            <w:left w:w="0" w:type="dxa"/>
            <w:bottom w:w="0" w:type="dxa"/>
            <w:right w:w="0" w:type="dxa"/>
          </w:tblCellMar>
        </w:tblPrEx>
        <w:trPr>
          <w:trHeight w:val="495" w:hRule="atLeast"/>
        </w:trPr>
        <w:tc>
          <w:tcPr>
            <w:tcW w:w="465"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中国工商银行股份有限公司武汉汉阳支行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3202 0048 0920 0990 232</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基本户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8994429.07</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中国建设银行武汉汉阳支行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4205 0121 8008 0000 0728</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一般户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5,219.61</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4205 0121 8008 0000 0763</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一般户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1500 0102 8712 87</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贷款户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421,705.21</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中国建设银行武汉汉阳支行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1508 2500 0000 73</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房易安专户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64,892.44</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1598 8074 5600 92</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一般户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1500 0103 5639 57</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74,226,032.46</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1585 1294 1700 44</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25,668,302.79</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1569 9152 0600 19</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tblPrEx>
          <w:tblCellMar>
            <w:top w:w="0" w:type="dxa"/>
            <w:left w:w="0" w:type="dxa"/>
            <w:bottom w:w="0" w:type="dxa"/>
            <w:right w:w="0" w:type="dxa"/>
          </w:tblCellMar>
        </w:tblPrEx>
        <w:trPr>
          <w:trHeight w:val="285" w:hRule="atLeast"/>
        </w:trPr>
        <w:tc>
          <w:tcPr>
            <w:tcW w:w="465"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sz w:val="20"/>
                <w:szCs w:val="20"/>
              </w:rPr>
            </w:pP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平安银行武汉汉口支行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1560 5445 0900 58</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预售监管账户</w:t>
            </w:r>
          </w:p>
        </w:tc>
        <w:tc>
          <w:tcPr>
            <w:tcW w:w="15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19,120,475.66</w:t>
            </w:r>
          </w:p>
        </w:tc>
      </w:tr>
      <w:tr>
        <w:tblPrEx>
          <w:tblCellMar>
            <w:top w:w="0" w:type="dxa"/>
            <w:left w:w="0" w:type="dxa"/>
            <w:bottom w:w="0" w:type="dxa"/>
            <w:right w:w="0" w:type="dxa"/>
          </w:tblCellMar>
        </w:tblPrEx>
        <w:trPr>
          <w:trHeight w:val="285" w:hRule="atLeast"/>
        </w:trPr>
        <w:tc>
          <w:tcPr>
            <w:tcW w:w="46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3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招商银行解放公园支行</w:t>
            </w:r>
          </w:p>
        </w:tc>
        <w:tc>
          <w:tcPr>
            <w:tcW w:w="24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1279 1386 1710 902</w:t>
            </w:r>
          </w:p>
        </w:tc>
        <w:tc>
          <w:tcPr>
            <w:tcW w:w="148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基本户</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222,430.94</w:t>
            </w:r>
          </w:p>
        </w:tc>
      </w:tr>
      <w:tr>
        <w:tblPrEx>
          <w:tblCellMar>
            <w:top w:w="0" w:type="dxa"/>
            <w:left w:w="0" w:type="dxa"/>
            <w:bottom w:w="0" w:type="dxa"/>
            <w:right w:w="0"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bottom"/>
          </w:tcPr>
          <w:p>
            <w:pPr>
              <w:jc w:val="center"/>
              <w:rPr>
                <w:rFonts w:ascii="Arial" w:hAnsi="Arial" w:cs="Arial"/>
                <w:color w:val="000000"/>
                <w:sz w:val="20"/>
                <w:szCs w:val="20"/>
              </w:rPr>
            </w:pP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rPr>
                <w:rFonts w:ascii="Arial" w:hAnsi="Arial" w:cs="Arial"/>
                <w:color w:val="000000"/>
                <w:sz w:val="20"/>
                <w:szCs w:val="20"/>
              </w:rPr>
            </w:pPr>
          </w:p>
        </w:tc>
        <w:tc>
          <w:tcPr>
            <w:tcW w:w="0" w:type="auto"/>
            <w:gridSpan w:val="2"/>
            <w:tcBorders>
              <w:top w:val="nil"/>
              <w:left w:val="nil"/>
              <w:bottom w:val="single" w:color="000000" w:sz="8" w:space="0"/>
              <w:right w:val="single" w:color="000000" w:sz="8" w:space="0"/>
            </w:tcBorders>
            <w:shd w:val="clear" w:color="auto" w:fill="auto"/>
            <w:noWrap/>
            <w:tcMar>
              <w:top w:w="15" w:type="dxa"/>
              <w:left w:w="15" w:type="dxa"/>
              <w:right w:w="15" w:type="dxa"/>
            </w:tcMar>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合计</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128,723,488.18</w:t>
            </w:r>
          </w:p>
        </w:tc>
      </w:tr>
    </w:tbl>
    <w:p>
      <w:pPr>
        <w:spacing w:before="120" w:beforeLines="50" w:after="120" w:afterLines="50"/>
        <w:jc w:val="center"/>
        <w:rPr>
          <w:rFonts w:ascii="Arial" w:hAnsi="Arial" w:cs="Arial"/>
          <w:b/>
          <w:color w:val="000000"/>
          <w:sz w:val="24"/>
        </w:rPr>
      </w:pPr>
    </w:p>
    <w:p>
      <w:pPr>
        <w:spacing w:before="120" w:beforeLines="50" w:after="120" w:afterLines="50"/>
        <w:jc w:val="center"/>
        <w:rPr>
          <w:rFonts w:ascii="Arial" w:hAnsi="Arial" w:cs="Arial"/>
          <w:b/>
          <w:color w:val="000000"/>
          <w:sz w:val="24"/>
        </w:rPr>
      </w:pPr>
    </w:p>
    <w:p>
      <w:pPr>
        <w:rPr>
          <w:rFonts w:ascii="Arial" w:hAnsi="Arial" w:cs="Arial"/>
        </w:rPr>
      </w:pPr>
    </w:p>
    <w:p>
      <w:pPr>
        <w:spacing w:before="300" w:after="300" w:line="360" w:lineRule="exact"/>
        <w:jc w:val="left"/>
        <w:rPr>
          <w:rFonts w:ascii="Arial" w:hAnsi="Arial" w:cs="Arial"/>
          <w:color w:val="000000"/>
          <w:sz w:val="24"/>
        </w:rPr>
      </w:pPr>
      <w:r>
        <w:rPr>
          <w:rFonts w:ascii="Arial" w:hAnsi="Arial" w:cs="Arial"/>
          <w:color w:val="000000"/>
          <w:sz w:val="24"/>
        </w:rPr>
        <w:br w:type="page"/>
      </w:r>
    </w:p>
    <w:p>
      <w:pPr>
        <w:pStyle w:val="3"/>
        <w:spacing w:before="300" w:after="300" w:line="360" w:lineRule="exact"/>
        <w:jc w:val="left"/>
        <w:rPr>
          <w:rFonts w:cs="Arial"/>
          <w:color w:val="000000"/>
          <w:sz w:val="24"/>
          <w:szCs w:val="24"/>
        </w:rPr>
      </w:pPr>
      <w:bookmarkStart w:id="54" w:name="_Toc5797"/>
      <w:r>
        <w:rPr>
          <w:rFonts w:eastAsia="宋体" w:cs="Arial"/>
          <w:color w:val="000000"/>
          <w:sz w:val="24"/>
          <w:szCs w:val="24"/>
        </w:rPr>
        <w:t>附件</w:t>
      </w:r>
      <w:bookmarkEnd w:id="54"/>
      <w:bookmarkStart w:id="55" w:name="_Toc535570762"/>
      <w:bookmarkStart w:id="56" w:name="_Toc514075669"/>
      <w:bookmarkStart w:id="57" w:name="_Toc535508648"/>
      <w:bookmarkStart w:id="58" w:name="_Toc535580103"/>
      <w:bookmarkStart w:id="59" w:name="_Toc535580035"/>
    </w:p>
    <w:p>
      <w:pPr>
        <w:pStyle w:val="3"/>
        <w:spacing w:before="300" w:after="300" w:line="360" w:lineRule="exact"/>
        <w:jc w:val="left"/>
        <w:rPr>
          <w:rFonts w:cs="Arial"/>
          <w:color w:val="000000"/>
          <w:sz w:val="24"/>
          <w:szCs w:val="24"/>
        </w:rPr>
      </w:pPr>
      <w:bookmarkStart w:id="60" w:name="_Toc7135"/>
      <w:r>
        <w:rPr>
          <w:rFonts w:eastAsia="宋体" w:cs="Arial"/>
          <w:color w:val="000000"/>
          <w:sz w:val="24"/>
          <w:szCs w:val="24"/>
        </w:rPr>
        <w:t>附件</w:t>
      </w:r>
      <w:bookmarkEnd w:id="55"/>
      <w:bookmarkEnd w:id="56"/>
      <w:bookmarkEnd w:id="57"/>
      <w:bookmarkEnd w:id="58"/>
      <w:bookmarkEnd w:id="59"/>
      <w:r>
        <w:rPr>
          <w:rFonts w:eastAsia="宋体" w:cs="Arial"/>
          <w:color w:val="000000"/>
          <w:sz w:val="24"/>
          <w:szCs w:val="24"/>
        </w:rPr>
        <w:t>一 三块地项目总平面图</w:t>
      </w:r>
      <w:bookmarkEnd w:id="60"/>
      <w:r>
        <w:rPr>
          <w:rFonts w:eastAsia="宋体" w:cs="Arial"/>
          <w:color w:val="000000"/>
          <w:sz w:val="24"/>
          <w:szCs w:val="24"/>
        </w:rPr>
        <w:t xml:space="preserve"> </w:t>
      </w:r>
    </w:p>
    <w:p>
      <w:pPr>
        <w:jc w:val="center"/>
        <w:rPr>
          <w:rFonts w:ascii="Arial" w:hAnsi="Arial" w:cs="Arial"/>
          <w:szCs w:val="21"/>
        </w:rPr>
      </w:pPr>
    </w:p>
    <w:p>
      <w:pPr>
        <w:rPr>
          <w:rFonts w:ascii="Arial" w:hAnsi="Arial" w:cs="Arial"/>
          <w:b/>
          <w:bCs/>
          <w:szCs w:val="21"/>
        </w:rPr>
      </w:pPr>
      <w:r>
        <w:rPr>
          <w:rFonts w:hint="eastAsia" w:ascii="Arial" w:hAnsi="Arial" w:cs="Arial"/>
          <w:b/>
          <w:bCs/>
          <w:szCs w:val="21"/>
        </w:rPr>
        <w:t>正舟项目图</w:t>
      </w:r>
    </w:p>
    <w:p>
      <w:pPr>
        <w:rPr>
          <w:rFonts w:ascii="Arial" w:hAnsi="Arial" w:cs="Arial"/>
          <w:b/>
          <w:bCs/>
          <w:szCs w:val="21"/>
        </w:rPr>
      </w:pPr>
      <w:r>
        <w:rPr>
          <w:rFonts w:ascii="Arial" w:hAnsi="Arial" w:cs="Arial"/>
        </w:rP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19"/>
                    <a:stretch>
                      <a:fillRect/>
                    </a:stretch>
                  </pic:blipFill>
                  <pic:spPr>
                    <a:xfrm>
                      <a:off x="0" y="0"/>
                      <a:ext cx="5697220" cy="3420110"/>
                    </a:xfrm>
                    <a:prstGeom prst="rect">
                      <a:avLst/>
                    </a:prstGeom>
                    <a:noFill/>
                    <a:ln>
                      <a:noFill/>
                    </a:ln>
                  </pic:spPr>
                </pic:pic>
              </a:graphicData>
            </a:graphic>
          </wp:inline>
        </w:drawing>
      </w:r>
    </w:p>
    <w:p>
      <w:pPr>
        <w:rPr>
          <w:rFonts w:cs="Arial"/>
        </w:rPr>
      </w:pPr>
    </w:p>
    <w:p>
      <w:pPr>
        <w:rPr>
          <w:rFonts w:ascii="Arial" w:hAnsi="Arial" w:cs="Arial"/>
          <w:b/>
          <w:bCs/>
        </w:rPr>
      </w:pPr>
      <w:r>
        <w:rPr>
          <w:rFonts w:cs="Arial"/>
        </w:rPr>
        <w:drawing>
          <wp:inline distT="0" distB="0" distL="114300" distR="11430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0"/>
                    <a:stretch>
                      <a:fillRect/>
                    </a:stretch>
                  </pic:blipFill>
                  <pic:spPr>
                    <a:xfrm>
                      <a:off x="0" y="0"/>
                      <a:ext cx="5720080" cy="3217545"/>
                    </a:xfrm>
                    <a:prstGeom prst="rect">
                      <a:avLst/>
                    </a:prstGeom>
                  </pic:spPr>
                </pic:pic>
              </a:graphicData>
            </a:graphic>
          </wp:inline>
        </w:drawing>
      </w:r>
    </w:p>
    <w:p>
      <w:pPr>
        <w:rPr>
          <w:rFonts w:ascii="Arial" w:hAnsi="Arial" w:cs="Arial"/>
          <w:b/>
          <w:bCs/>
        </w:rPr>
      </w:pPr>
    </w:p>
    <w:p>
      <w:pPr>
        <w:pStyle w:val="3"/>
        <w:spacing w:before="300" w:after="300" w:line="360" w:lineRule="exact"/>
        <w:jc w:val="left"/>
        <w:rPr>
          <w:rFonts w:eastAsia="宋体" w:cs="Arial"/>
          <w:color w:val="000000"/>
          <w:sz w:val="24"/>
          <w:szCs w:val="24"/>
        </w:rPr>
      </w:pPr>
      <w:bookmarkStart w:id="61" w:name="_Toc69"/>
      <w:r>
        <w:rPr>
          <w:rFonts w:cs="Arial"/>
        </w:rPr>
        <w:br w:type="page"/>
      </w:r>
      <w:r>
        <w:rPr>
          <w:rFonts w:eastAsia="宋体" w:cs="Arial"/>
          <w:color w:val="000000"/>
          <w:sz w:val="24"/>
          <w:szCs w:val="24"/>
        </w:rPr>
        <w:t>附件</w:t>
      </w:r>
      <w:r>
        <w:rPr>
          <w:rFonts w:hint="eastAsia" w:eastAsia="宋体" w:cs="Arial"/>
          <w:color w:val="000000"/>
          <w:sz w:val="24"/>
          <w:szCs w:val="24"/>
        </w:rPr>
        <w:t>二</w:t>
      </w:r>
      <w:r>
        <w:rPr>
          <w:rFonts w:eastAsia="宋体" w:cs="Arial"/>
          <w:color w:val="000000"/>
          <w:sz w:val="24"/>
          <w:szCs w:val="24"/>
        </w:rPr>
        <w:t xml:space="preserve"> 印鉴卡</w:t>
      </w:r>
      <w:bookmarkEnd w:id="61"/>
    </w:p>
    <w:p>
      <w:pPr>
        <w:rPr>
          <w:rFonts w:cs="Arial"/>
          <w:sz w:val="24"/>
        </w:rPr>
      </w:pPr>
    </w:p>
    <w:p>
      <w:pPr>
        <w:jc w:val="center"/>
        <w:rPr>
          <w:rFonts w:cs="Arial"/>
          <w:sz w:val="24"/>
        </w:rPr>
      </w:pPr>
      <w:r>
        <w:rPr>
          <w:rFonts w:hint="eastAsia" w:cs="Arial"/>
          <w:sz w:val="24"/>
        </w:rPr>
        <w:t>工商银行印鉴卡</w:t>
      </w:r>
    </w:p>
    <w:p>
      <w:pPr>
        <w:jc w:val="left"/>
        <w:rPr>
          <w:rFonts w:ascii="Arial" w:hAnsi="Arial" w:cs="Arial"/>
          <w:b/>
          <w:bCs/>
        </w:rPr>
      </w:pPr>
    </w:p>
    <w:p>
      <w:pPr>
        <w:jc w:val="center"/>
      </w:pPr>
      <w:r>
        <w:rPr>
          <w:rFonts w:hint="eastAsia"/>
        </w:rPr>
        <w:drawing>
          <wp:inline distT="0" distB="0" distL="114300" distR="114300">
            <wp:extent cx="5294630" cy="7521575"/>
            <wp:effectExtent l="0" t="0" r="1270" b="3175"/>
            <wp:docPr id="249" name="图片 249" descr="160500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1605000271(1)"/>
                    <pic:cNvPicPr>
                      <a:picLocks noChangeAspect="1"/>
                    </pic:cNvPicPr>
                  </pic:nvPicPr>
                  <pic:blipFill>
                    <a:blip r:embed="rId21"/>
                    <a:stretch>
                      <a:fillRect/>
                    </a:stretch>
                  </pic:blipFill>
                  <pic:spPr>
                    <a:xfrm>
                      <a:off x="0" y="0"/>
                      <a:ext cx="5294630" cy="7521575"/>
                    </a:xfrm>
                    <a:prstGeom prst="rect">
                      <a:avLst/>
                    </a:prstGeom>
                  </pic:spPr>
                </pic:pic>
              </a:graphicData>
            </a:graphic>
          </wp:inline>
        </w:drawing>
      </w:r>
    </w:p>
    <w:p/>
    <w:p>
      <w:r>
        <w:rPr>
          <w:rFonts w:hint="eastAsia"/>
        </w:rPr>
        <w:br w:type="page"/>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rPr>
          <w:rFonts w:ascii="Arial" w:hAnsi="Arial" w:eastAsia="宋体" w:cs="Arial"/>
          <w:color w:val="000000"/>
          <w:sz w:val="24"/>
          <w:szCs w:val="24"/>
        </w:rPr>
      </w:pPr>
      <w:bookmarkStart w:id="62" w:name="_Toc4100"/>
      <w:bookmarkStart w:id="63" w:name="_GoBack"/>
      <w:r>
        <w:rPr>
          <w:rFonts w:ascii="Arial" w:hAnsi="Arial" w:eastAsia="宋体" w:cs="Arial"/>
          <w:color w:val="000000"/>
          <w:sz w:val="24"/>
          <w:szCs w:val="24"/>
        </w:rPr>
        <w:t>附件</w:t>
      </w:r>
      <w:r>
        <w:rPr>
          <w:rFonts w:hint="eastAsia" w:ascii="Arial" w:hAnsi="Arial" w:eastAsia="宋体" w:cs="Arial"/>
          <w:color w:val="000000"/>
          <w:sz w:val="24"/>
          <w:szCs w:val="24"/>
        </w:rPr>
        <w:t>三</w:t>
      </w:r>
      <w:r>
        <w:rPr>
          <w:rFonts w:ascii="Arial" w:hAnsi="Arial" w:eastAsia="宋体" w:cs="Arial"/>
          <w:color w:val="000000"/>
          <w:sz w:val="24"/>
          <w:szCs w:val="24"/>
        </w:rPr>
        <w:t xml:space="preserve"> </w:t>
      </w:r>
      <w:r>
        <w:rPr>
          <w:rFonts w:hint="eastAsia" w:ascii="Arial" w:hAnsi="Arial" w:eastAsia="宋体" w:cs="Arial"/>
          <w:color w:val="000000"/>
          <w:sz w:val="24"/>
          <w:szCs w:val="24"/>
        </w:rPr>
        <w:t>营业执照</w:t>
      </w:r>
      <w:bookmarkEnd w:id="62"/>
    </w:p>
    <w:bookmarkEnd w:id="63"/>
    <w:p>
      <w:r>
        <w:drawing>
          <wp:inline distT="0" distB="0" distL="114300" distR="114300">
            <wp:extent cx="5897880" cy="4121150"/>
            <wp:effectExtent l="0" t="0" r="7620" b="1270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897880" cy="4121150"/>
                    </a:xfrm>
                    <a:prstGeom prst="rect">
                      <a:avLst/>
                    </a:prstGeom>
                    <a:noFill/>
                    <a:ln>
                      <a:noFill/>
                    </a:ln>
                  </pic:spPr>
                </pic:pic>
              </a:graphicData>
            </a:graphic>
          </wp:inline>
        </w:drawing>
      </w:r>
    </w:p>
    <w:p>
      <w:pPr>
        <w:pStyle w:val="3"/>
        <w:spacing w:before="300" w:after="300" w:line="360" w:lineRule="exact"/>
        <w:jc w:val="left"/>
        <w:rPr>
          <w:rFonts w:cs="Arial"/>
          <w:color w:val="000000"/>
          <w:sz w:val="24"/>
          <w:szCs w:val="24"/>
        </w:rPr>
      </w:pP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年10月监管报告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A1E0CA"/>
    <w:multiLevelType w:val="singleLevel"/>
    <w:tmpl w:val="FEA1E0CA"/>
    <w:lvl w:ilvl="0" w:tentative="0">
      <w:start w:val="1"/>
      <w:numFmt w:val="decimal"/>
      <w:lvlText w:val="(%1)"/>
      <w:lvlJc w:val="left"/>
      <w:pPr>
        <w:ind w:left="425" w:hanging="425"/>
      </w:pPr>
      <w:rPr>
        <w:rFonts w:hint="default"/>
      </w:rPr>
    </w:lvl>
  </w:abstractNum>
  <w:abstractNum w:abstractNumId="1">
    <w:nsid w:val="6BB1B810"/>
    <w:multiLevelType w:val="singleLevel"/>
    <w:tmpl w:val="6BB1B810"/>
    <w:lvl w:ilvl="0" w:tentative="0">
      <w:start w:val="5"/>
      <w:numFmt w:val="decimal"/>
      <w:suff w:val="nothing"/>
      <w:lvlText w:val="（%1）"/>
      <w:lvlJc w:val="left"/>
    </w:lvl>
  </w:abstractNum>
  <w:abstractNum w:abstractNumId="2">
    <w:nsid w:val="7E12F0E0"/>
    <w:multiLevelType w:val="singleLevel"/>
    <w:tmpl w:val="7E12F0E0"/>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4454EE4"/>
    <w:rsid w:val="04D5358E"/>
    <w:rsid w:val="058B20AB"/>
    <w:rsid w:val="05A655CF"/>
    <w:rsid w:val="05CE1342"/>
    <w:rsid w:val="05FE1AC1"/>
    <w:rsid w:val="06A30AF5"/>
    <w:rsid w:val="06A844B1"/>
    <w:rsid w:val="07605C90"/>
    <w:rsid w:val="08016A1E"/>
    <w:rsid w:val="083421B7"/>
    <w:rsid w:val="089374F7"/>
    <w:rsid w:val="08FE0F5A"/>
    <w:rsid w:val="090A6A03"/>
    <w:rsid w:val="09746F62"/>
    <w:rsid w:val="09AC7942"/>
    <w:rsid w:val="09BF46FF"/>
    <w:rsid w:val="0A49582A"/>
    <w:rsid w:val="0A5346C4"/>
    <w:rsid w:val="0B234042"/>
    <w:rsid w:val="0B384735"/>
    <w:rsid w:val="0B3908EA"/>
    <w:rsid w:val="0B5A72F2"/>
    <w:rsid w:val="0B6D7432"/>
    <w:rsid w:val="0B7424F0"/>
    <w:rsid w:val="0B8E42AA"/>
    <w:rsid w:val="0BA12BCB"/>
    <w:rsid w:val="0BFF6CB1"/>
    <w:rsid w:val="0C084040"/>
    <w:rsid w:val="0C1F5D8D"/>
    <w:rsid w:val="0C352D20"/>
    <w:rsid w:val="0C3F5FFA"/>
    <w:rsid w:val="0CD278BE"/>
    <w:rsid w:val="0CDC3036"/>
    <w:rsid w:val="0CE622A7"/>
    <w:rsid w:val="0CFB32FE"/>
    <w:rsid w:val="0DC97627"/>
    <w:rsid w:val="0EA84BA0"/>
    <w:rsid w:val="0F185873"/>
    <w:rsid w:val="0F25044B"/>
    <w:rsid w:val="0F5A1EAC"/>
    <w:rsid w:val="0F720029"/>
    <w:rsid w:val="10142BB6"/>
    <w:rsid w:val="10274AF8"/>
    <w:rsid w:val="10B2324F"/>
    <w:rsid w:val="10EC5CE4"/>
    <w:rsid w:val="129737AA"/>
    <w:rsid w:val="12CD4F60"/>
    <w:rsid w:val="13CF0210"/>
    <w:rsid w:val="14176954"/>
    <w:rsid w:val="14545F6A"/>
    <w:rsid w:val="14F326D6"/>
    <w:rsid w:val="15FE3ACA"/>
    <w:rsid w:val="16A65EC9"/>
    <w:rsid w:val="16ED7B96"/>
    <w:rsid w:val="17415842"/>
    <w:rsid w:val="178E5723"/>
    <w:rsid w:val="17EB5AB4"/>
    <w:rsid w:val="18370E16"/>
    <w:rsid w:val="18661677"/>
    <w:rsid w:val="18AD5232"/>
    <w:rsid w:val="19046E10"/>
    <w:rsid w:val="1905656F"/>
    <w:rsid w:val="195607A8"/>
    <w:rsid w:val="19D02AC6"/>
    <w:rsid w:val="1AF36D63"/>
    <w:rsid w:val="1BC072B6"/>
    <w:rsid w:val="1BE53E44"/>
    <w:rsid w:val="1C53481D"/>
    <w:rsid w:val="1C980A78"/>
    <w:rsid w:val="1CAE21A8"/>
    <w:rsid w:val="1D154784"/>
    <w:rsid w:val="1DAA4F0A"/>
    <w:rsid w:val="1DF36C13"/>
    <w:rsid w:val="1E19117D"/>
    <w:rsid w:val="1E75607D"/>
    <w:rsid w:val="1E800AA8"/>
    <w:rsid w:val="1F0E03BD"/>
    <w:rsid w:val="1FA85D73"/>
    <w:rsid w:val="1FE07798"/>
    <w:rsid w:val="20236A3E"/>
    <w:rsid w:val="206D3B6C"/>
    <w:rsid w:val="20B76339"/>
    <w:rsid w:val="20CC4FEE"/>
    <w:rsid w:val="21297269"/>
    <w:rsid w:val="21654CFD"/>
    <w:rsid w:val="21E60796"/>
    <w:rsid w:val="225D766B"/>
    <w:rsid w:val="233174B1"/>
    <w:rsid w:val="23592FB4"/>
    <w:rsid w:val="235A4D46"/>
    <w:rsid w:val="23711F83"/>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7C0B1C"/>
    <w:rsid w:val="2B9272AF"/>
    <w:rsid w:val="2BA037BB"/>
    <w:rsid w:val="2BC15DEF"/>
    <w:rsid w:val="2C73562D"/>
    <w:rsid w:val="2CB852B6"/>
    <w:rsid w:val="2CF91C06"/>
    <w:rsid w:val="2DEE1B80"/>
    <w:rsid w:val="2E325C0E"/>
    <w:rsid w:val="2E3C0F39"/>
    <w:rsid w:val="2E3C1926"/>
    <w:rsid w:val="2EB36317"/>
    <w:rsid w:val="2EBE13B9"/>
    <w:rsid w:val="2EF04512"/>
    <w:rsid w:val="2FB8217C"/>
    <w:rsid w:val="30476383"/>
    <w:rsid w:val="30690CA1"/>
    <w:rsid w:val="30916070"/>
    <w:rsid w:val="30CA4A1B"/>
    <w:rsid w:val="30F03DFA"/>
    <w:rsid w:val="314B4163"/>
    <w:rsid w:val="31891D82"/>
    <w:rsid w:val="31A85BB4"/>
    <w:rsid w:val="323B7FFE"/>
    <w:rsid w:val="32403126"/>
    <w:rsid w:val="32AE0BA7"/>
    <w:rsid w:val="32BA57BF"/>
    <w:rsid w:val="335A61B8"/>
    <w:rsid w:val="336C796C"/>
    <w:rsid w:val="33880FB1"/>
    <w:rsid w:val="33A717F8"/>
    <w:rsid w:val="33C06C6F"/>
    <w:rsid w:val="347A6A3C"/>
    <w:rsid w:val="34CF45BC"/>
    <w:rsid w:val="34E33CC8"/>
    <w:rsid w:val="35207F9E"/>
    <w:rsid w:val="35344D2F"/>
    <w:rsid w:val="35CF1819"/>
    <w:rsid w:val="362C281C"/>
    <w:rsid w:val="36AB29B1"/>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DA841D1"/>
    <w:rsid w:val="3DD205E2"/>
    <w:rsid w:val="3E051FFD"/>
    <w:rsid w:val="3E1772C2"/>
    <w:rsid w:val="3E2323F2"/>
    <w:rsid w:val="3E4C6734"/>
    <w:rsid w:val="3EAA4BCE"/>
    <w:rsid w:val="3F7E0700"/>
    <w:rsid w:val="3FD358C1"/>
    <w:rsid w:val="40596294"/>
    <w:rsid w:val="40BF3306"/>
    <w:rsid w:val="411335F8"/>
    <w:rsid w:val="413B6DB3"/>
    <w:rsid w:val="41953547"/>
    <w:rsid w:val="42222B86"/>
    <w:rsid w:val="424E0E1D"/>
    <w:rsid w:val="439749D1"/>
    <w:rsid w:val="447B7EB4"/>
    <w:rsid w:val="45114C69"/>
    <w:rsid w:val="452D33EF"/>
    <w:rsid w:val="45805436"/>
    <w:rsid w:val="45C708C7"/>
    <w:rsid w:val="469B0AB7"/>
    <w:rsid w:val="46F13A07"/>
    <w:rsid w:val="46FF5AFC"/>
    <w:rsid w:val="475556EB"/>
    <w:rsid w:val="47E034BA"/>
    <w:rsid w:val="484E5E9A"/>
    <w:rsid w:val="4879604A"/>
    <w:rsid w:val="48FE7302"/>
    <w:rsid w:val="49764BB8"/>
    <w:rsid w:val="49A75D4B"/>
    <w:rsid w:val="4ADE2E72"/>
    <w:rsid w:val="4AF0618F"/>
    <w:rsid w:val="4B3E4718"/>
    <w:rsid w:val="4BF76AED"/>
    <w:rsid w:val="4D2470A4"/>
    <w:rsid w:val="4E10041E"/>
    <w:rsid w:val="4E443E3C"/>
    <w:rsid w:val="4EB561BF"/>
    <w:rsid w:val="4EE30A09"/>
    <w:rsid w:val="4F0936D1"/>
    <w:rsid w:val="4F3832E8"/>
    <w:rsid w:val="4F880177"/>
    <w:rsid w:val="50FD5220"/>
    <w:rsid w:val="517A54EF"/>
    <w:rsid w:val="52193772"/>
    <w:rsid w:val="526505CC"/>
    <w:rsid w:val="5309770D"/>
    <w:rsid w:val="53143C76"/>
    <w:rsid w:val="536C385D"/>
    <w:rsid w:val="53F01B6F"/>
    <w:rsid w:val="54CF428F"/>
    <w:rsid w:val="54D866BF"/>
    <w:rsid w:val="55057651"/>
    <w:rsid w:val="551A6B8C"/>
    <w:rsid w:val="551B359B"/>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B711CFB"/>
    <w:rsid w:val="5B7219C1"/>
    <w:rsid w:val="5CCF2FFE"/>
    <w:rsid w:val="5CD769EC"/>
    <w:rsid w:val="5D692489"/>
    <w:rsid w:val="5D7C3793"/>
    <w:rsid w:val="5D7F37AE"/>
    <w:rsid w:val="5DF175AC"/>
    <w:rsid w:val="5E404D9C"/>
    <w:rsid w:val="5E48254A"/>
    <w:rsid w:val="5E94732A"/>
    <w:rsid w:val="5F446F98"/>
    <w:rsid w:val="5F955873"/>
    <w:rsid w:val="61954453"/>
    <w:rsid w:val="61C30742"/>
    <w:rsid w:val="63C57042"/>
    <w:rsid w:val="64907EFF"/>
    <w:rsid w:val="64985FA5"/>
    <w:rsid w:val="655B7408"/>
    <w:rsid w:val="655C26AF"/>
    <w:rsid w:val="662A32DC"/>
    <w:rsid w:val="66C33BCC"/>
    <w:rsid w:val="66D80480"/>
    <w:rsid w:val="66FB00FF"/>
    <w:rsid w:val="67D7447E"/>
    <w:rsid w:val="68EE50E9"/>
    <w:rsid w:val="691B5623"/>
    <w:rsid w:val="693D7675"/>
    <w:rsid w:val="69592B00"/>
    <w:rsid w:val="69D22F53"/>
    <w:rsid w:val="6A1E61DB"/>
    <w:rsid w:val="6AB71A2A"/>
    <w:rsid w:val="6B903DF9"/>
    <w:rsid w:val="6CBA69D2"/>
    <w:rsid w:val="6CD63113"/>
    <w:rsid w:val="6D6161B8"/>
    <w:rsid w:val="6DC072BA"/>
    <w:rsid w:val="6DF53370"/>
    <w:rsid w:val="6E8F05BC"/>
    <w:rsid w:val="6ECE25BF"/>
    <w:rsid w:val="6F0028F8"/>
    <w:rsid w:val="6F017FD9"/>
    <w:rsid w:val="6F3B201E"/>
    <w:rsid w:val="6F420503"/>
    <w:rsid w:val="6FFF61D3"/>
    <w:rsid w:val="70335415"/>
    <w:rsid w:val="70677029"/>
    <w:rsid w:val="71AC2F36"/>
    <w:rsid w:val="72216CCE"/>
    <w:rsid w:val="73297F00"/>
    <w:rsid w:val="7332473A"/>
    <w:rsid w:val="735C0845"/>
    <w:rsid w:val="73AA67F9"/>
    <w:rsid w:val="748E2D43"/>
    <w:rsid w:val="74C207EB"/>
    <w:rsid w:val="757D4AC6"/>
    <w:rsid w:val="75B27934"/>
    <w:rsid w:val="772043EF"/>
    <w:rsid w:val="772B43E7"/>
    <w:rsid w:val="77F24450"/>
    <w:rsid w:val="78037227"/>
    <w:rsid w:val="796256D9"/>
    <w:rsid w:val="79D84F64"/>
    <w:rsid w:val="79EC7990"/>
    <w:rsid w:val="7A016A18"/>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6"/>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7"/>
    <w:qFormat/>
    <w:uiPriority w:val="0"/>
    <w:pPr>
      <w:ind w:left="100" w:leftChars="2500"/>
    </w:pPr>
  </w:style>
  <w:style w:type="paragraph" w:styleId="11">
    <w:name w:val="Balloon Text"/>
    <w:basedOn w:val="1"/>
    <w:link w:val="32"/>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3"/>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5"/>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1 字符"/>
    <w:link w:val="2"/>
    <w:qFormat/>
    <w:uiPriority w:val="0"/>
    <w:rPr>
      <w:b/>
      <w:bCs/>
      <w:kern w:val="44"/>
      <w:sz w:val="44"/>
      <w:szCs w:val="44"/>
    </w:rPr>
  </w:style>
  <w:style w:type="character" w:customStyle="1" w:styleId="29">
    <w:name w:val="标题 2 字符"/>
    <w:link w:val="3"/>
    <w:qFormat/>
    <w:uiPriority w:val="0"/>
    <w:rPr>
      <w:rFonts w:ascii="Arial" w:hAnsi="Arial" w:eastAsia="黑体"/>
      <w:b/>
      <w:bCs/>
      <w:kern w:val="2"/>
      <w:sz w:val="32"/>
      <w:szCs w:val="32"/>
    </w:rPr>
  </w:style>
  <w:style w:type="character" w:customStyle="1" w:styleId="30">
    <w:name w:val="页脚 字符"/>
    <w:link w:val="12"/>
    <w:qFormat/>
    <w:uiPriority w:val="99"/>
    <w:rPr>
      <w:kern w:val="2"/>
      <w:sz w:val="18"/>
      <w:szCs w:val="18"/>
    </w:rPr>
  </w:style>
  <w:style w:type="character" w:customStyle="1" w:styleId="31">
    <w:name w:val="font11"/>
    <w:qFormat/>
    <w:uiPriority w:val="0"/>
    <w:rPr>
      <w:rFonts w:hint="eastAsia" w:ascii="宋体" w:hAnsi="宋体" w:eastAsia="宋体" w:cs="宋体"/>
      <w:color w:val="000000"/>
      <w:sz w:val="20"/>
      <w:szCs w:val="20"/>
      <w:u w:val="none"/>
    </w:rPr>
  </w:style>
  <w:style w:type="character" w:customStyle="1" w:styleId="32">
    <w:name w:val="批注框文本 字符"/>
    <w:link w:val="11"/>
    <w:qFormat/>
    <w:uiPriority w:val="0"/>
    <w:rPr>
      <w:kern w:val="2"/>
      <w:sz w:val="18"/>
      <w:szCs w:val="18"/>
    </w:rPr>
  </w:style>
  <w:style w:type="character" w:customStyle="1" w:styleId="33">
    <w:name w:val="正文文本缩进 3 字符"/>
    <w:link w:val="17"/>
    <w:qFormat/>
    <w:uiPriority w:val="0"/>
    <w:rPr>
      <w:kern w:val="11"/>
      <w:sz w:val="28"/>
      <w:szCs w:val="24"/>
    </w:rPr>
  </w:style>
  <w:style w:type="character" w:customStyle="1" w:styleId="34">
    <w:name w:val="页眉 字符"/>
    <w:link w:val="13"/>
    <w:qFormat/>
    <w:uiPriority w:val="0"/>
    <w:rPr>
      <w:kern w:val="2"/>
      <w:sz w:val="18"/>
      <w:szCs w:val="18"/>
    </w:rPr>
  </w:style>
  <w:style w:type="character" w:customStyle="1" w:styleId="35">
    <w:name w:val="批注主题 字符"/>
    <w:link w:val="21"/>
    <w:qFormat/>
    <w:uiPriority w:val="0"/>
    <w:rPr>
      <w:b/>
      <w:bCs/>
      <w:kern w:val="2"/>
      <w:sz w:val="21"/>
      <w:szCs w:val="24"/>
    </w:rPr>
  </w:style>
  <w:style w:type="character" w:customStyle="1" w:styleId="36">
    <w:name w:val="批注文字 字符"/>
    <w:link w:val="6"/>
    <w:qFormat/>
    <w:uiPriority w:val="0"/>
    <w:rPr>
      <w:kern w:val="2"/>
      <w:sz w:val="21"/>
      <w:szCs w:val="24"/>
    </w:rPr>
  </w:style>
  <w:style w:type="character" w:customStyle="1" w:styleId="37">
    <w:name w:val="日期 字符"/>
    <w:link w:val="10"/>
    <w:qFormat/>
    <w:uiPriority w:val="0"/>
    <w:rPr>
      <w:kern w:val="2"/>
      <w:sz w:val="21"/>
      <w:szCs w:val="24"/>
    </w:rPr>
  </w:style>
  <w:style w:type="paragraph" w:styleId="38">
    <w:name w:val="List Paragraph"/>
    <w:basedOn w:val="1"/>
    <w:qFormat/>
    <w:uiPriority w:val="34"/>
    <w:pPr>
      <w:ind w:firstLine="420" w:firstLineChars="200"/>
    </w:pPr>
    <w:rPr>
      <w:rFonts w:ascii="Calibri" w:hAnsi="Calibri"/>
      <w:szCs w:val="22"/>
    </w:rPr>
  </w:style>
  <w:style w:type="paragraph" w:customStyle="1" w:styleId="3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0">
    <w:name w:val="列表段落1"/>
    <w:basedOn w:val="1"/>
    <w:qFormat/>
    <w:uiPriority w:val="0"/>
    <w:pPr>
      <w:ind w:firstLine="420" w:firstLineChars="200"/>
    </w:pPr>
    <w:rPr>
      <w:rFonts w:ascii="Calibri" w:hAnsi="Calibri"/>
      <w:szCs w:val="22"/>
    </w:rPr>
  </w:style>
  <w:style w:type="paragraph" w:customStyle="1" w:styleId="4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z-窗体顶端1"/>
    <w:basedOn w:val="1"/>
    <w:next w:val="1"/>
    <w:link w:val="43"/>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3">
    <w:name w:val="z-窗体顶端 字符"/>
    <w:link w:val="42"/>
    <w:semiHidden/>
    <w:qFormat/>
    <w:uiPriority w:val="99"/>
    <w:rPr>
      <w:rFonts w:ascii="Arial" w:hAnsi="Arial" w:cs="Arial"/>
      <w:vanish/>
      <w:sz w:val="16"/>
      <w:szCs w:val="16"/>
    </w:rPr>
  </w:style>
  <w:style w:type="paragraph" w:customStyle="1" w:styleId="44">
    <w:name w:val="z-窗体底端1"/>
    <w:basedOn w:val="1"/>
    <w:next w:val="1"/>
    <w:link w:val="45"/>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5">
    <w:name w:val="z-窗体底端 字符"/>
    <w:link w:val="44"/>
    <w:qFormat/>
    <w:uiPriority w:val="99"/>
    <w:rPr>
      <w:rFonts w:ascii="Arial" w:hAnsi="Arial" w:cs="Arial"/>
      <w:vanish/>
      <w:sz w:val="16"/>
      <w:szCs w:val="16"/>
    </w:rPr>
  </w:style>
  <w:style w:type="table" w:customStyle="1" w:styleId="46">
    <w:name w:val="网格型1"/>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8">
    <w:name w:val="font41"/>
    <w:basedOn w:val="24"/>
    <w:qFormat/>
    <w:uiPriority w:val="0"/>
    <w:rPr>
      <w:rFonts w:ascii="Arial" w:hAnsi="Arial" w:cs="Arial"/>
      <w:color w:val="000000"/>
      <w:sz w:val="20"/>
      <w:szCs w:val="20"/>
      <w:u w:val="none"/>
    </w:rPr>
  </w:style>
  <w:style w:type="character" w:customStyle="1" w:styleId="49">
    <w:name w:val="font21"/>
    <w:basedOn w:val="24"/>
    <w:qFormat/>
    <w:uiPriority w:val="0"/>
    <w:rPr>
      <w:rFonts w:hint="eastAsia" w:ascii="宋体" w:hAnsi="宋体" w:eastAsia="宋体" w:cs="宋体"/>
      <w:color w:val="000000"/>
      <w:sz w:val="20"/>
      <w:szCs w:val="20"/>
      <w:u w:val="none"/>
    </w:rPr>
  </w:style>
  <w:style w:type="character" w:customStyle="1" w:styleId="50">
    <w:name w:val="font31"/>
    <w:basedOn w:val="24"/>
    <w:qFormat/>
    <w:uiPriority w:val="0"/>
    <w:rPr>
      <w:rFonts w:hint="default" w:ascii="Arial" w:hAnsi="Arial" w:cs="Arial"/>
      <w:color w:val="000000"/>
      <w:sz w:val="20"/>
      <w:szCs w:val="20"/>
      <w:u w:val="none"/>
    </w:rPr>
  </w:style>
  <w:style w:type="character" w:customStyle="1" w:styleId="51">
    <w:name w:val="font01"/>
    <w:basedOn w:val="24"/>
    <w:qFormat/>
    <w:uiPriority w:val="0"/>
    <w:rPr>
      <w:rFonts w:hint="default" w:ascii="Arial" w:hAnsi="Arial" w:cs="Arial"/>
      <w:color w:val="000000"/>
      <w:sz w:val="20"/>
      <w:szCs w:val="20"/>
      <w:u w:val="none"/>
    </w:rPr>
  </w:style>
  <w:style w:type="character" w:customStyle="1" w:styleId="52">
    <w:name w:val="font51"/>
    <w:basedOn w:val="24"/>
    <w:qFormat/>
    <w:uiPriority w:val="0"/>
    <w:rPr>
      <w:rFonts w:hint="eastAsia" w:ascii="Batang" w:hAnsi="Batang" w:eastAsia="Batang" w:cs="Batang"/>
      <w:b/>
      <w:color w:val="000000"/>
      <w:sz w:val="20"/>
      <w:szCs w:val="20"/>
      <w:u w:val="none"/>
    </w:rPr>
  </w:style>
  <w:style w:type="character" w:customStyle="1" w:styleId="53">
    <w:name w:val="font61"/>
    <w:basedOn w:val="24"/>
    <w:qFormat/>
    <w:uiPriority w:val="0"/>
    <w:rPr>
      <w:rFonts w:hint="eastAsia" w:ascii="宋体" w:hAnsi="宋体" w:eastAsia="宋体" w:cs="宋体"/>
      <w:b/>
      <w:color w:val="000000"/>
      <w:sz w:val="20"/>
      <w:szCs w:val="20"/>
      <w:u w:val="none"/>
    </w:rPr>
  </w:style>
  <w:style w:type="character" w:customStyle="1" w:styleId="54">
    <w:name w:val="font71"/>
    <w:basedOn w:val="24"/>
    <w:qFormat/>
    <w:uiPriority w:val="0"/>
    <w:rPr>
      <w:rFonts w:hint="default" w:ascii="Arial" w:hAnsi="Arial" w:cs="Arial"/>
      <w:color w:val="000000"/>
      <w:sz w:val="20"/>
      <w:szCs w:val="20"/>
      <w:u w:val="none"/>
    </w:rPr>
  </w:style>
  <w:style w:type="character" w:customStyle="1" w:styleId="55">
    <w:name w:val="font101"/>
    <w:basedOn w:val="24"/>
    <w:qFormat/>
    <w:uiPriority w:val="0"/>
    <w:rPr>
      <w:rFonts w:hint="eastAsia" w:ascii="宋体" w:hAnsi="宋体" w:eastAsia="宋体" w:cs="宋体"/>
      <w:color w:val="000000"/>
      <w:sz w:val="20"/>
      <w:szCs w:val="20"/>
      <w:u w:val="none"/>
    </w:rPr>
  </w:style>
  <w:style w:type="character" w:customStyle="1" w:styleId="56">
    <w:name w:val="font91"/>
    <w:basedOn w:val="24"/>
    <w:qFormat/>
    <w:uiPriority w:val="0"/>
    <w:rPr>
      <w:rFonts w:hint="default" w:ascii="Arial" w:hAnsi="Arial" w:cs="Arial"/>
      <w:color w:val="000000"/>
      <w:sz w:val="20"/>
      <w:szCs w:val="20"/>
      <w:u w:val="none"/>
    </w:rPr>
  </w:style>
  <w:style w:type="paragraph" w:customStyle="1" w:styleId="57">
    <w:name w:val="样式1"/>
    <w:basedOn w:val="1"/>
    <w:qFormat/>
    <w:uiPriority w:val="0"/>
  </w:style>
  <w:style w:type="paragraph" w:customStyle="1" w:styleId="58">
    <w:name w:val="样式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3494</Words>
  <Characters>19922</Characters>
  <Lines>166</Lines>
  <Paragraphs>46</Paragraphs>
  <TotalTime>2</TotalTime>
  <ScaleCrop>false</ScaleCrop>
  <LinksUpToDate>false</LinksUpToDate>
  <CharactersWithSpaces>23370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zhenny</cp:lastModifiedBy>
  <cp:lastPrinted>2020-03-12T03:51:00Z</cp:lastPrinted>
  <dcterms:modified xsi:type="dcterms:W3CDTF">2020-11-12T01:54:56Z</dcterms:modified>
  <dc:title>信托计划监管报告</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