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2020年1</w:t>
      </w:r>
      <w:r>
        <w:rPr>
          <w:rFonts w:hint="eastAsia" w:ascii="Arial" w:hAnsi="Arial" w:cs="Arial"/>
          <w:b/>
          <w:sz w:val="36"/>
          <w:lang w:val="en-US" w:eastAsia="zh-CN"/>
        </w:rPr>
        <w:t>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1"/>
          <w:szCs w:val="21"/>
        </w:rPr>
      </w:pPr>
      <w:r>
        <w:rPr>
          <w:rFonts w:ascii="Arial" w:hAnsi="Arial" w:cs="Arial"/>
          <w:b/>
          <w:color w:val="000000"/>
          <w:sz w:val="21"/>
          <w:szCs w:val="21"/>
        </w:rPr>
        <w:t>项目名称：光大信托·瑞华6号武汉汉口正荣府项目</w:t>
      </w:r>
    </w:p>
    <w:p>
      <w:pPr>
        <w:spacing w:line="480" w:lineRule="auto"/>
        <w:ind w:left="2517" w:hanging="2517" w:hangingChars="1194"/>
        <w:jc w:val="left"/>
        <w:rPr>
          <w:rFonts w:ascii="Arial" w:hAnsi="Arial" w:cs="Arial"/>
          <w:b/>
          <w:color w:val="000000"/>
          <w:sz w:val="21"/>
          <w:szCs w:val="21"/>
        </w:rPr>
      </w:pPr>
      <w:r>
        <w:rPr>
          <w:rFonts w:ascii="Arial" w:hAnsi="Arial" w:cs="Arial"/>
          <w:b/>
          <w:color w:val="000000"/>
          <w:sz w:val="21"/>
          <w:szCs w:val="21"/>
        </w:rPr>
        <w:t>委托方：光大兴陇信托有限责任公司</w:t>
      </w:r>
    </w:p>
    <w:p>
      <w:pPr>
        <w:spacing w:line="480" w:lineRule="auto"/>
        <w:ind w:left="2517" w:hanging="2517" w:hangingChars="1194"/>
        <w:jc w:val="left"/>
        <w:rPr>
          <w:rFonts w:ascii="Arial" w:hAnsi="Arial" w:cs="Arial"/>
          <w:b/>
          <w:color w:val="000000"/>
          <w:sz w:val="21"/>
          <w:szCs w:val="21"/>
        </w:rPr>
      </w:pPr>
      <w:r>
        <w:rPr>
          <w:rFonts w:ascii="Arial" w:hAnsi="Arial" w:cs="Arial"/>
          <w:b/>
          <w:color w:val="000000"/>
          <w:sz w:val="21"/>
          <w:szCs w:val="21"/>
        </w:rPr>
        <w:t>受托方：北京康信君安资产管理有限公司</w:t>
      </w:r>
    </w:p>
    <w:p>
      <w:pPr>
        <w:spacing w:line="480" w:lineRule="auto"/>
        <w:ind w:left="2517" w:hanging="2517" w:hangingChars="1194"/>
        <w:jc w:val="left"/>
        <w:rPr>
          <w:rFonts w:ascii="Arial" w:hAnsi="Arial" w:cs="Arial"/>
          <w:b/>
          <w:color w:val="000000"/>
          <w:sz w:val="21"/>
          <w:szCs w:val="21"/>
        </w:rPr>
      </w:pPr>
      <w:r>
        <w:rPr>
          <w:rFonts w:ascii="Arial" w:hAnsi="Arial" w:cs="Arial"/>
          <w:b/>
          <w:color w:val="000000"/>
          <w:sz w:val="21"/>
          <w:szCs w:val="21"/>
        </w:rPr>
        <w:t>监管人员：贺康复</w:t>
      </w:r>
    </w:p>
    <w:p>
      <w:pPr>
        <w:widowControl w:val="0"/>
        <w:spacing w:line="480" w:lineRule="auto"/>
        <w:ind w:left="2517" w:hanging="2517" w:hangingChars="1194"/>
        <w:jc w:val="left"/>
        <w:rPr>
          <w:rFonts w:ascii="Arial" w:hAnsi="Arial" w:cs="Arial"/>
          <w:b/>
          <w:color w:val="000000"/>
          <w:sz w:val="21"/>
          <w:szCs w:val="21"/>
        </w:rPr>
        <w:sectPr>
          <w:headerReference r:id="rId3" w:type="default"/>
          <w:pgSz w:w="11906" w:h="16838"/>
          <w:pgMar w:top="1134" w:right="1134" w:bottom="1134" w:left="1134" w:header="851" w:footer="851" w:gutter="340"/>
          <w:pgBorders>
            <w:top w:val="none" w:sz="0" w:space="0"/>
            <w:left w:val="none" w:sz="0" w:space="0"/>
            <w:bottom w:val="none" w:sz="0" w:space="0"/>
            <w:right w:val="none" w:sz="0" w:space="0"/>
          </w:pgBorders>
          <w:pgNumType w:fmt="numberInDash" w:start="1"/>
          <w:cols w:space="720" w:num="1"/>
          <w:titlePg/>
          <w:docGrid w:linePitch="312" w:charSpace="0"/>
        </w:sectPr>
      </w:pPr>
      <w:r>
        <w:rPr>
          <w:rFonts w:ascii="Arial" w:hAnsi="Arial" w:cs="Arial"/>
          <w:b/>
          <w:color w:val="000000"/>
          <w:sz w:val="21"/>
          <w:szCs w:val="21"/>
        </w:rPr>
        <w:t>日期：二零二零年</w:t>
      </w:r>
      <w:r>
        <w:rPr>
          <w:rFonts w:hint="eastAsia" w:ascii="Arial" w:hAnsi="Arial" w:cs="Arial"/>
          <w:b/>
          <w:color w:val="000000"/>
          <w:sz w:val="21"/>
          <w:szCs w:val="21"/>
          <w:lang w:eastAsia="zh-CN"/>
        </w:rPr>
        <w:t>一</w:t>
      </w:r>
      <w:r>
        <w:rPr>
          <w:rFonts w:ascii="Arial" w:hAnsi="Arial" w:cs="Arial"/>
          <w:b/>
          <w:color w:val="000000"/>
          <w:sz w:val="21"/>
          <w:szCs w:val="21"/>
        </w:rPr>
        <w:t>月</w:t>
      </w:r>
      <w:r>
        <w:rPr>
          <w:rFonts w:hint="eastAsia" w:ascii="Arial" w:hAnsi="Arial" w:cs="Arial"/>
          <w:b/>
          <w:color w:val="000000"/>
          <w:sz w:val="21"/>
          <w:szCs w:val="21"/>
          <w:lang w:eastAsia="zh-CN"/>
        </w:rPr>
        <w:t>七</w:t>
      </w:r>
      <w:r>
        <w:rPr>
          <w:rFonts w:ascii="Arial" w:hAnsi="Arial" w:cs="Arial"/>
          <w:b/>
          <w:color w:val="000000"/>
          <w:sz w:val="21"/>
          <w:szCs w:val="21"/>
        </w:rPr>
        <w:t>日</w:t>
      </w:r>
    </w:p>
    <w:p>
      <w:pPr>
        <w:pStyle w:val="14"/>
        <w:widowControl w:val="0"/>
        <w:spacing w:line="360" w:lineRule="auto"/>
        <w:jc w:val="center"/>
        <w:rPr>
          <w:rFonts w:ascii="Arial" w:hAnsi="Arial" w:cs="Arial"/>
          <w:b/>
          <w:bCs/>
          <w:sz w:val="28"/>
          <w:szCs w:val="28"/>
        </w:rPr>
      </w:pPr>
      <w:r>
        <w:rPr>
          <w:rFonts w:ascii="Arial" w:hAnsi="Arial" w:cs="Arial"/>
          <w:b/>
          <w:bCs/>
          <w:sz w:val="28"/>
          <w:szCs w:val="28"/>
        </w:rPr>
        <w:t>目录</w:t>
      </w:r>
    </w:p>
    <w:p>
      <w:pPr>
        <w:pStyle w:val="14"/>
        <w:widowControl w:val="0"/>
        <w:tabs>
          <w:tab w:val="right" w:leader="dot" w:pos="9298"/>
          <w:tab w:val="clear" w:pos="8302"/>
        </w:tabs>
        <w:spacing w:line="360" w:lineRule="auto"/>
        <w:jc w:val="left"/>
        <w:rPr>
          <w:rFonts w:hint="default" w:ascii="Arial" w:hAnsi="Arial" w:eastAsia="宋体" w:cs="Arial"/>
          <w:sz w:val="21"/>
          <w:szCs w:val="21"/>
        </w:rPr>
      </w:pPr>
      <w:r>
        <w:rPr>
          <w:rFonts w:ascii="Arial" w:hAnsi="Arial" w:cs="Arial"/>
          <w:sz w:val="21"/>
          <w:szCs w:val="21"/>
        </w:rPr>
        <w:fldChar w:fldCharType="begin"/>
      </w:r>
      <w:r>
        <w:rPr>
          <w:rStyle w:val="26"/>
          <w:rFonts w:ascii="Arial" w:hAnsi="Arial" w:cs="Arial"/>
          <w:sz w:val="21"/>
          <w:szCs w:val="21"/>
        </w:rPr>
        <w:instrText xml:space="preserve"> TOC \o "1-3" \h \z \u </w:instrText>
      </w:r>
      <w:r>
        <w:rPr>
          <w:rFonts w:ascii="Arial" w:hAnsi="Arial" w:cs="Arial"/>
          <w:sz w:val="21"/>
          <w:szCs w:val="21"/>
        </w:rPr>
        <w:fldChar w:fldCharType="separate"/>
      </w: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"_Toc25610" </w:instrText>
      </w:r>
      <w:r>
        <w:rPr>
          <w:rFonts w:hint="default" w:ascii="Arial" w:hAnsi="Arial" w:eastAsia="宋体" w:cs="Arial"/>
          <w:sz w:val="21"/>
          <w:szCs w:val="21"/>
        </w:rPr>
        <w:fldChar w:fldCharType="separate"/>
      </w:r>
      <w:r>
        <w:rPr>
          <w:rFonts w:hint="default" w:ascii="Arial" w:hAnsi="Arial" w:eastAsia="宋体" w:cs="Arial"/>
          <w:sz w:val="21"/>
          <w:szCs w:val="21"/>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_Toc25610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4"/>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"_Toc6196" </w:instrText>
      </w:r>
      <w:r>
        <w:rPr>
          <w:rFonts w:hint="default" w:ascii="Arial" w:hAnsi="Arial" w:eastAsia="宋体" w:cs="Arial"/>
          <w:sz w:val="21"/>
          <w:szCs w:val="21"/>
        </w:rPr>
        <w:fldChar w:fldCharType="separate"/>
      </w:r>
      <w:r>
        <w:rPr>
          <w:rFonts w:hint="default" w:ascii="Arial" w:hAnsi="Arial" w:eastAsia="宋体" w:cs="Arial"/>
          <w:sz w:val="21"/>
          <w:szCs w:val="21"/>
        </w:rPr>
        <w:t>2重大事件披露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_Toc6196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4"/>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"_Toc17426" </w:instrText>
      </w:r>
      <w:r>
        <w:rPr>
          <w:rFonts w:hint="default" w:ascii="Arial" w:hAnsi="Arial" w:eastAsia="宋体" w:cs="Arial"/>
          <w:sz w:val="21"/>
          <w:szCs w:val="21"/>
        </w:rPr>
        <w:fldChar w:fldCharType="separate"/>
      </w:r>
      <w:r>
        <w:rPr>
          <w:rFonts w:hint="default" w:ascii="Arial" w:hAnsi="Arial" w:eastAsia="宋体" w:cs="Arial"/>
          <w:sz w:val="21"/>
          <w:szCs w:val="21"/>
        </w:rPr>
        <w:t>3项目五证办理情况及施工进度情况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_Toc17426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8"/>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"_Toc26389" </w:instrText>
      </w:r>
      <w:r>
        <w:rPr>
          <w:rFonts w:hint="default" w:ascii="Arial" w:hAnsi="Arial" w:eastAsia="宋体" w:cs="Arial"/>
          <w:sz w:val="21"/>
          <w:szCs w:val="21"/>
        </w:rPr>
        <w:fldChar w:fldCharType="separate"/>
      </w:r>
      <w:r>
        <w:rPr>
          <w:rFonts w:hint="default" w:ascii="Arial" w:hAnsi="Arial" w:eastAsia="宋体" w:cs="Arial"/>
          <w:sz w:val="21"/>
          <w:szCs w:val="21"/>
        </w:rPr>
        <w:t>3.1项目五证办理情况说明</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_Toc26389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8"/>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"_Toc19242" </w:instrText>
      </w:r>
      <w:r>
        <w:rPr>
          <w:rFonts w:hint="default" w:ascii="Arial" w:hAnsi="Arial" w:eastAsia="宋体" w:cs="Arial"/>
          <w:sz w:val="21"/>
          <w:szCs w:val="21"/>
        </w:rPr>
        <w:fldChar w:fldCharType="separate"/>
      </w:r>
      <w:r>
        <w:rPr>
          <w:rFonts w:hint="default" w:ascii="Arial" w:hAnsi="Arial" w:eastAsia="宋体" w:cs="Arial"/>
          <w:sz w:val="21"/>
          <w:szCs w:val="21"/>
        </w:rPr>
        <w:t>3.2工程进度考核</w:t>
      </w:r>
      <w:r>
        <w:rPr>
          <w:rFonts w:hint="default" w:ascii="Arial" w:hAnsi="Arial" w:eastAsia="宋体" w:cs="Arial"/>
          <w:sz w:val="21"/>
          <w:szCs w:val="21"/>
        </w:rPr>
        <w:tab/>
      </w:r>
      <w:r>
        <w:rPr>
          <w:rFonts w:hint="default" w:ascii="Arial" w:hAnsi="Arial" w:eastAsia="宋体" w:cs="Arial"/>
          <w:sz w:val="21"/>
          <w:szCs w:val="21"/>
        </w:rPr>
        <w:fldChar w:fldCharType="end"/>
      </w:r>
      <w:r>
        <w:rPr>
          <w:rFonts w:hint="eastAsia" w:ascii="Arial" w:hAnsi="Arial" w:cs="Arial"/>
          <w:sz w:val="21"/>
          <w:szCs w:val="21"/>
          <w:lang w:val="en-US" w:eastAsia="zh-CN"/>
        </w:rPr>
        <w:t>2</w:t>
      </w:r>
    </w:p>
    <w:p>
      <w:pPr>
        <w:pStyle w:val="18"/>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"_Toc13505" </w:instrText>
      </w:r>
      <w:r>
        <w:rPr>
          <w:rFonts w:hint="default" w:ascii="Arial" w:hAnsi="Arial" w:eastAsia="宋体" w:cs="Arial"/>
          <w:sz w:val="21"/>
          <w:szCs w:val="21"/>
        </w:rPr>
        <w:fldChar w:fldCharType="separate"/>
      </w:r>
      <w:r>
        <w:rPr>
          <w:rFonts w:hint="default" w:ascii="Arial" w:hAnsi="Arial" w:eastAsia="宋体" w:cs="Arial"/>
          <w:sz w:val="21"/>
          <w:szCs w:val="21"/>
        </w:rPr>
        <w:t>3.3项目2020年1</w:t>
      </w:r>
      <w:r>
        <w:rPr>
          <w:rFonts w:hint="eastAsia" w:ascii="Arial" w:hAnsi="Arial" w:cs="Arial"/>
          <w:sz w:val="21"/>
          <w:szCs w:val="21"/>
          <w:lang w:val="en-US" w:eastAsia="zh-CN"/>
        </w:rPr>
        <w:t>2</w:t>
      </w:r>
      <w:r>
        <w:rPr>
          <w:rFonts w:hint="default" w:ascii="Arial" w:hAnsi="Arial" w:eastAsia="宋体" w:cs="Arial"/>
          <w:sz w:val="21"/>
          <w:szCs w:val="21"/>
        </w:rPr>
        <w:t>月份施工进度情况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_Toc13505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8"/>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"_Toc13505"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eastAsia" w:ascii="Arial" w:hAnsi="Arial" w:cs="Arial"/>
          <w:sz w:val="21"/>
          <w:szCs w:val="21"/>
          <w:lang w:val="en-US" w:eastAsia="zh-CN"/>
        </w:rPr>
        <w:t>4</w:t>
      </w:r>
      <w:r>
        <w:rPr>
          <w:rFonts w:hint="default" w:ascii="Arial" w:hAnsi="Arial" w:eastAsia="宋体" w:cs="Arial"/>
          <w:sz w:val="21"/>
          <w:szCs w:val="21"/>
        </w:rPr>
        <w:t>项目2020年</w:t>
      </w:r>
      <w:r>
        <w:rPr>
          <w:rFonts w:hint="eastAsia" w:ascii="Arial" w:hAnsi="Arial" w:cs="Arial"/>
          <w:sz w:val="21"/>
          <w:szCs w:val="21"/>
          <w:lang w:val="en-US" w:eastAsia="zh-CN"/>
        </w:rPr>
        <w:t>1</w:t>
      </w:r>
      <w:r>
        <w:rPr>
          <w:rFonts w:hint="default" w:ascii="Arial" w:hAnsi="Arial" w:eastAsia="宋体" w:cs="Arial"/>
          <w:sz w:val="21"/>
          <w:szCs w:val="21"/>
        </w:rPr>
        <w:t>月份施工</w:t>
      </w:r>
      <w:r>
        <w:rPr>
          <w:rFonts w:hint="eastAsia" w:ascii="Arial" w:hAnsi="Arial" w:cs="Arial"/>
          <w:sz w:val="21"/>
          <w:szCs w:val="21"/>
          <w:lang w:eastAsia="zh-CN"/>
        </w:rPr>
        <w:t>计划情况</w:t>
      </w:r>
      <w:r>
        <w:rPr>
          <w:rFonts w:hint="default" w:ascii="Arial" w:hAnsi="Arial" w:eastAsia="宋体" w:cs="Arial"/>
          <w:sz w:val="21"/>
          <w:szCs w:val="21"/>
        </w:rPr>
        <w:tab/>
      </w:r>
      <w:r>
        <w:rPr>
          <w:rFonts w:hint="eastAsia" w:ascii="Arial" w:hAnsi="Arial" w:cs="Arial"/>
          <w:sz w:val="21"/>
          <w:szCs w:val="21"/>
          <w:lang w:val="en-US" w:eastAsia="zh-CN"/>
        </w:rPr>
        <w:t>4</w:t>
      </w:r>
      <w:r>
        <w:rPr>
          <w:rFonts w:hint="default" w:ascii="Arial" w:hAnsi="Arial" w:eastAsia="宋体" w:cs="Arial"/>
          <w:sz w:val="21"/>
          <w:szCs w:val="21"/>
        </w:rPr>
        <w:fldChar w:fldCharType="end"/>
      </w:r>
    </w:p>
    <w:p>
      <w:pPr>
        <w:pStyle w:val="14"/>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"_Toc32486" </w:instrText>
      </w:r>
      <w:r>
        <w:rPr>
          <w:rFonts w:hint="default" w:ascii="Arial" w:hAnsi="Arial" w:eastAsia="宋体" w:cs="Arial"/>
          <w:sz w:val="21"/>
          <w:szCs w:val="21"/>
        </w:rPr>
        <w:fldChar w:fldCharType="separate"/>
      </w:r>
      <w:r>
        <w:rPr>
          <w:rFonts w:hint="default" w:ascii="Arial" w:hAnsi="Arial" w:eastAsia="宋体" w:cs="Arial"/>
          <w:sz w:val="21"/>
          <w:szCs w:val="21"/>
        </w:rPr>
        <w:t>4印鉴使用情况</w:t>
      </w:r>
      <w:r>
        <w:rPr>
          <w:rFonts w:hint="default" w:ascii="Arial" w:hAnsi="Arial" w:eastAsia="宋体" w:cs="Arial"/>
          <w:sz w:val="21"/>
          <w:szCs w:val="21"/>
        </w:rPr>
        <w:tab/>
      </w:r>
      <w:r>
        <w:rPr>
          <w:rFonts w:hint="default" w:ascii="Arial" w:hAnsi="Arial" w:eastAsia="宋体" w:cs="Arial"/>
          <w:sz w:val="21"/>
          <w:szCs w:val="21"/>
          <w:lang w:val="en-US" w:eastAsia="zh-CN"/>
        </w:rPr>
        <w:t>5</w:t>
      </w:r>
      <w:r>
        <w:rPr>
          <w:rFonts w:hint="default" w:ascii="Arial" w:hAnsi="Arial" w:eastAsia="宋体" w:cs="Arial"/>
          <w:sz w:val="21"/>
          <w:szCs w:val="21"/>
        </w:rPr>
        <w:fldChar w:fldCharType="end"/>
      </w:r>
    </w:p>
    <w:p>
      <w:pPr>
        <w:pStyle w:val="14"/>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"_Toc29289" </w:instrText>
      </w:r>
      <w:r>
        <w:rPr>
          <w:rFonts w:hint="default" w:ascii="Arial" w:hAnsi="Arial" w:eastAsia="宋体" w:cs="Arial"/>
          <w:sz w:val="21"/>
          <w:szCs w:val="21"/>
        </w:rPr>
        <w:fldChar w:fldCharType="separate"/>
      </w:r>
      <w:r>
        <w:rPr>
          <w:rFonts w:hint="default" w:ascii="Arial" w:hAnsi="Arial" w:eastAsia="宋体" w:cs="Arial"/>
          <w:sz w:val="21"/>
          <w:szCs w:val="21"/>
        </w:rPr>
        <w:t>5合同签订情况</w:t>
      </w:r>
      <w:r>
        <w:rPr>
          <w:rFonts w:hint="default" w:ascii="Arial" w:hAnsi="Arial" w:eastAsia="宋体" w:cs="Arial"/>
          <w:sz w:val="21"/>
          <w:szCs w:val="21"/>
        </w:rPr>
        <w:tab/>
      </w:r>
      <w:r>
        <w:rPr>
          <w:rFonts w:hint="default" w:ascii="Arial" w:hAnsi="Arial" w:eastAsia="宋体" w:cs="Arial"/>
          <w:sz w:val="21"/>
          <w:szCs w:val="21"/>
          <w:lang w:val="en-US" w:eastAsia="zh-CN"/>
        </w:rPr>
        <w:t>7</w:t>
      </w:r>
      <w:r>
        <w:rPr>
          <w:rFonts w:hint="default" w:ascii="Arial" w:hAnsi="Arial" w:eastAsia="宋体" w:cs="Arial"/>
          <w:sz w:val="21"/>
          <w:szCs w:val="21"/>
        </w:rPr>
        <w:fldChar w:fldCharType="end"/>
      </w:r>
    </w:p>
    <w:p>
      <w:pPr>
        <w:pStyle w:val="14"/>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"_Toc11769" </w:instrText>
      </w:r>
      <w:r>
        <w:rPr>
          <w:rFonts w:hint="default" w:ascii="Arial" w:hAnsi="Arial" w:eastAsia="宋体" w:cs="Arial"/>
          <w:sz w:val="21"/>
          <w:szCs w:val="21"/>
        </w:rPr>
        <w:fldChar w:fldCharType="separate"/>
      </w:r>
      <w:r>
        <w:rPr>
          <w:rFonts w:hint="default" w:ascii="Arial" w:hAnsi="Arial" w:eastAsia="宋体" w:cs="Arial"/>
          <w:sz w:val="21"/>
          <w:szCs w:val="21"/>
        </w:rPr>
        <w:t>6 项目销售情况汇总表</w:t>
      </w:r>
      <w:r>
        <w:rPr>
          <w:rFonts w:hint="default" w:ascii="Arial" w:hAnsi="Arial" w:eastAsia="宋体" w:cs="Arial"/>
          <w:sz w:val="21"/>
          <w:szCs w:val="21"/>
        </w:rPr>
        <w:tab/>
      </w:r>
      <w:r>
        <w:rPr>
          <w:rFonts w:hint="default" w:ascii="Arial" w:hAnsi="Arial" w:eastAsia="宋体" w:cs="Arial"/>
          <w:sz w:val="21"/>
          <w:szCs w:val="21"/>
        </w:rPr>
        <w:fldChar w:fldCharType="end"/>
      </w:r>
      <w:r>
        <w:rPr>
          <w:rFonts w:hint="default" w:ascii="Arial" w:hAnsi="Arial" w:eastAsia="宋体" w:cs="Arial"/>
          <w:sz w:val="21"/>
          <w:szCs w:val="21"/>
          <w:lang w:val="en-US" w:eastAsia="zh-CN"/>
        </w:rPr>
        <w:t>10</w:t>
      </w:r>
    </w:p>
    <w:p>
      <w:pPr>
        <w:pStyle w:val="14"/>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"_Toc21806" </w:instrText>
      </w:r>
      <w:r>
        <w:rPr>
          <w:rFonts w:hint="default" w:ascii="Arial" w:hAnsi="Arial" w:eastAsia="宋体" w:cs="Arial"/>
          <w:sz w:val="21"/>
          <w:szCs w:val="21"/>
        </w:rPr>
        <w:fldChar w:fldCharType="separate"/>
      </w:r>
      <w:r>
        <w:rPr>
          <w:rFonts w:hint="default" w:ascii="Arial" w:hAnsi="Arial" w:eastAsia="宋体" w:cs="Arial"/>
          <w:sz w:val="21"/>
          <w:szCs w:val="21"/>
        </w:rPr>
        <w:t>7 项目竞品分析</w:t>
      </w:r>
      <w:r>
        <w:rPr>
          <w:rFonts w:hint="default" w:ascii="Arial" w:hAnsi="Arial" w:eastAsia="宋体" w:cs="Arial"/>
          <w:sz w:val="21"/>
          <w:szCs w:val="21"/>
        </w:rPr>
        <w:tab/>
      </w:r>
      <w:r>
        <w:rPr>
          <w:rFonts w:hint="default" w:ascii="Arial" w:hAnsi="Arial" w:eastAsia="宋体" w:cs="Arial"/>
          <w:sz w:val="21"/>
          <w:szCs w:val="21"/>
        </w:rPr>
        <w:fldChar w:fldCharType="end"/>
      </w:r>
      <w:r>
        <w:rPr>
          <w:rFonts w:hint="default" w:ascii="Arial" w:hAnsi="Arial" w:eastAsia="宋体" w:cs="Arial"/>
          <w:sz w:val="21"/>
          <w:szCs w:val="21"/>
          <w:lang w:val="en-US" w:eastAsia="zh-CN"/>
        </w:rPr>
        <w:t>11</w:t>
      </w:r>
    </w:p>
    <w:p>
      <w:pPr>
        <w:pStyle w:val="14"/>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"_Toc15698" </w:instrText>
      </w:r>
      <w:r>
        <w:rPr>
          <w:rFonts w:hint="default" w:ascii="Arial" w:hAnsi="Arial" w:eastAsia="宋体" w:cs="Arial"/>
          <w:sz w:val="21"/>
          <w:szCs w:val="21"/>
        </w:rPr>
        <w:fldChar w:fldCharType="separate"/>
      </w:r>
      <w:r>
        <w:rPr>
          <w:rFonts w:hint="default" w:ascii="Arial" w:hAnsi="Arial" w:eastAsia="宋体" w:cs="Arial"/>
          <w:sz w:val="21"/>
          <w:szCs w:val="21"/>
        </w:rPr>
        <w:t>8 资金情况</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sz w:val="21"/>
          <w:szCs w:val="21"/>
        </w:rPr>
        <w:fldChar w:fldCharType="end"/>
      </w:r>
      <w:r>
        <w:rPr>
          <w:rFonts w:hint="default" w:ascii="Arial" w:hAnsi="Arial" w:eastAsia="宋体" w:cs="Arial"/>
          <w:sz w:val="21"/>
          <w:szCs w:val="21"/>
          <w:lang w:val="en-US" w:eastAsia="zh-CN"/>
        </w:rPr>
        <w:t>2</w:t>
      </w:r>
    </w:p>
    <w:p>
      <w:pPr>
        <w:pStyle w:val="18"/>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"_Toc26956" </w:instrText>
      </w:r>
      <w:r>
        <w:rPr>
          <w:rFonts w:hint="default" w:ascii="Arial" w:hAnsi="Arial" w:eastAsia="宋体" w:cs="Arial"/>
          <w:sz w:val="21"/>
          <w:szCs w:val="21"/>
        </w:rPr>
        <w:fldChar w:fldCharType="separate"/>
      </w:r>
      <w:r>
        <w:rPr>
          <w:rFonts w:hint="default" w:ascii="Arial" w:hAnsi="Arial" w:eastAsia="宋体" w:cs="Arial"/>
          <w:sz w:val="21"/>
          <w:szCs w:val="21"/>
        </w:rPr>
        <w:t>8.1 资金使用汇总表（2020年1</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sz w:val="21"/>
          <w:szCs w:val="21"/>
        </w:rPr>
        <w:fldChar w:fldCharType="end"/>
      </w:r>
      <w:r>
        <w:rPr>
          <w:rFonts w:hint="default" w:ascii="Arial" w:hAnsi="Arial" w:eastAsia="宋体" w:cs="Arial"/>
          <w:sz w:val="21"/>
          <w:szCs w:val="21"/>
          <w:lang w:val="en-US" w:eastAsia="zh-CN"/>
        </w:rPr>
        <w:t>2</w:t>
      </w:r>
    </w:p>
    <w:p>
      <w:pPr>
        <w:pStyle w:val="18"/>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"_Toc32542" </w:instrText>
      </w:r>
      <w:r>
        <w:rPr>
          <w:rFonts w:hint="default" w:ascii="Arial" w:hAnsi="Arial" w:eastAsia="宋体" w:cs="Arial"/>
          <w:sz w:val="21"/>
          <w:szCs w:val="21"/>
        </w:rPr>
        <w:fldChar w:fldCharType="separate"/>
      </w:r>
      <w:r>
        <w:rPr>
          <w:rFonts w:hint="default" w:ascii="Arial" w:hAnsi="Arial" w:eastAsia="宋体" w:cs="Arial"/>
          <w:sz w:val="21"/>
          <w:szCs w:val="21"/>
        </w:rPr>
        <w:t>8.2资金流出情况</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sz w:val="21"/>
          <w:szCs w:val="21"/>
        </w:rPr>
        <w:fldChar w:fldCharType="end"/>
      </w:r>
      <w:r>
        <w:rPr>
          <w:rFonts w:hint="default" w:ascii="Arial" w:hAnsi="Arial" w:eastAsia="宋体" w:cs="Arial"/>
          <w:sz w:val="21"/>
          <w:szCs w:val="21"/>
          <w:lang w:val="en-US" w:eastAsia="zh-CN"/>
        </w:rPr>
        <w:t>2</w:t>
      </w:r>
    </w:p>
    <w:p>
      <w:pPr>
        <w:pStyle w:val="18"/>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"_Toc23446" </w:instrText>
      </w:r>
      <w:r>
        <w:rPr>
          <w:rFonts w:hint="default" w:ascii="Arial" w:hAnsi="Arial" w:eastAsia="宋体" w:cs="Arial"/>
          <w:sz w:val="21"/>
          <w:szCs w:val="21"/>
        </w:rPr>
        <w:fldChar w:fldCharType="separate"/>
      </w:r>
      <w:r>
        <w:rPr>
          <w:rFonts w:hint="default" w:ascii="Arial" w:hAnsi="Arial" w:eastAsia="宋体" w:cs="Arial"/>
          <w:sz w:val="21"/>
          <w:szCs w:val="21"/>
        </w:rPr>
        <w:t>8.3 资金流入情况</w:t>
      </w:r>
      <w:r>
        <w:rPr>
          <w:rFonts w:hint="default" w:ascii="Arial" w:hAnsi="Arial" w:eastAsia="宋体" w:cs="Arial"/>
          <w:sz w:val="21"/>
          <w:szCs w:val="21"/>
        </w:rPr>
        <w:tab/>
      </w:r>
      <w:r>
        <w:rPr>
          <w:rFonts w:hint="default" w:ascii="Arial" w:hAnsi="Arial" w:eastAsia="宋体" w:cs="Arial"/>
          <w:sz w:val="21"/>
          <w:szCs w:val="21"/>
          <w:lang w:val="en-US" w:eastAsia="zh-CN"/>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t>1</w:t>
      </w:r>
    </w:p>
    <w:p>
      <w:pPr>
        <w:pStyle w:val="8"/>
        <w:widowControl w:val="0"/>
        <w:tabs>
          <w:tab w:val="right" w:leader="dot" w:pos="9298"/>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"_Toc27350" </w:instrText>
      </w:r>
      <w:r>
        <w:rPr>
          <w:rFonts w:hint="default" w:ascii="Arial" w:hAnsi="Arial" w:eastAsia="宋体" w:cs="Arial"/>
          <w:sz w:val="21"/>
          <w:szCs w:val="21"/>
        </w:rPr>
        <w:fldChar w:fldCharType="separate"/>
      </w:r>
      <w:r>
        <w:rPr>
          <w:rFonts w:hint="default" w:ascii="Arial" w:hAnsi="Arial" w:eastAsia="宋体" w:cs="Arial"/>
          <w:sz w:val="21"/>
          <w:szCs w:val="21"/>
        </w:rPr>
        <w:t>8.3.1其他资金流入明细</w:t>
      </w:r>
      <w:r>
        <w:rPr>
          <w:rFonts w:hint="default" w:ascii="Arial" w:hAnsi="Arial" w:eastAsia="宋体" w:cs="Arial"/>
          <w:sz w:val="21"/>
          <w:szCs w:val="21"/>
        </w:rPr>
        <w:tab/>
      </w:r>
      <w:r>
        <w:rPr>
          <w:rFonts w:hint="default" w:ascii="Arial" w:hAnsi="Arial" w:eastAsia="宋体" w:cs="Arial"/>
          <w:sz w:val="21"/>
          <w:szCs w:val="21"/>
          <w:lang w:val="en-US" w:eastAsia="zh-CN"/>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t>1</w:t>
      </w:r>
    </w:p>
    <w:p>
      <w:pPr>
        <w:pStyle w:val="8"/>
        <w:widowControl w:val="0"/>
        <w:tabs>
          <w:tab w:val="right" w:leader="dot" w:pos="9298"/>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"_Toc5065" </w:instrText>
      </w:r>
      <w:r>
        <w:rPr>
          <w:rFonts w:hint="default" w:ascii="Arial" w:hAnsi="Arial" w:eastAsia="宋体" w:cs="Arial"/>
          <w:sz w:val="21"/>
          <w:szCs w:val="21"/>
        </w:rPr>
        <w:fldChar w:fldCharType="separate"/>
      </w:r>
      <w:r>
        <w:rPr>
          <w:rFonts w:hint="default" w:ascii="Arial" w:hAnsi="Arial" w:eastAsia="宋体" w:cs="Arial"/>
          <w:bCs/>
          <w:sz w:val="21"/>
          <w:szCs w:val="21"/>
        </w:rPr>
        <w:t>8.3.2销售资金流入明细</w:t>
      </w:r>
      <w:r>
        <w:rPr>
          <w:rFonts w:hint="default" w:ascii="Arial" w:hAnsi="Arial" w:eastAsia="宋体" w:cs="Arial"/>
          <w:sz w:val="21"/>
          <w:szCs w:val="21"/>
        </w:rPr>
        <w:tab/>
      </w:r>
      <w:r>
        <w:rPr>
          <w:rFonts w:hint="default" w:ascii="Arial" w:hAnsi="Arial" w:eastAsia="宋体" w:cs="Arial"/>
          <w:sz w:val="21"/>
          <w:szCs w:val="21"/>
          <w:lang w:val="en-US" w:eastAsia="zh-CN"/>
        </w:rPr>
        <w:t>2</w:t>
      </w:r>
      <w:r>
        <w:rPr>
          <w:rFonts w:hint="default" w:ascii="Arial" w:hAnsi="Arial" w:eastAsia="宋体" w:cs="Arial"/>
          <w:sz w:val="21"/>
          <w:szCs w:val="21"/>
        </w:rPr>
        <w:fldChar w:fldCharType="end"/>
      </w:r>
      <w:r>
        <w:rPr>
          <w:rFonts w:hint="eastAsia" w:ascii="Arial" w:hAnsi="Arial" w:cs="Arial"/>
          <w:sz w:val="21"/>
          <w:szCs w:val="21"/>
          <w:lang w:val="en-US" w:eastAsia="zh-CN"/>
        </w:rPr>
        <w:t>2</w:t>
      </w:r>
    </w:p>
    <w:p>
      <w:pPr>
        <w:pStyle w:val="8"/>
        <w:widowControl w:val="0"/>
        <w:tabs>
          <w:tab w:val="right" w:leader="dot" w:pos="9298"/>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"_Toc1733" </w:instrText>
      </w:r>
      <w:r>
        <w:rPr>
          <w:rFonts w:hint="default" w:ascii="Arial" w:hAnsi="Arial" w:eastAsia="宋体" w:cs="Arial"/>
          <w:sz w:val="21"/>
          <w:szCs w:val="21"/>
        </w:rPr>
        <w:fldChar w:fldCharType="separate"/>
      </w:r>
      <w:r>
        <w:rPr>
          <w:rFonts w:hint="default" w:ascii="Arial" w:hAnsi="Arial" w:eastAsia="宋体" w:cs="Arial"/>
          <w:sz w:val="21"/>
          <w:szCs w:val="21"/>
        </w:rPr>
        <w:t>8.3.3销售回款流入明细</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_Toc1733 </w:instrText>
      </w:r>
      <w:r>
        <w:rPr>
          <w:rFonts w:hint="default" w:ascii="Arial" w:hAnsi="Arial" w:eastAsia="宋体" w:cs="Arial"/>
          <w:sz w:val="21"/>
          <w:szCs w:val="21"/>
        </w:rPr>
        <w:fldChar w:fldCharType="separate"/>
      </w:r>
      <w:r>
        <w:rPr>
          <w:rFonts w:hint="default" w:ascii="Arial" w:hAnsi="Arial" w:eastAsia="宋体" w:cs="Arial"/>
          <w:sz w:val="21"/>
          <w:szCs w:val="21"/>
          <w:lang w:val="en-US" w:eastAsia="zh-CN"/>
        </w:rPr>
        <w:t>2</w:t>
      </w:r>
      <w:r>
        <w:rPr>
          <w:rFonts w:hint="default" w:ascii="Arial" w:hAnsi="Arial" w:eastAsia="宋体" w:cs="Arial"/>
          <w:sz w:val="21"/>
          <w:szCs w:val="21"/>
        </w:rPr>
        <w:fldChar w:fldCharType="end"/>
      </w:r>
      <w:r>
        <w:rPr>
          <w:rFonts w:hint="default" w:ascii="Arial" w:hAnsi="Arial" w:eastAsia="宋体" w:cs="Arial"/>
          <w:sz w:val="21"/>
          <w:szCs w:val="21"/>
        </w:rPr>
        <w:fldChar w:fldCharType="end"/>
      </w:r>
      <w:r>
        <w:rPr>
          <w:rFonts w:hint="eastAsia" w:ascii="Arial" w:hAnsi="Arial" w:cs="Arial"/>
          <w:sz w:val="21"/>
          <w:szCs w:val="21"/>
          <w:lang w:val="en-US" w:eastAsia="zh-CN"/>
        </w:rPr>
        <w:t>4</w:t>
      </w:r>
    </w:p>
    <w:p>
      <w:pPr>
        <w:pStyle w:val="18"/>
        <w:widowControl w:val="0"/>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"_Toc20099" </w:instrText>
      </w:r>
      <w:r>
        <w:rPr>
          <w:rFonts w:hint="default" w:ascii="Arial" w:hAnsi="Arial" w:eastAsia="宋体" w:cs="Arial"/>
          <w:sz w:val="21"/>
          <w:szCs w:val="21"/>
        </w:rPr>
        <w:fldChar w:fldCharType="separate"/>
      </w:r>
      <w:r>
        <w:rPr>
          <w:rFonts w:hint="default" w:ascii="Arial" w:hAnsi="Arial" w:eastAsia="宋体" w:cs="Arial"/>
          <w:sz w:val="21"/>
          <w:szCs w:val="21"/>
        </w:rPr>
        <w:t>8.4 各银行账户余额</w:t>
      </w:r>
      <w:r>
        <w:rPr>
          <w:rFonts w:hint="default" w:ascii="Arial" w:hAnsi="Arial" w:eastAsia="宋体" w:cs="Arial"/>
          <w:sz w:val="21"/>
          <w:szCs w:val="21"/>
        </w:rPr>
        <w:tab/>
      </w:r>
      <w:r>
        <w:rPr>
          <w:rFonts w:hint="default" w:ascii="Arial" w:hAnsi="Arial" w:eastAsia="宋体" w:cs="Arial"/>
          <w:sz w:val="21"/>
          <w:szCs w:val="21"/>
          <w:lang w:val="en-US" w:eastAsia="zh-CN"/>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t>5</w:t>
      </w:r>
    </w:p>
    <w:p>
      <w:pPr>
        <w:pStyle w:val="18"/>
        <w:widowControl w:val="0"/>
        <w:tabs>
          <w:tab w:val="right" w:leader="dot" w:pos="9298"/>
          <w:tab w:val="clear" w:pos="8302"/>
        </w:tabs>
        <w:spacing w:line="360" w:lineRule="auto"/>
        <w:ind w:left="0"/>
        <w:jc w:val="left"/>
        <w:rPr>
          <w:rFonts w:hint="default" w:ascii="Arial" w:hAnsi="Arial" w:eastAsia="宋体" w:cs="Arial"/>
          <w:sz w:val="21"/>
          <w:szCs w:val="21"/>
          <w:lang w:val="en-US" w:eastAsia="zh-CN"/>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"_Toc5797" </w:instrText>
      </w:r>
      <w:r>
        <w:rPr>
          <w:rFonts w:hint="default" w:ascii="Arial" w:hAnsi="Arial" w:eastAsia="宋体" w:cs="Arial"/>
          <w:sz w:val="21"/>
          <w:szCs w:val="21"/>
        </w:rPr>
        <w:fldChar w:fldCharType="separate"/>
      </w:r>
      <w:r>
        <w:rPr>
          <w:rFonts w:hint="default" w:ascii="Arial" w:hAnsi="Arial" w:eastAsia="宋体" w:cs="Arial"/>
          <w:sz w:val="21"/>
          <w:szCs w:val="21"/>
        </w:rPr>
        <w:t>附件</w:t>
      </w:r>
      <w:r>
        <w:rPr>
          <w:rFonts w:hint="default" w:ascii="Arial" w:hAnsi="Arial" w:eastAsia="宋体" w:cs="Arial"/>
          <w:sz w:val="21"/>
          <w:szCs w:val="21"/>
        </w:rPr>
        <w:tab/>
      </w:r>
      <w:r>
        <w:rPr>
          <w:rFonts w:hint="default" w:ascii="Arial" w:hAnsi="Arial" w:eastAsia="宋体" w:cs="Arial"/>
          <w:sz w:val="21"/>
          <w:szCs w:val="21"/>
          <w:lang w:val="en-US" w:eastAsia="zh-CN"/>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t>6</w:t>
      </w:r>
    </w:p>
    <w:p>
      <w:pPr>
        <w:pStyle w:val="18"/>
        <w:widowControl w:val="0"/>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"_Toc7135" </w:instrText>
      </w:r>
      <w:r>
        <w:rPr>
          <w:rFonts w:hint="default" w:ascii="Arial" w:hAnsi="Arial" w:eastAsia="宋体" w:cs="Arial"/>
          <w:sz w:val="21"/>
          <w:szCs w:val="21"/>
        </w:rPr>
        <w:fldChar w:fldCharType="separate"/>
      </w:r>
      <w:r>
        <w:rPr>
          <w:rFonts w:hint="default" w:ascii="Arial" w:hAnsi="Arial" w:eastAsia="宋体" w:cs="Arial"/>
          <w:sz w:val="21"/>
          <w:szCs w:val="21"/>
        </w:rPr>
        <w:t>附件一 三块地项目总平面图</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_Toc7135 </w:instrText>
      </w:r>
      <w:r>
        <w:rPr>
          <w:rFonts w:hint="default" w:ascii="Arial" w:hAnsi="Arial" w:eastAsia="宋体" w:cs="Arial"/>
          <w:sz w:val="21"/>
          <w:szCs w:val="21"/>
        </w:rPr>
        <w:fldChar w:fldCharType="separate"/>
      </w:r>
      <w:r>
        <w:rPr>
          <w:rFonts w:hint="default" w:ascii="Arial" w:hAnsi="Arial" w:eastAsia="宋体" w:cs="Arial"/>
          <w:sz w:val="21"/>
          <w:szCs w:val="21"/>
          <w:lang w:val="en-US" w:eastAsia="zh-CN"/>
        </w:rPr>
        <w:t>26</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8"/>
        <w:widowControl w:val="0"/>
        <w:tabs>
          <w:tab w:val="right" w:leader="dot" w:pos="9298"/>
          <w:tab w:val="clear" w:pos="8302"/>
        </w:tabs>
        <w:spacing w:line="360" w:lineRule="auto"/>
        <w:jc w:val="left"/>
      </w:pPr>
    </w:p>
    <w:p>
      <w:pPr>
        <w:pStyle w:val="18"/>
        <w:widowControl w:val="0"/>
        <w:tabs>
          <w:tab w:val="right" w:leader="dot" w:pos="9298"/>
          <w:tab w:val="clear" w:pos="8302"/>
        </w:tabs>
        <w:spacing w:line="360" w:lineRule="auto"/>
        <w:jc w:val="left"/>
        <w:rPr>
          <w:rFonts w:hint="eastAsia" w:eastAsia="宋体"/>
          <w:lang w:val="en-US" w:eastAsia="zh-CN"/>
        </w:rPr>
      </w:pPr>
    </w:p>
    <w:p>
      <w:pPr>
        <w:pStyle w:val="39"/>
        <w:keepNext w:val="0"/>
        <w:keepLines w:val="0"/>
        <w:widowControl w:val="0"/>
        <w:spacing w:line="360" w:lineRule="exact"/>
        <w:rPr>
          <w:rFonts w:ascii="Arial" w:hAnsi="Arial" w:cs="Arial"/>
          <w:color w:val="000000"/>
          <w:sz w:val="21"/>
          <w:szCs w:val="21"/>
        </w:rPr>
        <w:sectPr>
          <w:pgSz w:w="11906" w:h="16838"/>
          <w:pgMar w:top="1134" w:right="1134" w:bottom="1134" w:left="1134" w:header="851" w:footer="851" w:gutter="340"/>
          <w:pgBorders>
            <w:top w:val="none" w:sz="0" w:space="0"/>
            <w:left w:val="none" w:sz="0" w:space="0"/>
            <w:bottom w:val="none" w:sz="0" w:space="0"/>
            <w:right w:val="none" w:sz="0" w:space="0"/>
          </w:pgBorders>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·标的项目：武汉汉口正荣府项目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w:t>
      </w:r>
      <w:r>
        <w:rPr>
          <w:rFonts w:ascii="Arial" w:hAnsi="Arial" w:cs="Arial"/>
          <w:bCs/>
          <w:kern w:val="44"/>
          <w:szCs w:val="21"/>
          <w:highlight w:val="none"/>
        </w:rPr>
        <w:t>汉正</w:t>
      </w:r>
      <w:r>
        <w:rPr>
          <w:rFonts w:ascii="Arial" w:hAnsi="Arial" w:cs="Arial"/>
          <w:bCs/>
          <w:kern w:val="44"/>
          <w:szCs w:val="21"/>
        </w:rPr>
        <w:t>锦企业管理咨询有限公司（以下简称“</w:t>
      </w:r>
      <w:r>
        <w:rPr>
          <w:rFonts w:ascii="Arial" w:hAnsi="Arial" w:cs="Arial"/>
          <w:bCs/>
          <w:kern w:val="44"/>
          <w:szCs w:val="21"/>
          <w:highlight w:val="none"/>
        </w:rPr>
        <w:t>正锦</w:t>
      </w:r>
      <w:r>
        <w:rPr>
          <w:rFonts w:ascii="Arial" w:hAnsi="Arial" w:cs="Arial"/>
          <w:bCs/>
          <w:kern w:val="44"/>
          <w:szCs w:val="21"/>
        </w:rPr>
        <w:t xml:space="preserve">”）          </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·项目公司：武</w:t>
      </w:r>
      <w:r>
        <w:rPr>
          <w:rFonts w:ascii="Arial" w:hAnsi="Arial" w:cs="Arial"/>
          <w:bCs/>
          <w:kern w:val="44"/>
          <w:szCs w:val="21"/>
          <w:highlight w:val="none"/>
        </w:rPr>
        <w:t>汉正</w:t>
      </w:r>
      <w:r>
        <w:rPr>
          <w:rFonts w:ascii="Arial" w:hAnsi="Arial" w:cs="Arial"/>
          <w:bCs/>
          <w:kern w:val="44"/>
          <w:szCs w:val="21"/>
        </w:rPr>
        <w:t>舟置业发展有限公司（以下简称“正舟”）</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Lines w:val="0"/>
        <w:spacing w:before="300" w:after="300" w:line="360" w:lineRule="exact"/>
        <w:jc w:val="left"/>
        <w:rPr>
          <w:rFonts w:ascii="Arial" w:hAnsi="Arial" w:cs="Arial"/>
          <w:color w:val="000000"/>
          <w:sz w:val="24"/>
          <w:szCs w:val="24"/>
        </w:rPr>
      </w:pPr>
      <w:bookmarkStart w:id="2" w:name="_Toc535580018"/>
      <w:bookmarkStart w:id="3" w:name="_Toc535580086"/>
      <w:bookmarkStart w:id="4" w:name="_Toc532281654"/>
      <w:bookmarkStart w:id="5" w:name="_Toc535570745"/>
      <w:bookmarkStart w:id="6" w:name="_Toc535508633"/>
      <w:bookmarkStart w:id="7" w:name="_Toc25610"/>
      <w:r>
        <w:rPr>
          <w:rFonts w:ascii="Arial" w:hAnsi="Arial" w:cs="Arial"/>
          <w:color w:val="000000"/>
          <w:sz w:val="24"/>
          <w:szCs w:val="24"/>
        </w:rPr>
        <w:t>1项目基本情况</w:t>
      </w:r>
      <w:bookmarkEnd w:id="2"/>
      <w:bookmarkEnd w:id="3"/>
      <w:bookmarkEnd w:id="4"/>
      <w:bookmarkEnd w:id="5"/>
      <w:bookmarkEnd w:id="6"/>
      <w:bookmarkEnd w:id="7"/>
    </w:p>
    <w:p>
      <w:pPr>
        <w:spacing w:line="480" w:lineRule="auto"/>
        <w:ind w:firstLine="420" w:firstLineChars="200"/>
        <w:rPr>
          <w:rFonts w:ascii="Arial" w:hAnsi="Arial" w:cs="Arial"/>
          <w:bCs/>
          <w:kern w:val="44"/>
          <w:szCs w:val="21"/>
        </w:rPr>
      </w:pPr>
      <w:r>
        <w:rPr>
          <w:rFonts w:ascii="Arial" w:hAnsi="Arial" w:cs="Arial"/>
        </w:rPr>
        <w:drawing>
          <wp:inline distT="0" distB="0" distL="114300" distR="114300">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97245" cy="4050030"/>
                    </a:xfrm>
                    <a:prstGeom prst="rect">
                      <a:avLst/>
                    </a:prstGeom>
                    <a:noFill/>
                    <a:ln>
                      <a:noFill/>
                    </a:ln>
                  </pic:spPr>
                </pic:pic>
              </a:graphicData>
            </a:graphic>
          </wp:inline>
        </w:drawing>
      </w:r>
    </w:p>
    <w:p>
      <w:pPr>
        <w:spacing w:line="480" w:lineRule="auto"/>
        <w:ind w:firstLine="420" w:firstLineChars="200"/>
        <w:rPr>
          <w:rFonts w:hint="default" w:ascii="Arial" w:hAnsi="Arial" w:cs="Arial"/>
          <w:bCs/>
          <w:kern w:val="44"/>
          <w:sz w:val="21"/>
          <w:szCs w:val="21"/>
        </w:rPr>
      </w:pPr>
      <w:r>
        <w:rPr>
          <w:rFonts w:hint="default" w:ascii="Arial" w:hAnsi="Arial" w:cs="Arial"/>
          <w:bCs/>
          <w:kern w:val="44"/>
          <w:sz w:val="21"/>
          <w:szCs w:val="21"/>
        </w:rPr>
        <w:t>汉口正荣府位于武汉市黄陂区盘龙城板块，是离武汉中心城区较近的新城区之一，配套成熟，交通便利。项目占地面积49250.90㎡，总建筑面积204348.56㎡，商业用房144841.17㎡，拟建8栋25-34层住宅，1栋10层住宅，1栋11层公寓，2栋分别为8层及4层公寓及部分底商，本项目含配建1栋建筑面积6511.42㎡的公租房，建成后移交政府统一管理。</w:t>
      </w:r>
    </w:p>
    <w:p>
      <w:pPr>
        <w:spacing w:line="480" w:lineRule="auto"/>
        <w:ind w:firstLine="420" w:firstLineChars="200"/>
        <w:rPr>
          <w:rFonts w:ascii="Arial" w:hAnsi="Arial" w:cs="Arial"/>
          <w:bCs/>
          <w:kern w:val="44"/>
          <w:szCs w:val="21"/>
        </w:rPr>
      </w:pPr>
    </w:p>
    <w:p>
      <w:pPr>
        <w:pStyle w:val="2"/>
        <w:keepLines w:val="0"/>
        <w:spacing w:before="300" w:after="300" w:line="360" w:lineRule="exact"/>
        <w:jc w:val="left"/>
        <w:rPr>
          <w:rFonts w:ascii="Arial" w:hAnsi="Arial" w:cs="Arial"/>
          <w:color w:val="000000"/>
          <w:sz w:val="24"/>
          <w:szCs w:val="24"/>
        </w:rPr>
      </w:pPr>
      <w:bookmarkStart w:id="8" w:name="_Toc535508634"/>
      <w:bookmarkStart w:id="9" w:name="_Toc535580089"/>
      <w:bookmarkStart w:id="10" w:name="_Toc535570748"/>
      <w:bookmarkStart w:id="11" w:name="_Toc6196"/>
      <w:bookmarkStart w:id="12" w:name="_Toc532281655"/>
      <w:bookmarkStart w:id="13" w:name="_Toc535580021"/>
      <w:r>
        <w:rPr>
          <w:rFonts w:ascii="Arial" w:hAnsi="Arial" w:cs="Arial"/>
          <w:color w:val="000000"/>
          <w:sz w:val="24"/>
          <w:szCs w:val="24"/>
        </w:rPr>
        <w:t>2重大事件披露</w:t>
      </w:r>
      <w:bookmarkEnd w:id="8"/>
      <w:bookmarkEnd w:id="9"/>
      <w:bookmarkEnd w:id="10"/>
      <w:bookmarkEnd w:id="11"/>
      <w:bookmarkEnd w:id="12"/>
      <w:bookmarkEnd w:id="13"/>
    </w:p>
    <w:p>
      <w:pPr>
        <w:numPr>
          <w:ilvl w:val="0"/>
          <w:numId w:val="1"/>
        </w:numPr>
        <w:spacing w:line="480" w:lineRule="auto"/>
        <w:ind w:firstLine="420" w:firstLineChars="200"/>
        <w:rPr>
          <w:rFonts w:hint="default" w:ascii="Arial" w:hAnsi="Arial" w:cs="Arial"/>
          <w:bCs/>
          <w:kern w:val="44"/>
          <w:sz w:val="21"/>
          <w:szCs w:val="21"/>
        </w:rPr>
      </w:pPr>
      <w:r>
        <w:rPr>
          <w:rFonts w:hint="eastAsia" w:ascii="Arial" w:hAnsi="Arial" w:cs="Arial"/>
          <w:bCs/>
          <w:kern w:val="44"/>
          <w:sz w:val="21"/>
          <w:szCs w:val="21"/>
          <w:lang w:eastAsia="zh-CN"/>
        </w:rPr>
        <w:t>无异常，项目施工有序进行</w:t>
      </w:r>
    </w:p>
    <w:p>
      <w:pPr>
        <w:pStyle w:val="2"/>
        <w:keepNext w:val="0"/>
        <w:keepLines w:val="0"/>
        <w:spacing w:before="300" w:after="300" w:line="360" w:lineRule="exact"/>
        <w:jc w:val="left"/>
        <w:rPr>
          <w:rFonts w:hint="default" w:ascii="Arial" w:hAnsi="Arial" w:cs="Arial"/>
          <w:sz w:val="24"/>
          <w:szCs w:val="24"/>
        </w:rPr>
      </w:pPr>
      <w:bookmarkStart w:id="14" w:name="_Toc17426"/>
      <w:r>
        <w:rPr>
          <w:rFonts w:hint="default" w:ascii="Arial" w:hAnsi="Arial" w:cs="Arial"/>
          <w:sz w:val="24"/>
          <w:szCs w:val="24"/>
        </w:rPr>
        <w:t>3项目五证办理情况及施工进度情况</w:t>
      </w:r>
      <w:bookmarkEnd w:id="14"/>
    </w:p>
    <w:p>
      <w:pPr>
        <w:pStyle w:val="3"/>
        <w:keepNext w:val="0"/>
        <w:keepLines w:val="0"/>
        <w:spacing w:before="300" w:after="300" w:line="360" w:lineRule="exact"/>
        <w:jc w:val="left"/>
        <w:rPr>
          <w:rFonts w:hint="default" w:ascii="Arial" w:hAnsi="Arial" w:eastAsia="宋体" w:cs="Arial"/>
          <w:sz w:val="24"/>
          <w:szCs w:val="24"/>
        </w:rPr>
      </w:pPr>
      <w:bookmarkStart w:id="15" w:name="_Toc26389"/>
      <w:r>
        <w:rPr>
          <w:rFonts w:hint="default" w:ascii="Arial" w:hAnsi="Arial" w:eastAsia="宋体" w:cs="Arial"/>
          <w:sz w:val="24"/>
          <w:szCs w:val="24"/>
        </w:rPr>
        <w:t>3.1项目五证办理情况说明</w:t>
      </w:r>
      <w:bookmarkEnd w:id="15"/>
    </w:p>
    <w:p>
      <w:pPr>
        <w:spacing w:before="240" w:beforeLines="100"/>
        <w:jc w:val="center"/>
        <w:rPr>
          <w:rFonts w:ascii="Arial" w:hAnsi="Arial" w:cs="Arial"/>
          <w:b/>
          <w:bCs/>
          <w:kern w:val="44"/>
          <w:sz w:val="24"/>
          <w:szCs w:val="24"/>
        </w:rPr>
      </w:pPr>
      <w:r>
        <w:rPr>
          <w:rFonts w:ascii="Arial" w:hAnsi="Arial" w:cs="Arial"/>
          <w:b/>
          <w:bCs/>
          <w:kern w:val="44"/>
          <w:sz w:val="24"/>
          <w:szCs w:val="24"/>
        </w:rPr>
        <w:t>截至2020年1</w:t>
      </w:r>
      <w:r>
        <w:rPr>
          <w:rFonts w:hint="eastAsia" w:ascii="Arial" w:hAnsi="Arial" w:cs="Arial"/>
          <w:b/>
          <w:bCs/>
          <w:kern w:val="44"/>
          <w:sz w:val="24"/>
          <w:szCs w:val="24"/>
          <w:lang w:val="en-US" w:eastAsia="zh-CN"/>
        </w:rPr>
        <w:t>2</w:t>
      </w:r>
      <w:r>
        <w:rPr>
          <w:rFonts w:ascii="Arial" w:hAnsi="Arial" w:cs="Arial"/>
          <w:b/>
          <w:bCs/>
          <w:kern w:val="44"/>
          <w:sz w:val="24"/>
          <w:szCs w:val="24"/>
        </w:rPr>
        <w:t>月3</w:t>
      </w:r>
      <w:r>
        <w:rPr>
          <w:rFonts w:hint="eastAsia" w:ascii="Arial" w:hAnsi="Arial" w:cs="Arial"/>
          <w:b/>
          <w:bCs/>
          <w:kern w:val="44"/>
          <w:sz w:val="24"/>
          <w:szCs w:val="24"/>
          <w:lang w:val="en-US" w:eastAsia="zh-CN"/>
        </w:rPr>
        <w:t>1</w:t>
      </w:r>
      <w:r>
        <w:rPr>
          <w:rFonts w:ascii="Arial" w:hAnsi="Arial" w:cs="Arial"/>
          <w:b/>
          <w:bCs/>
          <w:kern w:val="44"/>
          <w:sz w:val="24"/>
          <w:szCs w:val="24"/>
        </w:rPr>
        <w:t>日项目五证办理计划及进度情况</w:t>
      </w:r>
    </w:p>
    <w:tbl>
      <w:tblPr>
        <w:tblStyle w:val="22"/>
        <w:tblW w:w="6000" w:type="dxa"/>
        <w:jc w:val="center"/>
        <w:shd w:val="clear" w:color="auto" w:fill="auto"/>
        <w:tblLayout w:type="autofit"/>
        <w:tblCellMar>
          <w:top w:w="0" w:type="dxa"/>
          <w:left w:w="0" w:type="dxa"/>
          <w:bottom w:w="0" w:type="dxa"/>
          <w:right w:w="0" w:type="dxa"/>
        </w:tblCellMar>
      </w:tblPr>
      <w:tblGrid>
        <w:gridCol w:w="2880"/>
        <w:gridCol w:w="3120"/>
      </w:tblGrid>
      <w:tr>
        <w:tblPrEx>
          <w:shd w:val="clear" w:color="auto" w:fill="auto"/>
          <w:tblCellMar>
            <w:top w:w="0" w:type="dxa"/>
            <w:left w:w="0" w:type="dxa"/>
            <w:bottom w:w="0" w:type="dxa"/>
            <w:right w:w="0" w:type="dxa"/>
          </w:tblCellMar>
        </w:tblPrEx>
        <w:trPr>
          <w:trHeight w:val="640"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证书</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办理情况</w:t>
            </w:r>
          </w:p>
        </w:tc>
      </w:tr>
      <w:tr>
        <w:tblPrEx>
          <w:tblCellMar>
            <w:top w:w="0" w:type="dxa"/>
            <w:left w:w="0" w:type="dxa"/>
            <w:bottom w:w="0" w:type="dxa"/>
            <w:right w:w="0" w:type="dxa"/>
          </w:tblCellMar>
        </w:tblPrEx>
        <w:trPr>
          <w:trHeight w:val="640"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不动产权证书</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2019年8月7日</w:t>
            </w:r>
          </w:p>
        </w:tc>
      </w:tr>
      <w:tr>
        <w:tblPrEx>
          <w:tblCellMar>
            <w:top w:w="0" w:type="dxa"/>
            <w:left w:w="0" w:type="dxa"/>
            <w:bottom w:w="0" w:type="dxa"/>
            <w:right w:w="0" w:type="dxa"/>
          </w:tblCellMar>
        </w:tblPrEx>
        <w:trPr>
          <w:trHeight w:val="640"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建设用地规划许可证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2019年7月23日</w:t>
            </w:r>
          </w:p>
        </w:tc>
      </w:tr>
      <w:tr>
        <w:tblPrEx>
          <w:tblCellMar>
            <w:top w:w="0" w:type="dxa"/>
            <w:left w:w="0" w:type="dxa"/>
            <w:bottom w:w="0" w:type="dxa"/>
            <w:right w:w="0" w:type="dxa"/>
          </w:tblCellMar>
        </w:tblPrEx>
        <w:trPr>
          <w:trHeight w:val="640"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建设工程规划许可证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2019年11月26日</w:t>
            </w:r>
          </w:p>
        </w:tc>
      </w:tr>
      <w:tr>
        <w:tblPrEx>
          <w:tblCellMar>
            <w:top w:w="0" w:type="dxa"/>
            <w:left w:w="0" w:type="dxa"/>
            <w:bottom w:w="0" w:type="dxa"/>
            <w:right w:w="0" w:type="dxa"/>
          </w:tblCellMar>
        </w:tblPrEx>
        <w:trPr>
          <w:trHeight w:val="640"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建筑工程施工许可证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2019年11月27日</w:t>
            </w:r>
          </w:p>
        </w:tc>
      </w:tr>
      <w:tr>
        <w:tblPrEx>
          <w:tblCellMar>
            <w:top w:w="0" w:type="dxa"/>
            <w:left w:w="0" w:type="dxa"/>
            <w:bottom w:w="0" w:type="dxa"/>
            <w:right w:w="0" w:type="dxa"/>
          </w:tblCellMar>
        </w:tblPrEx>
        <w:trPr>
          <w:trHeight w:val="640" w:hRule="atLeast"/>
          <w:jc w:val="center"/>
        </w:trPr>
        <w:tc>
          <w:tcPr>
            <w:tcW w:w="28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2020年5月20日（1#楼）</w:t>
            </w:r>
          </w:p>
        </w:tc>
      </w:tr>
      <w:tr>
        <w:tblPrEx>
          <w:tblCellMar>
            <w:top w:w="0" w:type="dxa"/>
            <w:left w:w="0" w:type="dxa"/>
            <w:bottom w:w="0" w:type="dxa"/>
            <w:right w:w="0" w:type="dxa"/>
          </w:tblCellMar>
        </w:tblPrEx>
        <w:trPr>
          <w:trHeight w:val="520"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2020年6月8日（2#楼）</w:t>
            </w:r>
          </w:p>
        </w:tc>
      </w:tr>
      <w:tr>
        <w:tblPrEx>
          <w:tblCellMar>
            <w:top w:w="0" w:type="dxa"/>
            <w:left w:w="0" w:type="dxa"/>
            <w:bottom w:w="0" w:type="dxa"/>
            <w:right w:w="0" w:type="dxa"/>
          </w:tblCellMar>
        </w:tblPrEx>
        <w:trPr>
          <w:trHeight w:val="520"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2020年6月29日（3#楼）</w:t>
            </w:r>
          </w:p>
        </w:tc>
      </w:tr>
      <w:tr>
        <w:tblPrEx>
          <w:tblCellMar>
            <w:top w:w="0" w:type="dxa"/>
            <w:left w:w="0" w:type="dxa"/>
            <w:bottom w:w="0" w:type="dxa"/>
            <w:right w:w="0" w:type="dxa"/>
          </w:tblCellMar>
        </w:tblPrEx>
        <w:trPr>
          <w:trHeight w:val="520"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2020年8月20日（4#楼）</w:t>
            </w:r>
          </w:p>
        </w:tc>
      </w:tr>
      <w:tr>
        <w:tblPrEx>
          <w:tblCellMar>
            <w:top w:w="0" w:type="dxa"/>
            <w:left w:w="0" w:type="dxa"/>
            <w:bottom w:w="0" w:type="dxa"/>
            <w:right w:w="0" w:type="dxa"/>
          </w:tblCellMar>
        </w:tblPrEx>
        <w:trPr>
          <w:trHeight w:val="520"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2020年11月19</w:t>
            </w:r>
            <w:r>
              <w:rPr>
                <w:rFonts w:hint="default" w:ascii="Arial" w:hAnsi="Arial" w:cs="Arial"/>
                <w:i w:val="0"/>
                <w:color w:val="000000"/>
                <w:kern w:val="0"/>
                <w:sz w:val="18"/>
                <w:szCs w:val="18"/>
                <w:highlight w:val="none"/>
                <w:u w:val="none"/>
                <w:lang w:val="en-US" w:eastAsia="zh-CN" w:bidi="ar"/>
              </w:rPr>
              <w:t>日</w:t>
            </w:r>
            <w:r>
              <w:rPr>
                <w:rFonts w:hint="default" w:ascii="Arial" w:hAnsi="Arial" w:eastAsia="宋体" w:cs="Arial"/>
                <w:i w:val="0"/>
                <w:color w:val="000000"/>
                <w:kern w:val="0"/>
                <w:sz w:val="18"/>
                <w:szCs w:val="18"/>
                <w:u w:val="none"/>
                <w:lang w:val="en-US" w:eastAsia="zh-CN" w:bidi="ar"/>
              </w:rPr>
              <w:t>（S1商住楼）</w:t>
            </w:r>
          </w:p>
        </w:tc>
      </w:tr>
      <w:tr>
        <w:tblPrEx>
          <w:tblCellMar>
            <w:top w:w="0" w:type="dxa"/>
            <w:left w:w="0" w:type="dxa"/>
            <w:bottom w:w="0" w:type="dxa"/>
            <w:right w:w="0" w:type="dxa"/>
          </w:tblCellMar>
        </w:tblPrEx>
        <w:trPr>
          <w:trHeight w:val="520"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资质证书</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2019年7月12日暂定等级</w:t>
            </w:r>
          </w:p>
        </w:tc>
      </w:tr>
    </w:tbl>
    <w:p>
      <w:pPr>
        <w:spacing w:before="240" w:beforeLines="100"/>
        <w:jc w:val="center"/>
        <w:rPr>
          <w:rFonts w:ascii="Arial" w:hAnsi="Arial" w:cs="Arial"/>
          <w:b/>
          <w:bCs/>
          <w:kern w:val="44"/>
          <w:sz w:val="24"/>
        </w:rPr>
      </w:pPr>
    </w:p>
    <w:p>
      <w:pPr>
        <w:pStyle w:val="3"/>
        <w:keepNext w:val="0"/>
        <w:keepLines w:val="0"/>
        <w:spacing w:before="300" w:after="300" w:line="360" w:lineRule="exact"/>
        <w:jc w:val="left"/>
        <w:rPr>
          <w:rFonts w:eastAsia="宋体" w:cs="Arial"/>
          <w:sz w:val="24"/>
          <w:szCs w:val="24"/>
        </w:rPr>
      </w:pPr>
      <w:bookmarkStart w:id="16" w:name="_Toc19242"/>
      <w:r>
        <w:rPr>
          <w:rFonts w:eastAsia="宋体" w:cs="Arial"/>
          <w:sz w:val="24"/>
          <w:szCs w:val="24"/>
        </w:rPr>
        <w:t>3.2工程进度考核</w:t>
      </w:r>
      <w:bookmarkEnd w:id="16"/>
    </w:p>
    <w:p>
      <w:pPr>
        <w:spacing w:line="480" w:lineRule="auto"/>
        <w:ind w:firstLine="420" w:firstLineChars="200"/>
        <w:rPr>
          <w:rFonts w:hint="default" w:ascii="Arial" w:hAnsi="Arial" w:cs="Arial"/>
          <w:bCs/>
          <w:kern w:val="44"/>
          <w:sz w:val="21"/>
          <w:szCs w:val="21"/>
        </w:rPr>
      </w:pPr>
      <w:r>
        <w:rPr>
          <w:rFonts w:hint="default" w:ascii="Arial" w:hAnsi="Arial" w:cs="Arial"/>
          <w:sz w:val="21"/>
          <w:szCs w:val="21"/>
        </w:rPr>
        <w:t>根据监管协议信托计划工程进度考核，合伙企业支付首笔项目投资款后【6】个月内，目标项目可取得预售许可证面积应不低于总可售面积【40】%，截至2020年1</w:t>
      </w:r>
      <w:r>
        <w:rPr>
          <w:rFonts w:hint="default" w:ascii="Arial" w:hAnsi="Arial" w:cs="Arial"/>
          <w:sz w:val="21"/>
          <w:szCs w:val="21"/>
          <w:lang w:val="en-US" w:eastAsia="zh-CN"/>
        </w:rPr>
        <w:t>1</w:t>
      </w:r>
      <w:r>
        <w:rPr>
          <w:rFonts w:hint="default" w:ascii="Arial" w:hAnsi="Arial" w:cs="Arial"/>
          <w:sz w:val="21"/>
          <w:szCs w:val="21"/>
        </w:rPr>
        <w:t>月3</w:t>
      </w:r>
      <w:r>
        <w:rPr>
          <w:rFonts w:hint="default" w:ascii="Arial" w:hAnsi="Arial" w:cs="Arial"/>
          <w:sz w:val="21"/>
          <w:szCs w:val="21"/>
          <w:lang w:val="en-US" w:eastAsia="zh-CN"/>
        </w:rPr>
        <w:t>0</w:t>
      </w:r>
      <w:r>
        <w:rPr>
          <w:rFonts w:hint="default" w:ascii="Arial" w:hAnsi="Arial" w:cs="Arial"/>
          <w:sz w:val="21"/>
          <w:szCs w:val="21"/>
        </w:rPr>
        <w:t>日，项目公司收到首笔投资款</w:t>
      </w:r>
      <w:r>
        <w:rPr>
          <w:rFonts w:hint="default" w:ascii="Arial" w:hAnsi="Arial" w:cs="Arial"/>
          <w:sz w:val="21"/>
          <w:szCs w:val="21"/>
          <w:lang w:val="en-US" w:eastAsia="zh-CN"/>
        </w:rPr>
        <w:t>4</w:t>
      </w:r>
      <w:r>
        <w:rPr>
          <w:rFonts w:hint="default" w:ascii="Arial" w:hAnsi="Arial" w:cs="Arial"/>
          <w:sz w:val="21"/>
          <w:szCs w:val="21"/>
        </w:rPr>
        <w:t>.5个月，项目总建筑面积为20</w:t>
      </w:r>
      <w:r>
        <w:rPr>
          <w:rFonts w:hint="default" w:ascii="Arial" w:hAnsi="Arial" w:cs="Arial"/>
          <w:sz w:val="21"/>
          <w:szCs w:val="21"/>
          <w:lang w:val="en-US" w:eastAsia="zh-CN"/>
        </w:rPr>
        <w:t>,</w:t>
      </w:r>
      <w:r>
        <w:rPr>
          <w:rFonts w:hint="default" w:ascii="Arial" w:hAnsi="Arial" w:cs="Arial"/>
          <w:sz w:val="21"/>
          <w:szCs w:val="21"/>
        </w:rPr>
        <w:t>4348.56</w:t>
      </w:r>
      <w:r>
        <w:rPr>
          <w:rFonts w:hint="default" w:ascii="Arial" w:hAnsi="Arial" w:cs="Arial"/>
          <w:bCs/>
          <w:kern w:val="44"/>
          <w:sz w:val="21"/>
          <w:szCs w:val="21"/>
        </w:rPr>
        <w:t>㎡，总可售商</w:t>
      </w:r>
      <w:r>
        <w:rPr>
          <w:rFonts w:hint="default" w:ascii="Arial" w:hAnsi="Arial" w:cs="Arial"/>
          <w:bCs/>
          <w:kern w:val="44"/>
          <w:sz w:val="21"/>
          <w:szCs w:val="21"/>
          <w:lang w:eastAsia="zh-CN"/>
        </w:rPr>
        <w:t>品</w:t>
      </w:r>
      <w:r>
        <w:rPr>
          <w:rFonts w:hint="default" w:ascii="Arial" w:hAnsi="Arial" w:cs="Arial"/>
          <w:bCs/>
          <w:kern w:val="44"/>
          <w:sz w:val="21"/>
          <w:szCs w:val="21"/>
        </w:rPr>
        <w:t>房面积</w:t>
      </w:r>
      <w:r>
        <w:rPr>
          <w:rFonts w:hint="default" w:ascii="Arial" w:hAnsi="Arial" w:eastAsia="宋体" w:cs="Arial"/>
          <w:sz w:val="21"/>
          <w:szCs w:val="21"/>
        </w:rPr>
        <w:t>14</w:t>
      </w:r>
      <w:r>
        <w:rPr>
          <w:rFonts w:hint="default" w:ascii="Arial" w:hAnsi="Arial" w:cs="Arial"/>
          <w:sz w:val="21"/>
          <w:szCs w:val="21"/>
          <w:lang w:val="en-US" w:eastAsia="zh-CN"/>
        </w:rPr>
        <w:t>,</w:t>
      </w:r>
      <w:r>
        <w:rPr>
          <w:rFonts w:hint="default" w:ascii="Arial" w:hAnsi="Arial" w:eastAsia="宋体" w:cs="Arial"/>
          <w:sz w:val="21"/>
          <w:szCs w:val="21"/>
        </w:rPr>
        <w:t>4841.17</w:t>
      </w:r>
      <w:r>
        <w:rPr>
          <w:rFonts w:hint="default" w:ascii="Arial" w:hAnsi="Arial" w:cs="Arial"/>
          <w:bCs/>
          <w:kern w:val="44"/>
          <w:sz w:val="21"/>
          <w:szCs w:val="21"/>
        </w:rPr>
        <w:t>㎡，</w:t>
      </w:r>
      <w:r>
        <w:rPr>
          <w:rFonts w:hint="default" w:ascii="Arial" w:hAnsi="Arial" w:cs="Arial"/>
          <w:sz w:val="21"/>
          <w:szCs w:val="21"/>
        </w:rPr>
        <w:t>已取得预售许可面积</w:t>
      </w:r>
      <w:r>
        <w:rPr>
          <w:rFonts w:hint="default" w:ascii="Arial" w:hAnsi="Arial" w:cs="Arial"/>
          <w:sz w:val="21"/>
          <w:szCs w:val="21"/>
          <w:lang w:val="en-US" w:eastAsia="zh-CN"/>
        </w:rPr>
        <w:t>72,885.37</w:t>
      </w:r>
      <w:r>
        <w:rPr>
          <w:rFonts w:hint="default" w:ascii="Arial" w:hAnsi="Arial" w:cs="Arial"/>
          <w:bCs/>
          <w:kern w:val="44"/>
          <w:sz w:val="21"/>
          <w:szCs w:val="21"/>
        </w:rPr>
        <w:t>㎡，占项目总建筑面积</w:t>
      </w:r>
      <w:r>
        <w:rPr>
          <w:rFonts w:hint="default" w:ascii="Arial" w:hAnsi="Arial" w:eastAsia="宋体" w:cs="Arial"/>
          <w:i w:val="0"/>
          <w:color w:val="000000"/>
          <w:kern w:val="0"/>
          <w:sz w:val="21"/>
          <w:szCs w:val="21"/>
          <w:u w:val="none"/>
          <w:lang w:val="en-US" w:eastAsia="zh-CN" w:bidi="ar"/>
        </w:rPr>
        <w:t>50.32%</w:t>
      </w:r>
      <w:r>
        <w:rPr>
          <w:rFonts w:hint="default" w:ascii="Arial" w:hAnsi="Arial" w:cs="Arial"/>
          <w:bCs/>
          <w:kern w:val="44"/>
          <w:sz w:val="21"/>
          <w:szCs w:val="21"/>
        </w:rPr>
        <w:t>。</w:t>
      </w:r>
    </w:p>
    <w:tbl>
      <w:tblPr>
        <w:tblStyle w:val="22"/>
        <w:tblW w:w="5430" w:type="dxa"/>
        <w:jc w:val="center"/>
        <w:shd w:val="clear" w:color="auto" w:fill="auto"/>
        <w:tblLayout w:type="autofit"/>
        <w:tblCellMar>
          <w:top w:w="0" w:type="dxa"/>
          <w:left w:w="0" w:type="dxa"/>
          <w:bottom w:w="0" w:type="dxa"/>
          <w:right w:w="0" w:type="dxa"/>
        </w:tblCellMar>
      </w:tblPr>
      <w:tblGrid>
        <w:gridCol w:w="2715"/>
        <w:gridCol w:w="2715"/>
      </w:tblGrid>
      <w:tr>
        <w:tblPrEx>
          <w:tblCellMar>
            <w:top w:w="0" w:type="dxa"/>
            <w:left w:w="0" w:type="dxa"/>
            <w:bottom w:w="0" w:type="dxa"/>
            <w:right w:w="0" w:type="dxa"/>
          </w:tblCellMar>
        </w:tblPrEx>
        <w:trPr>
          <w:trHeight w:val="640" w:hRule="atLeast"/>
          <w:jc w:val="center"/>
        </w:trPr>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企业</w:t>
            </w:r>
          </w:p>
        </w:tc>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正舟</w:t>
            </w:r>
          </w:p>
        </w:tc>
      </w:tr>
      <w:tr>
        <w:tblPrEx>
          <w:tblCellMar>
            <w:top w:w="0" w:type="dxa"/>
            <w:left w:w="0" w:type="dxa"/>
            <w:bottom w:w="0" w:type="dxa"/>
            <w:right w:w="0" w:type="dxa"/>
          </w:tblCellMar>
        </w:tblPrEx>
        <w:trPr>
          <w:trHeight w:val="640" w:hRule="atLeast"/>
          <w:jc w:val="center"/>
        </w:trPr>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首笔放款日期</w:t>
            </w:r>
          </w:p>
        </w:tc>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2020年7月14日</w:t>
            </w:r>
          </w:p>
        </w:tc>
      </w:tr>
      <w:tr>
        <w:tblPrEx>
          <w:tblCellMar>
            <w:top w:w="0" w:type="dxa"/>
            <w:left w:w="0" w:type="dxa"/>
            <w:bottom w:w="0" w:type="dxa"/>
            <w:right w:w="0" w:type="dxa"/>
          </w:tblCellMar>
        </w:tblPrEx>
        <w:trPr>
          <w:trHeight w:val="640" w:hRule="atLeast"/>
          <w:jc w:val="center"/>
        </w:trPr>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预售许可证面积</w:t>
            </w:r>
          </w:p>
        </w:tc>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72885.37㎡</w:t>
            </w:r>
          </w:p>
        </w:tc>
      </w:tr>
      <w:tr>
        <w:tblPrEx>
          <w:tblCellMar>
            <w:top w:w="0" w:type="dxa"/>
            <w:left w:w="0" w:type="dxa"/>
            <w:bottom w:w="0" w:type="dxa"/>
            <w:right w:w="0" w:type="dxa"/>
          </w:tblCellMar>
        </w:tblPrEx>
        <w:trPr>
          <w:trHeight w:val="640" w:hRule="atLeast"/>
          <w:jc w:val="center"/>
        </w:trPr>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总可售面积</w:t>
            </w:r>
          </w:p>
        </w:tc>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4841.17㎡</w:t>
            </w:r>
          </w:p>
        </w:tc>
      </w:tr>
      <w:tr>
        <w:tblPrEx>
          <w:tblCellMar>
            <w:top w:w="0" w:type="dxa"/>
            <w:left w:w="0" w:type="dxa"/>
            <w:bottom w:w="0" w:type="dxa"/>
            <w:right w:w="0" w:type="dxa"/>
          </w:tblCellMar>
        </w:tblPrEx>
        <w:trPr>
          <w:trHeight w:val="640" w:hRule="atLeast"/>
          <w:jc w:val="center"/>
        </w:trPr>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比例</w:t>
            </w:r>
          </w:p>
        </w:tc>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50.32%</w:t>
            </w:r>
          </w:p>
        </w:tc>
      </w:tr>
      <w:tr>
        <w:tblPrEx>
          <w:tblCellMar>
            <w:top w:w="0" w:type="dxa"/>
            <w:left w:w="0" w:type="dxa"/>
            <w:bottom w:w="0" w:type="dxa"/>
            <w:right w:w="0" w:type="dxa"/>
          </w:tblCellMar>
        </w:tblPrEx>
        <w:trPr>
          <w:trHeight w:val="640" w:hRule="atLeast"/>
          <w:jc w:val="center"/>
        </w:trPr>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进度</w:t>
            </w:r>
          </w:p>
        </w:tc>
        <w:tc>
          <w:tcPr>
            <w:tcW w:w="27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lang w:eastAsia="zh-CN"/>
              </w:rPr>
            </w:pPr>
            <w:r>
              <w:rPr>
                <w:rFonts w:hint="default" w:ascii="Arial" w:hAnsi="Arial" w:cs="Arial"/>
                <w:i w:val="0"/>
                <w:color w:val="000000"/>
                <w:sz w:val="18"/>
                <w:szCs w:val="18"/>
                <w:u w:val="none"/>
                <w:lang w:eastAsia="zh-CN"/>
              </w:rPr>
              <w:t>已完成</w:t>
            </w:r>
          </w:p>
        </w:tc>
      </w:tr>
    </w:tbl>
    <w:p>
      <w:pPr>
        <w:rPr>
          <w:rFonts w:ascii="Arial" w:hAnsi="Arial" w:cs="Arial"/>
        </w:rPr>
      </w:pPr>
    </w:p>
    <w:p>
      <w:pPr>
        <w:pStyle w:val="3"/>
        <w:keepNext w:val="0"/>
        <w:keepLines w:val="0"/>
        <w:spacing w:before="300" w:after="300" w:line="360" w:lineRule="exact"/>
        <w:jc w:val="left"/>
        <w:rPr>
          <w:rFonts w:hint="default" w:ascii="Arial" w:hAnsi="Arial" w:eastAsia="宋体" w:cs="Arial"/>
          <w:sz w:val="24"/>
          <w:szCs w:val="24"/>
        </w:rPr>
      </w:pPr>
      <w:bookmarkStart w:id="17" w:name="_Toc13505"/>
      <w:r>
        <w:rPr>
          <w:rFonts w:hint="default" w:ascii="Arial" w:hAnsi="Arial" w:eastAsia="宋体" w:cs="Arial"/>
          <w:sz w:val="24"/>
          <w:szCs w:val="24"/>
        </w:rPr>
        <w:t>3.3项目2020年1</w:t>
      </w:r>
      <w:r>
        <w:rPr>
          <w:rFonts w:hint="eastAsia" w:eastAsia="宋体" w:cs="Arial"/>
          <w:sz w:val="24"/>
          <w:szCs w:val="24"/>
          <w:lang w:val="en-US" w:eastAsia="zh-CN"/>
        </w:rPr>
        <w:t>2</w:t>
      </w:r>
      <w:r>
        <w:rPr>
          <w:rFonts w:hint="default" w:ascii="Arial" w:hAnsi="Arial" w:eastAsia="宋体" w:cs="Arial"/>
          <w:sz w:val="24"/>
          <w:szCs w:val="24"/>
        </w:rPr>
        <w:t>月份施工进度情况</w:t>
      </w:r>
      <w:bookmarkEnd w:id="17"/>
    </w:p>
    <w:p>
      <w:pPr>
        <w:numPr>
          <w:ilvl w:val="0"/>
          <w:numId w:val="2"/>
        </w:numPr>
        <w:spacing w:line="480" w:lineRule="auto"/>
        <w:ind w:firstLineChars="200"/>
        <w:rPr>
          <w:rFonts w:hint="default" w:ascii="Arial" w:hAnsi="Arial" w:eastAsia="宋体" w:cs="Arial"/>
          <w:b w:val="0"/>
          <w:bCs w:val="0"/>
          <w:sz w:val="21"/>
          <w:szCs w:val="21"/>
        </w:rPr>
      </w:pPr>
      <w:r>
        <w:rPr>
          <w:rFonts w:hint="default" w:ascii="Arial" w:hAnsi="Arial" w:eastAsia="宋体" w:cs="Arial"/>
          <w:b w:val="0"/>
          <w:bCs w:val="0"/>
          <w:sz w:val="21"/>
          <w:szCs w:val="21"/>
        </w:rPr>
        <w:t>汉口正荣府形象进度：</w:t>
      </w:r>
    </w:p>
    <w:p>
      <w:pPr>
        <w:numPr>
          <w:ilvl w:val="0"/>
          <w:numId w:val="3"/>
        </w:num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rPr>
        <w:t>、1#楼已封顶，</w:t>
      </w:r>
      <w:r>
        <w:rPr>
          <w:rFonts w:hint="default" w:ascii="Arial" w:hAnsi="Arial" w:eastAsia="宋体" w:cs="Arial"/>
          <w:b w:val="0"/>
          <w:bCs w:val="0"/>
          <w:sz w:val="21"/>
          <w:szCs w:val="21"/>
          <w:lang w:val="en-US" w:eastAsia="zh-CN"/>
        </w:rPr>
        <w:t>4-34层内、外墙抹灰已完成</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正在进行</w:t>
      </w:r>
      <w:r>
        <w:rPr>
          <w:rFonts w:hint="default" w:ascii="Arial" w:hAnsi="Arial" w:eastAsia="宋体" w:cs="Arial"/>
          <w:b w:val="0"/>
          <w:bCs w:val="0"/>
          <w:sz w:val="21"/>
          <w:szCs w:val="21"/>
          <w:lang w:val="en-US" w:eastAsia="zh-CN"/>
        </w:rPr>
        <w:t>2-3层内墙抹灰</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屋面防水卷材施工完成，正在进行闭水试验</w:t>
      </w:r>
      <w:r>
        <w:rPr>
          <w:rFonts w:hint="default" w:ascii="Arial" w:hAnsi="Arial" w:eastAsia="宋体" w:cs="Arial"/>
          <w:b w:val="0"/>
          <w:bCs w:val="0"/>
          <w:sz w:val="21"/>
          <w:szCs w:val="21"/>
        </w:rPr>
        <w:t>，</w:t>
      </w:r>
      <w:r>
        <w:rPr>
          <w:rFonts w:hint="default" w:ascii="Arial" w:hAnsi="Arial" w:eastAsia="宋体" w:cs="Arial"/>
          <w:b w:val="0"/>
          <w:bCs w:val="0"/>
          <w:sz w:val="21"/>
          <w:szCs w:val="21"/>
          <w:lang w:val="en-US" w:eastAsia="zh-CN"/>
        </w:rPr>
        <w:t>2-34层外</w:t>
      </w:r>
      <w:r>
        <w:rPr>
          <w:rFonts w:hint="default" w:ascii="Arial" w:hAnsi="Arial" w:eastAsia="宋体" w:cs="Arial"/>
          <w:b w:val="0"/>
          <w:bCs w:val="0"/>
          <w:sz w:val="21"/>
          <w:szCs w:val="21"/>
        </w:rPr>
        <w:t>窗框安装</w:t>
      </w:r>
      <w:r>
        <w:rPr>
          <w:rFonts w:hint="default" w:ascii="Arial" w:hAnsi="Arial" w:eastAsia="宋体" w:cs="Arial"/>
          <w:b w:val="0"/>
          <w:bCs w:val="0"/>
          <w:sz w:val="21"/>
          <w:szCs w:val="21"/>
          <w:lang w:eastAsia="zh-CN"/>
        </w:rPr>
        <w:t>完成，屋面层</w:t>
      </w:r>
      <w:r>
        <w:rPr>
          <w:rFonts w:hint="default" w:ascii="Arial" w:hAnsi="Arial" w:eastAsia="宋体" w:cs="Arial"/>
          <w:b w:val="0"/>
          <w:bCs w:val="0"/>
          <w:sz w:val="21"/>
          <w:szCs w:val="21"/>
          <w:lang w:val="en-US" w:eastAsia="zh-CN"/>
        </w:rPr>
        <w:t>-14层</w:t>
      </w:r>
      <w:r>
        <w:rPr>
          <w:rFonts w:hint="default" w:ascii="Arial" w:hAnsi="Arial" w:eastAsia="宋体" w:cs="Arial"/>
          <w:b w:val="0"/>
          <w:bCs w:val="0"/>
          <w:sz w:val="21"/>
          <w:szCs w:val="21"/>
          <w:lang w:eastAsia="zh-CN"/>
        </w:rPr>
        <w:t>栏杆安装完成，外脚手架拆除至</w:t>
      </w:r>
      <w:r>
        <w:rPr>
          <w:rFonts w:hint="default" w:ascii="Arial" w:hAnsi="Arial" w:eastAsia="宋体" w:cs="Arial"/>
          <w:b w:val="0"/>
          <w:bCs w:val="0"/>
          <w:sz w:val="21"/>
          <w:szCs w:val="21"/>
          <w:lang w:val="en-US" w:eastAsia="zh-CN"/>
        </w:rPr>
        <w:t>13层</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rPr>
        <w:t>、2#楼</w:t>
      </w:r>
      <w:r>
        <w:rPr>
          <w:rFonts w:hint="default" w:ascii="Arial" w:hAnsi="Arial" w:eastAsia="宋体" w:cs="Arial"/>
          <w:b w:val="0"/>
          <w:bCs w:val="0"/>
          <w:sz w:val="21"/>
          <w:szCs w:val="21"/>
          <w:lang w:eastAsia="zh-CN"/>
        </w:rPr>
        <w:t>已封顶</w:t>
      </w:r>
      <w:r>
        <w:rPr>
          <w:rFonts w:hint="default" w:ascii="Arial" w:hAnsi="Arial" w:eastAsia="宋体" w:cs="Arial"/>
          <w:b w:val="0"/>
          <w:bCs w:val="0"/>
          <w:sz w:val="21"/>
          <w:szCs w:val="21"/>
        </w:rPr>
        <w:t>，</w:t>
      </w:r>
      <w:r>
        <w:rPr>
          <w:rFonts w:hint="default" w:ascii="Arial" w:hAnsi="Arial" w:eastAsia="宋体" w:cs="Arial"/>
          <w:b w:val="0"/>
          <w:bCs w:val="0"/>
          <w:sz w:val="21"/>
          <w:szCs w:val="21"/>
          <w:lang w:val="en-US" w:eastAsia="zh-CN"/>
        </w:rPr>
        <w:t>23-28层砌体施工完成，正在进行29-屋面</w:t>
      </w:r>
      <w:r>
        <w:rPr>
          <w:rFonts w:hint="default" w:ascii="Arial" w:hAnsi="Arial" w:eastAsia="宋体" w:cs="Arial"/>
          <w:b w:val="0"/>
          <w:bCs w:val="0"/>
          <w:sz w:val="21"/>
          <w:szCs w:val="21"/>
        </w:rPr>
        <w:t>层砌体施工，</w:t>
      </w:r>
      <w:r>
        <w:rPr>
          <w:rFonts w:hint="default" w:ascii="Arial" w:hAnsi="Arial" w:eastAsia="宋体" w:cs="Arial"/>
          <w:b w:val="0"/>
          <w:bCs w:val="0"/>
          <w:sz w:val="21"/>
          <w:szCs w:val="21"/>
          <w:lang w:val="en-US" w:eastAsia="zh-CN"/>
        </w:rPr>
        <w:t>3-16层内墙抹灰完成，正在进行17-19层内墙抹灰，外墙抹灰完成18-9层，正在进行8层外墙抹灰，外窗框安装完成18-2层</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eastAsia="宋体" w:cs="Arial"/>
          <w:b w:val="0"/>
          <w:bCs w:val="0"/>
          <w:sz w:val="21"/>
          <w:szCs w:val="21"/>
          <w:lang w:eastAsia="zh-CN"/>
        </w:rPr>
        <w:t>、</w:t>
      </w:r>
      <w:r>
        <w:rPr>
          <w:rFonts w:hint="default" w:ascii="Arial" w:hAnsi="Arial" w:eastAsia="宋体" w:cs="Arial"/>
          <w:b w:val="0"/>
          <w:bCs w:val="0"/>
          <w:sz w:val="21"/>
          <w:szCs w:val="21"/>
        </w:rPr>
        <w:t>3#楼</w:t>
      </w:r>
      <w:r>
        <w:rPr>
          <w:rFonts w:hint="default" w:ascii="Arial" w:hAnsi="Arial" w:eastAsia="宋体" w:cs="Arial"/>
          <w:b w:val="0"/>
          <w:bCs w:val="0"/>
          <w:sz w:val="21"/>
          <w:szCs w:val="21"/>
          <w:lang w:val="en-US" w:eastAsia="zh-CN"/>
        </w:rPr>
        <w:t>31</w:t>
      </w:r>
      <w:r>
        <w:rPr>
          <w:rFonts w:hint="default" w:ascii="Arial" w:hAnsi="Arial" w:eastAsia="宋体" w:cs="Arial"/>
          <w:b w:val="0"/>
          <w:bCs w:val="0"/>
          <w:sz w:val="21"/>
          <w:szCs w:val="21"/>
        </w:rPr>
        <w:t>层墙柱</w:t>
      </w:r>
      <w:r>
        <w:rPr>
          <w:rFonts w:hint="default" w:ascii="Arial" w:hAnsi="Arial" w:eastAsia="宋体" w:cs="Arial"/>
          <w:b w:val="0"/>
          <w:bCs w:val="0"/>
          <w:sz w:val="21"/>
          <w:szCs w:val="21"/>
          <w:lang w:val="en-US" w:eastAsia="zh-CN"/>
        </w:rPr>
        <w:t>32</w:t>
      </w:r>
      <w:r>
        <w:rPr>
          <w:rFonts w:hint="default" w:ascii="Arial" w:hAnsi="Arial" w:eastAsia="宋体" w:cs="Arial"/>
          <w:b w:val="0"/>
          <w:bCs w:val="0"/>
          <w:sz w:val="21"/>
          <w:szCs w:val="21"/>
        </w:rPr>
        <w:t>层梁板砼浇筑</w:t>
      </w:r>
      <w:r>
        <w:rPr>
          <w:rFonts w:hint="default" w:ascii="Arial" w:hAnsi="Arial" w:eastAsia="宋体" w:cs="Arial"/>
          <w:b w:val="0"/>
          <w:bCs w:val="0"/>
          <w:sz w:val="21"/>
          <w:szCs w:val="21"/>
          <w:lang w:eastAsia="zh-CN"/>
        </w:rPr>
        <w:t>完成</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完成</w:t>
      </w:r>
      <w:r>
        <w:rPr>
          <w:rFonts w:hint="default" w:ascii="Arial" w:hAnsi="Arial" w:eastAsia="宋体" w:cs="Arial"/>
          <w:b w:val="0"/>
          <w:bCs w:val="0"/>
          <w:sz w:val="21"/>
          <w:szCs w:val="21"/>
          <w:lang w:val="en-US" w:eastAsia="zh-CN"/>
        </w:rPr>
        <w:t>14-22层砌体施工，正在进行23-24层砌体施工</w:t>
      </w:r>
      <w:r>
        <w:rPr>
          <w:rFonts w:hint="default" w:ascii="Arial" w:hAnsi="Arial" w:eastAsia="宋体" w:cs="Arial"/>
          <w:b w:val="0"/>
          <w:bCs w:val="0"/>
          <w:sz w:val="21"/>
          <w:szCs w:val="21"/>
          <w:lang w:eastAsia="zh-CN"/>
        </w:rPr>
        <w:t>，</w:t>
      </w:r>
      <w:r>
        <w:rPr>
          <w:rFonts w:hint="default" w:ascii="Arial" w:hAnsi="Arial" w:eastAsia="宋体" w:cs="Arial"/>
          <w:b w:val="0"/>
          <w:bCs w:val="0"/>
          <w:sz w:val="21"/>
          <w:szCs w:val="21"/>
          <w:lang w:val="en-US" w:eastAsia="zh-CN"/>
        </w:rPr>
        <w:t>3-9层内墙抹灰完成，正在进行10-13层内墙抹灰，正在进行18-9层外窗框安装，完成18层外墙抹灰，正在进行17层外墙抹灰</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rPr>
        <w:t>、4#楼</w:t>
      </w:r>
      <w:r>
        <w:rPr>
          <w:rFonts w:hint="default" w:ascii="Arial" w:hAnsi="Arial" w:eastAsia="宋体" w:cs="Arial"/>
          <w:b w:val="0"/>
          <w:bCs w:val="0"/>
          <w:sz w:val="21"/>
          <w:szCs w:val="21"/>
          <w:lang w:eastAsia="zh-CN"/>
        </w:rPr>
        <w:t>完成</w:t>
      </w:r>
      <w:r>
        <w:rPr>
          <w:rFonts w:hint="default" w:ascii="Arial" w:hAnsi="Arial" w:eastAsia="宋体" w:cs="Arial"/>
          <w:b w:val="0"/>
          <w:bCs w:val="0"/>
          <w:sz w:val="21"/>
          <w:szCs w:val="21"/>
          <w:lang w:val="en-US" w:eastAsia="zh-CN"/>
        </w:rPr>
        <w:t>30层墙柱31层梁板砼浇筑，14-20层砌体施工完成</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rPr>
        <w:t>、8#楼</w:t>
      </w:r>
      <w:r>
        <w:rPr>
          <w:rFonts w:hint="default" w:ascii="Arial" w:hAnsi="Arial" w:eastAsia="宋体" w:cs="Arial"/>
          <w:b w:val="0"/>
          <w:bCs w:val="0"/>
          <w:sz w:val="21"/>
          <w:szCs w:val="21"/>
          <w:lang w:eastAsia="zh-CN"/>
        </w:rPr>
        <w:t>完成</w:t>
      </w:r>
      <w:r>
        <w:rPr>
          <w:rFonts w:hint="default" w:ascii="Arial" w:hAnsi="Arial" w:eastAsia="宋体" w:cs="Arial"/>
          <w:b w:val="0"/>
          <w:bCs w:val="0"/>
          <w:sz w:val="21"/>
          <w:szCs w:val="21"/>
          <w:lang w:val="en-US" w:eastAsia="zh-CN"/>
        </w:rPr>
        <w:t>7层墙柱8层梁板砼浇筑</w:t>
      </w:r>
      <w:r>
        <w:rPr>
          <w:rFonts w:hint="default" w:ascii="Arial" w:hAnsi="Arial" w:eastAsia="宋体" w:cs="Arial"/>
          <w:b w:val="0"/>
          <w:bCs w:val="0"/>
          <w:sz w:val="21"/>
          <w:szCs w:val="21"/>
          <w:lang w:eastAsia="zh-CN"/>
        </w:rPr>
        <w:t>，北侧地库负一层内架搭设，墙柱及地库顶板梁板模板安装完成</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rPr>
        <w:t>、7#楼</w:t>
      </w:r>
      <w:r>
        <w:rPr>
          <w:rFonts w:hint="default" w:ascii="Arial" w:hAnsi="Arial" w:eastAsia="宋体" w:cs="Arial"/>
          <w:b w:val="0"/>
          <w:bCs w:val="0"/>
          <w:sz w:val="21"/>
          <w:szCs w:val="21"/>
          <w:lang w:val="en-US" w:eastAsia="zh-CN"/>
        </w:rPr>
        <w:t>3层墙柱4层梁板砼浇筑完成</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rPr>
        <w:t>、5#楼</w:t>
      </w:r>
      <w:r>
        <w:rPr>
          <w:rFonts w:hint="default" w:ascii="Arial" w:hAnsi="Arial" w:eastAsia="宋体" w:cs="Arial"/>
          <w:b w:val="0"/>
          <w:bCs w:val="0"/>
          <w:sz w:val="21"/>
          <w:szCs w:val="21"/>
          <w:lang w:eastAsia="zh-CN"/>
        </w:rPr>
        <w:t>底板浇筑完成，正在进行负二层墙柱负一层梁板模板安装</w:t>
      </w:r>
      <w:r>
        <w:rPr>
          <w:rFonts w:hint="default" w:ascii="Arial" w:hAnsi="Arial" w:eastAsia="宋体" w:cs="Arial"/>
          <w:b w:val="0"/>
          <w:bCs w:val="0"/>
          <w:sz w:val="21"/>
          <w:szCs w:val="21"/>
        </w:rPr>
        <w:t>。</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、人防地下室安装工程已开始进行。</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、9#楼承台砖胎膜砌筑。</w:t>
      </w:r>
    </w:p>
    <w:p>
      <w:pPr>
        <w:numPr>
          <w:ilvl w:val="0"/>
          <w:numId w:val="3"/>
        </w:numPr>
        <w:spacing w:line="480" w:lineRule="auto"/>
        <w:ind w:firstLine="420" w:firstLineChars="200"/>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、S3商业承台开挖及砖胎膜砌筑。</w:t>
      </w:r>
    </w:p>
    <w:p>
      <w:pPr>
        <w:pStyle w:val="3"/>
        <w:keepLines w:val="0"/>
        <w:spacing w:before="300" w:after="300" w:line="480" w:lineRule="auto"/>
        <w:jc w:val="left"/>
        <w:rPr>
          <w:rFonts w:hint="default" w:ascii="Arial" w:hAnsi="Arial" w:eastAsia="宋体" w:cs="Arial"/>
          <w:b/>
          <w:bCs/>
          <w:sz w:val="24"/>
          <w:szCs w:val="24"/>
        </w:rPr>
      </w:pPr>
      <w:r>
        <w:rPr>
          <w:rFonts w:hint="default" w:ascii="Arial" w:hAnsi="Arial" w:eastAsia="宋体" w:cs="Arial"/>
          <w:b/>
          <w:bCs/>
          <w:sz w:val="24"/>
          <w:szCs w:val="24"/>
        </w:rPr>
        <w:t>3.4项目202</w:t>
      </w:r>
      <w:r>
        <w:rPr>
          <w:rFonts w:hint="eastAsia" w:eastAsia="宋体" w:cs="Arial"/>
          <w:b/>
          <w:bCs/>
          <w:sz w:val="24"/>
          <w:szCs w:val="24"/>
          <w:lang w:val="en-US" w:eastAsia="zh-CN"/>
        </w:rPr>
        <w:t>1</w:t>
      </w:r>
      <w:r>
        <w:rPr>
          <w:rFonts w:hint="default" w:ascii="Arial" w:hAnsi="Arial" w:eastAsia="宋体" w:cs="Arial"/>
          <w:b/>
          <w:bCs/>
          <w:sz w:val="24"/>
          <w:szCs w:val="24"/>
        </w:rPr>
        <w:t>年1月施工计划</w:t>
      </w:r>
    </w:p>
    <w:p>
      <w:pPr>
        <w:numPr>
          <w:ilvl w:val="255"/>
          <w:numId w:val="0"/>
        </w:numPr>
        <w:spacing w:line="480" w:lineRule="auto"/>
        <w:ind w:firstLine="420" w:firstLineChars="200"/>
        <w:rPr>
          <w:rFonts w:hint="default" w:ascii="Arial" w:hAnsi="Arial" w:cs="Arial"/>
          <w:sz w:val="21"/>
          <w:szCs w:val="21"/>
        </w:rPr>
      </w:pPr>
      <w:r>
        <w:rPr>
          <w:rFonts w:hint="default" w:ascii="Arial" w:hAnsi="Arial" w:cs="Arial"/>
          <w:sz w:val="21"/>
          <w:szCs w:val="21"/>
        </w:rPr>
        <w:t>1、汉口正荣府形象进度</w:t>
      </w:r>
      <w:r>
        <w:rPr>
          <w:rFonts w:hint="eastAsia" w:ascii="Arial" w:hAnsi="Arial" w:cs="Arial"/>
          <w:sz w:val="21"/>
          <w:szCs w:val="21"/>
          <w:lang w:eastAsia="zh-CN"/>
        </w:rPr>
        <w:t>计划</w:t>
      </w:r>
      <w:r>
        <w:rPr>
          <w:rFonts w:hint="default" w:ascii="Arial" w:hAnsi="Arial" w:cs="Arial"/>
          <w:sz w:val="21"/>
          <w:szCs w:val="21"/>
        </w:rPr>
        <w:t>：</w:t>
      </w:r>
    </w:p>
    <w:p>
      <w:pPr>
        <w:numPr>
          <w:ilvl w:val="0"/>
          <w:numId w:val="0"/>
        </w:numPr>
        <w:spacing w:line="480" w:lineRule="auto"/>
        <w:ind w:firstLine="420" w:firstLineChars="200"/>
        <w:rPr>
          <w:rFonts w:hint="default" w:ascii="Arial" w:hAnsi="Arial" w:eastAsia="宋体" w:cs="Arial"/>
          <w:b w:val="0"/>
          <w:bCs w:val="0"/>
          <w:sz w:val="21"/>
          <w:szCs w:val="21"/>
          <w:lang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1</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rPr>
        <w:t>、1#楼已封顶，</w:t>
      </w:r>
      <w:r>
        <w:rPr>
          <w:rFonts w:hint="default" w:ascii="Arial" w:hAnsi="Arial" w:eastAsia="宋体" w:cs="Arial"/>
          <w:b w:val="0"/>
          <w:bCs w:val="0"/>
          <w:sz w:val="21"/>
          <w:szCs w:val="21"/>
          <w:lang w:eastAsia="zh-CN"/>
        </w:rPr>
        <w:t>进行</w:t>
      </w:r>
      <w:r>
        <w:rPr>
          <w:rFonts w:hint="default" w:ascii="Arial" w:hAnsi="Arial" w:eastAsia="宋体" w:cs="Arial"/>
          <w:b w:val="0"/>
          <w:bCs w:val="0"/>
          <w:sz w:val="21"/>
          <w:szCs w:val="21"/>
          <w:lang w:val="en-US" w:eastAsia="zh-CN"/>
        </w:rPr>
        <w:t>内墙抹灰</w:t>
      </w:r>
      <w:r>
        <w:rPr>
          <w:rFonts w:hint="eastAsia" w:ascii="Arial" w:hAnsi="Arial" w:cs="Arial"/>
          <w:b w:val="0"/>
          <w:bCs w:val="0"/>
          <w:sz w:val="21"/>
          <w:szCs w:val="21"/>
          <w:lang w:val="en-US" w:eastAsia="zh-CN"/>
        </w:rPr>
        <w:t>,</w:t>
      </w:r>
      <w:r>
        <w:rPr>
          <w:rFonts w:hint="default" w:ascii="Arial" w:hAnsi="Arial" w:eastAsia="宋体" w:cs="Arial"/>
          <w:b w:val="0"/>
          <w:bCs w:val="0"/>
          <w:sz w:val="21"/>
          <w:szCs w:val="21"/>
          <w:lang w:eastAsia="zh-CN"/>
        </w:rPr>
        <w:t>外脚手架拆除</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2</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rPr>
        <w:t>、2#楼</w:t>
      </w:r>
      <w:r>
        <w:rPr>
          <w:rFonts w:hint="default" w:ascii="Arial" w:hAnsi="Arial" w:eastAsia="宋体" w:cs="Arial"/>
          <w:b w:val="0"/>
          <w:bCs w:val="0"/>
          <w:sz w:val="21"/>
          <w:szCs w:val="21"/>
          <w:lang w:eastAsia="zh-CN"/>
        </w:rPr>
        <w:t>已封顶</w:t>
      </w:r>
      <w:r>
        <w:rPr>
          <w:rFonts w:hint="default" w:ascii="Arial" w:hAnsi="Arial" w:eastAsia="宋体" w:cs="Arial"/>
          <w:b w:val="0"/>
          <w:bCs w:val="0"/>
          <w:sz w:val="21"/>
          <w:szCs w:val="21"/>
        </w:rPr>
        <w:t>，</w:t>
      </w:r>
      <w:r>
        <w:rPr>
          <w:rFonts w:hint="default" w:ascii="Arial" w:hAnsi="Arial" w:eastAsia="宋体" w:cs="Arial"/>
          <w:b w:val="0"/>
          <w:bCs w:val="0"/>
          <w:sz w:val="21"/>
          <w:szCs w:val="21"/>
          <w:lang w:val="en-US" w:eastAsia="zh-CN"/>
        </w:rPr>
        <w:t>完成砌体施工，内墙抹灰，外窗框安装</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3</w:t>
      </w:r>
      <w:r>
        <w:rPr>
          <w:rFonts w:hint="eastAsia" w:ascii="Arial" w:hAnsi="Arial" w:cs="Arial"/>
          <w:b w:val="0"/>
          <w:bCs w:val="0"/>
          <w:sz w:val="21"/>
          <w:szCs w:val="21"/>
          <w:highlight w:val="none"/>
          <w:lang w:val="en-US" w:eastAsia="zh-CN"/>
        </w:rPr>
        <w:t>)</w:t>
      </w:r>
      <w:r>
        <w:rPr>
          <w:rFonts w:hint="eastAsia" w:ascii="Arial" w:hAnsi="Arial" w:eastAsia="宋体" w:cs="Arial"/>
          <w:b w:val="0"/>
          <w:bCs w:val="0"/>
          <w:sz w:val="21"/>
          <w:szCs w:val="21"/>
          <w:lang w:eastAsia="zh-CN"/>
        </w:rPr>
        <w:t>、</w:t>
      </w:r>
      <w:r>
        <w:rPr>
          <w:rFonts w:hint="default" w:ascii="Arial" w:hAnsi="Arial" w:eastAsia="宋体" w:cs="Arial"/>
          <w:b w:val="0"/>
          <w:bCs w:val="0"/>
          <w:sz w:val="21"/>
          <w:szCs w:val="21"/>
        </w:rPr>
        <w:t>3#楼</w:t>
      </w:r>
      <w:r>
        <w:rPr>
          <w:rFonts w:hint="default" w:ascii="Arial" w:hAnsi="Arial" w:eastAsia="宋体" w:cs="Arial"/>
          <w:b w:val="0"/>
          <w:bCs w:val="0"/>
          <w:sz w:val="21"/>
          <w:szCs w:val="21"/>
          <w:lang w:val="en-US" w:eastAsia="zh-CN"/>
        </w:rPr>
        <w:t>砌体施工，内墙抹灰，外窗框安装</w:t>
      </w:r>
      <w:r>
        <w:rPr>
          <w:rFonts w:hint="default" w:ascii="Arial" w:hAnsi="Arial" w:eastAsia="宋体" w:cs="Arial"/>
          <w:b w:val="0"/>
          <w:bCs w:val="0"/>
          <w:sz w:val="21"/>
          <w:szCs w:val="21"/>
        </w:rPr>
        <w:t>。</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4</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rPr>
        <w:t>、4#楼</w:t>
      </w:r>
      <w:r>
        <w:rPr>
          <w:rFonts w:hint="default" w:ascii="Arial" w:hAnsi="Arial" w:eastAsia="宋体" w:cs="Arial"/>
          <w:b w:val="0"/>
          <w:bCs w:val="0"/>
          <w:sz w:val="21"/>
          <w:szCs w:val="21"/>
          <w:lang w:val="en-US" w:eastAsia="zh-CN"/>
        </w:rPr>
        <w:t>砌体施工，内墙抹灰，外窗框安装</w:t>
      </w:r>
      <w:r>
        <w:rPr>
          <w:rFonts w:hint="default" w:ascii="Arial" w:hAnsi="Arial" w:eastAsia="宋体" w:cs="Arial"/>
          <w:b w:val="0"/>
          <w:bCs w:val="0"/>
          <w:sz w:val="21"/>
          <w:szCs w:val="21"/>
          <w:highlight w:val="none"/>
        </w:rPr>
        <w:t>。。</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5</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rPr>
        <w:t>、8#楼</w:t>
      </w:r>
      <w:r>
        <w:rPr>
          <w:rFonts w:hint="default" w:ascii="Arial" w:hAnsi="Arial" w:eastAsia="宋体" w:cs="Arial"/>
          <w:b w:val="0"/>
          <w:bCs w:val="0"/>
          <w:sz w:val="21"/>
          <w:szCs w:val="21"/>
          <w:lang w:eastAsia="zh-CN"/>
        </w:rPr>
        <w:t>完成</w:t>
      </w:r>
      <w:r>
        <w:rPr>
          <w:rFonts w:hint="eastAsia" w:ascii="Arial" w:hAnsi="Arial" w:cs="Arial"/>
          <w:b w:val="0"/>
          <w:bCs w:val="0"/>
          <w:sz w:val="21"/>
          <w:szCs w:val="21"/>
          <w:lang w:val="en-US" w:eastAsia="zh-CN"/>
        </w:rPr>
        <w:t>9</w:t>
      </w:r>
      <w:r>
        <w:rPr>
          <w:rFonts w:hint="default" w:ascii="Arial" w:hAnsi="Arial" w:eastAsia="宋体" w:cs="Arial"/>
          <w:b w:val="0"/>
          <w:bCs w:val="0"/>
          <w:sz w:val="21"/>
          <w:szCs w:val="21"/>
          <w:lang w:val="en-US" w:eastAsia="zh-CN"/>
        </w:rPr>
        <w:t>层墙柱</w:t>
      </w:r>
      <w:r>
        <w:rPr>
          <w:rFonts w:hint="eastAsia" w:ascii="Arial" w:hAnsi="Arial" w:cs="Arial"/>
          <w:b w:val="0"/>
          <w:bCs w:val="0"/>
          <w:sz w:val="21"/>
          <w:szCs w:val="21"/>
          <w:lang w:val="en-US" w:eastAsia="zh-CN"/>
        </w:rPr>
        <w:t>11</w:t>
      </w:r>
      <w:r>
        <w:rPr>
          <w:rFonts w:hint="default" w:ascii="Arial" w:hAnsi="Arial" w:eastAsia="宋体" w:cs="Arial"/>
          <w:b w:val="0"/>
          <w:bCs w:val="0"/>
          <w:sz w:val="21"/>
          <w:szCs w:val="21"/>
          <w:lang w:val="en-US" w:eastAsia="zh-CN"/>
        </w:rPr>
        <w:t>层梁板砼浇筑</w:t>
      </w:r>
      <w:r>
        <w:rPr>
          <w:rFonts w:hint="default" w:ascii="Arial" w:hAnsi="Arial" w:eastAsia="宋体" w:cs="Arial"/>
          <w:b w:val="0"/>
          <w:bCs w:val="0"/>
          <w:sz w:val="21"/>
          <w:szCs w:val="21"/>
          <w:lang w:eastAsia="zh-CN"/>
        </w:rPr>
        <w:t>，北侧地库负一层内架搭设，墙柱及地库顶板梁板模板安装完成</w:t>
      </w:r>
      <w:r>
        <w:rPr>
          <w:rFonts w:hint="default" w:ascii="Arial" w:hAnsi="Arial" w:eastAsia="宋体" w:cs="Arial"/>
          <w:b w:val="0"/>
          <w:bCs w:val="0"/>
          <w:sz w:val="21"/>
          <w:szCs w:val="21"/>
        </w:rPr>
        <w:t>。</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6</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rPr>
        <w:t>、7#楼</w:t>
      </w:r>
      <w:r>
        <w:rPr>
          <w:rFonts w:hint="eastAsia" w:ascii="Arial" w:hAnsi="Arial" w:cs="Arial"/>
          <w:b w:val="0"/>
          <w:bCs w:val="0"/>
          <w:sz w:val="21"/>
          <w:szCs w:val="21"/>
          <w:lang w:val="en-US" w:eastAsia="zh-CN"/>
        </w:rPr>
        <w:t>5</w:t>
      </w:r>
      <w:r>
        <w:rPr>
          <w:rFonts w:hint="default" w:ascii="Arial" w:hAnsi="Arial" w:eastAsia="宋体" w:cs="Arial"/>
          <w:b w:val="0"/>
          <w:bCs w:val="0"/>
          <w:sz w:val="21"/>
          <w:szCs w:val="21"/>
          <w:lang w:val="en-US" w:eastAsia="zh-CN"/>
        </w:rPr>
        <w:t>层墙柱</w:t>
      </w:r>
      <w:r>
        <w:rPr>
          <w:rFonts w:hint="eastAsia" w:ascii="Arial" w:hAnsi="Arial" w:cs="Arial"/>
          <w:b w:val="0"/>
          <w:bCs w:val="0"/>
          <w:sz w:val="21"/>
          <w:szCs w:val="21"/>
          <w:lang w:val="en-US" w:eastAsia="zh-CN"/>
        </w:rPr>
        <w:t>6</w:t>
      </w:r>
      <w:r>
        <w:rPr>
          <w:rFonts w:hint="default" w:ascii="Arial" w:hAnsi="Arial" w:eastAsia="宋体" w:cs="Arial"/>
          <w:b w:val="0"/>
          <w:bCs w:val="0"/>
          <w:sz w:val="21"/>
          <w:szCs w:val="21"/>
          <w:lang w:val="en-US" w:eastAsia="zh-CN"/>
        </w:rPr>
        <w:t>层梁板砼浇筑完成</w:t>
      </w:r>
      <w:r>
        <w:rPr>
          <w:rFonts w:hint="default" w:ascii="Arial" w:hAnsi="Arial" w:eastAsia="宋体" w:cs="Arial"/>
          <w:b w:val="0"/>
          <w:bCs w:val="0"/>
          <w:sz w:val="21"/>
          <w:szCs w:val="21"/>
        </w:rPr>
        <w:t>。</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7</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rPr>
        <w:t>、5#楼</w:t>
      </w:r>
      <w:r>
        <w:rPr>
          <w:rFonts w:hint="default" w:ascii="Arial" w:hAnsi="Arial" w:eastAsia="宋体" w:cs="Arial"/>
          <w:b w:val="0"/>
          <w:bCs w:val="0"/>
          <w:sz w:val="21"/>
          <w:szCs w:val="21"/>
          <w:lang w:eastAsia="zh-CN"/>
        </w:rPr>
        <w:t>进行负二层墙柱负一层梁板模板安装</w:t>
      </w:r>
      <w:r>
        <w:rPr>
          <w:rFonts w:hint="default" w:ascii="Arial" w:hAnsi="Arial" w:eastAsia="宋体" w:cs="Arial"/>
          <w:b w:val="0"/>
          <w:bCs w:val="0"/>
          <w:sz w:val="21"/>
          <w:szCs w:val="21"/>
        </w:rPr>
        <w:t>。</w:t>
      </w:r>
    </w:p>
    <w:p>
      <w:pPr>
        <w:numPr>
          <w:ilvl w:val="0"/>
          <w:numId w:val="0"/>
        </w:numPr>
        <w:spacing w:line="480" w:lineRule="auto"/>
        <w:ind w:firstLine="420" w:firstLineChars="200"/>
        <w:rPr>
          <w:rFonts w:hint="default" w:ascii="Arial" w:hAnsi="Arial" w:eastAsia="宋体" w:cs="Arial"/>
          <w:b w:val="0"/>
          <w:bCs w:val="0"/>
          <w:sz w:val="21"/>
          <w:szCs w:val="21"/>
          <w:lang w:val="en-US" w:eastAsia="zh-CN"/>
        </w:rPr>
      </w:pPr>
      <w:r>
        <w:rPr>
          <w:rFonts w:hint="eastAsia" w:ascii="Arial" w:hAnsi="Arial" w:cs="Arial"/>
          <w:b w:val="0"/>
          <w:bCs w:val="0"/>
          <w:sz w:val="21"/>
          <w:szCs w:val="21"/>
          <w:highlight w:val="none"/>
          <w:lang w:val="en-US" w:eastAsia="zh-CN"/>
        </w:rPr>
        <w:t>(</w:t>
      </w:r>
      <w:r>
        <w:rPr>
          <w:rFonts w:hint="eastAsia" w:ascii="Arial" w:hAnsi="Arial" w:cs="Arial"/>
          <w:b w:val="0"/>
          <w:bCs w:val="0"/>
          <w:sz w:val="21"/>
          <w:szCs w:val="21"/>
          <w:lang w:val="en-US" w:eastAsia="zh-CN"/>
        </w:rPr>
        <w:t>8</w:t>
      </w:r>
      <w:r>
        <w:rPr>
          <w:rFonts w:hint="eastAsia" w:ascii="Arial" w:hAnsi="Arial" w:cs="Arial"/>
          <w:b w:val="0"/>
          <w:bCs w:val="0"/>
          <w:sz w:val="21"/>
          <w:szCs w:val="21"/>
          <w:highlight w:val="none"/>
          <w:lang w:val="en-US" w:eastAsia="zh-CN"/>
        </w:rPr>
        <w:t>)</w:t>
      </w:r>
      <w:r>
        <w:rPr>
          <w:rFonts w:hint="default" w:ascii="Arial" w:hAnsi="Arial" w:eastAsia="宋体" w:cs="Arial"/>
          <w:b w:val="0"/>
          <w:bCs w:val="0"/>
          <w:sz w:val="21"/>
          <w:szCs w:val="21"/>
          <w:lang w:val="en-US" w:eastAsia="zh-CN"/>
        </w:rPr>
        <w:t>、人防地下室安装工程已开始进行。</w:t>
      </w:r>
    </w:p>
    <w:p>
      <w:pPr>
        <w:tabs>
          <w:tab w:val="left" w:pos="397"/>
        </w:tabs>
        <w:spacing w:line="360" w:lineRule="auto"/>
        <w:rPr>
          <w:rFonts w:hint="eastAsia" w:ascii="Arial" w:hAnsi="Arial" w:eastAsia="宋体" w:cs="Arial"/>
          <w:b w:val="0"/>
          <w:bCs w:val="0"/>
          <w:sz w:val="21"/>
          <w:szCs w:val="21"/>
          <w:lang w:eastAsia="zh-CN"/>
        </w:rPr>
      </w:pPr>
      <w:r>
        <w:rPr>
          <w:rFonts w:hint="eastAsia" w:ascii="Arial" w:hAnsi="Arial" w:cs="Arial"/>
          <w:b w:val="0"/>
          <w:bCs w:val="0"/>
          <w:sz w:val="21"/>
          <w:szCs w:val="21"/>
          <w:lang w:eastAsia="zh-CN"/>
        </w:rPr>
        <w:t>（</w:t>
      </w:r>
      <w:r>
        <w:rPr>
          <w:rFonts w:hint="eastAsia" w:ascii="Arial" w:hAnsi="Arial" w:cs="Arial"/>
          <w:b w:val="0"/>
          <w:bCs w:val="0"/>
          <w:sz w:val="21"/>
          <w:szCs w:val="21"/>
          <w:lang w:val="en-US" w:eastAsia="zh-CN"/>
        </w:rPr>
        <w:t>转下页</w:t>
      </w:r>
      <w:r>
        <w:rPr>
          <w:rFonts w:hint="eastAsia" w:ascii="Arial" w:hAnsi="Arial" w:cs="Arial"/>
          <w:b w:val="0"/>
          <w:bCs w:val="0"/>
          <w:sz w:val="21"/>
          <w:szCs w:val="21"/>
          <w:lang w:eastAsia="zh-CN"/>
        </w:rPr>
        <w:t>）</w:t>
      </w: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p>
    <w:p>
      <w:pPr>
        <w:tabs>
          <w:tab w:val="left" w:pos="397"/>
        </w:tabs>
        <w:spacing w:line="360" w:lineRule="auto"/>
        <w:rPr>
          <w:rFonts w:ascii="Arial" w:hAnsi="Arial" w:cs="Arial"/>
          <w:b/>
          <w:bCs/>
          <w:sz w:val="24"/>
        </w:rPr>
      </w:pPr>
      <w:r>
        <w:rPr>
          <w:rFonts w:ascii="Arial" w:hAnsi="Arial" w:cs="Arial"/>
          <w:b/>
          <w:bCs/>
          <w:sz w:val="24"/>
        </w:rPr>
        <w:t>3.5 项目现场照片</w:t>
      </w:r>
      <w:bookmarkEnd w:id="0"/>
      <w:bookmarkStart w:id="18" w:name="_Toc32317096"/>
      <w:bookmarkEnd w:id="18"/>
      <w:bookmarkStart w:id="19" w:name="_Toc32317097"/>
      <w:bookmarkEnd w:id="19"/>
      <w:bookmarkStart w:id="20" w:name="_Toc32317072"/>
      <w:bookmarkEnd w:id="20"/>
      <w:bookmarkStart w:id="21" w:name="_Toc32432201"/>
      <w:bookmarkEnd w:id="21"/>
      <w:bookmarkStart w:id="22" w:name="_Toc32432202"/>
      <w:bookmarkEnd w:id="22"/>
      <w:bookmarkStart w:id="23" w:name="_Toc32317073"/>
      <w:bookmarkEnd w:id="23"/>
    </w:p>
    <w:tbl>
      <w:tblPr>
        <w:tblStyle w:val="23"/>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Arial" w:hAnsi="Arial" w:eastAsia="黑体" w:cs="Arial"/>
                <w:sz w:val="22"/>
                <w:szCs w:val="32"/>
              </w:rPr>
            </w:pPr>
            <w:bookmarkStart w:id="24" w:name="_Toc535580026"/>
            <w:bookmarkStart w:id="25" w:name="_Toc535580094"/>
            <w:bookmarkStart w:id="26" w:name="_Toc532281660"/>
            <w:bookmarkStart w:id="27" w:name="_Toc535570753"/>
            <w:bookmarkStart w:id="28" w:name="_Toc535508639"/>
            <w:r>
              <w:rPr>
                <w:rFonts w:ascii="Arial" w:hAnsi="Arial" w:cs="Arial"/>
                <w:color w:val="000000"/>
                <w:szCs w:val="21"/>
              </w:rPr>
              <w:t>武汉黄陂盘龙·正荣府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65" w:type="dxa"/>
            <w:vAlign w:val="center"/>
          </w:tcPr>
          <w:p>
            <w:pPr>
              <w:jc w:val="center"/>
              <w:rPr>
                <w:rFonts w:hint="eastAsia" w:ascii="Arial" w:hAnsi="Arial" w:eastAsia="宋体" w:cs="Arial"/>
                <w:lang w:eastAsia="zh-CN"/>
              </w:rPr>
            </w:pPr>
            <w:r>
              <w:rPr>
                <w:rFonts w:hint="eastAsia" w:ascii="Arial" w:hAnsi="Arial" w:cs="Arial"/>
                <w:lang w:val="en-US" w:eastAsia="zh-CN"/>
              </w:rPr>
              <w:drawing>
                <wp:inline distT="0" distB="0" distL="114300" distR="114300">
                  <wp:extent cx="2073910" cy="1555750"/>
                  <wp:effectExtent l="0" t="0" r="2540" b="6350"/>
                  <wp:docPr id="5" name="图片 5" descr="061f674eb87e5fca65ce3029f4ee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1f674eb87e5fca65ce3029f4ee10a"/>
                          <pic:cNvPicPr>
                            <a:picLocks noChangeAspect="1"/>
                          </pic:cNvPicPr>
                        </pic:nvPicPr>
                        <pic:blipFill>
                          <a:blip r:embed="rId8"/>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1号楼</w:t>
            </w:r>
          </w:p>
        </w:tc>
        <w:tc>
          <w:tcPr>
            <w:tcW w:w="2665" w:type="dxa"/>
            <w:vAlign w:val="center"/>
          </w:tcPr>
          <w:p>
            <w:pPr>
              <w:ind w:left="630" w:hanging="630" w:hangingChars="300"/>
              <w:rPr>
                <w:rFonts w:ascii="Arial" w:hAnsi="Arial" w:cs="Arial"/>
              </w:rPr>
            </w:pPr>
            <w:r>
              <w:rPr>
                <w:rFonts w:hint="eastAsia" w:ascii="Arial" w:hAnsi="Arial" w:cs="Arial"/>
                <w:lang w:val="en-US" w:eastAsia="zh-CN"/>
              </w:rPr>
              <w:drawing>
                <wp:inline distT="0" distB="0" distL="114300" distR="114300">
                  <wp:extent cx="2073910" cy="1555750"/>
                  <wp:effectExtent l="0" t="0" r="2540" b="6350"/>
                  <wp:docPr id="6" name="图片 6" descr="4b6c891475fc1a6d84958b120b26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6c891475fc1a6d84958b120b266ae"/>
                          <pic:cNvPicPr>
                            <a:picLocks noChangeAspect="1"/>
                          </pic:cNvPicPr>
                        </pic:nvPicPr>
                        <pic:blipFill>
                          <a:blip r:embed="rId9"/>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2</w:t>
            </w:r>
            <w:r>
              <w:rPr>
                <w:rFonts w:ascii="Arial" w:hAnsi="Arial" w:cs="Arial"/>
              </w:rPr>
              <w:t>#楼</w:t>
            </w:r>
          </w:p>
        </w:tc>
        <w:tc>
          <w:tcPr>
            <w:tcW w:w="2665" w:type="dxa"/>
            <w:vAlign w:val="center"/>
          </w:tcPr>
          <w:p>
            <w:pPr>
              <w:jc w:val="center"/>
              <w:rPr>
                <w:rFonts w:ascii="Arial" w:hAnsi="Arial" w:cs="Arial"/>
              </w:rPr>
            </w:pPr>
            <w:r>
              <w:rPr>
                <w:rFonts w:hint="eastAsia" w:ascii="Arial" w:hAnsi="Arial" w:cs="Arial"/>
                <w:lang w:val="en-US" w:eastAsia="zh-CN"/>
              </w:rPr>
              <w:drawing>
                <wp:inline distT="0" distB="0" distL="114300" distR="114300">
                  <wp:extent cx="2073910" cy="1555750"/>
                  <wp:effectExtent l="0" t="0" r="2540" b="6350"/>
                  <wp:docPr id="7" name="图片 7" descr="97ff6913868ee7a87f2f8ee5924b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ff6913868ee7a87f2f8ee5924b3ee"/>
                          <pic:cNvPicPr>
                            <a:picLocks noChangeAspect="1"/>
                          </pic:cNvPicPr>
                        </pic:nvPicPr>
                        <pic:blipFill>
                          <a:blip r:embed="rId10"/>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3、4</w:t>
            </w:r>
            <w:r>
              <w:rPr>
                <w:rFonts w:ascii="Arial" w:hAnsi="Arial" w:cs="Arial"/>
              </w:rPr>
              <w:t>#楼</w:t>
            </w:r>
          </w:p>
        </w:tc>
        <w:tc>
          <w:tcPr>
            <w:tcW w:w="2665" w:type="dxa"/>
            <w:vAlign w:val="center"/>
          </w:tcPr>
          <w:p>
            <w:pPr>
              <w:jc w:val="center"/>
              <w:rPr>
                <w:rFonts w:ascii="Arial" w:hAnsi="Arial" w:cs="Arial"/>
              </w:rPr>
            </w:pPr>
            <w:r>
              <w:rPr>
                <w:rFonts w:hint="eastAsia" w:ascii="Arial" w:hAnsi="Arial" w:cs="Arial"/>
                <w:lang w:val="en-US" w:eastAsia="zh-CN"/>
              </w:rPr>
              <w:drawing>
                <wp:inline distT="0" distB="0" distL="114300" distR="114300">
                  <wp:extent cx="2073910" cy="1555750"/>
                  <wp:effectExtent l="0" t="0" r="2540" b="6350"/>
                  <wp:docPr id="8" name="图片 8" descr="7c1dde4413d86fd035a31e4e489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c1dde4413d86fd035a31e4e4890567"/>
                          <pic:cNvPicPr>
                            <a:picLocks noChangeAspect="1"/>
                          </pic:cNvPicPr>
                        </pic:nvPicPr>
                        <pic:blipFill>
                          <a:blip r:embed="rId11"/>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7</w:t>
            </w:r>
            <w:r>
              <w:rPr>
                <w:rFonts w:ascii="Arial" w:hAnsi="Arial" w:cs="Arial"/>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2665" w:type="dxa"/>
            <w:vAlign w:val="center"/>
          </w:tcPr>
          <w:p>
            <w:pPr>
              <w:jc w:val="center"/>
              <w:rPr>
                <w:rFonts w:ascii="Arial" w:hAnsi="Arial" w:cs="Arial"/>
              </w:rPr>
            </w:pPr>
            <w:r>
              <w:rPr>
                <w:rFonts w:hint="eastAsia" w:ascii="Arial" w:hAnsi="Arial" w:cs="Arial"/>
                <w:lang w:val="en-US" w:eastAsia="zh-CN"/>
              </w:rPr>
              <w:drawing>
                <wp:inline distT="0" distB="0" distL="114300" distR="114300">
                  <wp:extent cx="2073910" cy="1555750"/>
                  <wp:effectExtent l="0" t="0" r="2540" b="6350"/>
                  <wp:docPr id="9" name="图片 9" descr="4cb7b45ff5d728b7765870b148b2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cb7b45ff5d728b7765870b148b27f7"/>
                          <pic:cNvPicPr>
                            <a:picLocks noChangeAspect="1"/>
                          </pic:cNvPicPr>
                        </pic:nvPicPr>
                        <pic:blipFill>
                          <a:blip r:embed="rId12"/>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8</w:t>
            </w:r>
            <w:r>
              <w:rPr>
                <w:rFonts w:ascii="Arial" w:hAnsi="Arial" w:cs="Arial"/>
              </w:rPr>
              <w:t>#楼</w:t>
            </w:r>
          </w:p>
        </w:tc>
        <w:tc>
          <w:tcPr>
            <w:tcW w:w="2665" w:type="dxa"/>
            <w:vAlign w:val="center"/>
          </w:tcPr>
          <w:p>
            <w:pPr>
              <w:jc w:val="center"/>
              <w:rPr>
                <w:rFonts w:hint="eastAsia" w:ascii="Arial" w:hAnsi="Arial" w:eastAsia="宋体" w:cs="Arial"/>
                <w:lang w:eastAsia="zh-CN"/>
              </w:rPr>
            </w:pPr>
            <w:r>
              <w:rPr>
                <w:rFonts w:hint="eastAsia" w:ascii="Arial" w:hAnsi="Arial" w:cs="Arial"/>
                <w:lang w:eastAsia="zh-CN"/>
              </w:rPr>
              <w:drawing>
                <wp:inline distT="0" distB="0" distL="114300" distR="114300">
                  <wp:extent cx="2073910" cy="1555750"/>
                  <wp:effectExtent l="0" t="0" r="2540" b="6350"/>
                  <wp:docPr id="12" name="图片 12" descr="775d67a9b33db442651bc2e18348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5d67a9b33db442651bc2e1834890a"/>
                          <pic:cNvPicPr>
                            <a:picLocks noChangeAspect="1"/>
                          </pic:cNvPicPr>
                        </pic:nvPicPr>
                        <pic:blipFill>
                          <a:blip r:embed="rId13"/>
                          <a:stretch>
                            <a:fillRect/>
                          </a:stretch>
                        </pic:blipFill>
                        <pic:spPr>
                          <a:xfrm>
                            <a:off x="0" y="0"/>
                            <a:ext cx="2073910" cy="1555750"/>
                          </a:xfrm>
                          <a:prstGeom prst="rect">
                            <a:avLst/>
                          </a:prstGeom>
                        </pic:spPr>
                      </pic:pic>
                    </a:graphicData>
                  </a:graphic>
                </wp:inline>
              </w:drawing>
            </w:r>
            <w:r>
              <w:rPr>
                <w:rFonts w:hint="eastAsia" w:ascii="Arial" w:hAnsi="Arial" w:cs="Arial"/>
                <w:lang w:eastAsia="zh-CN"/>
              </w:rPr>
              <w:t>施工现场图</w:t>
            </w:r>
            <w:bookmarkStart w:id="61" w:name="_GoBack"/>
            <w:bookmarkEnd w:id="61"/>
            <w:r>
              <w:rPr>
                <w:rFonts w:hint="eastAsia"/>
                <w:lang w:eastAsia="zh-CN"/>
              </w:rPr>
              <w:t>片</w:t>
            </w:r>
          </w:p>
        </w:tc>
        <w:tc>
          <w:tcPr>
            <w:tcW w:w="2665" w:type="dxa"/>
            <w:vAlign w:val="center"/>
          </w:tcPr>
          <w:p>
            <w:pPr>
              <w:jc w:val="center"/>
              <w:rPr>
                <w:rFonts w:hint="default" w:ascii="Arial" w:hAnsi="Arial" w:eastAsia="宋体" w:cs="Arial"/>
                <w:lang w:val="en-US" w:eastAsia="zh-CN"/>
              </w:rPr>
            </w:pPr>
            <w:r>
              <w:rPr>
                <w:rFonts w:hint="eastAsia" w:ascii="Arial" w:hAnsi="Arial" w:cs="Arial"/>
                <w:lang w:val="en-US" w:eastAsia="zh-CN"/>
              </w:rPr>
              <w:drawing>
                <wp:inline distT="0" distB="0" distL="114300" distR="114300">
                  <wp:extent cx="2073910" cy="1555750"/>
                  <wp:effectExtent l="0" t="0" r="2540" b="6350"/>
                  <wp:docPr id="14" name="图片 14" descr="08ec16671a4caaa79ca9e3ae8b49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8ec16671a4caaa79ca9e3ae8b4931b"/>
                          <pic:cNvPicPr>
                            <a:picLocks noChangeAspect="1"/>
                          </pic:cNvPicPr>
                        </pic:nvPicPr>
                        <pic:blipFill>
                          <a:blip r:embed="rId14"/>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S1商住楼</w:t>
            </w:r>
          </w:p>
        </w:tc>
        <w:tc>
          <w:tcPr>
            <w:tcW w:w="2665" w:type="dxa"/>
            <w:vAlign w:val="center"/>
          </w:tcPr>
          <w:p>
            <w:pPr>
              <w:jc w:val="center"/>
              <w:rPr>
                <w:rFonts w:ascii="Arial" w:hAnsi="Arial" w:cs="Arial"/>
              </w:rPr>
            </w:pPr>
            <w:r>
              <w:rPr>
                <w:rFonts w:hint="eastAsia" w:ascii="Arial" w:hAnsi="Arial" w:cs="Arial"/>
                <w:lang w:val="en-US" w:eastAsia="zh-CN"/>
              </w:rPr>
              <w:drawing>
                <wp:inline distT="0" distB="0" distL="114300" distR="114300">
                  <wp:extent cx="2073910" cy="1555750"/>
                  <wp:effectExtent l="0" t="0" r="2540" b="6350"/>
                  <wp:docPr id="10" name="图片 10" descr="3ca2d9bf0769851c95687b29a389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a2d9bf0769851c95687b29a389f17"/>
                          <pic:cNvPicPr>
                            <a:picLocks noChangeAspect="1"/>
                          </pic:cNvPicPr>
                        </pic:nvPicPr>
                        <pic:blipFill>
                          <a:blip r:embed="rId15"/>
                          <a:stretch>
                            <a:fillRect/>
                          </a:stretch>
                        </pic:blipFill>
                        <pic:spPr>
                          <a:xfrm>
                            <a:off x="0" y="0"/>
                            <a:ext cx="2073910" cy="1555750"/>
                          </a:xfrm>
                          <a:prstGeom prst="rect">
                            <a:avLst/>
                          </a:prstGeom>
                        </pic:spPr>
                      </pic:pic>
                    </a:graphicData>
                  </a:graphic>
                </wp:inline>
              </w:drawing>
            </w:r>
            <w:r>
              <w:rPr>
                <w:rFonts w:hint="eastAsia" w:ascii="Arial" w:hAnsi="Arial" w:cs="Arial"/>
                <w:lang w:val="en-US" w:eastAsia="zh-CN"/>
              </w:rPr>
              <w:t>5#楼</w:t>
            </w:r>
          </w:p>
        </w:tc>
      </w:tr>
    </w:tbl>
    <w:p>
      <w:pPr>
        <w:pStyle w:val="2"/>
        <w:keepLines w:val="0"/>
        <w:spacing w:before="300" w:after="300" w:line="360" w:lineRule="exact"/>
        <w:jc w:val="left"/>
        <w:rPr>
          <w:rFonts w:hint="default" w:ascii="Arial" w:hAnsi="Arial" w:cs="Arial"/>
          <w:sz w:val="21"/>
          <w:szCs w:val="21"/>
        </w:rPr>
      </w:pPr>
      <w:bookmarkStart w:id="29" w:name="_Toc32486"/>
      <w:r>
        <w:rPr>
          <w:rFonts w:hint="default" w:ascii="Arial" w:hAnsi="Arial" w:cs="Arial"/>
          <w:sz w:val="24"/>
          <w:szCs w:val="24"/>
        </w:rPr>
        <w:t>4印鉴使用情况</w:t>
      </w:r>
      <w:bookmarkEnd w:id="24"/>
      <w:bookmarkEnd w:id="25"/>
      <w:bookmarkEnd w:id="26"/>
      <w:bookmarkEnd w:id="27"/>
      <w:bookmarkEnd w:id="28"/>
      <w:bookmarkEnd w:id="29"/>
    </w:p>
    <w:p>
      <w:pPr>
        <w:spacing w:line="480" w:lineRule="auto"/>
        <w:ind w:firstLine="420" w:firstLineChars="200"/>
        <w:rPr>
          <w:rFonts w:hint="default" w:ascii="Arial" w:hAnsi="Arial" w:cs="Arial"/>
          <w:bCs/>
          <w:kern w:val="44"/>
          <w:sz w:val="21"/>
          <w:szCs w:val="21"/>
        </w:rPr>
      </w:pPr>
      <w:r>
        <w:rPr>
          <w:rFonts w:hint="default" w:ascii="Arial" w:hAnsi="Arial" w:cs="Arial"/>
          <w:bCs/>
          <w:kern w:val="44"/>
          <w:sz w:val="21"/>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ascii="Arial" w:hAnsi="Arial" w:cs="Arial"/>
          <w:b/>
          <w:kern w:val="44"/>
          <w:sz w:val="24"/>
        </w:rPr>
      </w:pPr>
      <w:bookmarkStart w:id="30" w:name="_Hlk18530413"/>
      <w:r>
        <w:rPr>
          <w:rFonts w:ascii="Arial" w:hAnsi="Arial" w:cs="Arial"/>
          <w:b/>
          <w:kern w:val="44"/>
          <w:sz w:val="21"/>
          <w:szCs w:val="21"/>
        </w:rPr>
        <w:t>2020年1</w:t>
      </w:r>
      <w:r>
        <w:rPr>
          <w:rFonts w:hint="eastAsia" w:ascii="Arial" w:hAnsi="Arial" w:cs="Arial"/>
          <w:b/>
          <w:kern w:val="44"/>
          <w:sz w:val="21"/>
          <w:szCs w:val="21"/>
          <w:lang w:val="en-US" w:eastAsia="zh-CN"/>
        </w:rPr>
        <w:t>2</w:t>
      </w:r>
      <w:r>
        <w:rPr>
          <w:rFonts w:ascii="Arial" w:hAnsi="Arial" w:cs="Arial"/>
          <w:b/>
          <w:kern w:val="44"/>
          <w:sz w:val="21"/>
          <w:szCs w:val="21"/>
        </w:rPr>
        <w:t>月印鉴使用登记表</w:t>
      </w:r>
      <w:r>
        <w:rPr>
          <w:rFonts w:ascii="Arial" w:hAnsi="Arial" w:cs="Arial"/>
          <w:b/>
          <w:kern w:val="44"/>
          <w:sz w:val="24"/>
        </w:rPr>
        <w:t xml:space="preserve"> </w:t>
      </w:r>
    </w:p>
    <w:tbl>
      <w:tblPr>
        <w:tblStyle w:val="22"/>
        <w:tblW w:w="10034" w:type="dxa"/>
        <w:jc w:val="center"/>
        <w:shd w:val="clear" w:color="auto" w:fill="auto"/>
        <w:tblLayout w:type="fixed"/>
        <w:tblCellMar>
          <w:top w:w="0" w:type="dxa"/>
          <w:left w:w="0" w:type="dxa"/>
          <w:bottom w:w="0" w:type="dxa"/>
          <w:right w:w="0" w:type="dxa"/>
        </w:tblCellMar>
      </w:tblPr>
      <w:tblGrid>
        <w:gridCol w:w="840"/>
        <w:gridCol w:w="1215"/>
        <w:gridCol w:w="917"/>
        <w:gridCol w:w="2430"/>
        <w:gridCol w:w="2559"/>
        <w:gridCol w:w="1071"/>
        <w:gridCol w:w="1002"/>
        <w:tblGridChange w:id="0">
          <w:tblGrid>
            <w:gridCol w:w="840"/>
            <w:gridCol w:w="1215"/>
            <w:gridCol w:w="917"/>
            <w:gridCol w:w="2430"/>
            <w:gridCol w:w="2559"/>
            <w:gridCol w:w="1071"/>
            <w:gridCol w:w="1002"/>
          </w:tblGrid>
        </w:tblGridChange>
      </w:tblGrid>
      <w:tr>
        <w:tblPrEx>
          <w:shd w:val="clear" w:color="auto" w:fill="auto"/>
          <w:tblCellMar>
            <w:top w:w="0" w:type="dxa"/>
            <w:left w:w="0" w:type="dxa"/>
            <w:bottom w:w="0" w:type="dxa"/>
            <w:right w:w="0" w:type="dxa"/>
          </w:tblCellMar>
        </w:tblPrEx>
        <w:trPr>
          <w:trHeight w:val="493" w:hRule="atLeast"/>
          <w:tblHeader/>
          <w:jc w:val="center"/>
        </w:trPr>
        <w:tc>
          <w:tcPr>
            <w:tcW w:w="8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用印公司</w:t>
            </w:r>
          </w:p>
        </w:tc>
        <w:tc>
          <w:tcPr>
            <w:tcW w:w="121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用印日期</w:t>
            </w:r>
          </w:p>
        </w:tc>
        <w:tc>
          <w:tcPr>
            <w:tcW w:w="9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印章</w:t>
            </w:r>
          </w:p>
        </w:tc>
        <w:tc>
          <w:tcPr>
            <w:tcW w:w="24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用印事由</w:t>
            </w:r>
          </w:p>
        </w:tc>
        <w:tc>
          <w:tcPr>
            <w:tcW w:w="2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用印材料及份数</w:t>
            </w:r>
          </w:p>
        </w:tc>
        <w:tc>
          <w:tcPr>
            <w:tcW w:w="10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用印部门</w:t>
            </w:r>
          </w:p>
        </w:tc>
        <w:tc>
          <w:tcPr>
            <w:tcW w:w="10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经办人</w:t>
            </w:r>
          </w:p>
        </w:tc>
      </w:tr>
      <w:tr>
        <w:tblPrEx>
          <w:tblCellMar>
            <w:top w:w="0" w:type="dxa"/>
            <w:left w:w="0" w:type="dxa"/>
            <w:bottom w:w="0" w:type="dxa"/>
            <w:right w:w="0" w:type="dxa"/>
          </w:tblCellMar>
        </w:tblPrEx>
        <w:trPr>
          <w:trHeight w:val="720" w:hRule="atLeast"/>
          <w:jc w:val="center"/>
        </w:trPr>
        <w:tc>
          <w:tcPr>
            <w:tcW w:w="84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91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盘龙正荣府项目进场确认函（武汉贝壳房地产经纪有限公司）</w:t>
            </w:r>
          </w:p>
        </w:tc>
        <w:tc>
          <w:tcPr>
            <w:tcW w:w="2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确认函用印（3份）</w:t>
            </w:r>
          </w:p>
        </w:tc>
        <w:tc>
          <w:tcPr>
            <w:tcW w:w="107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02"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黄倩玉</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中标通知书用印（上海三银制漆有限公司）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中标通知书（盘龙正荣府项目外墙涂料供应及施工工程）</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4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商品房买卖合同签约及首付缴款催告函（赖永娟）（1份）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杨琦</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离职证明（潘博）（1份）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健康体检合作协议</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健康体检合作协议</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行政</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r>
      <w:tr>
        <w:tblPrEx>
          <w:tblCellMar>
            <w:top w:w="0" w:type="dxa"/>
            <w:left w:w="0" w:type="dxa"/>
            <w:bottom w:w="0" w:type="dxa"/>
            <w:right w:w="0" w:type="dxa"/>
          </w:tblCellMar>
        </w:tblPrEx>
        <w:trPr>
          <w:trHeight w:val="76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混凝检测土和掉验收</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1、塔式起重机验收各方共同验收记录；2、混凝土强度检测验收方案；（各2份）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事业单位公开招聘工作人员考察情况备案表用印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事业单位公开招聘工作人员考察情况备案表</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r>
      <w:tr>
        <w:tblPrEx>
          <w:tblCellMar>
            <w:top w:w="0" w:type="dxa"/>
            <w:left w:w="0" w:type="dxa"/>
            <w:bottom w:w="0" w:type="dxa"/>
            <w:right w:w="0" w:type="dxa"/>
          </w:tblCellMar>
        </w:tblPrEx>
        <w:trPr>
          <w:trHeight w:val="4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营销合同（武汉云松文化传播有限公司）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 11 月阿松评楼媒体广告发布合同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营销合同（蔚蓝云创（上海）数字科技有限公司）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武汉区域 11 月朋友圈定投媒体广告发布合同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营销合同（武汉中桢广告有限公司）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盘龙正荣府公寓看房通道制作合同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营销合同（北京搜房科技发展有限公司武汉分公司）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 11 月房天下媒体广告发布合同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营销合同（武汉贝壳房地产经纪有限公司）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【盘龙正荣府项目】分销合作合同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胡念</w:t>
            </w:r>
          </w:p>
        </w:tc>
      </w:tr>
      <w:tr>
        <w:tblPrEx>
          <w:tblCellMar>
            <w:top w:w="0" w:type="dxa"/>
            <w:left w:w="0" w:type="dxa"/>
            <w:bottom w:w="0" w:type="dxa"/>
            <w:right w:w="0" w:type="dxa"/>
          </w:tblCellMar>
        </w:tblPrEx>
        <w:trPr>
          <w:trHeight w:val="75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营销合同（武汉贝壳房地产经纪有限公司）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【盘龙正荣府项目 2020 年 12 月-2021 年 2 月分销（贝壳）合同】补充协议</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胡念</w:t>
            </w:r>
          </w:p>
        </w:tc>
      </w:tr>
      <w:tr>
        <w:tblPrEx>
          <w:tblCellMar>
            <w:top w:w="0" w:type="dxa"/>
            <w:left w:w="0" w:type="dxa"/>
            <w:bottom w:w="0" w:type="dxa"/>
            <w:right w:w="0" w:type="dxa"/>
          </w:tblCellMar>
        </w:tblPrEx>
        <w:trPr>
          <w:trHeight w:val="223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保理回执用印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应收账款债权转让通知书回执（龙元建设集团股份有限公司）；2、应收账款债权转让通知书回执（北京三色石环境建设计院有限公司）；3、应收账款债权转让通知书回执（上海东方雨虹）；4、应收账款债权转让通知书回执（湖北福珍建筑工程有限公司）</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各3份）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离职证明胡莹（1份）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盘龙正荣府门窗幕墙工程深化设计阶段性工作完成确认函盖章申请</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盘龙正荣府门窗幕墙工程深化设计阶段性工作完成确认函盖章申请</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吴明</w:t>
            </w:r>
          </w:p>
        </w:tc>
      </w:tr>
      <w:tr>
        <w:tblPrEx>
          <w:tblCellMar>
            <w:top w:w="0" w:type="dxa"/>
            <w:left w:w="0" w:type="dxa"/>
            <w:bottom w:w="0" w:type="dxa"/>
            <w:right w:w="0" w:type="dxa"/>
          </w:tblCellMar>
        </w:tblPrEx>
        <w:trPr>
          <w:trHeight w:val="4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培训合同（上海新百锐教育科技有限公司）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百锐学堂学习卡合作协议（3份）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邓翔</w:t>
            </w:r>
          </w:p>
        </w:tc>
      </w:tr>
      <w:tr>
        <w:tblPrEx>
          <w:tblCellMar>
            <w:top w:w="0" w:type="dxa"/>
            <w:left w:w="0" w:type="dxa"/>
            <w:bottom w:w="0" w:type="dxa"/>
            <w:right w:w="0" w:type="dxa"/>
          </w:tblCellMar>
        </w:tblPrEx>
        <w:trPr>
          <w:trHeight w:val="148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11月工行对账单用印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中国银行对账单</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李芸</w:t>
            </w:r>
          </w:p>
        </w:tc>
      </w:tr>
      <w:tr>
        <w:tblPrEx>
          <w:tblCellMar>
            <w:top w:w="0" w:type="dxa"/>
            <w:left w:w="0" w:type="dxa"/>
            <w:bottom w:w="0" w:type="dxa"/>
            <w:right w:w="0" w:type="dxa"/>
          </w:tblCellMar>
        </w:tblPrEx>
        <w:trPr>
          <w:trHeight w:val="75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解除监管账户申请用印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1、授权委托说；2、新建商品房预售资金监管账户解除监管申请表；（2份）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李芸</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收入证明黄远（2份）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武汉深捷科技股份有限公司中标通知书</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中标通知书（武汉深捷科技股份有限公司）</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营销合同（武汉奇豆网络科技有限公司）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盘龙正荣府腾讯朋友圈定投广告发布合同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营销合同（武汉搜房怡然居客房地产经纪有限公司）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盘龙正荣府5月房天下网络广告发布合同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4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营销合同（武汉金万象文化传媒有限公司</w:t>
            </w:r>
            <w:r>
              <w:rPr>
                <w:rFonts w:hint="default" w:ascii="Arial" w:hAnsi="Arial" w:eastAsia="宋体" w:cs="Arial"/>
                <w:i w:val="0"/>
                <w:color w:val="000000"/>
                <w:kern w:val="0"/>
                <w:sz w:val="18"/>
                <w:szCs w:val="18"/>
                <w:highlight w:val="none"/>
                <w:u w:val="none"/>
                <w:lang w:val="en-US" w:eastAsia="zh-CN" w:bidi="ar"/>
              </w:rPr>
              <w:t>)</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盘龙正荣府电梯框架广告（盘龙城）发布合同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4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营销合同（盘武汉星大地文化传播有限公司</w:t>
            </w:r>
            <w:r>
              <w:rPr>
                <w:rFonts w:hint="default" w:ascii="Arial" w:hAnsi="Arial" w:eastAsia="宋体" w:cs="Arial"/>
                <w:i w:val="0"/>
                <w:color w:val="000000"/>
                <w:kern w:val="0"/>
                <w:sz w:val="18"/>
                <w:szCs w:val="18"/>
                <w:highlight w:val="none"/>
                <w:u w:val="none"/>
                <w:lang w:val="en-US" w:eastAsia="zh-CN" w:bidi="ar"/>
              </w:rPr>
              <w:t>)</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龙正荣府百度广告发布合同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催告函（祖坡）以及贷款资料补齐通知书</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1、催告函（祖坡）；2、贷款资料补齐通知书（夏园）各1份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杨琦</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正荣地产股份有限公司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营销咨询及支持服务合同</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许明珠</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湖北福珍建筑工程有限公司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抵房协议书（5份）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龙元建设集团有限公司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抵房协议书（5份）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收入证明任燕（2份）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16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保理回执用印</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回执（武汉市岚研室内设计有限公司、上海飞视装饰设计工程有限公司、上海澜道环境设计咨询有限公司、武汉绿风科技工程有限公司、武汉中标水平室内设计有限公司、龙元建设集团股份有限公司）</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各3份）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49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梯彩</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湖北</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传媒有限公司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抵房协议书（5份）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杨琦</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抵房协议书（5份）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杨琦</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武汉金万象文化传媒有限公司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抵房协议书（5份）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48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武汉市雅琅广告有限公司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抵房协议书（5份）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项目防火门窗施工供应合同（武汉宾辰消防设备有限公司）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武汉公司盘龙正荣府项目防火门窗制作安装工程施工合同（6份）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9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项目售楼处物业服务协议（正荣物业服务有限公司武汉分公司）</w:t>
            </w:r>
          </w:p>
        </w:tc>
        <w:tc>
          <w:tcPr>
            <w:tcW w:w="2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盘龙正荣府案场服务委托协议</w:t>
            </w:r>
            <w:r>
              <w:rPr>
                <w:rFonts w:hint="eastAsia" w:ascii="Arial" w:hAnsi="Arial" w:eastAsia="宋体" w:cs="Arial"/>
                <w:i w:val="0"/>
                <w:color w:val="000000"/>
                <w:kern w:val="0"/>
                <w:sz w:val="18"/>
                <w:szCs w:val="18"/>
                <w:u w:val="none"/>
                <w:lang w:val="en-US" w:eastAsia="zh-CN" w:bidi="ar"/>
              </w:rPr>
              <w:t>（4份）</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策划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林思捷</w:t>
            </w:r>
          </w:p>
        </w:tc>
      </w:tr>
    </w:tbl>
    <w:p>
      <w:pPr>
        <w:spacing w:before="240" w:beforeLines="100"/>
        <w:jc w:val="both"/>
        <w:rPr>
          <w:rFonts w:ascii="Arial" w:hAnsi="Arial" w:cs="Arial"/>
          <w:b/>
          <w:kern w:val="44"/>
          <w:sz w:val="21"/>
          <w:szCs w:val="21"/>
        </w:rPr>
      </w:pPr>
    </w:p>
    <w:bookmarkEnd w:id="30"/>
    <w:p>
      <w:pPr>
        <w:rPr>
          <w:rFonts w:ascii="Arial" w:hAnsi="Arial" w:cs="Arial"/>
          <w:sz w:val="21"/>
          <w:szCs w:val="21"/>
        </w:rPr>
      </w:pPr>
      <w:bookmarkStart w:id="31" w:name="_Toc535580095"/>
      <w:bookmarkStart w:id="32" w:name="_Toc535570754"/>
      <w:bookmarkStart w:id="33" w:name="_Toc535508640"/>
      <w:bookmarkStart w:id="34" w:name="_Toc532281661"/>
      <w:bookmarkStart w:id="35" w:name="_Toc535580027"/>
      <w:bookmarkStart w:id="36" w:name="_Toc411430359"/>
      <w:bookmarkStart w:id="37" w:name="_Toc373309851"/>
    </w:p>
    <w:p>
      <w:pPr>
        <w:spacing w:line="360" w:lineRule="auto"/>
        <w:ind w:firstLine="420" w:firstLineChars="200"/>
        <w:rPr>
          <w:rFonts w:hint="eastAsia" w:ascii="Arial" w:hAnsi="Arial" w:eastAsia="宋体" w:cs="Arial"/>
          <w:bCs/>
          <w:kern w:val="44"/>
          <w:sz w:val="21"/>
          <w:szCs w:val="21"/>
          <w:lang w:eastAsia="zh-CN"/>
        </w:rPr>
      </w:pPr>
      <w:r>
        <w:rPr>
          <w:rFonts w:ascii="Arial" w:hAnsi="Arial" w:cs="Arial"/>
          <w:bCs/>
          <w:kern w:val="44"/>
          <w:sz w:val="21"/>
          <w:szCs w:val="21"/>
        </w:rPr>
        <w:t>本月</w:t>
      </w:r>
      <w:r>
        <w:rPr>
          <w:rFonts w:hint="eastAsia" w:ascii="Arial" w:hAnsi="Arial" w:cs="Arial"/>
          <w:bCs/>
          <w:kern w:val="44"/>
          <w:sz w:val="21"/>
          <w:szCs w:val="21"/>
          <w:lang w:eastAsia="zh-CN"/>
        </w:rPr>
        <w:t>无</w:t>
      </w:r>
      <w:r>
        <w:rPr>
          <w:rFonts w:ascii="Arial" w:hAnsi="Arial" w:cs="Arial"/>
          <w:bCs/>
          <w:kern w:val="44"/>
          <w:sz w:val="21"/>
          <w:szCs w:val="21"/>
        </w:rPr>
        <w:t>证照章外带情况</w:t>
      </w:r>
      <w:r>
        <w:rPr>
          <w:rFonts w:hint="eastAsia" w:ascii="Arial" w:hAnsi="Arial" w:cs="Arial"/>
          <w:bCs/>
          <w:kern w:val="44"/>
          <w:sz w:val="21"/>
          <w:szCs w:val="21"/>
          <w:lang w:eastAsia="zh-CN"/>
        </w:rPr>
        <w:t>。</w:t>
      </w:r>
    </w:p>
    <w:p>
      <w:pPr>
        <w:rPr>
          <w:rFonts w:ascii="Arial" w:hAnsi="Arial" w:cs="Arial"/>
        </w:rPr>
      </w:pPr>
    </w:p>
    <w:p>
      <w:pPr>
        <w:pStyle w:val="2"/>
        <w:keepLines w:val="0"/>
        <w:spacing w:before="300" w:after="300" w:line="360" w:lineRule="exact"/>
        <w:jc w:val="left"/>
        <w:rPr>
          <w:rFonts w:hint="default" w:ascii="Arial" w:hAnsi="Arial" w:cs="Arial"/>
          <w:color w:val="000000"/>
          <w:sz w:val="24"/>
          <w:szCs w:val="24"/>
        </w:rPr>
      </w:pPr>
      <w:bookmarkStart w:id="38" w:name="_Toc29289"/>
      <w:r>
        <w:rPr>
          <w:rFonts w:hint="default" w:ascii="Arial" w:hAnsi="Arial" w:cs="Arial"/>
          <w:color w:val="000000"/>
          <w:sz w:val="24"/>
          <w:szCs w:val="24"/>
        </w:rPr>
        <w:t>5合同签订情况</w:t>
      </w:r>
      <w:bookmarkEnd w:id="31"/>
      <w:bookmarkEnd w:id="32"/>
      <w:bookmarkEnd w:id="33"/>
      <w:bookmarkEnd w:id="34"/>
      <w:bookmarkEnd w:id="35"/>
      <w:bookmarkEnd w:id="38"/>
      <w:r>
        <w:rPr>
          <w:rFonts w:hint="default" w:ascii="Arial" w:hAnsi="Arial" w:cs="Arial"/>
          <w:color w:val="000000"/>
          <w:sz w:val="24"/>
          <w:szCs w:val="24"/>
        </w:rPr>
        <w:tab/>
      </w:r>
    </w:p>
    <w:p>
      <w:pPr>
        <w:spacing w:line="360" w:lineRule="auto"/>
        <w:ind w:firstLine="420" w:firstLineChars="200"/>
        <w:rPr>
          <w:rFonts w:hint="default" w:ascii="Arial" w:hAnsi="Arial" w:cs="Arial"/>
          <w:b/>
          <w:color w:val="000000"/>
          <w:sz w:val="21"/>
          <w:szCs w:val="21"/>
        </w:rPr>
      </w:pPr>
      <w:r>
        <w:rPr>
          <w:rFonts w:hint="default" w:ascii="Arial" w:hAnsi="Arial" w:cs="Arial"/>
          <w:bCs/>
          <w:kern w:val="44"/>
          <w:sz w:val="21"/>
          <w:szCs w:val="21"/>
        </w:rPr>
        <w:t>2020年1</w:t>
      </w:r>
      <w:r>
        <w:rPr>
          <w:rFonts w:hint="eastAsia" w:ascii="Arial" w:hAnsi="Arial" w:cs="Arial"/>
          <w:bCs/>
          <w:kern w:val="44"/>
          <w:sz w:val="21"/>
          <w:szCs w:val="21"/>
          <w:lang w:val="en-US" w:eastAsia="zh-CN"/>
        </w:rPr>
        <w:t>2</w:t>
      </w:r>
      <w:r>
        <w:rPr>
          <w:rFonts w:hint="default" w:ascii="Arial" w:hAnsi="Arial" w:cs="Arial"/>
          <w:bCs/>
          <w:kern w:val="44"/>
          <w:sz w:val="21"/>
          <w:szCs w:val="21"/>
        </w:rPr>
        <w:t>月项目公司新签订合同共计</w:t>
      </w:r>
      <w:r>
        <w:rPr>
          <w:rFonts w:hint="eastAsia" w:ascii="Arial" w:hAnsi="Arial" w:cs="Arial"/>
          <w:bCs/>
          <w:kern w:val="44"/>
          <w:sz w:val="21"/>
          <w:szCs w:val="21"/>
          <w:lang w:val="en-US" w:eastAsia="zh-CN"/>
        </w:rPr>
        <w:t>21</w:t>
      </w:r>
      <w:r>
        <w:rPr>
          <w:rFonts w:hint="default" w:ascii="Arial" w:hAnsi="Arial" w:cs="Arial"/>
          <w:bCs/>
          <w:kern w:val="44"/>
          <w:sz w:val="21"/>
          <w:szCs w:val="21"/>
        </w:rPr>
        <w:t>份</w:t>
      </w:r>
      <w:r>
        <w:rPr>
          <w:rFonts w:hint="eastAsia" w:ascii="Arial" w:hAnsi="Arial" w:cs="Arial"/>
          <w:bCs/>
          <w:kern w:val="44"/>
          <w:sz w:val="21"/>
          <w:szCs w:val="21"/>
          <w:lang w:eastAsia="zh-CN"/>
        </w:rPr>
        <w:t>，</w:t>
      </w:r>
      <w:r>
        <w:rPr>
          <w:rFonts w:hint="eastAsia" w:ascii="Arial" w:hAnsi="Arial" w:cs="Arial"/>
          <w:bCs/>
          <w:kern w:val="44"/>
          <w:sz w:val="21"/>
          <w:szCs w:val="21"/>
          <w:lang w:val="en-US" w:eastAsia="zh-CN"/>
        </w:rPr>
        <w:t>合同签订情况详见下表：</w:t>
      </w:r>
    </w:p>
    <w:p>
      <w:pPr>
        <w:spacing w:line="360" w:lineRule="auto"/>
        <w:rPr>
          <w:rFonts w:ascii="Arial" w:hAnsi="Arial" w:cs="Arial"/>
          <w:b/>
          <w:color w:val="000000"/>
          <w:szCs w:val="21"/>
        </w:rPr>
      </w:pP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12</w:t>
      </w:r>
      <w:r>
        <w:rPr>
          <w:rFonts w:ascii="Arial" w:hAnsi="Arial" w:cs="Arial"/>
          <w:b/>
          <w:color w:val="000000"/>
          <w:sz w:val="24"/>
        </w:rPr>
        <w:t>月合同签订情况表</w:t>
      </w:r>
    </w:p>
    <w:tbl>
      <w:tblPr>
        <w:tblStyle w:val="22"/>
        <w:tblW w:w="9975" w:type="dxa"/>
        <w:jc w:val="center"/>
        <w:shd w:val="clear" w:color="auto" w:fill="auto"/>
        <w:tblLayout w:type="autofit"/>
        <w:tblCellMar>
          <w:top w:w="0" w:type="dxa"/>
          <w:left w:w="0" w:type="dxa"/>
          <w:bottom w:w="0" w:type="dxa"/>
          <w:right w:w="0" w:type="dxa"/>
        </w:tblCellMar>
      </w:tblPr>
      <w:tblGrid>
        <w:gridCol w:w="914"/>
        <w:gridCol w:w="1049"/>
        <w:gridCol w:w="1333"/>
        <w:gridCol w:w="2408"/>
        <w:gridCol w:w="2907"/>
        <w:gridCol w:w="1364"/>
      </w:tblGrid>
      <w:tr>
        <w:tblPrEx>
          <w:shd w:val="clear" w:color="auto" w:fill="auto"/>
          <w:tblCellMar>
            <w:top w:w="0" w:type="dxa"/>
            <w:left w:w="0" w:type="dxa"/>
            <w:bottom w:w="0" w:type="dxa"/>
            <w:right w:w="0" w:type="dxa"/>
          </w:tblCellMar>
        </w:tblPrEx>
        <w:trPr>
          <w:trHeight w:val="482" w:hRule="atLeast"/>
          <w:tblHeader/>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合同文件名称</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合同内容</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付款节点</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合同金额（元）</w:t>
            </w:r>
          </w:p>
        </w:tc>
      </w:tr>
      <w:tr>
        <w:tblPrEx>
          <w:tblCellMar>
            <w:top w:w="0" w:type="dxa"/>
            <w:left w:w="0" w:type="dxa"/>
            <w:bottom w:w="0" w:type="dxa"/>
            <w:right w:w="0" w:type="dxa"/>
          </w:tblCellMar>
        </w:tblPrEx>
        <w:trPr>
          <w:trHeight w:val="219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慈铭健康体检管理集团武汉有限公司慈铭汉口门诊部</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健康体检合作协议</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体检时间、人数及项目：体检时间为</w:t>
            </w:r>
            <w:r>
              <w:rPr>
                <w:rFonts w:hint="default" w:ascii="Arial" w:hAnsi="Arial" w:eastAsia="宋体" w:cs="Arial"/>
                <w:i w:val="0"/>
                <w:color w:val="000000"/>
                <w:kern w:val="0"/>
                <w:sz w:val="18"/>
                <w:szCs w:val="18"/>
                <w:u w:val="none"/>
                <w:lang w:val="en-US" w:eastAsia="zh-CN" w:bidi="ar"/>
              </w:rPr>
              <w:t xml:space="preserve"> 20 20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18 </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 xml:space="preserve"> 20 21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17 </w:t>
            </w:r>
            <w:r>
              <w:rPr>
                <w:rFonts w:hint="eastAsia" w:ascii="宋体" w:hAnsi="宋体" w:eastAsia="宋体" w:cs="宋体"/>
                <w:i w:val="0"/>
                <w:color w:val="000000"/>
                <w:kern w:val="0"/>
                <w:sz w:val="18"/>
                <w:szCs w:val="18"/>
                <w:u w:val="none"/>
                <w:lang w:val="en-US" w:eastAsia="zh-CN" w:bidi="ar"/>
              </w:rPr>
              <w:t>日。甲方此次参加体检总人数约为</w:t>
            </w:r>
            <w:r>
              <w:rPr>
                <w:rFonts w:hint="default" w:ascii="Arial" w:hAnsi="Arial" w:eastAsia="宋体" w:cs="Arial"/>
                <w:i w:val="0"/>
                <w:color w:val="000000"/>
                <w:kern w:val="0"/>
                <w:sz w:val="18"/>
                <w:szCs w:val="18"/>
                <w:u w:val="none"/>
                <w:lang w:val="en-US" w:eastAsia="zh-CN" w:bidi="ar"/>
              </w:rPr>
              <w:t xml:space="preserve"> 165 </w:t>
            </w:r>
            <w:r>
              <w:rPr>
                <w:rFonts w:hint="eastAsia" w:ascii="宋体" w:hAnsi="宋体" w:eastAsia="宋体" w:cs="宋体"/>
                <w:i w:val="0"/>
                <w:color w:val="000000"/>
                <w:kern w:val="0"/>
                <w:sz w:val="18"/>
                <w:szCs w:val="18"/>
                <w:u w:val="none"/>
                <w:lang w:val="en-US" w:eastAsia="zh-CN" w:bidi="ar"/>
              </w:rPr>
              <w:t>人；分组如下：男宾</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组</w:t>
            </w:r>
            <w:r>
              <w:rPr>
                <w:rFonts w:hint="default" w:ascii="Arial" w:hAnsi="Arial" w:eastAsia="宋体" w:cs="Arial"/>
                <w:i w:val="0"/>
                <w:color w:val="000000"/>
                <w:kern w:val="0"/>
                <w:sz w:val="18"/>
                <w:szCs w:val="18"/>
                <w:u w:val="none"/>
                <w:lang w:val="en-US" w:eastAsia="zh-CN" w:bidi="ar"/>
              </w:rPr>
              <w:t xml:space="preserve"> 84 </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900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女未婚</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组</w:t>
            </w:r>
            <w:r>
              <w:rPr>
                <w:rFonts w:hint="default" w:ascii="Arial" w:hAnsi="Arial" w:eastAsia="宋体" w:cs="Arial"/>
                <w:i w:val="0"/>
                <w:color w:val="000000"/>
                <w:kern w:val="0"/>
                <w:sz w:val="18"/>
                <w:szCs w:val="18"/>
                <w:u w:val="none"/>
                <w:lang w:val="en-US" w:eastAsia="zh-CN" w:bidi="ar"/>
              </w:rPr>
              <w:t xml:space="preserve"> 39 </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900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人；女已婚</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组</w:t>
            </w:r>
            <w:r>
              <w:rPr>
                <w:rFonts w:hint="default" w:ascii="Arial" w:hAnsi="Arial" w:eastAsia="宋体" w:cs="Arial"/>
                <w:i w:val="0"/>
                <w:color w:val="000000"/>
                <w:kern w:val="0"/>
                <w:sz w:val="18"/>
                <w:szCs w:val="18"/>
                <w:u w:val="none"/>
                <w:lang w:val="en-US" w:eastAsia="zh-CN" w:bidi="ar"/>
              </w:rPr>
              <w:t xml:space="preserve"> 41 </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900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男宾领导</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组</w:t>
            </w:r>
            <w:r>
              <w:rPr>
                <w:rFonts w:hint="default" w:ascii="Arial" w:hAnsi="Arial" w:eastAsia="宋体" w:cs="Arial"/>
                <w:i w:val="0"/>
                <w:color w:val="000000"/>
                <w:kern w:val="0"/>
                <w:sz w:val="18"/>
                <w:szCs w:val="18"/>
                <w:u w:val="none"/>
                <w:lang w:val="en-US" w:eastAsia="zh-CN" w:bidi="ar"/>
              </w:rPr>
              <w:t xml:space="preserve"> 1 </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3000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人；</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甲方此次体检总费用为：人民币</w:t>
            </w:r>
            <w:r>
              <w:rPr>
                <w:rFonts w:hint="default" w:ascii="Arial" w:hAnsi="Arial" w:eastAsia="宋体" w:cs="Arial"/>
                <w:i w:val="0"/>
                <w:color w:val="000000"/>
                <w:kern w:val="0"/>
                <w:sz w:val="18"/>
                <w:szCs w:val="18"/>
                <w:u w:val="none"/>
                <w:lang w:val="en-US" w:eastAsia="zh-CN" w:bidi="ar"/>
              </w:rPr>
              <w:t xml:space="preserve"> 150600 </w:t>
            </w:r>
            <w:r>
              <w:rPr>
                <w:rFonts w:hint="eastAsia" w:ascii="宋体" w:hAnsi="宋体" w:eastAsia="宋体" w:cs="宋体"/>
                <w:i w:val="0"/>
                <w:color w:val="000000"/>
                <w:kern w:val="0"/>
                <w:sz w:val="18"/>
                <w:szCs w:val="18"/>
                <w:u w:val="none"/>
                <w:lang w:val="en-US" w:eastAsia="zh-CN" w:bidi="ar"/>
              </w:rPr>
              <w:t>（大写：</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拾伍万零陆佰元整</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）。本合同签署后【</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】日内，甲方需支付</w:t>
            </w:r>
            <w:r>
              <w:rPr>
                <w:rFonts w:hint="default" w:ascii="Arial" w:hAnsi="Arial" w:eastAsia="宋体" w:cs="Arial"/>
                <w:i w:val="0"/>
                <w:color w:val="000000"/>
                <w:kern w:val="0"/>
                <w:sz w:val="18"/>
                <w:szCs w:val="18"/>
                <w:u w:val="none"/>
                <w:lang w:val="en-US" w:eastAsia="zh-CN" w:bidi="ar"/>
              </w:rPr>
              <w:t xml:space="preserve"> 90360 </w:t>
            </w:r>
            <w:r>
              <w:rPr>
                <w:rFonts w:hint="eastAsia" w:ascii="宋体" w:hAnsi="宋体" w:eastAsia="宋体" w:cs="宋体"/>
                <w:i w:val="0"/>
                <w:color w:val="000000"/>
                <w:kern w:val="0"/>
                <w:sz w:val="18"/>
                <w:szCs w:val="18"/>
                <w:u w:val="none"/>
                <w:lang w:val="en-US" w:eastAsia="zh-CN" w:bidi="ar"/>
              </w:rPr>
              <w:t>预付款，之后根据实际体检人数据实结算，余款于甲方审核完毕体检人数确认无误并于结算发票送达之日起</w:t>
            </w:r>
            <w:r>
              <w:rPr>
                <w:rFonts w:hint="default" w:ascii="Arial" w:hAnsi="Arial" w:eastAsia="宋体" w:cs="Arial"/>
                <w:i w:val="0"/>
                <w:color w:val="000000"/>
                <w:kern w:val="0"/>
                <w:sz w:val="18"/>
                <w:szCs w:val="18"/>
                <w:u w:val="none"/>
                <w:lang w:val="en-US" w:eastAsia="zh-CN" w:bidi="ar"/>
              </w:rPr>
              <w:t xml:space="preserve"> 10 </w:t>
            </w:r>
            <w:r>
              <w:rPr>
                <w:rFonts w:hint="eastAsia" w:ascii="宋体" w:hAnsi="宋体" w:eastAsia="宋体" w:cs="宋体"/>
                <w:i w:val="0"/>
                <w:color w:val="000000"/>
                <w:kern w:val="0"/>
                <w:sz w:val="18"/>
                <w:szCs w:val="18"/>
                <w:u w:val="none"/>
                <w:lang w:val="en-US" w:eastAsia="zh-CN" w:bidi="ar"/>
              </w:rPr>
              <w:t>日内付清</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600.00 </w:t>
            </w:r>
          </w:p>
        </w:tc>
      </w:tr>
      <w:tr>
        <w:tblPrEx>
          <w:tblCellMar>
            <w:top w:w="0" w:type="dxa"/>
            <w:left w:w="0" w:type="dxa"/>
            <w:bottom w:w="0" w:type="dxa"/>
            <w:right w:w="0" w:type="dxa"/>
          </w:tblCellMar>
        </w:tblPrEx>
        <w:trPr>
          <w:trHeight w:val="123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武汉云松文化传播有限公司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月阿松评楼媒体广告发布合同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微信自媒体</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武汉楼市一线</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阿松评楼</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，广告发布时间：</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22 </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日（具体上线日期</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以合同流程执行完为准）广告发布效果：提升项目在客户端知名度，阅读量合计</w:t>
            </w:r>
            <w:r>
              <w:rPr>
                <w:rFonts w:hint="default" w:ascii="Arial" w:hAnsi="Arial" w:eastAsia="宋体" w:cs="Arial"/>
                <w:i w:val="0"/>
                <w:color w:val="000000"/>
                <w:kern w:val="0"/>
                <w:sz w:val="18"/>
                <w:szCs w:val="18"/>
                <w:u w:val="none"/>
                <w:lang w:val="en-US" w:eastAsia="zh-CN" w:bidi="ar"/>
              </w:rPr>
              <w:t xml:space="preserve"> 3 </w:t>
            </w:r>
            <w:r>
              <w:rPr>
                <w:rFonts w:hint="eastAsia" w:ascii="宋体" w:hAnsi="宋体" w:eastAsia="宋体" w:cs="宋体"/>
                <w:i w:val="0"/>
                <w:color w:val="000000"/>
                <w:kern w:val="0"/>
                <w:sz w:val="18"/>
                <w:szCs w:val="18"/>
                <w:u w:val="none"/>
                <w:lang w:val="en-US" w:eastAsia="zh-CN" w:bidi="ar"/>
              </w:rPr>
              <w:t>万</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 39000</w:t>
            </w:r>
            <w:r>
              <w:rPr>
                <w:rFonts w:hint="eastAsia" w:ascii="宋体" w:hAnsi="宋体" w:eastAsia="宋体" w:cs="宋体"/>
                <w:i w:val="0"/>
                <w:color w:val="000000"/>
                <w:kern w:val="0"/>
                <w:sz w:val="18"/>
                <w:szCs w:val="18"/>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39,000.00 </w:t>
            </w:r>
          </w:p>
        </w:tc>
      </w:tr>
      <w:tr>
        <w:tblPrEx>
          <w:tblCellMar>
            <w:top w:w="0" w:type="dxa"/>
            <w:left w:w="0" w:type="dxa"/>
            <w:bottom w:w="0" w:type="dxa"/>
            <w:right w:w="0" w:type="dxa"/>
          </w:tblCellMar>
        </w:tblPrEx>
        <w:trPr>
          <w:trHeight w:val="195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蔚蓝云创（上海）数字科技有限公司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武汉区域</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月朋友圈定投媒体广告发布合同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正荣地产双十一</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正有爱</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在一起</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活动前宣，广告发布媒体：微信</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朋友圈广告</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视频，广告发布时间：</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2 </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 xml:space="preserve">-11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4 </w:t>
            </w:r>
            <w:r>
              <w:rPr>
                <w:rFonts w:hint="eastAsia" w:ascii="宋体" w:hAnsi="宋体" w:eastAsia="宋体" w:cs="宋体"/>
                <w:i w:val="0"/>
                <w:color w:val="000000"/>
                <w:kern w:val="0"/>
                <w:sz w:val="18"/>
                <w:szCs w:val="18"/>
                <w:u w:val="none"/>
                <w:lang w:val="en-US" w:eastAsia="zh-CN" w:bidi="ar"/>
              </w:rPr>
              <w:t>日（具体上线以实际为准）广告发布效果：</w:t>
            </w:r>
            <w:r>
              <w:rPr>
                <w:rFonts w:hint="default" w:ascii="Arial" w:hAnsi="Arial" w:eastAsia="宋体" w:cs="Arial"/>
                <w:i w:val="0"/>
                <w:color w:val="000000"/>
                <w:kern w:val="0"/>
                <w:sz w:val="18"/>
                <w:szCs w:val="18"/>
                <w:u w:val="none"/>
                <w:lang w:val="en-US" w:eastAsia="zh-CN" w:bidi="ar"/>
              </w:rPr>
              <w:t xml:space="preserve">50 </w:t>
            </w:r>
            <w:r>
              <w:rPr>
                <w:rFonts w:hint="eastAsia" w:ascii="宋体" w:hAnsi="宋体" w:eastAsia="宋体" w:cs="宋体"/>
                <w:i w:val="0"/>
                <w:color w:val="000000"/>
                <w:kern w:val="0"/>
                <w:sz w:val="18"/>
                <w:szCs w:val="18"/>
                <w:u w:val="none"/>
                <w:lang w:val="en-US" w:eastAsia="zh-CN" w:bidi="ar"/>
              </w:rPr>
              <w:t>万</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曝光</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 50000</w:t>
            </w:r>
            <w:r>
              <w:rPr>
                <w:rFonts w:hint="eastAsia" w:ascii="宋体" w:hAnsi="宋体" w:eastAsia="宋体" w:cs="宋体"/>
                <w:i w:val="0"/>
                <w:color w:val="000000"/>
                <w:kern w:val="0"/>
                <w:sz w:val="18"/>
                <w:szCs w:val="18"/>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r>
      <w:tr>
        <w:tblPrEx>
          <w:tblCellMar>
            <w:top w:w="0" w:type="dxa"/>
            <w:left w:w="0" w:type="dxa"/>
            <w:bottom w:w="0" w:type="dxa"/>
            <w:right w:w="0" w:type="dxa"/>
          </w:tblCellMar>
        </w:tblPrEx>
        <w:trPr>
          <w:trHeight w:val="123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武汉中桢广告有限公司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盘龙正荣府公寓看房通道制作合同</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看房通道装修合同（包含材料以及物料）</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提交符合甲方要求的增值税专用发票及其他甲方要求的付款资料后的十个工作日内向乙方支付本合同总价款的【</w:t>
            </w:r>
            <w:r>
              <w:rPr>
                <w:rFonts w:hint="default" w:ascii="Arial" w:hAnsi="Arial" w:eastAsia="宋体" w:cs="Arial"/>
                <w:i w:val="0"/>
                <w:color w:val="000000"/>
                <w:kern w:val="0"/>
                <w:sz w:val="18"/>
                <w:szCs w:val="18"/>
                <w:u w:val="none"/>
                <w:lang w:val="en-US" w:eastAsia="zh-CN" w:bidi="ar"/>
              </w:rPr>
              <w:t>90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，即人民币【</w:t>
            </w:r>
            <w:r>
              <w:rPr>
                <w:rFonts w:hint="default" w:ascii="Arial" w:hAnsi="Arial" w:eastAsia="宋体" w:cs="Arial"/>
                <w:i w:val="0"/>
                <w:color w:val="000000"/>
                <w:kern w:val="0"/>
                <w:sz w:val="18"/>
                <w:szCs w:val="18"/>
                <w:u w:val="none"/>
                <w:lang w:val="en-US" w:eastAsia="zh-CN" w:bidi="ar"/>
              </w:rPr>
              <w:t>141043.5</w:t>
            </w:r>
            <w:r>
              <w:rPr>
                <w:rFonts w:hint="eastAsia" w:ascii="宋体" w:hAnsi="宋体" w:eastAsia="宋体" w:cs="宋体"/>
                <w:i w:val="0"/>
                <w:color w:val="000000"/>
                <w:kern w:val="0"/>
                <w:sz w:val="18"/>
                <w:szCs w:val="18"/>
                <w:u w:val="none"/>
                <w:lang w:val="en-US" w:eastAsia="zh-CN" w:bidi="ar"/>
              </w:rPr>
              <w:t>】元。合同总价款的【</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】，即人民币【</w:t>
            </w:r>
            <w:r>
              <w:rPr>
                <w:rFonts w:hint="default" w:ascii="Arial" w:hAnsi="Arial" w:eastAsia="宋体" w:cs="Arial"/>
                <w:i w:val="0"/>
                <w:color w:val="000000"/>
                <w:kern w:val="0"/>
                <w:sz w:val="18"/>
                <w:szCs w:val="18"/>
                <w:u w:val="none"/>
                <w:lang w:val="en-US" w:eastAsia="zh-CN" w:bidi="ar"/>
              </w:rPr>
              <w:t xml:space="preserve">15671.5 </w:t>
            </w:r>
            <w:r>
              <w:rPr>
                <w:rFonts w:hint="eastAsia" w:ascii="宋体" w:hAnsi="宋体" w:eastAsia="宋体" w:cs="宋体"/>
                <w:i w:val="0"/>
                <w:color w:val="000000"/>
                <w:kern w:val="0"/>
                <w:sz w:val="18"/>
                <w:szCs w:val="18"/>
                <w:u w:val="none"/>
                <w:lang w:val="en-US" w:eastAsia="zh-CN" w:bidi="ar"/>
              </w:rPr>
              <w:t>元】作为质保金，待一年质保期结束后，乙方提供符合甲方要求的增值税专用发票及其他甲方要求的付款资料后十个工作日内向乙方支付。</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156,715.00 </w:t>
            </w:r>
          </w:p>
        </w:tc>
      </w:tr>
      <w:tr>
        <w:tblPrEx>
          <w:tblCellMar>
            <w:top w:w="0" w:type="dxa"/>
            <w:left w:w="0" w:type="dxa"/>
            <w:bottom w:w="0" w:type="dxa"/>
            <w:right w:w="0" w:type="dxa"/>
          </w:tblCellMar>
        </w:tblPrEx>
        <w:trPr>
          <w:trHeight w:val="123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北京搜房科技发展有限公司武汉分公司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月房天下媒体广告发布合同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广告发布内容：</w:t>
            </w:r>
            <w:r>
              <w:rPr>
                <w:rFonts w:hint="default" w:ascii="Arial" w:hAnsi="Arial" w:eastAsia="宋体" w:cs="Arial"/>
                <w:i w:val="0"/>
                <w:color w:val="000000"/>
                <w:kern w:val="0"/>
                <w:sz w:val="18"/>
                <w:szCs w:val="18"/>
                <w:highlight w:val="none"/>
                <w:u w:val="none"/>
                <w:lang w:val="en-US" w:eastAsia="zh-CN" w:bidi="ar"/>
              </w:rPr>
              <w:t>APP</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首页、</w:t>
            </w:r>
            <w:r>
              <w:rPr>
                <w:rFonts w:hint="default" w:ascii="Arial" w:hAnsi="Arial" w:eastAsia="宋体" w:cs="Arial"/>
                <w:i w:val="0"/>
                <w:color w:val="000000"/>
                <w:kern w:val="0"/>
                <w:sz w:val="18"/>
                <w:szCs w:val="18"/>
                <w:highlight w:val="none"/>
                <w:u w:val="none"/>
                <w:lang w:val="en-US" w:eastAsia="zh-CN" w:bidi="ar"/>
              </w:rPr>
              <w:t>APP</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新房列表页、</w:t>
            </w:r>
            <w:r>
              <w:rPr>
                <w:rFonts w:hint="default" w:ascii="Arial" w:hAnsi="Arial" w:eastAsia="宋体" w:cs="Arial"/>
                <w:i w:val="0"/>
                <w:color w:val="000000"/>
                <w:kern w:val="0"/>
                <w:sz w:val="18"/>
                <w:szCs w:val="18"/>
                <w:u w:val="none"/>
                <w:lang w:val="en-US" w:eastAsia="zh-CN" w:bidi="ar"/>
              </w:rPr>
              <w:t xml:space="preserve">PC </w:t>
            </w:r>
            <w:r>
              <w:rPr>
                <w:rFonts w:hint="eastAsia" w:ascii="宋体" w:hAnsi="宋体" w:eastAsia="宋体" w:cs="宋体"/>
                <w:i w:val="0"/>
                <w:color w:val="000000"/>
                <w:kern w:val="0"/>
                <w:sz w:val="18"/>
                <w:szCs w:val="18"/>
                <w:u w:val="none"/>
                <w:lang w:val="en-US" w:eastAsia="zh-CN" w:bidi="ar"/>
              </w:rPr>
              <w:t>新房详情页相关广告广告发布媒体：房天下武汉站广告发布时间：</w:t>
            </w:r>
            <w:r>
              <w:rPr>
                <w:rFonts w:hint="default" w:ascii="Arial" w:hAnsi="Arial" w:eastAsia="宋体" w:cs="Arial"/>
                <w:i w:val="0"/>
                <w:color w:val="000000"/>
                <w:kern w:val="0"/>
                <w:sz w:val="18"/>
                <w:szCs w:val="18"/>
                <w:u w:val="none"/>
                <w:lang w:val="en-US" w:eastAsia="zh-CN" w:bidi="ar"/>
              </w:rPr>
              <w:t xml:space="preserve">25 </w:t>
            </w:r>
            <w:r>
              <w:rPr>
                <w:rFonts w:hint="eastAsia" w:ascii="宋体" w:hAnsi="宋体" w:eastAsia="宋体" w:cs="宋体"/>
                <w:i w:val="0"/>
                <w:color w:val="000000"/>
                <w:kern w:val="0"/>
                <w:sz w:val="18"/>
                <w:szCs w:val="18"/>
                <w:u w:val="none"/>
                <w:lang w:val="en-US" w:eastAsia="zh-CN" w:bidi="ar"/>
              </w:rPr>
              <w:t>天，</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6 </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11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30 </w:t>
            </w:r>
            <w:r>
              <w:rPr>
                <w:rFonts w:hint="eastAsia" w:ascii="宋体" w:hAnsi="宋体" w:eastAsia="宋体" w:cs="宋体"/>
                <w:i w:val="0"/>
                <w:color w:val="000000"/>
                <w:kern w:val="0"/>
                <w:sz w:val="18"/>
                <w:szCs w:val="18"/>
                <w:u w:val="none"/>
                <w:lang w:val="en-US" w:eastAsia="zh-CN" w:bidi="ar"/>
              </w:rPr>
              <w:t>日（具体上线日期以合同流程执行完为准）</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200000 </w:t>
            </w:r>
            <w:r>
              <w:rPr>
                <w:rFonts w:hint="eastAsia" w:ascii="宋体" w:hAnsi="宋体" w:eastAsia="宋体" w:cs="宋体"/>
                <w:i w:val="0"/>
                <w:color w:val="000000"/>
                <w:kern w:val="0"/>
                <w:sz w:val="18"/>
                <w:szCs w:val="18"/>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r>
      <w:tr>
        <w:tblPrEx>
          <w:tblCellMar>
            <w:top w:w="0" w:type="dxa"/>
            <w:left w:w="0" w:type="dxa"/>
            <w:bottom w:w="0" w:type="dxa"/>
            <w:right w:w="0" w:type="dxa"/>
          </w:tblCellMar>
        </w:tblPrEx>
        <w:trPr>
          <w:trHeight w:val="1116"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武汉贝壳房地产经纪有限公司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【盘龙正荣府项目】分销合作合同</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一、合作期限：</w:t>
            </w:r>
            <w:r>
              <w:rPr>
                <w:rFonts w:hint="default" w:ascii="Arial" w:hAnsi="Arial" w:eastAsia="宋体" w:cs="Arial"/>
                <w:i w:val="0"/>
                <w:color w:val="000000"/>
                <w:kern w:val="0"/>
                <w:sz w:val="18"/>
                <w:szCs w:val="18"/>
                <w:u w:val="none"/>
                <w:lang w:val="en-US" w:eastAsia="zh-CN" w:bidi="ar"/>
              </w:rPr>
              <w:t xml:space="preserve">  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1 </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 xml:space="preserve">   2021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2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28  </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二、合作内容：我司委托贵司充分利用各项渠道（包括通过自有渠道或其他任何第三方渠道进行宣传推广等），为本项目推荐购房客户，我</w:t>
            </w:r>
            <w:r>
              <w:rPr>
                <w:rFonts w:hint="eastAsia" w:ascii="宋体" w:hAnsi="宋体" w:eastAsia="宋体" w:cs="宋体"/>
                <w:i w:val="0"/>
                <w:color w:val="000000"/>
                <w:kern w:val="0"/>
                <w:sz w:val="18"/>
                <w:szCs w:val="18"/>
                <w:highlight w:val="none"/>
                <w:u w:val="none"/>
                <w:lang w:val="en-US" w:eastAsia="zh-CN" w:bidi="ar"/>
              </w:rPr>
              <w:t>司向</w:t>
            </w:r>
            <w:r>
              <w:rPr>
                <w:rFonts w:hint="eastAsia" w:ascii="宋体" w:hAnsi="宋体" w:eastAsia="宋体" w:cs="宋体"/>
                <w:i w:val="0"/>
                <w:color w:val="000000"/>
                <w:kern w:val="0"/>
                <w:sz w:val="18"/>
                <w:szCs w:val="18"/>
                <w:u w:val="none"/>
                <w:lang w:val="en-US" w:eastAsia="zh-CN" w:bidi="ar"/>
              </w:rPr>
              <w:t>贵司支付服务费用。</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按月结算月度签约佣金点数</w:t>
            </w:r>
            <w:r>
              <w:rPr>
                <w:rFonts w:hint="default" w:ascii="Arial" w:hAnsi="Arial" w:eastAsia="宋体" w:cs="Arial"/>
                <w:i w:val="0"/>
                <w:color w:val="000000"/>
                <w:kern w:val="0"/>
                <w:sz w:val="18"/>
                <w:szCs w:val="18"/>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按月据实结算</w:t>
            </w:r>
          </w:p>
        </w:tc>
      </w:tr>
      <w:tr>
        <w:tblPrEx>
          <w:tblCellMar>
            <w:top w:w="0" w:type="dxa"/>
            <w:left w:w="0" w:type="dxa"/>
            <w:bottom w:w="0" w:type="dxa"/>
            <w:right w:w="0" w:type="dxa"/>
          </w:tblCellMar>
        </w:tblPrEx>
        <w:trPr>
          <w:trHeight w:val="9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武汉贝壳房地产经纪有限公司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【盘龙正荣府项目</w:t>
            </w:r>
            <w:r>
              <w:rPr>
                <w:rFonts w:hint="default" w:ascii="Arial" w:hAnsi="Arial" w:eastAsia="宋体" w:cs="Arial"/>
                <w:i w:val="0"/>
                <w:color w:val="000000"/>
                <w:kern w:val="0"/>
                <w:sz w:val="18"/>
                <w:szCs w:val="18"/>
                <w:u w:val="none"/>
                <w:lang w:val="en-US" w:eastAsia="zh-CN" w:bidi="ar"/>
              </w:rPr>
              <w:t xml:space="preserve"> 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-2021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2 </w:t>
            </w:r>
            <w:r>
              <w:rPr>
                <w:rFonts w:hint="eastAsia" w:ascii="宋体" w:hAnsi="宋体" w:eastAsia="宋体" w:cs="宋体"/>
                <w:i w:val="0"/>
                <w:color w:val="000000"/>
                <w:kern w:val="0"/>
                <w:sz w:val="18"/>
                <w:szCs w:val="18"/>
                <w:u w:val="none"/>
                <w:lang w:val="en-US" w:eastAsia="zh-CN" w:bidi="ar"/>
              </w:rPr>
              <w:t>月分销（贝壳）合同】补充协议</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现甲乙双方经协商，就变更原合同部分条款达成一致意见，签订本补充协议</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按月结算</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按月结算</w:t>
            </w:r>
          </w:p>
        </w:tc>
      </w:tr>
      <w:tr>
        <w:tblPrEx>
          <w:tblCellMar>
            <w:top w:w="0" w:type="dxa"/>
            <w:left w:w="0" w:type="dxa"/>
            <w:bottom w:w="0" w:type="dxa"/>
            <w:right w:w="0" w:type="dxa"/>
          </w:tblCellMar>
        </w:tblPrEx>
        <w:trPr>
          <w:trHeight w:val="174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上海新百锐教育科技有限公司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百锐学堂学习卡合作协议</w:t>
            </w:r>
          </w:p>
        </w:tc>
        <w:tc>
          <w:tcPr>
            <w:tcW w:w="241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培训合作协议，甲方选择课程，乙方按照教学要求完成教材编制，提供课程服务</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合同履行完毕，经甲方书面验收合格并已确定最终结算总价且甲方收到乙方开具的与经甲方书面确认的最终结算总价等额的合法有效发票后</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日内一次性向乙方支付</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tblCellMar>
            <w:top w:w="0" w:type="dxa"/>
            <w:left w:w="0" w:type="dxa"/>
            <w:bottom w:w="0" w:type="dxa"/>
            <w:right w:w="0" w:type="dxa"/>
          </w:tblCellMar>
        </w:tblPrEx>
        <w:trPr>
          <w:trHeight w:val="197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武汉奇豆网络科技有限公司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盘龙正荣府腾讯朋友圈定投广告发布合同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广告发布内容：微信朋友圈定投广告</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广告发布媒体：腾讯微信朋友圈</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广告发布时间：</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highlight w:val="none"/>
                <w:u w:val="none"/>
                <w:lang w:val="en-US" w:eastAsia="zh-CN" w:bidi="ar"/>
              </w:rPr>
              <w:t>-2020</w:t>
            </w:r>
            <w:r>
              <w:rPr>
                <w:rFonts w:hint="eastAsia" w:ascii="宋体" w:hAnsi="宋体" w:eastAsia="宋体" w:cs="宋体"/>
                <w:i w:val="0"/>
                <w:color w:val="000000"/>
                <w:kern w:val="0"/>
                <w:sz w:val="18"/>
                <w:szCs w:val="18"/>
                <w:highlight w:val="none"/>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19</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、广告发布效果：</w:t>
            </w:r>
            <w:r>
              <w:rPr>
                <w:rFonts w:hint="default" w:ascii="Arial" w:hAnsi="Arial" w:eastAsia="宋体" w:cs="Arial"/>
                <w:i w:val="0"/>
                <w:color w:val="000000"/>
                <w:kern w:val="0"/>
                <w:sz w:val="18"/>
                <w:szCs w:val="18"/>
                <w:u w:val="none"/>
                <w:lang w:val="en-US" w:eastAsia="zh-CN" w:bidi="ar"/>
              </w:rPr>
              <w:t>83.3</w:t>
            </w:r>
            <w:r>
              <w:rPr>
                <w:rFonts w:hint="eastAsia" w:ascii="宋体" w:hAnsi="宋体" w:eastAsia="宋体" w:cs="宋体"/>
                <w:i w:val="0"/>
                <w:color w:val="000000"/>
                <w:kern w:val="0"/>
                <w:sz w:val="18"/>
                <w:szCs w:val="18"/>
                <w:u w:val="none"/>
                <w:lang w:val="en-US" w:eastAsia="zh-CN" w:bidi="ar"/>
              </w:rPr>
              <w:t>万曝光量，预计来电</w:t>
            </w:r>
            <w:r>
              <w:rPr>
                <w:rFonts w:hint="default" w:ascii="Arial" w:hAnsi="Arial" w:eastAsia="宋体" w:cs="Arial"/>
                <w:i w:val="0"/>
                <w:color w:val="000000"/>
                <w:kern w:val="0"/>
                <w:sz w:val="18"/>
                <w:szCs w:val="18"/>
                <w:u w:val="none"/>
                <w:lang w:val="en-US" w:eastAsia="zh-CN" w:bidi="ar"/>
              </w:rPr>
              <w:t>75</w:t>
            </w:r>
            <w:r>
              <w:rPr>
                <w:rFonts w:hint="eastAsia" w:ascii="宋体" w:hAnsi="宋体" w:eastAsia="宋体" w:cs="宋体"/>
                <w:i w:val="0"/>
                <w:color w:val="000000"/>
                <w:kern w:val="0"/>
                <w:sz w:val="18"/>
                <w:szCs w:val="18"/>
                <w:u w:val="none"/>
                <w:lang w:val="en-US" w:eastAsia="zh-CN" w:bidi="ar"/>
              </w:rPr>
              <w:t>组，来访</w:t>
            </w:r>
            <w:r>
              <w:rPr>
                <w:rFonts w:hint="default" w:ascii="Arial" w:hAnsi="Arial" w:eastAsia="宋体" w:cs="Arial"/>
                <w:i w:val="0"/>
                <w:color w:val="000000"/>
                <w:kern w:val="0"/>
                <w:sz w:val="18"/>
                <w:szCs w:val="18"/>
                <w:u w:val="none"/>
                <w:lang w:val="en-US" w:eastAsia="zh-CN" w:bidi="ar"/>
              </w:rPr>
              <w:t>15</w:t>
            </w:r>
            <w:r>
              <w:rPr>
                <w:rFonts w:hint="eastAsia" w:ascii="宋体" w:hAnsi="宋体" w:eastAsia="宋体" w:cs="宋体"/>
                <w:i w:val="0"/>
                <w:color w:val="000000"/>
                <w:kern w:val="0"/>
                <w:sz w:val="18"/>
                <w:szCs w:val="18"/>
                <w:u w:val="none"/>
                <w:lang w:val="en-US" w:eastAsia="zh-CN" w:bidi="ar"/>
              </w:rPr>
              <w:t>组</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100000 </w:t>
            </w:r>
            <w:r>
              <w:rPr>
                <w:rFonts w:hint="eastAsia" w:ascii="宋体" w:hAnsi="宋体" w:eastAsia="宋体" w:cs="宋体"/>
                <w:i w:val="0"/>
                <w:color w:val="000000"/>
                <w:kern w:val="0"/>
                <w:sz w:val="18"/>
                <w:szCs w:val="18"/>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r>
      <w:tr>
        <w:tblPrEx>
          <w:tblCellMar>
            <w:top w:w="0" w:type="dxa"/>
            <w:left w:w="0" w:type="dxa"/>
            <w:bottom w:w="0" w:type="dxa"/>
            <w:right w:w="0" w:type="dxa"/>
          </w:tblCellMar>
        </w:tblPrEx>
        <w:trPr>
          <w:trHeight w:val="163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武汉搜房怡然居客房地产经纪有限公司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月房天下网络广告发布合同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房天下天下潜客</w:t>
            </w:r>
            <w:r>
              <w:rPr>
                <w:rFonts w:hint="default" w:ascii="Arial" w:hAnsi="Arial" w:eastAsia="宋体" w:cs="Arial"/>
                <w:i w:val="0"/>
                <w:color w:val="000000"/>
                <w:kern w:val="0"/>
                <w:sz w:val="18"/>
                <w:szCs w:val="18"/>
                <w:u w:val="none"/>
                <w:lang w:val="en-US" w:eastAsia="zh-CN" w:bidi="ar"/>
              </w:rPr>
              <w:t>K+</w:t>
            </w:r>
            <w:r>
              <w:rPr>
                <w:rFonts w:hint="eastAsia" w:ascii="宋体" w:hAnsi="宋体" w:eastAsia="宋体" w:cs="宋体"/>
                <w:i w:val="0"/>
                <w:color w:val="000000"/>
                <w:kern w:val="0"/>
                <w:sz w:val="18"/>
                <w:szCs w:val="18"/>
                <w:u w:val="none"/>
                <w:lang w:val="en-US" w:eastAsia="zh-CN" w:bidi="ar"/>
              </w:rPr>
              <w:t>基础版</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广告发布时间：</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11</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highlight w:val="none"/>
                <w:u w:val="none"/>
                <w:lang w:val="en-US" w:eastAsia="zh-CN" w:bidi="ar"/>
              </w:rPr>
              <w:t>-2020</w:t>
            </w:r>
            <w:r>
              <w:rPr>
                <w:rFonts w:hint="eastAsia" w:ascii="宋体" w:hAnsi="宋体" w:eastAsia="宋体" w:cs="宋体"/>
                <w:i w:val="0"/>
                <w:color w:val="000000"/>
                <w:kern w:val="0"/>
                <w:sz w:val="18"/>
                <w:szCs w:val="18"/>
                <w:highlight w:val="none"/>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25</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、广告发布效果：合作期间精准线索实时数据和竞品数据导入</w:t>
            </w:r>
            <w:r>
              <w:rPr>
                <w:rFonts w:hint="default" w:ascii="Arial" w:hAnsi="Arial" w:eastAsia="宋体" w:cs="Arial"/>
                <w:i w:val="0"/>
                <w:color w:val="000000"/>
                <w:kern w:val="0"/>
                <w:sz w:val="18"/>
                <w:szCs w:val="18"/>
                <w:u w:val="none"/>
                <w:lang w:val="en-US" w:eastAsia="zh-CN" w:bidi="ar"/>
              </w:rPr>
              <w:t>15</w:t>
            </w:r>
            <w:r>
              <w:rPr>
                <w:rFonts w:hint="eastAsia" w:ascii="宋体" w:hAnsi="宋体" w:eastAsia="宋体" w:cs="宋体"/>
                <w:i w:val="0"/>
                <w:color w:val="000000"/>
                <w:kern w:val="0"/>
                <w:sz w:val="18"/>
                <w:szCs w:val="18"/>
                <w:u w:val="none"/>
                <w:lang w:val="en-US" w:eastAsia="zh-CN" w:bidi="ar"/>
              </w:rPr>
              <w:t>天，目标每日来电</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留电</w:t>
            </w:r>
            <w:r>
              <w:rPr>
                <w:rFonts w:hint="default" w:ascii="Arial" w:hAnsi="Arial" w:eastAsia="宋体" w:cs="Arial"/>
                <w:i w:val="0"/>
                <w:color w:val="000000"/>
                <w:kern w:val="0"/>
                <w:sz w:val="18"/>
                <w:szCs w:val="18"/>
                <w:u w:val="none"/>
                <w:lang w:val="en-US" w:eastAsia="zh-CN" w:bidi="ar"/>
              </w:rPr>
              <w:t>80</w:t>
            </w:r>
            <w:r>
              <w:rPr>
                <w:rFonts w:hint="eastAsia" w:ascii="宋体" w:hAnsi="宋体" w:eastAsia="宋体" w:cs="宋体"/>
                <w:i w:val="0"/>
                <w:color w:val="000000"/>
                <w:kern w:val="0"/>
                <w:sz w:val="18"/>
                <w:szCs w:val="18"/>
                <w:u w:val="none"/>
                <w:lang w:val="en-US" w:eastAsia="zh-CN" w:bidi="ar"/>
              </w:rPr>
              <w:t>组</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100000 </w:t>
            </w:r>
            <w:r>
              <w:rPr>
                <w:rFonts w:hint="eastAsia" w:ascii="宋体" w:hAnsi="宋体" w:eastAsia="宋体" w:cs="宋体"/>
                <w:i w:val="0"/>
                <w:color w:val="000000"/>
                <w:kern w:val="0"/>
                <w:sz w:val="18"/>
                <w:szCs w:val="18"/>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武汉金万象文化传媒有限公司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盘龙正荣府电梯框架广告（盘龙城）发布合同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甲方委托乙方制作并发布电梯框架广告，具体要求如下</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发布期间：</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23</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22</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发布地点：盘龙城（详见附表）发布数量：</w:t>
            </w:r>
            <w:r>
              <w:rPr>
                <w:rFonts w:hint="default" w:ascii="Arial" w:hAnsi="Arial" w:eastAsia="宋体" w:cs="Arial"/>
                <w:i w:val="0"/>
                <w:color w:val="000000"/>
                <w:kern w:val="0"/>
                <w:sz w:val="18"/>
                <w:szCs w:val="18"/>
                <w:u w:val="none"/>
                <w:lang w:val="en-US" w:eastAsia="zh-CN" w:bidi="ar"/>
              </w:rPr>
              <w:t>140</w:t>
            </w:r>
            <w:r>
              <w:rPr>
                <w:rFonts w:hint="eastAsia" w:ascii="宋体" w:hAnsi="宋体" w:eastAsia="宋体" w:cs="宋体"/>
                <w:i w:val="0"/>
                <w:color w:val="000000"/>
                <w:kern w:val="0"/>
                <w:sz w:val="18"/>
                <w:szCs w:val="18"/>
                <w:u w:val="none"/>
                <w:lang w:val="en-US" w:eastAsia="zh-CN" w:bidi="ar"/>
              </w:rPr>
              <w:t>块，尺寸</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乙方制作及发布的广告经甲方验收合格后十五个工作日内，甲方向乙方支付合同总价款的【</w:t>
            </w:r>
            <w:r>
              <w:rPr>
                <w:rFonts w:hint="default" w:ascii="Arial" w:hAnsi="Arial" w:eastAsia="宋体" w:cs="Arial"/>
                <w:i w:val="0"/>
                <w:color w:val="000000"/>
                <w:kern w:val="0"/>
                <w:sz w:val="18"/>
                <w:szCs w:val="18"/>
                <w:u w:val="none"/>
                <w:lang w:val="en-US" w:eastAsia="zh-CN" w:bidi="ar"/>
              </w:rPr>
              <w:t>80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，即人民币（大写）：【捌万</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元。广告发布满【</w:t>
            </w:r>
            <w:r>
              <w:rPr>
                <w:rFonts w:hint="default" w:ascii="Arial" w:hAnsi="Arial" w:eastAsia="宋体" w:cs="Arial"/>
                <w:i w:val="0"/>
                <w:color w:val="000000"/>
                <w:kern w:val="0"/>
                <w:sz w:val="18"/>
                <w:szCs w:val="18"/>
                <w:u w:val="none"/>
                <w:lang w:val="en-US" w:eastAsia="zh-CN" w:bidi="ar"/>
              </w:rPr>
              <w:t>0</w:t>
            </w:r>
            <w:r>
              <w:rPr>
                <w:rFonts w:hint="eastAsia" w:ascii="宋体" w:hAnsi="宋体" w:eastAsia="宋体" w:cs="宋体"/>
                <w:i w:val="0"/>
                <w:color w:val="000000"/>
                <w:kern w:val="0"/>
                <w:sz w:val="18"/>
                <w:szCs w:val="18"/>
                <w:u w:val="none"/>
                <w:lang w:val="en-US" w:eastAsia="zh-CN" w:bidi="ar"/>
              </w:rPr>
              <w:t>】个月后，甲方向乙方支付合同总价款的【</w:t>
            </w:r>
            <w:r>
              <w:rPr>
                <w:rFonts w:hint="default" w:ascii="Arial" w:hAnsi="Arial" w:eastAsia="宋体" w:cs="Arial"/>
                <w:i w:val="0"/>
                <w:color w:val="000000"/>
                <w:kern w:val="0"/>
                <w:sz w:val="18"/>
                <w:szCs w:val="18"/>
                <w:u w:val="none"/>
                <w:lang w:val="en-US" w:eastAsia="zh-CN" w:bidi="ar"/>
              </w:rPr>
              <w:t>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，即人民币（大写）：【零】元</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4</w:t>
            </w:r>
            <w:r>
              <w:rPr>
                <w:rFonts w:hint="eastAsia" w:ascii="宋体" w:hAnsi="宋体" w:eastAsia="宋体" w:cs="宋体"/>
                <w:i w:val="0"/>
                <w:color w:val="000000"/>
                <w:kern w:val="0"/>
                <w:sz w:val="18"/>
                <w:szCs w:val="18"/>
                <w:u w:val="none"/>
                <w:lang w:val="en-US" w:eastAsia="zh-CN" w:bidi="ar"/>
              </w:rPr>
              <w:t>、合同总价款的【</w:t>
            </w:r>
            <w:r>
              <w:rPr>
                <w:rFonts w:hint="default" w:ascii="Arial" w:hAnsi="Arial" w:eastAsia="宋体" w:cs="Arial"/>
                <w:i w:val="0"/>
                <w:color w:val="000000"/>
                <w:kern w:val="0"/>
                <w:sz w:val="18"/>
                <w:szCs w:val="18"/>
                <w:u w:val="none"/>
                <w:lang w:val="en-US" w:eastAsia="zh-CN" w:bidi="ar"/>
              </w:rPr>
              <w:t>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，即人民币【贰万】元整，作为质保金，待广告发布期届满后支付。</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100,000.00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盘武汉星大地文化传播有限公司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龙正荣府百度广告发布合同</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广告发布内容：</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月盘龙正荣府百度搜索和百度信息流媒体广告推广服务</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广告发布时间：</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highlight w:val="none"/>
                <w:u w:val="none"/>
                <w:lang w:val="en-US" w:eastAsia="zh-CN" w:bidi="ar"/>
              </w:rPr>
              <w:t>-2020</w:t>
            </w:r>
            <w:r>
              <w:rPr>
                <w:rFonts w:hint="eastAsia" w:ascii="宋体" w:hAnsi="宋体" w:eastAsia="宋体" w:cs="宋体"/>
                <w:i w:val="0"/>
                <w:color w:val="000000"/>
                <w:kern w:val="0"/>
                <w:sz w:val="18"/>
                <w:szCs w:val="18"/>
                <w:highlight w:val="none"/>
                <w:u w:val="none"/>
                <w:lang w:val="en-US" w:eastAsia="zh-CN" w:bidi="ar"/>
              </w:rPr>
              <w:t>年</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26</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、广告发布效果：预计曝光量</w:t>
            </w:r>
            <w:r>
              <w:rPr>
                <w:rFonts w:hint="default" w:ascii="Arial" w:hAnsi="Arial" w:eastAsia="宋体" w:cs="Arial"/>
                <w:i w:val="0"/>
                <w:color w:val="000000"/>
                <w:kern w:val="0"/>
                <w:sz w:val="18"/>
                <w:szCs w:val="18"/>
                <w:u w:val="none"/>
                <w:lang w:val="en-US" w:eastAsia="zh-CN" w:bidi="ar"/>
              </w:rPr>
              <w:t>240</w:t>
            </w:r>
            <w:r>
              <w:rPr>
                <w:rFonts w:hint="eastAsia" w:ascii="宋体" w:hAnsi="宋体" w:eastAsia="宋体" w:cs="宋体"/>
                <w:i w:val="0"/>
                <w:color w:val="000000"/>
                <w:kern w:val="0"/>
                <w:sz w:val="18"/>
                <w:szCs w:val="18"/>
                <w:u w:val="none"/>
                <w:lang w:val="en-US" w:eastAsia="zh-CN" w:bidi="ar"/>
              </w:rPr>
              <w:t>万次，预计点击量</w:t>
            </w:r>
            <w:r>
              <w:rPr>
                <w:rFonts w:hint="default" w:ascii="Arial" w:hAnsi="Arial" w:eastAsia="宋体" w:cs="Arial"/>
                <w:i w:val="0"/>
                <w:color w:val="000000"/>
                <w:kern w:val="0"/>
                <w:sz w:val="18"/>
                <w:szCs w:val="18"/>
                <w:u w:val="none"/>
                <w:lang w:val="en-US" w:eastAsia="zh-CN" w:bidi="ar"/>
              </w:rPr>
              <w:t>77500</w:t>
            </w:r>
            <w:r>
              <w:rPr>
                <w:rFonts w:hint="eastAsia" w:ascii="宋体" w:hAnsi="宋体" w:eastAsia="宋体" w:cs="宋体"/>
                <w:i w:val="0"/>
                <w:color w:val="000000"/>
                <w:kern w:val="0"/>
                <w:sz w:val="18"/>
                <w:szCs w:val="18"/>
                <w:u w:val="none"/>
                <w:lang w:val="en-US" w:eastAsia="zh-CN" w:bidi="ar"/>
              </w:rPr>
              <w:t>次，预计表单</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留电量</w:t>
            </w:r>
            <w:r>
              <w:rPr>
                <w:rFonts w:hint="default" w:ascii="Arial" w:hAnsi="Arial" w:eastAsia="宋体" w:cs="Arial"/>
                <w:i w:val="0"/>
                <w:color w:val="000000"/>
                <w:kern w:val="0"/>
                <w:sz w:val="18"/>
                <w:szCs w:val="18"/>
                <w:u w:val="none"/>
                <w:lang w:val="en-US" w:eastAsia="zh-CN" w:bidi="ar"/>
              </w:rPr>
              <w:t>255</w:t>
            </w:r>
            <w:r>
              <w:rPr>
                <w:rFonts w:hint="eastAsia" w:ascii="宋体" w:hAnsi="宋体" w:eastAsia="宋体" w:cs="宋体"/>
                <w:i w:val="0"/>
                <w:color w:val="000000"/>
                <w:kern w:val="0"/>
                <w:sz w:val="18"/>
                <w:szCs w:val="18"/>
                <w:u w:val="none"/>
                <w:lang w:val="en-US" w:eastAsia="zh-CN" w:bidi="ar"/>
              </w:rPr>
              <w:t>组，预计来访</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组。</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100000 </w:t>
            </w:r>
            <w:r>
              <w:rPr>
                <w:rFonts w:hint="eastAsia" w:ascii="宋体" w:hAnsi="宋体" w:eastAsia="宋体" w:cs="宋体"/>
                <w:i w:val="0"/>
                <w:color w:val="000000"/>
                <w:kern w:val="0"/>
                <w:sz w:val="18"/>
                <w:szCs w:val="18"/>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100,000.00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正荣地产控股股份有限公司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【盘龙正荣府】营销咨询及支持服务合同</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甲方委托乙方负责项目的营销策划、顾问、全程推广及广告企划服务，包括本项目全程营销推广、阶段性市调分析、平面广告、电台、电视、网络广告及各类公关促销活动的策划、创意、设计、监控和调研评估等事宜</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在本合同有效期限内，甲方向乙方支付的含税营销策划费按</w:t>
            </w:r>
            <w:r>
              <w:rPr>
                <w:rFonts w:hint="eastAsia" w:ascii="宋体" w:hAnsi="宋体" w:eastAsia="宋体" w:cs="宋体"/>
                <w:i w:val="0"/>
                <w:color w:val="000000"/>
                <w:kern w:val="0"/>
                <w:sz w:val="18"/>
                <w:szCs w:val="18"/>
                <w:highlight w:val="none"/>
                <w:u w:val="none"/>
                <w:lang w:val="en-US" w:eastAsia="zh-CN" w:bidi="ar"/>
              </w:rPr>
              <w:t>签定</w:t>
            </w:r>
            <w:r>
              <w:rPr>
                <w:rFonts w:hint="eastAsia" w:ascii="宋体" w:hAnsi="宋体" w:eastAsia="宋体" w:cs="宋体"/>
                <w:i w:val="0"/>
                <w:color w:val="000000"/>
                <w:kern w:val="0"/>
                <w:sz w:val="18"/>
                <w:szCs w:val="18"/>
                <w:u w:val="none"/>
                <w:lang w:val="en-US" w:eastAsia="zh-CN" w:bidi="ar"/>
              </w:rPr>
              <w:t>《商品房买卖合同》的含税合同金额的</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支付。增值税税率</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销售金额</w:t>
            </w:r>
            <w:r>
              <w:rPr>
                <w:rFonts w:hint="eastAsia" w:ascii="宋体" w:hAnsi="宋体" w:cs="宋体"/>
                <w:i w:val="0"/>
                <w:color w:val="000000"/>
                <w:kern w:val="0"/>
                <w:sz w:val="18"/>
                <w:szCs w:val="18"/>
                <w:u w:val="none"/>
                <w:lang w:val="en-US" w:eastAsia="zh-CN" w:bidi="ar"/>
              </w:rPr>
              <w:t>的</w:t>
            </w:r>
            <w:r>
              <w:rPr>
                <w:rFonts w:hint="default" w:ascii="Arial" w:hAnsi="Arial" w:eastAsia="宋体" w:cs="Arial"/>
                <w:i w:val="0"/>
                <w:color w:val="000000"/>
                <w:kern w:val="0"/>
                <w:sz w:val="18"/>
                <w:szCs w:val="18"/>
                <w:u w:val="none"/>
                <w:lang w:val="en-US" w:eastAsia="zh-CN" w:bidi="ar"/>
              </w:rPr>
              <w:t>1.5%</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湖北福珍建筑工程有限公司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抵房协议书</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乙方用工程款抵扣正舟购房款首付</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个工作日生效</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357,685.00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龙元建设集团有限公司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抵房协议书</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乙方用工程款抵扣正舟购房款首付</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个工作日生效</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2,574,074.00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梯彩</w:t>
            </w:r>
            <w:r>
              <w:rPr>
                <w:rFonts w:hint="default" w:ascii="Arial" w:hAnsi="Arial" w:eastAsia="宋体" w:cs="Arial"/>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u w:val="none"/>
                <w:lang w:val="en-US" w:eastAsia="zh-CN" w:bidi="ar"/>
              </w:rPr>
              <w:t>湖北</w:t>
            </w:r>
            <w:r>
              <w:rPr>
                <w:rFonts w:hint="default" w:ascii="Arial" w:hAnsi="Arial" w:eastAsia="宋体" w:cs="Arial"/>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u w:val="none"/>
                <w:lang w:val="en-US" w:eastAsia="zh-CN" w:bidi="ar"/>
              </w:rPr>
              <w:t>传媒有限公司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抵房协议书</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乙方以工程款抵扣甲方房屋购房款</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个工作日生效</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263,515.00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武汉合瑞泽广告有限公司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抵房协议书</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乙方以正荣正升工程款抵扣正舟房屋购房款</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个工作日生效</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269,416.00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武汉金万象文化传媒有限公司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抵房协议书</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乙方以广告营销费抵扣正舟房屋购房款</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个工作日生效</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365,413.00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武汉市雅琅广告有限公司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抵房协议书</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乙方以广告营销费抵扣正舟房屋购房款</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个工作日生效</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370,035.00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武汉宾辰消防设备有限公司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武汉</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公司</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盘龙正荣府</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项目防火门窗制作安装工程施工合同</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、盘龙正荣府项目防火门窗工程</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、包含防火门窗的制作、运输、安装、成品保护、验收及质保期内的维修等内容。</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、门框及窗框安装款：每批次门框及窗框安装完成付款至该批次门窗总价的</w:t>
            </w:r>
            <w:r>
              <w:rPr>
                <w:rFonts w:hint="default" w:ascii="Arial" w:hAnsi="Arial" w:eastAsia="宋体" w:cs="Arial"/>
                <w:i w:val="0"/>
                <w:color w:val="000000"/>
                <w:kern w:val="0"/>
                <w:sz w:val="18"/>
                <w:szCs w:val="18"/>
                <w:u w:val="none"/>
                <w:lang w:val="en-US" w:eastAsia="zh-CN" w:bidi="ar"/>
              </w:rPr>
              <w:t xml:space="preserve"> 30%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、门扇及窗扇安装款：每批次门扇及窗扇安装完成付款至该批次门窗总价的</w:t>
            </w:r>
            <w:r>
              <w:rPr>
                <w:rFonts w:hint="default" w:ascii="Arial" w:hAnsi="Arial" w:eastAsia="宋体" w:cs="Arial"/>
                <w:i w:val="0"/>
                <w:color w:val="000000"/>
                <w:kern w:val="0"/>
                <w:sz w:val="18"/>
                <w:szCs w:val="18"/>
                <w:u w:val="none"/>
                <w:lang w:val="en-US" w:eastAsia="zh-CN" w:bidi="ar"/>
              </w:rPr>
              <w:t xml:space="preserve"> 70%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、验收款：本工程通过最终的竣工验收及消防验收，并且交付给发包人甲方后付款至暂定总价的</w:t>
            </w:r>
            <w:r>
              <w:rPr>
                <w:rFonts w:hint="default" w:ascii="Arial" w:hAnsi="Arial" w:eastAsia="宋体" w:cs="Arial"/>
                <w:i w:val="0"/>
                <w:color w:val="000000"/>
                <w:kern w:val="0"/>
                <w:sz w:val="18"/>
                <w:szCs w:val="18"/>
                <w:u w:val="none"/>
                <w:lang w:val="en-US" w:eastAsia="zh-CN" w:bidi="ar"/>
              </w:rPr>
              <w:t xml:space="preserve"> 85%</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结算款：发包人甲方、承包人乙方双方办理完结算手续后，发包人甲方在</w:t>
            </w:r>
            <w:r>
              <w:rPr>
                <w:rFonts w:hint="default" w:ascii="Arial" w:hAnsi="Arial" w:eastAsia="宋体" w:cs="Arial"/>
                <w:i w:val="0"/>
                <w:color w:val="000000"/>
                <w:kern w:val="0"/>
                <w:sz w:val="18"/>
                <w:szCs w:val="18"/>
                <w:u w:val="none"/>
                <w:lang w:val="en-US" w:eastAsia="zh-CN" w:bidi="ar"/>
              </w:rPr>
              <w:t xml:space="preserve"> 14 </w:t>
            </w:r>
            <w:r>
              <w:rPr>
                <w:rFonts w:hint="eastAsia" w:ascii="宋体" w:hAnsi="宋体" w:eastAsia="宋体" w:cs="宋体"/>
                <w:i w:val="0"/>
                <w:color w:val="000000"/>
                <w:kern w:val="0"/>
                <w:sz w:val="18"/>
                <w:szCs w:val="18"/>
                <w:u w:val="none"/>
                <w:lang w:val="en-US" w:eastAsia="zh-CN" w:bidi="ar"/>
              </w:rPr>
              <w:t>个工作日内，向承包人乙方支付至结算款的</w:t>
            </w:r>
            <w:r>
              <w:rPr>
                <w:rFonts w:hint="default" w:ascii="Arial" w:hAnsi="Arial" w:eastAsia="宋体" w:cs="Arial"/>
                <w:i w:val="0"/>
                <w:color w:val="000000"/>
                <w:kern w:val="0"/>
                <w:sz w:val="18"/>
                <w:szCs w:val="18"/>
                <w:u w:val="none"/>
                <w:lang w:val="en-US" w:eastAsia="zh-CN" w:bidi="ar"/>
              </w:rPr>
              <w:t xml:space="preserve"> 97 %</w:t>
            </w:r>
            <w:r>
              <w:rPr>
                <w:rFonts w:hint="eastAsia" w:ascii="宋体" w:hAnsi="宋体" w:eastAsia="宋体" w:cs="宋体"/>
                <w:i w:val="0"/>
                <w:color w:val="000000"/>
                <w:kern w:val="0"/>
                <w:sz w:val="18"/>
                <w:szCs w:val="18"/>
                <w:u w:val="none"/>
                <w:lang w:val="en-US" w:eastAsia="zh-CN" w:bidi="ar"/>
              </w:rPr>
              <w:t>；保修款：结算款的</w:t>
            </w:r>
            <w:r>
              <w:rPr>
                <w:rFonts w:hint="default" w:ascii="Arial" w:hAnsi="Arial" w:eastAsia="宋体" w:cs="Arial"/>
                <w:i w:val="0"/>
                <w:color w:val="000000"/>
                <w:kern w:val="0"/>
                <w:sz w:val="18"/>
                <w:szCs w:val="18"/>
                <w:u w:val="none"/>
                <w:lang w:val="en-US" w:eastAsia="zh-CN" w:bidi="ar"/>
              </w:rPr>
              <w:t xml:space="preserve"> 3%</w:t>
            </w:r>
            <w:r>
              <w:rPr>
                <w:rFonts w:hint="eastAsia" w:ascii="宋体" w:hAnsi="宋体" w:eastAsia="宋体" w:cs="宋体"/>
                <w:i w:val="0"/>
                <w:color w:val="000000"/>
                <w:kern w:val="0"/>
                <w:sz w:val="18"/>
                <w:szCs w:val="18"/>
                <w:u w:val="none"/>
                <w:lang w:val="en-US" w:eastAsia="zh-CN" w:bidi="ar"/>
              </w:rPr>
              <w:t>作为质量保修金</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2,678,976.24 </w:t>
            </w:r>
          </w:p>
        </w:tc>
      </w:tr>
      <w:tr>
        <w:tblPrEx>
          <w:tblCellMar>
            <w:top w:w="0" w:type="dxa"/>
            <w:left w:w="0" w:type="dxa"/>
            <w:bottom w:w="0" w:type="dxa"/>
            <w:right w:w="0" w:type="dxa"/>
          </w:tblCellMar>
        </w:tblPrEx>
        <w:trPr>
          <w:trHeight w:val="5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正舟</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正荣物业服务有限公司武汉分公司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盘龙正荣府案场服务委托协议</w:t>
            </w:r>
          </w:p>
        </w:tc>
        <w:tc>
          <w:tcPr>
            <w:tcW w:w="2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根据有关法律、法规，在自愿、平等、协商一致的基础上，甲方将盘龙正荣府营销案场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委托给乙方进行物业管理服务，特订立如下合同共同信守，</w:t>
            </w:r>
            <w:r>
              <w:rPr>
                <w:rFonts w:hint="eastAsia" w:ascii="宋体" w:hAnsi="宋体" w:eastAsia="宋体" w:cs="宋体"/>
                <w:i w:val="0"/>
                <w:color w:val="000000"/>
                <w:kern w:val="0"/>
                <w:sz w:val="18"/>
                <w:szCs w:val="18"/>
                <w:highlight w:val="none"/>
                <w:u w:val="none"/>
                <w:lang w:val="en-US" w:eastAsia="zh-CN" w:bidi="ar"/>
              </w:rPr>
              <w:t>座落</w:t>
            </w:r>
            <w:r>
              <w:rPr>
                <w:rFonts w:hint="eastAsia" w:ascii="宋体" w:hAnsi="宋体" w:eastAsia="宋体" w:cs="宋体"/>
                <w:i w:val="0"/>
                <w:color w:val="000000"/>
                <w:kern w:val="0"/>
                <w:sz w:val="18"/>
                <w:szCs w:val="18"/>
                <w:u w:val="none"/>
                <w:lang w:val="en-US" w:eastAsia="zh-CN" w:bidi="ar"/>
              </w:rPr>
              <w:t>位置：</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武汉市黄陂区盘龙经济开发区盘龙大道旁，本案场属</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三</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类城市</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府系</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产品线（优家、精工、大师、典藏）</w:t>
            </w:r>
          </w:p>
        </w:tc>
        <w:tc>
          <w:tcPr>
            <w:tcW w:w="29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月度案场服务费（含税）</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基础服务费</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定额管理费</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绩效系数</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2,567,697.60 </w:t>
            </w:r>
          </w:p>
        </w:tc>
      </w:tr>
    </w:tbl>
    <w:p>
      <w:pPr>
        <w:pStyle w:val="2"/>
        <w:keepLines w:val="0"/>
        <w:spacing w:before="300" w:after="300" w:line="360" w:lineRule="exact"/>
        <w:jc w:val="left"/>
        <w:rPr>
          <w:rFonts w:ascii="Arial" w:hAnsi="Arial" w:cs="Arial"/>
          <w:sz w:val="24"/>
          <w:szCs w:val="24"/>
        </w:rPr>
      </w:pPr>
      <w:bookmarkStart w:id="39" w:name="_Toc11769"/>
      <w:r>
        <w:rPr>
          <w:rFonts w:ascii="Arial" w:hAnsi="Arial" w:cs="Arial"/>
          <w:sz w:val="24"/>
          <w:szCs w:val="24"/>
        </w:rPr>
        <w:t>6 项目销售情况汇总表</w:t>
      </w:r>
      <w:bookmarkEnd w:id="39"/>
    </w:p>
    <w:p>
      <w:pPr>
        <w:spacing w:line="360" w:lineRule="auto"/>
        <w:ind w:firstLine="420" w:firstLineChars="200"/>
        <w:rPr>
          <w:rFonts w:ascii="Arial" w:hAnsi="Arial" w:cs="Arial"/>
          <w:bCs/>
          <w:kern w:val="44"/>
          <w:szCs w:val="21"/>
        </w:rPr>
      </w:pPr>
      <w:r>
        <w:rPr>
          <w:rFonts w:ascii="Arial" w:hAnsi="Arial" w:cs="Arial"/>
          <w:bCs/>
          <w:kern w:val="44"/>
          <w:szCs w:val="21"/>
        </w:rPr>
        <w:t>截至2020年1</w:t>
      </w:r>
      <w:r>
        <w:rPr>
          <w:rFonts w:hint="eastAsia" w:ascii="Arial" w:hAnsi="Arial" w:cs="Arial"/>
          <w:bCs/>
          <w:kern w:val="44"/>
          <w:szCs w:val="21"/>
          <w:lang w:val="en-US" w:eastAsia="zh-CN"/>
        </w:rPr>
        <w:t>2</w:t>
      </w:r>
      <w:r>
        <w:rPr>
          <w:rFonts w:ascii="Arial" w:hAnsi="Arial" w:cs="Arial"/>
          <w:bCs/>
          <w:kern w:val="44"/>
          <w:szCs w:val="21"/>
        </w:rPr>
        <w:t>月3</w:t>
      </w:r>
      <w:r>
        <w:rPr>
          <w:rFonts w:hint="eastAsia" w:ascii="Arial" w:hAnsi="Arial" w:cs="Arial"/>
          <w:bCs/>
          <w:kern w:val="44"/>
          <w:szCs w:val="21"/>
          <w:lang w:val="en-US" w:eastAsia="zh-CN"/>
        </w:rPr>
        <w:t>1</w:t>
      </w:r>
      <w:r>
        <w:rPr>
          <w:rFonts w:ascii="Arial" w:hAnsi="Arial" w:cs="Arial"/>
          <w:bCs/>
          <w:kern w:val="44"/>
          <w:szCs w:val="21"/>
        </w:rPr>
        <w:t>日汉口正荣府项目销售汇总表：</w:t>
      </w:r>
    </w:p>
    <w:tbl>
      <w:tblPr>
        <w:tblStyle w:val="22"/>
        <w:tblW w:w="6855" w:type="dxa"/>
        <w:jc w:val="center"/>
        <w:shd w:val="clear" w:color="auto" w:fill="auto"/>
        <w:tblLayout w:type="autofit"/>
        <w:tblCellMar>
          <w:top w:w="0" w:type="dxa"/>
          <w:left w:w="0" w:type="dxa"/>
          <w:bottom w:w="0" w:type="dxa"/>
          <w:right w:w="0" w:type="dxa"/>
        </w:tblCellMar>
      </w:tblPr>
      <w:tblGrid>
        <w:gridCol w:w="1426"/>
        <w:gridCol w:w="745"/>
        <w:gridCol w:w="2437"/>
        <w:gridCol w:w="2247"/>
      </w:tblGrid>
      <w:tr>
        <w:tblPrEx>
          <w:shd w:val="clear" w:color="auto" w:fill="auto"/>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住宅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累计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本</w:t>
            </w:r>
            <w:r>
              <w:rPr>
                <w:rFonts w:hint="default" w:ascii="Arial" w:hAnsi="Arial" w:cs="Arial"/>
                <w:b/>
                <w:bCs/>
                <w:i w:val="0"/>
                <w:color w:val="000000"/>
                <w:kern w:val="0"/>
                <w:sz w:val="18"/>
                <w:szCs w:val="18"/>
                <w:u w:val="none"/>
                <w:lang w:val="en-US" w:eastAsia="zh-CN" w:bidi="ar"/>
              </w:rPr>
              <w:t>月</w:t>
            </w:r>
            <w:r>
              <w:rPr>
                <w:rFonts w:hint="default" w:ascii="Arial" w:hAnsi="Arial" w:eastAsia="宋体" w:cs="Arial"/>
                <w:b/>
                <w:bCs/>
                <w:i w:val="0"/>
                <w:color w:val="000000"/>
                <w:kern w:val="0"/>
                <w:sz w:val="18"/>
                <w:szCs w:val="18"/>
                <w:u w:val="none"/>
                <w:lang w:val="en-US" w:eastAsia="zh-CN" w:bidi="ar"/>
              </w:rPr>
              <w:t>新增</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816</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246</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44</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232</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备案套数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195</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72,885.37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25,394.75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4,480.29</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23,972.01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3,172.94 </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备案面积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20,165.97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2,825.40 </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307,007,385.00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39,720,561.00 </w:t>
            </w:r>
          </w:p>
        </w:tc>
      </w:tr>
      <w:tr>
        <w:tblPrEx>
          <w:tblCellMar>
            <w:top w:w="0" w:type="dxa"/>
            <w:left w:w="0" w:type="dxa"/>
            <w:bottom w:w="0" w:type="dxa"/>
            <w:right w:w="0" w:type="dxa"/>
          </w:tblCellMar>
        </w:tblPrEx>
        <w:trPr>
          <w:trHeight w:val="44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回款总额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254,771,684.1</w:t>
            </w:r>
            <w:r>
              <w:rPr>
                <w:rFonts w:hint="eastAsia" w:ascii="Arial" w:hAnsi="Arial" w:cs="Arial"/>
                <w:i w:val="0"/>
                <w:color w:val="000000"/>
                <w:kern w:val="0"/>
                <w:sz w:val="18"/>
                <w:szCs w:val="18"/>
                <w:u w:val="none"/>
                <w:lang w:val="en-US" w:eastAsia="zh-CN" w:bidi="ar"/>
              </w:rPr>
              <w:t>2</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29,580,275.1</w:t>
            </w:r>
            <w:r>
              <w:rPr>
                <w:rFonts w:hint="eastAsia" w:ascii="Arial" w:hAnsi="Arial" w:cs="Arial"/>
                <w:i w:val="0"/>
                <w:color w:val="000000"/>
                <w:kern w:val="0"/>
                <w:sz w:val="18"/>
                <w:szCs w:val="18"/>
                <w:u w:val="none"/>
                <w:lang w:val="en-US" w:eastAsia="zh-CN" w:bidi="ar"/>
              </w:rPr>
              <w:t>2</w:t>
            </w:r>
            <w:r>
              <w:rPr>
                <w:rFonts w:hint="default" w:ascii="Arial" w:hAnsi="Arial" w:eastAsia="宋体" w:cs="Arial"/>
                <w:i w:val="0"/>
                <w:color w:val="000000"/>
                <w:kern w:val="0"/>
                <w:sz w:val="18"/>
                <w:szCs w:val="18"/>
                <w:u w:val="none"/>
                <w:lang w:val="en-US" w:eastAsia="zh-CN" w:bidi="ar"/>
              </w:rPr>
              <w:t xml:space="preserve"> </w:t>
            </w:r>
          </w:p>
        </w:tc>
      </w:tr>
    </w:tbl>
    <w:p>
      <w:pPr>
        <w:spacing w:line="360" w:lineRule="auto"/>
        <w:ind w:firstLine="420" w:firstLineChars="200"/>
        <w:rPr>
          <w:rFonts w:ascii="Arial" w:hAnsi="Arial" w:cs="Arial"/>
          <w:bCs/>
          <w:kern w:val="44"/>
          <w:szCs w:val="21"/>
        </w:rPr>
      </w:pPr>
    </w:p>
    <w:p>
      <w:pPr>
        <w:ind w:right="525" w:rightChars="250" w:firstLine="300" w:firstLineChars="200"/>
        <w:rPr>
          <w:rFonts w:ascii="Arial" w:hAnsi="Arial" w:cs="Arial"/>
          <w:sz w:val="15"/>
          <w:szCs w:val="15"/>
        </w:rPr>
      </w:pPr>
      <w:r>
        <w:rPr>
          <w:rFonts w:ascii="Arial" w:hAnsi="Arial" w:cs="Arial"/>
          <w:sz w:val="15"/>
          <w:szCs w:val="15"/>
        </w:rPr>
        <w:t>注：1、网签账户名、密码未移交共管，网签备案信息来源为项目公司提供的网签明细表；</w:t>
      </w:r>
    </w:p>
    <w:p>
      <w:pPr>
        <w:numPr>
          <w:ilvl w:val="0"/>
          <w:numId w:val="2"/>
        </w:numPr>
        <w:ind w:left="0" w:leftChars="0" w:right="525" w:rightChars="250" w:firstLine="300" w:firstLineChars="200"/>
        <w:rPr>
          <w:rFonts w:ascii="Arial" w:hAnsi="Arial" w:cs="Arial"/>
          <w:sz w:val="15"/>
          <w:szCs w:val="15"/>
        </w:rPr>
      </w:pPr>
      <w:r>
        <w:rPr>
          <w:rFonts w:ascii="Arial" w:hAnsi="Arial" w:cs="Arial"/>
          <w:sz w:val="15"/>
          <w:szCs w:val="15"/>
        </w:rPr>
        <w:t>房源套数及房源面积为汉口项目已取得商品房预售证的总套数及总面积,回款总额为银行收到销售回款金额。</w:t>
      </w:r>
    </w:p>
    <w:p>
      <w:pPr>
        <w:numPr>
          <w:ilvl w:val="0"/>
          <w:numId w:val="2"/>
        </w:numPr>
        <w:ind w:left="0" w:leftChars="0" w:right="525" w:rightChars="250" w:firstLine="300" w:firstLineChars="200"/>
        <w:rPr>
          <w:rFonts w:ascii="Arial" w:hAnsi="Arial" w:cs="Arial"/>
          <w:sz w:val="15"/>
          <w:szCs w:val="15"/>
        </w:rPr>
      </w:pPr>
      <w:r>
        <w:rPr>
          <w:rFonts w:hint="eastAsia" w:ascii="Arial" w:hAnsi="Arial" w:cs="Arial"/>
          <w:sz w:val="15"/>
          <w:szCs w:val="15"/>
          <w:lang w:eastAsia="zh-CN"/>
        </w:rPr>
        <w:t>因</w:t>
      </w:r>
      <w:r>
        <w:rPr>
          <w:rFonts w:hint="eastAsia" w:ascii="Arial" w:hAnsi="Arial" w:cs="Arial"/>
          <w:sz w:val="15"/>
          <w:szCs w:val="15"/>
          <w:lang w:val="en-US" w:eastAsia="zh-CN"/>
        </w:rPr>
        <w:t>11月认购客户有6套退房，导致12月认购套数相比11月，数据新增38套，实际新增44套。</w:t>
      </w:r>
    </w:p>
    <w:p>
      <w:pPr>
        <w:pStyle w:val="2"/>
        <w:keepLines w:val="0"/>
        <w:spacing w:before="300" w:after="300" w:line="360" w:lineRule="exact"/>
        <w:jc w:val="left"/>
        <w:rPr>
          <w:rFonts w:ascii="Arial" w:hAnsi="Arial" w:cs="Arial"/>
          <w:sz w:val="21"/>
          <w:szCs w:val="21"/>
        </w:rPr>
      </w:pPr>
      <w:bookmarkStart w:id="40" w:name="_Toc21806"/>
      <w:bookmarkStart w:id="41" w:name="_Toc535580097"/>
      <w:bookmarkStart w:id="42" w:name="_Toc535580029"/>
      <w:bookmarkStart w:id="43" w:name="_Toc532281663"/>
      <w:bookmarkStart w:id="44" w:name="_Toc535508642"/>
      <w:bookmarkStart w:id="45" w:name="_Toc535570756"/>
      <w:r>
        <w:rPr>
          <w:rFonts w:ascii="Arial" w:hAnsi="Arial" w:cs="Arial"/>
          <w:sz w:val="21"/>
          <w:szCs w:val="21"/>
        </w:rPr>
        <w:t>7 项目竞品分析</w:t>
      </w:r>
      <w:bookmarkEnd w:id="40"/>
    </w:p>
    <w:p>
      <w:pPr>
        <w:rPr>
          <w:rFonts w:ascii="Arial" w:hAnsi="Arial" w:cs="Arial"/>
          <w:szCs w:val="21"/>
        </w:rPr>
      </w:pPr>
      <w:r>
        <w:rPr>
          <w:rFonts w:ascii="Arial" w:hAnsi="Arial" w:cs="Arial"/>
        </w:rPr>
        <w:drawing>
          <wp:inline distT="0" distB="0" distL="114300" distR="11430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901690" cy="3530600"/>
                    </a:xfrm>
                    <a:prstGeom prst="rect">
                      <a:avLst/>
                    </a:prstGeom>
                    <a:noFill/>
                    <a:ln>
                      <a:noFill/>
                    </a:ln>
                  </pic:spPr>
                </pic:pic>
              </a:graphicData>
            </a:graphic>
          </wp:inline>
        </w:drawing>
      </w:r>
    </w:p>
    <w:p>
      <w:pPr>
        <w:rPr>
          <w:rFonts w:ascii="Arial" w:hAnsi="Arial" w:cs="Arial"/>
          <w:szCs w:val="21"/>
        </w:rPr>
      </w:pP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盘龙城板块，是离武汉中心城区较近的新城区之一，与汉口相邻，在武汉外环线和中环线之间，形成阳逻深水港、汉口火车站、武汉天河国际机场之间的一个“金三角”，是武汉重要的经济</w:t>
      </w:r>
      <w:r>
        <w:rPr>
          <w:rFonts w:hint="default" w:ascii="Arial" w:hAnsi="Arial" w:cs="Arial"/>
          <w:bCs/>
          <w:kern w:val="44"/>
          <w:szCs w:val="21"/>
          <w:highlight w:val="none"/>
        </w:rPr>
        <w:t>増长</w:t>
      </w:r>
      <w:r>
        <w:rPr>
          <w:rFonts w:hint="default" w:ascii="Arial" w:hAnsi="Arial" w:cs="Arial"/>
          <w:bCs/>
          <w:kern w:val="44"/>
          <w:szCs w:val="21"/>
        </w:rPr>
        <w:t>带。项目位于黄陂区盘龙城经济开发区盘龙大道以东、后湖大道以南，周边小区聚集，靠近F天下、天汇龙城、天纵颐景康城等项目，距离奥特莱斯、万达均大概1公里的距离，距离天汇龙城中学、盘龙城小学较近，周边基本的生活配套可以满足，生活便利。除已经通车的地铁2号线，盘龙城地铁8号线将沿巨龙大道设盘龙湖站，武汉地铁7号线，即前川线设站汤云海路，目前已经动工建设。距项目地均在1公里范围内。</w:t>
      </w:r>
    </w:p>
    <w:tbl>
      <w:tblPr>
        <w:tblStyle w:val="22"/>
        <w:tblW w:w="10830" w:type="dxa"/>
        <w:jc w:val="center"/>
        <w:shd w:val="clear" w:color="auto" w:fill="auto"/>
        <w:tblLayout w:type="autofit"/>
        <w:tblCellMar>
          <w:top w:w="0" w:type="dxa"/>
          <w:left w:w="0" w:type="dxa"/>
          <w:bottom w:w="0" w:type="dxa"/>
          <w:right w:w="0" w:type="dxa"/>
        </w:tblCellMar>
      </w:tblPr>
      <w:tblGrid>
        <w:gridCol w:w="465"/>
        <w:gridCol w:w="1110"/>
        <w:gridCol w:w="3375"/>
        <w:gridCol w:w="855"/>
        <w:gridCol w:w="1035"/>
        <w:gridCol w:w="1080"/>
        <w:gridCol w:w="2910"/>
      </w:tblGrid>
      <w:tr>
        <w:tblPrEx>
          <w:shd w:val="clear" w:color="auto" w:fill="auto"/>
          <w:tblCellMar>
            <w:top w:w="0" w:type="dxa"/>
            <w:left w:w="0" w:type="dxa"/>
            <w:bottom w:w="0" w:type="dxa"/>
            <w:right w:w="0" w:type="dxa"/>
          </w:tblCellMar>
        </w:tblPrEx>
        <w:trPr>
          <w:trHeight w:val="482" w:hRule="atLeast"/>
          <w:tblHeader/>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项目名称</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项目简介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主力在售</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面积分布（㎡）</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当前楼盘详情</w:t>
            </w:r>
          </w:p>
        </w:tc>
      </w:tr>
      <w:tr>
        <w:tblPrEx>
          <w:tblCellMar>
            <w:top w:w="0" w:type="dxa"/>
            <w:left w:w="0" w:type="dxa"/>
            <w:bottom w:w="0" w:type="dxa"/>
            <w:right w:w="0" w:type="dxa"/>
          </w:tblCellMar>
        </w:tblPrEx>
        <w:trPr>
          <w:trHeight w:val="9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鑫叶龙城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黄陂区盘龙城经济开发区盘龙大道41号附近，项目占地约73875.2平方米，建筑面积268067.59平方米，项目规划建设1690户。11栋高层住宅楼2栋商业楼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待定</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待定</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总房源1809套，非住宅60套，住宅可售1690，当前已售0套</w:t>
            </w:r>
          </w:p>
        </w:tc>
      </w:tr>
      <w:tr>
        <w:tblPrEx>
          <w:tblCellMar>
            <w:top w:w="0" w:type="dxa"/>
            <w:left w:w="0" w:type="dxa"/>
            <w:bottom w:w="0" w:type="dxa"/>
            <w:right w:w="0" w:type="dxa"/>
          </w:tblCellMar>
        </w:tblPrEx>
        <w:trPr>
          <w:trHeight w:val="1005"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恒达盘龙湾梅苑</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黄陂区盘龙城盘龙大道与腾龙大道交汇处，项目占地约130000平方米，建筑面积约430000平方米，项目共规划29栋，10栋高层，19栋洋房</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毛坯高层洋房</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104-142㎡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均价10433元/㎡</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总房源2273套，非住宅167套，住宅可售1542，11月已售521套，当前已售556套,12月去化44套</w:t>
            </w:r>
          </w:p>
        </w:tc>
      </w:tr>
      <w:tr>
        <w:tblPrEx>
          <w:tblCellMar>
            <w:top w:w="0" w:type="dxa"/>
            <w:left w:w="0" w:type="dxa"/>
            <w:bottom w:w="0" w:type="dxa"/>
            <w:right w:w="0" w:type="dxa"/>
          </w:tblCellMar>
        </w:tblPrEx>
        <w:trPr>
          <w:trHeight w:val="1375"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帝大·御璟城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武汉市黄陂区经济开发区巨龙大道196号，项目占地约280000平方米，建筑面积约1000000平方米，项目共规划54栋，13栋小高层，41栋高层</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精装高层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91-125㎡</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均价12664元/㎡</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总房源3287套，非住宅324套，住宅可售2210，11月已售687套，当前已售745套，12月去化60套</w:t>
            </w:r>
          </w:p>
        </w:tc>
      </w:tr>
      <w:tr>
        <w:tblPrEx>
          <w:tblCellMar>
            <w:top w:w="0" w:type="dxa"/>
            <w:left w:w="0" w:type="dxa"/>
            <w:bottom w:w="0" w:type="dxa"/>
            <w:right w:w="0" w:type="dxa"/>
          </w:tblCellMar>
        </w:tblPrEx>
        <w:trPr>
          <w:trHeight w:val="135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天汇龙城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黄陂区盘龙城巨龙大道90号项目占地约130000平方米，建筑面积约430000平方米，项目共规划29栋，10栋高层，19栋洋房</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86-138㎡</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val="0"/>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均价10400元/㎡</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总房源1186套，非住宅94套，住宅可售908，11月已售173套，当前已售183套，12月去化10套</w:t>
            </w:r>
          </w:p>
        </w:tc>
      </w:tr>
    </w:tbl>
    <w:p>
      <w:pPr>
        <w:widowControl w:val="0"/>
        <w:ind w:right="525" w:rightChars="250" w:firstLine="150" w:firstLineChars="100"/>
        <w:rPr>
          <w:rFonts w:ascii="Arial" w:hAnsi="Arial" w:cs="Arial"/>
          <w:sz w:val="15"/>
          <w:szCs w:val="15"/>
        </w:rPr>
      </w:pPr>
      <w:r>
        <w:rPr>
          <w:rFonts w:ascii="Arial" w:hAnsi="Arial" w:cs="Arial"/>
          <w:sz w:val="15"/>
          <w:szCs w:val="15"/>
        </w:rPr>
        <w:t>注：以上数据来源武汉住房保障和房屋管理局</w:t>
      </w:r>
    </w:p>
    <w:p>
      <w:pPr>
        <w:pStyle w:val="2"/>
        <w:keepLines w:val="0"/>
        <w:widowControl w:val="0"/>
        <w:spacing w:before="300" w:after="300" w:line="360" w:lineRule="exact"/>
        <w:jc w:val="left"/>
        <w:rPr>
          <w:rFonts w:ascii="Arial" w:hAnsi="Arial" w:cs="Arial"/>
          <w:sz w:val="24"/>
          <w:szCs w:val="24"/>
        </w:rPr>
      </w:pPr>
      <w:bookmarkStart w:id="46" w:name="_Toc15698"/>
    </w:p>
    <w:p>
      <w:pPr>
        <w:pStyle w:val="2"/>
        <w:keepLines w:val="0"/>
        <w:widowControl w:val="0"/>
        <w:spacing w:before="300" w:after="300" w:line="360" w:lineRule="exact"/>
        <w:jc w:val="left"/>
        <w:rPr>
          <w:rFonts w:ascii="Arial" w:hAnsi="Arial" w:cs="Arial"/>
          <w:sz w:val="24"/>
          <w:szCs w:val="24"/>
        </w:rPr>
      </w:pPr>
      <w:r>
        <w:rPr>
          <w:rFonts w:ascii="Arial" w:hAnsi="Arial" w:cs="Arial"/>
          <w:sz w:val="24"/>
          <w:szCs w:val="24"/>
        </w:rPr>
        <w:t>8 资金情况</w:t>
      </w:r>
      <w:bookmarkEnd w:id="36"/>
      <w:bookmarkEnd w:id="37"/>
      <w:bookmarkEnd w:id="41"/>
      <w:bookmarkEnd w:id="42"/>
      <w:bookmarkEnd w:id="43"/>
      <w:bookmarkEnd w:id="44"/>
      <w:bookmarkEnd w:id="45"/>
      <w:bookmarkEnd w:id="46"/>
    </w:p>
    <w:p>
      <w:pPr>
        <w:pStyle w:val="3"/>
        <w:keepLines w:val="0"/>
        <w:widowControl w:val="0"/>
        <w:spacing w:before="300" w:after="300" w:line="360" w:lineRule="exact"/>
        <w:rPr>
          <w:rFonts w:eastAsia="宋体" w:cs="Arial"/>
          <w:sz w:val="24"/>
          <w:szCs w:val="24"/>
        </w:rPr>
      </w:pPr>
      <w:bookmarkStart w:id="47" w:name="_Toc26956"/>
      <w:r>
        <w:rPr>
          <w:rFonts w:eastAsia="宋体" w:cs="Arial"/>
          <w:sz w:val="24"/>
          <w:szCs w:val="24"/>
        </w:rPr>
        <w:t>8.1 资金使用汇总表（2020年1</w:t>
      </w:r>
      <w:r>
        <w:rPr>
          <w:rFonts w:hint="eastAsia" w:eastAsia="宋体" w:cs="Arial"/>
          <w:sz w:val="24"/>
          <w:szCs w:val="24"/>
          <w:lang w:val="en-US" w:eastAsia="zh-CN"/>
        </w:rPr>
        <w:t>2</w:t>
      </w:r>
      <w:r>
        <w:rPr>
          <w:rFonts w:eastAsia="宋体" w:cs="Arial"/>
          <w:sz w:val="24"/>
          <w:szCs w:val="24"/>
        </w:rPr>
        <w:t>月）</w:t>
      </w:r>
      <w:bookmarkEnd w:id="47"/>
    </w:p>
    <w:tbl>
      <w:tblPr>
        <w:tblStyle w:val="22"/>
        <w:tblW w:w="8030" w:type="dxa"/>
        <w:jc w:val="center"/>
        <w:tblLayout w:type="fixed"/>
        <w:tblCellMar>
          <w:top w:w="0" w:type="dxa"/>
          <w:left w:w="0" w:type="dxa"/>
          <w:bottom w:w="0" w:type="dxa"/>
          <w:right w:w="0" w:type="dxa"/>
        </w:tblCellMar>
      </w:tblPr>
      <w:tblGrid>
        <w:gridCol w:w="755"/>
        <w:gridCol w:w="1905"/>
        <w:gridCol w:w="2115"/>
        <w:gridCol w:w="1995"/>
        <w:gridCol w:w="1260"/>
      </w:tblGrid>
      <w:tr>
        <w:tblPrEx>
          <w:tblCellMar>
            <w:top w:w="0" w:type="dxa"/>
            <w:left w:w="0" w:type="dxa"/>
            <w:bottom w:w="0" w:type="dxa"/>
            <w:right w:w="0" w:type="dxa"/>
          </w:tblCellMar>
        </w:tblPrEx>
        <w:trPr>
          <w:cantSplit/>
          <w:trHeight w:val="442" w:hRule="atLeast"/>
          <w:tblHeader/>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b/>
                <w:bCs/>
                <w:kern w:val="0"/>
                <w:sz w:val="18"/>
                <w:szCs w:val="18"/>
              </w:rPr>
            </w:pPr>
            <w:r>
              <w:rPr>
                <w:rFonts w:hint="default" w:ascii="Arial" w:hAnsi="Arial" w:eastAsia="宋体" w:cs="Arial"/>
                <w:b/>
                <w:bCs/>
                <w:kern w:val="0"/>
                <w:sz w:val="18"/>
                <w:szCs w:val="18"/>
              </w:rPr>
              <w:t>序号</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b/>
                <w:bCs/>
                <w:kern w:val="0"/>
                <w:sz w:val="18"/>
                <w:szCs w:val="18"/>
              </w:rPr>
              <w:t>成本项目</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sz w:val="18"/>
                <w:szCs w:val="18"/>
              </w:rPr>
            </w:pPr>
            <w:r>
              <w:rPr>
                <w:rFonts w:hint="default" w:ascii="Arial" w:hAnsi="Arial" w:eastAsia="宋体" w:cs="Arial"/>
                <w:b/>
                <w:bCs/>
                <w:kern w:val="0"/>
                <w:sz w:val="18"/>
                <w:szCs w:val="18"/>
              </w:rPr>
              <w:t>本月付款（元）</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sz w:val="18"/>
                <w:szCs w:val="18"/>
              </w:rPr>
            </w:pPr>
            <w:r>
              <w:rPr>
                <w:rFonts w:hint="default" w:ascii="Arial" w:hAnsi="Arial" w:eastAsia="宋体" w:cs="Arial"/>
                <w:b/>
                <w:bCs/>
                <w:kern w:val="0"/>
                <w:sz w:val="18"/>
                <w:szCs w:val="18"/>
              </w:rPr>
              <w:t>入场后累计已支付（元）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b/>
                <w:bCs/>
                <w:kern w:val="0"/>
                <w:sz w:val="18"/>
                <w:szCs w:val="18"/>
              </w:rPr>
            </w:pPr>
            <w:r>
              <w:rPr>
                <w:rFonts w:hint="default" w:ascii="Arial" w:hAnsi="Arial" w:eastAsia="宋体"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土地费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前期费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180,000.00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建筑工程费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15,160,393.22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4</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开发间接费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113,030.59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财务费用</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26,613,826.89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41,948,507.63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6</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税费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1,168,657.77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8,455,250.68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7</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管理费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56,389,806.28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82,687,491.56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8</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营销费用</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2,197,584.12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5,681,259.87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9</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往来款</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4,000,000.00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847,704,500.00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sz w:val="18"/>
                <w:szCs w:val="18"/>
              </w:rPr>
            </w:pPr>
            <w:r>
              <w:rPr>
                <w:rFonts w:hint="default" w:ascii="Arial" w:hAnsi="Arial" w:eastAsia="宋体" w:cs="Arial"/>
                <w:color w:val="000000"/>
                <w:kern w:val="0"/>
                <w:sz w:val="18"/>
                <w:szCs w:val="18"/>
                <w:lang w:bidi="ar"/>
              </w:rPr>
              <w:t>收费退缴</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50,000.00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b/>
                <w:i w:val="0"/>
                <w:color w:val="000000"/>
                <w:kern w:val="0"/>
                <w:sz w:val="18"/>
                <w:szCs w:val="18"/>
                <w:u w:val="none"/>
                <w:lang w:val="en-US" w:eastAsia="zh-CN" w:bidi="ar"/>
              </w:rPr>
              <w:t xml:space="preserve">890,000.00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b/>
                <w:bCs/>
                <w:color w:val="000000"/>
                <w:sz w:val="18"/>
                <w:szCs w:val="18"/>
              </w:rPr>
            </w:pPr>
            <w:r>
              <w:rPr>
                <w:rFonts w:hint="default" w:ascii="Arial" w:hAnsi="Arial" w:eastAsia="宋体" w:cs="Arial"/>
                <w:b/>
                <w:bCs/>
                <w:color w:val="000000"/>
                <w:kern w:val="0"/>
                <w:sz w:val="18"/>
                <w:szCs w:val="18"/>
                <w:lang w:bidi="ar"/>
              </w:rPr>
              <w:t>总计</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color w:val="000000"/>
                <w:sz w:val="18"/>
                <w:szCs w:val="18"/>
              </w:rPr>
            </w:pPr>
            <w:r>
              <w:rPr>
                <w:rFonts w:hint="default" w:ascii="Arial" w:hAnsi="Arial" w:eastAsia="宋体" w:cs="Arial"/>
                <w:b/>
                <w:i w:val="0"/>
                <w:color w:val="000000"/>
                <w:kern w:val="0"/>
                <w:sz w:val="18"/>
                <w:szCs w:val="18"/>
                <w:u w:val="none"/>
                <w:lang w:val="en-US" w:eastAsia="zh-CN" w:bidi="ar"/>
              </w:rPr>
              <w:t xml:space="preserve">90,419,875.06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color w:val="000000"/>
                <w:sz w:val="18"/>
                <w:szCs w:val="18"/>
              </w:rPr>
            </w:pPr>
            <w:r>
              <w:rPr>
                <w:rFonts w:hint="default" w:ascii="Arial" w:hAnsi="Arial" w:eastAsia="宋体" w:cs="Arial"/>
                <w:b/>
                <w:i w:val="0"/>
                <w:color w:val="000000"/>
                <w:kern w:val="0"/>
                <w:sz w:val="18"/>
                <w:szCs w:val="18"/>
                <w:u w:val="none"/>
                <w:lang w:val="en-US" w:eastAsia="zh-CN" w:bidi="ar"/>
              </w:rPr>
              <w:t xml:space="preserve">1,002,820,433.55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color w:val="000000"/>
                <w:kern w:val="0"/>
                <w:sz w:val="18"/>
                <w:szCs w:val="18"/>
                <w:lang w:bidi="ar"/>
              </w:rPr>
            </w:pPr>
          </w:p>
        </w:tc>
      </w:tr>
    </w:tbl>
    <w:p>
      <w:pPr>
        <w:pStyle w:val="3"/>
        <w:keepLines w:val="0"/>
        <w:widowControl w:val="0"/>
        <w:spacing w:before="300" w:after="300" w:line="360" w:lineRule="exact"/>
        <w:rPr>
          <w:rFonts w:eastAsia="宋体" w:cs="Arial"/>
          <w:sz w:val="24"/>
          <w:szCs w:val="24"/>
        </w:rPr>
      </w:pPr>
      <w:bookmarkStart w:id="48" w:name="_Toc32542"/>
      <w:r>
        <w:rPr>
          <w:rFonts w:eastAsia="宋体" w:cs="Arial"/>
          <w:sz w:val="24"/>
          <w:szCs w:val="24"/>
        </w:rPr>
        <w:t>8.2资金流出情况</w:t>
      </w:r>
      <w:bookmarkEnd w:id="48"/>
    </w:p>
    <w:p>
      <w:pPr>
        <w:widowControl w:val="0"/>
        <w:spacing w:line="480" w:lineRule="auto"/>
        <w:ind w:firstLine="420" w:firstLineChars="200"/>
        <w:rPr>
          <w:rFonts w:hint="default" w:ascii="Arial" w:hAnsi="Arial" w:cs="Arial"/>
          <w:bCs/>
          <w:kern w:val="44"/>
          <w:sz w:val="21"/>
          <w:szCs w:val="21"/>
        </w:rPr>
      </w:pPr>
      <w:r>
        <w:rPr>
          <w:rFonts w:hint="default" w:ascii="Arial" w:hAnsi="Arial" w:cs="Arial"/>
          <w:bCs/>
          <w:kern w:val="44"/>
          <w:sz w:val="21"/>
          <w:szCs w:val="21"/>
        </w:rPr>
        <w:t>2020年1</w:t>
      </w:r>
      <w:r>
        <w:rPr>
          <w:rFonts w:hint="default" w:ascii="Arial" w:hAnsi="Arial" w:cs="Arial"/>
          <w:bCs/>
          <w:kern w:val="44"/>
          <w:sz w:val="21"/>
          <w:szCs w:val="21"/>
          <w:lang w:val="en-US" w:eastAsia="zh-CN"/>
        </w:rPr>
        <w:t>2</w:t>
      </w:r>
      <w:r>
        <w:rPr>
          <w:rFonts w:hint="default" w:ascii="Arial" w:hAnsi="Arial" w:cs="Arial"/>
          <w:bCs/>
          <w:kern w:val="44"/>
          <w:sz w:val="21"/>
          <w:szCs w:val="21"/>
        </w:rPr>
        <w:t>月监管范围内资金流出额共计</w:t>
      </w:r>
      <w:r>
        <w:rPr>
          <w:rFonts w:hint="default" w:ascii="Arial" w:hAnsi="Arial" w:eastAsia="宋体" w:cs="Arial"/>
          <w:b/>
          <w:i w:val="0"/>
          <w:color w:val="000000"/>
          <w:kern w:val="0"/>
          <w:sz w:val="21"/>
          <w:szCs w:val="21"/>
          <w:u w:val="none"/>
          <w:lang w:val="en-US" w:eastAsia="zh-CN" w:bidi="ar"/>
        </w:rPr>
        <w:t>90,419,875.06</w:t>
      </w:r>
      <w:r>
        <w:rPr>
          <w:rFonts w:hint="default" w:ascii="Arial" w:hAnsi="Arial" w:cs="Arial"/>
          <w:bCs/>
          <w:kern w:val="44"/>
          <w:sz w:val="21"/>
          <w:szCs w:val="21"/>
        </w:rPr>
        <w:t>元。</w:t>
      </w:r>
    </w:p>
    <w:p>
      <w:pPr>
        <w:widowControl w:val="0"/>
        <w:jc w:val="center"/>
        <w:textAlignment w:val="center"/>
        <w:rPr>
          <w:rFonts w:hint="default" w:ascii="Arial" w:hAnsi="Arial" w:cs="Arial"/>
          <w:bCs/>
          <w:kern w:val="44"/>
          <w:sz w:val="21"/>
          <w:szCs w:val="21"/>
        </w:rPr>
      </w:pPr>
      <w:r>
        <w:rPr>
          <w:rFonts w:ascii="Arial" w:hAnsi="Arial" w:cs="Arial"/>
          <w:b/>
          <w:color w:val="000000"/>
          <w:sz w:val="21"/>
          <w:szCs w:val="21"/>
        </w:rPr>
        <w:t>2020年1</w:t>
      </w:r>
      <w:r>
        <w:rPr>
          <w:rFonts w:hint="eastAsia" w:ascii="Arial" w:hAnsi="Arial" w:cs="Arial"/>
          <w:b/>
          <w:color w:val="000000"/>
          <w:sz w:val="21"/>
          <w:szCs w:val="21"/>
          <w:lang w:val="en-US" w:eastAsia="zh-CN"/>
        </w:rPr>
        <w:t>2</w:t>
      </w:r>
      <w:r>
        <w:rPr>
          <w:rFonts w:ascii="Arial" w:hAnsi="Arial" w:cs="Arial"/>
          <w:b/>
          <w:color w:val="000000"/>
          <w:sz w:val="21"/>
          <w:szCs w:val="21"/>
        </w:rPr>
        <w:t>月资金流出明细表</w:t>
      </w:r>
    </w:p>
    <w:tbl>
      <w:tblPr>
        <w:tblStyle w:val="22"/>
        <w:tblW w:w="10035" w:type="dxa"/>
        <w:jc w:val="center"/>
        <w:shd w:val="clear" w:color="auto" w:fill="auto"/>
        <w:tblLayout w:type="autofit"/>
        <w:tblCellMar>
          <w:top w:w="0" w:type="dxa"/>
          <w:left w:w="0" w:type="dxa"/>
          <w:bottom w:w="0" w:type="dxa"/>
          <w:right w:w="0" w:type="dxa"/>
        </w:tblCellMar>
      </w:tblPr>
      <w:tblGrid>
        <w:gridCol w:w="975"/>
        <w:gridCol w:w="1245"/>
        <w:gridCol w:w="2160"/>
        <w:gridCol w:w="1440"/>
        <w:gridCol w:w="1755"/>
        <w:gridCol w:w="1380"/>
        <w:gridCol w:w="1080"/>
      </w:tblGrid>
      <w:tr>
        <w:tblPrEx>
          <w:shd w:val="clear" w:color="auto" w:fill="auto"/>
          <w:tblCellMar>
            <w:top w:w="0" w:type="dxa"/>
            <w:left w:w="0" w:type="dxa"/>
            <w:bottom w:w="0" w:type="dxa"/>
            <w:right w:w="0" w:type="dxa"/>
          </w:tblCellMar>
        </w:tblPrEx>
        <w:trPr>
          <w:trHeight w:val="272" w:hRule="atLeast"/>
          <w:tblHeader/>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项目公司</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收款日期</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用款类型</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金卫士</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正锦</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w:t>
            </w:r>
            <w:r>
              <w:rPr>
                <w:rFonts w:hint="default" w:ascii="Arial" w:hAnsi="Arial" w:eastAsia="宋体" w:cs="Arial"/>
                <w:i w:val="0"/>
                <w:color w:val="000000"/>
                <w:kern w:val="0"/>
                <w:sz w:val="18"/>
                <w:szCs w:val="18"/>
                <w:u w:val="none"/>
                <w:lang w:val="en-US" w:eastAsia="zh-CN" w:bidi="ar"/>
              </w:rPr>
              <w:t>0902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正锦</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w:t>
            </w:r>
            <w:r>
              <w:rPr>
                <w:rFonts w:hint="default" w:ascii="Arial" w:hAnsi="Arial" w:eastAsia="宋体" w:cs="Arial"/>
                <w:i w:val="0"/>
                <w:color w:val="000000"/>
                <w:kern w:val="0"/>
                <w:sz w:val="18"/>
                <w:szCs w:val="18"/>
                <w:u w:val="none"/>
                <w:lang w:val="en-US" w:eastAsia="zh-CN" w:bidi="ar"/>
              </w:rPr>
              <w:t>0902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Style w:val="60"/>
                <w:sz w:val="18"/>
                <w:szCs w:val="18"/>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货款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刘晓</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2,579.00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李睿</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21,063.00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武汉德丰永润实业有限公司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国库税收收缴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个税</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103,090.57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Style w:val="60"/>
                <w:sz w:val="18"/>
                <w:szCs w:val="18"/>
                <w:lang w:val="en-US" w:eastAsia="zh-CN" w:bidi="ar"/>
              </w:rPr>
              <w:t>国网湖北省电力有限公司武汉供电公司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电费</w:t>
            </w:r>
            <w:r>
              <w:rPr>
                <w:rFonts w:hint="default" w:ascii="Arial" w:hAnsi="Arial" w:eastAsia="宋体" w:cs="Arial"/>
                <w:i w:val="0"/>
                <w:color w:val="000000"/>
                <w:kern w:val="0"/>
                <w:sz w:val="18"/>
                <w:szCs w:val="18"/>
                <w:u w:val="none"/>
                <w:lang w:val="en-US" w:eastAsia="zh-CN" w:bidi="ar"/>
              </w:rPr>
              <w:t>320201003</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58,580.46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李锦红</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8,552.00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谢双琴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2,818.00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李睿</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4,369.50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胡浩</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685.61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胡浩</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3,120.00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中国工商银行汉阳分行工资代发</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969,369.94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国库税收收缴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代理国库税收收缴</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341,101.62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国库税收收缴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代理国库税收收缴</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717,600.58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国库税收收缴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代理国库税收收缴</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6,865.00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w:t>
            </w:r>
            <w:r>
              <w:rPr>
                <w:rFonts w:hint="eastAsia" w:ascii="宋体" w:hAnsi="宋体" w:eastAsia="宋体" w:cs="宋体"/>
                <w:i w:val="0"/>
                <w:color w:val="000000"/>
                <w:kern w:val="0"/>
                <w:sz w:val="18"/>
                <w:szCs w:val="18"/>
                <w:highlight w:val="none"/>
                <w:u w:val="none"/>
                <w:lang w:val="en-US" w:eastAsia="zh-CN" w:bidi="ar"/>
              </w:rPr>
              <w:t>汉正</w:t>
            </w:r>
            <w:r>
              <w:rPr>
                <w:rFonts w:hint="eastAsia" w:ascii="宋体" w:hAnsi="宋体" w:eastAsia="宋体" w:cs="宋体"/>
                <w:i w:val="0"/>
                <w:color w:val="000000"/>
                <w:kern w:val="0"/>
                <w:sz w:val="18"/>
                <w:szCs w:val="18"/>
                <w:u w:val="none"/>
                <w:lang w:val="en-US" w:eastAsia="zh-CN" w:bidi="ar"/>
              </w:rPr>
              <w:t>锦企业管理咨询有限公司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r>
              <w:rPr>
                <w:rFonts w:hint="default" w:ascii="Arial" w:hAnsi="Arial" w:eastAsia="宋体" w:cs="Arial"/>
                <w:i w:val="0"/>
                <w:color w:val="000000"/>
                <w:kern w:val="0"/>
                <w:sz w:val="18"/>
                <w:szCs w:val="18"/>
                <w:u w:val="none"/>
                <w:lang w:val="en-US" w:eastAsia="zh-CN" w:bidi="ar"/>
              </w:rPr>
              <w:t>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王诗璐</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4,870.00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王芳亮</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4,037.00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武汉诚信成商贸有限公司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永清城员工食堂</w:t>
            </w:r>
            <w:r>
              <w:rPr>
                <w:rFonts w:hint="default" w:ascii="Arial" w:hAnsi="Arial" w:eastAsia="宋体" w:cs="Arial"/>
                <w:i w:val="0"/>
                <w:color w:val="000000"/>
                <w:kern w:val="0"/>
                <w:sz w:val="18"/>
                <w:szCs w:val="18"/>
                <w:u w:val="none"/>
                <w:lang w:val="en-US" w:eastAsia="zh-CN" w:bidi="ar"/>
              </w:rPr>
              <w:t>11</w:t>
            </w:r>
            <w:r>
              <w:rPr>
                <w:rFonts w:hint="eastAsia" w:ascii="宋体" w:hAnsi="宋体" w:eastAsia="宋体" w:cs="宋体"/>
                <w:i w:val="0"/>
                <w:color w:val="000000"/>
                <w:kern w:val="0"/>
                <w:sz w:val="18"/>
                <w:szCs w:val="18"/>
                <w:u w:val="none"/>
                <w:lang w:val="en-US" w:eastAsia="zh-CN" w:bidi="ar"/>
              </w:rPr>
              <w:t>月菜金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35,471.00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慈铭健康体检管理集团武汉有限公司慈铭汉口门诊部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武汉公司慈铭第</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笔付款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90,360.00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福州回春药医连锁有限公司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商务礼品费用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27,680.00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报销感恩节慰问活动费用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5,442.51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李睿</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12,597.00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武汉区域平台外部供餐报销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3,045.34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陈善奎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6,799.46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8,804.57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殷婷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报销商务礼品采购费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殷婷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业务招待费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武汉市兴锐烟酒副食店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商务礼品采购费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报销食堂</w:t>
            </w:r>
            <w:r>
              <w:rPr>
                <w:rFonts w:hint="default" w:ascii="Arial" w:hAnsi="Arial" w:eastAsia="宋体" w:cs="Arial"/>
                <w:i w:val="0"/>
                <w:color w:val="000000"/>
                <w:kern w:val="0"/>
                <w:sz w:val="18"/>
                <w:szCs w:val="18"/>
                <w:highlight w:val="none"/>
                <w:u w:val="none"/>
                <w:lang w:val="en-US" w:eastAsia="zh-CN" w:bidi="ar"/>
              </w:rPr>
              <w:t>511</w:t>
            </w:r>
            <w:r>
              <w:rPr>
                <w:rFonts w:hint="eastAsia" w:ascii="宋体" w:hAnsi="宋体" w:eastAsia="宋体" w:cs="宋体"/>
                <w:i w:val="0"/>
                <w:color w:val="000000"/>
                <w:kern w:val="0"/>
                <w:sz w:val="18"/>
                <w:szCs w:val="18"/>
                <w:highlight w:val="none"/>
                <w:u w:val="none"/>
                <w:lang w:val="en-US" w:eastAsia="zh-CN" w:bidi="ar"/>
              </w:rPr>
              <w:t>月</w:t>
            </w:r>
            <w:r>
              <w:rPr>
                <w:rFonts w:hint="eastAsia" w:ascii="宋体" w:hAnsi="宋体" w:eastAsia="宋体" w:cs="宋体"/>
                <w:i w:val="0"/>
                <w:color w:val="000000"/>
                <w:kern w:val="0"/>
                <w:sz w:val="18"/>
                <w:szCs w:val="18"/>
                <w:u w:val="none"/>
                <w:lang w:val="en-US" w:eastAsia="zh-CN" w:bidi="ar"/>
              </w:rPr>
              <w:t>物业费水费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2,180.36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阮文静</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报销员工福利费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660.30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r>
              <w:rPr>
                <w:rFonts w:hint="eastAsia" w:ascii="宋体" w:hAnsi="宋体" w:eastAsia="宋体" w:cs="宋体"/>
                <w:i w:val="0"/>
                <w:color w:val="000000"/>
                <w:kern w:val="0"/>
                <w:sz w:val="18"/>
                <w:szCs w:val="18"/>
                <w:u w:val="none"/>
                <w:lang w:val="en-US" w:eastAsia="zh-CN" w:bidi="ar"/>
              </w:rPr>
              <w:t>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上海中智项目外包咨询服务有限公司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r>
              <w:rPr>
                <w:rFonts w:hint="eastAsia" w:ascii="宋体" w:hAnsi="宋体" w:eastAsia="宋体" w:cs="宋体"/>
                <w:i w:val="0"/>
                <w:color w:val="000000"/>
                <w:kern w:val="0"/>
                <w:sz w:val="18"/>
                <w:szCs w:val="18"/>
                <w:u w:val="none"/>
                <w:lang w:val="en-US" w:eastAsia="zh-CN" w:bidi="ar"/>
              </w:rPr>
              <w:t>月外包服务费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11,429.48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w:t>
            </w:r>
            <w:r>
              <w:rPr>
                <w:rFonts w:hint="default" w:ascii="Arial" w:hAnsi="Arial" w:eastAsia="宋体" w:cs="Arial"/>
                <w:i w:val="0"/>
                <w:color w:val="000000"/>
                <w:kern w:val="0"/>
                <w:sz w:val="18"/>
                <w:szCs w:val="18"/>
                <w:u w:val="none"/>
                <w:lang w:val="en-US" w:eastAsia="zh-CN" w:bidi="ar"/>
              </w:rPr>
              <w:t>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平潭荣文投资合伙企业（有限合伙）</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融资利息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9,965,187.70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w:t>
            </w:r>
            <w:r>
              <w:rPr>
                <w:rFonts w:hint="default" w:ascii="Arial" w:hAnsi="Arial" w:eastAsia="宋体" w:cs="Arial"/>
                <w:i w:val="0"/>
                <w:color w:val="000000"/>
                <w:kern w:val="0"/>
                <w:sz w:val="18"/>
                <w:szCs w:val="18"/>
                <w:u w:val="none"/>
                <w:lang w:val="en-US" w:eastAsia="zh-CN" w:bidi="ar"/>
              </w:rPr>
              <w:t>0902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许明珠</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6,244.16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区域平台外部供餐报销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12,810.00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李睿</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2,957.00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胡浩</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培训费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3,404.70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19,428.00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16,758.83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锦企业管理咨询有限公司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员工福利费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员工福利费报销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武汉云松文化传播有限公司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阿松评楼广告费第1笔付款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增补桁架和草皮第1笔付款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12,529.00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围栏制作第1笔付款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70,546.60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道旗制作第1笔付款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样板间灯箱制作第1笔付款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42,614.50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空调采购费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18,946.00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瑞庭网络技术</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上海</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4月广告费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武汉钰和科技有限公司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打印机租赁费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武汉星大地文化传播有限公司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盘龙6月相亲活动费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武汉星大地文化传播有限公司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盘龙书法茶艺活动费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武汉众视云传媒科技有限公司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端午活动费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武汉波士堂广告传播有限责任公司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杨琦</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快递费报销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武汉宝玉医疗器械有限公司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防疫物资采购费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18,882.00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报销团建费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17,246.00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上海携程宏睿国际旅行社有限公司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42,099.00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广州前茅服饰贸易有限公司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采购冲锋衣费用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19,691.47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1,542.00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武汉凌宇供水工程有限公司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退还投标保证金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收费退缴</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7,750.38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14,401.48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武汉钰和科技有限公司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打印机租赁费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胡浩</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活动费用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王艳坤</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活动费用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代垫社保公积金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1,066,712.28</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物业前介费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2,009,619.74</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6,149.00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11月认购礼</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34,572.00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上海新百锐教育科技有限公司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付百锐学堂学习卡费用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新余友仁人力资源有限公司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11月内业外包费用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70,309.47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武汉欣怡腾广告有限公司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社区道闸广告费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黄倩玉</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call客电话费报销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1,294.04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武汉辉杰广告标识工程有限公司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5月物料费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18,727.85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黄倩玉</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上海华野模型有限公司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营销中心模型制作费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200,937.60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报销圣诞装饰费用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3,535.90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报销下午茶费用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18,894.29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安夏文化传媒</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武汉</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样板间照片拍摄费用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14,420.00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吴可</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团建活动费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姚峰</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退房款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周洁</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华泽鹏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退房款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武汉市钰和科技有限公司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打印机租赁费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武汉繁荣文化传媒有限公司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夜购活动费用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9,967.75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1号楼楼体字上移费用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6,996.00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武汉繁荣文化传媒有限公司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周末暖场活动费用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14,222.94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澜景</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武汉</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火锅费用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武汉显扬广告有限公司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广场树木花枝更换费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武汉显扬广告有限公司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砸金蛋费用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1,174.20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武汉显扬广告有限公司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拓客背屏采购费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9,733.50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中国邮政速递物流股份有限公司武汉市分公司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快递费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武汉波士堂广告传播有限责任公司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暖场活动费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武汉欣欣萱元广告传媒有限公司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7月少儿画展活动费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武汉融辰翔广告传媒有限公司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7月儿童文学讲座活动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武汉融辰翔广告传媒有限公司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7月木兰荟女企业家活动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有为致合文化传媒</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武汉</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万圣节暖场活动费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武汉诚睿智行文化传媒有限公司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插画DIY活动费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司庆日潮品折扣会费用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1,414.50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9月物料制作费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18,681.70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澜景</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武汉</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沙龙活动费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武汉青页未来文化传媒有限公司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暖场活动费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树木包装亮化费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19,970.00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上海三菱电梯有限公司湖北分公司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电梯安装费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28,044.00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北京市金龙腾装饰股份有限公司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武汉黄陂凯迪水务有限公司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施工水费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17,766.00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网银注册账户服务费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9,089.34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11,488.12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5,537.76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16,781.00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19,579.00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11月办公用品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43.12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17,865.00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报销下午茶费用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2,784.00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陈善奎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14,784.36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报销外部供餐费用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叶剑雄</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上海和视品牌管理有限公司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深圳市弘绅文化传播有限公司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上海和视品牌管理有限公司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深圳市弘绅文化传播有限公司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瑞庭网络技术（上海）有限公司武汉分公司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5月安居客广告费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10月物业月耗物资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退房款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罗玉婷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19,816.00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11月物业月耗物资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9,900.57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武汉德美印刷有限公司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8月印刷物料费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30,357.45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武汉云松文化传播有限公司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7月自媒体广告费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武汉德美印刷有限公司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10月印刷物料费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33,657.05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10月物料制作费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3,518.87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武汉德美印刷有限公司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7月印刷物料费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17,999.77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样板间客户物资采购</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7,940.00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15,360.00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11,999.00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19,846.00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18,898.00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向国宇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17,102.00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正锦</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开发贷利息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3,335,150.00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平安0073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开发贷利息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10,311,816.67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平安0073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胡浩</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报销招待费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银联商务股份有限公司湖北分公司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pos机安装费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正荣地产控股股份有限公司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谢双琴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团建费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12,432.00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王静</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全民营销佣金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14,592.29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蔚蓝云创</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上海</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数字科技有限公司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朋友圈定投活动费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武汉市山之田模型艺术设计有限公司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公寓模型制作费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武汉市山之田模型艺术设计有限公司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楼栋水晶体制作费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8月物料制作费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8,342.79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武汉创联凯尔咨询顾问有限公司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丝巾美学沙龙活动费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武汉旭日正缘文化传媒有限公司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十一渠道派单费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14,677.50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王艳</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退诚意金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黄先枝</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退诚意金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372,635.00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武汉德美印刷有限公司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9月印刷制作费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22,984.00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澜景</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武汉</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暖场活动费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平安1287营业部</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2,790.00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中国建设银行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手续费（普通）</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建行</w:t>
            </w:r>
            <w:r>
              <w:rPr>
                <w:rFonts w:hint="default" w:ascii="Arial" w:hAnsi="Arial" w:eastAsia="宋体" w:cs="Arial"/>
                <w:i w:val="0"/>
                <w:color w:val="000000"/>
                <w:kern w:val="0"/>
                <w:sz w:val="18"/>
                <w:szCs w:val="18"/>
                <w:u w:val="none"/>
                <w:lang w:val="en-US" w:eastAsia="zh-CN" w:bidi="ar"/>
              </w:rPr>
              <w:t>0728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对公收费明细</w:t>
            </w:r>
            <w:r>
              <w:rPr>
                <w:rFonts w:hint="eastAsia" w:ascii="Arial" w:hAnsi="Arial" w:cs="Arial"/>
                <w:i w:val="0"/>
                <w:color w:val="000000"/>
                <w:kern w:val="0"/>
                <w:sz w:val="18"/>
                <w:szCs w:val="18"/>
                <w:highlight w:val="none"/>
                <w:u w:val="none"/>
                <w:lang w:val="en-US" w:eastAsia="zh-CN" w:bidi="ar"/>
              </w:rPr>
              <w:t>入账</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跨行快汇手续费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460.43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109.23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工行异地汇款手续费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福州回春医药连锁有限公司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货款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27,680.00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45,400.00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武汉金万象文化传媒有限公司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电梯框架广告费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57,587.00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301,786.00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90,419,875.06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18"/>
                <w:szCs w:val="18"/>
                <w:u w:val="none"/>
              </w:rPr>
            </w:pPr>
          </w:p>
        </w:tc>
      </w:tr>
    </w:tbl>
    <w:p>
      <w:pPr>
        <w:widowControl w:val="0"/>
        <w:textAlignment w:val="center"/>
        <w:rPr>
          <w:rFonts w:ascii="Arial" w:hAnsi="Arial" w:cs="Arial"/>
          <w:b/>
          <w:color w:val="000000"/>
          <w:szCs w:val="21"/>
        </w:rPr>
      </w:pPr>
    </w:p>
    <w:p>
      <w:pPr>
        <w:widowControl w:val="0"/>
        <w:jc w:val="center"/>
        <w:textAlignment w:val="center"/>
        <w:rPr>
          <w:rFonts w:ascii="Arial" w:hAnsi="Arial" w:cs="Arial"/>
          <w:b/>
          <w:color w:val="000000"/>
          <w:sz w:val="24"/>
        </w:rPr>
      </w:pPr>
    </w:p>
    <w:p>
      <w:pPr>
        <w:widowControl w:val="0"/>
        <w:jc w:val="center"/>
        <w:textAlignment w:val="center"/>
        <w:rPr>
          <w:rFonts w:ascii="Arial" w:hAnsi="Arial" w:cs="Arial"/>
          <w:b/>
          <w:color w:val="000000"/>
          <w:sz w:val="24"/>
        </w:rPr>
      </w:pPr>
    </w:p>
    <w:p>
      <w:pPr>
        <w:widowControl w:val="0"/>
        <w:spacing w:line="480" w:lineRule="auto"/>
        <w:jc w:val="center"/>
        <w:textAlignment w:val="auto"/>
        <w:rPr>
          <w:rFonts w:hint="eastAsia" w:ascii="Arial" w:hAnsi="Arial" w:cs="Arial"/>
          <w:b/>
          <w:bCs w:val="0"/>
          <w:kern w:val="44"/>
          <w:sz w:val="24"/>
          <w:szCs w:val="24"/>
          <w:lang w:val="en-US" w:eastAsia="zh-CN"/>
        </w:rPr>
      </w:pPr>
      <w:r>
        <w:rPr>
          <w:rFonts w:ascii="Arial" w:hAnsi="Arial" w:cs="Arial"/>
          <w:b/>
          <w:bCs w:val="0"/>
          <w:color w:val="auto"/>
          <w:kern w:val="44"/>
          <w:sz w:val="24"/>
          <w:szCs w:val="24"/>
        </w:rPr>
        <w:t>2020年1</w:t>
      </w:r>
      <w:r>
        <w:rPr>
          <w:rFonts w:hint="eastAsia" w:ascii="Arial" w:hAnsi="Arial" w:cs="Arial"/>
          <w:b/>
          <w:bCs w:val="0"/>
          <w:color w:val="auto"/>
          <w:kern w:val="44"/>
          <w:sz w:val="24"/>
          <w:szCs w:val="24"/>
          <w:lang w:val="en-US" w:eastAsia="zh-CN"/>
        </w:rPr>
        <w:t>2</w:t>
      </w:r>
      <w:r>
        <w:rPr>
          <w:rFonts w:ascii="Arial" w:hAnsi="Arial" w:cs="Arial"/>
          <w:b/>
          <w:bCs w:val="0"/>
          <w:color w:val="auto"/>
          <w:kern w:val="44"/>
          <w:sz w:val="24"/>
          <w:szCs w:val="24"/>
          <w:highlight w:val="none"/>
        </w:rPr>
        <w:t>月商</w:t>
      </w:r>
      <w:r>
        <w:rPr>
          <w:rFonts w:ascii="Arial" w:hAnsi="Arial" w:cs="Arial"/>
          <w:b/>
          <w:bCs w:val="0"/>
          <w:color w:val="auto"/>
          <w:kern w:val="44"/>
          <w:sz w:val="24"/>
          <w:szCs w:val="24"/>
        </w:rPr>
        <w:t>票支付</w:t>
      </w:r>
      <w:r>
        <w:rPr>
          <w:rFonts w:hint="eastAsia" w:ascii="Arial" w:hAnsi="Arial" w:cs="Arial"/>
          <w:b/>
          <w:bCs w:val="0"/>
          <w:kern w:val="44"/>
          <w:sz w:val="24"/>
          <w:szCs w:val="24"/>
          <w:lang w:val="en-US" w:eastAsia="zh-CN"/>
        </w:rPr>
        <w:t>情况</w:t>
      </w:r>
    </w:p>
    <w:tbl>
      <w:tblPr>
        <w:tblStyle w:val="22"/>
        <w:tblW w:w="10305" w:type="dxa"/>
        <w:jc w:val="center"/>
        <w:shd w:val="clear" w:color="auto" w:fill="auto"/>
        <w:tblLayout w:type="autofit"/>
        <w:tblCellMar>
          <w:top w:w="0" w:type="dxa"/>
          <w:left w:w="0" w:type="dxa"/>
          <w:bottom w:w="0" w:type="dxa"/>
          <w:right w:w="0" w:type="dxa"/>
        </w:tblCellMar>
      </w:tblPr>
      <w:tblGrid>
        <w:gridCol w:w="1166"/>
        <w:gridCol w:w="1108"/>
        <w:gridCol w:w="3034"/>
        <w:gridCol w:w="1467"/>
        <w:gridCol w:w="1306"/>
        <w:gridCol w:w="1472"/>
        <w:gridCol w:w="752"/>
      </w:tblGrid>
      <w:tr>
        <w:tblPrEx>
          <w:tblCellMar>
            <w:top w:w="0" w:type="dxa"/>
            <w:left w:w="0" w:type="dxa"/>
            <w:bottom w:w="0" w:type="dxa"/>
            <w:right w:w="0" w:type="dxa"/>
          </w:tblCellMar>
        </w:tblPrEx>
        <w:trPr>
          <w:trHeight w:val="27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出票日期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承兑日期</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汇票号码</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收款单位</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开票银行</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开票金额（元）</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款项性质</w:t>
            </w:r>
          </w:p>
        </w:tc>
      </w:tr>
      <w:tr>
        <w:tblPrEx>
          <w:tblCellMar>
            <w:top w:w="0" w:type="dxa"/>
            <w:left w:w="0" w:type="dxa"/>
            <w:bottom w:w="0" w:type="dxa"/>
            <w:right w:w="0" w:type="dxa"/>
          </w:tblCellMar>
        </w:tblPrEx>
        <w:trPr>
          <w:trHeight w:val="51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2021-06-21</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210252100040920201221800038111</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湖北东泰建设管理咨询有限公司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工商银行汉阳支行</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50,081.30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合同款</w:t>
            </w:r>
          </w:p>
        </w:tc>
      </w:tr>
    </w:tbl>
    <w:p>
      <w:pPr>
        <w:widowControl w:val="0"/>
        <w:spacing w:line="480" w:lineRule="auto"/>
        <w:jc w:val="center"/>
        <w:textAlignment w:val="auto"/>
        <w:rPr>
          <w:rFonts w:hint="eastAsia" w:ascii="Arial" w:hAnsi="Arial" w:cs="Arial"/>
          <w:b/>
          <w:bCs w:val="0"/>
          <w:kern w:val="44"/>
          <w:sz w:val="24"/>
          <w:szCs w:val="24"/>
          <w:lang w:val="en-US" w:eastAsia="zh-CN"/>
        </w:rPr>
      </w:pPr>
    </w:p>
    <w:p>
      <w:pPr>
        <w:widowControl w:val="0"/>
        <w:textAlignment w:val="center"/>
        <w:rPr>
          <w:rFonts w:ascii="Arial" w:hAnsi="Arial" w:cs="Arial"/>
          <w:b/>
          <w:color w:val="000000"/>
          <w:sz w:val="24"/>
        </w:rPr>
      </w:pPr>
    </w:p>
    <w:p>
      <w:pPr>
        <w:widowControl w:val="0"/>
        <w:ind w:firstLine="2891" w:firstLineChars="1200"/>
        <w:jc w:val="both"/>
        <w:textAlignment w:val="center"/>
        <w:rPr>
          <w:rFonts w:ascii="Arial" w:hAnsi="Arial" w:cs="Arial"/>
          <w:b/>
          <w:color w:val="000000"/>
          <w:sz w:val="24"/>
        </w:rPr>
      </w:pPr>
      <w:r>
        <w:rPr>
          <w:rFonts w:ascii="Arial" w:hAnsi="Arial" w:cs="Arial"/>
          <w:b/>
          <w:color w:val="000000"/>
          <w:sz w:val="24"/>
        </w:rPr>
        <w:t>2020年1</w:t>
      </w:r>
      <w:r>
        <w:rPr>
          <w:rFonts w:hint="eastAsia" w:ascii="Arial" w:hAnsi="Arial" w:cs="Arial"/>
          <w:b/>
          <w:color w:val="000000"/>
          <w:sz w:val="24"/>
          <w:lang w:val="en-US" w:eastAsia="zh-CN"/>
        </w:rPr>
        <w:t>2</w:t>
      </w:r>
      <w:r>
        <w:rPr>
          <w:rFonts w:ascii="Arial" w:hAnsi="Arial" w:cs="Arial"/>
          <w:b/>
          <w:color w:val="000000"/>
          <w:sz w:val="24"/>
        </w:rPr>
        <w:t>月账内互转表</w:t>
      </w:r>
    </w:p>
    <w:p>
      <w:pPr>
        <w:widowControl w:val="0"/>
        <w:textAlignment w:val="center"/>
        <w:rPr>
          <w:rFonts w:ascii="Arial" w:hAnsi="Arial" w:cs="Arial"/>
          <w:bCs/>
          <w:color w:val="000000"/>
          <w:sz w:val="20"/>
          <w:szCs w:val="20"/>
        </w:rPr>
      </w:pPr>
    </w:p>
    <w:tbl>
      <w:tblPr>
        <w:tblStyle w:val="22"/>
        <w:tblW w:w="8883" w:type="dxa"/>
        <w:jc w:val="center"/>
        <w:tblLayout w:type="fixed"/>
        <w:tblCellMar>
          <w:top w:w="0" w:type="dxa"/>
          <w:left w:w="0" w:type="dxa"/>
          <w:bottom w:w="0" w:type="dxa"/>
          <w:right w:w="0" w:type="dxa"/>
        </w:tblCellMar>
      </w:tblPr>
      <w:tblGrid>
        <w:gridCol w:w="1037"/>
        <w:gridCol w:w="1605"/>
        <w:gridCol w:w="1485"/>
        <w:gridCol w:w="1590"/>
        <w:gridCol w:w="1770"/>
        <w:gridCol w:w="1396"/>
      </w:tblGrid>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lang w:bidi="ar"/>
              </w:rPr>
              <w:t>项目公司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lang w:bidi="ar"/>
              </w:rPr>
              <w:t>事由</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lang w:bidi="ar"/>
              </w:rPr>
              <w:t>付款行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lang w:bidi="ar"/>
              </w:rPr>
              <w:t>收款行</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right"/>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lang w:bidi="ar"/>
              </w:rPr>
              <w:t>金额（元）</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lang w:bidi="ar"/>
              </w:rPr>
              <w:t>申请日期</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转小额账户资金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工商银行0232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平安1287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 xml:space="preserve">2,000,000.00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2020-12-1</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转监管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工商银行0232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平安监管3957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 xml:space="preserve">1,548,394.00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2020-12-21</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提取非重点监管资金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平安监管3957</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平安0073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 xml:space="preserve">11,800,000.00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2020-12-21</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还开发贷</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工商银行0232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平安0073</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 xml:space="preserve">1,810,000.00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2020-12-21</w:t>
            </w:r>
          </w:p>
        </w:tc>
      </w:tr>
    </w:tbl>
    <w:p>
      <w:pPr>
        <w:widowControl w:val="0"/>
        <w:textAlignment w:val="center"/>
        <w:rPr>
          <w:rFonts w:hint="default" w:ascii="Arial" w:hAnsi="Arial" w:eastAsia="宋体" w:cs="Arial"/>
          <w:bCs/>
          <w:color w:val="000000"/>
          <w:sz w:val="18"/>
          <w:szCs w:val="18"/>
        </w:rPr>
      </w:pPr>
    </w:p>
    <w:p>
      <w:pPr>
        <w:pStyle w:val="3"/>
        <w:keepLines w:val="0"/>
        <w:spacing w:before="300" w:after="300" w:line="360" w:lineRule="exact"/>
        <w:rPr>
          <w:rFonts w:eastAsia="宋体" w:cs="Arial"/>
          <w:sz w:val="24"/>
          <w:szCs w:val="24"/>
        </w:rPr>
      </w:pPr>
      <w:bookmarkStart w:id="49" w:name="_Toc23446"/>
      <w:r>
        <w:rPr>
          <w:rFonts w:eastAsia="宋体" w:cs="Arial"/>
          <w:sz w:val="24"/>
          <w:szCs w:val="24"/>
        </w:rPr>
        <w:t>8.3 资金流入情况</w:t>
      </w:r>
      <w:bookmarkEnd w:id="49"/>
    </w:p>
    <w:p>
      <w:pPr>
        <w:spacing w:line="480" w:lineRule="auto"/>
        <w:ind w:firstLine="420" w:firstLineChars="200"/>
        <w:rPr>
          <w:rFonts w:hint="default" w:ascii="Arial" w:hAnsi="Arial" w:cs="Arial"/>
          <w:bCs/>
          <w:kern w:val="44"/>
          <w:sz w:val="21"/>
          <w:szCs w:val="21"/>
        </w:rPr>
      </w:pPr>
      <w:r>
        <w:rPr>
          <w:rFonts w:hint="default" w:ascii="Arial" w:hAnsi="Arial" w:cs="Arial"/>
          <w:bCs/>
          <w:kern w:val="44"/>
          <w:sz w:val="21"/>
          <w:szCs w:val="21"/>
        </w:rPr>
        <w:t>2020年1</w:t>
      </w:r>
      <w:r>
        <w:rPr>
          <w:rFonts w:hint="eastAsia" w:ascii="Arial" w:hAnsi="Arial" w:cs="Arial"/>
          <w:bCs/>
          <w:kern w:val="44"/>
          <w:sz w:val="21"/>
          <w:szCs w:val="21"/>
          <w:lang w:val="en-US" w:eastAsia="zh-CN"/>
        </w:rPr>
        <w:t>2</w:t>
      </w:r>
      <w:r>
        <w:rPr>
          <w:rFonts w:hint="default" w:ascii="Arial" w:hAnsi="Arial" w:cs="Arial"/>
          <w:bCs/>
          <w:kern w:val="44"/>
          <w:sz w:val="21"/>
          <w:szCs w:val="21"/>
        </w:rPr>
        <w:t>月监管范围内各类资金流入共计</w:t>
      </w:r>
      <w:r>
        <w:rPr>
          <w:rFonts w:hint="eastAsia" w:ascii="Arial" w:hAnsi="Arial" w:cs="Arial"/>
          <w:bCs/>
          <w:kern w:val="44"/>
          <w:sz w:val="21"/>
          <w:szCs w:val="21"/>
          <w:lang w:val="en-US" w:eastAsia="zh-CN"/>
        </w:rPr>
        <w:t>97</w:t>
      </w:r>
      <w:r>
        <w:rPr>
          <w:rFonts w:hint="default" w:ascii="Arial" w:hAnsi="Arial" w:cs="Arial"/>
          <w:bCs/>
          <w:kern w:val="44"/>
          <w:sz w:val="21"/>
          <w:szCs w:val="21"/>
          <w:lang w:val="en-US" w:eastAsia="zh-CN"/>
        </w:rPr>
        <w:t>,</w:t>
      </w:r>
      <w:r>
        <w:rPr>
          <w:rFonts w:hint="eastAsia" w:ascii="Arial" w:hAnsi="Arial" w:cs="Arial"/>
          <w:bCs/>
          <w:kern w:val="44"/>
          <w:sz w:val="21"/>
          <w:szCs w:val="21"/>
          <w:lang w:val="en-US" w:eastAsia="zh-CN"/>
        </w:rPr>
        <w:t>757</w:t>
      </w:r>
      <w:r>
        <w:rPr>
          <w:rFonts w:hint="default" w:ascii="Arial" w:hAnsi="Arial" w:cs="Arial"/>
          <w:bCs/>
          <w:kern w:val="44"/>
          <w:sz w:val="21"/>
          <w:szCs w:val="21"/>
          <w:lang w:val="en-US" w:eastAsia="zh-CN"/>
        </w:rPr>
        <w:t>,</w:t>
      </w:r>
      <w:r>
        <w:rPr>
          <w:rFonts w:hint="eastAsia" w:ascii="Arial" w:hAnsi="Arial" w:cs="Arial"/>
          <w:bCs/>
          <w:kern w:val="44"/>
          <w:sz w:val="21"/>
          <w:szCs w:val="21"/>
          <w:lang w:val="en-US" w:eastAsia="zh-CN"/>
        </w:rPr>
        <w:t>379</w:t>
      </w:r>
      <w:r>
        <w:rPr>
          <w:rFonts w:hint="default" w:ascii="Arial" w:hAnsi="Arial" w:cs="Arial"/>
          <w:bCs/>
          <w:kern w:val="44"/>
          <w:sz w:val="21"/>
          <w:szCs w:val="21"/>
          <w:lang w:val="en-US" w:eastAsia="zh-CN"/>
        </w:rPr>
        <w:t>.</w:t>
      </w:r>
      <w:r>
        <w:rPr>
          <w:rFonts w:hint="eastAsia" w:ascii="Arial" w:hAnsi="Arial" w:cs="Arial"/>
          <w:bCs/>
          <w:kern w:val="44"/>
          <w:sz w:val="21"/>
          <w:szCs w:val="21"/>
          <w:lang w:val="en-US" w:eastAsia="zh-CN"/>
        </w:rPr>
        <w:t>45</w:t>
      </w:r>
      <w:r>
        <w:rPr>
          <w:rFonts w:hint="default" w:ascii="Arial" w:hAnsi="Arial" w:cs="Arial"/>
          <w:bCs/>
          <w:kern w:val="44"/>
          <w:sz w:val="21"/>
          <w:szCs w:val="21"/>
        </w:rPr>
        <w:t>元，其中销售回款流入</w:t>
      </w:r>
      <w:r>
        <w:rPr>
          <w:rFonts w:hint="default" w:ascii="Arial" w:hAnsi="Arial" w:eastAsia="宋体" w:cs="Arial"/>
          <w:i w:val="0"/>
          <w:color w:val="000000"/>
          <w:kern w:val="0"/>
          <w:sz w:val="21"/>
          <w:szCs w:val="21"/>
          <w:u w:val="none"/>
          <w:lang w:val="en-US" w:eastAsia="zh-CN" w:bidi="ar"/>
        </w:rPr>
        <w:t>29,580,275.12</w:t>
      </w:r>
      <w:r>
        <w:rPr>
          <w:rFonts w:hint="default" w:ascii="Arial" w:hAnsi="Arial" w:cs="Arial"/>
          <w:bCs/>
          <w:kern w:val="44"/>
          <w:sz w:val="21"/>
          <w:szCs w:val="21"/>
          <w:lang w:bidi="ar"/>
        </w:rPr>
        <w:t>元，</w:t>
      </w:r>
      <w:r>
        <w:rPr>
          <w:rFonts w:hint="default" w:ascii="Arial" w:hAnsi="Arial" w:cs="Arial"/>
          <w:bCs/>
          <w:kern w:val="44"/>
          <w:sz w:val="21"/>
          <w:szCs w:val="21"/>
        </w:rPr>
        <w:t>其他资金流入额</w:t>
      </w:r>
      <w:r>
        <w:rPr>
          <w:rFonts w:hint="default" w:ascii="Arial" w:hAnsi="Arial" w:eastAsia="宋体" w:cs="Arial"/>
          <w:i w:val="0"/>
          <w:color w:val="000000"/>
          <w:kern w:val="0"/>
          <w:sz w:val="21"/>
          <w:szCs w:val="21"/>
          <w:u w:val="none"/>
          <w:lang w:val="en-US" w:eastAsia="zh-CN" w:bidi="ar"/>
        </w:rPr>
        <w:t>68,177,104.33</w:t>
      </w:r>
      <w:r>
        <w:rPr>
          <w:rFonts w:hint="default" w:ascii="Arial" w:hAnsi="Arial" w:cs="Arial"/>
          <w:bCs/>
          <w:kern w:val="44"/>
          <w:sz w:val="21"/>
          <w:szCs w:val="21"/>
        </w:rPr>
        <w:t>元。</w:t>
      </w:r>
    </w:p>
    <w:p>
      <w:pPr>
        <w:pStyle w:val="4"/>
        <w:keepLines w:val="0"/>
        <w:spacing w:before="300" w:after="300" w:line="360" w:lineRule="exact"/>
        <w:rPr>
          <w:rFonts w:ascii="Arial" w:hAnsi="Arial" w:cs="Arial"/>
          <w:sz w:val="24"/>
          <w:szCs w:val="24"/>
        </w:rPr>
      </w:pPr>
      <w:bookmarkStart w:id="50" w:name="_Toc27350"/>
      <w:r>
        <w:rPr>
          <w:rFonts w:hint="eastAsia" w:cs="Arial"/>
          <w:sz w:val="24"/>
          <w:szCs w:val="24"/>
        </w:rPr>
        <w:t>8</w:t>
      </w:r>
      <w:r>
        <w:rPr>
          <w:rFonts w:ascii="Arial" w:hAnsi="Arial" w:cs="Arial"/>
          <w:sz w:val="24"/>
          <w:szCs w:val="24"/>
        </w:rPr>
        <w:t>.3.1其他资金流入明细</w:t>
      </w:r>
      <w:bookmarkEnd w:id="50"/>
    </w:p>
    <w:p>
      <w:pPr>
        <w:widowControl w:val="0"/>
        <w:jc w:val="center"/>
        <w:textAlignment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1</w:t>
      </w:r>
      <w:r>
        <w:rPr>
          <w:rFonts w:hint="eastAsia" w:ascii="Arial" w:hAnsi="Arial" w:cs="Arial"/>
          <w:b/>
          <w:color w:val="000000"/>
          <w:sz w:val="24"/>
          <w:lang w:val="en-US" w:eastAsia="zh-CN"/>
        </w:rPr>
        <w:t>2</w:t>
      </w:r>
      <w:r>
        <w:rPr>
          <w:rFonts w:ascii="Arial" w:hAnsi="Arial" w:cs="Arial"/>
          <w:b/>
          <w:color w:val="000000"/>
          <w:sz w:val="24"/>
        </w:rPr>
        <w:t>月资金流入明细表</w:t>
      </w:r>
    </w:p>
    <w:p>
      <w:pPr>
        <w:widowControl w:val="0"/>
        <w:jc w:val="center"/>
        <w:textAlignment w:val="center"/>
        <w:rPr>
          <w:rFonts w:ascii="Arial" w:hAnsi="Arial" w:cs="Arial"/>
          <w:b/>
          <w:color w:val="000000"/>
          <w:sz w:val="24"/>
        </w:rPr>
      </w:pPr>
    </w:p>
    <w:tbl>
      <w:tblPr>
        <w:tblStyle w:val="22"/>
        <w:tblW w:w="8940" w:type="dxa"/>
        <w:jc w:val="center"/>
        <w:shd w:val="clear" w:color="auto" w:fill="auto"/>
        <w:tblLayout w:type="autofit"/>
        <w:tblCellMar>
          <w:top w:w="0" w:type="dxa"/>
          <w:left w:w="0" w:type="dxa"/>
          <w:bottom w:w="0" w:type="dxa"/>
          <w:right w:w="0" w:type="dxa"/>
        </w:tblCellMar>
      </w:tblPr>
      <w:tblGrid>
        <w:gridCol w:w="915"/>
        <w:gridCol w:w="1125"/>
        <w:gridCol w:w="3120"/>
        <w:gridCol w:w="915"/>
        <w:gridCol w:w="1485"/>
        <w:gridCol w:w="1380"/>
      </w:tblGrid>
      <w:tr>
        <w:tblPrEx>
          <w:shd w:val="clear" w:color="auto" w:fill="auto"/>
          <w:tblCellMar>
            <w:top w:w="0" w:type="dxa"/>
            <w:left w:w="0" w:type="dxa"/>
            <w:bottom w:w="0" w:type="dxa"/>
            <w:right w:w="0" w:type="dxa"/>
          </w:tblCellMar>
        </w:tblPrEx>
        <w:trPr>
          <w:trHeight w:val="272" w:hRule="atLeast"/>
          <w:tblHeader/>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bookmarkStart w:id="51" w:name="_Toc5065"/>
            <w:r>
              <w:rPr>
                <w:rFonts w:hint="eastAsia" w:ascii="宋体" w:hAnsi="宋体" w:eastAsia="宋体" w:cs="宋体"/>
                <w:b/>
                <w:i w:val="0"/>
                <w:color w:val="000000"/>
                <w:kern w:val="0"/>
                <w:sz w:val="18"/>
                <w:szCs w:val="18"/>
                <w:u w:val="none"/>
                <w:lang w:val="en-US" w:eastAsia="zh-CN" w:bidi="ar"/>
              </w:rPr>
              <w:t>项目公司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收款日期</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w:t>
            </w:r>
          </w:p>
        </w:tc>
        <w:tc>
          <w:tcPr>
            <w:tcW w:w="13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福州回春药医连锁有限公司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27,680.00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武汉市兴锐烟酒副食店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锦企业管理咨询有限公司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武汉钰和科技有限公司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正荣地产控股股份有限公司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锦企业管理咨询有限公司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0" name="Host_Control__7_SpCnt_2"/>
                  <wp:cNvGraphicFramePr/>
                  <a:graphic xmlns:a="http://schemas.openxmlformats.org/drawingml/2006/main">
                    <a:graphicData uri="http://schemas.openxmlformats.org/drawingml/2006/picture">
                      <pic:pic xmlns:pic="http://schemas.openxmlformats.org/drawingml/2006/picture">
                        <pic:nvPicPr>
                          <pic:cNvPr id="270" name="Host_Control__7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1" name="Host_Control__36_SpCnt_2"/>
                  <wp:cNvGraphicFramePr/>
                  <a:graphic xmlns:a="http://schemas.openxmlformats.org/drawingml/2006/main">
                    <a:graphicData uri="http://schemas.openxmlformats.org/drawingml/2006/picture">
                      <pic:pic xmlns:pic="http://schemas.openxmlformats.org/drawingml/2006/picture">
                        <pic:nvPicPr>
                          <pic:cNvPr id="271" name="Host_Control__36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2" name="Host_Control__32_SpCnt_2"/>
                  <wp:cNvGraphicFramePr/>
                  <a:graphic xmlns:a="http://schemas.openxmlformats.org/drawingml/2006/main">
                    <a:graphicData uri="http://schemas.openxmlformats.org/drawingml/2006/picture">
                      <pic:pic xmlns:pic="http://schemas.openxmlformats.org/drawingml/2006/picture">
                        <pic:nvPicPr>
                          <pic:cNvPr id="272" name="Host_Control__32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3" name="Host_Control__24_SpCnt_2"/>
                  <wp:cNvGraphicFramePr/>
                  <a:graphic xmlns:a="http://schemas.openxmlformats.org/drawingml/2006/main">
                    <a:graphicData uri="http://schemas.openxmlformats.org/drawingml/2006/picture">
                      <pic:pic xmlns:pic="http://schemas.openxmlformats.org/drawingml/2006/picture">
                        <pic:nvPicPr>
                          <pic:cNvPr id="273" name="Host_Control__24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4" name="Host_Control__37_SpCnt_2"/>
                  <wp:cNvGraphicFramePr/>
                  <a:graphic xmlns:a="http://schemas.openxmlformats.org/drawingml/2006/main">
                    <a:graphicData uri="http://schemas.openxmlformats.org/drawingml/2006/picture">
                      <pic:pic xmlns:pic="http://schemas.openxmlformats.org/drawingml/2006/picture">
                        <pic:nvPicPr>
                          <pic:cNvPr id="274" name="Host_Control__37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5" name="Host_Control__8_SpCnt_2"/>
                  <wp:cNvGraphicFramePr/>
                  <a:graphic xmlns:a="http://schemas.openxmlformats.org/drawingml/2006/main">
                    <a:graphicData uri="http://schemas.openxmlformats.org/drawingml/2006/picture">
                      <pic:pic xmlns:pic="http://schemas.openxmlformats.org/drawingml/2006/picture">
                        <pic:nvPicPr>
                          <pic:cNvPr id="275" name="Host_Control__8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6" name="Host_Control__34_SpCnt_2"/>
                  <wp:cNvGraphicFramePr/>
                  <a:graphic xmlns:a="http://schemas.openxmlformats.org/drawingml/2006/main">
                    <a:graphicData uri="http://schemas.openxmlformats.org/drawingml/2006/picture">
                      <pic:pic xmlns:pic="http://schemas.openxmlformats.org/drawingml/2006/picture">
                        <pic:nvPicPr>
                          <pic:cNvPr id="276" name="Host_Control__34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7" name="Host_Control__33_SpCnt_2"/>
                  <wp:cNvGraphicFramePr/>
                  <a:graphic xmlns:a="http://schemas.openxmlformats.org/drawingml/2006/main">
                    <a:graphicData uri="http://schemas.openxmlformats.org/drawingml/2006/picture">
                      <pic:pic xmlns:pic="http://schemas.openxmlformats.org/drawingml/2006/picture">
                        <pic:nvPicPr>
                          <pic:cNvPr id="277" name="Host_Control__33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8" name="Host_Control__25_SpCnt_2"/>
                  <wp:cNvGraphicFramePr/>
                  <a:graphic xmlns:a="http://schemas.openxmlformats.org/drawingml/2006/main">
                    <a:graphicData uri="http://schemas.openxmlformats.org/drawingml/2006/picture">
                      <pic:pic xmlns:pic="http://schemas.openxmlformats.org/drawingml/2006/picture">
                        <pic:nvPicPr>
                          <pic:cNvPr id="278" name="Host_Control__25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9" name="Host_Control__29_SpCnt_2"/>
                  <wp:cNvGraphicFramePr/>
                  <a:graphic xmlns:a="http://schemas.openxmlformats.org/drawingml/2006/main">
                    <a:graphicData uri="http://schemas.openxmlformats.org/drawingml/2006/picture">
                      <pic:pic xmlns:pic="http://schemas.openxmlformats.org/drawingml/2006/picture">
                        <pic:nvPicPr>
                          <pic:cNvPr id="279" name="Host_Control__29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0" name="Host_Control__28_SpCnt_2"/>
                  <wp:cNvGraphicFramePr/>
                  <a:graphic xmlns:a="http://schemas.openxmlformats.org/drawingml/2006/main">
                    <a:graphicData uri="http://schemas.openxmlformats.org/drawingml/2006/picture">
                      <pic:pic xmlns:pic="http://schemas.openxmlformats.org/drawingml/2006/picture">
                        <pic:nvPicPr>
                          <pic:cNvPr id="280" name="Host_Control__28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1" name="Host_Control__26_SpCnt_2"/>
                  <wp:cNvGraphicFramePr/>
                  <a:graphic xmlns:a="http://schemas.openxmlformats.org/drawingml/2006/main">
                    <a:graphicData uri="http://schemas.openxmlformats.org/drawingml/2006/picture">
                      <pic:pic xmlns:pic="http://schemas.openxmlformats.org/drawingml/2006/picture">
                        <pic:nvPicPr>
                          <pic:cNvPr id="281" name="Host_Control__26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2" name="Host_Control__9_SpCnt_2"/>
                  <wp:cNvGraphicFramePr/>
                  <a:graphic xmlns:a="http://schemas.openxmlformats.org/drawingml/2006/main">
                    <a:graphicData uri="http://schemas.openxmlformats.org/drawingml/2006/picture">
                      <pic:pic xmlns:pic="http://schemas.openxmlformats.org/drawingml/2006/picture">
                        <pic:nvPicPr>
                          <pic:cNvPr id="282" name="Host_Control__9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3" name="Host_Control__21_SpCnt_2"/>
                  <wp:cNvGraphicFramePr/>
                  <a:graphic xmlns:a="http://schemas.openxmlformats.org/drawingml/2006/main">
                    <a:graphicData uri="http://schemas.openxmlformats.org/drawingml/2006/picture">
                      <pic:pic xmlns:pic="http://schemas.openxmlformats.org/drawingml/2006/picture">
                        <pic:nvPicPr>
                          <pic:cNvPr id="283" name="Host_Control__21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4" name="Host_Control__20_SpCnt_2"/>
                  <wp:cNvGraphicFramePr/>
                  <a:graphic xmlns:a="http://schemas.openxmlformats.org/drawingml/2006/main">
                    <a:graphicData uri="http://schemas.openxmlformats.org/drawingml/2006/picture">
                      <pic:pic xmlns:pic="http://schemas.openxmlformats.org/drawingml/2006/picture">
                        <pic:nvPicPr>
                          <pic:cNvPr id="284" name="Host_Control__20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5" name="Host_Control__18_SpCnt_2"/>
                  <wp:cNvGraphicFramePr/>
                  <a:graphic xmlns:a="http://schemas.openxmlformats.org/drawingml/2006/main">
                    <a:graphicData uri="http://schemas.openxmlformats.org/drawingml/2006/picture">
                      <pic:pic xmlns:pic="http://schemas.openxmlformats.org/drawingml/2006/picture">
                        <pic:nvPicPr>
                          <pic:cNvPr id="285" name="Host_Control__18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6" name="Host_Control__13_SpCnt_2"/>
                  <wp:cNvGraphicFramePr/>
                  <a:graphic xmlns:a="http://schemas.openxmlformats.org/drawingml/2006/main">
                    <a:graphicData uri="http://schemas.openxmlformats.org/drawingml/2006/picture">
                      <pic:pic xmlns:pic="http://schemas.openxmlformats.org/drawingml/2006/picture">
                        <pic:nvPicPr>
                          <pic:cNvPr id="286" name="Host_Control__13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7" name="Host_Control__14_SpCnt_2"/>
                  <wp:cNvGraphicFramePr/>
                  <a:graphic xmlns:a="http://schemas.openxmlformats.org/drawingml/2006/main">
                    <a:graphicData uri="http://schemas.openxmlformats.org/drawingml/2006/picture">
                      <pic:pic xmlns:pic="http://schemas.openxmlformats.org/drawingml/2006/picture">
                        <pic:nvPicPr>
                          <pic:cNvPr id="287" name="Host_Control__14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8" name="Host_Control__11_SpCnt_2"/>
                  <wp:cNvGraphicFramePr/>
                  <a:graphic xmlns:a="http://schemas.openxmlformats.org/drawingml/2006/main">
                    <a:graphicData uri="http://schemas.openxmlformats.org/drawingml/2006/picture">
                      <pic:pic xmlns:pic="http://schemas.openxmlformats.org/drawingml/2006/picture">
                        <pic:nvPicPr>
                          <pic:cNvPr id="288" name="Host_Control__11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9" name="Host_Control__10_SpCnt_2"/>
                  <wp:cNvGraphicFramePr/>
                  <a:graphic xmlns:a="http://schemas.openxmlformats.org/drawingml/2006/main">
                    <a:graphicData uri="http://schemas.openxmlformats.org/drawingml/2006/picture">
                      <pic:pic xmlns:pic="http://schemas.openxmlformats.org/drawingml/2006/picture">
                        <pic:nvPicPr>
                          <pic:cNvPr id="289" name="Host_Control__10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0" name="Host_Control__8_SpCnt_3"/>
                  <wp:cNvGraphicFramePr/>
                  <a:graphic xmlns:a="http://schemas.openxmlformats.org/drawingml/2006/main">
                    <a:graphicData uri="http://schemas.openxmlformats.org/drawingml/2006/picture">
                      <pic:pic xmlns:pic="http://schemas.openxmlformats.org/drawingml/2006/picture">
                        <pic:nvPicPr>
                          <pic:cNvPr id="290" name="Host_Control__8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1" name="Host_Control__36_SpCnt_3"/>
                  <wp:cNvGraphicFramePr/>
                  <a:graphic xmlns:a="http://schemas.openxmlformats.org/drawingml/2006/main">
                    <a:graphicData uri="http://schemas.openxmlformats.org/drawingml/2006/picture">
                      <pic:pic xmlns:pic="http://schemas.openxmlformats.org/drawingml/2006/picture">
                        <pic:nvPicPr>
                          <pic:cNvPr id="291" name="Host_Control__36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2" name="Host_Control__35_SpCnt_2"/>
                  <wp:cNvGraphicFramePr/>
                  <a:graphic xmlns:a="http://schemas.openxmlformats.org/drawingml/2006/main">
                    <a:graphicData uri="http://schemas.openxmlformats.org/drawingml/2006/picture">
                      <pic:pic xmlns:pic="http://schemas.openxmlformats.org/drawingml/2006/picture">
                        <pic:nvPicPr>
                          <pic:cNvPr id="292" name="Host_Control__35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3" name="Host_Control__33_SpCnt_3"/>
                  <wp:cNvGraphicFramePr/>
                  <a:graphic xmlns:a="http://schemas.openxmlformats.org/drawingml/2006/main">
                    <a:graphicData uri="http://schemas.openxmlformats.org/drawingml/2006/picture">
                      <pic:pic xmlns:pic="http://schemas.openxmlformats.org/drawingml/2006/picture">
                        <pic:nvPicPr>
                          <pic:cNvPr id="293" name="Host_Control__33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4" name="Host_Control__28_SpCnt_3"/>
                  <wp:cNvGraphicFramePr/>
                  <a:graphic xmlns:a="http://schemas.openxmlformats.org/drawingml/2006/main">
                    <a:graphicData uri="http://schemas.openxmlformats.org/drawingml/2006/picture">
                      <pic:pic xmlns:pic="http://schemas.openxmlformats.org/drawingml/2006/picture">
                        <pic:nvPicPr>
                          <pic:cNvPr id="294" name="Host_Control__28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5" name="Host_Control__29_SpCnt_3"/>
                  <wp:cNvGraphicFramePr/>
                  <a:graphic xmlns:a="http://schemas.openxmlformats.org/drawingml/2006/main">
                    <a:graphicData uri="http://schemas.openxmlformats.org/drawingml/2006/picture">
                      <pic:pic xmlns:pic="http://schemas.openxmlformats.org/drawingml/2006/picture">
                        <pic:nvPicPr>
                          <pic:cNvPr id="295" name="Host_Control__29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6" name="Host_Control__26_SpCnt_3"/>
                  <wp:cNvGraphicFramePr/>
                  <a:graphic xmlns:a="http://schemas.openxmlformats.org/drawingml/2006/main">
                    <a:graphicData uri="http://schemas.openxmlformats.org/drawingml/2006/picture">
                      <pic:pic xmlns:pic="http://schemas.openxmlformats.org/drawingml/2006/picture">
                        <pic:nvPicPr>
                          <pic:cNvPr id="296" name="Host_Control__26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7" name="Host_Control__25_SpCnt_3"/>
                  <wp:cNvGraphicFramePr/>
                  <a:graphic xmlns:a="http://schemas.openxmlformats.org/drawingml/2006/main">
                    <a:graphicData uri="http://schemas.openxmlformats.org/drawingml/2006/picture">
                      <pic:pic xmlns:pic="http://schemas.openxmlformats.org/drawingml/2006/picture">
                        <pic:nvPicPr>
                          <pic:cNvPr id="297" name="Host_Control__25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8" name="Host_Control__12_SpCnt_2"/>
                  <wp:cNvGraphicFramePr/>
                  <a:graphic xmlns:a="http://schemas.openxmlformats.org/drawingml/2006/main">
                    <a:graphicData uri="http://schemas.openxmlformats.org/drawingml/2006/picture">
                      <pic:pic xmlns:pic="http://schemas.openxmlformats.org/drawingml/2006/picture">
                        <pic:nvPicPr>
                          <pic:cNvPr id="298" name="Host_Control__12_SpCnt_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9" name="Host_Control__21_SpCnt_3"/>
                  <wp:cNvGraphicFramePr/>
                  <a:graphic xmlns:a="http://schemas.openxmlformats.org/drawingml/2006/main">
                    <a:graphicData uri="http://schemas.openxmlformats.org/drawingml/2006/picture">
                      <pic:pic xmlns:pic="http://schemas.openxmlformats.org/drawingml/2006/picture">
                        <pic:nvPicPr>
                          <pic:cNvPr id="299" name="Host_Control__21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0" name="Host_Control__18_SpCnt_3"/>
                  <wp:cNvGraphicFramePr/>
                  <a:graphic xmlns:a="http://schemas.openxmlformats.org/drawingml/2006/main">
                    <a:graphicData uri="http://schemas.openxmlformats.org/drawingml/2006/picture">
                      <pic:pic xmlns:pic="http://schemas.openxmlformats.org/drawingml/2006/picture">
                        <pic:nvPicPr>
                          <pic:cNvPr id="300" name="Host_Control__18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1" name="Host_Control__17_SpCnt_2"/>
                  <wp:cNvGraphicFramePr/>
                  <a:graphic xmlns:a="http://schemas.openxmlformats.org/drawingml/2006/main">
                    <a:graphicData uri="http://schemas.openxmlformats.org/drawingml/2006/picture">
                      <pic:pic xmlns:pic="http://schemas.openxmlformats.org/drawingml/2006/picture">
                        <pic:nvPicPr>
                          <pic:cNvPr id="301" name="Host_Control__17_SpCnt_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2" name="Host_Control__16_SpCnt_2"/>
                  <wp:cNvGraphicFramePr/>
                  <a:graphic xmlns:a="http://schemas.openxmlformats.org/drawingml/2006/main">
                    <a:graphicData uri="http://schemas.openxmlformats.org/drawingml/2006/picture">
                      <pic:pic xmlns:pic="http://schemas.openxmlformats.org/drawingml/2006/picture">
                        <pic:nvPicPr>
                          <pic:cNvPr id="302" name="Host_Control__16_SpCnt_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3" name="Host_Control__13_SpCnt_3"/>
                  <wp:cNvGraphicFramePr/>
                  <a:graphic xmlns:a="http://schemas.openxmlformats.org/drawingml/2006/main">
                    <a:graphicData uri="http://schemas.openxmlformats.org/drawingml/2006/picture">
                      <pic:pic xmlns:pic="http://schemas.openxmlformats.org/drawingml/2006/picture">
                        <pic:nvPicPr>
                          <pic:cNvPr id="303" name="Host_Control__13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4" name="Host_Control__10_SpCnt_3"/>
                  <wp:cNvGraphicFramePr/>
                  <a:graphic xmlns:a="http://schemas.openxmlformats.org/drawingml/2006/main">
                    <a:graphicData uri="http://schemas.openxmlformats.org/drawingml/2006/picture">
                      <pic:pic xmlns:pic="http://schemas.openxmlformats.org/drawingml/2006/picture">
                        <pic:nvPicPr>
                          <pic:cNvPr id="304" name="Host_Control__10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5" name="Host_Control__35_SpCnt_3"/>
                  <wp:cNvGraphicFramePr/>
                  <a:graphic xmlns:a="http://schemas.openxmlformats.org/drawingml/2006/main">
                    <a:graphicData uri="http://schemas.openxmlformats.org/drawingml/2006/picture">
                      <pic:pic xmlns:pic="http://schemas.openxmlformats.org/drawingml/2006/picture">
                        <pic:nvPicPr>
                          <pic:cNvPr id="305" name="Host_Control__35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6" name="Host_Control__9_SpCnt_3"/>
                  <wp:cNvGraphicFramePr/>
                  <a:graphic xmlns:a="http://schemas.openxmlformats.org/drawingml/2006/main">
                    <a:graphicData uri="http://schemas.openxmlformats.org/drawingml/2006/picture">
                      <pic:pic xmlns:pic="http://schemas.openxmlformats.org/drawingml/2006/picture">
                        <pic:nvPicPr>
                          <pic:cNvPr id="306" name="Host_Control__9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7" name="Host_Control__30_SpCnt_2"/>
                  <wp:cNvGraphicFramePr/>
                  <a:graphic xmlns:a="http://schemas.openxmlformats.org/drawingml/2006/main">
                    <a:graphicData uri="http://schemas.openxmlformats.org/drawingml/2006/picture">
                      <pic:pic xmlns:pic="http://schemas.openxmlformats.org/drawingml/2006/picture">
                        <pic:nvPicPr>
                          <pic:cNvPr id="307" name="Host_Control__30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8" name="Host_Control__27_SpCnt_2"/>
                  <wp:cNvGraphicFramePr/>
                  <a:graphic xmlns:a="http://schemas.openxmlformats.org/drawingml/2006/main">
                    <a:graphicData uri="http://schemas.openxmlformats.org/drawingml/2006/picture">
                      <pic:pic xmlns:pic="http://schemas.openxmlformats.org/drawingml/2006/picture">
                        <pic:nvPicPr>
                          <pic:cNvPr id="308" name="Host_Control__27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9" name="Host_Control__17_SpCnt_3"/>
                  <wp:cNvGraphicFramePr/>
                  <a:graphic xmlns:a="http://schemas.openxmlformats.org/drawingml/2006/main">
                    <a:graphicData uri="http://schemas.openxmlformats.org/drawingml/2006/picture">
                      <pic:pic xmlns:pic="http://schemas.openxmlformats.org/drawingml/2006/picture">
                        <pic:nvPicPr>
                          <pic:cNvPr id="309" name="Host_Control__17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0" name="Host_Control__19_SpCnt_2"/>
                  <wp:cNvGraphicFramePr/>
                  <a:graphic xmlns:a="http://schemas.openxmlformats.org/drawingml/2006/main">
                    <a:graphicData uri="http://schemas.openxmlformats.org/drawingml/2006/picture">
                      <pic:pic xmlns:pic="http://schemas.openxmlformats.org/drawingml/2006/picture">
                        <pic:nvPicPr>
                          <pic:cNvPr id="310" name="Host_Control__19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1" name="Host_Control__16_SpCnt_3"/>
                  <wp:cNvGraphicFramePr/>
                  <a:graphic xmlns:a="http://schemas.openxmlformats.org/drawingml/2006/main">
                    <a:graphicData uri="http://schemas.openxmlformats.org/drawingml/2006/picture">
                      <pic:pic xmlns:pic="http://schemas.openxmlformats.org/drawingml/2006/picture">
                        <pic:nvPicPr>
                          <pic:cNvPr id="311" name="Host_Control__16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2" name="Host_Control__12_SpCnt_3"/>
                  <wp:cNvGraphicFramePr/>
                  <a:graphic xmlns:a="http://schemas.openxmlformats.org/drawingml/2006/main">
                    <a:graphicData uri="http://schemas.openxmlformats.org/drawingml/2006/picture">
                      <pic:pic xmlns:pic="http://schemas.openxmlformats.org/drawingml/2006/picture">
                        <pic:nvPicPr>
                          <pic:cNvPr id="312" name="Host_Control__12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3" name="Host_Control__24_SpCnt_3"/>
                  <wp:cNvGraphicFramePr/>
                  <a:graphic xmlns:a="http://schemas.openxmlformats.org/drawingml/2006/main">
                    <a:graphicData uri="http://schemas.openxmlformats.org/drawingml/2006/picture">
                      <pic:pic xmlns:pic="http://schemas.openxmlformats.org/drawingml/2006/picture">
                        <pic:nvPicPr>
                          <pic:cNvPr id="313" name="Host_Control__24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4" name="Host_Control__34_SpCnt_3"/>
                  <wp:cNvGraphicFramePr/>
                  <a:graphic xmlns:a="http://schemas.openxmlformats.org/drawingml/2006/main">
                    <a:graphicData uri="http://schemas.openxmlformats.org/drawingml/2006/picture">
                      <pic:pic xmlns:pic="http://schemas.openxmlformats.org/drawingml/2006/picture">
                        <pic:nvPicPr>
                          <pic:cNvPr id="314" name="Host_Control__34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5" name="Host_Control__31_SpCnt_2"/>
                  <wp:cNvGraphicFramePr/>
                  <a:graphic xmlns:a="http://schemas.openxmlformats.org/drawingml/2006/main">
                    <a:graphicData uri="http://schemas.openxmlformats.org/drawingml/2006/picture">
                      <pic:pic xmlns:pic="http://schemas.openxmlformats.org/drawingml/2006/picture">
                        <pic:nvPicPr>
                          <pic:cNvPr id="315" name="Host_Control__31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6" name="Host_Control__27_SpCnt_3"/>
                  <wp:cNvGraphicFramePr/>
                  <a:graphic xmlns:a="http://schemas.openxmlformats.org/drawingml/2006/main">
                    <a:graphicData uri="http://schemas.openxmlformats.org/drawingml/2006/picture">
                      <pic:pic xmlns:pic="http://schemas.openxmlformats.org/drawingml/2006/picture">
                        <pic:nvPicPr>
                          <pic:cNvPr id="316" name="Host_Control__27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7" name="Host_Control__20_SpCnt_3"/>
                  <wp:cNvGraphicFramePr/>
                  <a:graphic xmlns:a="http://schemas.openxmlformats.org/drawingml/2006/main">
                    <a:graphicData uri="http://schemas.openxmlformats.org/drawingml/2006/picture">
                      <pic:pic xmlns:pic="http://schemas.openxmlformats.org/drawingml/2006/picture">
                        <pic:nvPicPr>
                          <pic:cNvPr id="317" name="Host_Control__20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8" name="Host_Control__19_SpCnt_3"/>
                  <wp:cNvGraphicFramePr/>
                  <a:graphic xmlns:a="http://schemas.openxmlformats.org/drawingml/2006/main">
                    <a:graphicData uri="http://schemas.openxmlformats.org/drawingml/2006/picture">
                      <pic:pic xmlns:pic="http://schemas.openxmlformats.org/drawingml/2006/picture">
                        <pic:nvPicPr>
                          <pic:cNvPr id="318" name="Host_Control__19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9" name="Host_Control__14_SpCnt_3"/>
                  <wp:cNvGraphicFramePr/>
                  <a:graphic xmlns:a="http://schemas.openxmlformats.org/drawingml/2006/main">
                    <a:graphicData uri="http://schemas.openxmlformats.org/drawingml/2006/picture">
                      <pic:pic xmlns:pic="http://schemas.openxmlformats.org/drawingml/2006/picture">
                        <pic:nvPicPr>
                          <pic:cNvPr id="319" name="Host_Control__14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0" name="Host_Control__31_SpCnt_3"/>
                  <wp:cNvGraphicFramePr/>
                  <a:graphic xmlns:a="http://schemas.openxmlformats.org/drawingml/2006/main">
                    <a:graphicData uri="http://schemas.openxmlformats.org/drawingml/2006/picture">
                      <pic:pic xmlns:pic="http://schemas.openxmlformats.org/drawingml/2006/picture">
                        <pic:nvPicPr>
                          <pic:cNvPr id="320" name="Host_Control__31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1" name="Host_Control__11_SpCnt_3"/>
                  <wp:cNvGraphicFramePr/>
                  <a:graphic xmlns:a="http://schemas.openxmlformats.org/drawingml/2006/main">
                    <a:graphicData uri="http://schemas.openxmlformats.org/drawingml/2006/picture">
                      <pic:pic xmlns:pic="http://schemas.openxmlformats.org/drawingml/2006/picture">
                        <pic:nvPicPr>
                          <pic:cNvPr id="321" name="Host_Control__11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2" name="Host_Control__22_SpCnt_2"/>
                  <wp:cNvGraphicFramePr/>
                  <a:graphic xmlns:a="http://schemas.openxmlformats.org/drawingml/2006/main">
                    <a:graphicData uri="http://schemas.openxmlformats.org/drawingml/2006/picture">
                      <pic:pic xmlns:pic="http://schemas.openxmlformats.org/drawingml/2006/picture">
                        <pic:nvPicPr>
                          <pic:cNvPr id="322" name="Host_Control__22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3" name="Host_Control__15_SpCnt_2"/>
                  <wp:cNvGraphicFramePr/>
                  <a:graphic xmlns:a="http://schemas.openxmlformats.org/drawingml/2006/main">
                    <a:graphicData uri="http://schemas.openxmlformats.org/drawingml/2006/picture">
                      <pic:pic xmlns:pic="http://schemas.openxmlformats.org/drawingml/2006/picture">
                        <pic:nvPicPr>
                          <pic:cNvPr id="323" name="Host_Control__15_SpCnt_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4" name="Host_Control__32_SpCnt_3"/>
                  <wp:cNvGraphicFramePr/>
                  <a:graphic xmlns:a="http://schemas.openxmlformats.org/drawingml/2006/main">
                    <a:graphicData uri="http://schemas.openxmlformats.org/drawingml/2006/picture">
                      <pic:pic xmlns:pic="http://schemas.openxmlformats.org/drawingml/2006/picture">
                        <pic:nvPicPr>
                          <pic:cNvPr id="324" name="Host_Control__32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5" name="Host_Control__30_SpCnt_3"/>
                  <wp:cNvGraphicFramePr/>
                  <a:graphic xmlns:a="http://schemas.openxmlformats.org/drawingml/2006/main">
                    <a:graphicData uri="http://schemas.openxmlformats.org/drawingml/2006/picture">
                      <pic:pic xmlns:pic="http://schemas.openxmlformats.org/drawingml/2006/picture">
                        <pic:nvPicPr>
                          <pic:cNvPr id="325" name="Host_Control__30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6" name="Host_Control__23_SpCnt_2"/>
                  <wp:cNvGraphicFramePr/>
                  <a:graphic xmlns:a="http://schemas.openxmlformats.org/drawingml/2006/main">
                    <a:graphicData uri="http://schemas.openxmlformats.org/drawingml/2006/picture">
                      <pic:pic xmlns:pic="http://schemas.openxmlformats.org/drawingml/2006/picture">
                        <pic:nvPicPr>
                          <pic:cNvPr id="326" name="Host_Control__23_SpCnt_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7" name="Host_Control__23_SpCnt_3"/>
                  <wp:cNvGraphicFramePr/>
                  <a:graphic xmlns:a="http://schemas.openxmlformats.org/drawingml/2006/main">
                    <a:graphicData uri="http://schemas.openxmlformats.org/drawingml/2006/picture">
                      <pic:pic xmlns:pic="http://schemas.openxmlformats.org/drawingml/2006/picture">
                        <pic:nvPicPr>
                          <pic:cNvPr id="327" name="Host_Control__23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8" name="Host_Control__15_SpCnt_3"/>
                  <wp:cNvGraphicFramePr/>
                  <a:graphic xmlns:a="http://schemas.openxmlformats.org/drawingml/2006/main">
                    <a:graphicData uri="http://schemas.openxmlformats.org/drawingml/2006/picture">
                      <pic:pic xmlns:pic="http://schemas.openxmlformats.org/drawingml/2006/picture">
                        <pic:nvPicPr>
                          <pic:cNvPr id="328" name="Host_Control__15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9" name="Host_Control__37_SpCnt_3"/>
                  <wp:cNvGraphicFramePr/>
                  <a:graphic xmlns:a="http://schemas.openxmlformats.org/drawingml/2006/main">
                    <a:graphicData uri="http://schemas.openxmlformats.org/drawingml/2006/picture">
                      <pic:pic xmlns:pic="http://schemas.openxmlformats.org/drawingml/2006/picture">
                        <pic:nvPicPr>
                          <pic:cNvPr id="329" name="Host_Control__37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0" name="Host_Control__7_SpCnt_3"/>
                  <wp:cNvGraphicFramePr/>
                  <a:graphic xmlns:a="http://schemas.openxmlformats.org/drawingml/2006/main">
                    <a:graphicData uri="http://schemas.openxmlformats.org/drawingml/2006/picture">
                      <pic:pic xmlns:pic="http://schemas.openxmlformats.org/drawingml/2006/picture">
                        <pic:nvPicPr>
                          <pic:cNvPr id="330" name="Host_Control__7_SpCnt_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1" name="Host_Control__22_SpCnt_3"/>
                  <wp:cNvGraphicFramePr/>
                  <a:graphic xmlns:a="http://schemas.openxmlformats.org/drawingml/2006/main">
                    <a:graphicData uri="http://schemas.openxmlformats.org/drawingml/2006/picture">
                      <pic:pic xmlns:pic="http://schemas.openxmlformats.org/drawingml/2006/picture">
                        <pic:nvPicPr>
                          <pic:cNvPr id="331" name="Host_Control__22_SpCnt_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i w:val="0"/>
                <w:color w:val="000000"/>
                <w:kern w:val="0"/>
                <w:sz w:val="18"/>
                <w:szCs w:val="18"/>
                <w:u w:val="none"/>
                <w:lang w:val="en-US" w:eastAsia="zh-CN" w:bidi="ar"/>
              </w:rPr>
              <w:t>工商银行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5,705.45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平安银行结息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389.46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平安0073</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1,860.37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平安1287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招商银行0902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平安银行结息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56,581.32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平安监管3957</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14,555.28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平安银行结息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20,044.05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平安监管</w:t>
            </w:r>
            <w:r>
              <w:rPr>
                <w:rFonts w:hint="default" w:ascii="Arial" w:hAnsi="Arial" w:eastAsia="宋体" w:cs="Arial"/>
                <w:i w:val="0"/>
                <w:color w:val="000000"/>
                <w:kern w:val="0"/>
                <w:sz w:val="18"/>
                <w:szCs w:val="18"/>
                <w:u w:val="none"/>
                <w:lang w:val="en-US" w:eastAsia="zh-CN" w:bidi="ar"/>
              </w:rPr>
              <w:t>0044</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建行</w:t>
            </w:r>
            <w:r>
              <w:rPr>
                <w:rFonts w:hint="default" w:ascii="Arial" w:hAnsi="Arial" w:eastAsia="宋体" w:cs="Arial"/>
                <w:i w:val="0"/>
                <w:color w:val="000000"/>
                <w:kern w:val="0"/>
                <w:sz w:val="18"/>
                <w:szCs w:val="18"/>
                <w:u w:val="none"/>
                <w:lang w:val="en-US" w:eastAsia="zh-CN" w:bidi="ar"/>
              </w:rPr>
              <w:t>0728</w:t>
            </w:r>
          </w:p>
        </w:tc>
      </w:tr>
      <w:tr>
        <w:tblPrEx>
          <w:tblCellMar>
            <w:top w:w="0" w:type="dxa"/>
            <w:left w:w="0" w:type="dxa"/>
            <w:bottom w:w="0" w:type="dxa"/>
            <w:right w:w="0" w:type="dxa"/>
          </w:tblCellMar>
        </w:tblPrEx>
        <w:trPr>
          <w:trHeight w:val="27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68,177,104.33 </w:t>
            </w:r>
          </w:p>
        </w:tc>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r>
    </w:tbl>
    <w:p>
      <w:pPr>
        <w:pStyle w:val="4"/>
        <w:keepLines w:val="0"/>
        <w:widowControl w:val="0"/>
        <w:spacing w:before="300" w:after="300" w:line="360" w:lineRule="exact"/>
        <w:rPr>
          <w:rFonts w:ascii="Arial" w:hAnsi="Arial" w:cs="Arial"/>
          <w:sz w:val="24"/>
          <w:szCs w:val="24"/>
        </w:rPr>
      </w:pPr>
      <w:r>
        <w:rPr>
          <w:rFonts w:ascii="Arial" w:hAnsi="Arial" w:cs="Arial"/>
          <w:sz w:val="24"/>
          <w:szCs w:val="24"/>
        </w:rPr>
        <w:t>8.3.2销售资金流入明细</w:t>
      </w:r>
      <w:bookmarkEnd w:id="51"/>
    </w:p>
    <w:p>
      <w:pPr>
        <w:widowControl w:val="0"/>
        <w:jc w:val="center"/>
        <w:textAlignment w:val="center"/>
        <w:rPr>
          <w:rFonts w:ascii="Arial" w:hAnsi="Arial" w:cs="Arial"/>
          <w:b/>
          <w:color w:val="000000"/>
          <w:sz w:val="24"/>
        </w:rPr>
      </w:pPr>
      <w:r>
        <w:rPr>
          <w:rFonts w:ascii="Arial" w:hAnsi="Arial" w:cs="Arial"/>
          <w:b/>
          <w:color w:val="000000"/>
          <w:sz w:val="24"/>
        </w:rPr>
        <w:t>2020年1</w:t>
      </w:r>
      <w:r>
        <w:rPr>
          <w:rFonts w:hint="eastAsia" w:ascii="Arial" w:hAnsi="Arial" w:cs="Arial"/>
          <w:b/>
          <w:color w:val="000000"/>
          <w:sz w:val="24"/>
          <w:lang w:val="en-US" w:eastAsia="zh-CN"/>
        </w:rPr>
        <w:t>2</w:t>
      </w:r>
      <w:r>
        <w:rPr>
          <w:rFonts w:ascii="Arial" w:hAnsi="Arial" w:cs="Arial"/>
          <w:b/>
          <w:color w:val="000000"/>
          <w:sz w:val="24"/>
        </w:rPr>
        <w:t>月销售资金流入明细表</w:t>
      </w:r>
    </w:p>
    <w:tbl>
      <w:tblPr>
        <w:tblStyle w:val="22"/>
        <w:tblW w:w="9525" w:type="dxa"/>
        <w:jc w:val="center"/>
        <w:shd w:val="clear" w:color="auto" w:fill="auto"/>
        <w:tblLayout w:type="autofit"/>
        <w:tblCellMar>
          <w:top w:w="0" w:type="dxa"/>
          <w:left w:w="0" w:type="dxa"/>
          <w:bottom w:w="0" w:type="dxa"/>
          <w:right w:w="0" w:type="dxa"/>
        </w:tblCellMar>
      </w:tblPr>
      <w:tblGrid>
        <w:gridCol w:w="1125"/>
        <w:gridCol w:w="2055"/>
        <w:gridCol w:w="2595"/>
        <w:gridCol w:w="915"/>
        <w:gridCol w:w="1485"/>
        <w:gridCol w:w="1350"/>
      </w:tblGrid>
      <w:tr>
        <w:tblPrEx>
          <w:shd w:val="clear" w:color="auto" w:fill="auto"/>
          <w:tblCellMar>
            <w:top w:w="0" w:type="dxa"/>
            <w:left w:w="0" w:type="dxa"/>
            <w:bottom w:w="0" w:type="dxa"/>
            <w:right w:w="0" w:type="dxa"/>
          </w:tblCellMar>
        </w:tblPrEx>
        <w:trPr>
          <w:trHeight w:val="272" w:hRule="atLeast"/>
          <w:tblHeader/>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收款日期</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837,154.00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张艳琳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832,577.64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乔文翰</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平安监管3957</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石俊芳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胡志芳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平安监管3957</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石俊芳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59,960.00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300,072.00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胡婷</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平安监管3957</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129,480.00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610,354.00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404,125.00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1,405,380.00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886,400.00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姚志腾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130,116.00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李俊鹏</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肖威</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1,464,365.00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129,960.00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1,046,970.00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刘惟</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1,554,776.00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李世银</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268,043.00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张艳琳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平安监管3957</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王昭慧</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彭义林</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黄建方+郭小燕</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黄建雄+陈细丽</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周伟+李思仪</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刘维+张超</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段志豪</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颜晓阳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平安监管0044</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罗新江+蒋红莉</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平安监管0044</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颜晓阳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平安监管0044</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平安监管0044</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张会贤+</w:t>
            </w:r>
            <w:r>
              <w:rPr>
                <w:rFonts w:hint="default" w:ascii="Arial" w:hAnsi="Arial" w:eastAsia="宋体" w:cs="Arial"/>
                <w:i w:val="0"/>
                <w:color w:val="000000"/>
                <w:kern w:val="0"/>
                <w:sz w:val="18"/>
                <w:szCs w:val="18"/>
                <w:highlight w:val="none"/>
                <w:u w:val="none"/>
                <w:lang w:val="en-US" w:eastAsia="zh-CN" w:bidi="ar"/>
              </w:rPr>
              <w:t>高丽</w:t>
            </w:r>
            <w:r>
              <w:rPr>
                <w:rFonts w:hint="default" w:ascii="Arial" w:hAnsi="Arial" w:eastAsia="宋体" w:cs="Arial"/>
                <w:i w:val="0"/>
                <w:color w:val="000000"/>
                <w:kern w:val="0"/>
                <w:sz w:val="18"/>
                <w:szCs w:val="18"/>
                <w:u w:val="none"/>
                <w:lang w:val="en-US" w:eastAsia="zh-CN" w:bidi="ar"/>
              </w:rPr>
              <w:t>红</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平安监管0044</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刘小露</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48,750.00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刘惟</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张伯军</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111,086.00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19,920.00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452,802.00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491,854.00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3,485.48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张海军</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李恒</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尹明阳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胡志芳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平安监管0058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7,999.00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116,100.00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24,117.00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116,100.00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许仙</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442,214.00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242,615.00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尹明阳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31,015.00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尹明阳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尹明阳</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姜克彪</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88,442.00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100,700.00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270,803.00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工商银行0232</w:t>
            </w:r>
          </w:p>
        </w:tc>
      </w:tr>
      <w:tr>
        <w:tblPrEx>
          <w:tblCellMar>
            <w:top w:w="0" w:type="dxa"/>
            <w:left w:w="0" w:type="dxa"/>
            <w:bottom w:w="0" w:type="dxa"/>
            <w:right w:w="0" w:type="dxa"/>
          </w:tblCellMar>
        </w:tblPrEx>
        <w:trPr>
          <w:trHeight w:val="270" w:hRule="atLeast"/>
          <w:jc w:val="center"/>
        </w:trPr>
        <w:tc>
          <w:tcPr>
            <w:tcW w:w="669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29,580,275.12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r>
    </w:tbl>
    <w:p>
      <w:pPr>
        <w:widowControl w:val="0"/>
        <w:jc w:val="center"/>
        <w:textAlignment w:val="center"/>
        <w:rPr>
          <w:rFonts w:ascii="Arial" w:hAnsi="Arial" w:cs="Arial"/>
          <w:b/>
          <w:color w:val="000000"/>
          <w:sz w:val="24"/>
        </w:rPr>
      </w:pPr>
    </w:p>
    <w:p>
      <w:pPr>
        <w:pStyle w:val="4"/>
        <w:keepLines w:val="0"/>
        <w:widowControl w:val="0"/>
        <w:spacing w:before="300" w:after="300" w:line="360" w:lineRule="exact"/>
        <w:rPr>
          <w:rFonts w:ascii="Arial" w:hAnsi="Arial" w:cs="Arial"/>
          <w:sz w:val="24"/>
          <w:szCs w:val="24"/>
        </w:rPr>
      </w:pPr>
      <w:bookmarkStart w:id="52" w:name="_Toc1733"/>
      <w:r>
        <w:rPr>
          <w:rFonts w:ascii="Arial" w:hAnsi="Arial" w:cs="Arial"/>
          <w:sz w:val="24"/>
          <w:szCs w:val="24"/>
        </w:rPr>
        <w:t>8.3.3销售回款流入明细</w:t>
      </w:r>
      <w:bookmarkEnd w:id="52"/>
    </w:p>
    <w:tbl>
      <w:tblPr>
        <w:tblStyle w:val="22"/>
        <w:tblW w:w="7830" w:type="dxa"/>
        <w:jc w:val="center"/>
        <w:shd w:val="clear" w:color="auto" w:fill="auto"/>
        <w:tblLayout w:type="autofit"/>
        <w:tblCellMar>
          <w:top w:w="0" w:type="dxa"/>
          <w:left w:w="0" w:type="dxa"/>
          <w:bottom w:w="0" w:type="dxa"/>
          <w:right w:w="0" w:type="dxa"/>
        </w:tblCellMar>
      </w:tblPr>
      <w:tblGrid>
        <w:gridCol w:w="1215"/>
        <w:gridCol w:w="1575"/>
        <w:gridCol w:w="1680"/>
        <w:gridCol w:w="1680"/>
        <w:gridCol w:w="1680"/>
      </w:tblGrid>
      <w:tr>
        <w:tblPrEx>
          <w:shd w:val="clear" w:color="auto" w:fill="auto"/>
          <w:tblCellMar>
            <w:top w:w="0" w:type="dxa"/>
            <w:left w:w="0" w:type="dxa"/>
            <w:bottom w:w="0" w:type="dxa"/>
            <w:right w:w="0" w:type="dxa"/>
          </w:tblCellMar>
        </w:tblPrEx>
        <w:trPr>
          <w:trHeight w:val="272" w:hRule="atLeast"/>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日期</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住宅定金（元）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住宅首付（元）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按揭放款（元）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合计（元）</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952,671.00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2,442,671.00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1,060,092.00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1,870,000.00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404,145.00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404,145.00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630,474.00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630,474.00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1,425,460.00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1,425,460.00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926,480.00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1,966,480.00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80,116.00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80,116.00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1,474,525.00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1,474,525.00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1,733,000.00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674,375.00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674,375.00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1,574,876.00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1,574,876.00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531,934.00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531,934.00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3,503.00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832,698.00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832,698.00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302,635.00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3,022,635.00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5,241,288.00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5,241,288.00 </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1,976,283.00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3,496,283.00 </w:t>
            </w:r>
          </w:p>
        </w:tc>
      </w:tr>
      <w:tr>
        <w:tblPrEx>
          <w:tblCellMar>
            <w:top w:w="0" w:type="dxa"/>
            <w:left w:w="0" w:type="dxa"/>
            <w:bottom w:w="0" w:type="dxa"/>
            <w:right w:w="0" w:type="dxa"/>
          </w:tblCellMar>
        </w:tblPrEx>
        <w:trPr>
          <w:trHeight w:val="272" w:hRule="atLeast"/>
          <w:jc w:val="center"/>
        </w:trPr>
        <w:tc>
          <w:tcPr>
            <w:tcW w:w="0" w:type="auto"/>
            <w:gridSpan w:val="4"/>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32,899,555.00 </w:t>
            </w:r>
          </w:p>
        </w:tc>
      </w:tr>
    </w:tbl>
    <w:p>
      <w:pPr>
        <w:jc w:val="both"/>
        <w:rPr>
          <w:rFonts w:ascii="Arial" w:hAnsi="Arial" w:cs="Arial"/>
          <w:sz w:val="15"/>
          <w:szCs w:val="15"/>
        </w:rPr>
      </w:pPr>
      <w:r>
        <w:rPr>
          <w:rFonts w:ascii="Arial" w:hAnsi="Arial" w:cs="Arial"/>
          <w:sz w:val="15"/>
          <w:szCs w:val="15"/>
        </w:rPr>
        <w:t>注：由于银联支付时间差，销售回款中POS刷卡收入将于次一工作日进入项目公司相应账户</w:t>
      </w:r>
    </w:p>
    <w:p>
      <w:pPr>
        <w:pStyle w:val="3"/>
        <w:keepLines w:val="0"/>
        <w:spacing w:before="300" w:after="300" w:line="360" w:lineRule="exact"/>
        <w:rPr>
          <w:rFonts w:eastAsia="宋体" w:cs="Arial"/>
          <w:sz w:val="24"/>
          <w:szCs w:val="24"/>
        </w:rPr>
      </w:pPr>
      <w:bookmarkStart w:id="53" w:name="_Toc20099"/>
    </w:p>
    <w:p>
      <w:pPr>
        <w:pStyle w:val="3"/>
        <w:keepLines w:val="0"/>
        <w:spacing w:before="300" w:after="300" w:line="360" w:lineRule="exact"/>
        <w:rPr>
          <w:rFonts w:eastAsia="宋体" w:cs="Arial"/>
          <w:color w:val="FF0000"/>
          <w:sz w:val="24"/>
          <w:szCs w:val="24"/>
        </w:rPr>
      </w:pPr>
      <w:r>
        <w:rPr>
          <w:rFonts w:eastAsia="宋体" w:cs="Arial"/>
          <w:sz w:val="24"/>
          <w:szCs w:val="24"/>
        </w:rPr>
        <w:t>8.4 各银行账户余额</w:t>
      </w:r>
      <w:bookmarkEnd w:id="53"/>
    </w:p>
    <w:p>
      <w:pPr>
        <w:widowControl w:val="0"/>
        <w:spacing w:line="480" w:lineRule="auto"/>
        <w:ind w:firstLine="420" w:firstLineChars="200"/>
        <w:rPr>
          <w:rFonts w:ascii="Arial" w:hAnsi="Arial" w:cs="Arial"/>
          <w:kern w:val="44"/>
          <w:szCs w:val="21"/>
        </w:rPr>
      </w:pPr>
      <w:r>
        <w:rPr>
          <w:rFonts w:ascii="Arial" w:hAnsi="Arial" w:cs="Arial"/>
          <w:kern w:val="44"/>
          <w:sz w:val="21"/>
          <w:szCs w:val="21"/>
        </w:rPr>
        <w:t>根据项目公司的银行对账单，截至2020年1</w:t>
      </w:r>
      <w:r>
        <w:rPr>
          <w:rFonts w:hint="eastAsia" w:ascii="Arial" w:hAnsi="Arial" w:cs="Arial"/>
          <w:kern w:val="44"/>
          <w:sz w:val="21"/>
          <w:szCs w:val="21"/>
          <w:lang w:val="en-US" w:eastAsia="zh-CN"/>
        </w:rPr>
        <w:t>2</w:t>
      </w:r>
      <w:r>
        <w:rPr>
          <w:rFonts w:ascii="Arial" w:hAnsi="Arial" w:cs="Arial"/>
          <w:kern w:val="44"/>
          <w:sz w:val="21"/>
          <w:szCs w:val="21"/>
        </w:rPr>
        <w:t>月3</w:t>
      </w:r>
      <w:r>
        <w:rPr>
          <w:rFonts w:hint="eastAsia" w:ascii="Arial" w:hAnsi="Arial" w:cs="Arial"/>
          <w:kern w:val="44"/>
          <w:sz w:val="21"/>
          <w:szCs w:val="21"/>
          <w:lang w:val="en-US" w:eastAsia="zh-CN"/>
        </w:rPr>
        <w:t>1</w:t>
      </w:r>
      <w:r>
        <w:rPr>
          <w:rFonts w:ascii="Arial" w:hAnsi="Arial" w:cs="Arial"/>
          <w:kern w:val="44"/>
          <w:sz w:val="21"/>
          <w:szCs w:val="21"/>
        </w:rPr>
        <w:t>日，项目公司各资金账户余额总计</w:t>
      </w:r>
      <w:r>
        <w:rPr>
          <w:rFonts w:hint="default" w:ascii="Arial" w:hAnsi="Arial" w:eastAsia="宋体" w:cs="Arial"/>
          <w:i w:val="0"/>
          <w:color w:val="000000"/>
          <w:kern w:val="0"/>
          <w:sz w:val="21"/>
          <w:szCs w:val="21"/>
          <w:u w:val="none"/>
          <w:lang w:val="en-US" w:eastAsia="zh-CN" w:bidi="ar"/>
        </w:rPr>
        <w:t>144,326,564.62</w:t>
      </w:r>
      <w:r>
        <w:rPr>
          <w:rFonts w:ascii="Arial" w:hAnsi="Arial" w:cs="Arial"/>
          <w:kern w:val="44"/>
          <w:sz w:val="21"/>
          <w:szCs w:val="21"/>
        </w:rPr>
        <w:drawing>
          <wp:anchor distT="0" distB="0" distL="114300" distR="114300" simplePos="0" relativeHeight="251626496"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9"/>
                    <a:stretch>
                      <a:fillRect/>
                    </a:stretch>
                  </pic:blipFill>
                  <pic:spPr>
                    <a:xfrm>
                      <a:off x="0" y="0"/>
                      <a:ext cx="914400" cy="228600"/>
                    </a:xfrm>
                    <a:prstGeom prst="rect">
                      <a:avLst/>
                    </a:prstGeom>
                  </pic:spPr>
                </pic:pic>
              </a:graphicData>
            </a:graphic>
          </wp:anchor>
        </w:drawing>
      </w:r>
      <w:r>
        <w:rPr>
          <w:rFonts w:ascii="Arial" w:hAnsi="Arial" w:cs="Arial"/>
          <w:kern w:val="44"/>
          <w:sz w:val="21"/>
          <w:szCs w:val="21"/>
        </w:rPr>
        <w:t>元，各账户余额见下表。</w:t>
      </w:r>
    </w:p>
    <w:p>
      <w:pPr>
        <w:spacing w:before="120" w:beforeLines="50" w:after="120" w:afterLines="50"/>
        <w:jc w:val="center"/>
        <w:rPr>
          <w:rFonts w:ascii="Arial" w:hAnsi="Arial" w:cs="Arial"/>
          <w:b/>
          <w:color w:val="000000"/>
          <w:sz w:val="24"/>
        </w:rPr>
      </w:pPr>
      <w:r>
        <w:rPr>
          <w:rFonts w:ascii="Arial" w:hAnsi="Arial" w:cs="Arial"/>
          <w:b/>
          <w:color w:val="000000"/>
          <w:sz w:val="24"/>
        </w:rPr>
        <w:t>截止2020年1</w:t>
      </w:r>
      <w:r>
        <w:rPr>
          <w:rFonts w:hint="eastAsia" w:ascii="Arial" w:hAnsi="Arial" w:cs="Arial"/>
          <w:b/>
          <w:color w:val="000000"/>
          <w:sz w:val="24"/>
          <w:lang w:val="en-US" w:eastAsia="zh-CN"/>
        </w:rPr>
        <w:t>2</w:t>
      </w:r>
      <w:r>
        <w:rPr>
          <w:rFonts w:ascii="Arial" w:hAnsi="Arial" w:cs="Arial"/>
          <w:b/>
          <w:color w:val="000000"/>
          <w:sz w:val="24"/>
        </w:rPr>
        <w:t>月3</w:t>
      </w:r>
      <w:r>
        <w:rPr>
          <w:rFonts w:hint="eastAsia" w:ascii="Arial" w:hAnsi="Arial" w:cs="Arial"/>
          <w:b/>
          <w:color w:val="000000"/>
          <w:sz w:val="24"/>
          <w:lang w:val="en-US" w:eastAsia="zh-CN"/>
        </w:rPr>
        <w:t>1</w:t>
      </w:r>
      <w:r>
        <w:rPr>
          <w:rFonts w:ascii="Arial" w:hAnsi="Arial" w:cs="Arial"/>
          <w:b/>
          <w:color w:val="000000"/>
          <w:sz w:val="24"/>
        </w:rPr>
        <w:t>日各银行账户余额汇总</w:t>
      </w:r>
    </w:p>
    <w:tbl>
      <w:tblPr>
        <w:tblStyle w:val="22"/>
        <w:tblW w:w="10110" w:type="dxa"/>
        <w:jc w:val="center"/>
        <w:shd w:val="clear" w:color="auto" w:fill="auto"/>
        <w:tblLayout w:type="autofit"/>
        <w:tblCellMar>
          <w:top w:w="0" w:type="dxa"/>
          <w:left w:w="0" w:type="dxa"/>
          <w:bottom w:w="0" w:type="dxa"/>
          <w:right w:w="0" w:type="dxa"/>
        </w:tblCellMar>
      </w:tblPr>
      <w:tblGrid>
        <w:gridCol w:w="630"/>
        <w:gridCol w:w="3885"/>
        <w:gridCol w:w="2535"/>
        <w:gridCol w:w="1395"/>
        <w:gridCol w:w="1665"/>
      </w:tblGrid>
      <w:tr>
        <w:tblPrEx>
          <w:shd w:val="clear" w:color="auto" w:fill="auto"/>
          <w:tblCellMar>
            <w:top w:w="0" w:type="dxa"/>
            <w:left w:w="0" w:type="dxa"/>
            <w:bottom w:w="0" w:type="dxa"/>
            <w:right w:w="0" w:type="dxa"/>
          </w:tblCellMar>
        </w:tblPrEx>
        <w:trPr>
          <w:trHeight w:val="300" w:hRule="atLeast"/>
          <w:tblHeader/>
          <w:jc w:val="center"/>
        </w:trPr>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公司</w:t>
            </w:r>
          </w:p>
        </w:tc>
        <w:tc>
          <w:tcPr>
            <w:tcW w:w="388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开户银行名称</w:t>
            </w:r>
          </w:p>
        </w:tc>
        <w:tc>
          <w:tcPr>
            <w:tcW w:w="25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账号</w:t>
            </w:r>
          </w:p>
        </w:tc>
        <w:tc>
          <w:tcPr>
            <w:tcW w:w="139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账户性质</w:t>
            </w:r>
          </w:p>
        </w:tc>
        <w:tc>
          <w:tcPr>
            <w:tcW w:w="166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实时余额</w:t>
            </w:r>
          </w:p>
        </w:tc>
      </w:tr>
      <w:tr>
        <w:tblPrEx>
          <w:tblCellMar>
            <w:top w:w="0" w:type="dxa"/>
            <w:left w:w="0" w:type="dxa"/>
            <w:bottom w:w="0" w:type="dxa"/>
            <w:right w:w="0" w:type="dxa"/>
          </w:tblCellMar>
        </w:tblPrEx>
        <w:trPr>
          <w:trHeight w:val="300" w:hRule="atLeast"/>
          <w:jc w:val="center"/>
        </w:trPr>
        <w:tc>
          <w:tcPr>
            <w:tcW w:w="630"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w:t>
            </w: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中国工商银行股份有限公司武汉汉阳支行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3202 0048 0920 0990 232</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7,462,539.18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中国建设银行武汉汉阳支行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4205 0121 8008 0000 0728</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5,123.55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中国建设银行武汉汉阳支行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4205 0121 8008 0000 0763</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房易安专户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1500 0102 8712 87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小额账户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3,890.01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1508 2500 0000 73</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28,315.23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1598 8074 5600 92</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1500 0103 5639 57</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71,141,007.78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1585 1294 1700 44</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30,808,346.84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1569 9152 0600 19</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25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1560 5445 0900 58</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34,620,030.94 </w:t>
            </w:r>
          </w:p>
        </w:tc>
      </w:tr>
      <w:tr>
        <w:tblPrEx>
          <w:tblCellMar>
            <w:top w:w="0" w:type="dxa"/>
            <w:left w:w="0" w:type="dxa"/>
            <w:bottom w:w="0" w:type="dxa"/>
            <w:right w:w="0" w:type="dxa"/>
          </w:tblCellMar>
        </w:tblPrEx>
        <w:trPr>
          <w:trHeight w:val="300" w:hRule="atLeast"/>
          <w:jc w:val="center"/>
        </w:trPr>
        <w:tc>
          <w:tcPr>
            <w:tcW w:w="63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1594 4594 5500 20</w:t>
            </w:r>
          </w:p>
        </w:tc>
        <w:tc>
          <w:tcPr>
            <w:tcW w:w="13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trHeight w:val="300" w:hRule="atLeast"/>
          <w:jc w:val="center"/>
        </w:trPr>
        <w:tc>
          <w:tcPr>
            <w:tcW w:w="63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正锦</w:t>
            </w:r>
          </w:p>
        </w:tc>
        <w:tc>
          <w:tcPr>
            <w:tcW w:w="38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招商银行解放路支行</w:t>
            </w:r>
          </w:p>
        </w:tc>
        <w:tc>
          <w:tcPr>
            <w:tcW w:w="25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1279 1386 1710 902</w:t>
            </w:r>
          </w:p>
        </w:tc>
        <w:tc>
          <w:tcPr>
            <w:tcW w:w="13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257,311.09 </w:t>
            </w:r>
          </w:p>
        </w:tc>
      </w:tr>
      <w:tr>
        <w:tblPrEx>
          <w:tblCellMar>
            <w:top w:w="0" w:type="dxa"/>
            <w:left w:w="0" w:type="dxa"/>
            <w:bottom w:w="0" w:type="dxa"/>
            <w:right w:w="0" w:type="dxa"/>
          </w:tblCellMar>
        </w:tblPrEx>
        <w:trPr>
          <w:trHeight w:val="300"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0" w:type="auto"/>
            <w:gridSpan w:val="2"/>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合计</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144,326,564.62 </w:t>
            </w:r>
          </w:p>
        </w:tc>
      </w:tr>
    </w:tbl>
    <w:p>
      <w:pPr>
        <w:spacing w:before="120" w:beforeLines="50" w:after="120" w:afterLines="50"/>
        <w:jc w:val="center"/>
        <w:rPr>
          <w:rFonts w:ascii="Arial" w:hAnsi="Arial" w:cs="Arial"/>
          <w:b/>
          <w:color w:val="000000"/>
          <w:sz w:val="24"/>
        </w:rPr>
      </w:pPr>
    </w:p>
    <w:p>
      <w:pPr>
        <w:spacing w:before="120" w:beforeLines="50" w:after="120" w:afterLines="50"/>
        <w:jc w:val="center"/>
        <w:rPr>
          <w:rFonts w:ascii="Arial" w:hAnsi="Arial" w:cs="Arial"/>
          <w:b/>
          <w:color w:val="000000"/>
          <w:sz w:val="24"/>
        </w:rPr>
      </w:pPr>
    </w:p>
    <w:p>
      <w:pPr>
        <w:rPr>
          <w:rFonts w:ascii="Arial" w:hAnsi="Arial" w:cs="Arial"/>
        </w:rPr>
      </w:pPr>
    </w:p>
    <w:p>
      <w:pPr>
        <w:spacing w:before="300" w:after="300" w:line="360" w:lineRule="exact"/>
        <w:jc w:val="left"/>
        <w:rPr>
          <w:rFonts w:ascii="Arial" w:hAnsi="Arial" w:cs="Arial"/>
          <w:color w:val="000000"/>
          <w:sz w:val="24"/>
        </w:rPr>
      </w:pPr>
      <w:r>
        <w:rPr>
          <w:rFonts w:ascii="Arial" w:hAnsi="Arial" w:cs="Arial"/>
          <w:color w:val="000000"/>
          <w:sz w:val="24"/>
        </w:rPr>
        <w:br w:type="page"/>
      </w:r>
    </w:p>
    <w:p>
      <w:pPr>
        <w:pStyle w:val="3"/>
        <w:keepLines w:val="0"/>
        <w:spacing w:before="300" w:after="300" w:line="360" w:lineRule="exact"/>
        <w:jc w:val="left"/>
        <w:rPr>
          <w:rFonts w:cs="Arial"/>
          <w:color w:val="000000"/>
          <w:sz w:val="24"/>
          <w:szCs w:val="24"/>
        </w:rPr>
      </w:pPr>
      <w:bookmarkStart w:id="54" w:name="_Toc5797"/>
      <w:r>
        <w:rPr>
          <w:rFonts w:eastAsia="宋体" w:cs="Arial"/>
          <w:color w:val="000000"/>
          <w:sz w:val="24"/>
          <w:szCs w:val="24"/>
        </w:rPr>
        <w:t>附件</w:t>
      </w:r>
      <w:bookmarkEnd w:id="54"/>
      <w:bookmarkStart w:id="55" w:name="_Toc535508648"/>
      <w:bookmarkStart w:id="56" w:name="_Toc535570762"/>
      <w:bookmarkStart w:id="57" w:name="_Toc514075669"/>
      <w:bookmarkStart w:id="58" w:name="_Toc535580103"/>
      <w:bookmarkStart w:id="59" w:name="_Toc535580035"/>
    </w:p>
    <w:p>
      <w:pPr>
        <w:pStyle w:val="3"/>
        <w:keepLines w:val="0"/>
        <w:spacing w:before="300" w:after="300" w:line="360" w:lineRule="exact"/>
        <w:jc w:val="left"/>
        <w:rPr>
          <w:rFonts w:cs="Arial"/>
          <w:color w:val="000000"/>
          <w:sz w:val="24"/>
          <w:szCs w:val="24"/>
        </w:rPr>
      </w:pPr>
      <w:bookmarkStart w:id="60" w:name="_Toc7135"/>
      <w:r>
        <w:rPr>
          <w:rFonts w:eastAsia="宋体" w:cs="Arial"/>
          <w:color w:val="000000"/>
          <w:sz w:val="24"/>
          <w:szCs w:val="24"/>
        </w:rPr>
        <w:t>附件</w:t>
      </w:r>
      <w:bookmarkEnd w:id="55"/>
      <w:bookmarkEnd w:id="56"/>
      <w:bookmarkEnd w:id="57"/>
      <w:bookmarkEnd w:id="58"/>
      <w:bookmarkEnd w:id="59"/>
      <w:r>
        <w:rPr>
          <w:rFonts w:eastAsia="宋体" w:cs="Arial"/>
          <w:color w:val="000000"/>
          <w:sz w:val="24"/>
          <w:szCs w:val="24"/>
        </w:rPr>
        <w:t>一 三块地项目总平面图</w:t>
      </w:r>
      <w:bookmarkEnd w:id="60"/>
      <w:r>
        <w:rPr>
          <w:rFonts w:eastAsia="宋体" w:cs="Arial"/>
          <w:color w:val="000000"/>
          <w:sz w:val="24"/>
          <w:szCs w:val="24"/>
        </w:rPr>
        <w:t xml:space="preserve"> </w:t>
      </w:r>
    </w:p>
    <w:p>
      <w:pPr>
        <w:jc w:val="center"/>
        <w:rPr>
          <w:rFonts w:ascii="Arial" w:hAnsi="Arial" w:cs="Arial"/>
          <w:szCs w:val="21"/>
        </w:rPr>
      </w:pPr>
    </w:p>
    <w:p>
      <w:pPr>
        <w:rPr>
          <w:rFonts w:ascii="Arial" w:hAnsi="Arial" w:cs="Arial"/>
          <w:b/>
          <w:bCs/>
          <w:szCs w:val="21"/>
        </w:rPr>
      </w:pPr>
      <w:r>
        <w:rPr>
          <w:rFonts w:hint="eastAsia" w:ascii="Arial" w:hAnsi="Arial" w:cs="Arial"/>
          <w:b/>
          <w:bCs/>
          <w:szCs w:val="21"/>
        </w:rPr>
        <w:t>正舟项目图</w:t>
      </w:r>
    </w:p>
    <w:p>
      <w:pPr>
        <w:rPr>
          <w:rFonts w:ascii="Arial" w:hAnsi="Arial" w:cs="Arial"/>
          <w:b/>
          <w:bCs/>
          <w:szCs w:val="21"/>
        </w:rPr>
      </w:pPr>
      <w:r>
        <w:rPr>
          <w:rFonts w:ascii="Arial" w:hAnsi="Arial" w:cs="Arial"/>
        </w:rPr>
        <w:drawing>
          <wp:inline distT="0" distB="0" distL="114300" distR="11430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0"/>
                    <a:stretch>
                      <a:fillRect/>
                    </a:stretch>
                  </pic:blipFill>
                  <pic:spPr>
                    <a:xfrm>
                      <a:off x="0" y="0"/>
                      <a:ext cx="5697220" cy="3420110"/>
                    </a:xfrm>
                    <a:prstGeom prst="rect">
                      <a:avLst/>
                    </a:prstGeom>
                    <a:noFill/>
                    <a:ln>
                      <a:noFill/>
                    </a:ln>
                  </pic:spPr>
                </pic:pic>
              </a:graphicData>
            </a:graphic>
          </wp:inline>
        </w:drawing>
      </w:r>
    </w:p>
    <w:p>
      <w:pPr>
        <w:rPr>
          <w:rFonts w:cs="Arial"/>
        </w:rPr>
      </w:pPr>
    </w:p>
    <w:p>
      <w:pPr>
        <w:rPr>
          <w:rFonts w:ascii="Arial" w:hAnsi="Arial" w:cs="Arial"/>
          <w:b/>
          <w:bCs/>
        </w:rPr>
      </w:pPr>
      <w:r>
        <w:rPr>
          <w:rFonts w:cs="Arial"/>
        </w:rPr>
        <w:drawing>
          <wp:inline distT="0" distB="0" distL="114300" distR="114300">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1"/>
                    <a:stretch>
                      <a:fillRect/>
                    </a:stretch>
                  </pic:blipFill>
                  <pic:spPr>
                    <a:xfrm>
                      <a:off x="0" y="0"/>
                      <a:ext cx="5720080" cy="3217545"/>
                    </a:xfrm>
                    <a:prstGeom prst="rect">
                      <a:avLst/>
                    </a:prstGeom>
                  </pic:spPr>
                </pic:pic>
              </a:graphicData>
            </a:graphic>
          </wp:inline>
        </w:drawing>
      </w:r>
    </w:p>
    <w:p>
      <w:pPr>
        <w:rPr>
          <w:rFonts w:ascii="Arial" w:hAnsi="Arial" w:cs="Arial"/>
          <w:b/>
          <w:bCs/>
        </w:rPr>
      </w:pPr>
    </w:p>
    <w:p>
      <w:pPr>
        <w:pStyle w:val="3"/>
        <w:keepLines w:val="0"/>
        <w:spacing w:before="300" w:after="300" w:line="360" w:lineRule="exact"/>
        <w:jc w:val="left"/>
        <w:rPr>
          <w:rFonts w:hint="eastAsia" w:eastAsia="黑体" w:cs="Arial"/>
          <w:color w:val="000000"/>
          <w:sz w:val="24"/>
          <w:szCs w:val="24"/>
          <w:lang w:eastAsia="zh-CN"/>
        </w:rPr>
      </w:pPr>
    </w:p>
    <w:sectPr>
      <w:headerReference r:id="rId4" w:type="default"/>
      <w:footerReference r:id="rId5" w:type="default"/>
      <w:pgSz w:w="11906" w:h="16838"/>
      <w:pgMar w:top="1134" w:right="1134" w:bottom="1134" w:left="1134" w:header="851" w:footer="992" w:gutter="34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xJ0l0wAAAAMBAAAPAAAAAAAAAAEAIAAAACIAAABk&#10;cnMvZG93bnJldi54bWxQSwECFAAUAAAACACHTuJA5UahXQsCAAAEBAAADgAAAAAAAAABACAAAAAi&#10;AQAAZHJzL2Uyb0RvYy54bWxQSwUGAAAAAAYABgBZAQAAnw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hint="eastAsia" w:ascii="宋体" w:hAnsi="宋体" w:cs="宋体"/>
      </w:rPr>
    </w:pPr>
    <w:r>
      <w:rPr>
        <w:rFonts w:hint="eastAsia" w:ascii="Arial" w:hAnsi="Arial" w:cs="宋体"/>
      </w:rPr>
      <w:t>20</w:t>
    </w:r>
    <w:r>
      <w:rPr>
        <w:rFonts w:ascii="Arial" w:hAnsi="Arial" w:cs="宋体"/>
      </w:rPr>
      <w:t>20</w:t>
    </w:r>
    <w:r>
      <w:rPr>
        <w:rFonts w:hint="eastAsia" w:ascii="宋体" w:hAnsi="宋体" w:cs="宋体"/>
      </w:rPr>
      <w:t>年</w:t>
    </w:r>
    <w:r>
      <w:rPr>
        <w:rFonts w:hint="default" w:ascii="Arial" w:hAnsi="Arial" w:cs="Arial"/>
        <w:lang w:val="en-US" w:eastAsia="zh-CN"/>
      </w:rPr>
      <w:t>12</w:t>
    </w:r>
    <w:r>
      <w:rPr>
        <w:rFonts w:hint="eastAsia" w:ascii="宋体" w:hAnsi="宋体" w:cs="宋体"/>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DF3791"/>
    <w:multiLevelType w:val="singleLevel"/>
    <w:tmpl w:val="D3DF3791"/>
    <w:lvl w:ilvl="0" w:tentative="0">
      <w:start w:val="1"/>
      <w:numFmt w:val="decimal"/>
      <w:suff w:val="nothing"/>
      <w:lvlText w:val="（%1）"/>
      <w:lvlJc w:val="left"/>
    </w:lvl>
  </w:abstractNum>
  <w:abstractNum w:abstractNumId="1">
    <w:nsid w:val="561EA24A"/>
    <w:multiLevelType w:val="singleLevel"/>
    <w:tmpl w:val="561EA24A"/>
    <w:lvl w:ilvl="0" w:tentative="0">
      <w:start w:val="1"/>
      <w:numFmt w:val="decimal"/>
      <w:suff w:val="nothing"/>
      <w:lvlText w:val="%1、"/>
      <w:lvlJc w:val="left"/>
    </w:lvl>
  </w:abstractNum>
  <w:abstractNum w:abstractNumId="2">
    <w:nsid w:val="7E12F0E0"/>
    <w:multiLevelType w:val="singleLevel"/>
    <w:tmpl w:val="7E12F0E0"/>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5D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204DC6"/>
    <w:rsid w:val="04454EE4"/>
    <w:rsid w:val="04D5358E"/>
    <w:rsid w:val="058B20AB"/>
    <w:rsid w:val="05A655CF"/>
    <w:rsid w:val="05CE1342"/>
    <w:rsid w:val="05FE1AC1"/>
    <w:rsid w:val="06A30AF5"/>
    <w:rsid w:val="06A844B1"/>
    <w:rsid w:val="07605C90"/>
    <w:rsid w:val="08016A1E"/>
    <w:rsid w:val="083421B7"/>
    <w:rsid w:val="089374F7"/>
    <w:rsid w:val="08FE0F5A"/>
    <w:rsid w:val="090A6A03"/>
    <w:rsid w:val="09746F62"/>
    <w:rsid w:val="09AC7942"/>
    <w:rsid w:val="09BF46FF"/>
    <w:rsid w:val="0A49582A"/>
    <w:rsid w:val="0A5346C4"/>
    <w:rsid w:val="0B234042"/>
    <w:rsid w:val="0B384735"/>
    <w:rsid w:val="0B3908EA"/>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185873"/>
    <w:rsid w:val="0F25044B"/>
    <w:rsid w:val="0F5A1EAC"/>
    <w:rsid w:val="0F720029"/>
    <w:rsid w:val="0F792000"/>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8370E16"/>
    <w:rsid w:val="183D1632"/>
    <w:rsid w:val="18661677"/>
    <w:rsid w:val="18AD5232"/>
    <w:rsid w:val="19046E10"/>
    <w:rsid w:val="1905656F"/>
    <w:rsid w:val="19357BF0"/>
    <w:rsid w:val="195607A8"/>
    <w:rsid w:val="19D02AC6"/>
    <w:rsid w:val="1AD16278"/>
    <w:rsid w:val="1AF36D63"/>
    <w:rsid w:val="1BC072B6"/>
    <w:rsid w:val="1BE53E44"/>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654CFD"/>
    <w:rsid w:val="21E60796"/>
    <w:rsid w:val="225D766B"/>
    <w:rsid w:val="22816729"/>
    <w:rsid w:val="233174B1"/>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8280DFB"/>
    <w:rsid w:val="284648BA"/>
    <w:rsid w:val="288C3033"/>
    <w:rsid w:val="2A341FD2"/>
    <w:rsid w:val="2A5241F4"/>
    <w:rsid w:val="2A5F13A7"/>
    <w:rsid w:val="2AA432AB"/>
    <w:rsid w:val="2B6E68C2"/>
    <w:rsid w:val="2B7C0B1C"/>
    <w:rsid w:val="2B9272AF"/>
    <w:rsid w:val="2BA037BB"/>
    <w:rsid w:val="2BC15DEF"/>
    <w:rsid w:val="2C541970"/>
    <w:rsid w:val="2C612CE0"/>
    <w:rsid w:val="2C73562D"/>
    <w:rsid w:val="2CB852B6"/>
    <w:rsid w:val="2CF91C06"/>
    <w:rsid w:val="2DEE1B80"/>
    <w:rsid w:val="2E325C0E"/>
    <w:rsid w:val="2E3C0F39"/>
    <w:rsid w:val="2E3C1926"/>
    <w:rsid w:val="2EB36317"/>
    <w:rsid w:val="2EBE13B9"/>
    <w:rsid w:val="2EF04512"/>
    <w:rsid w:val="2FB8217C"/>
    <w:rsid w:val="30476383"/>
    <w:rsid w:val="30690CA1"/>
    <w:rsid w:val="30916070"/>
    <w:rsid w:val="30B10D90"/>
    <w:rsid w:val="30CA4A1B"/>
    <w:rsid w:val="30F03DFA"/>
    <w:rsid w:val="314B4163"/>
    <w:rsid w:val="31891D82"/>
    <w:rsid w:val="31A85BB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CF1819"/>
    <w:rsid w:val="362C281C"/>
    <w:rsid w:val="36AB29B1"/>
    <w:rsid w:val="36F001C7"/>
    <w:rsid w:val="37871954"/>
    <w:rsid w:val="37CD6A15"/>
    <w:rsid w:val="37F80A98"/>
    <w:rsid w:val="38102C5D"/>
    <w:rsid w:val="388A5DE8"/>
    <w:rsid w:val="399B7E73"/>
    <w:rsid w:val="39A66DD8"/>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7B7EB4"/>
    <w:rsid w:val="45114C69"/>
    <w:rsid w:val="452D33EF"/>
    <w:rsid w:val="45805436"/>
    <w:rsid w:val="45A42B8A"/>
    <w:rsid w:val="45C708C7"/>
    <w:rsid w:val="469B0AB7"/>
    <w:rsid w:val="46F13A07"/>
    <w:rsid w:val="46FF5AFC"/>
    <w:rsid w:val="475556EB"/>
    <w:rsid w:val="47E034BA"/>
    <w:rsid w:val="484E5E9A"/>
    <w:rsid w:val="4879604A"/>
    <w:rsid w:val="48F47B5C"/>
    <w:rsid w:val="48FE7302"/>
    <w:rsid w:val="49764BB8"/>
    <w:rsid w:val="49A75D4B"/>
    <w:rsid w:val="4ADE2E72"/>
    <w:rsid w:val="4AF0618F"/>
    <w:rsid w:val="4B3E4718"/>
    <w:rsid w:val="4B6545E7"/>
    <w:rsid w:val="4BF76AED"/>
    <w:rsid w:val="4D2470A4"/>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6C385D"/>
    <w:rsid w:val="53F01B6F"/>
    <w:rsid w:val="54CF428F"/>
    <w:rsid w:val="54D866BF"/>
    <w:rsid w:val="55057651"/>
    <w:rsid w:val="551A6B8C"/>
    <w:rsid w:val="551B359B"/>
    <w:rsid w:val="554C2E4C"/>
    <w:rsid w:val="55C95A39"/>
    <w:rsid w:val="56020A78"/>
    <w:rsid w:val="563812AD"/>
    <w:rsid w:val="5676155E"/>
    <w:rsid w:val="567A168B"/>
    <w:rsid w:val="56F9126E"/>
    <w:rsid w:val="572523C4"/>
    <w:rsid w:val="574B3F4B"/>
    <w:rsid w:val="583046A8"/>
    <w:rsid w:val="585F10A8"/>
    <w:rsid w:val="59B61FA6"/>
    <w:rsid w:val="59EC75E0"/>
    <w:rsid w:val="5A2458FA"/>
    <w:rsid w:val="5A575839"/>
    <w:rsid w:val="5A7B38CF"/>
    <w:rsid w:val="5A835309"/>
    <w:rsid w:val="5AEF13F1"/>
    <w:rsid w:val="5B43690C"/>
    <w:rsid w:val="5B5C72EA"/>
    <w:rsid w:val="5B711CFB"/>
    <w:rsid w:val="5B7219C1"/>
    <w:rsid w:val="5CCF2FFE"/>
    <w:rsid w:val="5CD769EC"/>
    <w:rsid w:val="5D692489"/>
    <w:rsid w:val="5D7C3793"/>
    <w:rsid w:val="5D7F37AE"/>
    <w:rsid w:val="5DF175AC"/>
    <w:rsid w:val="5E404D9C"/>
    <w:rsid w:val="5E48254A"/>
    <w:rsid w:val="5E94732A"/>
    <w:rsid w:val="5F446F98"/>
    <w:rsid w:val="5F955873"/>
    <w:rsid w:val="61954453"/>
    <w:rsid w:val="61C30742"/>
    <w:rsid w:val="635A4E3A"/>
    <w:rsid w:val="63821A34"/>
    <w:rsid w:val="63A2327D"/>
    <w:rsid w:val="63C57042"/>
    <w:rsid w:val="64907EFF"/>
    <w:rsid w:val="64985FA5"/>
    <w:rsid w:val="655B7408"/>
    <w:rsid w:val="655C26AF"/>
    <w:rsid w:val="662A32DC"/>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6161B8"/>
    <w:rsid w:val="6DC072BA"/>
    <w:rsid w:val="6DF53370"/>
    <w:rsid w:val="6E8F05BC"/>
    <w:rsid w:val="6ECE25BF"/>
    <w:rsid w:val="6F0028F8"/>
    <w:rsid w:val="6F017FD9"/>
    <w:rsid w:val="6F3B201E"/>
    <w:rsid w:val="6F420503"/>
    <w:rsid w:val="6FD05D25"/>
    <w:rsid w:val="6FFF61D3"/>
    <w:rsid w:val="7014241B"/>
    <w:rsid w:val="70335415"/>
    <w:rsid w:val="70677029"/>
    <w:rsid w:val="71AC2F36"/>
    <w:rsid w:val="72075B6B"/>
    <w:rsid w:val="72216CCE"/>
    <w:rsid w:val="72231D55"/>
    <w:rsid w:val="73297F00"/>
    <w:rsid w:val="7332473A"/>
    <w:rsid w:val="735C0845"/>
    <w:rsid w:val="736C0B23"/>
    <w:rsid w:val="73AA67F9"/>
    <w:rsid w:val="748E2D43"/>
    <w:rsid w:val="74C207EB"/>
    <w:rsid w:val="757D4AC6"/>
    <w:rsid w:val="75B27934"/>
    <w:rsid w:val="76F4409A"/>
    <w:rsid w:val="772043EF"/>
    <w:rsid w:val="772B43E7"/>
    <w:rsid w:val="77F24450"/>
    <w:rsid w:val="78037227"/>
    <w:rsid w:val="780A205A"/>
    <w:rsid w:val="796256D9"/>
    <w:rsid w:val="79D84F64"/>
    <w:rsid w:val="79EC7990"/>
    <w:rsid w:val="7A016A18"/>
    <w:rsid w:val="7A117471"/>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4626D4"/>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36"/>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37"/>
    <w:qFormat/>
    <w:uiPriority w:val="0"/>
    <w:pPr>
      <w:ind w:left="100" w:leftChars="2500"/>
    </w:pPr>
  </w:style>
  <w:style w:type="paragraph" w:styleId="11">
    <w:name w:val="Balloon Text"/>
    <w:basedOn w:val="1"/>
    <w:link w:val="32"/>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3"/>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6"/>
    <w:next w:val="6"/>
    <w:link w:val="35"/>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标题 1 字符"/>
    <w:link w:val="2"/>
    <w:qFormat/>
    <w:uiPriority w:val="0"/>
    <w:rPr>
      <w:b/>
      <w:bCs/>
      <w:kern w:val="44"/>
      <w:sz w:val="44"/>
      <w:szCs w:val="44"/>
    </w:rPr>
  </w:style>
  <w:style w:type="character" w:customStyle="1" w:styleId="29">
    <w:name w:val="标题 2 字符"/>
    <w:link w:val="3"/>
    <w:qFormat/>
    <w:uiPriority w:val="0"/>
    <w:rPr>
      <w:rFonts w:ascii="Arial" w:hAnsi="Arial" w:eastAsia="黑体"/>
      <w:b/>
      <w:bCs/>
      <w:kern w:val="2"/>
      <w:sz w:val="32"/>
      <w:szCs w:val="32"/>
    </w:rPr>
  </w:style>
  <w:style w:type="character" w:customStyle="1" w:styleId="30">
    <w:name w:val="页脚 字符"/>
    <w:link w:val="12"/>
    <w:qFormat/>
    <w:uiPriority w:val="99"/>
    <w:rPr>
      <w:kern w:val="2"/>
      <w:sz w:val="18"/>
      <w:szCs w:val="18"/>
    </w:rPr>
  </w:style>
  <w:style w:type="character" w:customStyle="1" w:styleId="31">
    <w:name w:val="font11"/>
    <w:qFormat/>
    <w:uiPriority w:val="0"/>
    <w:rPr>
      <w:rFonts w:hint="eastAsia" w:ascii="宋体" w:hAnsi="宋体" w:eastAsia="宋体" w:cs="宋体"/>
      <w:color w:val="000000"/>
      <w:sz w:val="20"/>
      <w:szCs w:val="20"/>
      <w:u w:val="none"/>
    </w:rPr>
  </w:style>
  <w:style w:type="character" w:customStyle="1" w:styleId="32">
    <w:name w:val="批注框文本 字符"/>
    <w:link w:val="11"/>
    <w:qFormat/>
    <w:uiPriority w:val="0"/>
    <w:rPr>
      <w:kern w:val="2"/>
      <w:sz w:val="18"/>
      <w:szCs w:val="18"/>
    </w:rPr>
  </w:style>
  <w:style w:type="character" w:customStyle="1" w:styleId="33">
    <w:name w:val="正文文本缩进 3 字符"/>
    <w:link w:val="17"/>
    <w:qFormat/>
    <w:uiPriority w:val="0"/>
    <w:rPr>
      <w:kern w:val="11"/>
      <w:sz w:val="28"/>
      <w:szCs w:val="24"/>
    </w:rPr>
  </w:style>
  <w:style w:type="character" w:customStyle="1" w:styleId="34">
    <w:name w:val="页眉 字符"/>
    <w:link w:val="13"/>
    <w:qFormat/>
    <w:uiPriority w:val="0"/>
    <w:rPr>
      <w:kern w:val="2"/>
      <w:sz w:val="18"/>
      <w:szCs w:val="18"/>
    </w:rPr>
  </w:style>
  <w:style w:type="character" w:customStyle="1" w:styleId="35">
    <w:name w:val="批注主题 字符"/>
    <w:link w:val="21"/>
    <w:qFormat/>
    <w:uiPriority w:val="0"/>
    <w:rPr>
      <w:b/>
      <w:bCs/>
      <w:kern w:val="2"/>
      <w:sz w:val="21"/>
      <w:szCs w:val="24"/>
    </w:rPr>
  </w:style>
  <w:style w:type="character" w:customStyle="1" w:styleId="36">
    <w:name w:val="批注文字 字符"/>
    <w:link w:val="6"/>
    <w:qFormat/>
    <w:uiPriority w:val="0"/>
    <w:rPr>
      <w:kern w:val="2"/>
      <w:sz w:val="21"/>
      <w:szCs w:val="24"/>
    </w:rPr>
  </w:style>
  <w:style w:type="character" w:customStyle="1" w:styleId="37">
    <w:name w:val="日期 字符"/>
    <w:link w:val="10"/>
    <w:qFormat/>
    <w:uiPriority w:val="0"/>
    <w:rPr>
      <w:kern w:val="2"/>
      <w:sz w:val="21"/>
      <w:szCs w:val="24"/>
    </w:rPr>
  </w:style>
  <w:style w:type="paragraph" w:styleId="38">
    <w:name w:val="List Paragraph"/>
    <w:basedOn w:val="1"/>
    <w:qFormat/>
    <w:uiPriority w:val="34"/>
    <w:pPr>
      <w:ind w:firstLine="420" w:firstLineChars="200"/>
    </w:pPr>
    <w:rPr>
      <w:rFonts w:ascii="Calibri" w:hAnsi="Calibri"/>
      <w:szCs w:val="22"/>
    </w:rPr>
  </w:style>
  <w:style w:type="paragraph" w:customStyle="1" w:styleId="3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0">
    <w:name w:val="列表段落1"/>
    <w:basedOn w:val="1"/>
    <w:qFormat/>
    <w:uiPriority w:val="0"/>
    <w:pPr>
      <w:ind w:firstLine="420" w:firstLineChars="200"/>
    </w:pPr>
    <w:rPr>
      <w:rFonts w:ascii="Calibri" w:hAnsi="Calibri"/>
      <w:szCs w:val="22"/>
    </w:rPr>
  </w:style>
  <w:style w:type="paragraph" w:customStyle="1" w:styleId="41">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2">
    <w:name w:val="z-窗体顶端1"/>
    <w:basedOn w:val="1"/>
    <w:next w:val="1"/>
    <w:link w:val="4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3">
    <w:name w:val="z-窗体顶端 字符"/>
    <w:link w:val="42"/>
    <w:semiHidden/>
    <w:qFormat/>
    <w:uiPriority w:val="99"/>
    <w:rPr>
      <w:rFonts w:ascii="Arial" w:hAnsi="Arial" w:cs="Arial"/>
      <w:vanish/>
      <w:sz w:val="16"/>
      <w:szCs w:val="16"/>
    </w:rPr>
  </w:style>
  <w:style w:type="paragraph" w:customStyle="1" w:styleId="44">
    <w:name w:val="z-窗体底端1"/>
    <w:basedOn w:val="1"/>
    <w:next w:val="1"/>
    <w:link w:val="45"/>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5">
    <w:name w:val="z-窗体底端 字符"/>
    <w:link w:val="44"/>
    <w:qFormat/>
    <w:uiPriority w:val="99"/>
    <w:rPr>
      <w:rFonts w:ascii="Arial" w:hAnsi="Arial" w:cs="Arial"/>
      <w:vanish/>
      <w:sz w:val="16"/>
      <w:szCs w:val="16"/>
    </w:rPr>
  </w:style>
  <w:style w:type="table" w:customStyle="1" w:styleId="46">
    <w:name w:val="网格型1"/>
    <w:basedOn w:val="2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48">
    <w:name w:val="font41"/>
    <w:basedOn w:val="24"/>
    <w:qFormat/>
    <w:uiPriority w:val="0"/>
    <w:rPr>
      <w:rFonts w:ascii="Arial" w:hAnsi="Arial" w:cs="Arial"/>
      <w:color w:val="000000"/>
      <w:sz w:val="20"/>
      <w:szCs w:val="20"/>
      <w:u w:val="none"/>
    </w:rPr>
  </w:style>
  <w:style w:type="character" w:customStyle="1" w:styleId="49">
    <w:name w:val="font21"/>
    <w:basedOn w:val="24"/>
    <w:qFormat/>
    <w:uiPriority w:val="0"/>
    <w:rPr>
      <w:rFonts w:hint="eastAsia" w:ascii="宋体" w:hAnsi="宋体" w:eastAsia="宋体" w:cs="宋体"/>
      <w:color w:val="000000"/>
      <w:sz w:val="20"/>
      <w:szCs w:val="20"/>
      <w:u w:val="none"/>
    </w:rPr>
  </w:style>
  <w:style w:type="character" w:customStyle="1" w:styleId="50">
    <w:name w:val="font31"/>
    <w:basedOn w:val="24"/>
    <w:qFormat/>
    <w:uiPriority w:val="0"/>
    <w:rPr>
      <w:rFonts w:hint="default" w:ascii="Arial" w:hAnsi="Arial" w:cs="Arial"/>
      <w:color w:val="000000"/>
      <w:sz w:val="20"/>
      <w:szCs w:val="20"/>
      <w:u w:val="none"/>
    </w:rPr>
  </w:style>
  <w:style w:type="character" w:customStyle="1" w:styleId="51">
    <w:name w:val="font01"/>
    <w:basedOn w:val="24"/>
    <w:qFormat/>
    <w:uiPriority w:val="0"/>
    <w:rPr>
      <w:rFonts w:hint="default" w:ascii="Arial" w:hAnsi="Arial" w:cs="Arial"/>
      <w:color w:val="000000"/>
      <w:sz w:val="20"/>
      <w:szCs w:val="20"/>
      <w:u w:val="none"/>
    </w:rPr>
  </w:style>
  <w:style w:type="character" w:customStyle="1" w:styleId="52">
    <w:name w:val="font51"/>
    <w:basedOn w:val="24"/>
    <w:qFormat/>
    <w:uiPriority w:val="0"/>
    <w:rPr>
      <w:rFonts w:hint="eastAsia" w:ascii="Batang" w:hAnsi="Batang" w:eastAsia="Batang" w:cs="Batang"/>
      <w:b/>
      <w:color w:val="000000"/>
      <w:sz w:val="20"/>
      <w:szCs w:val="20"/>
      <w:u w:val="none"/>
    </w:rPr>
  </w:style>
  <w:style w:type="character" w:customStyle="1" w:styleId="53">
    <w:name w:val="font61"/>
    <w:basedOn w:val="24"/>
    <w:qFormat/>
    <w:uiPriority w:val="0"/>
    <w:rPr>
      <w:rFonts w:hint="eastAsia" w:ascii="宋体" w:hAnsi="宋体" w:eastAsia="宋体" w:cs="宋体"/>
      <w:b/>
      <w:color w:val="000000"/>
      <w:sz w:val="20"/>
      <w:szCs w:val="20"/>
      <w:u w:val="none"/>
    </w:rPr>
  </w:style>
  <w:style w:type="character" w:customStyle="1" w:styleId="54">
    <w:name w:val="font71"/>
    <w:basedOn w:val="24"/>
    <w:qFormat/>
    <w:uiPriority w:val="0"/>
    <w:rPr>
      <w:rFonts w:hint="default" w:ascii="Arial" w:hAnsi="Arial" w:cs="Arial"/>
      <w:color w:val="000000"/>
      <w:sz w:val="20"/>
      <w:szCs w:val="20"/>
      <w:u w:val="none"/>
    </w:rPr>
  </w:style>
  <w:style w:type="character" w:customStyle="1" w:styleId="55">
    <w:name w:val="font101"/>
    <w:basedOn w:val="24"/>
    <w:qFormat/>
    <w:uiPriority w:val="0"/>
    <w:rPr>
      <w:rFonts w:hint="eastAsia" w:ascii="宋体" w:hAnsi="宋体" w:eastAsia="宋体" w:cs="宋体"/>
      <w:color w:val="000000"/>
      <w:sz w:val="20"/>
      <w:szCs w:val="20"/>
      <w:u w:val="none"/>
    </w:rPr>
  </w:style>
  <w:style w:type="character" w:customStyle="1" w:styleId="56">
    <w:name w:val="font91"/>
    <w:basedOn w:val="24"/>
    <w:qFormat/>
    <w:uiPriority w:val="0"/>
    <w:rPr>
      <w:rFonts w:hint="default" w:ascii="Arial" w:hAnsi="Arial" w:cs="Arial"/>
      <w:color w:val="000000"/>
      <w:sz w:val="20"/>
      <w:szCs w:val="20"/>
      <w:u w:val="none"/>
    </w:rPr>
  </w:style>
  <w:style w:type="paragraph" w:customStyle="1" w:styleId="57">
    <w:name w:val="样式1"/>
    <w:basedOn w:val="1"/>
    <w:qFormat/>
    <w:uiPriority w:val="0"/>
  </w:style>
  <w:style w:type="paragraph" w:customStyle="1" w:styleId="58">
    <w:name w:val="样式2"/>
    <w:basedOn w:val="1"/>
    <w:qFormat/>
    <w:uiPriority w:val="0"/>
  </w:style>
  <w:style w:type="character" w:customStyle="1" w:styleId="59">
    <w:name w:val="font81"/>
    <w:basedOn w:val="24"/>
    <w:qFormat/>
    <w:uiPriority w:val="0"/>
    <w:rPr>
      <w:rFonts w:hint="eastAsia" w:ascii="宋体" w:hAnsi="宋体" w:eastAsia="宋体" w:cs="宋体"/>
      <w:b/>
      <w:color w:val="000000"/>
      <w:sz w:val="20"/>
      <w:szCs w:val="20"/>
      <w:u w:val="none"/>
    </w:rPr>
  </w:style>
  <w:style w:type="character" w:customStyle="1" w:styleId="60">
    <w:name w:val="font131"/>
    <w:basedOn w:val="2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3494</Words>
  <Characters>19922</Characters>
  <Lines>166</Lines>
  <Paragraphs>46</Paragraphs>
  <TotalTime>5</TotalTime>
  <ScaleCrop>false</ScaleCrop>
  <LinksUpToDate>false</LinksUpToDate>
  <CharactersWithSpaces>23370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贺康复</cp:lastModifiedBy>
  <cp:lastPrinted>2020-03-12T03:51:00Z</cp:lastPrinted>
  <dcterms:modified xsi:type="dcterms:W3CDTF">2021-01-14T07:35:33Z</dcterms:modified>
  <dc:title>信托计划监管报告</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