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w:t>
      </w:r>
      <w:r>
        <w:rPr>
          <w:rFonts w:hint="eastAsia" w:ascii="宋体" w:hAnsi="宋体" w:cs="宋体"/>
          <w:b/>
          <w:bCs/>
          <w:sz w:val="36"/>
          <w:szCs w:val="36"/>
          <w:lang w:val="en-US" w:eastAsia="zh-CN"/>
        </w:rPr>
        <w:t>海盐恒大都汇华庭</w:t>
      </w:r>
      <w:r>
        <w:rPr>
          <w:rFonts w:hint="eastAsia" w:ascii="宋体" w:hAnsi="宋体" w:cs="宋体"/>
          <w:b/>
          <w:bCs/>
          <w:sz w:val="36"/>
          <w:szCs w:val="36"/>
        </w:rPr>
        <w:t>项目</w:t>
      </w:r>
      <w:r>
        <w:rPr>
          <w:rFonts w:ascii="Arial" w:hAnsi="Arial" w:cs="Arial"/>
          <w:b/>
          <w:bCs/>
          <w:sz w:val="36"/>
          <w:szCs w:val="36"/>
        </w:rPr>
        <w:t>2020</w:t>
      </w:r>
      <w:r>
        <w:rPr>
          <w:rFonts w:hint="eastAsia" w:ascii="宋体" w:hAnsi="宋体" w:cs="宋体"/>
          <w:b/>
          <w:bCs/>
          <w:sz w:val="36"/>
          <w:szCs w:val="36"/>
        </w:rPr>
        <w:t>年</w:t>
      </w:r>
      <w:r>
        <w:rPr>
          <w:rFonts w:hint="eastAsia" w:ascii="Arial" w:hAnsi="Arial" w:cs="Arial"/>
          <w:b/>
          <w:bCs/>
          <w:sz w:val="36"/>
          <w:szCs w:val="36"/>
          <w:lang w:val="en-US" w:eastAsia="zh-CN"/>
        </w:rPr>
        <w:t>10</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lang w:val="en-US" w:eastAsia="zh-CN"/>
        </w:rPr>
        <w:t>海盐丰涛置业</w:t>
      </w:r>
      <w:r>
        <w:rPr>
          <w:rFonts w:hint="eastAsia" w:ascii="宋体" w:hAnsi="宋体"/>
          <w:sz w:val="24"/>
          <w:szCs w:val="24"/>
        </w:rPr>
        <w:t>有限公司（以下简称项目公司）于</w:t>
      </w:r>
      <w:r>
        <w:rPr>
          <w:rFonts w:ascii="宋体" w:hAnsi="宋体"/>
          <w:sz w:val="24"/>
          <w:szCs w:val="24"/>
        </w:rPr>
        <w:t>2020年</w:t>
      </w:r>
      <w:r>
        <w:rPr>
          <w:rFonts w:hint="eastAsia" w:ascii="宋体" w:hAnsi="宋体"/>
          <w:sz w:val="24"/>
          <w:szCs w:val="24"/>
          <w:lang w:val="en-US" w:eastAsia="zh-CN"/>
        </w:rPr>
        <w:t>10</w:t>
      </w:r>
      <w:r>
        <w:rPr>
          <w:rFonts w:ascii="宋体" w:hAnsi="宋体"/>
          <w:sz w:val="24"/>
          <w:szCs w:val="24"/>
        </w:rPr>
        <w:t>月</w:t>
      </w:r>
      <w:r>
        <w:rPr>
          <w:rFonts w:hint="eastAsia" w:ascii="宋体" w:hAnsi="宋体"/>
          <w:sz w:val="24"/>
          <w:szCs w:val="24"/>
          <w:lang w:val="en-US" w:eastAsia="zh-CN"/>
        </w:rPr>
        <w:t>10</w:t>
      </w:r>
      <w:r>
        <w:rPr>
          <w:rFonts w:ascii="宋体" w:hAnsi="宋体"/>
          <w:sz w:val="24"/>
          <w:szCs w:val="24"/>
        </w:rPr>
        <w:t>日</w:t>
      </w:r>
      <w:r>
        <w:rPr>
          <w:rFonts w:hint="eastAsia" w:ascii="宋体" w:hAnsi="宋体"/>
          <w:sz w:val="24"/>
          <w:szCs w:val="24"/>
        </w:rPr>
        <w:t>提交了《</w:t>
      </w:r>
      <w:r>
        <w:rPr>
          <w:rFonts w:hint="eastAsia" w:ascii="宋体" w:hAnsi="宋体"/>
          <w:sz w:val="24"/>
          <w:szCs w:val="24"/>
          <w:lang w:val="en-US" w:eastAsia="zh-CN"/>
        </w:rPr>
        <w:t>海盐恒大都汇华庭2020年10月支付计划</w:t>
      </w:r>
      <w:r>
        <w:rPr>
          <w:rFonts w:hint="eastAsia" w:ascii="宋体" w:hAnsi="宋体"/>
          <w:sz w:val="24"/>
          <w:szCs w:val="24"/>
        </w:rPr>
        <w:t>》，我司对项目公司申报的资金计划进行了审核，审核结果如下：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lang w:val="en-US" w:eastAsia="zh-CN"/>
        </w:rPr>
        <w:t>海盐恒大都汇华庭</w:t>
      </w:r>
      <w:r>
        <w:rPr>
          <w:rFonts w:hint="eastAsia" w:ascii="宋体" w:hAnsi="宋体"/>
          <w:b/>
          <w:sz w:val="24"/>
          <w:szCs w:val="24"/>
        </w:rPr>
        <w:t>项目2020年</w:t>
      </w:r>
      <w:r>
        <w:rPr>
          <w:rFonts w:hint="eastAsia" w:ascii="宋体" w:hAnsi="宋体"/>
          <w:b/>
          <w:sz w:val="24"/>
          <w:szCs w:val="24"/>
          <w:lang w:val="en-US" w:eastAsia="zh-CN"/>
        </w:rPr>
        <w:t>10</w:t>
      </w:r>
      <w:r>
        <w:rPr>
          <w:rFonts w:hint="eastAsia" w:ascii="宋体" w:hAnsi="宋体"/>
          <w:b/>
          <w:sz w:val="24"/>
          <w:szCs w:val="24"/>
        </w:rPr>
        <w:t>月资金汇总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w:t>
      </w:r>
      <w:r>
        <w:rPr>
          <w:rFonts w:ascii="宋体" w:hAnsi="宋体"/>
          <w:sz w:val="24"/>
          <w:szCs w:val="24"/>
        </w:rPr>
        <w:t>2020年</w:t>
      </w:r>
      <w:r>
        <w:rPr>
          <w:rFonts w:hint="eastAsia" w:ascii="宋体" w:hAnsi="宋体"/>
          <w:sz w:val="24"/>
          <w:szCs w:val="24"/>
          <w:lang w:val="en-US" w:eastAsia="zh-CN"/>
        </w:rPr>
        <w:t>10</w:t>
      </w:r>
      <w:r>
        <w:rPr>
          <w:rFonts w:ascii="宋体" w:hAnsi="宋体"/>
          <w:sz w:val="24"/>
          <w:szCs w:val="24"/>
        </w:rPr>
        <w:t>月</w:t>
      </w:r>
      <w:r>
        <w:rPr>
          <w:rFonts w:hint="eastAsia" w:ascii="宋体" w:hAnsi="宋体"/>
          <w:sz w:val="24"/>
          <w:szCs w:val="24"/>
          <w:lang w:val="en-US" w:eastAsia="zh-CN"/>
        </w:rPr>
        <w:t>10</w:t>
      </w:r>
      <w:r>
        <w:rPr>
          <w:rFonts w:ascii="宋体" w:hAnsi="宋体"/>
          <w:sz w:val="24"/>
          <w:szCs w:val="24"/>
        </w:rPr>
        <w:t>日</w:t>
      </w:r>
      <w:r>
        <w:rPr>
          <w:rFonts w:hint="eastAsia" w:ascii="宋体" w:hAnsi="宋体"/>
          <w:sz w:val="24"/>
          <w:szCs w:val="24"/>
        </w:rPr>
        <w:t>提交的2020年</w:t>
      </w:r>
      <w:r>
        <w:rPr>
          <w:rFonts w:hint="eastAsia" w:ascii="宋体" w:hAnsi="宋体"/>
          <w:sz w:val="24"/>
          <w:szCs w:val="24"/>
          <w:lang w:val="en-US" w:eastAsia="zh-CN"/>
        </w:rPr>
        <w:t>10</w:t>
      </w:r>
      <w:r>
        <w:rPr>
          <w:rFonts w:hint="eastAsia" w:ascii="宋体" w:hAnsi="宋体"/>
          <w:sz w:val="24"/>
          <w:szCs w:val="24"/>
        </w:rPr>
        <w:t>月资金支出计划，</w:t>
      </w:r>
      <w:r>
        <w:rPr>
          <w:rFonts w:ascii="宋体" w:hAnsi="宋体"/>
          <w:sz w:val="24"/>
          <w:szCs w:val="24"/>
        </w:rPr>
        <w:t>计划</w:t>
      </w:r>
      <w:r>
        <w:rPr>
          <w:rFonts w:hint="eastAsia" w:ascii="宋体" w:hAnsi="宋体"/>
          <w:sz w:val="24"/>
          <w:szCs w:val="24"/>
        </w:rPr>
        <w:t>资金支出</w:t>
      </w:r>
      <w:r>
        <w:rPr>
          <w:rFonts w:hint="eastAsia" w:ascii="宋体" w:hAnsi="宋体"/>
          <w:sz w:val="24"/>
          <w:szCs w:val="24"/>
          <w:lang w:val="en-US" w:eastAsia="zh-CN"/>
        </w:rPr>
        <w:t>共计33</w:t>
      </w:r>
      <w:r>
        <w:rPr>
          <w:rFonts w:hint="eastAsia" w:ascii="宋体" w:hAnsi="宋体"/>
          <w:sz w:val="24"/>
          <w:szCs w:val="24"/>
        </w:rPr>
        <w:t>笔，合计26,353.73万元。其中：</w:t>
      </w:r>
      <w:r>
        <w:rPr>
          <w:rFonts w:hint="eastAsia" w:ascii="宋体" w:hAnsi="宋体"/>
          <w:sz w:val="24"/>
          <w:szCs w:val="24"/>
          <w:lang w:val="en-US" w:eastAsia="zh-CN"/>
        </w:rPr>
        <w:t>开发报建费</w:t>
      </w:r>
      <w:r>
        <w:rPr>
          <w:rFonts w:hint="eastAsia" w:ascii="宋体" w:hAnsi="宋体"/>
          <w:sz w:val="24"/>
          <w:szCs w:val="24"/>
        </w:rPr>
        <w:t>支出约16.01万元</w:t>
      </w:r>
      <w:r>
        <w:rPr>
          <w:rFonts w:hint="eastAsia" w:ascii="宋体" w:hAnsi="宋体"/>
          <w:sz w:val="24"/>
          <w:szCs w:val="24"/>
          <w:lang w:eastAsia="zh-CN"/>
        </w:rPr>
        <w:t>，</w:t>
      </w:r>
      <w:r>
        <w:rPr>
          <w:rFonts w:hint="eastAsia" w:ascii="宋体" w:hAnsi="宋体"/>
          <w:sz w:val="24"/>
          <w:szCs w:val="24"/>
          <w:lang w:val="en-US" w:eastAsia="zh-CN"/>
        </w:rPr>
        <w:t>工程款支出14,121.54万元，管理费支出51.00万元,营销费支出65.18万元，往来款支出12,000.00万元，财务费用支出20.00万元，其他支出80.00万元。</w:t>
      </w:r>
    </w:p>
    <w:tbl>
      <w:tblPr>
        <w:tblStyle w:val="9"/>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hint="eastAsia" w:ascii="宋体" w:hAnsi="宋体"/>
                <w:b/>
                <w:bCs/>
                <w:sz w:val="24"/>
                <w:szCs w:val="24"/>
              </w:rPr>
            </w:pPr>
            <w:bookmarkStart w:id="0" w:name="_Hlk16606321"/>
            <w:r>
              <w:rPr>
                <w:rFonts w:hint="eastAsia" w:ascii="宋体" w:hAnsi="宋体"/>
                <w:b/>
                <w:bCs/>
                <w:sz w:val="24"/>
                <w:szCs w:val="24"/>
              </w:rPr>
              <w:t>中航信托·天垣3号恒大嘉兴海盐项目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w:t>
            </w:r>
          </w:p>
          <w:p>
            <w:pPr>
              <w:spacing w:line="360" w:lineRule="auto"/>
              <w:jc w:val="center"/>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海盐恒大都汇华庭</w:t>
            </w:r>
            <w:r>
              <w:rPr>
                <w:rFonts w:hint="eastAsia" w:ascii="宋体" w:hAnsi="宋体"/>
                <w:b/>
                <w:bCs/>
                <w:sz w:val="24"/>
                <w:szCs w:val="24"/>
              </w:rPr>
              <w:t>项目月度资金使用计划（2020年</w:t>
            </w:r>
            <w:r>
              <w:rPr>
                <w:rFonts w:hint="eastAsia" w:ascii="宋体" w:hAnsi="宋体"/>
                <w:b/>
                <w:bCs/>
                <w:sz w:val="24"/>
                <w:szCs w:val="24"/>
                <w:lang w:val="en-US" w:eastAsia="zh-CN"/>
              </w:rPr>
              <w:t>10</w:t>
            </w:r>
            <w:r>
              <w:rPr>
                <w:rFonts w:hint="eastAsia" w:ascii="宋体" w:hAnsi="宋体"/>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w:t>
            </w:r>
            <w:r>
              <w:rPr>
                <w:rFonts w:hint="eastAsia" w:ascii="宋体" w:hAnsi="宋体"/>
                <w:b/>
                <w:bCs/>
                <w:sz w:val="24"/>
                <w:szCs w:val="24"/>
                <w:lang w:val="en-US" w:eastAsia="zh-CN"/>
              </w:rPr>
              <w:t>海盐丰涛置业</w:t>
            </w:r>
            <w:r>
              <w:rPr>
                <w:rFonts w:hint="eastAsia" w:ascii="宋体" w:hAnsi="宋体"/>
                <w:b/>
                <w:bCs/>
                <w:sz w:val="24"/>
                <w:szCs w:val="24"/>
              </w:rPr>
              <w:t>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hint="eastAsia" w:ascii="宋体" w:hAnsi="宋体" w:eastAsia="宋体"/>
                <w:b/>
                <w:bCs/>
                <w:sz w:val="24"/>
                <w:szCs w:val="24"/>
                <w:lang w:eastAsia="zh-CN"/>
              </w:rPr>
            </w:pPr>
            <w:r>
              <w:rPr>
                <w:rFonts w:hint="eastAsia" w:ascii="宋体" w:hAnsi="宋体"/>
                <w:b/>
                <w:bCs/>
                <w:sz w:val="24"/>
                <w:szCs w:val="24"/>
                <w:lang w:val="en-US" w:eastAsia="zh-CN"/>
              </w:rPr>
              <w:t>项目</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开发报建费</w:t>
            </w:r>
          </w:p>
        </w:tc>
        <w:tc>
          <w:tcPr>
            <w:tcW w:w="2693" w:type="dxa"/>
          </w:tcPr>
          <w:p>
            <w:pPr>
              <w:spacing w:line="360" w:lineRule="auto"/>
              <w:jc w:val="right"/>
              <w:rPr>
                <w:rFonts w:hint="default" w:ascii="宋体" w:hAnsi="宋体" w:eastAsia="宋体"/>
                <w:color w:val="FF0000"/>
                <w:sz w:val="24"/>
                <w:szCs w:val="24"/>
                <w:highlight w:val="yellow"/>
                <w:lang w:val="en-US" w:eastAsia="zh-CN"/>
              </w:rPr>
            </w:pPr>
            <w:r>
              <w:rPr>
                <w:rFonts w:hint="eastAsia" w:ascii="宋体" w:hAnsi="宋体"/>
                <w:sz w:val="24"/>
                <w:szCs w:val="24"/>
                <w:lang w:val="en-US" w:eastAsia="zh-CN"/>
              </w:rPr>
              <w:t>0.00</w:t>
            </w:r>
          </w:p>
        </w:tc>
        <w:tc>
          <w:tcPr>
            <w:tcW w:w="2552" w:type="dxa"/>
            <w:vAlign w:val="center"/>
          </w:tcPr>
          <w:p>
            <w:pPr>
              <w:widowControl/>
              <w:spacing w:line="360" w:lineRule="auto"/>
              <w:jc w:val="right"/>
              <w:textAlignment w:val="auto"/>
              <w:rPr>
                <w:rFonts w:hint="eastAsia"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144.38</w:t>
            </w:r>
          </w:p>
        </w:tc>
        <w:tc>
          <w:tcPr>
            <w:tcW w:w="2429" w:type="dxa"/>
          </w:tcPr>
          <w:p>
            <w:pPr>
              <w:spacing w:line="360" w:lineRule="auto"/>
              <w:jc w:val="right"/>
              <w:rPr>
                <w:rFonts w:hint="eastAsia" w:ascii="宋体" w:hAnsi="宋体"/>
                <w:sz w:val="24"/>
                <w:szCs w:val="24"/>
              </w:rPr>
            </w:pPr>
            <w:r>
              <w:rPr>
                <w:rFonts w:hint="eastAsia" w:ascii="宋体" w:hAnsi="宋体"/>
                <w:sz w:val="24"/>
                <w:szCs w:val="24"/>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工程款</w:t>
            </w:r>
          </w:p>
        </w:tc>
        <w:tc>
          <w:tcPr>
            <w:tcW w:w="2693" w:type="dxa"/>
          </w:tcPr>
          <w:p>
            <w:pPr>
              <w:spacing w:line="360" w:lineRule="auto"/>
              <w:jc w:val="right"/>
              <w:rPr>
                <w:rFonts w:ascii="宋体" w:hAnsi="宋体"/>
                <w:color w:val="FF0000"/>
                <w:sz w:val="24"/>
                <w:szCs w:val="24"/>
                <w:highlight w:val="yellow"/>
              </w:rPr>
            </w:pPr>
            <w:r>
              <w:rPr>
                <w:rFonts w:hint="eastAsia" w:ascii="宋体" w:hAnsi="宋体"/>
                <w:sz w:val="24"/>
                <w:szCs w:val="24"/>
              </w:rPr>
              <w:t>229,411.74</w:t>
            </w:r>
          </w:p>
        </w:tc>
        <w:tc>
          <w:tcPr>
            <w:tcW w:w="2552" w:type="dxa"/>
            <w:vAlign w:val="center"/>
          </w:tcPr>
          <w:p>
            <w:pPr>
              <w:widowControl/>
              <w:spacing w:line="360" w:lineRule="auto"/>
              <w:jc w:val="right"/>
              <w:textAlignment w:val="auto"/>
              <w:rPr>
                <w:rFonts w:hint="eastAsia"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2,283.89</w:t>
            </w:r>
          </w:p>
        </w:tc>
        <w:tc>
          <w:tcPr>
            <w:tcW w:w="2429" w:type="dxa"/>
          </w:tcPr>
          <w:p>
            <w:pPr>
              <w:spacing w:line="360" w:lineRule="auto"/>
              <w:jc w:val="right"/>
              <w:rPr>
                <w:rFonts w:hint="eastAsia" w:ascii="宋体" w:hAnsi="宋体"/>
                <w:sz w:val="24"/>
                <w:szCs w:val="24"/>
                <w:lang w:val="en-US"/>
              </w:rPr>
            </w:pPr>
            <w:r>
              <w:rPr>
                <w:rFonts w:hint="eastAsia" w:ascii="宋体" w:hAnsi="宋体"/>
                <w:sz w:val="24"/>
                <w:szCs w:val="24"/>
              </w:rPr>
              <w:t>14,121.54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管理费用</w:t>
            </w:r>
          </w:p>
        </w:tc>
        <w:tc>
          <w:tcPr>
            <w:tcW w:w="2693" w:type="dxa"/>
            <w:vAlign w:val="top"/>
          </w:tcPr>
          <w:p>
            <w:pPr>
              <w:spacing w:line="360" w:lineRule="auto"/>
              <w:jc w:val="right"/>
              <w:rPr>
                <w:rFonts w:ascii="宋体" w:hAnsi="宋体" w:eastAsia="宋体" w:cs="Times New Roman"/>
                <w:kern w:val="2"/>
                <w:sz w:val="24"/>
                <w:szCs w:val="24"/>
                <w:highlight w:val="yellow"/>
                <w:lang w:val="en-US" w:eastAsia="zh-CN" w:bidi="ar-SA"/>
              </w:rPr>
            </w:pPr>
            <w:r>
              <w:rPr>
                <w:rFonts w:hint="eastAsia" w:ascii="宋体" w:hAnsi="宋体"/>
                <w:sz w:val="24"/>
                <w:szCs w:val="24"/>
              </w:rPr>
              <w:t>0.00</w:t>
            </w:r>
          </w:p>
        </w:tc>
        <w:tc>
          <w:tcPr>
            <w:tcW w:w="2552" w:type="dxa"/>
            <w:vAlign w:val="center"/>
          </w:tcPr>
          <w:p>
            <w:pPr>
              <w:widowControl/>
              <w:spacing w:line="360" w:lineRule="auto"/>
              <w:jc w:val="right"/>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eastAsia="zh-CN"/>
              </w:rPr>
              <w:t>2</w:t>
            </w:r>
            <w:r>
              <w:rPr>
                <w:rFonts w:hint="eastAsia" w:ascii="宋体" w:hAnsi="宋体" w:cs="Times New Roman"/>
                <w:kern w:val="2"/>
                <w:sz w:val="24"/>
                <w:szCs w:val="24"/>
                <w:lang w:val="en-US" w:eastAsia="zh-CN"/>
              </w:rPr>
              <w:t>2.54</w:t>
            </w:r>
          </w:p>
        </w:tc>
        <w:tc>
          <w:tcPr>
            <w:tcW w:w="2429" w:type="dxa"/>
          </w:tcPr>
          <w:p>
            <w:pPr>
              <w:spacing w:line="360" w:lineRule="auto"/>
              <w:jc w:val="right"/>
              <w:rPr>
                <w:rFonts w:hint="eastAsia" w:ascii="宋体" w:hAnsi="宋体"/>
                <w:sz w:val="24"/>
                <w:szCs w:val="24"/>
                <w:lang w:val="en-US"/>
              </w:rPr>
            </w:pPr>
            <w:r>
              <w:rPr>
                <w:rFonts w:hint="eastAsia" w:ascii="宋体" w:hAnsi="宋体"/>
                <w:sz w:val="24"/>
                <w:szCs w:val="24"/>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营销费用</w:t>
            </w:r>
          </w:p>
        </w:tc>
        <w:tc>
          <w:tcPr>
            <w:tcW w:w="2693" w:type="dxa"/>
          </w:tcPr>
          <w:p>
            <w:pPr>
              <w:spacing w:line="360" w:lineRule="auto"/>
              <w:jc w:val="right"/>
              <w:rPr>
                <w:rFonts w:hint="default" w:ascii="宋体" w:hAnsi="宋体"/>
                <w:sz w:val="24"/>
                <w:szCs w:val="24"/>
                <w:highlight w:val="yellow"/>
                <w:lang w:val="en-US"/>
              </w:rPr>
            </w:pPr>
            <w:r>
              <w:rPr>
                <w:rFonts w:hint="eastAsia" w:ascii="宋体" w:hAnsi="宋体"/>
                <w:sz w:val="24"/>
                <w:szCs w:val="24"/>
                <w:lang w:val="en-US" w:eastAsia="zh-CN" w:bidi="zh-CN"/>
              </w:rPr>
              <w:t>133.00</w:t>
            </w:r>
          </w:p>
        </w:tc>
        <w:tc>
          <w:tcPr>
            <w:tcW w:w="2552" w:type="dxa"/>
            <w:vAlign w:val="center"/>
          </w:tcPr>
          <w:p>
            <w:pPr>
              <w:widowControl/>
              <w:spacing w:line="360" w:lineRule="auto"/>
              <w:jc w:val="right"/>
              <w:textAlignment w:val="auto"/>
              <w:rPr>
                <w:rFonts w:hint="default"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12</w:t>
            </w:r>
            <w:r>
              <w:rPr>
                <w:rFonts w:hint="eastAsia" w:ascii="宋体" w:hAnsi="宋体" w:cs="Times New Roman"/>
                <w:kern w:val="2"/>
                <w:sz w:val="24"/>
                <w:szCs w:val="24"/>
              </w:rPr>
              <w:t>.</w:t>
            </w:r>
            <w:r>
              <w:rPr>
                <w:rFonts w:hint="eastAsia" w:ascii="宋体" w:hAnsi="宋体" w:cs="Times New Roman"/>
                <w:kern w:val="2"/>
                <w:sz w:val="24"/>
                <w:szCs w:val="24"/>
                <w:lang w:val="en-US" w:eastAsia="zh-CN"/>
              </w:rPr>
              <w:t>25</w:t>
            </w:r>
          </w:p>
        </w:tc>
        <w:tc>
          <w:tcPr>
            <w:tcW w:w="2429" w:type="dxa"/>
          </w:tcPr>
          <w:p>
            <w:pPr>
              <w:spacing w:line="360" w:lineRule="auto"/>
              <w:jc w:val="right"/>
              <w:rPr>
                <w:rFonts w:hint="eastAsia" w:ascii="宋体" w:hAnsi="宋体"/>
                <w:sz w:val="24"/>
                <w:szCs w:val="24"/>
                <w:lang w:val="en-US"/>
              </w:rPr>
            </w:pPr>
            <w:r>
              <w:rPr>
                <w:rFonts w:hint="eastAsia" w:ascii="宋体" w:hAnsi="宋体"/>
                <w:sz w:val="24"/>
                <w:szCs w:val="24"/>
                <w:lang w:val="en-US" w:eastAsia="zh-CN"/>
              </w:rPr>
              <w:t>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往来款</w:t>
            </w:r>
          </w:p>
        </w:tc>
        <w:tc>
          <w:tcPr>
            <w:tcW w:w="2693" w:type="dxa"/>
          </w:tcPr>
          <w:p>
            <w:pPr>
              <w:spacing w:line="360" w:lineRule="auto"/>
              <w:jc w:val="right"/>
              <w:rPr>
                <w:rFonts w:ascii="宋体" w:hAnsi="宋体"/>
                <w:sz w:val="24"/>
                <w:szCs w:val="24"/>
              </w:rPr>
            </w:pPr>
            <w:r>
              <w:rPr>
                <w:rFonts w:hint="eastAsia" w:ascii="宋体" w:hAnsi="宋体"/>
                <w:sz w:val="24"/>
                <w:szCs w:val="24"/>
              </w:rPr>
              <w:t>0.00</w:t>
            </w:r>
          </w:p>
        </w:tc>
        <w:tc>
          <w:tcPr>
            <w:tcW w:w="2552" w:type="dxa"/>
          </w:tcPr>
          <w:p>
            <w:pPr>
              <w:widowControl/>
              <w:spacing w:line="360" w:lineRule="auto"/>
              <w:jc w:val="right"/>
              <w:textAlignment w:val="auto"/>
              <w:rPr>
                <w:rFonts w:hint="eastAsia" w:ascii="宋体" w:hAnsi="宋体" w:cs="Times New Roman"/>
                <w:kern w:val="2"/>
                <w:sz w:val="24"/>
                <w:szCs w:val="24"/>
              </w:rPr>
            </w:pPr>
            <w:r>
              <w:rPr>
                <w:rFonts w:hint="eastAsia" w:ascii="宋体" w:hAnsi="宋体" w:eastAsia="宋体" w:cs="Times New Roman"/>
                <w:i w:val="0"/>
                <w:kern w:val="2"/>
                <w:sz w:val="24"/>
                <w:szCs w:val="24"/>
                <w:u w:val="none"/>
                <w:lang w:val="en-US" w:eastAsia="zh-CN" w:bidi="ar"/>
              </w:rPr>
              <w:t>21,166</w:t>
            </w:r>
            <w:r>
              <w:rPr>
                <w:rFonts w:hint="eastAsia" w:ascii="宋体" w:hAnsi="宋体" w:cs="Times New Roman"/>
                <w:i w:val="0"/>
                <w:kern w:val="2"/>
                <w:sz w:val="24"/>
                <w:szCs w:val="24"/>
                <w:u w:val="none"/>
                <w:lang w:val="en-US" w:eastAsia="zh-CN" w:bidi="ar"/>
              </w:rPr>
              <w:t>.37</w:t>
            </w:r>
            <w:r>
              <w:rPr>
                <w:rFonts w:hint="eastAsia" w:ascii="宋体" w:hAnsi="宋体" w:eastAsia="宋体" w:cs="Times New Roman"/>
                <w:i w:val="0"/>
                <w:kern w:val="2"/>
                <w:sz w:val="24"/>
                <w:szCs w:val="24"/>
                <w:u w:val="none"/>
                <w:lang w:val="en-US" w:eastAsia="zh-CN" w:bidi="ar"/>
              </w:rPr>
              <w:t xml:space="preserve"> </w:t>
            </w:r>
          </w:p>
        </w:tc>
        <w:tc>
          <w:tcPr>
            <w:tcW w:w="2429" w:type="dxa"/>
          </w:tcPr>
          <w:p>
            <w:pPr>
              <w:spacing w:line="360" w:lineRule="auto"/>
              <w:jc w:val="right"/>
              <w:rPr>
                <w:rFonts w:hint="eastAsia" w:ascii="宋体" w:hAnsi="宋体"/>
                <w:sz w:val="24"/>
                <w:szCs w:val="24"/>
              </w:rPr>
            </w:pPr>
            <w:r>
              <w:rPr>
                <w:rFonts w:hint="eastAsia" w:ascii="宋体" w:hAnsi="宋体"/>
                <w:sz w:val="24"/>
                <w:szCs w:val="24"/>
                <w:lang w:val="en-US" w:eastAsia="zh-CN" w:bidi="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财务费用</w:t>
            </w:r>
          </w:p>
        </w:tc>
        <w:tc>
          <w:tcPr>
            <w:tcW w:w="2693" w:type="dxa"/>
            <w:vAlign w:val="top"/>
          </w:tcPr>
          <w:p>
            <w:pPr>
              <w:spacing w:line="360" w:lineRule="auto"/>
              <w:jc w:val="right"/>
              <w:rPr>
                <w:rFonts w:ascii="宋体" w:hAnsi="宋体"/>
                <w:sz w:val="24"/>
                <w:szCs w:val="24"/>
              </w:rPr>
            </w:pPr>
            <w:r>
              <w:rPr>
                <w:rFonts w:hint="eastAsia" w:ascii="宋体" w:hAnsi="宋体"/>
                <w:sz w:val="24"/>
                <w:szCs w:val="24"/>
              </w:rPr>
              <w:t>0.00</w:t>
            </w:r>
          </w:p>
        </w:tc>
        <w:tc>
          <w:tcPr>
            <w:tcW w:w="2552" w:type="dxa"/>
            <w:vAlign w:val="top"/>
          </w:tcPr>
          <w:p>
            <w:pPr>
              <w:widowControl/>
              <w:spacing w:line="360" w:lineRule="auto"/>
              <w:jc w:val="right"/>
              <w:textAlignment w:val="auto"/>
              <w:rPr>
                <w:rFonts w:hint="eastAsia" w:ascii="宋体" w:hAnsi="宋体" w:cs="Times New Roman"/>
                <w:kern w:val="2"/>
                <w:sz w:val="24"/>
                <w:szCs w:val="24"/>
              </w:rPr>
            </w:pPr>
            <w:r>
              <w:rPr>
                <w:rFonts w:hint="eastAsia" w:ascii="宋体" w:hAnsi="宋体" w:cs="Times New Roman"/>
                <w:kern w:val="2"/>
                <w:sz w:val="24"/>
                <w:szCs w:val="24"/>
                <w:lang w:eastAsia="zh-CN"/>
              </w:rPr>
              <w:t>1</w:t>
            </w:r>
            <w:r>
              <w:rPr>
                <w:rFonts w:hint="eastAsia" w:ascii="宋体" w:hAnsi="宋体" w:cs="Times New Roman"/>
                <w:kern w:val="2"/>
                <w:sz w:val="24"/>
                <w:szCs w:val="24"/>
                <w:lang w:val="en-US" w:eastAsia="zh-CN"/>
              </w:rPr>
              <w:t>.05</w:t>
            </w:r>
          </w:p>
        </w:tc>
        <w:tc>
          <w:tcPr>
            <w:tcW w:w="2429" w:type="dxa"/>
          </w:tcPr>
          <w:p>
            <w:pPr>
              <w:spacing w:line="360" w:lineRule="auto"/>
              <w:jc w:val="right"/>
              <w:rPr>
                <w:rFonts w:hint="eastAsia" w:ascii="宋体" w:hAnsi="宋体"/>
                <w:sz w:val="24"/>
                <w:szCs w:val="24"/>
              </w:rPr>
            </w:pPr>
            <w:r>
              <w:rPr>
                <w:rFonts w:hint="eastAsia" w:ascii="宋体" w:hAnsi="宋体"/>
                <w:sz w:val="24"/>
                <w:szCs w:val="24"/>
                <w:lang w:val="en-US" w:eastAsia="zh-CN" w:bidi="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其他</w:t>
            </w:r>
          </w:p>
        </w:tc>
        <w:tc>
          <w:tcPr>
            <w:tcW w:w="2693" w:type="dxa"/>
            <w:vAlign w:val="top"/>
          </w:tcPr>
          <w:p>
            <w:pPr>
              <w:spacing w:line="360" w:lineRule="auto"/>
              <w:jc w:val="right"/>
              <w:rPr>
                <w:rFonts w:ascii="宋体" w:hAnsi="宋体"/>
                <w:sz w:val="24"/>
                <w:szCs w:val="24"/>
              </w:rPr>
            </w:pPr>
            <w:r>
              <w:rPr>
                <w:rFonts w:hint="eastAsia" w:ascii="宋体" w:hAnsi="宋体"/>
                <w:sz w:val="24"/>
                <w:szCs w:val="24"/>
              </w:rPr>
              <w:t>0.00</w:t>
            </w:r>
          </w:p>
        </w:tc>
        <w:tc>
          <w:tcPr>
            <w:tcW w:w="2552" w:type="dxa"/>
            <w:vAlign w:val="top"/>
          </w:tcPr>
          <w:p>
            <w:pPr>
              <w:widowControl/>
              <w:spacing w:line="240" w:lineRule="auto"/>
              <w:jc w:val="righ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0.00</w:t>
            </w:r>
          </w:p>
        </w:tc>
        <w:tc>
          <w:tcPr>
            <w:tcW w:w="2429" w:type="dxa"/>
          </w:tcPr>
          <w:p>
            <w:pPr>
              <w:spacing w:line="360" w:lineRule="auto"/>
              <w:jc w:val="right"/>
              <w:rPr>
                <w:rFonts w:hint="default" w:ascii="宋体" w:hAnsi="宋体" w:eastAsia="宋体"/>
                <w:sz w:val="24"/>
                <w:szCs w:val="24"/>
                <w:lang w:val="en-US" w:eastAsia="zh-CN"/>
              </w:rPr>
            </w:pPr>
            <w:r>
              <w:rPr>
                <w:rFonts w:hint="eastAsia" w:ascii="宋体" w:hAnsi="宋体"/>
                <w:sz w:val="24"/>
                <w:szCs w:val="24"/>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673" w:type="dxa"/>
            <w:gridSpan w:val="2"/>
          </w:tcPr>
          <w:p>
            <w:pPr>
              <w:spacing w:line="360" w:lineRule="auto"/>
              <w:jc w:val="center"/>
              <w:rPr>
                <w:rFonts w:hint="eastAsia" w:ascii="宋体" w:hAnsi="宋体"/>
                <w:sz w:val="24"/>
                <w:szCs w:val="24"/>
              </w:rPr>
            </w:pPr>
            <w:r>
              <w:rPr>
                <w:rFonts w:hint="eastAsia" w:ascii="宋体" w:hAnsi="宋体"/>
                <w:sz w:val="24"/>
                <w:szCs w:val="24"/>
                <w:lang w:val="en-US" w:eastAsia="zh-CN"/>
              </w:rPr>
              <w:t>总计</w:t>
            </w: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23,630.48 </w:t>
            </w:r>
          </w:p>
        </w:tc>
        <w:tc>
          <w:tcPr>
            <w:tcW w:w="2429" w:type="dxa"/>
          </w:tcPr>
          <w:p>
            <w:pPr>
              <w:spacing w:line="360" w:lineRule="auto"/>
              <w:jc w:val="right"/>
              <w:rPr>
                <w:rFonts w:hint="eastAsia" w:ascii="宋体" w:hAnsi="宋体"/>
                <w:sz w:val="24"/>
                <w:szCs w:val="24"/>
                <w:lang w:val="en-US" w:eastAsia="zh-CN"/>
              </w:rPr>
            </w:pPr>
            <w:r>
              <w:rPr>
                <w:rFonts w:hint="eastAsia" w:ascii="宋体" w:hAnsi="宋体"/>
                <w:sz w:val="24"/>
                <w:szCs w:val="24"/>
              </w:rPr>
              <w:t>26,353.73</w:t>
            </w:r>
          </w:p>
        </w:tc>
      </w:tr>
      <w:bookmarkEnd w:id="0"/>
    </w:tbl>
    <w:p>
      <w:pPr>
        <w:pStyle w:val="8"/>
        <w:spacing w:before="156" w:beforeLines="50" w:after="156" w:afterLines="50" w:line="360" w:lineRule="auto"/>
        <w:ind w:firstLine="0" w:firstLineChars="0"/>
        <w:rPr>
          <w:rFonts w:ascii="宋体" w:hAnsi="宋体" w:cs="宋体"/>
          <w:b/>
          <w:sz w:val="24"/>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pStyle w:val="8"/>
        <w:spacing w:after="0" w:line="360" w:lineRule="auto"/>
        <w:ind w:firstLine="482" w:firstLineChars="200"/>
        <w:rPr>
          <w:rFonts w:hint="eastAsia" w:ascii="宋体" w:hAnsi="宋体" w:cs="宋体"/>
          <w:b/>
          <w:sz w:val="24"/>
        </w:rPr>
      </w:pPr>
    </w:p>
    <w:p>
      <w:pPr>
        <w:pStyle w:val="8"/>
        <w:spacing w:after="0" w:line="360" w:lineRule="auto"/>
        <w:ind w:firstLine="482" w:firstLineChars="200"/>
        <w:rPr>
          <w:rFonts w:hint="eastAsia" w:ascii="宋体" w:hAnsi="宋体" w:cs="宋体"/>
          <w:b/>
          <w:sz w:val="24"/>
        </w:rPr>
      </w:pPr>
    </w:p>
    <w:p>
      <w:pPr>
        <w:pStyle w:val="8"/>
        <w:spacing w:after="0" w:line="360" w:lineRule="auto"/>
        <w:ind w:firstLine="482" w:firstLineChars="200"/>
        <w:rPr>
          <w:rFonts w:ascii="宋体" w:hAnsi="宋体" w:cs="宋体"/>
          <w:b/>
          <w:sz w:val="24"/>
        </w:rPr>
      </w:pPr>
      <w:r>
        <w:rPr>
          <w:rFonts w:hint="eastAsia" w:ascii="宋体" w:hAnsi="宋体" w:cs="宋体"/>
          <w:b/>
          <w:sz w:val="24"/>
        </w:rPr>
        <w:t>二、</w:t>
      </w:r>
      <w:r>
        <w:rPr>
          <w:rFonts w:ascii="宋体" w:hAnsi="宋体"/>
          <w:b/>
          <w:color w:val="000000"/>
          <w:sz w:val="24"/>
          <w:lang w:val="zh-CN" w:bidi="zh-CN"/>
        </w:rPr>
        <w:t>付款情况</w:t>
      </w:r>
      <w:r>
        <w:rPr>
          <w:rFonts w:hint="eastAsia" w:ascii="宋体" w:hAnsi="宋体"/>
          <w:b/>
          <w:color w:val="000000"/>
          <w:sz w:val="24"/>
          <w:lang w:bidi="zh-CN"/>
        </w:rPr>
        <w:t>审核说明</w:t>
      </w:r>
    </w:p>
    <w:p>
      <w:pPr>
        <w:numPr>
          <w:ilvl w:val="0"/>
          <w:numId w:val="2"/>
        </w:numPr>
        <w:spacing w:before="156" w:beforeLines="50" w:after="156" w:afterLines="50" w:line="360" w:lineRule="auto"/>
        <w:rPr>
          <w:rFonts w:ascii="宋体" w:hAnsi="宋体"/>
          <w:bCs/>
          <w:color w:val="000000"/>
          <w:sz w:val="24"/>
          <w:szCs w:val="24"/>
          <w:lang w:bidi="zh-CN"/>
        </w:rPr>
      </w:pPr>
      <w:r>
        <w:rPr>
          <w:rFonts w:hint="eastAsia" w:ascii="宋体" w:hAnsi="宋体" w:eastAsia="宋体" w:cs="Times New Roman"/>
          <w:b/>
          <w:color w:val="000000"/>
          <w:kern w:val="2"/>
          <w:sz w:val="24"/>
          <w:szCs w:val="24"/>
          <w:lang w:val="en-US" w:eastAsia="zh-CN" w:bidi="zh-CN"/>
        </w:rPr>
        <w:t>开发报建费支出计划说明</w:t>
      </w:r>
    </w:p>
    <w:p>
      <w:pPr>
        <w:spacing w:before="156" w:beforeLines="50" w:after="156" w:afterLines="50" w:line="360" w:lineRule="auto"/>
        <w:ind w:left="225" w:firstLine="480" w:firstLineChars="200"/>
        <w:rPr>
          <w:rFonts w:hint="default" w:ascii="宋体" w:hAnsi="宋体"/>
          <w:bCs/>
          <w:color w:val="000000"/>
          <w:sz w:val="24"/>
          <w:szCs w:val="24"/>
          <w:highlight w:val="none"/>
          <w:lang w:val="en-US" w:bidi="zh-CN"/>
        </w:rPr>
      </w:pPr>
      <w:r>
        <w:rPr>
          <w:rFonts w:hint="eastAsia" w:ascii="宋体" w:hAnsi="宋体"/>
          <w:bCs/>
          <w:color w:val="000000"/>
          <w:sz w:val="24"/>
          <w:szCs w:val="24"/>
          <w:highlight w:val="none"/>
          <w:lang w:bidi="zh-CN"/>
        </w:rPr>
        <w:t>项目公司在2020年</w:t>
      </w:r>
      <w:r>
        <w:rPr>
          <w:rFonts w:hint="eastAsia" w:ascii="宋体" w:hAnsi="宋体"/>
          <w:bCs/>
          <w:color w:val="000000"/>
          <w:sz w:val="24"/>
          <w:szCs w:val="24"/>
          <w:highlight w:val="none"/>
          <w:lang w:val="en-US" w:bidi="zh-CN"/>
        </w:rPr>
        <w:t>10月开发报建</w:t>
      </w:r>
      <w:r>
        <w:rPr>
          <w:rFonts w:hint="eastAsia" w:ascii="宋体" w:hAnsi="宋体"/>
          <w:bCs/>
          <w:color w:val="000000"/>
          <w:sz w:val="24"/>
          <w:szCs w:val="24"/>
          <w:highlight w:val="none"/>
          <w:lang w:bidi="zh-CN"/>
        </w:rPr>
        <w:t>金额共计</w:t>
      </w:r>
      <w:r>
        <w:rPr>
          <w:rFonts w:hint="eastAsia" w:ascii="宋体" w:hAnsi="宋体"/>
          <w:sz w:val="24"/>
          <w:szCs w:val="24"/>
        </w:rPr>
        <w:t>16.01</w:t>
      </w:r>
      <w:r>
        <w:rPr>
          <w:rFonts w:hint="eastAsia" w:ascii="宋体" w:hAnsi="宋体"/>
          <w:bCs/>
          <w:color w:val="000000"/>
          <w:sz w:val="24"/>
          <w:szCs w:val="24"/>
          <w:highlight w:val="none"/>
          <w:lang w:bidi="zh-CN"/>
        </w:rPr>
        <w:t>万元，</w:t>
      </w:r>
      <w:r>
        <w:rPr>
          <w:rFonts w:hint="eastAsia" w:ascii="宋体" w:hAnsi="宋体"/>
          <w:bCs/>
          <w:color w:val="000000"/>
          <w:sz w:val="24"/>
          <w:szCs w:val="24"/>
          <w:highlight w:val="none"/>
          <w:lang w:val="en-US" w:bidi="zh-CN"/>
        </w:rPr>
        <w:t>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rPr>
      </w:pPr>
      <w:r>
        <w:rPr>
          <w:rFonts w:hint="eastAsia" w:ascii="宋体" w:hAnsi="宋体"/>
          <w:sz w:val="24"/>
          <w:szCs w:val="24"/>
          <w:highlight w:val="none"/>
          <w:lang w:val="en-US" w:eastAsia="zh-CN"/>
        </w:rPr>
        <w:t>（1）预计在10月向</w:t>
      </w:r>
      <w:r>
        <w:rPr>
          <w:rFonts w:hint="eastAsia" w:ascii="宋体" w:hAnsi="宋体"/>
          <w:color w:val="auto"/>
          <w:sz w:val="24"/>
          <w:szCs w:val="24"/>
          <w:highlight w:val="none"/>
          <w:lang w:val="en-US" w:eastAsia="zh-CN"/>
        </w:rPr>
        <w:t>嘉兴市国华建设工程造价咨询有限公司海盐分公司</w:t>
      </w:r>
      <w:r>
        <w:rPr>
          <w:rFonts w:hint="eastAsia" w:ascii="宋体" w:hAnsi="宋体"/>
          <w:sz w:val="24"/>
          <w:szCs w:val="24"/>
          <w:highlight w:val="none"/>
          <w:lang w:val="en-US" w:eastAsia="zh-CN"/>
        </w:rPr>
        <w:t>支付提前预测绘费4.56万元，</w:t>
      </w:r>
      <w:r>
        <w:rPr>
          <w:rFonts w:hint="eastAsia" w:ascii="宋体" w:hAnsi="宋体"/>
          <w:sz w:val="24"/>
          <w:szCs w:val="24"/>
        </w:rPr>
        <w:t>经核查，该合同尚未签订，此金额为项目公司预估金额</w:t>
      </w:r>
      <w:r>
        <w:rPr>
          <w:rFonts w:hint="eastAsia" w:ascii="宋体" w:hAnsi="宋体"/>
          <w:bCs/>
          <w:color w:val="000000"/>
          <w:sz w:val="24"/>
          <w:szCs w:val="24"/>
          <w:highlight w:val="none"/>
          <w:lang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rPr>
      </w:pPr>
      <w:r>
        <w:rPr>
          <w:rFonts w:hint="eastAsia" w:ascii="宋体" w:hAnsi="宋体"/>
          <w:sz w:val="24"/>
          <w:szCs w:val="24"/>
          <w:highlight w:val="none"/>
          <w:lang w:val="en-US" w:eastAsia="zh-CN"/>
        </w:rPr>
        <w:t>（2）预计在10月向海盐县滨海规划测绘有限公司支付规划预测绘6.00万元，</w:t>
      </w:r>
      <w:r>
        <w:rPr>
          <w:rFonts w:hint="eastAsia" w:ascii="宋体" w:hAnsi="宋体"/>
          <w:sz w:val="24"/>
          <w:szCs w:val="24"/>
        </w:rPr>
        <w:t>经核查，该合同尚未签订，此金额为项目公司预估金额</w:t>
      </w:r>
      <w:r>
        <w:rPr>
          <w:rFonts w:hint="eastAsia" w:ascii="宋体" w:hAnsi="宋体"/>
          <w:bCs/>
          <w:color w:val="000000"/>
          <w:sz w:val="24"/>
          <w:szCs w:val="24"/>
          <w:highlight w:val="none"/>
          <w:lang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rPr>
      </w:pPr>
      <w:r>
        <w:rPr>
          <w:rFonts w:hint="eastAsia" w:ascii="宋体" w:hAnsi="宋体"/>
          <w:sz w:val="24"/>
          <w:szCs w:val="24"/>
          <w:highlight w:val="none"/>
          <w:lang w:val="en-US" w:eastAsia="zh-CN"/>
        </w:rPr>
        <w:t>（3）预计在10月向浙江恒欣建筑设计股份有限公司桐乡恒欣分公司支付建筑日照分析费5.45万元，</w:t>
      </w:r>
      <w:r>
        <w:rPr>
          <w:rFonts w:hint="eastAsia" w:ascii="宋体" w:hAnsi="宋体"/>
          <w:sz w:val="24"/>
          <w:szCs w:val="24"/>
        </w:rPr>
        <w:t>经核查，该合同尚未签订，此金额为项目公司预估金额</w:t>
      </w:r>
      <w:r>
        <w:rPr>
          <w:rFonts w:ascii="宋体" w:hAnsi="宋体"/>
          <w:sz w:val="24"/>
          <w:szCs w:val="24"/>
        </w:rPr>
        <w:t>。</w:t>
      </w:r>
    </w:p>
    <w:p>
      <w:pPr>
        <w:widowControl w:val="0"/>
        <w:numPr>
          <w:ilvl w:val="-1"/>
          <w:numId w:val="0"/>
        </w:numPr>
        <w:spacing w:before="156" w:beforeLines="50" w:after="156" w:afterLines="50"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sz w:val="24"/>
          <w:szCs w:val="24"/>
          <w:lang w:bidi="zh-CN"/>
        </w:rPr>
        <w:t>经审核，</w:t>
      </w:r>
      <w:r>
        <w:rPr>
          <w:rFonts w:hint="eastAsia" w:ascii="宋体" w:hAnsi="宋体"/>
          <w:sz w:val="24"/>
          <w:szCs w:val="24"/>
          <w:lang w:val="en-US" w:bidi="zh-CN"/>
        </w:rPr>
        <w:t>我司认为</w:t>
      </w:r>
      <w:r>
        <w:rPr>
          <w:rFonts w:hint="eastAsia" w:ascii="宋体" w:hAnsi="宋体"/>
          <w:sz w:val="24"/>
          <w:szCs w:val="24"/>
          <w:lang w:bidi="zh-CN"/>
        </w:rPr>
        <w:t>资金计划表中的金额为预估金额，</w:t>
      </w:r>
      <w:r>
        <w:rPr>
          <w:rFonts w:hint="eastAsia" w:ascii="宋体" w:hAnsi="宋体"/>
          <w:sz w:val="24"/>
          <w:szCs w:val="24"/>
        </w:rPr>
        <w:t>需待合同签定后根据合同条款确定是否合理</w:t>
      </w:r>
      <w:r>
        <w:rPr>
          <w:rFonts w:hint="eastAsia" w:ascii="宋体" w:hAnsi="宋体"/>
          <w:sz w:val="24"/>
          <w:szCs w:val="24"/>
          <w:lang w:bidi="zh-CN"/>
        </w:rPr>
        <w:t>。后期我司会对合同签订严格把控，实际支付时，我司会对付款申请、发票、流程、工程合同、现场签证等依据进行审核、计算，</w:t>
      </w:r>
      <w:r>
        <w:rPr>
          <w:rFonts w:ascii="宋体" w:hAnsi="宋体"/>
          <w:sz w:val="24"/>
          <w:szCs w:val="24"/>
        </w:rPr>
        <w:t>严格把控，确保资金支付合理、合规。</w:t>
      </w:r>
    </w:p>
    <w:p>
      <w:pPr>
        <w:numPr>
          <w:ilvl w:val="0"/>
          <w:numId w:val="2"/>
        </w:numPr>
        <w:spacing w:before="156" w:beforeLines="50" w:after="156" w:afterLines="50" w:line="360" w:lineRule="auto"/>
        <w:rPr>
          <w:rFonts w:hint="eastAsia" w:ascii="宋体" w:hAnsi="宋体" w:eastAsia="宋体" w:cs="Times New Roman"/>
          <w:b/>
          <w:color w:val="000000"/>
          <w:kern w:val="2"/>
          <w:sz w:val="24"/>
          <w:szCs w:val="24"/>
          <w:lang w:val="en-US" w:eastAsia="zh-CN" w:bidi="zh-CN"/>
        </w:rPr>
      </w:pPr>
      <w:r>
        <w:rPr>
          <w:rFonts w:hint="eastAsia" w:ascii="宋体" w:hAnsi="宋体" w:eastAsia="宋体" w:cs="Times New Roman"/>
          <w:b/>
          <w:color w:val="000000"/>
          <w:kern w:val="2"/>
          <w:sz w:val="24"/>
          <w:szCs w:val="24"/>
          <w:lang w:val="en-US" w:eastAsia="zh-CN" w:bidi="zh-CN"/>
        </w:rPr>
        <w:t>工程款资金支出计划说明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rPr>
      </w:pPr>
      <w:r>
        <w:rPr>
          <w:rFonts w:hint="eastAsia" w:ascii="宋体" w:hAnsi="宋体"/>
          <w:bCs/>
          <w:color w:val="000000"/>
          <w:sz w:val="24"/>
          <w:szCs w:val="24"/>
          <w:lang w:val="en-US" w:bidi="zh-CN"/>
        </w:rPr>
        <w:t>项目公司在2020年10月工程款支出金额共计</w:t>
      </w:r>
      <w:r>
        <w:rPr>
          <w:rFonts w:hint="eastAsia" w:ascii="宋体" w:hAnsi="宋体"/>
          <w:sz w:val="24"/>
          <w:szCs w:val="24"/>
        </w:rPr>
        <w:t>14,121.54</w:t>
      </w:r>
      <w:r>
        <w:rPr>
          <w:rFonts w:hint="eastAsia" w:ascii="宋体" w:hAnsi="宋体"/>
          <w:bCs/>
          <w:color w:val="000000"/>
          <w:sz w:val="24"/>
          <w:szCs w:val="24"/>
          <w:lang w:val="en-US" w:bidi="zh-CN"/>
        </w:rPr>
        <w:t>万元，</w:t>
      </w:r>
      <w:r>
        <w:rPr>
          <w:rFonts w:ascii="宋体" w:hAnsi="宋体"/>
          <w:sz w:val="24"/>
          <w:szCs w:val="24"/>
        </w:rPr>
        <w:t>具体分析如下</w:t>
      </w:r>
      <w:r>
        <w:rPr>
          <w:rFonts w:hint="eastAsia" w:ascii="宋体" w:hAnsi="宋体"/>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7月10日和江苏骏兴建设工程有限公司签订的《海盐恒大都汇华庭项目基坑支护及降排水工程施工合同》，合同金额4,055.13万元，10月预计支付8月工程进度款736.81万元。按合同约定，进度款按每月实际完成并验收合格的工程量支付80%，8月核定产值921.01万元，本次拟支付金额为8月核定产值的80%，支付完成后，累计付款比例47%。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r>
        <w:rPr>
          <w:rFonts w:hint="eastAsia" w:ascii="宋体" w:hAnsi="宋体"/>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依据项目公司2020年7月2日和江苏骏兴建设工程有限公司签订的《海盐恒大都汇华庭项目桩基工程施工合同》，合同金额7,596.27万元，10月预计支付工程进度款4,167.57 万元。按合同约定，进度款按每月实际完成并验收合格的工程量支付80%，8月份核定产值6,705.45万元，根据合同约定应付款5,364,36万元,累计已付8月进度款1,012.87万元，本次申请支付4,167.57万元。本次支付完成后，累计付款比例68%。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9月16日和安徽省安泰科技股份有限公司签订的《海盐恒大都汇华庭售楼处、临时样板房智能化工程施工合同》，合同金额23.72万元，10月预计支付暂定合同总价80%工程进度款18.97万元。按合同约定</w:t>
      </w:r>
      <w:r>
        <w:rPr>
          <w:rFonts w:hint="eastAsia" w:ascii="宋体" w:hAnsi="宋体"/>
          <w:sz w:val="24"/>
          <w:szCs w:val="24"/>
          <w:highlight w:val="none"/>
        </w:rPr>
        <w:t>，乙方进场施工后10天内，甲方支付乙方合同暂定总价的10%作为预付款</w:t>
      </w:r>
      <w:r>
        <w:rPr>
          <w:rFonts w:hint="eastAsia" w:ascii="宋体" w:hAnsi="宋体"/>
          <w:sz w:val="24"/>
          <w:szCs w:val="24"/>
          <w:highlight w:val="none"/>
          <w:lang w:val="en-US" w:eastAsia="zh-CN"/>
        </w:rPr>
        <w:t>，进度款按每月实际完成并验收合格的工程量支付70%，该工程已完工，核定产值23.72万元，本次支付完成后，累计付款比例80%。实际支付时，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6月28日和广州市恒合工程监理有限公司签订的《建设工程监理合同（海盐恒大都汇华庭项目监理工程（非人防））》，合同金额347.62万元，10月预计支付20%预付款69.52万元。按合同约定，合同签订后7天内支付暂定承包总价的20%，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9月17日和湖南美致空间设计空间有限公司签订的《海盐恒大都汇华庭项目滨河左岸销售中心室内软装工程施工合同》，合同金额66.15万元，按合同约定，到货后验收确认后7天内支付暂定总价的50%。售楼处拟于10月完成内部装修，10月预计支付工程进度款33.08万元，本次支付完成后，累计付款比例50%。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8月11日和江苏省苏中建设集团股份有限公司签订的《海盐恒大都汇华庭项目主体及配套建设工程施工合同》，合同金额21,500.00万元，10月预计支付9月工程进度款520.00万元。按合同约定，进度款按每月实际完成并验收合格的工程量支付80%，9月份核定产值为650万元，本次拟支付金额为9月核定产值的80%，本次支付完成后，累计付款比例2.4%。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8月28日和南京长岛建设工程有限公司签订的《海盐恒大都汇华庭临时样板房室内装修工程施工合同》，合同金额13.75万元，按合同约定，合同签订后乙方进场施工后7天内，支付50%的工程备料款。售楼处拟于10月完成内部装修，10月预计支付工程进度款6.87万元，本次支付完成后，累计付款比例50%。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7月29日和上海电气承广电力工程有限公司签订的《电力安装工程设计施工承包合同(海盐恒大都汇华庭项目临时用电工程)》，合同金额56.53万元，按合同约定，合同生效之日起3天内，甲方向乙方预付设计及施工费用的100%。10月预计支付56.53万元，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9月10日和上海继昱建设工程有限公司签订的《海盐恒大都汇华庭售楼处临时样板房、商业消防工程施工合同》，合同金额28.92万元，按合同约定，每期按实际完成工程量支付至双方确认金额的70%。该工程已完成，核定产值28.92万元，10月预计支付工程进度款20.24万元，本次支付完成后，累计付款比例70%。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9月8日和上海徐汇园林发展有限公司签订的《海盐恒大都汇华庭园建施工合同》，合同金额570.08万元，10月预计支付9月工程进度款48.00万元。按合同约定，进场7天内付10%，每期按实际完成工程量支付至双方确认金额的70%，园建单位已进场，9月核定产值60.00万元，本次支付完成后，累计付款比例8%，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6月22日和上海煜铂广告有限公司签订的《海盐恒大都汇华庭项目围蔽工程施工合同》，合同金额182.50万元，10月预计支付9月工程进度款80.00万元，按合同约定，乙方每月申报一次进度款，经甲方页核定后7天内甲方支付乙方当月实际完成合格工程量的80%作为工程进度款，9月核定产值为100万元，本次拟支付金额为9月核定产值的80%，本次支付完成后，累计付款比例44%，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8月22日和杭州芝浦机电设备工程有限公司签订的《海盐恒大都汇华庭项目售楼处小型中央空调安装施工合同》，合同金额10.52万元，按合同约定，甲方在验收合格之日起60日内向乙方支付该批货物安装费的60%。空调均已到货，10月预计支付工程进度款6.31万元，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9月3日和杭州芝浦机电设备工程有限公司签订的《海盐恒大都汇华庭临时样板房小型中央空调安装施工合同》，合同金额2.11万元，按合同约定，甲方在验收合格之日起60日内向乙方支付该批货物安装费的60%。空调均已到货，10月预计支付工程进度款1.27万元，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依据项目公司2020年8月5日和深圳恒大材料设备有限公司签订的《海盐恒大都汇华庭材料物资供货合同》，预计在10月向深圳恒大材料设备有限公司支付材料预付款8,000.00万元，实际支付时，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依据项目公司2020年9月11日和西安高科幕墙门窗有限公司签订的《海盐恒大都汇华庭售楼处、商业外立面幕墙工程施工合同》，合同金额196.95万元，10月预计支付9月工程进度款157.57万元，按合同约定，</w:t>
      </w:r>
      <w:r>
        <w:rPr>
          <w:rFonts w:hint="eastAsia" w:ascii="宋体" w:hAnsi="宋体"/>
          <w:sz w:val="24"/>
          <w:szCs w:val="24"/>
          <w:highlight w:val="none"/>
        </w:rPr>
        <w:t>乙方进场施工后7天内，甲方支付乙方合同暂定总价的10%作为工程备料款</w:t>
      </w:r>
      <w:r>
        <w:rPr>
          <w:rFonts w:hint="eastAsia" w:ascii="宋体" w:hAnsi="宋体"/>
          <w:sz w:val="24"/>
          <w:szCs w:val="24"/>
          <w:highlight w:val="none"/>
          <w:lang w:val="en-US" w:eastAsia="zh-CN"/>
        </w:rPr>
        <w:t>,本工程乙方每30天申报一层进度款，经核实后7天内甲方按乙方当期实际完成工程量金额的70%作为工程进度款，本工程已完工，9月核定产值196.95万元，本次支付完成后，累计付款比例80%，实际支付时，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7月2日和浙江华坤建设有限公司签订的《海盐恒大都汇华庭项目临时道路工程施工合同》，合同金额100.04万元，10月预计支付9月工程进度款12.00万元。按合同约定，每月支付实际完成工程量金额80%的进度款，9月核定产值15.00万元，本次拟支付金额为9月核定产值的80%，本次支付完成后，累计付款比例12%，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依据项目公司2020年7月2日和浙江尚都建设有限公司签订的《海盐恒大都汇华庭项目土石方工程施工合同》，合同金额1,060.70万元，10月预计支付9月工程进度款112.00万元。按合同约定，每月支付实际完成工程量金额80%的进度款，9月核定产值140万元，本次拟支付金额为9月核定产值的80%，本次支付完成后，累计付款比例11%，实际支付时，</w:t>
      </w:r>
      <w:r>
        <w:rPr>
          <w:rFonts w:hint="eastAsia" w:ascii="宋体" w:hAnsi="宋体"/>
          <w:sz w:val="24"/>
          <w:szCs w:val="24"/>
          <w:highlight w:val="none"/>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依据项目公司2020年7月23日和浙江中材工程勘测设计有限公司签订的《海盐恒大都汇华庭项目勘察工程施工合同》，合同金额60.75万元，10月预计支付工程进度款48万元。按合同约定，</w:t>
      </w:r>
      <w:r>
        <w:rPr>
          <w:rFonts w:hint="eastAsia" w:ascii="宋体" w:hAnsi="宋体"/>
          <w:color w:val="auto"/>
          <w:sz w:val="24"/>
          <w:szCs w:val="24"/>
          <w:highlight w:val="none"/>
        </w:rPr>
        <w:t>完成全部土方开挖工程经甲方确认后30天内，甲方支付暂定总价的50%作为进度款;完成全部土方回填工程经甲方确认后30天内，甲方支付暂定总价的30%作为进度款</w:t>
      </w:r>
      <w:r>
        <w:rPr>
          <w:rFonts w:hint="eastAsia" w:ascii="宋体" w:hAnsi="宋体"/>
          <w:color w:val="auto"/>
          <w:sz w:val="24"/>
          <w:szCs w:val="24"/>
          <w:highlight w:val="none"/>
          <w:lang w:val="en-US" w:eastAsia="zh-CN"/>
        </w:rPr>
        <w:t>，</w:t>
      </w:r>
      <w:r>
        <w:rPr>
          <w:rFonts w:hint="eastAsia" w:ascii="宋体" w:hAnsi="宋体"/>
          <w:sz w:val="24"/>
          <w:szCs w:val="24"/>
          <w:highlight w:val="none"/>
          <w:lang w:val="en-US" w:eastAsia="zh-CN"/>
        </w:rPr>
        <w:t>本次支付完成后，累计付款比例79%，</w:t>
      </w:r>
      <w:r>
        <w:rPr>
          <w:rFonts w:hint="eastAsia" w:ascii="宋体" w:hAnsi="宋体"/>
          <w:color w:val="auto"/>
          <w:sz w:val="24"/>
          <w:szCs w:val="24"/>
          <w:highlight w:val="none"/>
          <w:lang w:val="en-US" w:eastAsia="zh-CN"/>
        </w:rPr>
        <w:t>实际支付时，</w:t>
      </w:r>
      <w:r>
        <w:rPr>
          <w:rFonts w:hint="eastAsia" w:ascii="宋体" w:hAnsi="宋体"/>
          <w:color w:val="auto"/>
          <w:sz w:val="24"/>
          <w:szCs w:val="24"/>
          <w:highlight w:val="none"/>
          <w:lang w:bidi="zh-CN"/>
        </w:rPr>
        <w:t>我司</w:t>
      </w:r>
      <w:r>
        <w:rPr>
          <w:rFonts w:hint="eastAsia" w:ascii="宋体" w:hAnsi="宋体"/>
          <w:color w:val="auto"/>
          <w:sz w:val="24"/>
          <w:szCs w:val="24"/>
          <w:lang w:val="en-US" w:bidi="zh-CN"/>
        </w:rPr>
        <w:t>会对实际验收合格的工程量严格把控，并按合同条款严格审核后执行。</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依据项目公司2020年7月23日和</w:t>
      </w:r>
      <w:r>
        <w:rPr>
          <w:rFonts w:hint="eastAsia" w:ascii="宋体" w:hAnsi="宋体"/>
          <w:color w:val="auto"/>
          <w:sz w:val="24"/>
          <w:szCs w:val="24"/>
          <w:highlight w:val="none"/>
        </w:rPr>
        <w:t>杭州市勘测设计研究院</w:t>
      </w:r>
      <w:r>
        <w:rPr>
          <w:rFonts w:hint="eastAsia" w:ascii="宋体" w:hAnsi="宋体"/>
          <w:color w:val="auto"/>
          <w:sz w:val="24"/>
          <w:szCs w:val="24"/>
          <w:highlight w:val="none"/>
          <w:lang w:val="en-US" w:eastAsia="zh-CN"/>
        </w:rPr>
        <w:t>签订的《</w:t>
      </w:r>
      <w:r>
        <w:rPr>
          <w:rFonts w:hint="eastAsia" w:ascii="宋体" w:hAnsi="宋体"/>
          <w:color w:val="auto"/>
          <w:sz w:val="24"/>
          <w:szCs w:val="24"/>
          <w:highlight w:val="none"/>
        </w:rPr>
        <w:t>海盐恒大都汇华庭项目基坑支护设计合同</w:t>
      </w:r>
      <w:r>
        <w:rPr>
          <w:rFonts w:hint="eastAsia" w:ascii="宋体" w:hAnsi="宋体"/>
          <w:color w:val="auto"/>
          <w:sz w:val="24"/>
          <w:szCs w:val="24"/>
          <w:highlight w:val="none"/>
          <w:lang w:val="en-US" w:eastAsia="zh-CN"/>
        </w:rPr>
        <w:t>》，合同金额40.00万元，10月预计支付工程设计款26.8万元，按合同约定，</w:t>
      </w:r>
      <w:r>
        <w:rPr>
          <w:rFonts w:hint="eastAsia" w:ascii="宋体" w:hAnsi="宋体"/>
          <w:color w:val="auto"/>
          <w:sz w:val="24"/>
          <w:szCs w:val="24"/>
          <w:highlight w:val="none"/>
        </w:rPr>
        <w:t>乙方在合同签订5日内缴纳合同总价的3%履约保证金</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施工图经过相关部门审查后15天内发包人支付合同总价的80%。</w:t>
      </w:r>
      <w:r>
        <w:rPr>
          <w:rFonts w:hint="eastAsia" w:ascii="宋体" w:hAnsi="宋体"/>
          <w:color w:val="auto"/>
          <w:sz w:val="24"/>
          <w:szCs w:val="24"/>
          <w:highlight w:val="none"/>
          <w:lang w:val="en-US" w:eastAsia="zh-CN"/>
        </w:rPr>
        <w:t>本次申请支付合同总价的70%，扣除</w:t>
      </w:r>
      <w:r>
        <w:rPr>
          <w:rFonts w:hint="eastAsia" w:ascii="宋体" w:hAnsi="宋体"/>
          <w:color w:val="auto"/>
          <w:sz w:val="24"/>
          <w:szCs w:val="24"/>
          <w:highlight w:val="none"/>
        </w:rPr>
        <w:t>3%履约保证金</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实际支付时，</w:t>
      </w:r>
      <w:r>
        <w:rPr>
          <w:rFonts w:hint="eastAsia" w:ascii="宋体" w:hAnsi="宋体"/>
          <w:color w:val="auto"/>
          <w:sz w:val="24"/>
          <w:szCs w:val="24"/>
          <w:highlight w:val="none"/>
          <w:lang w:bidi="zh-CN"/>
        </w:rPr>
        <w:t>我司</w:t>
      </w:r>
      <w:r>
        <w:rPr>
          <w:rFonts w:hint="eastAsia" w:ascii="宋体" w:hAnsi="宋体"/>
          <w:color w:val="auto"/>
          <w:sz w:val="24"/>
          <w:szCs w:val="24"/>
          <w:lang w:val="en-US" w:bidi="zh-CN"/>
        </w:rPr>
        <w:t>会对实际验收合格的设计严格把控，并按合同条款严格审核后执行。</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rPr>
      </w:pPr>
      <w:r>
        <w:rPr>
          <w:rFonts w:hint="eastAsia" w:ascii="宋体" w:hAnsi="宋体"/>
          <w:sz w:val="24"/>
          <w:szCs w:val="24"/>
          <w:lang w:bidi="zh-CN"/>
        </w:rPr>
        <w:t>经审核，我司认为</w:t>
      </w:r>
      <w:r>
        <w:rPr>
          <w:rFonts w:hint="eastAsia" w:ascii="宋体" w:hAnsi="宋体"/>
          <w:sz w:val="24"/>
          <w:szCs w:val="24"/>
          <w:lang w:val="en-US" w:bidi="zh-CN"/>
        </w:rPr>
        <w:t>以上合同付款</w:t>
      </w:r>
      <w:r>
        <w:rPr>
          <w:rFonts w:hint="eastAsia" w:ascii="宋体" w:hAnsi="宋体"/>
          <w:sz w:val="24"/>
          <w:szCs w:val="24"/>
          <w:lang w:bidi="zh-CN"/>
        </w:rPr>
        <w:t>符合合同约定，</w:t>
      </w:r>
      <w:r>
        <w:rPr>
          <w:rFonts w:hint="eastAsia" w:ascii="宋体" w:hAnsi="宋体"/>
          <w:sz w:val="24"/>
          <w:szCs w:val="24"/>
          <w:lang w:val="en-US" w:bidi="zh-CN"/>
        </w:rPr>
        <w:t>实际支付时，我司会</w:t>
      </w:r>
      <w:r>
        <w:rPr>
          <w:rFonts w:hint="eastAsia" w:ascii="宋体" w:hAnsi="宋体"/>
          <w:sz w:val="24"/>
          <w:szCs w:val="24"/>
          <w:lang w:bidi="zh-CN"/>
        </w:rPr>
        <w:t>对付款申请、流程、工程合同、现场签证等依据进行审核、计算，确保资金支付合理、合规</w:t>
      </w:r>
      <w:r>
        <w:rPr>
          <w:rFonts w:hint="eastAsia" w:ascii="宋体" w:hAnsi="宋体"/>
          <w:sz w:val="24"/>
          <w:szCs w:val="24"/>
          <w:lang w:val="en-US" w:bidi="zh-CN"/>
        </w:rPr>
        <w:t>。支付的材料款</w:t>
      </w:r>
      <w:r>
        <w:rPr>
          <w:rFonts w:hint="eastAsia" w:ascii="宋体" w:hAnsi="宋体"/>
          <w:sz w:val="24"/>
          <w:szCs w:val="24"/>
          <w:lang w:bidi="zh-CN"/>
        </w:rPr>
        <w:t>为项目公司预估金额，后期我司会对合同签订严格把控，实际支付时，我司会</w:t>
      </w:r>
      <w:r>
        <w:rPr>
          <w:rFonts w:hint="eastAsia" w:ascii="宋体" w:hAnsi="宋体"/>
          <w:sz w:val="24"/>
          <w:szCs w:val="24"/>
          <w:highlight w:val="none"/>
          <w:lang w:val="en-US" w:eastAsia="zh-CN"/>
        </w:rPr>
        <w:t>严格按照相关合同付款条款严格执行，</w:t>
      </w:r>
      <w:r>
        <w:rPr>
          <w:rFonts w:hint="eastAsia" w:ascii="宋体" w:hAnsi="宋体"/>
          <w:sz w:val="24"/>
          <w:szCs w:val="24"/>
          <w:lang w:bidi="zh-CN"/>
        </w:rPr>
        <w:t>确保资金支付合理、合规。</w:t>
      </w:r>
    </w:p>
    <w:p>
      <w:pPr>
        <w:numPr>
          <w:ilvl w:val="0"/>
          <w:numId w:val="2"/>
        </w:numPr>
        <w:spacing w:before="156" w:beforeLines="50" w:after="156" w:afterLines="50" w:line="360" w:lineRule="auto"/>
        <w:rPr>
          <w:rFonts w:hint="eastAsia" w:ascii="宋体" w:hAnsi="宋体" w:eastAsia="宋体" w:cs="Times New Roman"/>
          <w:b/>
          <w:color w:val="000000"/>
          <w:kern w:val="2"/>
          <w:sz w:val="24"/>
          <w:szCs w:val="24"/>
          <w:lang w:val="en-US" w:eastAsia="zh-CN" w:bidi="zh-CN"/>
        </w:rPr>
      </w:pPr>
      <w:r>
        <w:rPr>
          <w:rFonts w:hint="eastAsia" w:ascii="宋体" w:hAnsi="宋体" w:cs="Times New Roman"/>
          <w:b/>
          <w:color w:val="000000"/>
          <w:kern w:val="2"/>
          <w:sz w:val="24"/>
          <w:szCs w:val="24"/>
          <w:lang w:val="en-US" w:eastAsia="zh-CN" w:bidi="zh-CN"/>
        </w:rPr>
        <w:t>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项目公司在2020年10月的管理费用支出金额共计51.00万元，具体分析如下</w:t>
      </w:r>
      <w:r>
        <w:rPr>
          <w:rFonts w:hint="eastAsia" w:ascii="宋体" w:hAnsi="宋体"/>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rPr>
      </w:pPr>
      <w:r>
        <w:rPr>
          <w:rFonts w:hint="eastAsia" w:ascii="宋体" w:hAnsi="宋体"/>
          <w:sz w:val="24"/>
          <w:szCs w:val="24"/>
          <w:lang w:val="en-US" w:eastAsia="zh-CN"/>
        </w:rPr>
        <w:t>项目工程部水电费31.00万元，水电费支出较9月有较大增加，增加原因为施工量及人员增加，导致水电费增加。</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rPr>
      </w:pPr>
      <w:r>
        <w:rPr>
          <w:rFonts w:hint="eastAsia" w:ascii="宋体" w:hAnsi="宋体"/>
          <w:sz w:val="24"/>
          <w:szCs w:val="24"/>
          <w:lang w:val="en-US" w:eastAsia="zh-CN"/>
        </w:rPr>
        <w:t>工资社保费用20.00万元，较上月增加的原因是临近开盘，项目需提前招人准备。</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bidi="zh-CN"/>
        </w:rPr>
        <w:t>经审核，我司认为</w:t>
      </w:r>
      <w:r>
        <w:rPr>
          <w:rFonts w:hint="eastAsia" w:ascii="宋体" w:hAnsi="宋体"/>
          <w:sz w:val="24"/>
          <w:szCs w:val="24"/>
          <w:lang w:val="en-US" w:bidi="zh-CN"/>
        </w:rPr>
        <w:t>10月管理费用资金支出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，实际支付时，我司会对付款申请、发票、流程、</w:t>
      </w:r>
      <w:r>
        <w:rPr>
          <w:rFonts w:hint="eastAsia" w:ascii="宋体" w:hAnsi="宋体"/>
          <w:sz w:val="24"/>
          <w:szCs w:val="24"/>
          <w:lang w:val="en-US" w:bidi="zh-CN"/>
        </w:rPr>
        <w:t>协议</w:t>
      </w:r>
      <w:r>
        <w:rPr>
          <w:rFonts w:hint="eastAsia" w:ascii="宋体" w:hAnsi="宋体"/>
          <w:sz w:val="24"/>
          <w:szCs w:val="24"/>
          <w:lang w:bidi="zh-CN"/>
        </w:rPr>
        <w:t>等依据进行审核，确保资金支付合理、合规。</w:t>
      </w:r>
    </w:p>
    <w:p>
      <w:pPr>
        <w:numPr>
          <w:ilvl w:val="0"/>
          <w:numId w:val="2"/>
        </w:numPr>
        <w:spacing w:before="156" w:beforeLines="50" w:after="156" w:afterLines="50" w:line="360" w:lineRule="auto"/>
        <w:rPr>
          <w:rFonts w:hint="eastAsia" w:ascii="宋体" w:hAnsi="宋体" w:cs="Times New Roman"/>
          <w:b/>
          <w:color w:val="000000"/>
          <w:kern w:val="2"/>
          <w:sz w:val="24"/>
          <w:szCs w:val="24"/>
          <w:lang w:val="en-US" w:eastAsia="zh-CN" w:bidi="zh-CN"/>
        </w:rPr>
      </w:pPr>
      <w:r>
        <w:rPr>
          <w:rFonts w:hint="eastAsia" w:ascii="宋体" w:hAnsi="宋体" w:cs="Times New Roman"/>
          <w:b/>
          <w:color w:val="000000"/>
          <w:kern w:val="2"/>
          <w:sz w:val="24"/>
          <w:szCs w:val="24"/>
          <w:lang w:val="en-US" w:eastAsia="zh-CN" w:bidi="zh-CN"/>
        </w:rPr>
        <w:t>营销费用资金支出计划说明</w:t>
      </w:r>
    </w:p>
    <w:p>
      <w:pPr>
        <w:numPr>
          <w:ilvl w:val="0"/>
          <w:numId w:val="0"/>
        </w:numPr>
        <w:spacing w:before="156" w:beforeLines="50" w:after="156" w:afterLines="50" w:line="360" w:lineRule="auto"/>
        <w:ind w:left="225" w:leftChars="0" w:firstLine="240" w:firstLineChars="100"/>
        <w:rPr>
          <w:rFonts w:hint="eastAsia" w:ascii="宋体" w:hAnsi="宋体"/>
          <w:sz w:val="24"/>
          <w:szCs w:val="24"/>
          <w:lang w:val="en-US" w:eastAsia="zh-CN"/>
        </w:rPr>
      </w:pPr>
      <w:r>
        <w:rPr>
          <w:rFonts w:hint="eastAsia" w:ascii="宋体" w:hAnsi="宋体"/>
          <w:sz w:val="24"/>
          <w:szCs w:val="24"/>
          <w:lang w:val="en-US" w:eastAsia="zh-CN"/>
        </w:rPr>
        <w:t>项目公司在2020年10月的营销费用支出金额共计65.18万元，具体分析如下</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lang w:val="en-US" w:bidi="zh-CN"/>
        </w:rPr>
      </w:pPr>
      <w:r>
        <w:rPr>
          <w:rFonts w:hint="eastAsia" w:ascii="宋体" w:hAnsi="宋体"/>
          <w:sz w:val="24"/>
          <w:szCs w:val="24"/>
          <w:lang w:val="en-US" w:eastAsia="zh-CN"/>
        </w:rPr>
        <w:t>依据项目公司2020年7月1日和上海鹤琢广告有限公司签订的《海盐恒大都汇华庭项目全案广告代理合同》，合同金额90.00万元，项目开盘前，每月支付广告费约8.60万元，开盘后，每月广告费约6.50万元。10月预计支付2020年6月份-9月份全案广告公司费32.93万元，实际支付时，</w:t>
      </w:r>
      <w:r>
        <w:rPr>
          <w:rFonts w:hint="eastAsia" w:ascii="宋体" w:hAnsi="宋体"/>
          <w:sz w:val="24"/>
          <w:szCs w:val="24"/>
          <w:lang w:bidi="zh-CN"/>
        </w:rPr>
        <w:t>我司</w:t>
      </w:r>
      <w:r>
        <w:rPr>
          <w:rFonts w:hint="eastAsia" w:ascii="宋体" w:hAnsi="宋体"/>
          <w:sz w:val="24"/>
          <w:szCs w:val="24"/>
          <w:lang w:val="en-US" w:bidi="zh-CN"/>
        </w:rPr>
        <w:t>会依据发票对实际支付金额把控，并按合同条款严格审核后执行。</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sz w:val="24"/>
          <w:szCs w:val="24"/>
          <w:lang w:val="en-US" w:bidi="zh-CN"/>
        </w:rPr>
      </w:pPr>
      <w:r>
        <w:rPr>
          <w:rFonts w:hint="eastAsia" w:ascii="宋体" w:hAnsi="宋体"/>
          <w:sz w:val="24"/>
          <w:szCs w:val="24"/>
          <w:lang w:val="en-US" w:eastAsia="zh-CN"/>
        </w:rPr>
        <w:t>依据项目公司2020年8月19日和广东天广联会展有限公司签订的《海盐恒大都汇华庭智慧社区展示区物料包装合同》，合同金额43.00万元，按合同约定，合同签订后7日内付款20%、工程进度完成60%，15个工作日内支付35%，10月预计支付售楼处智慧社区展示区23.65万元，支付比例55%。实际支付时，</w:t>
      </w:r>
      <w:r>
        <w:rPr>
          <w:rFonts w:hint="eastAsia" w:ascii="宋体" w:hAnsi="宋体"/>
          <w:sz w:val="24"/>
          <w:szCs w:val="24"/>
          <w:lang w:bidi="zh-CN"/>
        </w:rPr>
        <w:t>我司</w:t>
      </w:r>
      <w:r>
        <w:rPr>
          <w:rFonts w:hint="eastAsia" w:ascii="宋体" w:hAnsi="宋体"/>
          <w:sz w:val="24"/>
          <w:szCs w:val="24"/>
          <w:lang w:val="en-US" w:bidi="zh-CN"/>
        </w:rPr>
        <w:t>会对实际验收合格的工程量严格把控，并按合同条款严格审核后执行。</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left="0" w:leftChars="0" w:firstLine="240" w:firstLineChars="100"/>
        <w:textAlignment w:val="auto"/>
        <w:rPr>
          <w:rFonts w:hint="eastAsia" w:ascii="宋体" w:hAnsi="宋体"/>
          <w:bCs w:val="0"/>
          <w:sz w:val="24"/>
          <w:szCs w:val="24"/>
          <w:lang w:bidi="zh-CN"/>
        </w:rPr>
      </w:pPr>
      <w:r>
        <w:rPr>
          <w:rFonts w:hint="eastAsia" w:ascii="宋体" w:hAnsi="宋体"/>
          <w:sz w:val="24"/>
          <w:szCs w:val="24"/>
          <w:lang w:val="en-US" w:eastAsia="zh-CN"/>
        </w:rPr>
        <w:t>预计在10月向上海锋艺广告有限公司支付示范区开放包装物料采购货款6.20万元，</w:t>
      </w:r>
      <w:r>
        <w:rPr>
          <w:rFonts w:hint="eastAsia" w:ascii="宋体" w:hAnsi="宋体"/>
          <w:sz w:val="24"/>
          <w:szCs w:val="24"/>
        </w:rPr>
        <w:t>经核查，该合同尚未签订，此金额为项目公司预估金额</w:t>
      </w:r>
      <w:r>
        <w:rPr>
          <w:rFonts w:hint="eastAsia" w:ascii="宋体" w:hAnsi="宋体"/>
          <w:bCs w:val="0"/>
          <w:sz w:val="24"/>
          <w:szCs w:val="24"/>
          <w:lang w:bidi="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firstLine="240" w:firstLineChars="100"/>
        <w:textAlignment w:val="auto"/>
        <w:rPr>
          <w:rFonts w:hint="eastAsia" w:ascii="宋体" w:hAnsi="宋体"/>
          <w:bCs w:val="0"/>
          <w:sz w:val="24"/>
          <w:szCs w:val="24"/>
          <w:lang w:val="en-US" w:bidi="zh-CN"/>
        </w:rPr>
      </w:pPr>
      <w:r>
        <w:rPr>
          <w:rFonts w:hint="eastAsia" w:ascii="宋体" w:hAnsi="宋体"/>
          <w:sz w:val="24"/>
          <w:szCs w:val="24"/>
          <w:lang w:val="en-US" w:eastAsia="zh-CN"/>
        </w:rPr>
        <w:t>依据项目公司和中国联合网络通信有限公司嘉兴市分公司签订的《框架合作协议（华东公司浙江区域通讯合作协议）》，10月预计支付</w:t>
      </w:r>
      <w:r>
        <w:rPr>
          <w:rFonts w:hint="eastAsia" w:ascii="宋体" w:hAnsi="宋体"/>
          <w:bCs w:val="0"/>
          <w:sz w:val="24"/>
          <w:szCs w:val="24"/>
          <w:lang w:val="en-US" w:bidi="zh-CN"/>
        </w:rPr>
        <w:t>售楼部2020.10.09-2021.10.09宽带费（2根100M）2.4万元。</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bCs/>
          <w:color w:val="000000"/>
          <w:sz w:val="24"/>
          <w:szCs w:val="24"/>
          <w:highlight w:val="none"/>
          <w:lang w:val="en-US" w:eastAsia="zh-CN" w:bidi="zh-CN"/>
        </w:rPr>
      </w:pPr>
      <w:r>
        <w:rPr>
          <w:rFonts w:hint="eastAsia" w:ascii="宋体" w:hAnsi="宋体"/>
          <w:bCs/>
          <w:color w:val="000000"/>
          <w:sz w:val="24"/>
          <w:szCs w:val="24"/>
          <w:highlight w:val="none"/>
          <w:lang w:val="en-US" w:eastAsia="zh-CN" w:bidi="zh-CN"/>
        </w:rPr>
        <w:t>经审核，营销部4笔付款中已签订合同部分的计划资金支付均符合合同的规定付款时间，未签订合同的需待合同签定后根据合同条款确定是否合理。</w:t>
      </w:r>
      <w:r>
        <w:rPr>
          <w:rFonts w:hint="eastAsia" w:ascii="宋体" w:hAnsi="宋体"/>
          <w:sz w:val="24"/>
          <w:szCs w:val="24"/>
          <w:lang w:bidi="zh-CN"/>
        </w:rPr>
        <w:t>后期我司会对合同签订严格把控，实际支付时，我司会对付款申请、发票、流程、合同等依据进行审核、计算，</w:t>
      </w:r>
      <w:r>
        <w:rPr>
          <w:rFonts w:ascii="宋体" w:hAnsi="宋体"/>
          <w:sz w:val="24"/>
          <w:szCs w:val="24"/>
        </w:rPr>
        <w:t>严格把控，确保资金支付合理、合规。</w:t>
      </w:r>
    </w:p>
    <w:p>
      <w:pPr>
        <w:numPr>
          <w:ilvl w:val="0"/>
          <w:numId w:val="2"/>
        </w:numPr>
        <w:spacing w:before="156" w:beforeLines="50" w:after="156" w:afterLines="50" w:line="360" w:lineRule="auto"/>
        <w:rPr>
          <w:rFonts w:hint="default" w:ascii="宋体" w:hAnsi="宋体" w:cs="Times New Roman"/>
          <w:b/>
          <w:color w:val="000000"/>
          <w:kern w:val="2"/>
          <w:sz w:val="24"/>
          <w:szCs w:val="24"/>
          <w:lang w:val="en-US" w:eastAsia="zh-CN" w:bidi="zh-CN"/>
        </w:rPr>
      </w:pPr>
      <w:r>
        <w:rPr>
          <w:rFonts w:hint="eastAsia" w:ascii="宋体" w:hAnsi="宋体" w:cs="Times New Roman"/>
          <w:b/>
          <w:color w:val="000000"/>
          <w:kern w:val="2"/>
          <w:sz w:val="24"/>
          <w:szCs w:val="24"/>
          <w:lang w:val="en-US" w:eastAsia="zh-CN" w:bidi="zh-CN"/>
        </w:rPr>
        <w:t>往来款项支出计划说明</w:t>
      </w:r>
      <w:r>
        <w:rPr>
          <w:rFonts w:hint="eastAsia" w:ascii="宋体" w:hAnsi="宋体" w:cs="Times New Roman"/>
          <w:b/>
          <w:color w:val="000000"/>
          <w:kern w:val="2"/>
          <w:sz w:val="24"/>
          <w:szCs w:val="24"/>
          <w:lang w:val="en-US" w:eastAsia="zh-CN" w:bidi="zh-CN"/>
        </w:rPr>
        <w:tab/>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lang w:val="en-US" w:eastAsia="zh-CN" w:bidi="zh-CN"/>
        </w:rPr>
      </w:pPr>
      <w:r>
        <w:rPr>
          <w:rFonts w:hint="eastAsia" w:ascii="宋体" w:hAnsi="宋体"/>
          <w:sz w:val="24"/>
          <w:szCs w:val="24"/>
          <w:lang w:val="en-US" w:eastAsia="zh-CN" w:bidi="zh-CN"/>
        </w:rPr>
        <w:t>项目公司在2020年10月计划向上海颖骏投资管理有限公司归还借款12,000.00万元，</w:t>
      </w:r>
      <w:r>
        <w:rPr>
          <w:rFonts w:hint="eastAsia" w:ascii="宋体" w:hAnsi="宋体"/>
          <w:sz w:val="24"/>
          <w:szCs w:val="24"/>
          <w:lang w:val="en-US" w:eastAsia="zh-CN"/>
        </w:rPr>
        <w:t>根据借款协议项目公司应归还</w:t>
      </w:r>
      <w:r>
        <w:rPr>
          <w:rFonts w:hint="eastAsia" w:ascii="宋体" w:hAnsi="宋体"/>
          <w:sz w:val="24"/>
          <w:szCs w:val="24"/>
          <w:lang w:val="en-US" w:eastAsia="zh-CN" w:bidi="zh-CN"/>
        </w:rPr>
        <w:t>上海颖骏投资管理有限公司30,000.00万元</w:t>
      </w:r>
      <w:r>
        <w:rPr>
          <w:rFonts w:hint="eastAsia" w:ascii="宋体" w:hAnsi="宋体"/>
          <w:sz w:val="24"/>
          <w:szCs w:val="24"/>
          <w:lang w:val="en-US" w:eastAsia="zh-CN"/>
        </w:rPr>
        <w:t>，已归还借款19,155.00万元，待还款金额10,845.00万元，如项目公司实际还款超过已签订借款协议，我司将要求项目公司按协议约定金额还款或提供新的借款协议。</w:t>
      </w:r>
      <w:r>
        <w:rPr>
          <w:rFonts w:hint="eastAsia" w:ascii="宋体" w:hAnsi="宋体"/>
          <w:sz w:val="24"/>
          <w:szCs w:val="24"/>
          <w:lang w:bidi="zh-CN"/>
        </w:rPr>
        <w:t>后期我司会对合同签订严格把控，实际支付时，我司会对付款申请、流程、合同等依据进行审核，上报信托，经审批后再予以执行</w:t>
      </w:r>
      <w:r>
        <w:rPr>
          <w:rFonts w:hint="eastAsia" w:ascii="宋体" w:hAnsi="宋体"/>
          <w:sz w:val="24"/>
          <w:szCs w:val="24"/>
          <w:lang w:val="en-US" w:eastAsia="zh-CN" w:bidi="zh-CN"/>
        </w:rPr>
        <w:t>。</w:t>
      </w:r>
    </w:p>
    <w:p>
      <w:pPr>
        <w:numPr>
          <w:ilvl w:val="0"/>
          <w:numId w:val="2"/>
        </w:numPr>
        <w:spacing w:before="156" w:beforeLines="50" w:after="156" w:afterLines="50" w:line="360" w:lineRule="auto"/>
        <w:rPr>
          <w:rFonts w:hint="default" w:ascii="宋体" w:hAnsi="宋体" w:cs="Times New Roman"/>
          <w:b/>
          <w:color w:val="000000"/>
          <w:kern w:val="2"/>
          <w:sz w:val="24"/>
          <w:szCs w:val="24"/>
          <w:lang w:val="en-US" w:eastAsia="zh-CN" w:bidi="zh-CN"/>
        </w:rPr>
      </w:pPr>
      <w:r>
        <w:rPr>
          <w:rFonts w:hint="eastAsia" w:ascii="宋体" w:hAnsi="宋体" w:cs="Times New Roman"/>
          <w:b/>
          <w:color w:val="000000"/>
          <w:kern w:val="2"/>
          <w:sz w:val="24"/>
          <w:szCs w:val="24"/>
          <w:lang w:val="en-US" w:eastAsia="zh-CN" w:bidi="zh-CN"/>
        </w:rPr>
        <w:t>财务费用支出计划说明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lang w:val="en-US" w:eastAsia="zh-CN" w:bidi="zh-CN"/>
        </w:rPr>
      </w:pPr>
      <w:r>
        <w:rPr>
          <w:rFonts w:hint="eastAsia" w:ascii="宋体" w:hAnsi="宋体"/>
          <w:sz w:val="24"/>
          <w:szCs w:val="24"/>
          <w:lang w:val="en-US" w:eastAsia="zh-CN" w:bidi="zh-CN"/>
        </w:rPr>
        <w:t>项目公司在2020年10月预估支付税金20.00万元，实际支付时，我司将严格按当月实际需缴纳的税款执行。</w:t>
      </w:r>
    </w:p>
    <w:p>
      <w:pPr>
        <w:numPr>
          <w:ilvl w:val="0"/>
          <w:numId w:val="2"/>
        </w:numPr>
        <w:spacing w:before="156" w:beforeLines="50" w:after="156" w:afterLines="50" w:line="360" w:lineRule="auto"/>
        <w:rPr>
          <w:rFonts w:hint="default" w:ascii="宋体" w:hAnsi="宋体" w:cs="Times New Roman"/>
          <w:b/>
          <w:color w:val="000000"/>
          <w:kern w:val="2"/>
          <w:sz w:val="24"/>
          <w:szCs w:val="24"/>
          <w:lang w:val="en-US" w:eastAsia="zh-CN" w:bidi="zh-CN"/>
        </w:rPr>
      </w:pPr>
      <w:r>
        <w:rPr>
          <w:rFonts w:hint="eastAsia" w:ascii="宋体" w:hAnsi="宋体" w:cs="Times New Roman"/>
          <w:b/>
          <w:color w:val="000000"/>
          <w:kern w:val="2"/>
          <w:sz w:val="24"/>
          <w:szCs w:val="24"/>
          <w:lang w:val="en-US" w:eastAsia="zh-CN" w:bidi="zh-CN"/>
        </w:rPr>
        <w:t>其他费用计划说明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sz w:val="24"/>
          <w:szCs w:val="24"/>
          <w:lang w:val="en-US" w:eastAsia="zh-CN" w:bidi="zh-CN"/>
        </w:rPr>
      </w:pPr>
      <w:r>
        <w:rPr>
          <w:rFonts w:hint="eastAsia" w:ascii="宋体" w:hAnsi="宋体"/>
          <w:sz w:val="24"/>
          <w:szCs w:val="24"/>
          <w:lang w:val="en-US" w:eastAsia="zh-CN" w:bidi="zh-CN"/>
        </w:rPr>
        <w:t>项目公司在2020年10月其他不可预见费用预估总计80.00万元，实际支付时，</w:t>
      </w:r>
      <w:r>
        <w:rPr>
          <w:rFonts w:hint="eastAsia" w:ascii="宋体" w:hAnsi="宋体"/>
          <w:sz w:val="24"/>
          <w:szCs w:val="24"/>
          <w:lang w:bidi="zh-CN"/>
        </w:rPr>
        <w:t>我司会对付款申请、发票、流程、相关合同、现场签证等依据进行审核，</w:t>
      </w:r>
      <w:r>
        <w:rPr>
          <w:rFonts w:ascii="宋体" w:hAnsi="宋体"/>
          <w:sz w:val="24"/>
          <w:szCs w:val="24"/>
        </w:rPr>
        <w:t>严格把控，</w:t>
      </w:r>
      <w:r>
        <w:rPr>
          <w:rFonts w:hint="eastAsia" w:ascii="宋体" w:hAnsi="宋体"/>
          <w:sz w:val="24"/>
          <w:szCs w:val="24"/>
          <w:lang w:bidi="zh-CN"/>
        </w:rPr>
        <w:t>确保资金支付合理、合规。</w:t>
      </w:r>
      <w:bookmarkStart w:id="1" w:name="_GoBack"/>
      <w:bookmarkEnd w:id="1"/>
    </w:p>
    <w:p>
      <w:pPr>
        <w:spacing w:before="156" w:beforeLines="50" w:after="156" w:afterLines="50" w:line="360" w:lineRule="auto"/>
        <w:ind w:firstLine="241" w:firstLineChars="100"/>
        <w:rPr>
          <w:rFonts w:ascii="宋体" w:hAnsi="宋体"/>
          <w:b/>
          <w:bCs/>
          <w:color w:val="000000"/>
          <w:sz w:val="24"/>
          <w:szCs w:val="24"/>
          <w:lang w:bidi="zh-CN"/>
        </w:rPr>
      </w:pPr>
      <w:r>
        <w:rPr>
          <w:rFonts w:hint="eastAsia" w:ascii="宋体" w:hAnsi="宋体"/>
          <w:b/>
          <w:bCs/>
          <w:color w:val="000000"/>
          <w:sz w:val="24"/>
          <w:szCs w:val="24"/>
          <w:lang w:val="en-US" w:bidi="zh-CN"/>
        </w:rPr>
        <w:t>三</w:t>
      </w:r>
      <w:r>
        <w:rPr>
          <w:rFonts w:hint="eastAsia" w:ascii="宋体" w:hAnsi="宋体"/>
          <w:b/>
          <w:bCs/>
          <w:color w:val="000000"/>
          <w:sz w:val="24"/>
          <w:szCs w:val="24"/>
          <w:lang w:bidi="zh-CN"/>
        </w:rPr>
        <w:t>、结论：</w:t>
      </w:r>
    </w:p>
    <w:p>
      <w:pPr>
        <w:spacing w:before="156" w:beforeLines="50" w:after="156" w:afterLines="50" w:line="360" w:lineRule="auto"/>
        <w:ind w:firstLine="480" w:firstLineChars="200"/>
        <w:rPr>
          <w:rFonts w:ascii="宋体" w:hAnsi="宋体"/>
          <w:color w:val="000000"/>
          <w:sz w:val="24"/>
          <w:szCs w:val="24"/>
          <w:lang w:bidi="zh-CN"/>
        </w:rPr>
      </w:pPr>
      <w:r>
        <w:rPr>
          <w:rFonts w:hint="eastAsia" w:ascii="宋体" w:hAnsi="宋体"/>
          <w:bCs/>
          <w:color w:val="000000"/>
          <w:sz w:val="24"/>
          <w:szCs w:val="24"/>
          <w:lang w:bidi="zh-CN"/>
        </w:rPr>
        <w:t>本次</w:t>
      </w:r>
      <w:r>
        <w:rPr>
          <w:rFonts w:hint="eastAsia" w:ascii="宋体" w:hAnsi="宋体"/>
          <w:bCs/>
          <w:color w:val="000000"/>
          <w:sz w:val="24"/>
          <w:szCs w:val="24"/>
          <w:lang w:val="en-US" w:bidi="zh-CN"/>
        </w:rPr>
        <w:t>海盐丰涛置业</w:t>
      </w:r>
      <w:r>
        <w:rPr>
          <w:rFonts w:hint="eastAsia" w:ascii="宋体" w:hAnsi="宋体"/>
          <w:bCs/>
          <w:color w:val="000000"/>
          <w:sz w:val="24"/>
          <w:szCs w:val="24"/>
          <w:lang w:bidi="zh-CN"/>
        </w:rPr>
        <w:t>有限公司申报的</w:t>
      </w:r>
      <w:r>
        <w:rPr>
          <w:rFonts w:hint="eastAsia" w:ascii="宋体" w:hAnsi="宋体"/>
          <w:bCs/>
          <w:color w:val="000000"/>
          <w:sz w:val="24"/>
          <w:szCs w:val="24"/>
          <w:lang w:val="en-US" w:bidi="zh-CN"/>
        </w:rPr>
        <w:t>10</w:t>
      </w:r>
      <w:r>
        <w:rPr>
          <w:rFonts w:ascii="宋体" w:hAnsi="宋体"/>
          <w:bCs/>
          <w:color w:val="000000"/>
          <w:sz w:val="24"/>
          <w:szCs w:val="24"/>
          <w:lang w:bidi="zh-CN"/>
        </w:rPr>
        <w:t>月资金计</w:t>
      </w:r>
      <w:r>
        <w:rPr>
          <w:rFonts w:hint="eastAsia" w:ascii="宋体" w:hAnsi="宋体"/>
          <w:bCs/>
          <w:color w:val="000000"/>
          <w:sz w:val="24"/>
          <w:szCs w:val="24"/>
          <w:lang w:bidi="zh-CN"/>
        </w:rPr>
        <w:t>划</w:t>
      </w:r>
      <w:r>
        <w:rPr>
          <w:rFonts w:ascii="宋体" w:hAnsi="宋体"/>
          <w:bCs/>
          <w:color w:val="000000"/>
          <w:sz w:val="24"/>
          <w:szCs w:val="24"/>
          <w:lang w:bidi="zh-CN"/>
        </w:rPr>
        <w:t>包含</w:t>
      </w:r>
      <w:r>
        <w:rPr>
          <w:rFonts w:hint="eastAsia" w:ascii="宋体" w:hAnsi="宋体"/>
          <w:bCs/>
          <w:color w:val="000000"/>
          <w:sz w:val="24"/>
          <w:szCs w:val="24"/>
          <w:lang w:val="en-US" w:bidi="zh-CN"/>
        </w:rPr>
        <w:t>七</w:t>
      </w:r>
      <w:r>
        <w:rPr>
          <w:rFonts w:ascii="宋体" w:hAnsi="宋体"/>
          <w:bCs/>
          <w:color w:val="000000"/>
          <w:sz w:val="24"/>
          <w:szCs w:val="24"/>
          <w:lang w:bidi="zh-CN"/>
        </w:rPr>
        <w:t>大</w:t>
      </w:r>
      <w:r>
        <w:rPr>
          <w:rFonts w:hint="eastAsia" w:ascii="宋体" w:hAnsi="宋体"/>
          <w:bCs/>
          <w:color w:val="000000"/>
          <w:sz w:val="24"/>
          <w:szCs w:val="24"/>
          <w:lang w:val="en-US" w:bidi="zh-CN"/>
        </w:rPr>
        <w:t>项目</w:t>
      </w:r>
      <w:r>
        <w:rPr>
          <w:rFonts w:ascii="宋体" w:hAnsi="宋体"/>
          <w:bCs/>
          <w:color w:val="000000"/>
          <w:sz w:val="24"/>
          <w:szCs w:val="24"/>
          <w:lang w:bidi="zh-CN"/>
        </w:rPr>
        <w:t>，分别为</w:t>
      </w:r>
      <w:r>
        <w:rPr>
          <w:rFonts w:hint="eastAsia" w:ascii="宋体" w:hAnsi="宋体"/>
          <w:bCs/>
          <w:color w:val="000000"/>
          <w:sz w:val="24"/>
          <w:szCs w:val="24"/>
          <w:lang w:val="en-US" w:bidi="zh-CN"/>
        </w:rPr>
        <w:t>开发报建费</w:t>
      </w:r>
      <w:r>
        <w:rPr>
          <w:rFonts w:ascii="宋体" w:hAnsi="宋体"/>
          <w:bCs/>
          <w:color w:val="000000"/>
          <w:sz w:val="24"/>
          <w:szCs w:val="24"/>
          <w:lang w:bidi="zh-CN"/>
        </w:rPr>
        <w:t>、</w:t>
      </w:r>
      <w:r>
        <w:rPr>
          <w:rFonts w:hint="eastAsia" w:ascii="宋体" w:hAnsi="宋体"/>
          <w:bCs/>
          <w:color w:val="000000"/>
          <w:sz w:val="24"/>
          <w:szCs w:val="24"/>
          <w:lang w:val="en-US" w:bidi="zh-CN"/>
        </w:rPr>
        <w:t>工程款</w:t>
      </w:r>
      <w:r>
        <w:rPr>
          <w:rFonts w:ascii="宋体" w:hAnsi="宋体"/>
          <w:bCs/>
          <w:color w:val="000000"/>
          <w:sz w:val="24"/>
          <w:szCs w:val="24"/>
          <w:lang w:bidi="zh-CN"/>
        </w:rPr>
        <w:t>、</w:t>
      </w:r>
      <w:r>
        <w:rPr>
          <w:rFonts w:hint="eastAsia" w:ascii="宋体" w:hAnsi="宋体"/>
          <w:bCs/>
          <w:color w:val="000000"/>
          <w:sz w:val="24"/>
          <w:szCs w:val="24"/>
          <w:lang w:val="en-US" w:bidi="zh-CN"/>
        </w:rPr>
        <w:t>管理费用</w:t>
      </w:r>
      <w:r>
        <w:rPr>
          <w:rFonts w:hint="eastAsia" w:ascii="宋体" w:hAnsi="宋体"/>
          <w:bCs/>
          <w:color w:val="000000"/>
          <w:sz w:val="24"/>
          <w:szCs w:val="24"/>
          <w:lang w:bidi="zh-CN"/>
        </w:rPr>
        <w:t>、</w:t>
      </w:r>
      <w:r>
        <w:rPr>
          <w:rFonts w:hint="eastAsia" w:ascii="宋体" w:hAnsi="宋体"/>
          <w:bCs/>
          <w:color w:val="000000"/>
          <w:sz w:val="24"/>
          <w:szCs w:val="24"/>
          <w:lang w:val="en-US" w:bidi="zh-CN"/>
        </w:rPr>
        <w:t>营销费用、往来款项、税金，其他费用。</w:t>
      </w:r>
      <w:r>
        <w:rPr>
          <w:rFonts w:ascii="宋体" w:hAnsi="宋体"/>
          <w:bCs/>
          <w:color w:val="000000"/>
          <w:sz w:val="24"/>
          <w:szCs w:val="24"/>
          <w:lang w:bidi="zh-CN"/>
        </w:rPr>
        <w:t>分类信息明确，直观，符合项目实际情况。费用明细与现场实际情况基本吻合</w:t>
      </w:r>
      <w:r>
        <w:rPr>
          <w:rFonts w:hint="eastAsia" w:ascii="宋体" w:hAnsi="宋体"/>
          <w:bCs/>
          <w:color w:val="000000"/>
          <w:sz w:val="24"/>
          <w:szCs w:val="24"/>
          <w:lang w:bidi="zh-CN"/>
        </w:rPr>
        <w:t>，资金计划编制基本合理，我司拟同意项目公司</w:t>
      </w:r>
      <w:r>
        <w:rPr>
          <w:rFonts w:hint="eastAsia" w:ascii="宋体" w:hAnsi="宋体"/>
          <w:bCs/>
          <w:color w:val="000000"/>
          <w:sz w:val="24"/>
          <w:szCs w:val="24"/>
          <w:lang w:val="en-US" w:bidi="zh-CN"/>
        </w:rPr>
        <w:t>10</w:t>
      </w:r>
      <w:r>
        <w:rPr>
          <w:rFonts w:ascii="宋体" w:hAnsi="宋体"/>
          <w:bCs/>
          <w:color w:val="000000"/>
          <w:sz w:val="24"/>
          <w:szCs w:val="24"/>
          <w:lang w:bidi="zh-CN"/>
        </w:rPr>
        <w:t>月</w:t>
      </w:r>
      <w:r>
        <w:rPr>
          <w:rFonts w:hint="eastAsia" w:ascii="宋体" w:hAnsi="宋体"/>
          <w:bCs/>
          <w:color w:val="000000"/>
          <w:sz w:val="24"/>
          <w:szCs w:val="24"/>
          <w:lang w:bidi="zh-CN"/>
        </w:rPr>
        <w:t>份资金计划，并以此作为付款的依据。待实际支付时，我司人员将对相关付款资料的合理、合规性一一核实，对于其中单笔支付超1,000万的，上报信托，经审批后，据实支付，请审批。</w:t>
      </w:r>
    </w:p>
    <w:p>
      <w:pPr>
        <w:spacing w:line="360" w:lineRule="auto"/>
        <w:rPr>
          <w:rFonts w:ascii="宋体" w:hAnsi="宋体"/>
          <w:b/>
          <w:color w:val="000000"/>
          <w:sz w:val="24"/>
          <w:lang w:bidi="zh-CN"/>
        </w:rPr>
      </w:pPr>
      <w:r>
        <w:rPr>
          <w:rFonts w:hint="eastAsia" w:ascii="宋体" w:hAnsi="宋体"/>
          <w:b/>
          <w:color w:val="000000"/>
          <w:sz w:val="24"/>
          <w:lang w:bidi="zh-CN"/>
        </w:rPr>
        <w:t xml:space="preserve">                                          </w:t>
      </w:r>
    </w:p>
    <w:p>
      <w:pPr>
        <w:spacing w:line="360" w:lineRule="auto"/>
        <w:rPr>
          <w:rFonts w:hint="eastAsia" w:ascii="宋体" w:hAnsi="宋体"/>
          <w:b/>
          <w:color w:val="000000"/>
          <w:sz w:val="24"/>
          <w:lang w:bidi="zh-CN"/>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line="360" w:lineRule="auto"/>
        <w:ind w:firstLine="5060" w:firstLineChars="2100"/>
        <w:rPr>
          <w:rFonts w:hint="eastAsia"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szCs w:val="22"/>
          <w:lang w:val="en-US" w:eastAsia="zh-CN" w:bidi="zh-CN"/>
        </w:rPr>
        <w:t>海盐恒大都汇华庭</w:t>
      </w:r>
      <w:r>
        <w:rPr>
          <w:rFonts w:hint="eastAsia" w:ascii="宋体" w:hAnsi="宋体"/>
          <w:b/>
          <w:color w:val="000000"/>
          <w:sz w:val="24"/>
          <w:lang w:bidi="zh-CN"/>
        </w:rPr>
        <w:t>项目组</w:t>
      </w:r>
    </w:p>
    <w:p>
      <w:pPr>
        <w:spacing w:before="156" w:beforeLines="50" w:line="360" w:lineRule="auto"/>
        <w:ind w:left="420" w:leftChars="200" w:firstLine="482" w:firstLineChars="200"/>
        <w:rPr>
          <w:rFonts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 xml:space="preserve">   </w:t>
      </w:r>
      <w:r>
        <w:rPr>
          <w:rFonts w:hint="eastAsia" w:ascii="宋体" w:hAnsi="宋体"/>
          <w:color w:val="000000"/>
          <w:sz w:val="24"/>
          <w:lang w:bidi="zh-CN"/>
        </w:rPr>
        <w:t xml:space="preserve"> 20</w:t>
      </w:r>
      <w:r>
        <w:rPr>
          <w:rFonts w:ascii="宋体" w:hAnsi="宋体"/>
          <w:color w:val="000000"/>
          <w:sz w:val="24"/>
          <w:lang w:bidi="zh-CN"/>
        </w:rPr>
        <w:t>20</w:t>
      </w:r>
      <w:r>
        <w:rPr>
          <w:rFonts w:hint="eastAsia" w:ascii="宋体" w:hAnsi="宋体"/>
          <w:color w:val="000000"/>
          <w:sz w:val="24"/>
          <w:lang w:bidi="zh-CN"/>
        </w:rPr>
        <w:t>年</w:t>
      </w:r>
      <w:r>
        <w:rPr>
          <w:rFonts w:hint="eastAsia" w:ascii="宋体" w:hAnsi="宋体"/>
          <w:color w:val="000000"/>
          <w:sz w:val="24"/>
          <w:lang w:val="en-US" w:bidi="zh-CN"/>
        </w:rPr>
        <w:t>10</w:t>
      </w:r>
      <w:r>
        <w:rPr>
          <w:rFonts w:ascii="宋体" w:hAnsi="宋体"/>
          <w:color w:val="000000"/>
          <w:sz w:val="24"/>
          <w:lang w:bidi="zh-CN"/>
        </w:rPr>
        <w:t>月</w:t>
      </w:r>
      <w:r>
        <w:rPr>
          <w:rFonts w:hint="eastAsia" w:ascii="宋体" w:hAnsi="宋体"/>
          <w:color w:val="000000"/>
          <w:sz w:val="24"/>
          <w:lang w:val="en-US" w:bidi="zh-CN"/>
        </w:rPr>
        <w:t>12</w:t>
      </w:r>
      <w:r>
        <w:rPr>
          <w:rFonts w:ascii="宋体" w:hAnsi="宋体"/>
          <w:color w:val="000000"/>
          <w:sz w:val="24"/>
          <w:lang w:bidi="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center"/>
    </w:pPr>
    <w:r>
      <w:drawing>
        <wp:inline distT="0" distB="0" distL="0" distR="0">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5922645" cy="407670"/>
          <wp:effectExtent l="0" t="0" r="1905" b="11430"/>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inline distT="0" distB="0" distL="0" distR="0">
          <wp:extent cx="5922645" cy="407670"/>
          <wp:effectExtent l="0" t="0" r="1905" b="11430"/>
          <wp:docPr id="3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664FB"/>
    <w:multiLevelType w:val="singleLevel"/>
    <w:tmpl w:val="ED7664FB"/>
    <w:lvl w:ilvl="0" w:tentative="0">
      <w:start w:val="1"/>
      <w:numFmt w:val="decimal"/>
      <w:suff w:val="nothing"/>
      <w:lvlText w:val="（%1）"/>
      <w:lvlJc w:val="left"/>
    </w:lvl>
  </w:abstractNum>
  <w:abstractNum w:abstractNumId="1">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362B8503"/>
    <w:multiLevelType w:val="singleLevel"/>
    <w:tmpl w:val="362B8503"/>
    <w:lvl w:ilvl="0" w:tentative="0">
      <w:start w:val="1"/>
      <w:numFmt w:val="decimal"/>
      <w:suff w:val="nothing"/>
      <w:lvlText w:val="（%1）"/>
      <w:lvlJc w:val="left"/>
    </w:lvl>
  </w:abstractNum>
  <w:abstractNum w:abstractNumId="4">
    <w:nsid w:val="3E85633B"/>
    <w:multiLevelType w:val="singleLevel"/>
    <w:tmpl w:val="3E85633B"/>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8705F"/>
    <w:rsid w:val="00616666"/>
    <w:rsid w:val="00626167"/>
    <w:rsid w:val="00BA0515"/>
    <w:rsid w:val="02BB3A0D"/>
    <w:rsid w:val="02C03493"/>
    <w:rsid w:val="04143CD3"/>
    <w:rsid w:val="04982717"/>
    <w:rsid w:val="063D1761"/>
    <w:rsid w:val="07437089"/>
    <w:rsid w:val="07BB5526"/>
    <w:rsid w:val="07E03F89"/>
    <w:rsid w:val="08090DD1"/>
    <w:rsid w:val="080E118F"/>
    <w:rsid w:val="0813699A"/>
    <w:rsid w:val="08EE1EC1"/>
    <w:rsid w:val="09D532CF"/>
    <w:rsid w:val="0C4C545E"/>
    <w:rsid w:val="0CD969FB"/>
    <w:rsid w:val="0DD3578C"/>
    <w:rsid w:val="0DEB56BA"/>
    <w:rsid w:val="0FD710E1"/>
    <w:rsid w:val="0FEA6922"/>
    <w:rsid w:val="118F615A"/>
    <w:rsid w:val="11960DBA"/>
    <w:rsid w:val="14182DF5"/>
    <w:rsid w:val="15614126"/>
    <w:rsid w:val="157C74F2"/>
    <w:rsid w:val="161D13A8"/>
    <w:rsid w:val="16616814"/>
    <w:rsid w:val="177F06B4"/>
    <w:rsid w:val="178873E1"/>
    <w:rsid w:val="18A616A2"/>
    <w:rsid w:val="18CB1101"/>
    <w:rsid w:val="1A8B5D6E"/>
    <w:rsid w:val="1B10755C"/>
    <w:rsid w:val="1BB52C68"/>
    <w:rsid w:val="1C407F46"/>
    <w:rsid w:val="1CF37E49"/>
    <w:rsid w:val="1E153492"/>
    <w:rsid w:val="1E245472"/>
    <w:rsid w:val="1EF517A9"/>
    <w:rsid w:val="20263578"/>
    <w:rsid w:val="20441E4E"/>
    <w:rsid w:val="227B234B"/>
    <w:rsid w:val="26E3788F"/>
    <w:rsid w:val="281A5806"/>
    <w:rsid w:val="28480EB0"/>
    <w:rsid w:val="2A9918BD"/>
    <w:rsid w:val="2B7A32EB"/>
    <w:rsid w:val="2BEA0ECF"/>
    <w:rsid w:val="2E790945"/>
    <w:rsid w:val="2E940617"/>
    <w:rsid w:val="2F0040C5"/>
    <w:rsid w:val="2F220792"/>
    <w:rsid w:val="2F403413"/>
    <w:rsid w:val="312D01C3"/>
    <w:rsid w:val="32C62F35"/>
    <w:rsid w:val="33451765"/>
    <w:rsid w:val="33EA2F53"/>
    <w:rsid w:val="34147C21"/>
    <w:rsid w:val="354E5505"/>
    <w:rsid w:val="35826B17"/>
    <w:rsid w:val="366720DC"/>
    <w:rsid w:val="36BF7984"/>
    <w:rsid w:val="384B622B"/>
    <w:rsid w:val="38547711"/>
    <w:rsid w:val="38D7138E"/>
    <w:rsid w:val="392B7FAD"/>
    <w:rsid w:val="39665CBC"/>
    <w:rsid w:val="39F6178A"/>
    <w:rsid w:val="3A886F15"/>
    <w:rsid w:val="3C637C4A"/>
    <w:rsid w:val="3CA92709"/>
    <w:rsid w:val="3CCE2AA4"/>
    <w:rsid w:val="3D5A682E"/>
    <w:rsid w:val="3D9E70F1"/>
    <w:rsid w:val="3F1C0F37"/>
    <w:rsid w:val="407961B2"/>
    <w:rsid w:val="40C41A7D"/>
    <w:rsid w:val="40F52FEA"/>
    <w:rsid w:val="41196A5D"/>
    <w:rsid w:val="419B0366"/>
    <w:rsid w:val="41A20F3E"/>
    <w:rsid w:val="41D1723F"/>
    <w:rsid w:val="422A4AF3"/>
    <w:rsid w:val="428665CC"/>
    <w:rsid w:val="437C7673"/>
    <w:rsid w:val="4411131C"/>
    <w:rsid w:val="466923B3"/>
    <w:rsid w:val="46B742FC"/>
    <w:rsid w:val="46EC2819"/>
    <w:rsid w:val="49077435"/>
    <w:rsid w:val="4B1027F6"/>
    <w:rsid w:val="4B6F306B"/>
    <w:rsid w:val="4E1F51BB"/>
    <w:rsid w:val="4E3E2F42"/>
    <w:rsid w:val="4F232F75"/>
    <w:rsid w:val="50597B4D"/>
    <w:rsid w:val="51CF319D"/>
    <w:rsid w:val="521627BF"/>
    <w:rsid w:val="539A5C50"/>
    <w:rsid w:val="545C1228"/>
    <w:rsid w:val="54BD1A39"/>
    <w:rsid w:val="550C465E"/>
    <w:rsid w:val="589E609E"/>
    <w:rsid w:val="59DE52E9"/>
    <w:rsid w:val="5B28509C"/>
    <w:rsid w:val="5C4641C7"/>
    <w:rsid w:val="5F6B30E4"/>
    <w:rsid w:val="602757D8"/>
    <w:rsid w:val="60E45E98"/>
    <w:rsid w:val="616C3692"/>
    <w:rsid w:val="62705BD4"/>
    <w:rsid w:val="63144E40"/>
    <w:rsid w:val="6340157E"/>
    <w:rsid w:val="63D41790"/>
    <w:rsid w:val="63E6307C"/>
    <w:rsid w:val="66631303"/>
    <w:rsid w:val="67E06EB8"/>
    <w:rsid w:val="68282526"/>
    <w:rsid w:val="694407AC"/>
    <w:rsid w:val="694532CE"/>
    <w:rsid w:val="6AD54014"/>
    <w:rsid w:val="6C6F5300"/>
    <w:rsid w:val="6C9C7B61"/>
    <w:rsid w:val="6E005869"/>
    <w:rsid w:val="6FC22C5E"/>
    <w:rsid w:val="701228D1"/>
    <w:rsid w:val="724F71D6"/>
    <w:rsid w:val="73D50563"/>
    <w:rsid w:val="73F773CD"/>
    <w:rsid w:val="7414318F"/>
    <w:rsid w:val="742D7562"/>
    <w:rsid w:val="7586575E"/>
    <w:rsid w:val="761B4740"/>
    <w:rsid w:val="7A396FD1"/>
    <w:rsid w:val="7D180F56"/>
    <w:rsid w:val="7F380AE0"/>
    <w:rsid w:val="7F522792"/>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5"/>
    <w:unhideWhenUsed/>
    <w:qFormat/>
    <w:uiPriority w:val="99"/>
    <w:pPr>
      <w:ind w:firstLine="420" w:firstLineChars="100"/>
    </w:pPr>
    <w:rPr>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348</Words>
  <Characters>1990</Characters>
  <Lines>16</Lines>
  <Paragraphs>4</Paragraphs>
  <TotalTime>10</TotalTime>
  <ScaleCrop>false</ScaleCrop>
  <LinksUpToDate>false</LinksUpToDate>
  <CharactersWithSpaces>2334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zhenny</cp:lastModifiedBy>
  <dcterms:modified xsi:type="dcterms:W3CDTF">2020-10-13T11:31:17Z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