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E" w:rsidRPr="00CB74E7" w:rsidRDefault="00BF00FE" w:rsidP="00E1722D">
      <w:pPr>
        <w:spacing w:line="360" w:lineRule="auto"/>
        <w:jc w:val="center"/>
        <w:rPr>
          <w:rFonts w:ascii="Arial" w:eastAsia="黑体" w:hAnsi="Arial" w:cs="Arial"/>
          <w:b/>
          <w:color w:val="000000"/>
          <w:sz w:val="44"/>
          <w:szCs w:val="32"/>
        </w:rPr>
      </w:pPr>
      <w:r w:rsidRPr="00CB74E7">
        <w:rPr>
          <w:rFonts w:ascii="Arial" w:eastAsia="黑体" w:hAnsi="Arial" w:cs="Arial"/>
          <w:b/>
          <w:color w:val="000000"/>
          <w:sz w:val="44"/>
          <w:szCs w:val="32"/>
        </w:rPr>
        <w:t>报价单</w:t>
      </w:r>
    </w:p>
    <w:p w:rsidR="001235A3" w:rsidRDefault="00E1722D" w:rsidP="00D90AA0">
      <w:pPr>
        <w:spacing w:beforeLines="100" w:before="312" w:line="360" w:lineRule="auto"/>
        <w:ind w:firstLineChars="200" w:firstLine="560"/>
        <w:rPr>
          <w:rFonts w:ascii="Arial" w:hAnsi="Arial" w:cs="Arial" w:hint="eastAsia"/>
          <w:sz w:val="28"/>
        </w:rPr>
      </w:pPr>
      <w:r w:rsidRPr="00CB74E7">
        <w:rPr>
          <w:rFonts w:ascii="Arial" w:hAnsi="Arial" w:cs="Arial"/>
          <w:sz w:val="28"/>
        </w:rPr>
        <w:t>北京博大新元房地产开发有限公司因</w:t>
      </w:r>
      <w:r w:rsidRPr="00CB74E7">
        <w:rPr>
          <w:rFonts w:ascii="Arial" w:hAnsi="Arial" w:cs="Arial"/>
          <w:sz w:val="28"/>
          <w:u w:val="single"/>
        </w:rPr>
        <w:t xml:space="preserve">  </w:t>
      </w:r>
      <w:r w:rsidR="001235A3" w:rsidRPr="001235A3">
        <w:rPr>
          <w:rFonts w:ascii="Arial" w:hAnsi="Arial" w:cs="Arial" w:hint="eastAsia"/>
          <w:sz w:val="28"/>
          <w:u w:val="single"/>
        </w:rPr>
        <w:t>在共有产权住房销售前，参考该共有产权住房项目同地块、同品质普通商品住房的价格</w:t>
      </w:r>
      <w:r w:rsidR="001235A3">
        <w:rPr>
          <w:rFonts w:ascii="Arial" w:hAnsi="Arial" w:cs="Arial" w:hint="eastAsia"/>
          <w:sz w:val="28"/>
          <w:u w:val="single"/>
        </w:rPr>
        <w:t>，</w:t>
      </w:r>
      <w:r w:rsidRPr="00CB74E7">
        <w:rPr>
          <w:rFonts w:ascii="Arial" w:hAnsi="Arial" w:cs="Arial"/>
          <w:sz w:val="28"/>
          <w:u w:val="single"/>
        </w:rPr>
        <w:t>确定共有产权份额提供参考依据</w:t>
      </w:r>
      <w:r w:rsidRPr="00CB74E7">
        <w:rPr>
          <w:rFonts w:ascii="Arial" w:hAnsi="Arial" w:cs="Arial"/>
          <w:sz w:val="28"/>
          <w:u w:val="single"/>
        </w:rPr>
        <w:t xml:space="preserve">  </w:t>
      </w:r>
      <w:r w:rsidRPr="00CB74E7">
        <w:rPr>
          <w:rFonts w:ascii="Arial" w:hAnsi="Arial" w:cs="Arial"/>
          <w:sz w:val="28"/>
        </w:rPr>
        <w:t>的需要，委托对</w:t>
      </w:r>
      <w:r w:rsidR="00E30DA6" w:rsidRPr="00E30DA6">
        <w:rPr>
          <w:rFonts w:ascii="Arial" w:hAnsi="Arial" w:cs="Arial" w:hint="eastAsia"/>
          <w:sz w:val="28"/>
          <w:u w:val="single"/>
        </w:rPr>
        <w:t>北京经济技术开发区河西区</w:t>
      </w:r>
      <w:r w:rsidR="00E30DA6" w:rsidRPr="00E30DA6">
        <w:rPr>
          <w:rFonts w:ascii="Arial" w:hAnsi="Arial" w:cs="Arial" w:hint="eastAsia"/>
          <w:sz w:val="28"/>
          <w:u w:val="single"/>
        </w:rPr>
        <w:t>X90R1</w:t>
      </w:r>
      <w:r w:rsidR="00E30DA6" w:rsidRPr="00E30DA6">
        <w:rPr>
          <w:rFonts w:ascii="Arial" w:hAnsi="Arial" w:cs="Arial" w:hint="eastAsia"/>
          <w:sz w:val="28"/>
          <w:u w:val="single"/>
        </w:rPr>
        <w:t>、</w:t>
      </w:r>
      <w:r w:rsidR="00E30DA6" w:rsidRPr="00E30DA6">
        <w:rPr>
          <w:rFonts w:ascii="Arial" w:hAnsi="Arial" w:cs="Arial" w:hint="eastAsia"/>
          <w:sz w:val="28"/>
          <w:u w:val="single"/>
        </w:rPr>
        <w:t>X90S1</w:t>
      </w:r>
      <w:r w:rsidR="00E30DA6" w:rsidRPr="00E30DA6">
        <w:rPr>
          <w:rFonts w:ascii="Arial" w:hAnsi="Arial" w:cs="Arial" w:hint="eastAsia"/>
          <w:sz w:val="28"/>
          <w:u w:val="single"/>
        </w:rPr>
        <w:t>地块共有产权住房项目</w:t>
      </w:r>
      <w:r w:rsidR="00E30DA6">
        <w:rPr>
          <w:rFonts w:ascii="Arial" w:hAnsi="Arial" w:cs="Arial" w:hint="eastAsia"/>
          <w:sz w:val="28"/>
          <w:u w:val="single"/>
        </w:rPr>
        <w:t xml:space="preserve"> </w:t>
      </w:r>
      <w:r w:rsidRPr="00CB74E7">
        <w:rPr>
          <w:rFonts w:ascii="Arial" w:hAnsi="Arial" w:cs="Arial"/>
          <w:sz w:val="28"/>
        </w:rPr>
        <w:t>的单套住房的购房人与政府产权份额</w:t>
      </w:r>
      <w:proofErr w:type="gramStart"/>
      <w:r w:rsidRPr="00CB74E7">
        <w:rPr>
          <w:rFonts w:ascii="Arial" w:hAnsi="Arial" w:cs="Arial"/>
          <w:sz w:val="28"/>
        </w:rPr>
        <w:t>代持机构</w:t>
      </w:r>
      <w:proofErr w:type="gramEnd"/>
      <w:r w:rsidRPr="00CB74E7">
        <w:rPr>
          <w:rFonts w:ascii="Arial" w:hAnsi="Arial" w:cs="Arial"/>
          <w:sz w:val="28"/>
        </w:rPr>
        <w:t>产权份额之比进行评估。</w:t>
      </w:r>
    </w:p>
    <w:p w:rsidR="004F7C06" w:rsidRDefault="004F7C06" w:rsidP="004F7C06">
      <w:pPr>
        <w:spacing w:line="360" w:lineRule="auto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估价对象为</w:t>
      </w:r>
      <w:r w:rsidRPr="004F7C06">
        <w:rPr>
          <w:rFonts w:ascii="Arial" w:hAnsi="Arial" w:cs="Arial" w:hint="eastAsia"/>
          <w:sz w:val="28"/>
        </w:rPr>
        <w:t>北京经济技术开发区</w:t>
      </w:r>
      <w:r w:rsidRPr="004F7C06">
        <w:rPr>
          <w:rFonts w:ascii="Arial" w:hAnsi="Arial" w:cs="Arial" w:hint="eastAsia"/>
          <w:sz w:val="28"/>
        </w:rPr>
        <w:t>X90R1</w:t>
      </w:r>
      <w:r w:rsidRPr="004F7C06">
        <w:rPr>
          <w:rFonts w:ascii="Arial" w:hAnsi="Arial" w:cs="Arial" w:hint="eastAsia"/>
          <w:sz w:val="28"/>
        </w:rPr>
        <w:t>、</w:t>
      </w:r>
      <w:r w:rsidRPr="004F7C06">
        <w:rPr>
          <w:rFonts w:ascii="Arial" w:hAnsi="Arial" w:cs="Arial" w:hint="eastAsia"/>
          <w:sz w:val="28"/>
        </w:rPr>
        <w:t>X90S1</w:t>
      </w:r>
      <w:r w:rsidRPr="004F7C06">
        <w:rPr>
          <w:rFonts w:ascii="Arial" w:hAnsi="Arial" w:cs="Arial" w:hint="eastAsia"/>
          <w:sz w:val="28"/>
        </w:rPr>
        <w:t>地块亦城亦</w:t>
      </w:r>
      <w:proofErr w:type="gramStart"/>
      <w:r w:rsidRPr="004F7C06">
        <w:rPr>
          <w:rFonts w:ascii="Arial" w:hAnsi="Arial" w:cs="Arial" w:hint="eastAsia"/>
          <w:sz w:val="28"/>
        </w:rPr>
        <w:t>禧</w:t>
      </w:r>
      <w:proofErr w:type="gramEnd"/>
      <w:r w:rsidRPr="004F7C06">
        <w:rPr>
          <w:rFonts w:ascii="Arial" w:hAnsi="Arial" w:cs="Arial" w:hint="eastAsia"/>
          <w:sz w:val="28"/>
        </w:rPr>
        <w:t>共有产权住房项目，项目四至为东至博兴八路，南至</w:t>
      </w:r>
      <w:r w:rsidRPr="004F7C06">
        <w:rPr>
          <w:rFonts w:ascii="Arial" w:hAnsi="Arial" w:cs="Arial" w:hint="eastAsia"/>
          <w:sz w:val="28"/>
        </w:rPr>
        <w:t>X90R2</w:t>
      </w:r>
      <w:r w:rsidRPr="004F7C06">
        <w:rPr>
          <w:rFonts w:ascii="Arial" w:hAnsi="Arial" w:cs="Arial" w:hint="eastAsia"/>
          <w:sz w:val="28"/>
        </w:rPr>
        <w:t>居住用地，西</w:t>
      </w:r>
      <w:proofErr w:type="gramStart"/>
      <w:r w:rsidRPr="004F7C06">
        <w:rPr>
          <w:rFonts w:ascii="Arial" w:hAnsi="Arial" w:cs="Arial" w:hint="eastAsia"/>
          <w:sz w:val="28"/>
        </w:rPr>
        <w:t>至宏农</w:t>
      </w:r>
      <w:proofErr w:type="gramEnd"/>
      <w:r w:rsidRPr="004F7C06">
        <w:rPr>
          <w:rFonts w:ascii="Arial" w:hAnsi="Arial" w:cs="Arial" w:hint="eastAsia"/>
          <w:sz w:val="28"/>
        </w:rPr>
        <w:t>路、北至兴海路；项目总建筑面积约</w:t>
      </w:r>
      <w:r w:rsidRPr="004F7C06">
        <w:rPr>
          <w:rFonts w:ascii="Arial" w:hAnsi="Arial" w:cs="Arial" w:hint="eastAsia"/>
          <w:sz w:val="28"/>
        </w:rPr>
        <w:t>14</w:t>
      </w:r>
      <w:r w:rsidRPr="004F7C06">
        <w:rPr>
          <w:rFonts w:ascii="Arial" w:hAnsi="Arial" w:cs="Arial" w:hint="eastAsia"/>
          <w:sz w:val="28"/>
        </w:rPr>
        <w:t>万平方米，其中共有产权住房项目地上建筑面积约</w:t>
      </w:r>
      <w:r w:rsidRPr="004F7C06">
        <w:rPr>
          <w:rFonts w:ascii="Arial" w:hAnsi="Arial" w:cs="Arial" w:hint="eastAsia"/>
          <w:sz w:val="28"/>
        </w:rPr>
        <w:t>8.73</w:t>
      </w:r>
      <w:r w:rsidRPr="004F7C06">
        <w:rPr>
          <w:rFonts w:ascii="Arial" w:hAnsi="Arial" w:cs="Arial" w:hint="eastAsia"/>
          <w:sz w:val="28"/>
        </w:rPr>
        <w:t>万平方米。估价范围为共有产权住房</w:t>
      </w:r>
      <w:r w:rsidRPr="004F7C06">
        <w:rPr>
          <w:rFonts w:ascii="Arial" w:hAnsi="Arial" w:cs="Arial" w:hint="eastAsia"/>
          <w:sz w:val="28"/>
        </w:rPr>
        <w:t>1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2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3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4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5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6</w:t>
      </w:r>
      <w:r w:rsidRPr="004F7C06">
        <w:rPr>
          <w:rFonts w:ascii="Arial" w:hAnsi="Arial" w:cs="Arial" w:hint="eastAsia"/>
          <w:sz w:val="28"/>
        </w:rPr>
        <w:t>号楼、</w:t>
      </w:r>
      <w:r w:rsidRPr="004F7C06">
        <w:rPr>
          <w:rFonts w:ascii="Arial" w:hAnsi="Arial" w:cs="Arial" w:hint="eastAsia"/>
          <w:sz w:val="28"/>
        </w:rPr>
        <w:t>7</w:t>
      </w:r>
      <w:r w:rsidRPr="004F7C06">
        <w:rPr>
          <w:rFonts w:ascii="Arial" w:hAnsi="Arial" w:cs="Arial" w:hint="eastAsia"/>
          <w:sz w:val="28"/>
        </w:rPr>
        <w:t>号楼，</w:t>
      </w:r>
      <w:r w:rsidRPr="004F7C06">
        <w:rPr>
          <w:rFonts w:ascii="Arial" w:hAnsi="Arial" w:cs="Arial" w:hint="eastAsia"/>
          <w:sz w:val="28"/>
        </w:rPr>
        <w:t>8</w:t>
      </w:r>
      <w:r w:rsidRPr="004F7C06">
        <w:rPr>
          <w:rFonts w:ascii="Arial" w:hAnsi="Arial" w:cs="Arial" w:hint="eastAsia"/>
          <w:sz w:val="28"/>
        </w:rPr>
        <w:t>号楼共</w:t>
      </w:r>
      <w:r w:rsidRPr="004F7C06">
        <w:rPr>
          <w:rFonts w:ascii="Arial" w:hAnsi="Arial" w:cs="Arial" w:hint="eastAsia"/>
          <w:sz w:val="28"/>
        </w:rPr>
        <w:t>994</w:t>
      </w:r>
      <w:r w:rsidRPr="004F7C06">
        <w:rPr>
          <w:rFonts w:ascii="Arial" w:hAnsi="Arial" w:cs="Arial" w:hint="eastAsia"/>
          <w:sz w:val="28"/>
        </w:rPr>
        <w:t>套。</w:t>
      </w:r>
    </w:p>
    <w:p w:rsidR="00C87C94" w:rsidRDefault="00371761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  <w:r w:rsidRPr="00CB74E7">
        <w:rPr>
          <w:rFonts w:ascii="Arial" w:hAnsi="Arial" w:cs="Arial"/>
          <w:sz w:val="28"/>
        </w:rPr>
        <w:t>根据北京市物价局、北京市房屋土地管理局《关于房地产中介服务收费的通知》</w:t>
      </w:r>
      <w:r w:rsidR="00F37605">
        <w:rPr>
          <w:rFonts w:ascii="Arial" w:hAnsi="Arial" w:cs="Arial" w:hint="eastAsia"/>
          <w:sz w:val="28"/>
        </w:rPr>
        <w:t>[</w:t>
      </w:r>
      <w:r w:rsidRPr="00CB74E7">
        <w:rPr>
          <w:rFonts w:ascii="Arial" w:hAnsi="Arial" w:cs="Arial"/>
          <w:sz w:val="28"/>
        </w:rPr>
        <w:t>京（价）字（</w:t>
      </w:r>
      <w:r w:rsidRPr="00CB74E7">
        <w:rPr>
          <w:rFonts w:ascii="Arial" w:hAnsi="Arial" w:cs="Arial"/>
          <w:sz w:val="28"/>
        </w:rPr>
        <w:t>1997</w:t>
      </w:r>
      <w:r w:rsidRPr="00CB74E7">
        <w:rPr>
          <w:rFonts w:ascii="Arial" w:hAnsi="Arial" w:cs="Arial"/>
          <w:sz w:val="28"/>
        </w:rPr>
        <w:t>）第</w:t>
      </w:r>
      <w:r w:rsidRPr="00CB74E7">
        <w:rPr>
          <w:rFonts w:ascii="Arial" w:hAnsi="Arial" w:cs="Arial"/>
          <w:sz w:val="28"/>
        </w:rPr>
        <w:t>398</w:t>
      </w:r>
      <w:r w:rsidRPr="00CB74E7">
        <w:rPr>
          <w:rFonts w:ascii="Arial" w:hAnsi="Arial" w:cs="Arial"/>
          <w:sz w:val="28"/>
        </w:rPr>
        <w:t>号</w:t>
      </w:r>
      <w:r w:rsidR="00F37605">
        <w:rPr>
          <w:rFonts w:ascii="Arial" w:hAnsi="Arial" w:cs="Arial" w:hint="eastAsia"/>
          <w:sz w:val="28"/>
        </w:rPr>
        <w:t>]</w:t>
      </w:r>
      <w:r w:rsidRPr="00CB74E7">
        <w:rPr>
          <w:rFonts w:ascii="Arial" w:hAnsi="Arial" w:cs="Arial"/>
          <w:sz w:val="28"/>
        </w:rPr>
        <w:t>的相关收费规定，</w:t>
      </w:r>
      <w:r w:rsidR="000F1EF5" w:rsidRPr="00CB74E7">
        <w:rPr>
          <w:rFonts w:ascii="Arial" w:eastAsiaTheme="minorEastAsia" w:hAnsi="Arial" w:cs="Arial"/>
          <w:color w:val="000000"/>
          <w:sz w:val="28"/>
          <w:szCs w:val="28"/>
        </w:rPr>
        <w:t>本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着互惠互利、长期友好合作的原则，</w:t>
      </w:r>
      <w:r w:rsidR="001235A3">
        <w:rPr>
          <w:rFonts w:ascii="Arial" w:eastAsiaTheme="minorEastAsia" w:hAnsi="Arial" w:cs="Arial" w:hint="eastAsia"/>
          <w:color w:val="000000"/>
          <w:sz w:val="28"/>
          <w:szCs w:val="28"/>
        </w:rPr>
        <w:t>我司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在收费标准</w:t>
      </w:r>
      <w:r w:rsidR="00F00DDE">
        <w:rPr>
          <w:rFonts w:ascii="Arial" w:eastAsiaTheme="minorEastAsia" w:hAnsi="Arial" w:cs="Arial" w:hint="eastAsia"/>
          <w:color w:val="000000"/>
          <w:sz w:val="28"/>
          <w:szCs w:val="28"/>
        </w:rPr>
        <w:t>的基础上</w:t>
      </w:r>
      <w:r w:rsidR="0076743B" w:rsidRPr="00CB74E7">
        <w:rPr>
          <w:rFonts w:ascii="Arial" w:eastAsiaTheme="minorEastAsia" w:hAnsi="Arial" w:cs="Arial"/>
          <w:color w:val="000000"/>
          <w:sz w:val="28"/>
          <w:szCs w:val="28"/>
        </w:rPr>
        <w:t>给予大幅优惠，具体收费金额见下表</w:t>
      </w:r>
      <w:r w:rsidR="00C87C94" w:rsidRPr="00CB74E7">
        <w:rPr>
          <w:rFonts w:ascii="Arial" w:eastAsiaTheme="minorEastAsia" w:hAnsi="Arial" w:cs="Arial"/>
          <w:color w:val="000000"/>
          <w:sz w:val="28"/>
          <w:szCs w:val="28"/>
        </w:rPr>
        <w:t>：</w:t>
      </w:r>
    </w:p>
    <w:p w:rsidR="004F7C06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  <w:r>
        <w:rPr>
          <w:rFonts w:ascii="Arial" w:eastAsiaTheme="minorEastAsia" w:hAnsi="Arial" w:cs="Arial" w:hint="eastAsia"/>
          <w:color w:val="000000"/>
          <w:sz w:val="28"/>
          <w:szCs w:val="28"/>
        </w:rPr>
        <w:t>（转下页）</w:t>
      </w:r>
    </w:p>
    <w:p w:rsidR="004F7C06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</w:p>
    <w:p w:rsidR="004F7C06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</w:p>
    <w:p w:rsidR="004F7C06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</w:p>
    <w:p w:rsidR="004F7C06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</w:p>
    <w:p w:rsidR="004F7C06" w:rsidRPr="00CB74E7" w:rsidRDefault="004F7C06" w:rsidP="00CB74E7">
      <w:pPr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8"/>
        <w:gridCol w:w="3103"/>
        <w:gridCol w:w="2901"/>
      </w:tblGrid>
      <w:tr w:rsidR="00F509F1" w:rsidRPr="00CB74E7" w:rsidTr="00F509F1">
        <w:tc>
          <w:tcPr>
            <w:tcW w:w="2518" w:type="dxa"/>
            <w:vAlign w:val="center"/>
          </w:tcPr>
          <w:p w:rsidR="00F509F1" w:rsidRPr="00F37605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F37605">
              <w:rPr>
                <w:rFonts w:ascii="Arial" w:eastAsiaTheme="minorEastAsia" w:hAnsi="Arial" w:cs="Arial"/>
                <w:b/>
                <w:color w:val="000000"/>
                <w:sz w:val="24"/>
              </w:rPr>
              <w:lastRenderedPageBreak/>
              <w:t>估价对象种类</w:t>
            </w:r>
          </w:p>
        </w:tc>
        <w:tc>
          <w:tcPr>
            <w:tcW w:w="3103" w:type="dxa"/>
          </w:tcPr>
          <w:p w:rsidR="00F509F1" w:rsidRPr="00F37605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sz w:val="24"/>
              </w:rPr>
              <w:t>服务内容</w:t>
            </w:r>
          </w:p>
        </w:tc>
        <w:tc>
          <w:tcPr>
            <w:tcW w:w="2901" w:type="dxa"/>
            <w:vAlign w:val="center"/>
          </w:tcPr>
          <w:p w:rsidR="00F509F1" w:rsidRPr="00F37605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F37605">
              <w:rPr>
                <w:rFonts w:ascii="Arial" w:eastAsiaTheme="minorEastAsia" w:hAnsi="Arial" w:cs="Arial"/>
                <w:b/>
                <w:color w:val="000000"/>
                <w:sz w:val="24"/>
              </w:rPr>
              <w:t>收费金额（万元）</w:t>
            </w:r>
          </w:p>
        </w:tc>
      </w:tr>
      <w:tr w:rsidR="00F509F1" w:rsidRPr="00CB74E7" w:rsidTr="00F509F1">
        <w:trPr>
          <w:trHeight w:val="762"/>
        </w:trPr>
        <w:tc>
          <w:tcPr>
            <w:tcW w:w="2518" w:type="dxa"/>
            <w:vMerge w:val="restart"/>
            <w:vAlign w:val="center"/>
          </w:tcPr>
          <w:p w:rsidR="00F509F1" w:rsidRPr="00CB74E7" w:rsidRDefault="00F509F1" w:rsidP="00CB74E7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1235A3">
              <w:rPr>
                <w:rFonts w:ascii="Arial" w:eastAsiaTheme="minorEastAsia" w:hAnsi="Arial" w:cs="Arial" w:hint="eastAsia"/>
                <w:color w:val="000000"/>
                <w:sz w:val="24"/>
              </w:rPr>
              <w:t>共有产权住房项目同地块、同品质普通商品住房的价格</w:t>
            </w:r>
            <w:r w:rsidRPr="00CB74E7">
              <w:rPr>
                <w:rFonts w:ascii="Arial" w:eastAsiaTheme="minorEastAsia" w:hAnsi="Arial" w:cs="Arial"/>
                <w:color w:val="000000"/>
                <w:sz w:val="24"/>
              </w:rPr>
              <w:t>评估</w:t>
            </w:r>
          </w:p>
        </w:tc>
        <w:tc>
          <w:tcPr>
            <w:tcW w:w="3103" w:type="dxa"/>
            <w:vAlign w:val="center"/>
          </w:tcPr>
          <w:p w:rsidR="00F509F1" w:rsidRPr="00F509F1" w:rsidRDefault="00F509F1" w:rsidP="00F509F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F509F1">
              <w:rPr>
                <w:rFonts w:ascii="Arial" w:eastAsiaTheme="minorEastAsia" w:hAnsi="Arial" w:cs="Arial" w:hint="eastAsia"/>
                <w:color w:val="000000"/>
                <w:sz w:val="24"/>
              </w:rPr>
              <w:t>《评估意见函》</w:t>
            </w:r>
          </w:p>
        </w:tc>
        <w:tc>
          <w:tcPr>
            <w:tcW w:w="2901" w:type="dxa"/>
            <w:vAlign w:val="center"/>
          </w:tcPr>
          <w:p w:rsidR="00F509F1" w:rsidRPr="00CB74E7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8"/>
              </w:rPr>
              <w:t>2.5</w:t>
            </w:r>
          </w:p>
        </w:tc>
      </w:tr>
      <w:tr w:rsidR="00F509F1" w:rsidRPr="00CB74E7" w:rsidTr="00F509F1">
        <w:trPr>
          <w:trHeight w:val="833"/>
        </w:trPr>
        <w:tc>
          <w:tcPr>
            <w:tcW w:w="2518" w:type="dxa"/>
            <w:vMerge/>
            <w:vAlign w:val="center"/>
          </w:tcPr>
          <w:p w:rsidR="00F509F1" w:rsidRPr="001235A3" w:rsidRDefault="00F509F1" w:rsidP="00CB74E7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</w:p>
        </w:tc>
        <w:tc>
          <w:tcPr>
            <w:tcW w:w="3103" w:type="dxa"/>
            <w:vAlign w:val="center"/>
          </w:tcPr>
          <w:p w:rsidR="00F509F1" w:rsidRPr="00F509F1" w:rsidRDefault="00F509F1" w:rsidP="00F509F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F509F1">
              <w:rPr>
                <w:rFonts w:ascii="Arial" w:eastAsiaTheme="minorEastAsia" w:hAnsi="Arial" w:cs="Arial" w:hint="eastAsia"/>
                <w:color w:val="000000"/>
                <w:sz w:val="24"/>
              </w:rPr>
              <w:t>《不动产估价报告书》</w:t>
            </w:r>
          </w:p>
        </w:tc>
        <w:tc>
          <w:tcPr>
            <w:tcW w:w="2901" w:type="dxa"/>
            <w:vAlign w:val="center"/>
          </w:tcPr>
          <w:p w:rsidR="00F509F1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8"/>
              </w:rPr>
              <w:t>1.5</w:t>
            </w:r>
          </w:p>
        </w:tc>
      </w:tr>
      <w:tr w:rsidR="00F509F1" w:rsidRPr="00CB74E7" w:rsidTr="00F509F1">
        <w:trPr>
          <w:trHeight w:val="844"/>
        </w:trPr>
        <w:tc>
          <w:tcPr>
            <w:tcW w:w="2518" w:type="dxa"/>
            <w:vMerge/>
            <w:vAlign w:val="center"/>
          </w:tcPr>
          <w:p w:rsidR="00F509F1" w:rsidRPr="001235A3" w:rsidRDefault="00F509F1" w:rsidP="00CB74E7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</w:p>
        </w:tc>
        <w:tc>
          <w:tcPr>
            <w:tcW w:w="3103" w:type="dxa"/>
            <w:vAlign w:val="center"/>
          </w:tcPr>
          <w:p w:rsidR="00F509F1" w:rsidRPr="00F509F1" w:rsidRDefault="00F509F1" w:rsidP="00F509F1">
            <w:pPr>
              <w:jc w:val="center"/>
              <w:rPr>
                <w:rFonts w:ascii="Arial" w:eastAsiaTheme="minorEastAsia" w:hAnsi="Arial" w:cs="Arial"/>
                <w:color w:val="000000"/>
                <w:sz w:val="24"/>
              </w:rPr>
            </w:pPr>
            <w:r w:rsidRPr="00F509F1">
              <w:rPr>
                <w:rFonts w:ascii="Arial" w:eastAsiaTheme="minorEastAsia" w:hAnsi="Arial" w:cs="Arial" w:hint="eastAsia"/>
                <w:color w:val="000000"/>
                <w:sz w:val="24"/>
              </w:rPr>
              <w:t>注册房地产估价师专家评审会讲解</w:t>
            </w:r>
          </w:p>
        </w:tc>
        <w:tc>
          <w:tcPr>
            <w:tcW w:w="2901" w:type="dxa"/>
            <w:vAlign w:val="center"/>
          </w:tcPr>
          <w:p w:rsidR="00F509F1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8"/>
              </w:rPr>
              <w:t>1</w:t>
            </w:r>
          </w:p>
        </w:tc>
      </w:tr>
      <w:tr w:rsidR="00F509F1" w:rsidRPr="00CB74E7" w:rsidTr="00D4534C">
        <w:trPr>
          <w:trHeight w:val="425"/>
        </w:trPr>
        <w:tc>
          <w:tcPr>
            <w:tcW w:w="5621" w:type="dxa"/>
            <w:gridSpan w:val="2"/>
            <w:vAlign w:val="center"/>
          </w:tcPr>
          <w:p w:rsidR="00F509F1" w:rsidRDefault="00F509F1" w:rsidP="0037176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合计</w:t>
            </w:r>
          </w:p>
        </w:tc>
        <w:tc>
          <w:tcPr>
            <w:tcW w:w="2901" w:type="dxa"/>
            <w:vAlign w:val="center"/>
          </w:tcPr>
          <w:p w:rsidR="00F509F1" w:rsidRDefault="00F509F1" w:rsidP="0037176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8"/>
              </w:rPr>
              <w:t>5.0</w:t>
            </w:r>
          </w:p>
        </w:tc>
      </w:tr>
    </w:tbl>
    <w:p w:rsidR="00E30DA6" w:rsidRDefault="00E30DA6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备注：</w:t>
      </w:r>
    </w:p>
    <w:p w:rsidR="00E30DA6" w:rsidRDefault="00E30DA6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1.</w:t>
      </w:r>
      <w:r w:rsidRPr="00E30DA6">
        <w:rPr>
          <w:rFonts w:ascii="Arial" w:hAnsi="Arial" w:cs="Arial" w:hint="eastAsia"/>
          <w:sz w:val="28"/>
        </w:rPr>
        <w:t>价款包含乙方依约完成</w:t>
      </w:r>
      <w:r>
        <w:rPr>
          <w:rFonts w:ascii="Arial" w:hAnsi="Arial" w:cs="Arial" w:hint="eastAsia"/>
          <w:sz w:val="28"/>
        </w:rPr>
        <w:t>合同约定</w:t>
      </w:r>
      <w:r w:rsidRPr="00E30DA6">
        <w:rPr>
          <w:rFonts w:ascii="Arial" w:hAnsi="Arial" w:cs="Arial" w:hint="eastAsia"/>
          <w:sz w:val="28"/>
        </w:rPr>
        <w:t>工作应取得的全部价款，包括但不限于工本费、人工费、交通费、政府备案费、税费</w:t>
      </w:r>
      <w:r>
        <w:rPr>
          <w:rFonts w:ascii="Arial" w:hAnsi="Arial" w:cs="Arial" w:hint="eastAsia"/>
          <w:sz w:val="28"/>
        </w:rPr>
        <w:t>，不包含</w:t>
      </w:r>
      <w:r w:rsidRPr="00E30DA6">
        <w:rPr>
          <w:rFonts w:ascii="Arial" w:hAnsi="Arial" w:cs="Arial" w:hint="eastAsia"/>
          <w:sz w:val="28"/>
        </w:rPr>
        <w:t>专家评审费（如发生）、报告修改费用等。</w:t>
      </w:r>
    </w:p>
    <w:p w:rsidR="00CB74E7" w:rsidRDefault="00E30DA6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2.</w:t>
      </w:r>
      <w:r>
        <w:rPr>
          <w:rFonts w:ascii="Arial" w:hAnsi="Arial" w:cs="Arial" w:hint="eastAsia"/>
          <w:sz w:val="28"/>
        </w:rPr>
        <w:t>包含出具《评估意见函》（一版）、</w:t>
      </w:r>
      <w:r w:rsidRPr="00E30DA6">
        <w:rPr>
          <w:rFonts w:ascii="Arial" w:hAnsi="Arial" w:cs="Arial" w:hint="eastAsia"/>
          <w:sz w:val="28"/>
        </w:rPr>
        <w:t>《不动产估价报告书》</w:t>
      </w:r>
      <w:r>
        <w:rPr>
          <w:rFonts w:ascii="Arial" w:hAnsi="Arial" w:cs="Arial" w:hint="eastAsia"/>
          <w:sz w:val="28"/>
        </w:rPr>
        <w:t>（一版）、注册房地产估价师专家评审会讲解（一次）。</w:t>
      </w:r>
    </w:p>
    <w:p w:rsidR="00FC4CF5" w:rsidRDefault="00FC4CF5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  <w:bookmarkStart w:id="0" w:name="_GoBack"/>
      <w:bookmarkEnd w:id="0"/>
    </w:p>
    <w:p w:rsidR="00FC4CF5" w:rsidRDefault="00FC4CF5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</w:p>
    <w:p w:rsidR="00FC4CF5" w:rsidRPr="00E30DA6" w:rsidRDefault="00FC4CF5" w:rsidP="00E30DA6">
      <w:pPr>
        <w:spacing w:line="360" w:lineRule="auto"/>
        <w:ind w:firstLineChars="200" w:firstLine="560"/>
        <w:rPr>
          <w:rFonts w:ascii="Arial" w:hAnsi="Arial" w:cs="Arial"/>
          <w:sz w:val="28"/>
        </w:rPr>
      </w:pPr>
    </w:p>
    <w:p w:rsidR="00C87C94" w:rsidRPr="00CB74E7" w:rsidRDefault="00C87C94" w:rsidP="00C87C94">
      <w:pPr>
        <w:spacing w:line="360" w:lineRule="auto"/>
        <w:ind w:firstLineChars="200" w:firstLine="560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proofErr w:type="gramStart"/>
      <w:r w:rsidRPr="00CB74E7">
        <w:rPr>
          <w:rFonts w:ascii="Arial" w:eastAsiaTheme="minorEastAsia" w:hAnsi="Arial" w:cs="Arial"/>
          <w:color w:val="000000"/>
          <w:sz w:val="28"/>
          <w:szCs w:val="28"/>
        </w:rPr>
        <w:t>北京康正宏</w:t>
      </w:r>
      <w:proofErr w:type="gramEnd"/>
      <w:r w:rsidRPr="00CB74E7">
        <w:rPr>
          <w:rFonts w:ascii="Arial" w:eastAsiaTheme="minorEastAsia" w:hAnsi="Arial" w:cs="Arial"/>
          <w:color w:val="000000"/>
          <w:sz w:val="28"/>
          <w:szCs w:val="28"/>
        </w:rPr>
        <w:t>基房地产评估有限公司</w:t>
      </w:r>
    </w:p>
    <w:p w:rsidR="00FC4CF5" w:rsidRDefault="00FC4CF5" w:rsidP="00C87C94">
      <w:pPr>
        <w:spacing w:line="360" w:lineRule="auto"/>
        <w:ind w:firstLineChars="200" w:firstLine="560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</w:p>
    <w:p w:rsidR="00C87C94" w:rsidRPr="00CB74E7" w:rsidRDefault="00C87C94" w:rsidP="00C87C94">
      <w:pPr>
        <w:spacing w:line="360" w:lineRule="auto"/>
        <w:ind w:firstLineChars="200" w:firstLine="560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r w:rsidRPr="00CB74E7">
        <w:rPr>
          <w:rFonts w:ascii="Arial" w:eastAsiaTheme="minorEastAsia" w:hAnsi="Arial" w:cs="Arial"/>
          <w:color w:val="000000"/>
          <w:sz w:val="28"/>
          <w:szCs w:val="28"/>
        </w:rPr>
        <w:t>二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O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一</w:t>
      </w:r>
      <w:r w:rsidR="00E30DA6">
        <w:rPr>
          <w:rFonts w:ascii="Arial" w:eastAsiaTheme="minorEastAsia" w:hAnsi="Arial" w:cs="Arial" w:hint="eastAsia"/>
          <w:color w:val="000000"/>
          <w:sz w:val="28"/>
          <w:szCs w:val="28"/>
        </w:rPr>
        <w:t>九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年</w:t>
      </w:r>
      <w:r w:rsidR="00E30DA6">
        <w:rPr>
          <w:rFonts w:ascii="Arial" w:eastAsiaTheme="minorEastAsia" w:hAnsi="Arial" w:cs="Arial" w:hint="eastAsia"/>
          <w:color w:val="000000"/>
          <w:sz w:val="28"/>
          <w:szCs w:val="28"/>
        </w:rPr>
        <w:t>十二</w:t>
      </w:r>
      <w:r w:rsidR="00E30DA6">
        <w:rPr>
          <w:rFonts w:ascii="Arial" w:eastAsiaTheme="minorEastAsia" w:hAnsi="Arial" w:cs="Arial"/>
          <w:color w:val="000000"/>
          <w:sz w:val="28"/>
          <w:szCs w:val="28"/>
        </w:rPr>
        <w:t>月</w:t>
      </w:r>
      <w:r w:rsidR="00E30DA6">
        <w:rPr>
          <w:rFonts w:ascii="Arial" w:eastAsiaTheme="minorEastAsia" w:hAnsi="Arial" w:cs="Arial" w:hint="eastAsia"/>
          <w:color w:val="000000"/>
          <w:sz w:val="28"/>
          <w:szCs w:val="28"/>
        </w:rPr>
        <w:t>十九</w:t>
      </w:r>
      <w:r w:rsidRPr="00CB74E7">
        <w:rPr>
          <w:rFonts w:ascii="Arial" w:eastAsiaTheme="minorEastAsia" w:hAnsi="Arial" w:cs="Arial"/>
          <w:color w:val="000000"/>
          <w:sz w:val="28"/>
          <w:szCs w:val="28"/>
        </w:rPr>
        <w:t>日</w:t>
      </w:r>
    </w:p>
    <w:sectPr w:rsidR="00C87C94" w:rsidRPr="00CB74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17" w:rsidRDefault="00C33817" w:rsidP="00BF00FE">
      <w:r>
        <w:separator/>
      </w:r>
    </w:p>
  </w:endnote>
  <w:endnote w:type="continuationSeparator" w:id="0">
    <w:p w:rsidR="00C33817" w:rsidRDefault="00C33817" w:rsidP="00B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17" w:rsidRDefault="00C33817" w:rsidP="00BF00FE">
      <w:r>
        <w:separator/>
      </w:r>
    </w:p>
  </w:footnote>
  <w:footnote w:type="continuationSeparator" w:id="0">
    <w:p w:rsidR="00C33817" w:rsidRDefault="00C33817" w:rsidP="00BF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94" w:rsidRPr="00D90AA0" w:rsidRDefault="00D90AA0" w:rsidP="00D90AA0">
    <w:r>
      <w:rPr>
        <w:noProof/>
      </w:rPr>
      <w:drawing>
        <wp:inline distT="0" distB="0" distL="0" distR="0" wp14:anchorId="0C696FFB" wp14:editId="43F99712">
          <wp:extent cx="5883215" cy="376409"/>
          <wp:effectExtent l="0" t="0" r="0" b="508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81" cy="37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649"/>
    <w:multiLevelType w:val="hybridMultilevel"/>
    <w:tmpl w:val="4D7CF5F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AD"/>
    <w:rsid w:val="000F1EF5"/>
    <w:rsid w:val="001235A3"/>
    <w:rsid w:val="00371761"/>
    <w:rsid w:val="00377ED7"/>
    <w:rsid w:val="004F7C06"/>
    <w:rsid w:val="005450DB"/>
    <w:rsid w:val="00614CCA"/>
    <w:rsid w:val="0076743B"/>
    <w:rsid w:val="0080516B"/>
    <w:rsid w:val="00977F83"/>
    <w:rsid w:val="009E7C50"/>
    <w:rsid w:val="00A675FB"/>
    <w:rsid w:val="00BA31CB"/>
    <w:rsid w:val="00BF00FE"/>
    <w:rsid w:val="00C331AD"/>
    <w:rsid w:val="00C33817"/>
    <w:rsid w:val="00C3463D"/>
    <w:rsid w:val="00C87C94"/>
    <w:rsid w:val="00CB74E7"/>
    <w:rsid w:val="00D90AA0"/>
    <w:rsid w:val="00D97CBD"/>
    <w:rsid w:val="00DB370B"/>
    <w:rsid w:val="00E016C4"/>
    <w:rsid w:val="00E1722D"/>
    <w:rsid w:val="00E30DA6"/>
    <w:rsid w:val="00F00DDE"/>
    <w:rsid w:val="00F37605"/>
    <w:rsid w:val="00F509F1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12</cp:revision>
  <cp:lastPrinted>2018-06-22T06:49:00Z</cp:lastPrinted>
  <dcterms:created xsi:type="dcterms:W3CDTF">2018-06-14T09:56:00Z</dcterms:created>
  <dcterms:modified xsi:type="dcterms:W3CDTF">2019-12-23T02:16:00Z</dcterms:modified>
</cp:coreProperties>
</file>