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E19E1" w14:textId="40143775" w:rsidR="00560279" w:rsidRPr="00467653" w:rsidRDefault="00B523E5" w:rsidP="00B562B2">
      <w:pPr>
        <w:autoSpaceDE w:val="0"/>
        <w:autoSpaceDN w:val="0"/>
        <w:spacing w:beforeLines="100" w:before="312" w:afterLines="100" w:after="312" w:line="500" w:lineRule="exact"/>
        <w:jc w:val="center"/>
        <w:textAlignment w:val="bottom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关于《</w:t>
      </w:r>
      <w:r w:rsidR="00B30FE3" w:rsidRPr="00B30FE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北京市</w:t>
      </w:r>
      <w:r w:rsidR="005C471E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门头沟</w:t>
      </w:r>
      <w:r w:rsidR="00B30FE3" w:rsidRPr="00B30FE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区人民法院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案件【</w:t>
      </w:r>
      <w:r w:rsidR="00165540" w:rsidRPr="00165540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(2022)京0</w:t>
      </w:r>
      <w:r w:rsidR="005C471E">
        <w:rPr>
          <w:rFonts w:asciiTheme="minorEastAsia" w:eastAsiaTheme="minorEastAsia" w:hAnsiTheme="minorEastAsia"/>
          <w:b/>
          <w:color w:val="000000"/>
          <w:sz w:val="30"/>
          <w:szCs w:val="30"/>
        </w:rPr>
        <w:t>109</w:t>
      </w:r>
      <w:r w:rsidR="00165540" w:rsidRPr="00165540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民初</w:t>
      </w:r>
      <w:r w:rsidR="005C471E">
        <w:rPr>
          <w:rFonts w:asciiTheme="minorEastAsia" w:eastAsiaTheme="minorEastAsia" w:hAnsiTheme="minorEastAsia"/>
          <w:b/>
          <w:color w:val="000000"/>
          <w:sz w:val="30"/>
          <w:szCs w:val="30"/>
        </w:rPr>
        <w:t>4126</w:t>
      </w:r>
      <w:r w:rsidR="00165540" w:rsidRPr="00165540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号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】涉及的</w:t>
      </w:r>
      <w:r w:rsidR="0043682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房产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评估》收费说明</w:t>
      </w:r>
    </w:p>
    <w:p w14:paraId="48D39A5D" w14:textId="3F60112A" w:rsidR="00560279" w:rsidRPr="00467653" w:rsidRDefault="00B30FE3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30FE3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北京市</w:t>
      </w:r>
      <w:r w:rsidR="005C471E">
        <w:rPr>
          <w:rFonts w:asciiTheme="minorEastAsia" w:eastAsiaTheme="minorEastAsia" w:hAnsiTheme="minorEastAsia" w:hint="eastAsia"/>
          <w:color w:val="000000"/>
          <w:sz w:val="28"/>
          <w:szCs w:val="28"/>
        </w:rPr>
        <w:t>门头沟</w:t>
      </w:r>
      <w:r w:rsidRPr="00B30FE3">
        <w:rPr>
          <w:rFonts w:asciiTheme="minorEastAsia" w:eastAsiaTheme="minorEastAsia" w:hAnsiTheme="minorEastAsia" w:hint="eastAsia"/>
          <w:color w:val="000000"/>
          <w:sz w:val="28"/>
          <w:szCs w:val="28"/>
        </w:rPr>
        <w:t>区人民法院</w:t>
      </w:r>
      <w:r w:rsidR="00B523E5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14:paraId="78D5C284" w14:textId="6D95EBB7" w:rsidR="00560279" w:rsidRPr="00467653" w:rsidRDefault="00B523E5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根据贵院出具的《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鉴定评估委托书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》【</w:t>
      </w:r>
      <w:r w:rsidR="00165540" w:rsidRPr="00165540">
        <w:rPr>
          <w:rFonts w:asciiTheme="minorEastAsia" w:eastAsiaTheme="minorEastAsia" w:hAnsiTheme="minorEastAsia" w:hint="eastAsia"/>
          <w:color w:val="000000"/>
          <w:sz w:val="28"/>
          <w:szCs w:val="28"/>
        </w:rPr>
        <w:t>(2022)京0</w:t>
      </w:r>
      <w:r w:rsidR="005C471E">
        <w:rPr>
          <w:rFonts w:asciiTheme="minorEastAsia" w:eastAsiaTheme="minorEastAsia" w:hAnsiTheme="minorEastAsia"/>
          <w:color w:val="000000"/>
          <w:sz w:val="28"/>
          <w:szCs w:val="28"/>
        </w:rPr>
        <w:t>109</w:t>
      </w:r>
      <w:r w:rsidR="00165540" w:rsidRPr="00165540">
        <w:rPr>
          <w:rFonts w:asciiTheme="minorEastAsia" w:eastAsiaTheme="minorEastAsia" w:hAnsiTheme="minorEastAsia" w:hint="eastAsia"/>
          <w:color w:val="000000"/>
          <w:sz w:val="28"/>
          <w:szCs w:val="28"/>
        </w:rPr>
        <w:t>民初</w:t>
      </w:r>
      <w:r w:rsidR="005C471E">
        <w:rPr>
          <w:rFonts w:asciiTheme="minorEastAsia" w:eastAsiaTheme="minorEastAsia" w:hAnsiTheme="minorEastAsia"/>
          <w:color w:val="000000"/>
          <w:sz w:val="28"/>
          <w:szCs w:val="28"/>
        </w:rPr>
        <w:t>4126</w:t>
      </w:r>
      <w:r w:rsidR="00165540" w:rsidRPr="00165540">
        <w:rPr>
          <w:rFonts w:asciiTheme="minorEastAsia" w:eastAsiaTheme="minorEastAsia" w:hAnsiTheme="minorEastAsia" w:hint="eastAsia"/>
          <w:color w:val="000000"/>
          <w:sz w:val="28"/>
          <w:szCs w:val="28"/>
        </w:rPr>
        <w:t>号</w:t>
      </w:r>
      <w:r w:rsidR="002C504F">
        <w:rPr>
          <w:rFonts w:asciiTheme="minorEastAsia" w:eastAsiaTheme="minorEastAsia" w:hAnsiTheme="minorEastAsia" w:hint="eastAsia"/>
          <w:color w:val="000000"/>
          <w:sz w:val="28"/>
          <w:szCs w:val="28"/>
        </w:rPr>
        <w:t>】，委托我公司对</w:t>
      </w:r>
      <w:r w:rsidR="005C471E" w:rsidRPr="005C471E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北京市门头沟区冯村嘉园2区3号楼3-102</w:t>
      </w:r>
      <w:r w:rsidR="005C471E">
        <w:rPr>
          <w:rFonts w:asciiTheme="minorEastAsia" w:eastAsiaTheme="minorEastAsia" w:hAnsiTheme="minorEastAsia" w:hint="eastAsia"/>
          <w:color w:val="000000"/>
          <w:sz w:val="28"/>
          <w:szCs w:val="28"/>
        </w:rPr>
        <w:t>的</w:t>
      </w:r>
      <w:r w:rsidR="00B30FE3" w:rsidRPr="00B30FE3">
        <w:rPr>
          <w:rFonts w:asciiTheme="minorEastAsia" w:eastAsiaTheme="minorEastAsia" w:hAnsiTheme="minorEastAsia" w:hint="eastAsia"/>
          <w:color w:val="000000"/>
          <w:sz w:val="28"/>
          <w:szCs w:val="28"/>
        </w:rPr>
        <w:t>房屋</w:t>
      </w:r>
      <w:r w:rsidR="00B30FE3">
        <w:rPr>
          <w:rFonts w:asciiTheme="minorEastAsia" w:eastAsiaTheme="minorEastAsia" w:hAnsiTheme="minorEastAsia" w:hint="eastAsia"/>
          <w:color w:val="000000"/>
          <w:sz w:val="28"/>
          <w:szCs w:val="28"/>
        </w:rPr>
        <w:t>价值进行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评估鉴定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bookmarkStart w:id="0" w:name="_GoBack"/>
      <w:bookmarkEnd w:id="0"/>
    </w:p>
    <w:p w14:paraId="3B942EE6" w14:textId="77777777" w:rsidR="00D17F13" w:rsidRPr="00467653" w:rsidRDefault="00F82F94" w:rsidP="00D17F1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1" w:name="_Toc151893762"/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参照</w:t>
      </w:r>
      <w:r w:rsidR="00D17F1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《国家计委建设部关于房地产中介服务的通知》【计价格[1995]971号】，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我司制定的</w:t>
      </w:r>
      <w:r w:rsidR="00D17F1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房地产评估的评估费收费标准如下：</w:t>
      </w:r>
    </w:p>
    <w:p w14:paraId="3ED80B97" w14:textId="77777777" w:rsidR="00560279" w:rsidRPr="00467653" w:rsidRDefault="00B523E5">
      <w:pPr>
        <w:jc w:val="center"/>
        <w:rPr>
          <w:rFonts w:asciiTheme="minorEastAsia" w:eastAsiaTheme="minorEastAsia" w:hAnsiTheme="minorEastAsia"/>
          <w:b/>
          <w:bCs/>
          <w:color w:val="000000"/>
          <w:sz w:val="26"/>
          <w:szCs w:val="26"/>
        </w:rPr>
      </w:pPr>
      <w:r w:rsidRPr="00467653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</w:rPr>
        <w:t>房地产价格评估收费标准</w:t>
      </w:r>
      <w:bookmarkEnd w:id="1"/>
    </w:p>
    <w:tbl>
      <w:tblPr>
        <w:tblW w:w="5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279"/>
        <w:gridCol w:w="1433"/>
      </w:tblGrid>
      <w:tr w:rsidR="00560279" w:rsidRPr="00467653" w14:paraId="63FB2348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17820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档次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AA160D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标的总额（万元）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31CD3ED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累进费率‰</w:t>
            </w:r>
          </w:p>
        </w:tc>
      </w:tr>
      <w:tr w:rsidR="00560279" w:rsidRPr="00467653" w14:paraId="51B49F27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85687C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62307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100以下（含100）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F7AB668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560279" w:rsidRPr="00467653" w14:paraId="7768130D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A8040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26CC00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101以上至1000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D6CF10C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2.5</w:t>
            </w:r>
          </w:p>
        </w:tc>
      </w:tr>
      <w:tr w:rsidR="00560279" w:rsidRPr="00467653" w14:paraId="23A000CC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D4AD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7EF3E5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1001以上至2000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5F8C8F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1.5</w:t>
            </w:r>
          </w:p>
        </w:tc>
      </w:tr>
      <w:tr w:rsidR="00560279" w:rsidRPr="00467653" w14:paraId="5B4EEB4A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B6A73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3F9D8A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2001以上至5000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78B6FDB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560279" w:rsidRPr="00467653" w14:paraId="69BC429E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561B4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21ED7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5001以上至8000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286000A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</w:t>
            </w:r>
          </w:p>
        </w:tc>
      </w:tr>
      <w:tr w:rsidR="00560279" w:rsidRPr="00467653" w14:paraId="578C4E3E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549013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8103B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8001以上至10000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036D7F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</w:t>
            </w:r>
          </w:p>
        </w:tc>
      </w:tr>
      <w:tr w:rsidR="00560279" w:rsidRPr="00467653" w14:paraId="76A90B82" w14:textId="77777777" w:rsidTr="00A33A57">
        <w:trPr>
          <w:trHeight w:val="20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CA287B3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23CBC70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10000以上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15E96F" w14:textId="77777777" w:rsidR="00560279" w:rsidRPr="00467653" w:rsidRDefault="00B523E5" w:rsidP="00A33A5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</w:t>
            </w:r>
          </w:p>
        </w:tc>
      </w:tr>
    </w:tbl>
    <w:p w14:paraId="4E2B5F4E" w14:textId="74F661B4" w:rsidR="00D17F13" w:rsidRPr="00467653" w:rsidRDefault="00F82F94" w:rsidP="001F4C5D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根据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估价人员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初步测算，此项目应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预缴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纳评估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费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为</w:t>
      </w:r>
      <w:r w:rsidR="005A124C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A33A57">
        <w:rPr>
          <w:rFonts w:asciiTheme="minorEastAsia" w:eastAsiaTheme="minorEastAsia" w:hAnsiTheme="minorEastAsia"/>
          <w:color w:val="000000"/>
          <w:sz w:val="28"/>
          <w:szCs w:val="28"/>
        </w:rPr>
        <w:t>000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（大写：人民币</w:t>
      </w:r>
      <w:r w:rsidR="005A124C">
        <w:rPr>
          <w:rFonts w:asciiTheme="minorEastAsia" w:eastAsiaTheme="minorEastAsia" w:hAnsiTheme="minorEastAsia" w:hint="eastAsia"/>
          <w:color w:val="000000"/>
          <w:sz w:val="28"/>
          <w:szCs w:val="28"/>
        </w:rPr>
        <w:t>捌</w:t>
      </w:r>
      <w:r w:rsidR="001B3EF2">
        <w:rPr>
          <w:rFonts w:asciiTheme="minorEastAsia" w:eastAsiaTheme="minorEastAsia" w:hAnsiTheme="minorEastAsia" w:hint="eastAsia"/>
          <w:color w:val="000000"/>
          <w:sz w:val="28"/>
          <w:szCs w:val="28"/>
        </w:rPr>
        <w:t>仟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元整）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，待出具正式报告时，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我们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会根据最终的评估值计算的实际</w:t>
      </w:r>
      <w:r w:rsidR="00C648C0" w:rsidRPr="00467653">
        <w:rPr>
          <w:rFonts w:asciiTheme="minorEastAsia" w:eastAsiaTheme="minorEastAsia" w:hAnsiTheme="minorEastAsia"/>
          <w:color w:val="000000"/>
          <w:sz w:val="28"/>
          <w:szCs w:val="28"/>
        </w:rPr>
        <w:t>评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估费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多退少补。</w:t>
      </w:r>
    </w:p>
    <w:p w14:paraId="70F40E85" w14:textId="77777777" w:rsidR="000538DE" w:rsidRPr="00467653" w:rsidRDefault="000538DE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备注：1.上述评估费不包含差旅费。</w:t>
      </w:r>
    </w:p>
    <w:p w14:paraId="5DDE06B1" w14:textId="77777777" w:rsidR="0043682A" w:rsidRPr="001F4C5D" w:rsidRDefault="00BD0C21" w:rsidP="001F4C5D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2.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如果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按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评估范围价值量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计算的评估费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不能覆盖最基本的</w:t>
      </w:r>
      <w:r w:rsidR="008E2391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机构人力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及管理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成本，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机构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可自行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提出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最低收费标准并公示（</w:t>
      </w:r>
      <w:r w:rsidR="00B07BB4">
        <w:rPr>
          <w:rFonts w:asciiTheme="minorEastAsia" w:eastAsiaTheme="minorEastAsia" w:hAnsiTheme="minorEastAsia" w:hint="eastAsia"/>
          <w:color w:val="000000"/>
          <w:sz w:val="28"/>
          <w:szCs w:val="28"/>
        </w:rPr>
        <w:t>原则上不低于3000元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/套</w:t>
      </w:r>
      <w:r w:rsidR="00B07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="003704B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29B3903D" w14:textId="29409E2D" w:rsidR="00560279" w:rsidRPr="00467653" w:rsidRDefault="002E10C1" w:rsidP="0043682A">
      <w:pPr>
        <w:adjustRightInd w:val="0"/>
        <w:snapToGrid w:val="0"/>
        <w:spacing w:line="360" w:lineRule="auto"/>
        <w:ind w:firstLineChars="200" w:firstLine="602"/>
        <w:jc w:val="right"/>
        <w:rPr>
          <w:rFonts w:asciiTheme="minorEastAsia" w:eastAsiaTheme="minorEastAsia" w:hAnsiTheme="minorEastAsia"/>
          <w:spacing w:val="4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202</w:t>
      </w:r>
      <w:r w:rsidR="005C471E">
        <w:rPr>
          <w:rFonts w:asciiTheme="minorEastAsia" w:eastAsiaTheme="minorEastAsia" w:hAnsiTheme="minorEastAsia"/>
          <w:b/>
          <w:color w:val="000000"/>
          <w:sz w:val="30"/>
          <w:szCs w:val="30"/>
        </w:rPr>
        <w:t>3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年</w:t>
      </w:r>
      <w:r w:rsidR="005C471E">
        <w:rPr>
          <w:rFonts w:asciiTheme="minorEastAsia" w:eastAsiaTheme="minorEastAsia" w:hAnsiTheme="minorEastAsia"/>
          <w:b/>
          <w:color w:val="000000"/>
          <w:sz w:val="30"/>
          <w:szCs w:val="30"/>
        </w:rPr>
        <w:t>1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月</w:t>
      </w:r>
      <w:r w:rsidR="005C471E">
        <w:rPr>
          <w:rFonts w:asciiTheme="minorEastAsia" w:eastAsiaTheme="minorEastAsia" w:hAnsiTheme="minorEastAsia"/>
          <w:b/>
          <w:color w:val="000000"/>
          <w:sz w:val="30"/>
          <w:szCs w:val="30"/>
        </w:rPr>
        <w:t>18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日</w:t>
      </w:r>
    </w:p>
    <w:sectPr w:rsidR="00560279" w:rsidRPr="00467653" w:rsidSect="005602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86272" w14:textId="77777777" w:rsidR="005A16EC" w:rsidRDefault="005A16EC" w:rsidP="00560279">
      <w:r>
        <w:separator/>
      </w:r>
    </w:p>
  </w:endnote>
  <w:endnote w:type="continuationSeparator" w:id="0">
    <w:p w14:paraId="72B581C0" w14:textId="77777777" w:rsidR="005A16EC" w:rsidRDefault="005A16EC" w:rsidP="005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A35F7" w14:textId="77777777" w:rsidR="005A16EC" w:rsidRDefault="005A16EC" w:rsidP="00560279">
      <w:r>
        <w:separator/>
      </w:r>
    </w:p>
  </w:footnote>
  <w:footnote w:type="continuationSeparator" w:id="0">
    <w:p w14:paraId="0E9D30F2" w14:textId="77777777" w:rsidR="005A16EC" w:rsidRDefault="005A16EC" w:rsidP="0056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FB5C0" w14:textId="77777777" w:rsidR="00560279" w:rsidRDefault="00560279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696"/>
    <w:rsid w:val="00003C9F"/>
    <w:rsid w:val="000538DE"/>
    <w:rsid w:val="0005714E"/>
    <w:rsid w:val="000613C0"/>
    <w:rsid w:val="000723CC"/>
    <w:rsid w:val="00094892"/>
    <w:rsid w:val="000C69BD"/>
    <w:rsid w:val="000D0D29"/>
    <w:rsid w:val="000D4444"/>
    <w:rsid w:val="000E6051"/>
    <w:rsid w:val="00140D74"/>
    <w:rsid w:val="001551AC"/>
    <w:rsid w:val="00165540"/>
    <w:rsid w:val="00185BA7"/>
    <w:rsid w:val="001972EB"/>
    <w:rsid w:val="001A49E2"/>
    <w:rsid w:val="001B3EF2"/>
    <w:rsid w:val="001F02F0"/>
    <w:rsid w:val="001F4C5D"/>
    <w:rsid w:val="00201DF0"/>
    <w:rsid w:val="00227CC6"/>
    <w:rsid w:val="00251D9F"/>
    <w:rsid w:val="002527E2"/>
    <w:rsid w:val="00266B0C"/>
    <w:rsid w:val="002718AC"/>
    <w:rsid w:val="002A23E0"/>
    <w:rsid w:val="002B6B0A"/>
    <w:rsid w:val="002C504F"/>
    <w:rsid w:val="002E10C1"/>
    <w:rsid w:val="00304D4C"/>
    <w:rsid w:val="003412D8"/>
    <w:rsid w:val="00342F34"/>
    <w:rsid w:val="003635C1"/>
    <w:rsid w:val="0036481A"/>
    <w:rsid w:val="003704B3"/>
    <w:rsid w:val="003B10B7"/>
    <w:rsid w:val="003C1559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5372AF"/>
    <w:rsid w:val="00560279"/>
    <w:rsid w:val="005818BF"/>
    <w:rsid w:val="00590CF0"/>
    <w:rsid w:val="005A124C"/>
    <w:rsid w:val="005A16EC"/>
    <w:rsid w:val="005A38EA"/>
    <w:rsid w:val="005C471E"/>
    <w:rsid w:val="005D768A"/>
    <w:rsid w:val="005E38AA"/>
    <w:rsid w:val="00614116"/>
    <w:rsid w:val="0063301E"/>
    <w:rsid w:val="00643C04"/>
    <w:rsid w:val="006664EF"/>
    <w:rsid w:val="0069751C"/>
    <w:rsid w:val="006C7DF8"/>
    <w:rsid w:val="006D1F6A"/>
    <w:rsid w:val="006D4E3E"/>
    <w:rsid w:val="006F3A03"/>
    <w:rsid w:val="00727289"/>
    <w:rsid w:val="00733B4F"/>
    <w:rsid w:val="00743DFF"/>
    <w:rsid w:val="00785ED4"/>
    <w:rsid w:val="00793FE0"/>
    <w:rsid w:val="007A0C94"/>
    <w:rsid w:val="007E4B46"/>
    <w:rsid w:val="007F0708"/>
    <w:rsid w:val="007F0B22"/>
    <w:rsid w:val="008070A1"/>
    <w:rsid w:val="0084231A"/>
    <w:rsid w:val="00886556"/>
    <w:rsid w:val="008E2391"/>
    <w:rsid w:val="008E52D8"/>
    <w:rsid w:val="008F5490"/>
    <w:rsid w:val="00973CBC"/>
    <w:rsid w:val="0099659A"/>
    <w:rsid w:val="009C3D2E"/>
    <w:rsid w:val="00A04952"/>
    <w:rsid w:val="00A1031A"/>
    <w:rsid w:val="00A26282"/>
    <w:rsid w:val="00A33A57"/>
    <w:rsid w:val="00A60257"/>
    <w:rsid w:val="00A6332A"/>
    <w:rsid w:val="00AE15E4"/>
    <w:rsid w:val="00AF577A"/>
    <w:rsid w:val="00B03314"/>
    <w:rsid w:val="00B07BB4"/>
    <w:rsid w:val="00B30FE3"/>
    <w:rsid w:val="00B523E5"/>
    <w:rsid w:val="00B562B2"/>
    <w:rsid w:val="00B7401D"/>
    <w:rsid w:val="00BA2FC7"/>
    <w:rsid w:val="00BD0C21"/>
    <w:rsid w:val="00BD6828"/>
    <w:rsid w:val="00BE340E"/>
    <w:rsid w:val="00C04B3E"/>
    <w:rsid w:val="00C27CDA"/>
    <w:rsid w:val="00C648C0"/>
    <w:rsid w:val="00CA020A"/>
    <w:rsid w:val="00CF6416"/>
    <w:rsid w:val="00D17F13"/>
    <w:rsid w:val="00D41601"/>
    <w:rsid w:val="00D43337"/>
    <w:rsid w:val="00D727CA"/>
    <w:rsid w:val="00D74529"/>
    <w:rsid w:val="00D76696"/>
    <w:rsid w:val="00D9218E"/>
    <w:rsid w:val="00DA00F5"/>
    <w:rsid w:val="00DA2B7B"/>
    <w:rsid w:val="00E068CC"/>
    <w:rsid w:val="00E11A61"/>
    <w:rsid w:val="00E2689D"/>
    <w:rsid w:val="00E42ABF"/>
    <w:rsid w:val="00E74E37"/>
    <w:rsid w:val="00EA6622"/>
    <w:rsid w:val="00EB4B2E"/>
    <w:rsid w:val="00EC5E08"/>
    <w:rsid w:val="00EE3A76"/>
    <w:rsid w:val="00EF31E1"/>
    <w:rsid w:val="00F43E96"/>
    <w:rsid w:val="00F46785"/>
    <w:rsid w:val="00F82F94"/>
    <w:rsid w:val="00FB01DC"/>
    <w:rsid w:val="00FB0D4F"/>
    <w:rsid w:val="00FC1C44"/>
    <w:rsid w:val="00FC2A7B"/>
    <w:rsid w:val="00FE62F5"/>
    <w:rsid w:val="00FF285F"/>
    <w:rsid w:val="00FF457D"/>
    <w:rsid w:val="02DE0F28"/>
    <w:rsid w:val="11472AF4"/>
    <w:rsid w:val="35031158"/>
    <w:rsid w:val="41913FB3"/>
    <w:rsid w:val="4CBA5CCC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5DAA5"/>
  <w15:docId w15:val="{45E940F3-EB97-432A-9069-FDF3E6D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02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02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560279"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sid w:val="00560279"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rsid w:val="00560279"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sid w:val="0056027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560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5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sid w:val="00560279"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sid w:val="00560279"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sid w:val="0056027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560279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602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rsid w:val="00560279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sid w:val="00560279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link w:val="a5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uiPriority w:val="99"/>
    <w:semiHidden/>
    <w:qFormat/>
    <w:rsid w:val="00560279"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5602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E779A-A0CB-463F-84AC-A0C7DDD1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80</Words>
  <Characters>462</Characters>
  <Application>Microsoft Office Word</Application>
  <DocSecurity>0</DocSecurity>
  <Lines>3</Lines>
  <Paragraphs>1</Paragraphs>
  <ScaleCrop>false</ScaleCrop>
  <Company>jia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KG</cp:lastModifiedBy>
  <cp:revision>11</cp:revision>
  <cp:lastPrinted>2018-05-18T03:36:00Z</cp:lastPrinted>
  <dcterms:created xsi:type="dcterms:W3CDTF">2022-05-06T08:12:00Z</dcterms:created>
  <dcterms:modified xsi:type="dcterms:W3CDTF">2023-01-18T03:53:00Z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