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5F8C" w14:textId="77777777" w:rsidR="001418B3" w:rsidRDefault="001418B3" w:rsidP="009067B1">
      <w:pPr>
        <w:spacing w:line="276" w:lineRule="auto"/>
        <w:jc w:val="center"/>
        <w:rPr>
          <w:rFonts w:ascii="楷体" w:eastAsia="楷体" w:hAnsi="楷体" w:cs="Arial"/>
          <w:b/>
          <w:color w:val="000000"/>
          <w:sz w:val="36"/>
          <w:szCs w:val="32"/>
        </w:rPr>
      </w:pPr>
      <w:bookmarkStart w:id="0" w:name="_Toc275793877"/>
      <w:bookmarkStart w:id="1" w:name="_Toc275793919"/>
      <w:bookmarkStart w:id="2" w:name="_Toc275793995"/>
      <w:bookmarkStart w:id="3" w:name="_Toc275794091"/>
      <w:bookmarkStart w:id="4" w:name="_Toc275794165"/>
      <w:bookmarkStart w:id="5" w:name="_Toc290639732"/>
      <w:bookmarkStart w:id="6" w:name="_GoBack"/>
      <w:r w:rsidRPr="001418B3">
        <w:rPr>
          <w:rFonts w:ascii="楷体" w:eastAsia="楷体" w:hAnsi="楷体" w:cs="Arial" w:hint="eastAsia"/>
          <w:b/>
          <w:color w:val="000000"/>
          <w:sz w:val="36"/>
          <w:szCs w:val="32"/>
        </w:rPr>
        <w:t>华夏资本管理有限公司资产证券化业务</w:t>
      </w:r>
    </w:p>
    <w:p w14:paraId="03E934DC" w14:textId="77777777" w:rsidR="003D66B8" w:rsidRPr="00327DC1" w:rsidRDefault="00CF76EC" w:rsidP="009067B1">
      <w:pPr>
        <w:spacing w:line="276" w:lineRule="auto"/>
        <w:jc w:val="center"/>
        <w:rPr>
          <w:rFonts w:ascii="楷体" w:eastAsia="楷体" w:hAnsi="楷体"/>
          <w:b/>
          <w:sz w:val="36"/>
          <w:szCs w:val="32"/>
        </w:rPr>
      </w:pPr>
      <w:r w:rsidRPr="00327DC1">
        <w:rPr>
          <w:rFonts w:ascii="楷体" w:eastAsia="楷体" w:hAnsi="楷体" w:cs="Arial" w:hint="eastAsia"/>
          <w:b/>
          <w:color w:val="000000"/>
          <w:sz w:val="36"/>
          <w:szCs w:val="32"/>
        </w:rPr>
        <w:t>第三方机构</w:t>
      </w:r>
      <w:r w:rsidR="003D66B8" w:rsidRPr="00327DC1">
        <w:rPr>
          <w:rFonts w:ascii="楷体" w:eastAsia="楷体" w:hAnsi="楷体" w:hint="eastAsia"/>
          <w:b/>
          <w:sz w:val="36"/>
          <w:szCs w:val="32"/>
        </w:rPr>
        <w:t>服务</w:t>
      </w:r>
      <w:bookmarkEnd w:id="0"/>
      <w:bookmarkEnd w:id="1"/>
      <w:bookmarkEnd w:id="2"/>
      <w:bookmarkEnd w:id="3"/>
      <w:bookmarkEnd w:id="4"/>
      <w:bookmarkEnd w:id="5"/>
      <w:r w:rsidR="0011372F" w:rsidRPr="00327DC1">
        <w:rPr>
          <w:rFonts w:ascii="楷体" w:eastAsia="楷体" w:hAnsi="楷体" w:hint="eastAsia"/>
          <w:b/>
          <w:sz w:val="36"/>
          <w:szCs w:val="32"/>
        </w:rPr>
        <w:t>问卷</w:t>
      </w:r>
      <w:bookmarkEnd w:id="6"/>
    </w:p>
    <w:p w14:paraId="249D9BD6" w14:textId="77777777" w:rsidR="00A13201" w:rsidRPr="00327DC1" w:rsidRDefault="00A13201" w:rsidP="009067B1">
      <w:pPr>
        <w:spacing w:line="276" w:lineRule="auto"/>
        <w:jc w:val="center"/>
        <w:rPr>
          <w:rFonts w:ascii="楷体" w:eastAsia="楷体" w:hAnsi="楷体"/>
          <w:sz w:val="24"/>
          <w:szCs w:val="32"/>
        </w:rPr>
      </w:pPr>
      <w:r w:rsidRPr="00327DC1">
        <w:rPr>
          <w:rFonts w:ascii="楷体" w:eastAsia="楷体" w:hAnsi="楷体" w:hint="eastAsia"/>
          <w:b/>
          <w:color w:val="000000"/>
          <w:sz w:val="24"/>
          <w:szCs w:val="32"/>
        </w:rPr>
        <w:t>（适用于销售机构外的其他第三方机构）</w:t>
      </w:r>
    </w:p>
    <w:p w14:paraId="4D703842" w14:textId="77777777" w:rsidR="006A211E" w:rsidRDefault="006A211E" w:rsidP="009067B1">
      <w:pPr>
        <w:spacing w:line="276" w:lineRule="auto"/>
      </w:pPr>
    </w:p>
    <w:p w14:paraId="652B1BCF" w14:textId="77777777" w:rsidR="00327DC1" w:rsidRPr="00327DC1" w:rsidRDefault="00A13201" w:rsidP="009067B1">
      <w:pPr>
        <w:spacing w:line="276" w:lineRule="auto"/>
        <w:rPr>
          <w:rFonts w:ascii="楷体" w:eastAsia="楷体" w:hAnsi="楷体"/>
          <w:b/>
          <w:sz w:val="28"/>
          <w:szCs w:val="21"/>
        </w:rPr>
      </w:pPr>
      <w:bookmarkStart w:id="7" w:name="_Toc290639733"/>
      <w:r w:rsidRPr="00327DC1">
        <w:rPr>
          <w:rFonts w:ascii="楷体" w:eastAsia="楷体" w:hAnsi="楷体" w:hint="eastAsia"/>
          <w:b/>
          <w:sz w:val="28"/>
          <w:szCs w:val="21"/>
        </w:rPr>
        <w:t>1、</w:t>
      </w:r>
      <w:r w:rsidR="00327DC1">
        <w:rPr>
          <w:rFonts w:ascii="楷体" w:eastAsia="楷体" w:hAnsi="楷体" w:hint="eastAsia"/>
          <w:b/>
          <w:sz w:val="28"/>
          <w:szCs w:val="21"/>
        </w:rPr>
        <w:t>基本信息</w:t>
      </w:r>
      <w:r w:rsidR="00327DC1" w:rsidRPr="00327DC1">
        <w:rPr>
          <w:rFonts w:ascii="楷体" w:eastAsia="楷体" w:hAnsi="楷体"/>
          <w:b/>
          <w:sz w:val="28"/>
          <w:szCs w:val="21"/>
        </w:rPr>
        <w:t>变更情况</w:t>
      </w:r>
    </w:p>
    <w:p w14:paraId="41D6BA40" w14:textId="77777777" w:rsidR="00A13201" w:rsidRPr="00A13201" w:rsidRDefault="00A13201" w:rsidP="009067B1">
      <w:pPr>
        <w:spacing w:line="276" w:lineRule="auto"/>
        <w:rPr>
          <w:rFonts w:ascii="楷体" w:eastAsia="楷体" w:hAnsi="楷体"/>
          <w:sz w:val="24"/>
          <w:szCs w:val="21"/>
        </w:rPr>
      </w:pPr>
      <w:r w:rsidRPr="00A13201">
        <w:rPr>
          <w:rFonts w:ascii="楷体" w:eastAsia="楷体" w:hAnsi="楷体" w:hint="eastAsia"/>
          <w:sz w:val="24"/>
          <w:szCs w:val="21"/>
        </w:rPr>
        <w:t>贵机构于</w:t>
      </w:r>
      <w:r w:rsidRPr="00A13201">
        <w:rPr>
          <w:rFonts w:ascii="楷体" w:eastAsia="楷体" w:hAnsi="楷体"/>
          <w:sz w:val="24"/>
          <w:szCs w:val="21"/>
        </w:rPr>
        <w:t>【</w:t>
      </w:r>
      <w:r w:rsidR="007109E4">
        <w:rPr>
          <w:rFonts w:ascii="楷体" w:eastAsia="楷体" w:hAnsi="楷体" w:hint="eastAsia"/>
          <w:sz w:val="24"/>
          <w:szCs w:val="21"/>
        </w:rPr>
        <w:t>2019</w:t>
      </w:r>
      <w:r w:rsidRPr="00A13201">
        <w:rPr>
          <w:rFonts w:ascii="楷体" w:eastAsia="楷体" w:hAnsi="楷体"/>
          <w:sz w:val="24"/>
          <w:szCs w:val="21"/>
        </w:rPr>
        <w:t>】</w:t>
      </w:r>
      <w:r w:rsidRPr="00A13201">
        <w:rPr>
          <w:rFonts w:ascii="楷体" w:eastAsia="楷体" w:hAnsi="楷体" w:hint="eastAsia"/>
          <w:sz w:val="24"/>
          <w:szCs w:val="21"/>
        </w:rPr>
        <w:t>年</w:t>
      </w:r>
      <w:r w:rsidRPr="00A13201">
        <w:rPr>
          <w:rFonts w:ascii="楷体" w:eastAsia="楷体" w:hAnsi="楷体"/>
          <w:sz w:val="24"/>
          <w:szCs w:val="21"/>
        </w:rPr>
        <w:t>【</w:t>
      </w:r>
      <w:r w:rsidR="007109E4">
        <w:rPr>
          <w:rFonts w:ascii="楷体" w:eastAsia="楷体" w:hAnsi="楷体" w:hint="eastAsia"/>
          <w:sz w:val="24"/>
          <w:szCs w:val="21"/>
        </w:rPr>
        <w:t>12</w:t>
      </w:r>
      <w:r w:rsidRPr="00A13201">
        <w:rPr>
          <w:rFonts w:ascii="楷体" w:eastAsia="楷体" w:hAnsi="楷体"/>
          <w:sz w:val="24"/>
          <w:szCs w:val="21"/>
        </w:rPr>
        <w:t>】</w:t>
      </w:r>
      <w:r w:rsidRPr="00A13201">
        <w:rPr>
          <w:rFonts w:ascii="楷体" w:eastAsia="楷体" w:hAnsi="楷体" w:hint="eastAsia"/>
          <w:sz w:val="24"/>
          <w:szCs w:val="21"/>
        </w:rPr>
        <w:t>月</w:t>
      </w:r>
      <w:r w:rsidRPr="00A13201">
        <w:rPr>
          <w:rFonts w:ascii="楷体" w:eastAsia="楷体" w:hAnsi="楷体"/>
          <w:sz w:val="24"/>
          <w:szCs w:val="21"/>
        </w:rPr>
        <w:t>【</w:t>
      </w:r>
      <w:r w:rsidR="007109E4">
        <w:rPr>
          <w:rFonts w:ascii="楷体" w:eastAsia="楷体" w:hAnsi="楷体" w:hint="eastAsia"/>
          <w:sz w:val="24"/>
          <w:szCs w:val="21"/>
        </w:rPr>
        <w:t>26</w:t>
      </w:r>
      <w:r w:rsidRPr="00A13201">
        <w:rPr>
          <w:rFonts w:ascii="楷体" w:eastAsia="楷体" w:hAnsi="楷体"/>
          <w:sz w:val="24"/>
          <w:szCs w:val="21"/>
        </w:rPr>
        <w:t>】</w:t>
      </w:r>
      <w:r w:rsidRPr="00A13201">
        <w:rPr>
          <w:rFonts w:ascii="楷体" w:eastAsia="楷体" w:hAnsi="楷体" w:hint="eastAsia"/>
          <w:sz w:val="24"/>
          <w:szCs w:val="21"/>
        </w:rPr>
        <w:t>日</w:t>
      </w:r>
      <w:r w:rsidRPr="00A13201">
        <w:rPr>
          <w:rFonts w:ascii="楷体" w:eastAsia="楷体" w:hAnsi="楷体"/>
          <w:sz w:val="24"/>
          <w:szCs w:val="21"/>
        </w:rPr>
        <w:t>提供的</w:t>
      </w:r>
      <w:r w:rsidRPr="00A13201">
        <w:rPr>
          <w:rFonts w:ascii="楷体" w:eastAsia="楷体" w:hAnsi="楷体" w:hint="eastAsia"/>
          <w:sz w:val="24"/>
          <w:szCs w:val="21"/>
        </w:rPr>
        <w:t>尽职调查</w:t>
      </w:r>
      <w:r w:rsidRPr="00A13201">
        <w:rPr>
          <w:rFonts w:ascii="楷体" w:eastAsia="楷体" w:hAnsi="楷体"/>
          <w:sz w:val="24"/>
          <w:szCs w:val="21"/>
        </w:rPr>
        <w:t>问卷中所列信息</w:t>
      </w:r>
      <w:r w:rsidRPr="00A13201">
        <w:rPr>
          <w:rFonts w:ascii="楷体" w:eastAsia="楷体" w:hAnsi="楷体" w:hint="eastAsia"/>
          <w:sz w:val="24"/>
          <w:szCs w:val="21"/>
        </w:rPr>
        <w:t>有无</w:t>
      </w:r>
      <w:r w:rsidRPr="00A13201">
        <w:rPr>
          <w:rFonts w:ascii="楷体" w:eastAsia="楷体" w:hAnsi="楷体"/>
          <w:sz w:val="24"/>
          <w:szCs w:val="21"/>
        </w:rPr>
        <w:t>发生变化？如有</w:t>
      </w:r>
      <w:r w:rsidRPr="00A13201">
        <w:rPr>
          <w:rFonts w:ascii="楷体" w:eastAsia="楷体" w:hAnsi="楷体" w:hint="eastAsia"/>
          <w:sz w:val="24"/>
          <w:szCs w:val="21"/>
        </w:rPr>
        <w:t>，</w:t>
      </w:r>
      <w:r w:rsidR="00327DC1">
        <w:rPr>
          <w:rFonts w:ascii="楷体" w:eastAsia="楷体" w:hAnsi="楷体"/>
          <w:sz w:val="24"/>
          <w:szCs w:val="21"/>
        </w:rPr>
        <w:t>请</w:t>
      </w:r>
      <w:r w:rsidR="00327DC1">
        <w:rPr>
          <w:rFonts w:ascii="楷体" w:eastAsia="楷体" w:hAnsi="楷体" w:hint="eastAsia"/>
          <w:sz w:val="24"/>
          <w:szCs w:val="21"/>
        </w:rPr>
        <w:t>提供</w:t>
      </w:r>
      <w:r w:rsidR="00327DC1">
        <w:rPr>
          <w:rFonts w:ascii="楷体" w:eastAsia="楷体" w:hAnsi="楷体"/>
          <w:sz w:val="24"/>
          <w:szCs w:val="21"/>
        </w:rPr>
        <w:t>最新信息</w:t>
      </w:r>
      <w:r w:rsidR="00327DC1">
        <w:rPr>
          <w:rFonts w:ascii="楷体" w:eastAsia="楷体" w:hAnsi="楷体" w:hint="eastAsia"/>
          <w:sz w:val="24"/>
          <w:szCs w:val="21"/>
        </w:rPr>
        <w:t>及</w:t>
      </w:r>
      <w:r w:rsidRPr="00A13201">
        <w:rPr>
          <w:rFonts w:ascii="楷体" w:eastAsia="楷体" w:hAnsi="楷体"/>
          <w:sz w:val="24"/>
          <w:szCs w:val="21"/>
        </w:rPr>
        <w:t>相关材料（</w:t>
      </w:r>
      <w:r w:rsidRPr="00A13201">
        <w:rPr>
          <w:rFonts w:ascii="楷体" w:eastAsia="楷体" w:hAnsi="楷体" w:hint="eastAsia"/>
          <w:sz w:val="24"/>
          <w:szCs w:val="21"/>
        </w:rPr>
        <w:t>加盖</w:t>
      </w:r>
      <w:r w:rsidRPr="00A13201">
        <w:rPr>
          <w:rFonts w:ascii="楷体" w:eastAsia="楷体" w:hAnsi="楷体"/>
          <w:sz w:val="24"/>
          <w:szCs w:val="21"/>
        </w:rPr>
        <w:t>公章）</w:t>
      </w:r>
      <w:r w:rsidRPr="00A13201">
        <w:rPr>
          <w:rFonts w:ascii="楷体" w:eastAsia="楷体" w:hAnsi="楷体" w:hint="eastAsia"/>
          <w:sz w:val="24"/>
          <w:szCs w:val="21"/>
        </w:rPr>
        <w:t>。</w:t>
      </w:r>
    </w:p>
    <w:p w14:paraId="65B41239" w14:textId="77777777" w:rsidR="00A13201" w:rsidRPr="004F36E4" w:rsidRDefault="007109E4" w:rsidP="009067B1">
      <w:pPr>
        <w:spacing w:line="276" w:lineRule="auto"/>
        <w:rPr>
          <w:rFonts w:ascii="楷体" w:eastAsia="楷体" w:hAnsi="楷体"/>
          <w:sz w:val="24"/>
          <w:szCs w:val="21"/>
        </w:rPr>
      </w:pPr>
      <w:r w:rsidRPr="00080D17">
        <w:rPr>
          <w:rFonts w:ascii="楷体" w:eastAsia="楷体" w:hAnsi="楷体" w:hint="eastAsia"/>
          <w:sz w:val="24"/>
          <w:szCs w:val="21"/>
        </w:rPr>
        <w:t>营业执照及土地评估中介机构资信等级证书有更新</w:t>
      </w:r>
    </w:p>
    <w:p w14:paraId="482C00E7" w14:textId="77777777" w:rsidR="00327DC1" w:rsidRPr="00327DC1" w:rsidRDefault="00A13201" w:rsidP="009067B1">
      <w:pPr>
        <w:spacing w:line="276" w:lineRule="auto"/>
        <w:rPr>
          <w:rFonts w:ascii="楷体" w:eastAsia="楷体" w:hAnsi="楷体"/>
          <w:b/>
          <w:sz w:val="28"/>
          <w:szCs w:val="21"/>
        </w:rPr>
      </w:pPr>
      <w:r w:rsidRPr="00327DC1">
        <w:rPr>
          <w:rFonts w:ascii="楷体" w:eastAsia="楷体" w:hAnsi="楷体" w:hint="eastAsia"/>
          <w:b/>
          <w:sz w:val="28"/>
          <w:szCs w:val="21"/>
        </w:rPr>
        <w:t>2、</w:t>
      </w:r>
      <w:r w:rsidR="00327DC1" w:rsidRPr="00327DC1">
        <w:rPr>
          <w:rFonts w:ascii="楷体" w:eastAsia="楷体" w:hAnsi="楷体" w:hint="eastAsia"/>
          <w:b/>
          <w:sz w:val="28"/>
          <w:szCs w:val="21"/>
        </w:rPr>
        <w:t>机构</w:t>
      </w:r>
      <w:r w:rsidR="00327DC1" w:rsidRPr="00327DC1">
        <w:rPr>
          <w:rFonts w:ascii="楷体" w:eastAsia="楷体" w:hAnsi="楷体"/>
          <w:b/>
          <w:sz w:val="28"/>
          <w:szCs w:val="21"/>
        </w:rPr>
        <w:t>主要业务</w:t>
      </w:r>
      <w:r w:rsidR="00327DC1" w:rsidRPr="00327DC1">
        <w:rPr>
          <w:rFonts w:ascii="楷体" w:eastAsia="楷体" w:hAnsi="楷体" w:hint="eastAsia"/>
          <w:b/>
          <w:sz w:val="28"/>
          <w:szCs w:val="21"/>
        </w:rPr>
        <w:t>及</w:t>
      </w:r>
      <w:r w:rsidR="00327DC1" w:rsidRPr="00327DC1">
        <w:rPr>
          <w:rFonts w:ascii="楷体" w:eastAsia="楷体" w:hAnsi="楷体"/>
          <w:b/>
          <w:sz w:val="28"/>
          <w:szCs w:val="21"/>
        </w:rPr>
        <w:t>项目经验介绍</w:t>
      </w:r>
    </w:p>
    <w:p w14:paraId="5B2B82D8"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 xml:space="preserve">1.对公评估事业部 </w:t>
      </w:r>
    </w:p>
    <w:p w14:paraId="2F478C02" w14:textId="77777777" w:rsid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以融资为目的的房地产评估业务一直是我公司的核心业务之一，从事金融业务评估</w:t>
      </w:r>
      <w:r w:rsidRPr="004F36E4">
        <w:rPr>
          <w:rFonts w:ascii="楷体" w:eastAsia="楷体" w:hAnsi="楷体"/>
          <w:sz w:val="24"/>
          <w:szCs w:val="21"/>
        </w:rPr>
        <w:t xml:space="preserve"> 20</w:t>
      </w:r>
      <w:r w:rsidRPr="004F36E4">
        <w:rPr>
          <w:rFonts w:ascii="楷体" w:eastAsia="楷体" w:hAnsi="楷体" w:hint="eastAsia"/>
          <w:sz w:val="24"/>
          <w:szCs w:val="21"/>
        </w:rPr>
        <w:t>余年，作为房地产估价机构一级资质以及</w:t>
      </w:r>
      <w:r w:rsidRPr="004F36E4">
        <w:rPr>
          <w:rFonts w:ascii="楷体" w:eastAsia="楷体" w:hAnsi="楷体"/>
          <w:sz w:val="24"/>
          <w:szCs w:val="21"/>
        </w:rPr>
        <w:t xml:space="preserve"> A 级资信土地评估中介机构，在房地产评估金融业</w:t>
      </w:r>
      <w:r w:rsidRPr="004F36E4">
        <w:rPr>
          <w:rFonts w:ascii="楷体" w:eastAsia="楷体" w:hAnsi="楷体" w:hint="eastAsia"/>
          <w:sz w:val="24"/>
          <w:szCs w:val="21"/>
        </w:rPr>
        <w:t>务领域拥有丰富经验和资源，可在全国范围内承接估价业务。服务对象包括金融机构、大型房地产开发企业、中小企业以及个人。</w:t>
      </w:r>
    </w:p>
    <w:p w14:paraId="66D30603"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服务贯穿金融机构信贷资产管理的全流程：贷前可对抵押物进行抵押价值评估、经营权质押评估以及开发或经营性物业贷款评估；贷后对抵押物进行价值重估以及抵押物的价值动态监测、贷后监管；在处置环节，可对待处置房地产进行处置价值评估。我们还提供各类房地产价格评估业务，如为财务报告服务的房地产估价、企业各种经济活动涉及的房地产估价等，亦可协助金融机构与符合信贷条件的企业之间建立联系。积极提供国内新兴的各类资产证券化物业评估（证券化物业状况调查、现金流分析和价值评估）、住房租赁资产证券化（底层不动产</w:t>
      </w:r>
      <w:r w:rsidRPr="004F36E4">
        <w:rPr>
          <w:rFonts w:ascii="楷体" w:eastAsia="楷体" w:hAnsi="楷体" w:hint="eastAsia"/>
          <w:sz w:val="24"/>
          <w:szCs w:val="21"/>
        </w:rPr>
        <w:lastRenderedPageBreak/>
        <w:t>物业）评估、利用集体建设用地建设租赁住房试点中咨询评估服务。</w:t>
      </w:r>
    </w:p>
    <w:p w14:paraId="489A8066"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 xml:space="preserve">2.征收（拆迁）评估事业部 </w:t>
      </w:r>
    </w:p>
    <w:p w14:paraId="6A3CA4B1"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征收（拆迁）评估事业部主要根据棚改项目业务要求，结合被征收（拆迁）范围内基本情况，编制征收（拆迁）项目前期方案，为委托方进行动迁提供数据依据；同时，协助委托方协调各部门、各参与单位之间的关系，整体把控征收（拆迁）项目进程；并对项目进行全流程的管控，实现项目预期经济效益与社会效益目标。</w:t>
      </w:r>
    </w:p>
    <w:p w14:paraId="3386F9C3" w14:textId="77777777" w:rsidR="00D95489"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服务内容：征收、拆迁项目前期调查</w:t>
      </w:r>
      <w:r w:rsidRPr="004F36E4">
        <w:rPr>
          <w:rFonts w:ascii="楷体" w:eastAsia="楷体" w:hAnsi="楷体"/>
          <w:sz w:val="24"/>
          <w:szCs w:val="21"/>
        </w:rPr>
        <w:t>:调查地上物状况（房屋、附属物）、绘制房屋平面</w:t>
      </w:r>
      <w:r w:rsidRPr="004F36E4">
        <w:rPr>
          <w:rFonts w:ascii="楷体" w:eastAsia="楷体" w:hAnsi="楷体" w:hint="eastAsia"/>
          <w:sz w:val="24"/>
          <w:szCs w:val="21"/>
        </w:rPr>
        <w:t>示意图、拍摄影像资料、其他相关资料的收集、整理与分析。</w:t>
      </w:r>
      <w:r w:rsidRPr="004F36E4">
        <w:rPr>
          <w:rFonts w:ascii="楷体" w:eastAsia="楷体" w:hAnsi="楷体"/>
          <w:sz w:val="24"/>
          <w:szCs w:val="21"/>
        </w:rPr>
        <w:t xml:space="preserve"> </w:t>
      </w:r>
    </w:p>
    <w:p w14:paraId="5C28710D"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服务类型：房屋征收住宅（国有土地、集体土地）评估服务、 房屋征收非住宅（国有</w:t>
      </w:r>
      <w:r w:rsidRPr="004F36E4">
        <w:rPr>
          <w:rFonts w:ascii="楷体" w:eastAsia="楷体" w:hAnsi="楷体" w:hint="eastAsia"/>
          <w:sz w:val="24"/>
          <w:szCs w:val="21"/>
        </w:rPr>
        <w:t>土地、集体土地）评估服务、房屋征收补偿方案编制（调查房屋、土地权属状况、</w:t>
      </w:r>
      <w:r w:rsidRPr="004F36E4">
        <w:rPr>
          <w:rFonts w:ascii="楷体" w:eastAsia="楷体" w:hAnsi="楷体"/>
          <w:sz w:val="24"/>
          <w:szCs w:val="21"/>
        </w:rPr>
        <w:t xml:space="preserve"> 调查周</w:t>
      </w:r>
      <w:r w:rsidRPr="004F36E4">
        <w:rPr>
          <w:rFonts w:ascii="楷体" w:eastAsia="楷体" w:hAnsi="楷体" w:hint="eastAsia"/>
          <w:sz w:val="24"/>
          <w:szCs w:val="21"/>
        </w:rPr>
        <w:t>边项目情况及补偿标准、</w:t>
      </w:r>
      <w:r w:rsidRPr="004F36E4">
        <w:rPr>
          <w:rFonts w:ascii="楷体" w:eastAsia="楷体" w:hAnsi="楷体"/>
          <w:sz w:val="24"/>
          <w:szCs w:val="21"/>
        </w:rPr>
        <w:t xml:space="preserve"> 编制征收补偿方案）。</w:t>
      </w:r>
    </w:p>
    <w:p w14:paraId="1685D6F1"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 xml:space="preserve">3.综合评估事业部 </w:t>
      </w:r>
    </w:p>
    <w:p w14:paraId="27939F83"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综合评估事业部主要面向司法机关、国土、住建以及保障房建设行政管理部门、军队、税务机关等部门提供各类房地产价格评估及咨询业务，专业服务领域包括：作为最高人民法院、北京市高级人民法院司法鉴定名册入围机构，为公、检、法及仲裁机构提供司法鉴定服务；作为北京市规划和自然资源管理委员会土地出让、土地收储评估入围机构，受政府委托，提供土地招拍挂底价、土地收储价格、土地协议出让地价评估服务，以及编制土地一级开发实施方案等可行性研究及咨询服务。作为“北京市共有产权住房评估技术指引”的主编单位，承接了全市首批涉及多个区县的共有产权住房项目的销售均价、份额比例的评估工作，有力地配合了北京市共有产权住房项目的制度创新。更是在全国集体建设用地改革</w:t>
      </w:r>
      <w:r w:rsidRPr="004F36E4">
        <w:rPr>
          <w:rFonts w:ascii="楷体" w:eastAsia="楷体" w:hAnsi="楷体" w:hint="eastAsia"/>
          <w:sz w:val="24"/>
          <w:szCs w:val="21"/>
        </w:rPr>
        <w:lastRenderedPageBreak/>
        <w:t>试点——大兴区，完成了首个利用集体建设用地建设共有产权住房项目的销售均价评估项目。</w:t>
      </w:r>
    </w:p>
    <w:p w14:paraId="655B34C3"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 xml:space="preserve">4.零贷评估事业部 </w:t>
      </w:r>
    </w:p>
    <w:p w14:paraId="77040450"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零贷评估事业部致力于向商业银行申请个人住房贷款、个人消费贷款、个人经营性贷款等个人信贷业务的申请人，及中小企业经营贷款申请人提供优质的抵押物评估服务。同时，作为北京住房公积金管理中心的长期合作机构之一，负责为向北京住房公积金管理中心、北京市住房贷款担保中心申请个人住房担保贷款的个人提供抵押物审核评估服务。凭借对于房地产法律法规的全面掌握，通过数十万笔个人住房抵押贷款的评估，掌握的上万个楼盘资料，可以提供全方位、动态的权属审核服务，切实保证客户的财产权利。</w:t>
      </w:r>
    </w:p>
    <w:p w14:paraId="70266B58"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 xml:space="preserve">5.资产评估事业部（北京康正国际资产评估有限公司） </w:t>
      </w:r>
    </w:p>
    <w:p w14:paraId="0CF0F998" w14:textId="77777777" w:rsidR="00DC268D"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主要负责房地产及机器设备等单项资产评估、企业整体价值评估、无形资产评估（包括专利技术、非专利技术、商标及商誉、销售网络及人力资源、特许经营权等评估）、对企业进行以财务报告为目的的评估、投资项目可行性评估、撰写商业计划书；为公司改制、改组、收购、兼并清算等提供策划、咨询、评估方案；不动产及公司整体产权交易的策划、咨询、评估；公司融资咨询及资信等级评定、</w:t>
      </w:r>
      <w:r w:rsidRPr="004F36E4">
        <w:rPr>
          <w:rFonts w:ascii="楷体" w:eastAsia="楷体" w:hAnsi="楷体"/>
          <w:sz w:val="24"/>
          <w:szCs w:val="21"/>
        </w:rPr>
        <w:t xml:space="preserve"> 推荐投资项目及前期实施方案策划。</w:t>
      </w:r>
    </w:p>
    <w:p w14:paraId="13A401FB" w14:textId="77777777" w:rsidR="00D95489"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 xml:space="preserve">6.上海业务中心 </w:t>
      </w:r>
    </w:p>
    <w:p w14:paraId="15ECB1C9" w14:textId="77777777" w:rsidR="00DC268D"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2018 年 4 月，应市场发展需求，更好的为合作机构提供专业服务，我公司成立上海业</w:t>
      </w:r>
      <w:r w:rsidRPr="004F36E4">
        <w:rPr>
          <w:rFonts w:ascii="楷体" w:eastAsia="楷体" w:hAnsi="楷体" w:hint="eastAsia"/>
          <w:sz w:val="24"/>
          <w:szCs w:val="21"/>
        </w:rPr>
        <w:t>务中心，派遣公司副总经理主持上海业务中心工作，并为成立分公司做好前期准备工作。业务范围主要向金融机构、大型房地产开发企业提供各类房地产价格评估、项目贷款评估等服务，向非银金融机构提供第三方投后管理服</w:t>
      </w:r>
      <w:r w:rsidRPr="004F36E4">
        <w:rPr>
          <w:rFonts w:ascii="楷体" w:eastAsia="楷体" w:hAnsi="楷体" w:hint="eastAsia"/>
          <w:sz w:val="24"/>
          <w:szCs w:val="21"/>
        </w:rPr>
        <w:lastRenderedPageBreak/>
        <w:t>务。</w:t>
      </w:r>
      <w:r w:rsidRPr="004F36E4">
        <w:rPr>
          <w:rFonts w:ascii="楷体" w:eastAsia="楷体" w:hAnsi="楷体"/>
          <w:sz w:val="24"/>
          <w:szCs w:val="21"/>
        </w:rPr>
        <w:t xml:space="preserve"> </w:t>
      </w:r>
    </w:p>
    <w:p w14:paraId="346D16F4"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7.投后管理事业部（北京康信君安资产管理有限公司）</w:t>
      </w:r>
    </w:p>
    <w:p w14:paraId="58166B8D"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在保持传统评估领域优势的同时，我公司始终致力于产业链条的突破，以专注、创新、严谨的态度，坚持稳扎稳打式的发展，成为第三方投后管理的专业服务机构。在行业深度调整愈渐明晰的泛资产管理时代，为行业细分贡献了自己的一份力量，翻开了资产管理行业精细化分工的新篇章。并于</w:t>
      </w:r>
      <w:r w:rsidRPr="004F36E4">
        <w:rPr>
          <w:rFonts w:ascii="楷体" w:eastAsia="楷体" w:hAnsi="楷体"/>
          <w:sz w:val="24"/>
          <w:szCs w:val="21"/>
        </w:rPr>
        <w:t xml:space="preserve"> 2015 年正式成立北京康信君安资产管理有限公司，专门从事投后</w:t>
      </w:r>
      <w:r w:rsidRPr="004F36E4">
        <w:rPr>
          <w:rFonts w:ascii="楷体" w:eastAsia="楷体" w:hAnsi="楷体" w:hint="eastAsia"/>
          <w:sz w:val="24"/>
          <w:szCs w:val="21"/>
        </w:rPr>
        <w:t>管理、尽职调查、风险评估与排查、咨询策划、投融资顾问、资产管理等业务，迄今投后管理项目已涉及环京津、长三角、珠三角、中西部等多个热点城市，在管项目</w:t>
      </w:r>
      <w:r w:rsidRPr="004F36E4">
        <w:rPr>
          <w:rFonts w:ascii="楷体" w:eastAsia="楷体" w:hAnsi="楷体"/>
          <w:sz w:val="24"/>
          <w:szCs w:val="21"/>
        </w:rPr>
        <w:t xml:space="preserve"> 70 余个，信托 资金管理规模超 1000 亿元，资产管理规模突破 2000 亿元，已成为最优秀第三方监管机构之</w:t>
      </w:r>
      <w:r w:rsidRPr="004F36E4">
        <w:rPr>
          <w:rFonts w:ascii="楷体" w:eastAsia="楷体" w:hAnsi="楷体" w:hint="eastAsia"/>
          <w:sz w:val="24"/>
          <w:szCs w:val="21"/>
        </w:rPr>
        <w:t>一。</w:t>
      </w:r>
    </w:p>
    <w:p w14:paraId="6F28E30D" w14:textId="77777777" w:rsidR="004F36E4" w:rsidRPr="004F36E4" w:rsidRDefault="004F36E4" w:rsidP="009067B1">
      <w:pPr>
        <w:spacing w:line="276" w:lineRule="auto"/>
        <w:ind w:firstLineChars="200" w:firstLine="480"/>
        <w:rPr>
          <w:rFonts w:ascii="楷体" w:eastAsia="楷体" w:hAnsi="楷体"/>
          <w:sz w:val="24"/>
          <w:szCs w:val="21"/>
        </w:rPr>
      </w:pPr>
      <w:r w:rsidRPr="004F36E4">
        <w:rPr>
          <w:rFonts w:ascii="楷体" w:eastAsia="楷体" w:hAnsi="楷体"/>
          <w:sz w:val="24"/>
          <w:szCs w:val="21"/>
        </w:rPr>
        <w:t>8.代理代办事业部（北京康正宏信信息技术有限公司）</w:t>
      </w:r>
    </w:p>
    <w:p w14:paraId="0E9B59F8" w14:textId="77777777" w:rsidR="00327DC1" w:rsidRDefault="004F36E4" w:rsidP="009067B1">
      <w:pPr>
        <w:spacing w:line="276" w:lineRule="auto"/>
        <w:ind w:firstLineChars="200" w:firstLine="480"/>
        <w:rPr>
          <w:rFonts w:ascii="楷体" w:eastAsia="楷体" w:hAnsi="楷体"/>
          <w:sz w:val="24"/>
          <w:szCs w:val="21"/>
        </w:rPr>
      </w:pPr>
      <w:r w:rsidRPr="004F36E4">
        <w:rPr>
          <w:rFonts w:ascii="楷体" w:eastAsia="楷体" w:hAnsi="楷体" w:hint="eastAsia"/>
          <w:sz w:val="24"/>
          <w:szCs w:val="21"/>
        </w:rPr>
        <w:t>代理业务部从事公积金贷款代理业务始于</w:t>
      </w:r>
      <w:r w:rsidRPr="004F36E4">
        <w:rPr>
          <w:rFonts w:ascii="楷体" w:eastAsia="楷体" w:hAnsi="楷体"/>
          <w:sz w:val="24"/>
          <w:szCs w:val="21"/>
        </w:rPr>
        <w:t xml:space="preserve"> 2000 年 11 月份，是北京市首家由北京市住房</w:t>
      </w:r>
      <w:r w:rsidRPr="004F36E4">
        <w:rPr>
          <w:rFonts w:ascii="楷体" w:eastAsia="楷体" w:hAnsi="楷体" w:hint="eastAsia"/>
          <w:sz w:val="24"/>
          <w:szCs w:val="21"/>
        </w:rPr>
        <w:t>公积金管理中心认证的代理团队，迄今为止已经为</w:t>
      </w:r>
      <w:r w:rsidRPr="004F36E4">
        <w:rPr>
          <w:rFonts w:ascii="楷体" w:eastAsia="楷体" w:hAnsi="楷体"/>
          <w:sz w:val="24"/>
          <w:szCs w:val="21"/>
        </w:rPr>
        <w:t xml:space="preserve"> 90000 余位借款人圆满完成了代理服务，</w:t>
      </w:r>
      <w:r w:rsidRPr="004F36E4">
        <w:rPr>
          <w:rFonts w:ascii="楷体" w:eastAsia="楷体" w:hAnsi="楷体" w:hint="eastAsia"/>
          <w:sz w:val="24"/>
          <w:szCs w:val="21"/>
        </w:rPr>
        <w:t>与上百家商品房住宅项目、集资住宅项目、经济适用房项目的开发公司合作，都取得了显著的成就，获得良好的口碑。顺应市场发展需求，代理业务部增设销售代理、交易代理、转移登记代理、抵押登记代理等业务，提供全面、优质、专业的服务，成为北京市房地产中介机构中的佼佼者。</w:t>
      </w:r>
    </w:p>
    <w:p w14:paraId="78D73676" w14:textId="77777777" w:rsidR="00327DC1" w:rsidRDefault="00327DC1" w:rsidP="009067B1">
      <w:pPr>
        <w:spacing w:line="276" w:lineRule="auto"/>
        <w:rPr>
          <w:rFonts w:ascii="楷体" w:eastAsia="楷体" w:hAnsi="楷体"/>
          <w:b/>
          <w:sz w:val="28"/>
          <w:szCs w:val="21"/>
        </w:rPr>
      </w:pPr>
      <w:r w:rsidRPr="00327DC1">
        <w:rPr>
          <w:rFonts w:ascii="楷体" w:eastAsia="楷体" w:hAnsi="楷体" w:hint="eastAsia"/>
          <w:b/>
          <w:sz w:val="28"/>
          <w:szCs w:val="21"/>
        </w:rPr>
        <w:t>3、服务</w:t>
      </w:r>
      <w:r w:rsidRPr="00327DC1">
        <w:rPr>
          <w:rFonts w:ascii="楷体" w:eastAsia="楷体" w:hAnsi="楷体"/>
          <w:b/>
          <w:sz w:val="28"/>
          <w:szCs w:val="21"/>
        </w:rPr>
        <w:t>团队情况</w:t>
      </w:r>
    </w:p>
    <w:p w14:paraId="735155FC" w14:textId="77777777" w:rsidR="00327DC1" w:rsidRDefault="00327DC1" w:rsidP="009067B1">
      <w:pPr>
        <w:spacing w:afterLines="50" w:after="156" w:line="276" w:lineRule="auto"/>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本项目服务团队人员情况</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19"/>
        <w:gridCol w:w="1186"/>
        <w:gridCol w:w="1985"/>
        <w:gridCol w:w="1842"/>
        <w:gridCol w:w="1985"/>
      </w:tblGrid>
      <w:tr w:rsidR="00327DC1" w:rsidRPr="006B3B55" w14:paraId="2DCEDE91" w14:textId="77777777" w:rsidTr="00E52194">
        <w:trPr>
          <w:cantSplit/>
          <w:jc w:val="center"/>
        </w:trPr>
        <w:tc>
          <w:tcPr>
            <w:tcW w:w="1219" w:type="dxa"/>
            <w:vAlign w:val="center"/>
          </w:tcPr>
          <w:p w14:paraId="125C8DF9" w14:textId="77777777" w:rsidR="00327DC1" w:rsidRPr="006B3B55" w:rsidRDefault="00327DC1" w:rsidP="009067B1">
            <w:pPr>
              <w:spacing w:line="276" w:lineRule="auto"/>
              <w:jc w:val="center"/>
              <w:rPr>
                <w:rFonts w:ascii="楷体" w:eastAsia="楷体" w:hAnsi="楷体"/>
                <w:b/>
                <w:sz w:val="24"/>
                <w:szCs w:val="24"/>
              </w:rPr>
            </w:pPr>
            <w:r w:rsidRPr="006B3B55">
              <w:rPr>
                <w:rFonts w:ascii="楷体" w:eastAsia="楷体" w:hAnsi="楷体" w:cs="宋体" w:hint="eastAsia"/>
                <w:b/>
                <w:color w:val="000000"/>
                <w:kern w:val="0"/>
                <w:sz w:val="24"/>
                <w:szCs w:val="24"/>
              </w:rPr>
              <w:t>姓名</w:t>
            </w:r>
          </w:p>
        </w:tc>
        <w:tc>
          <w:tcPr>
            <w:tcW w:w="1186" w:type="dxa"/>
            <w:vAlign w:val="center"/>
          </w:tcPr>
          <w:p w14:paraId="03BF52D1" w14:textId="77777777" w:rsidR="00327DC1" w:rsidRPr="006B3B55" w:rsidRDefault="00327DC1" w:rsidP="009067B1">
            <w:pPr>
              <w:spacing w:line="276" w:lineRule="auto"/>
              <w:jc w:val="center"/>
              <w:rPr>
                <w:rFonts w:ascii="楷体" w:eastAsia="楷体" w:hAnsi="楷体"/>
                <w:b/>
                <w:sz w:val="24"/>
                <w:szCs w:val="24"/>
              </w:rPr>
            </w:pPr>
            <w:r w:rsidRPr="006B3B55">
              <w:rPr>
                <w:rFonts w:ascii="楷体" w:eastAsia="楷体" w:hAnsi="楷体" w:hint="eastAsia"/>
                <w:b/>
                <w:sz w:val="24"/>
                <w:szCs w:val="24"/>
              </w:rPr>
              <w:t>学历</w:t>
            </w:r>
          </w:p>
        </w:tc>
        <w:tc>
          <w:tcPr>
            <w:tcW w:w="1985" w:type="dxa"/>
            <w:vAlign w:val="center"/>
          </w:tcPr>
          <w:p w14:paraId="5DD8C8BB" w14:textId="77777777" w:rsidR="00327DC1" w:rsidRPr="006B3B55" w:rsidRDefault="00327DC1" w:rsidP="009067B1">
            <w:pPr>
              <w:spacing w:line="276" w:lineRule="auto"/>
              <w:jc w:val="center"/>
              <w:rPr>
                <w:rFonts w:ascii="楷体" w:eastAsia="楷体" w:hAnsi="楷体"/>
                <w:b/>
                <w:sz w:val="24"/>
                <w:szCs w:val="24"/>
              </w:rPr>
            </w:pPr>
            <w:r w:rsidRPr="006B3B55">
              <w:rPr>
                <w:rFonts w:ascii="楷体" w:eastAsia="楷体" w:hAnsi="楷体" w:hint="eastAsia"/>
                <w:b/>
                <w:sz w:val="24"/>
                <w:szCs w:val="24"/>
              </w:rPr>
              <w:t>专业背景</w:t>
            </w:r>
          </w:p>
        </w:tc>
        <w:tc>
          <w:tcPr>
            <w:tcW w:w="1842" w:type="dxa"/>
            <w:vAlign w:val="center"/>
          </w:tcPr>
          <w:p w14:paraId="60999F99" w14:textId="77777777" w:rsidR="00327DC1" w:rsidRPr="006B3B55" w:rsidRDefault="00327DC1" w:rsidP="009067B1">
            <w:pPr>
              <w:spacing w:line="276" w:lineRule="auto"/>
              <w:jc w:val="center"/>
              <w:rPr>
                <w:rFonts w:ascii="楷体" w:eastAsia="楷体" w:hAnsi="楷体"/>
                <w:b/>
                <w:sz w:val="24"/>
                <w:szCs w:val="24"/>
              </w:rPr>
            </w:pPr>
            <w:r w:rsidRPr="006B3B55">
              <w:rPr>
                <w:rFonts w:ascii="楷体" w:eastAsia="楷体" w:hAnsi="楷体" w:hint="eastAsia"/>
                <w:b/>
                <w:sz w:val="24"/>
                <w:szCs w:val="24"/>
              </w:rPr>
              <w:t>从事工作年限</w:t>
            </w:r>
          </w:p>
        </w:tc>
        <w:tc>
          <w:tcPr>
            <w:tcW w:w="1985" w:type="dxa"/>
            <w:vAlign w:val="center"/>
          </w:tcPr>
          <w:p w14:paraId="008C9F7B" w14:textId="77777777" w:rsidR="00327DC1" w:rsidRPr="006B3B55" w:rsidRDefault="00327DC1" w:rsidP="009067B1">
            <w:pPr>
              <w:spacing w:line="276" w:lineRule="auto"/>
              <w:jc w:val="center"/>
              <w:rPr>
                <w:rFonts w:ascii="楷体" w:eastAsia="楷体" w:hAnsi="楷体"/>
                <w:b/>
                <w:sz w:val="24"/>
                <w:szCs w:val="24"/>
              </w:rPr>
            </w:pPr>
            <w:r w:rsidRPr="006B3B55">
              <w:rPr>
                <w:rFonts w:ascii="楷体" w:eastAsia="楷体" w:hAnsi="楷体" w:hint="eastAsia"/>
                <w:b/>
                <w:sz w:val="24"/>
                <w:szCs w:val="24"/>
              </w:rPr>
              <w:t>项目分工</w:t>
            </w:r>
          </w:p>
        </w:tc>
      </w:tr>
      <w:tr w:rsidR="007109E4" w:rsidRPr="006B3B55" w14:paraId="570DB0FE" w14:textId="77777777" w:rsidTr="00D95489">
        <w:trPr>
          <w:cantSplit/>
          <w:trHeight w:val="170"/>
          <w:jc w:val="center"/>
        </w:trPr>
        <w:tc>
          <w:tcPr>
            <w:tcW w:w="1219" w:type="dxa"/>
            <w:vAlign w:val="center"/>
          </w:tcPr>
          <w:p w14:paraId="743D32F2" w14:textId="77777777" w:rsidR="007109E4" w:rsidRPr="006B3B55" w:rsidRDefault="007109E4" w:rsidP="009067B1">
            <w:pPr>
              <w:spacing w:line="276" w:lineRule="auto"/>
              <w:jc w:val="center"/>
              <w:rPr>
                <w:rFonts w:ascii="楷体" w:eastAsia="楷体" w:hAnsi="楷体"/>
                <w:sz w:val="24"/>
                <w:szCs w:val="24"/>
              </w:rPr>
            </w:pPr>
            <w:r w:rsidRPr="00883869">
              <w:rPr>
                <w:rFonts w:ascii="楷体" w:eastAsia="楷体" w:hAnsi="楷体" w:hint="eastAsia"/>
                <w:smallCaps/>
                <w:sz w:val="22"/>
                <w:lang w:bidi="en-US"/>
              </w:rPr>
              <w:t>王鹏</w:t>
            </w:r>
          </w:p>
        </w:tc>
        <w:tc>
          <w:tcPr>
            <w:tcW w:w="1186" w:type="dxa"/>
            <w:vAlign w:val="center"/>
          </w:tcPr>
          <w:p w14:paraId="6AD86430"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本科</w:t>
            </w:r>
          </w:p>
        </w:tc>
        <w:tc>
          <w:tcPr>
            <w:tcW w:w="1985" w:type="dxa"/>
            <w:vAlign w:val="center"/>
          </w:tcPr>
          <w:p w14:paraId="0A8867D2"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经济信息管理</w:t>
            </w:r>
          </w:p>
        </w:tc>
        <w:tc>
          <w:tcPr>
            <w:tcW w:w="1842" w:type="dxa"/>
            <w:vAlign w:val="center"/>
          </w:tcPr>
          <w:p w14:paraId="2E03A9CC"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2</w:t>
            </w:r>
            <w:r>
              <w:rPr>
                <w:rFonts w:ascii="楷体" w:eastAsia="楷体" w:hAnsi="楷体" w:hint="eastAsia"/>
                <w:smallCaps/>
                <w:sz w:val="22"/>
                <w:lang w:bidi="en-US"/>
              </w:rPr>
              <w:t>2</w:t>
            </w:r>
            <w:r w:rsidRPr="00004716">
              <w:rPr>
                <w:rFonts w:ascii="楷体" w:eastAsia="楷体" w:hAnsi="楷体" w:hint="eastAsia"/>
                <w:smallCaps/>
                <w:sz w:val="22"/>
                <w:lang w:bidi="en-US"/>
              </w:rPr>
              <w:t>年</w:t>
            </w:r>
          </w:p>
        </w:tc>
        <w:tc>
          <w:tcPr>
            <w:tcW w:w="1985" w:type="dxa"/>
            <w:vAlign w:val="center"/>
          </w:tcPr>
          <w:p w14:paraId="5D95CE06"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smallCaps/>
                <w:sz w:val="22"/>
                <w:lang w:bidi="en-US"/>
              </w:rPr>
              <w:t>项目牵头人</w:t>
            </w:r>
          </w:p>
        </w:tc>
      </w:tr>
      <w:tr w:rsidR="007109E4" w:rsidRPr="006B3B55" w14:paraId="37D1F657" w14:textId="77777777" w:rsidTr="004B67CB">
        <w:trPr>
          <w:cantSplit/>
          <w:trHeight w:val="416"/>
          <w:jc w:val="center"/>
        </w:trPr>
        <w:tc>
          <w:tcPr>
            <w:tcW w:w="1219" w:type="dxa"/>
            <w:vAlign w:val="center"/>
          </w:tcPr>
          <w:p w14:paraId="434BE0EE"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smallCaps/>
                <w:sz w:val="22"/>
                <w:lang w:bidi="en-US"/>
              </w:rPr>
              <w:lastRenderedPageBreak/>
              <w:t>刘俊财</w:t>
            </w:r>
          </w:p>
        </w:tc>
        <w:tc>
          <w:tcPr>
            <w:tcW w:w="1186" w:type="dxa"/>
            <w:vAlign w:val="center"/>
          </w:tcPr>
          <w:p w14:paraId="5100F070"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研究生</w:t>
            </w:r>
          </w:p>
        </w:tc>
        <w:tc>
          <w:tcPr>
            <w:tcW w:w="1985" w:type="dxa"/>
            <w:vAlign w:val="center"/>
          </w:tcPr>
          <w:p w14:paraId="2C14DAB2"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经济法</w:t>
            </w:r>
          </w:p>
        </w:tc>
        <w:tc>
          <w:tcPr>
            <w:tcW w:w="1842" w:type="dxa"/>
            <w:vAlign w:val="center"/>
          </w:tcPr>
          <w:p w14:paraId="3716A89F"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2</w:t>
            </w:r>
            <w:r>
              <w:rPr>
                <w:rFonts w:ascii="楷体" w:eastAsia="楷体" w:hAnsi="楷体" w:hint="eastAsia"/>
                <w:smallCaps/>
                <w:sz w:val="22"/>
                <w:lang w:bidi="en-US"/>
              </w:rPr>
              <w:t>4</w:t>
            </w:r>
            <w:r w:rsidRPr="00004716">
              <w:rPr>
                <w:rFonts w:ascii="楷体" w:eastAsia="楷体" w:hAnsi="楷体" w:hint="eastAsia"/>
                <w:smallCaps/>
                <w:sz w:val="22"/>
                <w:lang w:bidi="en-US"/>
              </w:rPr>
              <w:t>年</w:t>
            </w:r>
          </w:p>
        </w:tc>
        <w:tc>
          <w:tcPr>
            <w:tcW w:w="1985" w:type="dxa"/>
            <w:vAlign w:val="center"/>
          </w:tcPr>
          <w:p w14:paraId="7B4F99F3"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项目风险把控</w:t>
            </w:r>
          </w:p>
        </w:tc>
      </w:tr>
      <w:tr w:rsidR="007109E4" w:rsidRPr="006B3B55" w14:paraId="1E529B53" w14:textId="77777777" w:rsidTr="00D95489">
        <w:trPr>
          <w:cantSplit/>
          <w:trHeight w:val="170"/>
          <w:jc w:val="center"/>
        </w:trPr>
        <w:tc>
          <w:tcPr>
            <w:tcW w:w="1219" w:type="dxa"/>
            <w:vAlign w:val="center"/>
          </w:tcPr>
          <w:p w14:paraId="0CE43336" w14:textId="77777777" w:rsidR="007109E4" w:rsidRPr="006B3B55" w:rsidRDefault="007109E4" w:rsidP="009067B1">
            <w:pPr>
              <w:spacing w:line="276" w:lineRule="auto"/>
              <w:jc w:val="center"/>
              <w:rPr>
                <w:rFonts w:ascii="楷体" w:eastAsia="楷体" w:hAnsi="楷体"/>
                <w:sz w:val="24"/>
                <w:szCs w:val="24"/>
              </w:rPr>
            </w:pPr>
            <w:r w:rsidRPr="00200446">
              <w:rPr>
                <w:rFonts w:ascii="楷体" w:eastAsia="楷体" w:hAnsi="楷体"/>
                <w:smallCaps/>
                <w:sz w:val="22"/>
                <w:lang w:bidi="en-US"/>
              </w:rPr>
              <w:t>崔锴</w:t>
            </w:r>
          </w:p>
        </w:tc>
        <w:tc>
          <w:tcPr>
            <w:tcW w:w="1186" w:type="dxa"/>
            <w:vAlign w:val="center"/>
          </w:tcPr>
          <w:p w14:paraId="298D5CA9"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本科</w:t>
            </w:r>
          </w:p>
        </w:tc>
        <w:tc>
          <w:tcPr>
            <w:tcW w:w="1985" w:type="dxa"/>
            <w:vAlign w:val="center"/>
          </w:tcPr>
          <w:p w14:paraId="2F288228"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管理工程</w:t>
            </w:r>
          </w:p>
        </w:tc>
        <w:tc>
          <w:tcPr>
            <w:tcW w:w="1842" w:type="dxa"/>
            <w:vAlign w:val="center"/>
          </w:tcPr>
          <w:p w14:paraId="40160C4D"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1</w:t>
            </w:r>
            <w:r>
              <w:rPr>
                <w:rFonts w:ascii="楷体" w:eastAsia="楷体" w:hAnsi="楷体" w:hint="eastAsia"/>
                <w:smallCaps/>
                <w:sz w:val="22"/>
                <w:lang w:bidi="en-US"/>
              </w:rPr>
              <w:t>8</w:t>
            </w:r>
            <w:r w:rsidRPr="00004716">
              <w:rPr>
                <w:rFonts w:ascii="楷体" w:eastAsia="楷体" w:hAnsi="楷体" w:hint="eastAsia"/>
                <w:smallCaps/>
                <w:sz w:val="22"/>
                <w:lang w:bidi="en-US"/>
              </w:rPr>
              <w:t>年</w:t>
            </w:r>
          </w:p>
        </w:tc>
        <w:tc>
          <w:tcPr>
            <w:tcW w:w="1985" w:type="dxa"/>
            <w:vAlign w:val="center"/>
          </w:tcPr>
          <w:p w14:paraId="28E2C2A9"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smallCaps/>
                <w:sz w:val="22"/>
                <w:lang w:bidi="en-US"/>
              </w:rPr>
              <w:t>项目审核</w:t>
            </w:r>
          </w:p>
        </w:tc>
      </w:tr>
      <w:tr w:rsidR="007109E4" w:rsidRPr="006B3B55" w14:paraId="0A0EC48D" w14:textId="77777777" w:rsidTr="00D95489">
        <w:trPr>
          <w:cantSplit/>
          <w:trHeight w:val="170"/>
          <w:jc w:val="center"/>
        </w:trPr>
        <w:tc>
          <w:tcPr>
            <w:tcW w:w="1219" w:type="dxa"/>
            <w:vAlign w:val="center"/>
          </w:tcPr>
          <w:p w14:paraId="621D6F08"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smallCaps/>
                <w:sz w:val="22"/>
                <w:lang w:bidi="en-US"/>
              </w:rPr>
              <w:t>郑燚</w:t>
            </w:r>
          </w:p>
        </w:tc>
        <w:tc>
          <w:tcPr>
            <w:tcW w:w="1186" w:type="dxa"/>
            <w:vAlign w:val="center"/>
          </w:tcPr>
          <w:p w14:paraId="1E39625F" w14:textId="77777777" w:rsidR="007109E4" w:rsidRPr="006B3B55" w:rsidRDefault="007109E4" w:rsidP="009067B1">
            <w:pPr>
              <w:spacing w:line="276" w:lineRule="auto"/>
              <w:jc w:val="center"/>
              <w:rPr>
                <w:rFonts w:ascii="楷体" w:eastAsia="楷体" w:hAnsi="楷体"/>
                <w:sz w:val="24"/>
                <w:szCs w:val="24"/>
              </w:rPr>
            </w:pPr>
            <w:r w:rsidRPr="00004716">
              <w:rPr>
                <w:rFonts w:ascii="楷体" w:eastAsia="楷体" w:hAnsi="楷体" w:hint="eastAsia"/>
              </w:rPr>
              <w:t>本科</w:t>
            </w:r>
          </w:p>
        </w:tc>
        <w:tc>
          <w:tcPr>
            <w:tcW w:w="1985" w:type="dxa"/>
            <w:vAlign w:val="center"/>
          </w:tcPr>
          <w:p w14:paraId="1A7F8F89"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土木工程</w:t>
            </w:r>
          </w:p>
        </w:tc>
        <w:tc>
          <w:tcPr>
            <w:tcW w:w="1842" w:type="dxa"/>
            <w:vAlign w:val="center"/>
          </w:tcPr>
          <w:p w14:paraId="2AB23703"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17年</w:t>
            </w:r>
          </w:p>
        </w:tc>
        <w:tc>
          <w:tcPr>
            <w:tcW w:w="1985" w:type="dxa"/>
            <w:vAlign w:val="center"/>
          </w:tcPr>
          <w:p w14:paraId="11F5496E"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项目经理</w:t>
            </w:r>
          </w:p>
        </w:tc>
      </w:tr>
      <w:tr w:rsidR="007109E4" w:rsidRPr="006B3B55" w14:paraId="79ED80AF" w14:textId="77777777" w:rsidTr="00D95489">
        <w:trPr>
          <w:cantSplit/>
          <w:trHeight w:val="170"/>
          <w:jc w:val="center"/>
        </w:trPr>
        <w:tc>
          <w:tcPr>
            <w:tcW w:w="1219" w:type="dxa"/>
            <w:vAlign w:val="center"/>
          </w:tcPr>
          <w:p w14:paraId="7397028D"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韩佳睿</w:t>
            </w:r>
          </w:p>
        </w:tc>
        <w:tc>
          <w:tcPr>
            <w:tcW w:w="1186" w:type="dxa"/>
            <w:vAlign w:val="center"/>
          </w:tcPr>
          <w:p w14:paraId="0349D74F"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本科</w:t>
            </w:r>
          </w:p>
        </w:tc>
        <w:tc>
          <w:tcPr>
            <w:tcW w:w="1985" w:type="dxa"/>
            <w:vAlign w:val="center"/>
          </w:tcPr>
          <w:p w14:paraId="42D59D62"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数学与应用数学</w:t>
            </w:r>
          </w:p>
        </w:tc>
        <w:tc>
          <w:tcPr>
            <w:tcW w:w="1842" w:type="dxa"/>
            <w:vAlign w:val="center"/>
          </w:tcPr>
          <w:p w14:paraId="18038E79"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6年</w:t>
            </w:r>
          </w:p>
        </w:tc>
        <w:tc>
          <w:tcPr>
            <w:tcW w:w="1985" w:type="dxa"/>
            <w:vAlign w:val="center"/>
          </w:tcPr>
          <w:p w14:paraId="5B7D8894" w14:textId="77777777" w:rsidR="007109E4" w:rsidRPr="006B3B55" w:rsidRDefault="007109E4" w:rsidP="009067B1">
            <w:pPr>
              <w:spacing w:line="276" w:lineRule="auto"/>
              <w:jc w:val="center"/>
              <w:rPr>
                <w:rFonts w:ascii="楷体" w:eastAsia="楷体" w:hAnsi="楷体"/>
                <w:sz w:val="24"/>
                <w:szCs w:val="24"/>
              </w:rPr>
            </w:pPr>
            <w:r>
              <w:rPr>
                <w:rFonts w:ascii="楷体" w:eastAsia="楷体" w:hAnsi="楷体" w:hint="eastAsia"/>
              </w:rPr>
              <w:t>项目现场勘查、测算及报告撰写</w:t>
            </w:r>
          </w:p>
        </w:tc>
      </w:tr>
    </w:tbl>
    <w:p w14:paraId="276EC17F" w14:textId="77777777" w:rsidR="00327DC1" w:rsidRDefault="00327DC1" w:rsidP="009067B1">
      <w:pPr>
        <w:spacing w:beforeLines="50" w:before="156" w:line="276" w:lineRule="auto"/>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r>
        <w:rPr>
          <w:rFonts w:ascii="楷体" w:eastAsia="楷体" w:hAnsi="楷体" w:hint="eastAsia"/>
          <w:sz w:val="24"/>
          <w:szCs w:val="24"/>
        </w:rPr>
        <w:t>、</w:t>
      </w:r>
      <w:r w:rsidRPr="006B3B55">
        <w:rPr>
          <w:rFonts w:ascii="楷体" w:eastAsia="楷体" w:hAnsi="楷体" w:hint="eastAsia"/>
          <w:sz w:val="24"/>
          <w:szCs w:val="24"/>
        </w:rPr>
        <w:t>贵机构高级管理人员和本项目经办人员是否存在与本项目相关主体有关联关系的情况？</w:t>
      </w:r>
    </w:p>
    <w:p w14:paraId="5F01EBCB" w14:textId="77777777" w:rsidR="00327DC1" w:rsidRDefault="007109E4" w:rsidP="009067B1">
      <w:pPr>
        <w:spacing w:line="276" w:lineRule="auto"/>
        <w:ind w:firstLineChars="200" w:firstLine="440"/>
        <w:rPr>
          <w:rFonts w:ascii="楷体" w:eastAsia="楷体" w:hAnsi="楷体"/>
          <w:smallCaps/>
          <w:sz w:val="22"/>
          <w:szCs w:val="21"/>
          <w:lang w:bidi="en-US"/>
        </w:rPr>
      </w:pPr>
      <w:r w:rsidRPr="00B24EF7">
        <w:rPr>
          <w:rFonts w:ascii="楷体" w:eastAsia="楷体" w:hAnsi="楷体" w:hint="eastAsia"/>
          <w:smallCaps/>
          <w:sz w:val="22"/>
          <w:szCs w:val="21"/>
          <w:lang w:bidi="en-US"/>
        </w:rPr>
        <w:t>不适用</w:t>
      </w:r>
    </w:p>
    <w:p w14:paraId="67BFAF99" w14:textId="77777777" w:rsidR="00327DC1" w:rsidRPr="00327DC1" w:rsidRDefault="00327DC1" w:rsidP="009067B1">
      <w:pPr>
        <w:spacing w:line="276" w:lineRule="auto"/>
        <w:rPr>
          <w:rFonts w:ascii="楷体" w:eastAsia="楷体" w:hAnsi="楷体"/>
          <w:b/>
          <w:sz w:val="28"/>
          <w:szCs w:val="21"/>
        </w:rPr>
      </w:pPr>
      <w:r w:rsidRPr="00327DC1">
        <w:rPr>
          <w:rFonts w:ascii="楷体" w:eastAsia="楷体" w:hAnsi="楷体" w:hint="eastAsia"/>
          <w:b/>
          <w:sz w:val="28"/>
          <w:szCs w:val="24"/>
        </w:rPr>
        <w:t>4、</w:t>
      </w:r>
      <w:r w:rsidRPr="00327DC1">
        <w:rPr>
          <w:rFonts w:ascii="楷体" w:eastAsia="楷体" w:hAnsi="楷体"/>
          <w:b/>
          <w:sz w:val="28"/>
          <w:szCs w:val="24"/>
        </w:rPr>
        <w:t>服务内容</w:t>
      </w:r>
      <w:r>
        <w:rPr>
          <w:rFonts w:ascii="楷体" w:eastAsia="楷体" w:hAnsi="楷体" w:hint="eastAsia"/>
          <w:b/>
          <w:sz w:val="28"/>
          <w:szCs w:val="24"/>
        </w:rPr>
        <w:t>及</w:t>
      </w:r>
      <w:r>
        <w:rPr>
          <w:rFonts w:ascii="楷体" w:eastAsia="楷体" w:hAnsi="楷体"/>
          <w:b/>
          <w:sz w:val="28"/>
          <w:szCs w:val="24"/>
        </w:rPr>
        <w:t>报价</w:t>
      </w:r>
    </w:p>
    <w:p w14:paraId="3FC06D27" w14:textId="77777777" w:rsidR="00327DC1" w:rsidRDefault="00327DC1" w:rsidP="009067B1">
      <w:pPr>
        <w:spacing w:line="276" w:lineRule="auto"/>
        <w:rPr>
          <w:rFonts w:ascii="楷体" w:eastAsia="楷体" w:hAnsi="楷体"/>
          <w:sz w:val="24"/>
          <w:szCs w:val="21"/>
        </w:rPr>
      </w:pPr>
      <w:r>
        <w:rPr>
          <w:rFonts w:ascii="楷体" w:eastAsia="楷体" w:hAnsi="楷体" w:hint="eastAsia"/>
          <w:sz w:val="24"/>
          <w:szCs w:val="21"/>
        </w:rPr>
        <w:t>4</w:t>
      </w:r>
      <w:r>
        <w:rPr>
          <w:rFonts w:ascii="楷体" w:eastAsia="楷体" w:hAnsi="楷体"/>
          <w:sz w:val="24"/>
          <w:szCs w:val="21"/>
        </w:rPr>
        <w:t>-1</w:t>
      </w:r>
      <w:r>
        <w:rPr>
          <w:rFonts w:ascii="楷体" w:eastAsia="楷体" w:hAnsi="楷体" w:hint="eastAsia"/>
          <w:sz w:val="24"/>
          <w:szCs w:val="21"/>
        </w:rPr>
        <w:t>、</w:t>
      </w:r>
      <w:r w:rsidR="00222E72" w:rsidRPr="00A13201">
        <w:rPr>
          <w:rFonts w:ascii="楷体" w:eastAsia="楷体" w:hAnsi="楷体" w:hint="eastAsia"/>
          <w:sz w:val="24"/>
          <w:szCs w:val="21"/>
        </w:rPr>
        <w:t>服务团队过往是否有提供类似项目的经验？</w:t>
      </w:r>
      <w:r w:rsidR="003D66B8" w:rsidRPr="00A13201">
        <w:rPr>
          <w:rFonts w:ascii="楷体" w:eastAsia="楷体" w:hAnsi="楷体" w:hint="eastAsia"/>
          <w:sz w:val="24"/>
          <w:szCs w:val="21"/>
        </w:rPr>
        <w:t>贵机构认为本次委托事项的重点和难点是什么？</w:t>
      </w:r>
      <w:r w:rsidR="00222E72" w:rsidDel="00222E72">
        <w:rPr>
          <w:rFonts w:ascii="楷体" w:eastAsia="楷体" w:hAnsi="楷体"/>
          <w:sz w:val="24"/>
          <w:szCs w:val="21"/>
        </w:rPr>
        <w:t xml:space="preserve"> </w:t>
      </w:r>
    </w:p>
    <w:p w14:paraId="54285293" w14:textId="77777777" w:rsidR="007109E4" w:rsidRDefault="007109E4" w:rsidP="009067B1">
      <w:pPr>
        <w:spacing w:line="276" w:lineRule="auto"/>
        <w:ind w:firstLineChars="200" w:firstLine="440"/>
        <w:rPr>
          <w:rFonts w:ascii="楷体" w:eastAsia="楷体" w:hAnsi="楷体"/>
          <w:smallCaps/>
          <w:kern w:val="0"/>
          <w:sz w:val="22"/>
          <w:szCs w:val="21"/>
          <w:lang w:bidi="en-US"/>
        </w:rPr>
      </w:pPr>
      <w:r>
        <w:rPr>
          <w:rFonts w:ascii="楷体" w:eastAsia="楷体" w:hAnsi="楷体" w:hint="eastAsia"/>
          <w:smallCaps/>
          <w:kern w:val="0"/>
          <w:sz w:val="22"/>
          <w:szCs w:val="21"/>
          <w:lang w:bidi="en-US"/>
        </w:rPr>
        <w:t>1</w:t>
      </w:r>
      <w:r>
        <w:rPr>
          <w:rFonts w:ascii="楷体" w:eastAsia="楷体" w:hAnsi="楷体"/>
          <w:smallCaps/>
          <w:kern w:val="0"/>
          <w:sz w:val="22"/>
          <w:szCs w:val="21"/>
          <w:lang w:bidi="en-US"/>
        </w:rPr>
        <w:t>.</w:t>
      </w:r>
      <w:r>
        <w:rPr>
          <w:rFonts w:ascii="楷体" w:eastAsia="楷体" w:hAnsi="楷体" w:hint="eastAsia"/>
          <w:smallCaps/>
          <w:kern w:val="0"/>
          <w:sz w:val="22"/>
          <w:szCs w:val="21"/>
          <w:lang w:bidi="en-US"/>
        </w:rPr>
        <w:t>服务团队</w:t>
      </w:r>
    </w:p>
    <w:p w14:paraId="29F4B057" w14:textId="77777777" w:rsidR="007109E4" w:rsidRDefault="007109E4" w:rsidP="009067B1">
      <w:pPr>
        <w:spacing w:line="276" w:lineRule="auto"/>
        <w:ind w:firstLineChars="200" w:firstLine="440"/>
        <w:rPr>
          <w:rFonts w:ascii="楷体" w:eastAsia="楷体" w:hAnsi="楷体"/>
          <w:smallCaps/>
          <w:kern w:val="0"/>
          <w:sz w:val="22"/>
          <w:szCs w:val="21"/>
          <w:lang w:bidi="en-US"/>
        </w:rPr>
      </w:pPr>
      <w:r w:rsidRPr="004C1E9D">
        <w:rPr>
          <w:rFonts w:ascii="楷体" w:eastAsia="楷体" w:hAnsi="楷体"/>
          <w:smallCaps/>
          <w:kern w:val="0"/>
          <w:sz w:val="22"/>
          <w:szCs w:val="21"/>
          <w:lang w:bidi="en-US"/>
        </w:rPr>
        <w:t>本公司从事评估业务的人员需具有本科或专科以上学历，具有认定的相关专业背景或拥有两年以上相关工作经验，具有一定的知识水平和实践能力，并将个人档案调入公司实行统一管理。</w:t>
      </w:r>
      <w:r w:rsidRPr="00C51256">
        <w:rPr>
          <w:rFonts w:ascii="楷体" w:eastAsia="楷体" w:hAnsi="楷体"/>
          <w:smallCaps/>
          <w:kern w:val="0"/>
          <w:sz w:val="22"/>
          <w:szCs w:val="21"/>
          <w:lang w:bidi="en-US"/>
        </w:rPr>
        <w:t>执业人员无论在进入我公司前是否拥有相关工作经验或执业资格，均需按公司要求接受包含相关法律法规、专业知识、职业道德准则、内部岗位职责、操作模式与流程以及市场调研等实践能力的多方面培训，通过统一考核后，方能独立执业。所有执业人员均需具有估价员或估价师专业资格</w:t>
      </w:r>
      <w:r>
        <w:rPr>
          <w:rFonts w:ascii="楷体" w:eastAsia="楷体" w:hAnsi="楷体" w:hint="eastAsia"/>
          <w:smallCaps/>
          <w:kern w:val="0"/>
          <w:sz w:val="22"/>
          <w:szCs w:val="21"/>
          <w:lang w:bidi="en-US"/>
        </w:rPr>
        <w:t>。</w:t>
      </w:r>
    </w:p>
    <w:p w14:paraId="2B1DB267" w14:textId="77777777" w:rsidR="007109E4" w:rsidRDefault="007109E4" w:rsidP="009067B1">
      <w:pPr>
        <w:spacing w:line="276" w:lineRule="auto"/>
        <w:ind w:firstLineChars="200" w:firstLine="440"/>
        <w:rPr>
          <w:rFonts w:ascii="楷体" w:eastAsia="楷体" w:hAnsi="楷体"/>
          <w:smallCaps/>
          <w:kern w:val="0"/>
          <w:sz w:val="22"/>
          <w:szCs w:val="21"/>
          <w:lang w:bidi="en-US"/>
        </w:rPr>
      </w:pPr>
      <w:r>
        <w:rPr>
          <w:rFonts w:ascii="楷体" w:eastAsia="楷体" w:hAnsi="楷体" w:hint="eastAsia"/>
          <w:smallCaps/>
          <w:kern w:val="0"/>
          <w:sz w:val="22"/>
          <w:szCs w:val="21"/>
          <w:lang w:bidi="en-US"/>
        </w:rPr>
        <w:t>2</w:t>
      </w:r>
      <w:r>
        <w:rPr>
          <w:rFonts w:ascii="楷体" w:eastAsia="楷体" w:hAnsi="楷体"/>
          <w:smallCaps/>
          <w:kern w:val="0"/>
          <w:sz w:val="22"/>
          <w:szCs w:val="21"/>
          <w:lang w:bidi="en-US"/>
        </w:rPr>
        <w:t>.</w:t>
      </w:r>
      <w:r w:rsidRPr="00017CD8">
        <w:rPr>
          <w:rFonts w:ascii="楷体" w:eastAsia="楷体" w:hAnsi="楷体" w:hint="eastAsia"/>
          <w:sz w:val="22"/>
          <w:szCs w:val="21"/>
        </w:rPr>
        <w:t>本次委托事项的重点和难点</w:t>
      </w:r>
    </w:p>
    <w:p w14:paraId="2D51E71F" w14:textId="77777777" w:rsidR="0011372F" w:rsidRPr="007109E4" w:rsidRDefault="007109E4" w:rsidP="009067B1">
      <w:pPr>
        <w:spacing w:line="276" w:lineRule="auto"/>
        <w:ind w:firstLineChars="200" w:firstLine="440"/>
        <w:rPr>
          <w:rFonts w:ascii="楷体" w:eastAsia="楷体" w:hAnsi="楷体"/>
          <w:smallCaps/>
          <w:kern w:val="0"/>
          <w:sz w:val="22"/>
          <w:szCs w:val="21"/>
          <w:lang w:bidi="en-US"/>
        </w:rPr>
      </w:pPr>
      <w:r w:rsidRPr="00F2592A">
        <w:rPr>
          <w:rFonts w:ascii="楷体" w:eastAsia="楷体" w:hAnsi="楷体" w:hint="eastAsia"/>
          <w:smallCaps/>
          <w:kern w:val="0"/>
          <w:sz w:val="22"/>
          <w:szCs w:val="21"/>
          <w:lang w:bidi="en-US"/>
        </w:rPr>
        <w:t>标的物业三全公寓位于北京市朝阳区麦子店街</w:t>
      </w:r>
      <w:r w:rsidRPr="00F2592A">
        <w:rPr>
          <w:rFonts w:ascii="楷体" w:eastAsia="楷体" w:hAnsi="楷体"/>
          <w:smallCaps/>
          <w:kern w:val="0"/>
          <w:sz w:val="22"/>
          <w:szCs w:val="21"/>
          <w:lang w:bidi="en-US"/>
        </w:rPr>
        <w:t>38</w:t>
      </w:r>
      <w:r w:rsidRPr="00F2592A">
        <w:rPr>
          <w:rFonts w:ascii="楷体" w:eastAsia="楷体" w:hAnsi="楷体" w:hint="eastAsia"/>
          <w:smallCaps/>
          <w:kern w:val="0"/>
          <w:sz w:val="22"/>
          <w:szCs w:val="21"/>
          <w:lang w:bidi="en-US"/>
        </w:rPr>
        <w:t>号，为北京三全公寓有限公司开发建设的涉外酒店式公寓项目</w:t>
      </w:r>
      <w:r>
        <w:rPr>
          <w:rFonts w:ascii="楷体" w:eastAsia="楷体" w:hAnsi="楷体" w:hint="eastAsia"/>
          <w:smallCaps/>
          <w:kern w:val="0"/>
          <w:sz w:val="22"/>
          <w:szCs w:val="21"/>
          <w:lang w:bidi="en-US"/>
        </w:rPr>
        <w:t>。</w:t>
      </w:r>
      <w:r w:rsidRPr="00F2592A">
        <w:rPr>
          <w:rFonts w:ascii="楷体" w:eastAsia="楷体" w:hAnsi="楷体" w:hint="eastAsia"/>
          <w:smallCaps/>
          <w:kern w:val="0"/>
          <w:sz w:val="22"/>
          <w:szCs w:val="21"/>
          <w:lang w:bidi="en-US"/>
        </w:rPr>
        <w:t>“华夏资本</w:t>
      </w:r>
      <w:r w:rsidRPr="00F2592A">
        <w:rPr>
          <w:rFonts w:ascii="楷体" w:eastAsia="楷体" w:hAnsi="楷体"/>
          <w:smallCaps/>
          <w:kern w:val="0"/>
          <w:sz w:val="22"/>
          <w:szCs w:val="21"/>
          <w:lang w:bidi="en-US"/>
        </w:rPr>
        <w:t>-</w:t>
      </w:r>
      <w:r w:rsidRPr="00F2592A">
        <w:rPr>
          <w:rFonts w:ascii="楷体" w:eastAsia="楷体" w:hAnsi="楷体" w:hint="eastAsia"/>
          <w:smallCaps/>
          <w:kern w:val="0"/>
          <w:sz w:val="22"/>
          <w:szCs w:val="21"/>
          <w:lang w:bidi="en-US"/>
        </w:rPr>
        <w:t>优钺</w:t>
      </w:r>
      <w:r w:rsidRPr="00F2592A">
        <w:rPr>
          <w:rFonts w:ascii="楷体" w:eastAsia="楷体" w:hAnsi="楷体"/>
          <w:smallCaps/>
          <w:kern w:val="0"/>
          <w:sz w:val="22"/>
          <w:szCs w:val="21"/>
          <w:lang w:bidi="en-US"/>
        </w:rPr>
        <w:t>-</w:t>
      </w:r>
      <w:r w:rsidRPr="00F2592A">
        <w:rPr>
          <w:rFonts w:ascii="楷体" w:eastAsia="楷体" w:hAnsi="楷体" w:hint="eastAsia"/>
          <w:smallCaps/>
          <w:kern w:val="0"/>
          <w:sz w:val="22"/>
          <w:szCs w:val="21"/>
          <w:lang w:bidi="en-US"/>
        </w:rPr>
        <w:t>景瑞三全公寓资产支持专项计划资产支持证券”项目作为北京首单抵押型长租公寓</w:t>
      </w:r>
      <w:r w:rsidRPr="00F2592A">
        <w:rPr>
          <w:rFonts w:ascii="楷体" w:eastAsia="楷体" w:hAnsi="楷体"/>
          <w:smallCaps/>
          <w:kern w:val="0"/>
          <w:sz w:val="22"/>
          <w:szCs w:val="21"/>
          <w:lang w:bidi="en-US"/>
        </w:rPr>
        <w:t>CMBS</w:t>
      </w:r>
      <w:r w:rsidRPr="00F2592A">
        <w:rPr>
          <w:rFonts w:ascii="楷体" w:eastAsia="楷体" w:hAnsi="楷体" w:hint="eastAsia"/>
          <w:smallCaps/>
          <w:kern w:val="0"/>
          <w:sz w:val="22"/>
          <w:szCs w:val="21"/>
          <w:lang w:bidi="en-US"/>
        </w:rPr>
        <w:t>，</w:t>
      </w:r>
      <w:r>
        <w:rPr>
          <w:rFonts w:ascii="楷体" w:eastAsia="楷体" w:hAnsi="楷体" w:hint="eastAsia"/>
          <w:smallCaps/>
          <w:kern w:val="0"/>
          <w:sz w:val="22"/>
          <w:szCs w:val="21"/>
          <w:lang w:bidi="en-US"/>
        </w:rPr>
        <w:t>其重点及难点主要在于同类项目处</w:t>
      </w:r>
      <w:r>
        <w:rPr>
          <w:rFonts w:ascii="楷体" w:eastAsia="楷体" w:hAnsi="楷体" w:hint="eastAsia"/>
          <w:smallCaps/>
          <w:kern w:val="0"/>
          <w:sz w:val="22"/>
          <w:szCs w:val="21"/>
          <w:lang w:bidi="en-US"/>
        </w:rPr>
        <w:lastRenderedPageBreak/>
        <w:t>于发展初期阶段，</w:t>
      </w:r>
      <w:r w:rsidRPr="00F2592A">
        <w:rPr>
          <w:rFonts w:ascii="楷体" w:eastAsia="楷体" w:hAnsi="楷体" w:hint="eastAsia"/>
          <w:smallCaps/>
          <w:kern w:val="0"/>
          <w:sz w:val="22"/>
          <w:szCs w:val="21"/>
          <w:lang w:bidi="en-US"/>
        </w:rPr>
        <w:t>其顺利获批及发行将能起到典范作用，有利于强化资本市场服务实体经济，有利于资本市场的健全发展。</w:t>
      </w:r>
    </w:p>
    <w:bookmarkEnd w:id="7"/>
    <w:p w14:paraId="3A1C519A" w14:textId="77777777" w:rsidR="0011372F" w:rsidRDefault="00327DC1" w:rsidP="009067B1">
      <w:pPr>
        <w:spacing w:line="276" w:lineRule="auto"/>
        <w:rPr>
          <w:rFonts w:ascii="楷体" w:eastAsia="楷体" w:hAnsi="楷体"/>
          <w:sz w:val="24"/>
          <w:szCs w:val="21"/>
        </w:rPr>
      </w:pPr>
      <w:r>
        <w:rPr>
          <w:rFonts w:ascii="楷体" w:eastAsia="楷体" w:hAnsi="楷体" w:hint="eastAsia"/>
          <w:sz w:val="24"/>
          <w:szCs w:val="21"/>
        </w:rPr>
        <w:t>4</w:t>
      </w:r>
      <w:r>
        <w:rPr>
          <w:rFonts w:ascii="楷体" w:eastAsia="楷体" w:hAnsi="楷体"/>
          <w:sz w:val="24"/>
          <w:szCs w:val="21"/>
        </w:rPr>
        <w:t>-</w:t>
      </w:r>
      <w:r w:rsidR="00222E72">
        <w:rPr>
          <w:rFonts w:ascii="楷体" w:eastAsia="楷体" w:hAnsi="楷体" w:hint="eastAsia"/>
          <w:sz w:val="24"/>
          <w:szCs w:val="21"/>
        </w:rPr>
        <w:t>2</w:t>
      </w:r>
      <w:r>
        <w:rPr>
          <w:rFonts w:ascii="楷体" w:eastAsia="楷体" w:hAnsi="楷体" w:hint="eastAsia"/>
          <w:sz w:val="24"/>
          <w:szCs w:val="21"/>
        </w:rPr>
        <w:t>、</w:t>
      </w:r>
      <w:r w:rsidR="0011372F" w:rsidRPr="00A13201">
        <w:rPr>
          <w:rFonts w:ascii="楷体" w:eastAsia="楷体" w:hAnsi="楷体" w:hint="eastAsia"/>
          <w:sz w:val="24"/>
          <w:szCs w:val="21"/>
        </w:rPr>
        <w:t>就本次委托事项</w:t>
      </w:r>
      <w:r w:rsidR="00017CD8" w:rsidRPr="00A13201">
        <w:rPr>
          <w:rFonts w:ascii="楷体" w:eastAsia="楷体" w:hAnsi="楷体" w:hint="eastAsia"/>
          <w:sz w:val="24"/>
          <w:szCs w:val="21"/>
        </w:rPr>
        <w:t>提供的服务内容和范围，</w:t>
      </w:r>
      <w:r>
        <w:rPr>
          <w:rFonts w:ascii="楷体" w:eastAsia="楷体" w:hAnsi="楷体" w:hint="eastAsia"/>
          <w:sz w:val="24"/>
          <w:szCs w:val="21"/>
        </w:rPr>
        <w:t>请</w:t>
      </w:r>
      <w:r>
        <w:rPr>
          <w:rFonts w:ascii="楷体" w:eastAsia="楷体" w:hAnsi="楷体"/>
          <w:sz w:val="24"/>
          <w:szCs w:val="21"/>
        </w:rPr>
        <w:t>贵机构提出</w:t>
      </w:r>
      <w:r>
        <w:rPr>
          <w:rFonts w:ascii="楷体" w:eastAsia="楷体" w:hAnsi="楷体" w:hint="eastAsia"/>
          <w:sz w:val="24"/>
          <w:szCs w:val="21"/>
        </w:rPr>
        <w:t>本次</w:t>
      </w:r>
      <w:r w:rsidR="00017CD8" w:rsidRPr="00A13201">
        <w:rPr>
          <w:rFonts w:ascii="楷体" w:eastAsia="楷体" w:hAnsi="楷体" w:hint="eastAsia"/>
          <w:sz w:val="24"/>
          <w:szCs w:val="21"/>
        </w:rPr>
        <w:t>服务</w:t>
      </w:r>
      <w:r w:rsidR="0011372F" w:rsidRPr="00A13201">
        <w:rPr>
          <w:rFonts w:ascii="楷体" w:eastAsia="楷体" w:hAnsi="楷体" w:hint="eastAsia"/>
          <w:sz w:val="24"/>
          <w:szCs w:val="21"/>
        </w:rPr>
        <w:t>的报价及</w:t>
      </w:r>
      <w:r w:rsidR="00017CD8" w:rsidRPr="00A13201">
        <w:rPr>
          <w:rFonts w:ascii="楷体" w:eastAsia="楷体" w:hAnsi="楷体" w:hint="eastAsia"/>
          <w:sz w:val="24"/>
          <w:szCs w:val="21"/>
        </w:rPr>
        <w:t>明细构成。</w:t>
      </w:r>
    </w:p>
    <w:p w14:paraId="6B734368" w14:textId="77777777" w:rsidR="00222E72" w:rsidRPr="00222E72" w:rsidRDefault="00342382" w:rsidP="009067B1">
      <w:pPr>
        <w:spacing w:line="276" w:lineRule="auto"/>
        <w:ind w:firstLineChars="200" w:firstLine="440"/>
        <w:rPr>
          <w:rFonts w:ascii="楷体" w:eastAsia="楷体" w:hAnsi="楷体"/>
          <w:sz w:val="24"/>
          <w:szCs w:val="21"/>
        </w:rPr>
      </w:pPr>
      <w:r w:rsidRPr="00776B1C">
        <w:rPr>
          <w:rFonts w:ascii="楷体" w:eastAsia="楷体" w:hAnsi="楷体" w:hint="eastAsia"/>
          <w:smallCaps/>
          <w:kern w:val="0"/>
          <w:sz w:val="22"/>
          <w:szCs w:val="21"/>
          <w:lang w:bidi="en-US"/>
        </w:rPr>
        <w:t>本次服务内容为资产支持专项计划提供市场价值提供参考依据，采用估值方法为现金流折现法和比较法；本次</w:t>
      </w:r>
      <w:r>
        <w:rPr>
          <w:rFonts w:ascii="楷体" w:eastAsia="楷体" w:hAnsi="楷体" w:hint="eastAsia"/>
          <w:smallCaps/>
          <w:kern w:val="0"/>
          <w:sz w:val="22"/>
          <w:szCs w:val="21"/>
          <w:lang w:bidi="en-US"/>
        </w:rPr>
        <w:t>估价</w:t>
      </w:r>
      <w:r w:rsidRPr="00776B1C">
        <w:rPr>
          <w:rFonts w:ascii="楷体" w:eastAsia="楷体" w:hAnsi="楷体" w:hint="eastAsia"/>
          <w:smallCaps/>
          <w:kern w:val="0"/>
          <w:sz w:val="22"/>
          <w:szCs w:val="21"/>
          <w:lang w:bidi="en-US"/>
        </w:rPr>
        <w:t>服务费为人民币壹拾捌万元整，包括我方在估价对象不动产所在地食宿、交通、必要的办公场所通讯费等。</w:t>
      </w:r>
    </w:p>
    <w:p w14:paraId="3FEDCB0B" w14:textId="77777777" w:rsidR="00222E72" w:rsidRPr="00A13201" w:rsidRDefault="00222E72" w:rsidP="009067B1">
      <w:pPr>
        <w:spacing w:line="276" w:lineRule="auto"/>
        <w:rPr>
          <w:rFonts w:ascii="楷体" w:eastAsia="楷体" w:hAnsi="楷体"/>
          <w:b/>
          <w:sz w:val="24"/>
          <w:szCs w:val="21"/>
        </w:rPr>
      </w:pPr>
      <w:r>
        <w:rPr>
          <w:rFonts w:ascii="楷体" w:eastAsia="楷体" w:hAnsi="楷体" w:hint="eastAsia"/>
          <w:sz w:val="24"/>
          <w:szCs w:val="21"/>
        </w:rPr>
        <w:t>4</w:t>
      </w:r>
      <w:r>
        <w:rPr>
          <w:rFonts w:ascii="楷体" w:eastAsia="楷体" w:hAnsi="楷体"/>
          <w:sz w:val="24"/>
          <w:szCs w:val="21"/>
        </w:rPr>
        <w:t>-</w:t>
      </w:r>
      <w:r>
        <w:rPr>
          <w:rFonts w:ascii="楷体" w:eastAsia="楷体" w:hAnsi="楷体" w:hint="eastAsia"/>
          <w:sz w:val="24"/>
          <w:szCs w:val="21"/>
        </w:rPr>
        <w:t>3、</w:t>
      </w:r>
      <w:r w:rsidRPr="00A13201">
        <w:rPr>
          <w:rFonts w:ascii="楷体" w:eastAsia="楷体" w:hAnsi="楷体" w:hint="eastAsia"/>
          <w:sz w:val="24"/>
          <w:szCs w:val="21"/>
        </w:rPr>
        <w:t>除项目服务外，贵机构是否</w:t>
      </w:r>
      <w:r>
        <w:rPr>
          <w:rFonts w:ascii="楷体" w:eastAsia="楷体" w:hAnsi="楷体" w:hint="eastAsia"/>
          <w:sz w:val="24"/>
          <w:szCs w:val="21"/>
        </w:rPr>
        <w:t>将</w:t>
      </w:r>
      <w:r w:rsidRPr="00A13201">
        <w:rPr>
          <w:rFonts w:ascii="楷体" w:eastAsia="楷体" w:hAnsi="楷体" w:hint="eastAsia"/>
          <w:sz w:val="24"/>
          <w:szCs w:val="21"/>
        </w:rPr>
        <w:t>提供增值服务？请详细列明服务内容、服务频率等相关服务计划。</w:t>
      </w:r>
    </w:p>
    <w:p w14:paraId="20932BF5" w14:textId="77777777" w:rsidR="00342382" w:rsidRDefault="00342382" w:rsidP="009067B1">
      <w:pPr>
        <w:spacing w:line="276" w:lineRule="auto"/>
        <w:ind w:firstLineChars="200" w:firstLine="440"/>
        <w:rPr>
          <w:rFonts w:ascii="楷体" w:eastAsia="楷体" w:hAnsi="楷体"/>
          <w:smallCaps/>
          <w:kern w:val="0"/>
          <w:sz w:val="22"/>
          <w:szCs w:val="21"/>
          <w:lang w:bidi="en-US"/>
        </w:rPr>
      </w:pPr>
      <w:r w:rsidRPr="001E1984">
        <w:rPr>
          <w:rFonts w:ascii="楷体" w:eastAsia="楷体" w:hAnsi="楷体" w:hint="eastAsia"/>
          <w:smallCaps/>
          <w:kern w:val="0"/>
          <w:sz w:val="22"/>
          <w:szCs w:val="21"/>
          <w:lang w:bidi="en-US"/>
        </w:rPr>
        <w:t>物业状况评价</w:t>
      </w:r>
      <w:r>
        <w:rPr>
          <w:rFonts w:ascii="楷体" w:eastAsia="楷体" w:hAnsi="楷体" w:hint="eastAsia"/>
          <w:smallCaps/>
          <w:kern w:val="0"/>
          <w:sz w:val="22"/>
          <w:szCs w:val="21"/>
          <w:lang w:bidi="en-US"/>
        </w:rPr>
        <w:t>：对</w:t>
      </w:r>
      <w:r w:rsidRPr="001E1984">
        <w:rPr>
          <w:rFonts w:ascii="楷体" w:eastAsia="楷体" w:hAnsi="楷体" w:hint="eastAsia"/>
          <w:smallCaps/>
          <w:kern w:val="0"/>
          <w:sz w:val="22"/>
          <w:szCs w:val="21"/>
          <w:lang w:bidi="en-US"/>
        </w:rPr>
        <w:t>物业的实物状况、权益状况和区位状况进行调查、描述、分析和评定，并提供相关专业意见的活动。</w:t>
      </w:r>
      <w:r w:rsidR="009067B1">
        <w:rPr>
          <w:rFonts w:ascii="楷体" w:eastAsia="楷体" w:hAnsi="楷体" w:hint="eastAsia"/>
          <w:smallCaps/>
          <w:kern w:val="0"/>
          <w:sz w:val="22"/>
          <w:szCs w:val="21"/>
          <w:lang w:bidi="en-US"/>
        </w:rPr>
        <w:t>根据委托方需求进行，</w:t>
      </w:r>
      <w:r>
        <w:rPr>
          <w:rFonts w:ascii="楷体" w:eastAsia="楷体" w:hAnsi="楷体" w:hint="eastAsia"/>
          <w:smallCaps/>
          <w:kern w:val="0"/>
          <w:sz w:val="22"/>
          <w:szCs w:val="21"/>
          <w:lang w:bidi="en-US"/>
        </w:rPr>
        <w:t>两年一次，每次收费10万元，工作周期15个工作日。</w:t>
      </w:r>
    </w:p>
    <w:p w14:paraId="490A0A01" w14:textId="77777777" w:rsidR="00E74762" w:rsidRPr="00222E72" w:rsidRDefault="00342382" w:rsidP="009067B1">
      <w:pPr>
        <w:spacing w:line="276" w:lineRule="auto"/>
        <w:ind w:firstLineChars="200" w:firstLine="440"/>
        <w:rPr>
          <w:rFonts w:ascii="楷体" w:eastAsia="楷体" w:hAnsi="楷体"/>
          <w:sz w:val="24"/>
          <w:szCs w:val="21"/>
        </w:rPr>
      </w:pPr>
      <w:r w:rsidRPr="001E1984">
        <w:rPr>
          <w:rFonts w:ascii="楷体" w:eastAsia="楷体" w:hAnsi="楷体" w:hint="eastAsia"/>
          <w:smallCaps/>
          <w:kern w:val="0"/>
          <w:sz w:val="22"/>
          <w:szCs w:val="21"/>
          <w:lang w:bidi="en-US"/>
        </w:rPr>
        <w:t>物业市场调研</w:t>
      </w:r>
      <w:r>
        <w:rPr>
          <w:rFonts w:ascii="楷体" w:eastAsia="楷体" w:hAnsi="楷体" w:hint="eastAsia"/>
          <w:smallCaps/>
          <w:kern w:val="0"/>
          <w:sz w:val="22"/>
          <w:szCs w:val="21"/>
          <w:lang w:bidi="en-US"/>
        </w:rPr>
        <w:t>：对</w:t>
      </w:r>
      <w:r w:rsidRPr="001E1984">
        <w:rPr>
          <w:rFonts w:ascii="楷体" w:eastAsia="楷体" w:hAnsi="楷体" w:hint="eastAsia"/>
          <w:smallCaps/>
          <w:kern w:val="0"/>
          <w:sz w:val="22"/>
          <w:szCs w:val="21"/>
          <w:lang w:bidi="en-US"/>
        </w:rPr>
        <w:t>物业所在地区的经济社会发展状况、房地产市场状况以及物业自身有关市场状况进行调查、描述、分析和预测，并提供相关专业意见的活动。</w:t>
      </w:r>
      <w:r>
        <w:rPr>
          <w:rFonts w:ascii="楷体" w:eastAsia="楷体" w:hAnsi="楷体" w:hint="eastAsia"/>
          <w:smallCaps/>
          <w:kern w:val="0"/>
          <w:sz w:val="22"/>
          <w:szCs w:val="21"/>
          <w:lang w:bidi="en-US"/>
        </w:rPr>
        <w:t>根据委托方需求进行，每次收费10万元，工作周期15个工作日。</w:t>
      </w:r>
    </w:p>
    <w:p w14:paraId="212EA474" w14:textId="77777777" w:rsidR="00342382" w:rsidRDefault="00342382" w:rsidP="009067B1">
      <w:pPr>
        <w:spacing w:line="276" w:lineRule="auto"/>
        <w:ind w:firstLineChars="200" w:firstLine="480"/>
        <w:rPr>
          <w:rFonts w:ascii="楷体" w:eastAsia="楷体" w:hAnsi="楷体"/>
          <w:sz w:val="24"/>
          <w:szCs w:val="21"/>
        </w:rPr>
      </w:pPr>
    </w:p>
    <w:p w14:paraId="1567B2B0" w14:textId="77777777" w:rsidR="00222E72" w:rsidRPr="00A13201" w:rsidRDefault="00222E72" w:rsidP="009067B1">
      <w:pPr>
        <w:spacing w:line="276" w:lineRule="auto"/>
        <w:ind w:firstLineChars="200" w:firstLine="480"/>
        <w:rPr>
          <w:rFonts w:ascii="楷体" w:eastAsia="楷体" w:hAnsi="楷体"/>
          <w:b/>
          <w:sz w:val="24"/>
          <w:szCs w:val="21"/>
        </w:rPr>
      </w:pPr>
      <w:r>
        <w:rPr>
          <w:rFonts w:ascii="楷体" w:eastAsia="楷体" w:hAnsi="楷体" w:hint="eastAsia"/>
          <w:sz w:val="24"/>
          <w:szCs w:val="21"/>
        </w:rPr>
        <w:t>我司承诺，我司及本次</w:t>
      </w:r>
      <w:r w:rsidRPr="00A13201">
        <w:rPr>
          <w:rFonts w:ascii="楷体" w:eastAsia="楷体" w:hAnsi="楷体" w:hint="eastAsia"/>
          <w:sz w:val="24"/>
          <w:szCs w:val="21"/>
        </w:rPr>
        <w:t>服务团队将以专业的技能，谨慎、勤勉、尽责地提供服务，保守客户的商业秘密，维护客户合法权益</w:t>
      </w:r>
      <w:r>
        <w:rPr>
          <w:rFonts w:ascii="楷体" w:eastAsia="楷体" w:hAnsi="楷体" w:hint="eastAsia"/>
          <w:sz w:val="24"/>
          <w:szCs w:val="21"/>
        </w:rPr>
        <w:t>；并</w:t>
      </w:r>
      <w:r w:rsidRPr="00A13201">
        <w:rPr>
          <w:rFonts w:ascii="楷体" w:eastAsia="楷体" w:hAnsi="楷体" w:hint="eastAsia"/>
          <w:sz w:val="24"/>
          <w:szCs w:val="21"/>
        </w:rPr>
        <w:t>遵循诚实信用原则，基于独立、客观的立场，公平对待客户，避免利益冲突</w:t>
      </w:r>
      <w:r>
        <w:rPr>
          <w:rFonts w:ascii="楷体" w:eastAsia="楷体" w:hAnsi="楷体" w:hint="eastAsia"/>
          <w:sz w:val="24"/>
          <w:szCs w:val="21"/>
        </w:rPr>
        <w:t>。</w:t>
      </w:r>
    </w:p>
    <w:p w14:paraId="463EB46C" w14:textId="77777777" w:rsidR="00E74762" w:rsidRPr="00222E72" w:rsidRDefault="00E74762" w:rsidP="009067B1">
      <w:pPr>
        <w:spacing w:line="276" w:lineRule="auto"/>
        <w:rPr>
          <w:rFonts w:ascii="楷体" w:eastAsia="楷体" w:hAnsi="楷体"/>
          <w:sz w:val="24"/>
          <w:szCs w:val="21"/>
        </w:rPr>
      </w:pPr>
    </w:p>
    <w:p w14:paraId="6E9C6CB2" w14:textId="77777777" w:rsidR="006A211E" w:rsidRPr="00A13201" w:rsidRDefault="000318E9" w:rsidP="009067B1">
      <w:pPr>
        <w:spacing w:line="276" w:lineRule="auto"/>
        <w:jc w:val="right"/>
        <w:rPr>
          <w:rFonts w:eastAsia="楷体"/>
          <w:sz w:val="24"/>
        </w:rPr>
      </w:pPr>
      <w:r w:rsidRPr="00A13201">
        <w:rPr>
          <w:rFonts w:eastAsia="楷体" w:hint="eastAsia"/>
          <w:sz w:val="24"/>
        </w:rPr>
        <w:t>【</w:t>
      </w:r>
      <w:r w:rsidR="004F36E4" w:rsidRPr="004F36E4">
        <w:rPr>
          <w:rFonts w:eastAsia="楷体" w:hint="eastAsia"/>
          <w:sz w:val="24"/>
        </w:rPr>
        <w:t>北京康正宏基房地产评估有限公司</w:t>
      </w:r>
      <w:r w:rsidR="00017CD8" w:rsidRPr="00A13201">
        <w:rPr>
          <w:rFonts w:eastAsia="楷体"/>
          <w:sz w:val="24"/>
        </w:rPr>
        <w:t>】</w:t>
      </w:r>
    </w:p>
    <w:p w14:paraId="0202E43A" w14:textId="77777777" w:rsidR="002C3390" w:rsidRPr="003D66B8" w:rsidRDefault="004F36E4" w:rsidP="009067B1">
      <w:pPr>
        <w:spacing w:line="276" w:lineRule="auto"/>
        <w:jc w:val="right"/>
      </w:pPr>
      <w:r>
        <w:rPr>
          <w:rFonts w:eastAsia="楷体" w:hint="eastAsia"/>
          <w:sz w:val="24"/>
        </w:rPr>
        <w:t>2021</w:t>
      </w:r>
      <w:r w:rsidR="006A211E" w:rsidRPr="00A13201">
        <w:rPr>
          <w:rFonts w:eastAsia="楷体" w:hint="eastAsia"/>
          <w:sz w:val="24"/>
        </w:rPr>
        <w:t>年</w:t>
      </w:r>
      <w:r>
        <w:rPr>
          <w:rFonts w:eastAsia="楷体" w:hint="eastAsia"/>
          <w:sz w:val="24"/>
        </w:rPr>
        <w:t>1</w:t>
      </w:r>
      <w:r w:rsidR="006A211E" w:rsidRPr="00A13201">
        <w:rPr>
          <w:rFonts w:eastAsia="楷体" w:hint="eastAsia"/>
          <w:sz w:val="24"/>
        </w:rPr>
        <w:t>月</w:t>
      </w:r>
      <w:r>
        <w:rPr>
          <w:rFonts w:eastAsia="楷体" w:hint="eastAsia"/>
          <w:sz w:val="24"/>
        </w:rPr>
        <w:t>18</w:t>
      </w:r>
      <w:r w:rsidR="006A211E" w:rsidRPr="00A13201">
        <w:rPr>
          <w:rFonts w:eastAsia="楷体" w:hint="eastAsia"/>
          <w:sz w:val="24"/>
        </w:rPr>
        <w:t>日</w:t>
      </w:r>
    </w:p>
    <w:sectPr w:rsidR="002C3390" w:rsidRPr="003D66B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FA72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ECB3E" w14:textId="77777777" w:rsidR="00354119" w:rsidRDefault="00354119" w:rsidP="003D66B8">
      <w:r>
        <w:separator/>
      </w:r>
    </w:p>
  </w:endnote>
  <w:endnote w:type="continuationSeparator" w:id="0">
    <w:p w14:paraId="7574DA23" w14:textId="77777777" w:rsidR="00354119" w:rsidRDefault="00354119" w:rsidP="003D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FF379" w14:textId="77777777" w:rsidR="009067B1" w:rsidRDefault="009067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469881"/>
      <w:docPartObj>
        <w:docPartGallery w:val="Page Numbers (Bottom of Page)"/>
        <w:docPartUnique/>
      </w:docPartObj>
    </w:sdtPr>
    <w:sdtEndPr>
      <w:rPr>
        <w:rFonts w:ascii="Times New Roman" w:eastAsia="楷体" w:hAnsi="Times New Roman" w:cs="Times New Roman"/>
        <w:sz w:val="20"/>
      </w:rPr>
    </w:sdtEndPr>
    <w:sdtContent>
      <w:p w14:paraId="44613650" w14:textId="6E071126" w:rsidR="00A13201" w:rsidRPr="00E74762" w:rsidRDefault="00E74762" w:rsidP="00E74762">
        <w:pPr>
          <w:pStyle w:val="a5"/>
          <w:jc w:val="center"/>
          <w:rPr>
            <w:rFonts w:ascii="Times New Roman" w:eastAsia="楷体" w:hAnsi="Times New Roman" w:cs="Times New Roman"/>
            <w:sz w:val="20"/>
          </w:rPr>
        </w:pPr>
        <w:r w:rsidRPr="00E74762">
          <w:rPr>
            <w:rFonts w:ascii="Times New Roman" w:eastAsia="楷体" w:hAnsi="Times New Roman" w:cs="Times New Roman"/>
            <w:sz w:val="20"/>
          </w:rPr>
          <w:fldChar w:fldCharType="begin"/>
        </w:r>
        <w:r w:rsidRPr="00E74762">
          <w:rPr>
            <w:rFonts w:ascii="Times New Roman" w:eastAsia="楷体" w:hAnsi="Times New Roman" w:cs="Times New Roman"/>
            <w:sz w:val="20"/>
          </w:rPr>
          <w:instrText>PAGE   \* MERGEFORMAT</w:instrText>
        </w:r>
        <w:r w:rsidRPr="00E74762">
          <w:rPr>
            <w:rFonts w:ascii="Times New Roman" w:eastAsia="楷体" w:hAnsi="Times New Roman" w:cs="Times New Roman"/>
            <w:sz w:val="20"/>
          </w:rPr>
          <w:fldChar w:fldCharType="separate"/>
        </w:r>
        <w:r w:rsidR="00080D17" w:rsidRPr="00080D17">
          <w:rPr>
            <w:rFonts w:ascii="Times New Roman" w:eastAsia="楷体" w:hAnsi="Times New Roman" w:cs="Times New Roman"/>
            <w:noProof/>
            <w:sz w:val="20"/>
            <w:lang w:val="zh-CN"/>
          </w:rPr>
          <w:t>1</w:t>
        </w:r>
        <w:r w:rsidRPr="00E74762">
          <w:rPr>
            <w:rFonts w:ascii="Times New Roman" w:eastAsia="楷体" w:hAnsi="Times New Roman" w:cs="Times New Roman"/>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4DE5" w14:textId="77777777" w:rsidR="009067B1" w:rsidRDefault="009067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3CDFF" w14:textId="77777777" w:rsidR="00354119" w:rsidRDefault="00354119" w:rsidP="003D66B8">
      <w:r>
        <w:separator/>
      </w:r>
    </w:p>
  </w:footnote>
  <w:footnote w:type="continuationSeparator" w:id="0">
    <w:p w14:paraId="6E40A914" w14:textId="77777777" w:rsidR="00354119" w:rsidRDefault="00354119" w:rsidP="003D6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45A27" w14:textId="77777777" w:rsidR="009067B1" w:rsidRDefault="009067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7A306" w14:textId="77777777" w:rsidR="009067B1" w:rsidRDefault="009067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46DC" w14:textId="77777777" w:rsidR="009067B1" w:rsidRDefault="009067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F036E"/>
    <w:multiLevelType w:val="multilevel"/>
    <w:tmpl w:val="28FF036E"/>
    <w:lvl w:ilvl="0">
      <w:start w:val="1"/>
      <w:numFmt w:val="decimal"/>
      <w:lvlText w:val="%1"/>
      <w:lvlJc w:val="left"/>
      <w:pPr>
        <w:ind w:left="1418"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67585C87"/>
    <w:multiLevelType w:val="multilevel"/>
    <w:tmpl w:val="67585C87"/>
    <w:lvl w:ilvl="0">
      <w:start w:val="1"/>
      <w:numFmt w:val="decimal"/>
      <w:pStyle w:val="a"/>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华夏资本-陈迪迪">
    <w15:presenceInfo w15:providerId="AD" w15:userId="S-1-5-21-4040542111-3479009570-1042660180-22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87"/>
    <w:rsid w:val="00017CD8"/>
    <w:rsid w:val="000318E9"/>
    <w:rsid w:val="000457E1"/>
    <w:rsid w:val="00080D17"/>
    <w:rsid w:val="000C6787"/>
    <w:rsid w:val="0011372F"/>
    <w:rsid w:val="001418B3"/>
    <w:rsid w:val="001C02FD"/>
    <w:rsid w:val="00211ECF"/>
    <w:rsid w:val="00222E72"/>
    <w:rsid w:val="002B37D0"/>
    <w:rsid w:val="00327DC1"/>
    <w:rsid w:val="00342382"/>
    <w:rsid w:val="00354119"/>
    <w:rsid w:val="003604AA"/>
    <w:rsid w:val="003D66B8"/>
    <w:rsid w:val="003E72BB"/>
    <w:rsid w:val="004B67CB"/>
    <w:rsid w:val="004F36E4"/>
    <w:rsid w:val="006311AC"/>
    <w:rsid w:val="006A211E"/>
    <w:rsid w:val="007109E4"/>
    <w:rsid w:val="00716532"/>
    <w:rsid w:val="00736FE9"/>
    <w:rsid w:val="008134FD"/>
    <w:rsid w:val="0081621C"/>
    <w:rsid w:val="008B0DB9"/>
    <w:rsid w:val="008C5FA1"/>
    <w:rsid w:val="008D2002"/>
    <w:rsid w:val="009067B1"/>
    <w:rsid w:val="0099704E"/>
    <w:rsid w:val="00997E5D"/>
    <w:rsid w:val="00A13201"/>
    <w:rsid w:val="00AC6F9E"/>
    <w:rsid w:val="00AF35A3"/>
    <w:rsid w:val="00B7742F"/>
    <w:rsid w:val="00C559D6"/>
    <w:rsid w:val="00CB0362"/>
    <w:rsid w:val="00CC34F2"/>
    <w:rsid w:val="00CF76EC"/>
    <w:rsid w:val="00D540AB"/>
    <w:rsid w:val="00D82E40"/>
    <w:rsid w:val="00D95489"/>
    <w:rsid w:val="00DB4621"/>
    <w:rsid w:val="00DC268D"/>
    <w:rsid w:val="00E62FA0"/>
    <w:rsid w:val="00E74762"/>
    <w:rsid w:val="00ED29FF"/>
    <w:rsid w:val="00EE6CFF"/>
    <w:rsid w:val="00F358A3"/>
    <w:rsid w:val="00F459AF"/>
    <w:rsid w:val="00F7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B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heme="minorBidi"/>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6B8"/>
    <w:pPr>
      <w:widowControl w:val="0"/>
      <w:jc w:val="both"/>
    </w:pPr>
    <w:rPr>
      <w:rFonts w:asciiTheme="minorHAnsi" w:eastAsiaTheme="minorEastAsia" w:hAnsiTheme="minorHAnsi"/>
      <w:kern w:val="2"/>
      <w:sz w:val="21"/>
    </w:rPr>
  </w:style>
  <w:style w:type="paragraph" w:styleId="1">
    <w:name w:val="heading 1"/>
    <w:basedOn w:val="a0"/>
    <w:next w:val="a0"/>
    <w:link w:val="1Char"/>
    <w:qFormat/>
    <w:rsid w:val="003D66B8"/>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3D6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D66B8"/>
    <w:rPr>
      <w:sz w:val="18"/>
      <w:szCs w:val="18"/>
    </w:rPr>
  </w:style>
  <w:style w:type="paragraph" w:styleId="a5">
    <w:name w:val="footer"/>
    <w:basedOn w:val="a0"/>
    <w:link w:val="Char0"/>
    <w:uiPriority w:val="99"/>
    <w:unhideWhenUsed/>
    <w:rsid w:val="003D66B8"/>
    <w:pPr>
      <w:tabs>
        <w:tab w:val="center" w:pos="4153"/>
        <w:tab w:val="right" w:pos="8306"/>
      </w:tabs>
      <w:snapToGrid w:val="0"/>
      <w:jc w:val="left"/>
    </w:pPr>
    <w:rPr>
      <w:sz w:val="18"/>
      <w:szCs w:val="18"/>
    </w:rPr>
  </w:style>
  <w:style w:type="character" w:customStyle="1" w:styleId="Char0">
    <w:name w:val="页脚 Char"/>
    <w:basedOn w:val="a1"/>
    <w:link w:val="a5"/>
    <w:uiPriority w:val="99"/>
    <w:rsid w:val="003D66B8"/>
    <w:rPr>
      <w:sz w:val="18"/>
      <w:szCs w:val="18"/>
    </w:rPr>
  </w:style>
  <w:style w:type="character" w:customStyle="1" w:styleId="1Char">
    <w:name w:val="标题 1 Char"/>
    <w:basedOn w:val="a1"/>
    <w:link w:val="1"/>
    <w:rsid w:val="003D66B8"/>
    <w:rPr>
      <w:rFonts w:ascii="Times New Roman" w:hAnsi="Times New Roman" w:cs="Times New Roman"/>
      <w:b/>
      <w:bCs/>
      <w:kern w:val="44"/>
      <w:sz w:val="44"/>
      <w:szCs w:val="44"/>
    </w:rPr>
  </w:style>
  <w:style w:type="character" w:customStyle="1" w:styleId="Char1">
    <w:name w:val="标题 Char"/>
    <w:link w:val="a"/>
    <w:uiPriority w:val="10"/>
    <w:rsid w:val="003D66B8"/>
    <w:rPr>
      <w:rFonts w:ascii="Cambria" w:eastAsia="楷体_GB2312" w:hAnsi="Cambria"/>
      <w:b/>
      <w:smallCaps/>
      <w:szCs w:val="52"/>
      <w:lang w:bidi="en-US"/>
    </w:rPr>
  </w:style>
  <w:style w:type="paragraph" w:styleId="a">
    <w:name w:val="Title"/>
    <w:basedOn w:val="a0"/>
    <w:next w:val="a0"/>
    <w:link w:val="Char1"/>
    <w:uiPriority w:val="10"/>
    <w:qFormat/>
    <w:rsid w:val="003D66B8"/>
    <w:pPr>
      <w:widowControl/>
      <w:numPr>
        <w:numId w:val="1"/>
      </w:numPr>
      <w:spacing w:after="300"/>
      <w:contextualSpacing/>
      <w:jc w:val="left"/>
      <w:outlineLvl w:val="1"/>
    </w:pPr>
    <w:rPr>
      <w:rFonts w:ascii="Cambria" w:eastAsia="楷体_GB2312" w:hAnsi="Cambria"/>
      <w:b/>
      <w:smallCaps/>
      <w:kern w:val="0"/>
      <w:sz w:val="24"/>
      <w:szCs w:val="52"/>
      <w:lang w:bidi="en-US"/>
    </w:rPr>
  </w:style>
  <w:style w:type="character" w:customStyle="1" w:styleId="10">
    <w:name w:val="标题 字符1"/>
    <w:basedOn w:val="a1"/>
    <w:uiPriority w:val="10"/>
    <w:rsid w:val="003D66B8"/>
    <w:rPr>
      <w:rFonts w:asciiTheme="majorHAnsi" w:eastAsiaTheme="majorEastAsia" w:hAnsiTheme="majorHAnsi" w:cstheme="majorBidi"/>
      <w:b/>
      <w:bCs/>
      <w:kern w:val="2"/>
      <w:sz w:val="32"/>
      <w:szCs w:val="32"/>
    </w:rPr>
  </w:style>
  <w:style w:type="paragraph" w:styleId="a6">
    <w:name w:val="List Paragraph"/>
    <w:basedOn w:val="a0"/>
    <w:uiPriority w:val="34"/>
    <w:qFormat/>
    <w:rsid w:val="00A13201"/>
    <w:pPr>
      <w:ind w:firstLineChars="200" w:firstLine="420"/>
    </w:pPr>
  </w:style>
  <w:style w:type="paragraph" w:styleId="a7">
    <w:name w:val="Balloon Text"/>
    <w:basedOn w:val="a0"/>
    <w:link w:val="Char2"/>
    <w:uiPriority w:val="99"/>
    <w:semiHidden/>
    <w:unhideWhenUsed/>
    <w:rsid w:val="00222E72"/>
    <w:rPr>
      <w:sz w:val="18"/>
      <w:szCs w:val="18"/>
    </w:rPr>
  </w:style>
  <w:style w:type="character" w:customStyle="1" w:styleId="Char2">
    <w:name w:val="批注框文本 Char"/>
    <w:basedOn w:val="a1"/>
    <w:link w:val="a7"/>
    <w:uiPriority w:val="99"/>
    <w:semiHidden/>
    <w:rsid w:val="00222E72"/>
    <w:rPr>
      <w:rFonts w:asciiTheme="minorHAnsi" w:eastAsiaTheme="minorEastAsia" w:hAnsiTheme="minorHAnsi"/>
      <w:kern w:val="2"/>
      <w:sz w:val="18"/>
      <w:szCs w:val="18"/>
    </w:rPr>
  </w:style>
  <w:style w:type="paragraph" w:styleId="a8">
    <w:name w:val="Plain Text"/>
    <w:basedOn w:val="a0"/>
    <w:link w:val="Char3"/>
    <w:unhideWhenUsed/>
    <w:rsid w:val="007109E4"/>
    <w:pPr>
      <w:jc w:val="left"/>
    </w:pPr>
    <w:rPr>
      <w:rFonts w:ascii="Calibri" w:eastAsia="宋体" w:hAnsi="Courier New" w:cs="Courier New"/>
      <w:szCs w:val="21"/>
    </w:rPr>
  </w:style>
  <w:style w:type="character" w:customStyle="1" w:styleId="Char3">
    <w:name w:val="纯文本 Char"/>
    <w:basedOn w:val="a1"/>
    <w:link w:val="a8"/>
    <w:rsid w:val="007109E4"/>
    <w:rPr>
      <w:rFonts w:ascii="Calibri" w:hAnsi="Courier New" w:cs="Courier New"/>
      <w:kern w:val="2"/>
      <w:sz w:val="21"/>
      <w:szCs w:val="21"/>
    </w:rPr>
  </w:style>
  <w:style w:type="character" w:styleId="a9">
    <w:name w:val="annotation reference"/>
    <w:basedOn w:val="a1"/>
    <w:uiPriority w:val="99"/>
    <w:semiHidden/>
    <w:unhideWhenUsed/>
    <w:rsid w:val="009067B1"/>
    <w:rPr>
      <w:sz w:val="21"/>
      <w:szCs w:val="21"/>
    </w:rPr>
  </w:style>
  <w:style w:type="paragraph" w:styleId="aa">
    <w:name w:val="annotation text"/>
    <w:basedOn w:val="a0"/>
    <w:link w:val="Char4"/>
    <w:uiPriority w:val="99"/>
    <w:semiHidden/>
    <w:unhideWhenUsed/>
    <w:rsid w:val="009067B1"/>
    <w:pPr>
      <w:jc w:val="left"/>
    </w:pPr>
  </w:style>
  <w:style w:type="character" w:customStyle="1" w:styleId="Char4">
    <w:name w:val="批注文字 Char"/>
    <w:basedOn w:val="a1"/>
    <w:link w:val="aa"/>
    <w:uiPriority w:val="99"/>
    <w:semiHidden/>
    <w:rsid w:val="009067B1"/>
    <w:rPr>
      <w:rFonts w:asciiTheme="minorHAnsi" w:eastAsiaTheme="minorEastAsia" w:hAnsiTheme="minorHAnsi"/>
      <w:kern w:val="2"/>
      <w:sz w:val="21"/>
    </w:rPr>
  </w:style>
  <w:style w:type="paragraph" w:styleId="ab">
    <w:name w:val="annotation subject"/>
    <w:basedOn w:val="aa"/>
    <w:next w:val="aa"/>
    <w:link w:val="Char5"/>
    <w:uiPriority w:val="99"/>
    <w:semiHidden/>
    <w:unhideWhenUsed/>
    <w:rsid w:val="009067B1"/>
    <w:rPr>
      <w:b/>
      <w:bCs/>
    </w:rPr>
  </w:style>
  <w:style w:type="character" w:customStyle="1" w:styleId="Char5">
    <w:name w:val="批注主题 Char"/>
    <w:basedOn w:val="Char4"/>
    <w:link w:val="ab"/>
    <w:uiPriority w:val="99"/>
    <w:semiHidden/>
    <w:rsid w:val="009067B1"/>
    <w:rPr>
      <w:rFonts w:asciiTheme="minorHAnsi" w:eastAsiaTheme="minorEastAsia" w:hAnsiTheme="minorHAnsi"/>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heme="minorBidi"/>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6B8"/>
    <w:pPr>
      <w:widowControl w:val="0"/>
      <w:jc w:val="both"/>
    </w:pPr>
    <w:rPr>
      <w:rFonts w:asciiTheme="minorHAnsi" w:eastAsiaTheme="minorEastAsia" w:hAnsiTheme="minorHAnsi"/>
      <w:kern w:val="2"/>
      <w:sz w:val="21"/>
    </w:rPr>
  </w:style>
  <w:style w:type="paragraph" w:styleId="1">
    <w:name w:val="heading 1"/>
    <w:basedOn w:val="a0"/>
    <w:next w:val="a0"/>
    <w:link w:val="1Char"/>
    <w:qFormat/>
    <w:rsid w:val="003D66B8"/>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3D6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D66B8"/>
    <w:rPr>
      <w:sz w:val="18"/>
      <w:szCs w:val="18"/>
    </w:rPr>
  </w:style>
  <w:style w:type="paragraph" w:styleId="a5">
    <w:name w:val="footer"/>
    <w:basedOn w:val="a0"/>
    <w:link w:val="Char0"/>
    <w:uiPriority w:val="99"/>
    <w:unhideWhenUsed/>
    <w:rsid w:val="003D66B8"/>
    <w:pPr>
      <w:tabs>
        <w:tab w:val="center" w:pos="4153"/>
        <w:tab w:val="right" w:pos="8306"/>
      </w:tabs>
      <w:snapToGrid w:val="0"/>
      <w:jc w:val="left"/>
    </w:pPr>
    <w:rPr>
      <w:sz w:val="18"/>
      <w:szCs w:val="18"/>
    </w:rPr>
  </w:style>
  <w:style w:type="character" w:customStyle="1" w:styleId="Char0">
    <w:name w:val="页脚 Char"/>
    <w:basedOn w:val="a1"/>
    <w:link w:val="a5"/>
    <w:uiPriority w:val="99"/>
    <w:rsid w:val="003D66B8"/>
    <w:rPr>
      <w:sz w:val="18"/>
      <w:szCs w:val="18"/>
    </w:rPr>
  </w:style>
  <w:style w:type="character" w:customStyle="1" w:styleId="1Char">
    <w:name w:val="标题 1 Char"/>
    <w:basedOn w:val="a1"/>
    <w:link w:val="1"/>
    <w:rsid w:val="003D66B8"/>
    <w:rPr>
      <w:rFonts w:ascii="Times New Roman" w:hAnsi="Times New Roman" w:cs="Times New Roman"/>
      <w:b/>
      <w:bCs/>
      <w:kern w:val="44"/>
      <w:sz w:val="44"/>
      <w:szCs w:val="44"/>
    </w:rPr>
  </w:style>
  <w:style w:type="character" w:customStyle="1" w:styleId="Char1">
    <w:name w:val="标题 Char"/>
    <w:link w:val="a"/>
    <w:uiPriority w:val="10"/>
    <w:rsid w:val="003D66B8"/>
    <w:rPr>
      <w:rFonts w:ascii="Cambria" w:eastAsia="楷体_GB2312" w:hAnsi="Cambria"/>
      <w:b/>
      <w:smallCaps/>
      <w:szCs w:val="52"/>
      <w:lang w:bidi="en-US"/>
    </w:rPr>
  </w:style>
  <w:style w:type="paragraph" w:styleId="a">
    <w:name w:val="Title"/>
    <w:basedOn w:val="a0"/>
    <w:next w:val="a0"/>
    <w:link w:val="Char1"/>
    <w:uiPriority w:val="10"/>
    <w:qFormat/>
    <w:rsid w:val="003D66B8"/>
    <w:pPr>
      <w:widowControl/>
      <w:numPr>
        <w:numId w:val="1"/>
      </w:numPr>
      <w:spacing w:after="300"/>
      <w:contextualSpacing/>
      <w:jc w:val="left"/>
      <w:outlineLvl w:val="1"/>
    </w:pPr>
    <w:rPr>
      <w:rFonts w:ascii="Cambria" w:eastAsia="楷体_GB2312" w:hAnsi="Cambria"/>
      <w:b/>
      <w:smallCaps/>
      <w:kern w:val="0"/>
      <w:sz w:val="24"/>
      <w:szCs w:val="52"/>
      <w:lang w:bidi="en-US"/>
    </w:rPr>
  </w:style>
  <w:style w:type="character" w:customStyle="1" w:styleId="10">
    <w:name w:val="标题 字符1"/>
    <w:basedOn w:val="a1"/>
    <w:uiPriority w:val="10"/>
    <w:rsid w:val="003D66B8"/>
    <w:rPr>
      <w:rFonts w:asciiTheme="majorHAnsi" w:eastAsiaTheme="majorEastAsia" w:hAnsiTheme="majorHAnsi" w:cstheme="majorBidi"/>
      <w:b/>
      <w:bCs/>
      <w:kern w:val="2"/>
      <w:sz w:val="32"/>
      <w:szCs w:val="32"/>
    </w:rPr>
  </w:style>
  <w:style w:type="paragraph" w:styleId="a6">
    <w:name w:val="List Paragraph"/>
    <w:basedOn w:val="a0"/>
    <w:uiPriority w:val="34"/>
    <w:qFormat/>
    <w:rsid w:val="00A13201"/>
    <w:pPr>
      <w:ind w:firstLineChars="200" w:firstLine="420"/>
    </w:pPr>
  </w:style>
  <w:style w:type="paragraph" w:styleId="a7">
    <w:name w:val="Balloon Text"/>
    <w:basedOn w:val="a0"/>
    <w:link w:val="Char2"/>
    <w:uiPriority w:val="99"/>
    <w:semiHidden/>
    <w:unhideWhenUsed/>
    <w:rsid w:val="00222E72"/>
    <w:rPr>
      <w:sz w:val="18"/>
      <w:szCs w:val="18"/>
    </w:rPr>
  </w:style>
  <w:style w:type="character" w:customStyle="1" w:styleId="Char2">
    <w:name w:val="批注框文本 Char"/>
    <w:basedOn w:val="a1"/>
    <w:link w:val="a7"/>
    <w:uiPriority w:val="99"/>
    <w:semiHidden/>
    <w:rsid w:val="00222E72"/>
    <w:rPr>
      <w:rFonts w:asciiTheme="minorHAnsi" w:eastAsiaTheme="minorEastAsia" w:hAnsiTheme="minorHAnsi"/>
      <w:kern w:val="2"/>
      <w:sz w:val="18"/>
      <w:szCs w:val="18"/>
    </w:rPr>
  </w:style>
  <w:style w:type="paragraph" w:styleId="a8">
    <w:name w:val="Plain Text"/>
    <w:basedOn w:val="a0"/>
    <w:link w:val="Char3"/>
    <w:unhideWhenUsed/>
    <w:rsid w:val="007109E4"/>
    <w:pPr>
      <w:jc w:val="left"/>
    </w:pPr>
    <w:rPr>
      <w:rFonts w:ascii="Calibri" w:eastAsia="宋体" w:hAnsi="Courier New" w:cs="Courier New"/>
      <w:szCs w:val="21"/>
    </w:rPr>
  </w:style>
  <w:style w:type="character" w:customStyle="1" w:styleId="Char3">
    <w:name w:val="纯文本 Char"/>
    <w:basedOn w:val="a1"/>
    <w:link w:val="a8"/>
    <w:rsid w:val="007109E4"/>
    <w:rPr>
      <w:rFonts w:ascii="Calibri" w:hAnsi="Courier New" w:cs="Courier New"/>
      <w:kern w:val="2"/>
      <w:sz w:val="21"/>
      <w:szCs w:val="21"/>
    </w:rPr>
  </w:style>
  <w:style w:type="character" w:styleId="a9">
    <w:name w:val="annotation reference"/>
    <w:basedOn w:val="a1"/>
    <w:uiPriority w:val="99"/>
    <w:semiHidden/>
    <w:unhideWhenUsed/>
    <w:rsid w:val="009067B1"/>
    <w:rPr>
      <w:sz w:val="21"/>
      <w:szCs w:val="21"/>
    </w:rPr>
  </w:style>
  <w:style w:type="paragraph" w:styleId="aa">
    <w:name w:val="annotation text"/>
    <w:basedOn w:val="a0"/>
    <w:link w:val="Char4"/>
    <w:uiPriority w:val="99"/>
    <w:semiHidden/>
    <w:unhideWhenUsed/>
    <w:rsid w:val="009067B1"/>
    <w:pPr>
      <w:jc w:val="left"/>
    </w:pPr>
  </w:style>
  <w:style w:type="character" w:customStyle="1" w:styleId="Char4">
    <w:name w:val="批注文字 Char"/>
    <w:basedOn w:val="a1"/>
    <w:link w:val="aa"/>
    <w:uiPriority w:val="99"/>
    <w:semiHidden/>
    <w:rsid w:val="009067B1"/>
    <w:rPr>
      <w:rFonts w:asciiTheme="minorHAnsi" w:eastAsiaTheme="minorEastAsia" w:hAnsiTheme="minorHAnsi"/>
      <w:kern w:val="2"/>
      <w:sz w:val="21"/>
    </w:rPr>
  </w:style>
  <w:style w:type="paragraph" w:styleId="ab">
    <w:name w:val="annotation subject"/>
    <w:basedOn w:val="aa"/>
    <w:next w:val="aa"/>
    <w:link w:val="Char5"/>
    <w:uiPriority w:val="99"/>
    <w:semiHidden/>
    <w:unhideWhenUsed/>
    <w:rsid w:val="009067B1"/>
    <w:rPr>
      <w:b/>
      <w:bCs/>
    </w:rPr>
  </w:style>
  <w:style w:type="character" w:customStyle="1" w:styleId="Char5">
    <w:name w:val="批注主题 Char"/>
    <w:basedOn w:val="Char4"/>
    <w:link w:val="ab"/>
    <w:uiPriority w:val="99"/>
    <w:semiHidden/>
    <w:rsid w:val="009067B1"/>
    <w:rPr>
      <w:rFonts w:asciiTheme="minorHAnsi" w:eastAsiaTheme="minorEastAsia" w:hAnsiTheme="minorHAnsi"/>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09904">
      <w:bodyDiv w:val="1"/>
      <w:marLeft w:val="0"/>
      <w:marRight w:val="0"/>
      <w:marTop w:val="0"/>
      <w:marBottom w:val="0"/>
      <w:divBdr>
        <w:top w:val="none" w:sz="0" w:space="0" w:color="auto"/>
        <w:left w:val="none" w:sz="0" w:space="0" w:color="auto"/>
        <w:bottom w:val="none" w:sz="0" w:space="0" w:color="auto"/>
        <w:right w:val="none" w:sz="0" w:space="0" w:color="auto"/>
      </w:divBdr>
      <w:divsChild>
        <w:div w:id="1199052434">
          <w:marLeft w:val="0"/>
          <w:marRight w:val="0"/>
          <w:marTop w:val="0"/>
          <w:marBottom w:val="0"/>
          <w:divBdr>
            <w:top w:val="none" w:sz="0" w:space="0" w:color="auto"/>
            <w:left w:val="none" w:sz="0" w:space="0" w:color="auto"/>
            <w:bottom w:val="none" w:sz="0" w:space="0" w:color="auto"/>
            <w:right w:val="none" w:sz="0" w:space="0" w:color="auto"/>
          </w:divBdr>
        </w:div>
        <w:div w:id="1875581605">
          <w:marLeft w:val="0"/>
          <w:marRight w:val="0"/>
          <w:marTop w:val="0"/>
          <w:marBottom w:val="0"/>
          <w:divBdr>
            <w:top w:val="none" w:sz="0" w:space="0" w:color="auto"/>
            <w:left w:val="none" w:sz="0" w:space="0" w:color="auto"/>
            <w:bottom w:val="none" w:sz="0" w:space="0" w:color="auto"/>
            <w:right w:val="none" w:sz="0" w:space="0" w:color="auto"/>
          </w:divBdr>
        </w:div>
        <w:div w:id="977996136">
          <w:marLeft w:val="0"/>
          <w:marRight w:val="0"/>
          <w:marTop w:val="0"/>
          <w:marBottom w:val="0"/>
          <w:divBdr>
            <w:top w:val="none" w:sz="0" w:space="0" w:color="auto"/>
            <w:left w:val="none" w:sz="0" w:space="0" w:color="auto"/>
            <w:bottom w:val="none" w:sz="0" w:space="0" w:color="auto"/>
            <w:right w:val="none" w:sz="0" w:space="0" w:color="auto"/>
          </w:divBdr>
        </w:div>
        <w:div w:id="1606156353">
          <w:marLeft w:val="0"/>
          <w:marRight w:val="0"/>
          <w:marTop w:val="0"/>
          <w:marBottom w:val="0"/>
          <w:divBdr>
            <w:top w:val="none" w:sz="0" w:space="0" w:color="auto"/>
            <w:left w:val="none" w:sz="0" w:space="0" w:color="auto"/>
            <w:bottom w:val="none" w:sz="0" w:space="0" w:color="auto"/>
            <w:right w:val="none" w:sz="0" w:space="0" w:color="auto"/>
          </w:divBdr>
        </w:div>
        <w:div w:id="1418675233">
          <w:marLeft w:val="0"/>
          <w:marRight w:val="0"/>
          <w:marTop w:val="0"/>
          <w:marBottom w:val="0"/>
          <w:divBdr>
            <w:top w:val="none" w:sz="0" w:space="0" w:color="auto"/>
            <w:left w:val="none" w:sz="0" w:space="0" w:color="auto"/>
            <w:bottom w:val="none" w:sz="0" w:space="0" w:color="auto"/>
            <w:right w:val="none" w:sz="0" w:space="0" w:color="auto"/>
          </w:divBdr>
        </w:div>
        <w:div w:id="868294214">
          <w:marLeft w:val="0"/>
          <w:marRight w:val="0"/>
          <w:marTop w:val="0"/>
          <w:marBottom w:val="0"/>
          <w:divBdr>
            <w:top w:val="none" w:sz="0" w:space="0" w:color="auto"/>
            <w:left w:val="none" w:sz="0" w:space="0" w:color="auto"/>
            <w:bottom w:val="none" w:sz="0" w:space="0" w:color="auto"/>
            <w:right w:val="none" w:sz="0" w:space="0" w:color="auto"/>
          </w:divBdr>
        </w:div>
        <w:div w:id="1638140308">
          <w:marLeft w:val="0"/>
          <w:marRight w:val="0"/>
          <w:marTop w:val="0"/>
          <w:marBottom w:val="0"/>
          <w:divBdr>
            <w:top w:val="none" w:sz="0" w:space="0" w:color="auto"/>
            <w:left w:val="none" w:sz="0" w:space="0" w:color="auto"/>
            <w:bottom w:val="none" w:sz="0" w:space="0" w:color="auto"/>
            <w:right w:val="none" w:sz="0" w:space="0" w:color="auto"/>
          </w:divBdr>
        </w:div>
        <w:div w:id="1921596703">
          <w:marLeft w:val="0"/>
          <w:marRight w:val="0"/>
          <w:marTop w:val="0"/>
          <w:marBottom w:val="0"/>
          <w:divBdr>
            <w:top w:val="none" w:sz="0" w:space="0" w:color="auto"/>
            <w:left w:val="none" w:sz="0" w:space="0" w:color="auto"/>
            <w:bottom w:val="none" w:sz="0" w:space="0" w:color="auto"/>
            <w:right w:val="none" w:sz="0" w:space="0" w:color="auto"/>
          </w:divBdr>
        </w:div>
        <w:div w:id="1471510099">
          <w:marLeft w:val="0"/>
          <w:marRight w:val="0"/>
          <w:marTop w:val="0"/>
          <w:marBottom w:val="0"/>
          <w:divBdr>
            <w:top w:val="none" w:sz="0" w:space="0" w:color="auto"/>
            <w:left w:val="none" w:sz="0" w:space="0" w:color="auto"/>
            <w:bottom w:val="none" w:sz="0" w:space="0" w:color="auto"/>
            <w:right w:val="none" w:sz="0" w:space="0" w:color="auto"/>
          </w:divBdr>
        </w:div>
        <w:div w:id="74863860">
          <w:marLeft w:val="0"/>
          <w:marRight w:val="0"/>
          <w:marTop w:val="0"/>
          <w:marBottom w:val="0"/>
          <w:divBdr>
            <w:top w:val="none" w:sz="0" w:space="0" w:color="auto"/>
            <w:left w:val="none" w:sz="0" w:space="0" w:color="auto"/>
            <w:bottom w:val="none" w:sz="0" w:space="0" w:color="auto"/>
            <w:right w:val="none" w:sz="0" w:space="0" w:color="auto"/>
          </w:divBdr>
        </w:div>
        <w:div w:id="691684030">
          <w:marLeft w:val="0"/>
          <w:marRight w:val="0"/>
          <w:marTop w:val="0"/>
          <w:marBottom w:val="0"/>
          <w:divBdr>
            <w:top w:val="none" w:sz="0" w:space="0" w:color="auto"/>
            <w:left w:val="none" w:sz="0" w:space="0" w:color="auto"/>
            <w:bottom w:val="none" w:sz="0" w:space="0" w:color="auto"/>
            <w:right w:val="none" w:sz="0" w:space="0" w:color="auto"/>
          </w:divBdr>
        </w:div>
        <w:div w:id="54206944">
          <w:marLeft w:val="0"/>
          <w:marRight w:val="0"/>
          <w:marTop w:val="0"/>
          <w:marBottom w:val="0"/>
          <w:divBdr>
            <w:top w:val="none" w:sz="0" w:space="0" w:color="auto"/>
            <w:left w:val="none" w:sz="0" w:space="0" w:color="auto"/>
            <w:bottom w:val="none" w:sz="0" w:space="0" w:color="auto"/>
            <w:right w:val="none" w:sz="0" w:space="0" w:color="auto"/>
          </w:divBdr>
        </w:div>
        <w:div w:id="697240184">
          <w:marLeft w:val="0"/>
          <w:marRight w:val="0"/>
          <w:marTop w:val="0"/>
          <w:marBottom w:val="0"/>
          <w:divBdr>
            <w:top w:val="none" w:sz="0" w:space="0" w:color="auto"/>
            <w:left w:val="none" w:sz="0" w:space="0" w:color="auto"/>
            <w:bottom w:val="none" w:sz="0" w:space="0" w:color="auto"/>
            <w:right w:val="none" w:sz="0" w:space="0" w:color="auto"/>
          </w:divBdr>
        </w:div>
        <w:div w:id="701323570">
          <w:marLeft w:val="0"/>
          <w:marRight w:val="0"/>
          <w:marTop w:val="0"/>
          <w:marBottom w:val="0"/>
          <w:divBdr>
            <w:top w:val="none" w:sz="0" w:space="0" w:color="auto"/>
            <w:left w:val="none" w:sz="0" w:space="0" w:color="auto"/>
            <w:bottom w:val="none" w:sz="0" w:space="0" w:color="auto"/>
            <w:right w:val="none" w:sz="0" w:space="0" w:color="auto"/>
          </w:divBdr>
        </w:div>
        <w:div w:id="136072233">
          <w:marLeft w:val="0"/>
          <w:marRight w:val="0"/>
          <w:marTop w:val="0"/>
          <w:marBottom w:val="0"/>
          <w:divBdr>
            <w:top w:val="none" w:sz="0" w:space="0" w:color="auto"/>
            <w:left w:val="none" w:sz="0" w:space="0" w:color="auto"/>
            <w:bottom w:val="none" w:sz="0" w:space="0" w:color="auto"/>
            <w:right w:val="none" w:sz="0" w:space="0" w:color="auto"/>
          </w:divBdr>
        </w:div>
        <w:div w:id="1837257196">
          <w:marLeft w:val="0"/>
          <w:marRight w:val="0"/>
          <w:marTop w:val="0"/>
          <w:marBottom w:val="0"/>
          <w:divBdr>
            <w:top w:val="none" w:sz="0" w:space="0" w:color="auto"/>
            <w:left w:val="none" w:sz="0" w:space="0" w:color="auto"/>
            <w:bottom w:val="none" w:sz="0" w:space="0" w:color="auto"/>
            <w:right w:val="none" w:sz="0" w:space="0" w:color="auto"/>
          </w:divBdr>
        </w:div>
        <w:div w:id="1855145988">
          <w:marLeft w:val="0"/>
          <w:marRight w:val="0"/>
          <w:marTop w:val="0"/>
          <w:marBottom w:val="0"/>
          <w:divBdr>
            <w:top w:val="none" w:sz="0" w:space="0" w:color="auto"/>
            <w:left w:val="none" w:sz="0" w:space="0" w:color="auto"/>
            <w:bottom w:val="none" w:sz="0" w:space="0" w:color="auto"/>
            <w:right w:val="none" w:sz="0" w:space="0" w:color="auto"/>
          </w:divBdr>
        </w:div>
        <w:div w:id="1541286415">
          <w:marLeft w:val="0"/>
          <w:marRight w:val="0"/>
          <w:marTop w:val="0"/>
          <w:marBottom w:val="0"/>
          <w:divBdr>
            <w:top w:val="none" w:sz="0" w:space="0" w:color="auto"/>
            <w:left w:val="none" w:sz="0" w:space="0" w:color="auto"/>
            <w:bottom w:val="none" w:sz="0" w:space="0" w:color="auto"/>
            <w:right w:val="none" w:sz="0" w:space="0" w:color="auto"/>
          </w:divBdr>
        </w:div>
        <w:div w:id="497115100">
          <w:marLeft w:val="0"/>
          <w:marRight w:val="0"/>
          <w:marTop w:val="0"/>
          <w:marBottom w:val="0"/>
          <w:divBdr>
            <w:top w:val="none" w:sz="0" w:space="0" w:color="auto"/>
            <w:left w:val="none" w:sz="0" w:space="0" w:color="auto"/>
            <w:bottom w:val="none" w:sz="0" w:space="0" w:color="auto"/>
            <w:right w:val="none" w:sz="0" w:space="0" w:color="auto"/>
          </w:divBdr>
        </w:div>
        <w:div w:id="414328379">
          <w:marLeft w:val="0"/>
          <w:marRight w:val="0"/>
          <w:marTop w:val="0"/>
          <w:marBottom w:val="0"/>
          <w:divBdr>
            <w:top w:val="none" w:sz="0" w:space="0" w:color="auto"/>
            <w:left w:val="none" w:sz="0" w:space="0" w:color="auto"/>
            <w:bottom w:val="none" w:sz="0" w:space="0" w:color="auto"/>
            <w:right w:val="none" w:sz="0" w:space="0" w:color="auto"/>
          </w:divBdr>
        </w:div>
        <w:div w:id="1153448569">
          <w:marLeft w:val="0"/>
          <w:marRight w:val="0"/>
          <w:marTop w:val="0"/>
          <w:marBottom w:val="0"/>
          <w:divBdr>
            <w:top w:val="none" w:sz="0" w:space="0" w:color="auto"/>
            <w:left w:val="none" w:sz="0" w:space="0" w:color="auto"/>
            <w:bottom w:val="none" w:sz="0" w:space="0" w:color="auto"/>
            <w:right w:val="none" w:sz="0" w:space="0" w:color="auto"/>
          </w:divBdr>
        </w:div>
        <w:div w:id="1409813503">
          <w:marLeft w:val="0"/>
          <w:marRight w:val="0"/>
          <w:marTop w:val="0"/>
          <w:marBottom w:val="0"/>
          <w:divBdr>
            <w:top w:val="none" w:sz="0" w:space="0" w:color="auto"/>
            <w:left w:val="none" w:sz="0" w:space="0" w:color="auto"/>
            <w:bottom w:val="none" w:sz="0" w:space="0" w:color="auto"/>
            <w:right w:val="none" w:sz="0" w:space="0" w:color="auto"/>
          </w:divBdr>
        </w:div>
        <w:div w:id="788472117">
          <w:marLeft w:val="0"/>
          <w:marRight w:val="0"/>
          <w:marTop w:val="0"/>
          <w:marBottom w:val="0"/>
          <w:divBdr>
            <w:top w:val="none" w:sz="0" w:space="0" w:color="auto"/>
            <w:left w:val="none" w:sz="0" w:space="0" w:color="auto"/>
            <w:bottom w:val="none" w:sz="0" w:space="0" w:color="auto"/>
            <w:right w:val="none" w:sz="0" w:space="0" w:color="auto"/>
          </w:divBdr>
        </w:div>
        <w:div w:id="2093965543">
          <w:marLeft w:val="0"/>
          <w:marRight w:val="0"/>
          <w:marTop w:val="0"/>
          <w:marBottom w:val="0"/>
          <w:divBdr>
            <w:top w:val="none" w:sz="0" w:space="0" w:color="auto"/>
            <w:left w:val="none" w:sz="0" w:space="0" w:color="auto"/>
            <w:bottom w:val="none" w:sz="0" w:space="0" w:color="auto"/>
            <w:right w:val="none" w:sz="0" w:space="0" w:color="auto"/>
          </w:divBdr>
        </w:div>
        <w:div w:id="388653822">
          <w:marLeft w:val="0"/>
          <w:marRight w:val="0"/>
          <w:marTop w:val="0"/>
          <w:marBottom w:val="0"/>
          <w:divBdr>
            <w:top w:val="none" w:sz="0" w:space="0" w:color="auto"/>
            <w:left w:val="none" w:sz="0" w:space="0" w:color="auto"/>
            <w:bottom w:val="none" w:sz="0" w:space="0" w:color="auto"/>
            <w:right w:val="none" w:sz="0" w:space="0" w:color="auto"/>
          </w:divBdr>
        </w:div>
        <w:div w:id="1489440699">
          <w:marLeft w:val="0"/>
          <w:marRight w:val="0"/>
          <w:marTop w:val="0"/>
          <w:marBottom w:val="0"/>
          <w:divBdr>
            <w:top w:val="none" w:sz="0" w:space="0" w:color="auto"/>
            <w:left w:val="none" w:sz="0" w:space="0" w:color="auto"/>
            <w:bottom w:val="none" w:sz="0" w:space="0" w:color="auto"/>
            <w:right w:val="none" w:sz="0" w:space="0" w:color="auto"/>
          </w:divBdr>
        </w:div>
        <w:div w:id="334764776">
          <w:marLeft w:val="0"/>
          <w:marRight w:val="0"/>
          <w:marTop w:val="0"/>
          <w:marBottom w:val="0"/>
          <w:divBdr>
            <w:top w:val="none" w:sz="0" w:space="0" w:color="auto"/>
            <w:left w:val="none" w:sz="0" w:space="0" w:color="auto"/>
            <w:bottom w:val="none" w:sz="0" w:space="0" w:color="auto"/>
            <w:right w:val="none" w:sz="0" w:space="0" w:color="auto"/>
          </w:divBdr>
        </w:div>
        <w:div w:id="1075738239">
          <w:marLeft w:val="0"/>
          <w:marRight w:val="0"/>
          <w:marTop w:val="0"/>
          <w:marBottom w:val="0"/>
          <w:divBdr>
            <w:top w:val="none" w:sz="0" w:space="0" w:color="auto"/>
            <w:left w:val="none" w:sz="0" w:space="0" w:color="auto"/>
            <w:bottom w:val="none" w:sz="0" w:space="0" w:color="auto"/>
            <w:right w:val="none" w:sz="0" w:space="0" w:color="auto"/>
          </w:divBdr>
        </w:div>
        <w:div w:id="45572597">
          <w:marLeft w:val="0"/>
          <w:marRight w:val="0"/>
          <w:marTop w:val="0"/>
          <w:marBottom w:val="0"/>
          <w:divBdr>
            <w:top w:val="none" w:sz="0" w:space="0" w:color="auto"/>
            <w:left w:val="none" w:sz="0" w:space="0" w:color="auto"/>
            <w:bottom w:val="none" w:sz="0" w:space="0" w:color="auto"/>
            <w:right w:val="none" w:sz="0" w:space="0" w:color="auto"/>
          </w:divBdr>
        </w:div>
        <w:div w:id="439229677">
          <w:marLeft w:val="0"/>
          <w:marRight w:val="0"/>
          <w:marTop w:val="0"/>
          <w:marBottom w:val="0"/>
          <w:divBdr>
            <w:top w:val="none" w:sz="0" w:space="0" w:color="auto"/>
            <w:left w:val="none" w:sz="0" w:space="0" w:color="auto"/>
            <w:bottom w:val="none" w:sz="0" w:space="0" w:color="auto"/>
            <w:right w:val="none" w:sz="0" w:space="0" w:color="auto"/>
          </w:divBdr>
        </w:div>
        <w:div w:id="778835122">
          <w:marLeft w:val="0"/>
          <w:marRight w:val="0"/>
          <w:marTop w:val="0"/>
          <w:marBottom w:val="0"/>
          <w:divBdr>
            <w:top w:val="none" w:sz="0" w:space="0" w:color="auto"/>
            <w:left w:val="none" w:sz="0" w:space="0" w:color="auto"/>
            <w:bottom w:val="none" w:sz="0" w:space="0" w:color="auto"/>
            <w:right w:val="none" w:sz="0" w:space="0" w:color="auto"/>
          </w:divBdr>
        </w:div>
        <w:div w:id="2127847245">
          <w:marLeft w:val="0"/>
          <w:marRight w:val="0"/>
          <w:marTop w:val="0"/>
          <w:marBottom w:val="0"/>
          <w:divBdr>
            <w:top w:val="none" w:sz="0" w:space="0" w:color="auto"/>
            <w:left w:val="none" w:sz="0" w:space="0" w:color="auto"/>
            <w:bottom w:val="none" w:sz="0" w:space="0" w:color="auto"/>
            <w:right w:val="none" w:sz="0" w:space="0" w:color="auto"/>
          </w:divBdr>
        </w:div>
        <w:div w:id="572591164">
          <w:marLeft w:val="0"/>
          <w:marRight w:val="0"/>
          <w:marTop w:val="0"/>
          <w:marBottom w:val="0"/>
          <w:divBdr>
            <w:top w:val="none" w:sz="0" w:space="0" w:color="auto"/>
            <w:left w:val="none" w:sz="0" w:space="0" w:color="auto"/>
            <w:bottom w:val="none" w:sz="0" w:space="0" w:color="auto"/>
            <w:right w:val="none" w:sz="0" w:space="0" w:color="auto"/>
          </w:divBdr>
        </w:div>
        <w:div w:id="1938639605">
          <w:marLeft w:val="0"/>
          <w:marRight w:val="0"/>
          <w:marTop w:val="0"/>
          <w:marBottom w:val="0"/>
          <w:divBdr>
            <w:top w:val="none" w:sz="0" w:space="0" w:color="auto"/>
            <w:left w:val="none" w:sz="0" w:space="0" w:color="auto"/>
            <w:bottom w:val="none" w:sz="0" w:space="0" w:color="auto"/>
            <w:right w:val="none" w:sz="0" w:space="0" w:color="auto"/>
          </w:divBdr>
        </w:div>
        <w:div w:id="659843291">
          <w:marLeft w:val="0"/>
          <w:marRight w:val="0"/>
          <w:marTop w:val="0"/>
          <w:marBottom w:val="0"/>
          <w:divBdr>
            <w:top w:val="none" w:sz="0" w:space="0" w:color="auto"/>
            <w:left w:val="none" w:sz="0" w:space="0" w:color="auto"/>
            <w:bottom w:val="none" w:sz="0" w:space="0" w:color="auto"/>
            <w:right w:val="none" w:sz="0" w:space="0" w:color="auto"/>
          </w:divBdr>
        </w:div>
        <w:div w:id="1109617823">
          <w:marLeft w:val="0"/>
          <w:marRight w:val="0"/>
          <w:marTop w:val="0"/>
          <w:marBottom w:val="0"/>
          <w:divBdr>
            <w:top w:val="none" w:sz="0" w:space="0" w:color="auto"/>
            <w:left w:val="none" w:sz="0" w:space="0" w:color="auto"/>
            <w:bottom w:val="none" w:sz="0" w:space="0" w:color="auto"/>
            <w:right w:val="none" w:sz="0" w:space="0" w:color="auto"/>
          </w:divBdr>
        </w:div>
        <w:div w:id="797265152">
          <w:marLeft w:val="0"/>
          <w:marRight w:val="0"/>
          <w:marTop w:val="0"/>
          <w:marBottom w:val="0"/>
          <w:divBdr>
            <w:top w:val="none" w:sz="0" w:space="0" w:color="auto"/>
            <w:left w:val="none" w:sz="0" w:space="0" w:color="auto"/>
            <w:bottom w:val="none" w:sz="0" w:space="0" w:color="auto"/>
            <w:right w:val="none" w:sz="0" w:space="0" w:color="auto"/>
          </w:divBdr>
        </w:div>
        <w:div w:id="401221029">
          <w:marLeft w:val="0"/>
          <w:marRight w:val="0"/>
          <w:marTop w:val="0"/>
          <w:marBottom w:val="0"/>
          <w:divBdr>
            <w:top w:val="none" w:sz="0" w:space="0" w:color="auto"/>
            <w:left w:val="none" w:sz="0" w:space="0" w:color="auto"/>
            <w:bottom w:val="none" w:sz="0" w:space="0" w:color="auto"/>
            <w:right w:val="none" w:sz="0" w:space="0" w:color="auto"/>
          </w:divBdr>
        </w:div>
        <w:div w:id="1079253703">
          <w:marLeft w:val="0"/>
          <w:marRight w:val="0"/>
          <w:marTop w:val="0"/>
          <w:marBottom w:val="0"/>
          <w:divBdr>
            <w:top w:val="none" w:sz="0" w:space="0" w:color="auto"/>
            <w:left w:val="none" w:sz="0" w:space="0" w:color="auto"/>
            <w:bottom w:val="none" w:sz="0" w:space="0" w:color="auto"/>
            <w:right w:val="none" w:sz="0" w:space="0" w:color="auto"/>
          </w:divBdr>
        </w:div>
        <w:div w:id="1488206074">
          <w:marLeft w:val="0"/>
          <w:marRight w:val="0"/>
          <w:marTop w:val="0"/>
          <w:marBottom w:val="0"/>
          <w:divBdr>
            <w:top w:val="none" w:sz="0" w:space="0" w:color="auto"/>
            <w:left w:val="none" w:sz="0" w:space="0" w:color="auto"/>
            <w:bottom w:val="none" w:sz="0" w:space="0" w:color="auto"/>
            <w:right w:val="none" w:sz="0" w:space="0" w:color="auto"/>
          </w:divBdr>
        </w:div>
        <w:div w:id="1728719074">
          <w:marLeft w:val="0"/>
          <w:marRight w:val="0"/>
          <w:marTop w:val="0"/>
          <w:marBottom w:val="0"/>
          <w:divBdr>
            <w:top w:val="none" w:sz="0" w:space="0" w:color="auto"/>
            <w:left w:val="none" w:sz="0" w:space="0" w:color="auto"/>
            <w:bottom w:val="none" w:sz="0" w:space="0" w:color="auto"/>
            <w:right w:val="none" w:sz="0" w:space="0" w:color="auto"/>
          </w:divBdr>
        </w:div>
        <w:div w:id="180777482">
          <w:marLeft w:val="0"/>
          <w:marRight w:val="0"/>
          <w:marTop w:val="0"/>
          <w:marBottom w:val="0"/>
          <w:divBdr>
            <w:top w:val="none" w:sz="0" w:space="0" w:color="auto"/>
            <w:left w:val="none" w:sz="0" w:space="0" w:color="auto"/>
            <w:bottom w:val="none" w:sz="0" w:space="0" w:color="auto"/>
            <w:right w:val="none" w:sz="0" w:space="0" w:color="auto"/>
          </w:divBdr>
        </w:div>
        <w:div w:id="531498737">
          <w:marLeft w:val="0"/>
          <w:marRight w:val="0"/>
          <w:marTop w:val="0"/>
          <w:marBottom w:val="0"/>
          <w:divBdr>
            <w:top w:val="none" w:sz="0" w:space="0" w:color="auto"/>
            <w:left w:val="none" w:sz="0" w:space="0" w:color="auto"/>
            <w:bottom w:val="none" w:sz="0" w:space="0" w:color="auto"/>
            <w:right w:val="none" w:sz="0" w:space="0" w:color="auto"/>
          </w:divBdr>
        </w:div>
        <w:div w:id="1501775976">
          <w:marLeft w:val="0"/>
          <w:marRight w:val="0"/>
          <w:marTop w:val="0"/>
          <w:marBottom w:val="0"/>
          <w:divBdr>
            <w:top w:val="none" w:sz="0" w:space="0" w:color="auto"/>
            <w:left w:val="none" w:sz="0" w:space="0" w:color="auto"/>
            <w:bottom w:val="none" w:sz="0" w:space="0" w:color="auto"/>
            <w:right w:val="none" w:sz="0" w:space="0" w:color="auto"/>
          </w:divBdr>
        </w:div>
        <w:div w:id="1544517365">
          <w:marLeft w:val="0"/>
          <w:marRight w:val="0"/>
          <w:marTop w:val="0"/>
          <w:marBottom w:val="0"/>
          <w:divBdr>
            <w:top w:val="none" w:sz="0" w:space="0" w:color="auto"/>
            <w:left w:val="none" w:sz="0" w:space="0" w:color="auto"/>
            <w:bottom w:val="none" w:sz="0" w:space="0" w:color="auto"/>
            <w:right w:val="none" w:sz="0" w:space="0" w:color="auto"/>
          </w:divBdr>
        </w:div>
        <w:div w:id="1215199807">
          <w:marLeft w:val="0"/>
          <w:marRight w:val="0"/>
          <w:marTop w:val="0"/>
          <w:marBottom w:val="0"/>
          <w:divBdr>
            <w:top w:val="none" w:sz="0" w:space="0" w:color="auto"/>
            <w:left w:val="none" w:sz="0" w:space="0" w:color="auto"/>
            <w:bottom w:val="none" w:sz="0" w:space="0" w:color="auto"/>
            <w:right w:val="none" w:sz="0" w:space="0" w:color="auto"/>
          </w:divBdr>
        </w:div>
        <w:div w:id="1808938313">
          <w:marLeft w:val="0"/>
          <w:marRight w:val="0"/>
          <w:marTop w:val="0"/>
          <w:marBottom w:val="0"/>
          <w:divBdr>
            <w:top w:val="none" w:sz="0" w:space="0" w:color="auto"/>
            <w:left w:val="none" w:sz="0" w:space="0" w:color="auto"/>
            <w:bottom w:val="none" w:sz="0" w:space="0" w:color="auto"/>
            <w:right w:val="none" w:sz="0" w:space="0" w:color="auto"/>
          </w:divBdr>
        </w:div>
        <w:div w:id="1148521504">
          <w:marLeft w:val="0"/>
          <w:marRight w:val="0"/>
          <w:marTop w:val="0"/>
          <w:marBottom w:val="0"/>
          <w:divBdr>
            <w:top w:val="none" w:sz="0" w:space="0" w:color="auto"/>
            <w:left w:val="none" w:sz="0" w:space="0" w:color="auto"/>
            <w:bottom w:val="none" w:sz="0" w:space="0" w:color="auto"/>
            <w:right w:val="none" w:sz="0" w:space="0" w:color="auto"/>
          </w:divBdr>
        </w:div>
        <w:div w:id="565183134">
          <w:marLeft w:val="0"/>
          <w:marRight w:val="0"/>
          <w:marTop w:val="0"/>
          <w:marBottom w:val="0"/>
          <w:divBdr>
            <w:top w:val="none" w:sz="0" w:space="0" w:color="auto"/>
            <w:left w:val="none" w:sz="0" w:space="0" w:color="auto"/>
            <w:bottom w:val="none" w:sz="0" w:space="0" w:color="auto"/>
            <w:right w:val="none" w:sz="0" w:space="0" w:color="auto"/>
          </w:divBdr>
        </w:div>
        <w:div w:id="2133864640">
          <w:marLeft w:val="0"/>
          <w:marRight w:val="0"/>
          <w:marTop w:val="0"/>
          <w:marBottom w:val="0"/>
          <w:divBdr>
            <w:top w:val="none" w:sz="0" w:space="0" w:color="auto"/>
            <w:left w:val="none" w:sz="0" w:space="0" w:color="auto"/>
            <w:bottom w:val="none" w:sz="0" w:space="0" w:color="auto"/>
            <w:right w:val="none" w:sz="0" w:space="0" w:color="auto"/>
          </w:divBdr>
        </w:div>
        <w:div w:id="958412314">
          <w:marLeft w:val="0"/>
          <w:marRight w:val="0"/>
          <w:marTop w:val="0"/>
          <w:marBottom w:val="0"/>
          <w:divBdr>
            <w:top w:val="none" w:sz="0" w:space="0" w:color="auto"/>
            <w:left w:val="none" w:sz="0" w:space="0" w:color="auto"/>
            <w:bottom w:val="none" w:sz="0" w:space="0" w:color="auto"/>
            <w:right w:val="none" w:sz="0" w:space="0" w:color="auto"/>
          </w:divBdr>
        </w:div>
        <w:div w:id="306741162">
          <w:marLeft w:val="0"/>
          <w:marRight w:val="0"/>
          <w:marTop w:val="0"/>
          <w:marBottom w:val="0"/>
          <w:divBdr>
            <w:top w:val="none" w:sz="0" w:space="0" w:color="auto"/>
            <w:left w:val="none" w:sz="0" w:space="0" w:color="auto"/>
            <w:bottom w:val="none" w:sz="0" w:space="0" w:color="auto"/>
            <w:right w:val="none" w:sz="0" w:space="0" w:color="auto"/>
          </w:divBdr>
        </w:div>
        <w:div w:id="1457406718">
          <w:marLeft w:val="0"/>
          <w:marRight w:val="0"/>
          <w:marTop w:val="0"/>
          <w:marBottom w:val="0"/>
          <w:divBdr>
            <w:top w:val="none" w:sz="0" w:space="0" w:color="auto"/>
            <w:left w:val="none" w:sz="0" w:space="0" w:color="auto"/>
            <w:bottom w:val="none" w:sz="0" w:space="0" w:color="auto"/>
            <w:right w:val="none" w:sz="0" w:space="0" w:color="auto"/>
          </w:divBdr>
        </w:div>
        <w:div w:id="656148912">
          <w:marLeft w:val="0"/>
          <w:marRight w:val="0"/>
          <w:marTop w:val="0"/>
          <w:marBottom w:val="0"/>
          <w:divBdr>
            <w:top w:val="none" w:sz="0" w:space="0" w:color="auto"/>
            <w:left w:val="none" w:sz="0" w:space="0" w:color="auto"/>
            <w:bottom w:val="none" w:sz="0" w:space="0" w:color="auto"/>
            <w:right w:val="none" w:sz="0" w:space="0" w:color="auto"/>
          </w:divBdr>
        </w:div>
        <w:div w:id="862595853">
          <w:marLeft w:val="0"/>
          <w:marRight w:val="0"/>
          <w:marTop w:val="0"/>
          <w:marBottom w:val="0"/>
          <w:divBdr>
            <w:top w:val="none" w:sz="0" w:space="0" w:color="auto"/>
            <w:left w:val="none" w:sz="0" w:space="0" w:color="auto"/>
            <w:bottom w:val="none" w:sz="0" w:space="0" w:color="auto"/>
            <w:right w:val="none" w:sz="0" w:space="0" w:color="auto"/>
          </w:divBdr>
        </w:div>
        <w:div w:id="902371283">
          <w:marLeft w:val="0"/>
          <w:marRight w:val="0"/>
          <w:marTop w:val="0"/>
          <w:marBottom w:val="0"/>
          <w:divBdr>
            <w:top w:val="none" w:sz="0" w:space="0" w:color="auto"/>
            <w:left w:val="none" w:sz="0" w:space="0" w:color="auto"/>
            <w:bottom w:val="none" w:sz="0" w:space="0" w:color="auto"/>
            <w:right w:val="none" w:sz="0" w:space="0" w:color="auto"/>
          </w:divBdr>
        </w:div>
        <w:div w:id="72553532">
          <w:marLeft w:val="0"/>
          <w:marRight w:val="0"/>
          <w:marTop w:val="0"/>
          <w:marBottom w:val="0"/>
          <w:divBdr>
            <w:top w:val="none" w:sz="0" w:space="0" w:color="auto"/>
            <w:left w:val="none" w:sz="0" w:space="0" w:color="auto"/>
            <w:bottom w:val="none" w:sz="0" w:space="0" w:color="auto"/>
            <w:right w:val="none" w:sz="0" w:space="0" w:color="auto"/>
          </w:divBdr>
        </w:div>
        <w:div w:id="1326014443">
          <w:marLeft w:val="0"/>
          <w:marRight w:val="0"/>
          <w:marTop w:val="0"/>
          <w:marBottom w:val="0"/>
          <w:divBdr>
            <w:top w:val="none" w:sz="0" w:space="0" w:color="auto"/>
            <w:left w:val="none" w:sz="0" w:space="0" w:color="auto"/>
            <w:bottom w:val="none" w:sz="0" w:space="0" w:color="auto"/>
            <w:right w:val="none" w:sz="0" w:space="0" w:color="auto"/>
          </w:divBdr>
        </w:div>
        <w:div w:id="1311473452">
          <w:marLeft w:val="0"/>
          <w:marRight w:val="0"/>
          <w:marTop w:val="0"/>
          <w:marBottom w:val="0"/>
          <w:divBdr>
            <w:top w:val="none" w:sz="0" w:space="0" w:color="auto"/>
            <w:left w:val="none" w:sz="0" w:space="0" w:color="auto"/>
            <w:bottom w:val="none" w:sz="0" w:space="0" w:color="auto"/>
            <w:right w:val="none" w:sz="0" w:space="0" w:color="auto"/>
          </w:divBdr>
        </w:div>
        <w:div w:id="2008945051">
          <w:marLeft w:val="0"/>
          <w:marRight w:val="0"/>
          <w:marTop w:val="0"/>
          <w:marBottom w:val="0"/>
          <w:divBdr>
            <w:top w:val="none" w:sz="0" w:space="0" w:color="auto"/>
            <w:left w:val="none" w:sz="0" w:space="0" w:color="auto"/>
            <w:bottom w:val="none" w:sz="0" w:space="0" w:color="auto"/>
            <w:right w:val="none" w:sz="0" w:space="0" w:color="auto"/>
          </w:divBdr>
        </w:div>
        <w:div w:id="123889729">
          <w:marLeft w:val="0"/>
          <w:marRight w:val="0"/>
          <w:marTop w:val="0"/>
          <w:marBottom w:val="0"/>
          <w:divBdr>
            <w:top w:val="none" w:sz="0" w:space="0" w:color="auto"/>
            <w:left w:val="none" w:sz="0" w:space="0" w:color="auto"/>
            <w:bottom w:val="none" w:sz="0" w:space="0" w:color="auto"/>
            <w:right w:val="none" w:sz="0" w:space="0" w:color="auto"/>
          </w:divBdr>
        </w:div>
        <w:div w:id="481047306">
          <w:marLeft w:val="0"/>
          <w:marRight w:val="0"/>
          <w:marTop w:val="0"/>
          <w:marBottom w:val="0"/>
          <w:divBdr>
            <w:top w:val="none" w:sz="0" w:space="0" w:color="auto"/>
            <w:left w:val="none" w:sz="0" w:space="0" w:color="auto"/>
            <w:bottom w:val="none" w:sz="0" w:space="0" w:color="auto"/>
            <w:right w:val="none" w:sz="0" w:space="0" w:color="auto"/>
          </w:divBdr>
        </w:div>
        <w:div w:id="81784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7600-C3F3-4669-BE81-D2D6E45B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542</Words>
  <Characters>3095</Characters>
  <Application>Microsoft Office Word</Application>
  <DocSecurity>0</DocSecurity>
  <Lines>25</Lines>
  <Paragraphs>7</Paragraphs>
  <ScaleCrop>false</ScaleCrop>
  <Company>Microsoft</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USER</cp:lastModifiedBy>
  <cp:revision>10</cp:revision>
  <cp:lastPrinted>2021-01-15T03:30:00Z</cp:lastPrinted>
  <dcterms:created xsi:type="dcterms:W3CDTF">2020-05-12T05:12:00Z</dcterms:created>
  <dcterms:modified xsi:type="dcterms:W3CDTF">2021-01-22T05:41:00Z</dcterms:modified>
</cp:coreProperties>
</file>