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关于杭州富阳融创富春项目</w:t>
      </w:r>
      <w:r>
        <w:rPr>
          <w:rFonts w:ascii="Arial" w:hAnsi="Arial" w:cs="Arial"/>
          <w:b/>
          <w:bCs/>
          <w:sz w:val="36"/>
          <w:szCs w:val="36"/>
        </w:rPr>
        <w:t>202</w:t>
      </w:r>
      <w:r>
        <w:rPr>
          <w:rFonts w:hint="eastAsia" w:ascii="Arial" w:hAnsi="Arial" w:cs="Arial"/>
          <w:b/>
          <w:bCs/>
          <w:sz w:val="36"/>
          <w:szCs w:val="36"/>
        </w:rPr>
        <w:t>1</w:t>
      </w:r>
      <w:r>
        <w:rPr>
          <w:rFonts w:hint="eastAsia" w:ascii="宋体" w:hAnsi="宋体" w:cs="宋体"/>
          <w:b/>
          <w:bCs/>
          <w:sz w:val="36"/>
          <w:szCs w:val="36"/>
        </w:rPr>
        <w:t>年</w:t>
      </w:r>
      <w:r>
        <w:rPr>
          <w:rFonts w:hint="eastAsia" w:ascii="Arial" w:hAnsi="Arial" w:cs="Arial"/>
          <w:b/>
          <w:bCs/>
          <w:sz w:val="36"/>
          <w:szCs w:val="36"/>
        </w:rPr>
        <w:t>3</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Arial" w:hAnsi="Arial" w:cs="Arial"/>
          <w:sz w:val="24"/>
          <w:szCs w:val="24"/>
        </w:rPr>
      </w:pPr>
      <w:r>
        <w:rPr>
          <w:rFonts w:ascii="Arial" w:hAnsi="Arial" w:cs="Arial"/>
          <w:sz w:val="24"/>
          <w:szCs w:val="24"/>
        </w:rPr>
        <w:t>杭州富阳融驰置业有限公司（以下简称项目公司）于2021年0</w:t>
      </w:r>
      <w:r>
        <w:rPr>
          <w:rFonts w:hint="eastAsia" w:ascii="Arial" w:hAnsi="Arial" w:cs="Arial"/>
          <w:sz w:val="24"/>
          <w:szCs w:val="24"/>
        </w:rPr>
        <w:t>3</w:t>
      </w:r>
      <w:r>
        <w:rPr>
          <w:rFonts w:ascii="Arial" w:hAnsi="Arial" w:cs="Arial"/>
          <w:sz w:val="24"/>
          <w:szCs w:val="24"/>
        </w:rPr>
        <w:t>月0</w:t>
      </w:r>
      <w:r>
        <w:rPr>
          <w:rFonts w:hint="eastAsia" w:ascii="Arial" w:hAnsi="Arial" w:cs="Arial"/>
          <w:sz w:val="24"/>
          <w:szCs w:val="24"/>
        </w:rPr>
        <w:t>3</w:t>
      </w:r>
      <w:r>
        <w:rPr>
          <w:rFonts w:ascii="Arial" w:hAnsi="Arial" w:cs="Arial"/>
          <w:sz w:val="24"/>
          <w:szCs w:val="24"/>
        </w:rPr>
        <w:t>日提交了《杭州富阳融创富春项目2021年0</w:t>
      </w:r>
      <w:r>
        <w:rPr>
          <w:rFonts w:hint="eastAsia" w:ascii="Arial" w:hAnsi="Arial" w:cs="Arial"/>
          <w:sz w:val="24"/>
          <w:szCs w:val="24"/>
        </w:rPr>
        <w:t>3</w:t>
      </w:r>
      <w:r>
        <w:rPr>
          <w:rFonts w:ascii="Arial" w:hAnsi="Arial" w:cs="Arial"/>
          <w:sz w:val="24"/>
          <w:szCs w:val="24"/>
        </w:rPr>
        <w:t>月资金支付计划》，我司对项目公司申报的资金计划进行了审核，审核结果如下：</w:t>
      </w:r>
    </w:p>
    <w:p>
      <w:pPr>
        <w:numPr>
          <w:ilvl w:val="0"/>
          <w:numId w:val="1"/>
        </w:numPr>
        <w:spacing w:before="160" w:beforeLines="50" w:after="160" w:afterLines="50" w:line="360" w:lineRule="auto"/>
        <w:ind w:firstLine="120" w:firstLineChars="50"/>
        <w:rPr>
          <w:rFonts w:ascii="宋体" w:hAnsi="宋体"/>
          <w:b/>
          <w:sz w:val="24"/>
          <w:szCs w:val="24"/>
        </w:rPr>
      </w:pPr>
      <w:r>
        <w:rPr>
          <w:rFonts w:hint="eastAsia" w:ascii="宋体" w:hAnsi="宋体"/>
          <w:b/>
          <w:sz w:val="24"/>
          <w:szCs w:val="24"/>
        </w:rPr>
        <w:t>富阳融创富春项目2021年3月资金汇总</w:t>
      </w:r>
    </w:p>
    <w:p>
      <w:pPr>
        <w:spacing w:before="160" w:beforeLines="50" w:after="160" w:afterLines="50" w:line="360" w:lineRule="auto"/>
        <w:ind w:firstLine="480" w:firstLineChars="200"/>
        <w:rPr>
          <w:rFonts w:ascii="宋体" w:hAnsi="宋体"/>
          <w:sz w:val="24"/>
          <w:szCs w:val="24"/>
        </w:rPr>
      </w:pPr>
      <w:r>
        <w:rPr>
          <w:rFonts w:hint="eastAsia" w:ascii="宋体" w:hAnsi="宋体"/>
          <w:sz w:val="24"/>
          <w:szCs w:val="24"/>
        </w:rPr>
        <w:t>项目公司</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3</w:t>
      </w:r>
      <w:r>
        <w:rPr>
          <w:rFonts w:ascii="宋体" w:hAnsi="宋体"/>
          <w:sz w:val="24"/>
          <w:szCs w:val="24"/>
        </w:rPr>
        <w:t>月</w:t>
      </w:r>
      <w:r>
        <w:rPr>
          <w:rFonts w:hint="eastAsia" w:ascii="宋体" w:hAnsi="宋体"/>
          <w:sz w:val="24"/>
          <w:szCs w:val="24"/>
        </w:rPr>
        <w:t>03</w:t>
      </w:r>
      <w:r>
        <w:rPr>
          <w:rFonts w:ascii="宋体" w:hAnsi="宋体"/>
          <w:sz w:val="24"/>
          <w:szCs w:val="24"/>
        </w:rPr>
        <w:t>日</w:t>
      </w:r>
      <w:r>
        <w:rPr>
          <w:rFonts w:hint="eastAsia" w:ascii="宋体" w:hAnsi="宋体"/>
          <w:sz w:val="24"/>
          <w:szCs w:val="24"/>
        </w:rPr>
        <w:t>提交的2021年03月资金支出计划，</w:t>
      </w:r>
      <w:r>
        <w:rPr>
          <w:rFonts w:ascii="宋体" w:hAnsi="宋体"/>
          <w:sz w:val="24"/>
          <w:szCs w:val="24"/>
        </w:rPr>
        <w:t>计划</w:t>
      </w:r>
      <w:r>
        <w:rPr>
          <w:rFonts w:hint="eastAsia" w:ascii="宋体" w:hAnsi="宋体"/>
          <w:sz w:val="24"/>
          <w:szCs w:val="24"/>
        </w:rPr>
        <w:t>资金支出共计18笔，合计</w:t>
      </w:r>
      <w:r>
        <w:rPr>
          <w:rFonts w:ascii="宋体" w:hAnsi="宋体"/>
          <w:sz w:val="24"/>
          <w:szCs w:val="24"/>
        </w:rPr>
        <w:t>63,</w:t>
      </w:r>
      <w:r>
        <w:rPr>
          <w:rFonts w:hint="eastAsia" w:ascii="宋体" w:hAnsi="宋体"/>
          <w:sz w:val="24"/>
          <w:szCs w:val="24"/>
        </w:rPr>
        <w:t>659</w:t>
      </w:r>
      <w:r>
        <w:rPr>
          <w:rFonts w:ascii="宋体" w:hAnsi="宋体"/>
          <w:sz w:val="24"/>
          <w:szCs w:val="24"/>
        </w:rPr>
        <w:t>.22</w:t>
      </w:r>
      <w:r>
        <w:rPr>
          <w:rFonts w:hint="eastAsia" w:ascii="宋体" w:hAnsi="宋体"/>
          <w:sz w:val="24"/>
          <w:szCs w:val="24"/>
        </w:rPr>
        <w:t>万元。根据尽调报告中的目标成本分类方式，我司对资金计划中的支付项进行整理、分类，其中：土地费用支出61</w:t>
      </w:r>
      <w:r>
        <w:rPr>
          <w:rFonts w:ascii="宋体" w:hAnsi="宋体"/>
          <w:sz w:val="24"/>
          <w:szCs w:val="24"/>
        </w:rPr>
        <w:t>,</w:t>
      </w:r>
      <w:r>
        <w:rPr>
          <w:rFonts w:hint="eastAsia" w:ascii="宋体" w:hAnsi="宋体"/>
          <w:sz w:val="24"/>
          <w:szCs w:val="24"/>
        </w:rPr>
        <w:t>381.49万元，前期费用支出414.36万元，建安工程支出：1,530.95万元，管理费用支出80.00万元,营销费用支出252.42万元。</w:t>
      </w:r>
      <w:r>
        <w:rPr>
          <w:rFonts w:ascii="宋体" w:hAnsi="宋体"/>
          <w:sz w:val="24"/>
          <w:szCs w:val="24"/>
        </w:rPr>
        <w:t xml:space="preserve"> </w:t>
      </w:r>
    </w:p>
    <w:tbl>
      <w:tblPr>
        <w:tblStyle w:val="11"/>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863"/>
        <w:gridCol w:w="1863"/>
        <w:gridCol w:w="1863"/>
        <w:gridCol w:w="186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jc w:val="center"/>
              <w:rPr>
                <w:rFonts w:ascii="宋体" w:hAnsi="宋体"/>
                <w:b/>
                <w:bCs/>
                <w:sz w:val="24"/>
                <w:szCs w:val="24"/>
              </w:rPr>
            </w:pPr>
            <w:r>
              <w:rPr>
                <w:rFonts w:hint="eastAsia" w:ascii="宋体" w:hAnsi="宋体"/>
                <w:b/>
                <w:bCs/>
                <w:sz w:val="24"/>
                <w:szCs w:val="24"/>
              </w:rPr>
              <w:t>中航信托•天垣20A025号房地产开发股权投资集合资金信托计划</w:t>
            </w:r>
          </w:p>
          <w:p>
            <w:pPr>
              <w:spacing w:line="360" w:lineRule="auto"/>
              <w:jc w:val="center"/>
              <w:rPr>
                <w:rFonts w:ascii="宋体" w:hAnsi="宋体"/>
                <w:b/>
                <w:bCs/>
                <w:sz w:val="24"/>
                <w:szCs w:val="24"/>
              </w:rPr>
            </w:pPr>
            <w:r>
              <w:rPr>
                <w:rFonts w:hint="eastAsia" w:ascii="宋体" w:hAnsi="宋体"/>
                <w:b/>
                <w:bCs/>
                <w:sz w:val="24"/>
                <w:szCs w:val="24"/>
              </w:rPr>
              <w:t>-杭州富阳融创富春项目月度资金使用计划（2021年3月份）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rPr>
                <w:rFonts w:ascii="宋体" w:hAnsi="宋体"/>
                <w:b/>
                <w:bCs/>
                <w:sz w:val="24"/>
                <w:szCs w:val="24"/>
              </w:rPr>
            </w:pPr>
            <w:bookmarkStart w:id="0" w:name="_Hlk16606321"/>
            <w:r>
              <w:rPr>
                <w:rFonts w:hint="eastAsia" w:ascii="宋体" w:hAnsi="宋体"/>
                <w:b/>
                <w:bCs/>
                <w:sz w:val="24"/>
                <w:szCs w:val="24"/>
              </w:rPr>
              <w:t xml:space="preserve">编制：杭州富阳融驰置业有限公司                           </w:t>
            </w:r>
            <w:r>
              <w:rPr>
                <w:rFonts w:ascii="宋体" w:hAnsi="宋体"/>
                <w:b/>
                <w:bCs/>
                <w:sz w:val="24"/>
                <w:szCs w:val="24"/>
              </w:rPr>
              <w:t xml:space="preserve">  </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b/>
                <w:bCs/>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8" w:type="dxa"/>
            <w:shd w:val="clear" w:color="auto" w:fill="DCD8C2"/>
            <w:vAlign w:val="center"/>
          </w:tcPr>
          <w:p>
            <w:pPr>
              <w:jc w:val="center"/>
              <w:rPr>
                <w:rFonts w:ascii="宋体" w:hAnsi="宋体"/>
                <w:b/>
                <w:bCs/>
                <w:sz w:val="24"/>
                <w:szCs w:val="24"/>
              </w:rPr>
            </w:pPr>
            <w:r>
              <w:rPr>
                <w:rFonts w:hint="eastAsia" w:ascii="宋体" w:hAnsi="宋体"/>
                <w:b/>
                <w:bCs/>
                <w:sz w:val="24"/>
                <w:szCs w:val="24"/>
              </w:rPr>
              <w:t>项目</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目标成本</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合同金额</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已签订合同占目标成本比例</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累计已付款</w:t>
            </w:r>
          </w:p>
        </w:tc>
        <w:tc>
          <w:tcPr>
            <w:tcW w:w="1866" w:type="dxa"/>
            <w:shd w:val="clear" w:color="auto" w:fill="DCD8C2"/>
            <w:vAlign w:val="center"/>
          </w:tcPr>
          <w:p>
            <w:pPr>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土地费用</w:t>
            </w:r>
          </w:p>
        </w:tc>
        <w:tc>
          <w:tcPr>
            <w:tcW w:w="1863" w:type="dxa"/>
            <w:vAlign w:val="center"/>
          </w:tcPr>
          <w:p>
            <w:pPr>
              <w:jc w:val="right"/>
              <w:rPr>
                <w:rFonts w:ascii="宋体" w:hAnsi="宋体"/>
                <w:sz w:val="24"/>
                <w:szCs w:val="24"/>
              </w:rPr>
            </w:pPr>
            <w:r>
              <w:rPr>
                <w:rFonts w:hint="eastAsia" w:ascii="宋体" w:hAnsi="宋体"/>
                <w:sz w:val="24"/>
                <w:szCs w:val="24"/>
              </w:rPr>
              <w:t>118</w:t>
            </w:r>
            <w:r>
              <w:rPr>
                <w:rFonts w:ascii="宋体" w:hAnsi="宋体"/>
                <w:sz w:val="24"/>
                <w:szCs w:val="24"/>
              </w:rPr>
              <w:t>,</w:t>
            </w:r>
            <w:r>
              <w:rPr>
                <w:rFonts w:hint="eastAsia" w:ascii="宋体" w:hAnsi="宋体"/>
                <w:sz w:val="24"/>
                <w:szCs w:val="24"/>
              </w:rPr>
              <w:t>319.00</w:t>
            </w:r>
          </w:p>
        </w:tc>
        <w:tc>
          <w:tcPr>
            <w:tcW w:w="1863" w:type="dxa"/>
            <w:vAlign w:val="center"/>
          </w:tcPr>
          <w:p>
            <w:pPr>
              <w:jc w:val="right"/>
              <w:rPr>
                <w:rFonts w:ascii="宋体" w:hAnsi="宋体"/>
                <w:sz w:val="24"/>
                <w:szCs w:val="24"/>
              </w:rPr>
            </w:pPr>
            <w:r>
              <w:rPr>
                <w:rFonts w:ascii="宋体" w:hAnsi="宋体"/>
                <w:sz w:val="24"/>
                <w:szCs w:val="24"/>
              </w:rPr>
              <w:t>1</w:t>
            </w:r>
            <w:r>
              <w:rPr>
                <w:rFonts w:hint="eastAsia" w:ascii="宋体" w:hAnsi="宋体"/>
                <w:sz w:val="24"/>
                <w:szCs w:val="24"/>
              </w:rPr>
              <w:t>22</w:t>
            </w:r>
            <w:r>
              <w:rPr>
                <w:rFonts w:ascii="宋体" w:hAnsi="宋体"/>
                <w:sz w:val="24"/>
                <w:szCs w:val="24"/>
              </w:rPr>
              <w:t>,8</w:t>
            </w:r>
            <w:r>
              <w:rPr>
                <w:rFonts w:hint="eastAsia" w:ascii="宋体" w:hAnsi="宋体"/>
                <w:sz w:val="24"/>
                <w:szCs w:val="24"/>
              </w:rPr>
              <w:t>18</w:t>
            </w:r>
            <w:r>
              <w:rPr>
                <w:rFonts w:ascii="宋体" w:hAnsi="宋体"/>
                <w:sz w:val="24"/>
                <w:szCs w:val="24"/>
              </w:rPr>
              <w:t>.</w:t>
            </w:r>
            <w:r>
              <w:rPr>
                <w:rFonts w:hint="eastAsia" w:ascii="宋体" w:hAnsi="宋体"/>
                <w:sz w:val="24"/>
                <w:szCs w:val="24"/>
              </w:rPr>
              <w:t>72</w:t>
            </w:r>
          </w:p>
        </w:tc>
        <w:tc>
          <w:tcPr>
            <w:tcW w:w="1863" w:type="dxa"/>
            <w:vAlign w:val="center"/>
          </w:tcPr>
          <w:p>
            <w:pPr>
              <w:jc w:val="right"/>
              <w:rPr>
                <w:rFonts w:ascii="宋体" w:hAnsi="宋体"/>
                <w:sz w:val="24"/>
                <w:szCs w:val="24"/>
              </w:rPr>
            </w:pPr>
            <w:r>
              <w:rPr>
                <w:rFonts w:ascii="宋体" w:hAnsi="宋体"/>
                <w:sz w:val="24"/>
                <w:szCs w:val="24"/>
              </w:rPr>
              <w:t>103.80%</w:t>
            </w:r>
          </w:p>
        </w:tc>
        <w:tc>
          <w:tcPr>
            <w:tcW w:w="1863" w:type="dxa"/>
            <w:vAlign w:val="center"/>
          </w:tcPr>
          <w:p>
            <w:pPr>
              <w:widowControl/>
              <w:jc w:val="right"/>
              <w:rPr>
                <w:rFonts w:ascii="宋体" w:hAnsi="宋体"/>
                <w:sz w:val="24"/>
                <w:szCs w:val="24"/>
              </w:rPr>
            </w:pPr>
            <w:r>
              <w:rPr>
                <w:rFonts w:ascii="宋体" w:hAnsi="宋体"/>
                <w:sz w:val="24"/>
                <w:szCs w:val="24"/>
              </w:rPr>
              <w:t>59,</w:t>
            </w:r>
            <w:r>
              <w:rPr>
                <w:rFonts w:hint="eastAsia" w:ascii="宋体" w:hAnsi="宋体"/>
                <w:sz w:val="24"/>
                <w:szCs w:val="24"/>
              </w:rPr>
              <w:t>747</w:t>
            </w:r>
            <w:r>
              <w:rPr>
                <w:rFonts w:ascii="宋体" w:hAnsi="宋体"/>
                <w:sz w:val="24"/>
                <w:szCs w:val="24"/>
              </w:rPr>
              <w:t>.</w:t>
            </w:r>
            <w:r>
              <w:rPr>
                <w:rFonts w:hint="eastAsia" w:ascii="宋体" w:hAnsi="宋体"/>
                <w:sz w:val="24"/>
                <w:szCs w:val="24"/>
              </w:rPr>
              <w:t>3</w:t>
            </w:r>
            <w:r>
              <w:rPr>
                <w:rFonts w:ascii="宋体" w:hAnsi="宋体"/>
                <w:sz w:val="24"/>
                <w:szCs w:val="24"/>
              </w:rPr>
              <w:t>8</w:t>
            </w:r>
          </w:p>
        </w:tc>
        <w:tc>
          <w:tcPr>
            <w:tcW w:w="1866" w:type="dxa"/>
            <w:vAlign w:val="center"/>
          </w:tcPr>
          <w:p>
            <w:pPr>
              <w:jc w:val="right"/>
              <w:rPr>
                <w:rFonts w:ascii="宋体" w:hAnsi="宋体"/>
                <w:sz w:val="24"/>
                <w:szCs w:val="24"/>
              </w:rPr>
            </w:pPr>
            <w:r>
              <w:rPr>
                <w:rFonts w:hint="eastAsia" w:ascii="宋体" w:hAnsi="宋体"/>
                <w:sz w:val="24"/>
                <w:szCs w:val="24"/>
              </w:rPr>
              <w:t>61</w:t>
            </w:r>
            <w:r>
              <w:rPr>
                <w:rFonts w:ascii="宋体" w:hAnsi="宋体"/>
                <w:sz w:val="24"/>
                <w:szCs w:val="24"/>
              </w:rPr>
              <w:t>,</w:t>
            </w:r>
            <w:r>
              <w:rPr>
                <w:rFonts w:hint="eastAsia" w:ascii="宋体" w:hAnsi="宋体"/>
                <w:sz w:val="24"/>
                <w:szCs w:val="24"/>
              </w:rPr>
              <w:t>381.49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前期费用</w:t>
            </w:r>
          </w:p>
        </w:tc>
        <w:tc>
          <w:tcPr>
            <w:tcW w:w="1863" w:type="dxa"/>
            <w:vAlign w:val="center"/>
          </w:tcPr>
          <w:p>
            <w:pPr>
              <w:jc w:val="right"/>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951.00</w:t>
            </w:r>
          </w:p>
        </w:tc>
        <w:tc>
          <w:tcPr>
            <w:tcW w:w="1863" w:type="dxa"/>
            <w:vAlign w:val="center"/>
          </w:tcPr>
          <w:p>
            <w:pPr>
              <w:jc w:val="right"/>
              <w:rPr>
                <w:rFonts w:ascii="宋体" w:hAnsi="宋体"/>
                <w:sz w:val="24"/>
                <w:szCs w:val="24"/>
              </w:rPr>
            </w:pPr>
            <w:r>
              <w:rPr>
                <w:rFonts w:ascii="宋体" w:hAnsi="宋体"/>
                <w:sz w:val="24"/>
                <w:szCs w:val="24"/>
              </w:rPr>
              <w:t>992.62</w:t>
            </w:r>
          </w:p>
        </w:tc>
        <w:tc>
          <w:tcPr>
            <w:tcW w:w="1863" w:type="dxa"/>
            <w:vAlign w:val="center"/>
          </w:tcPr>
          <w:p>
            <w:pPr>
              <w:jc w:val="right"/>
              <w:rPr>
                <w:rFonts w:ascii="宋体" w:hAnsi="宋体"/>
                <w:sz w:val="24"/>
                <w:szCs w:val="24"/>
              </w:rPr>
            </w:pPr>
            <w:r>
              <w:rPr>
                <w:rFonts w:ascii="宋体" w:hAnsi="宋体"/>
                <w:sz w:val="24"/>
                <w:szCs w:val="24"/>
              </w:rPr>
              <w:t>50.88%</w:t>
            </w:r>
          </w:p>
        </w:tc>
        <w:tc>
          <w:tcPr>
            <w:tcW w:w="1863" w:type="dxa"/>
            <w:vAlign w:val="center"/>
          </w:tcPr>
          <w:p>
            <w:pPr>
              <w:widowControl/>
              <w:jc w:val="right"/>
              <w:rPr>
                <w:rFonts w:ascii="宋体" w:hAnsi="宋体"/>
                <w:sz w:val="24"/>
                <w:szCs w:val="24"/>
              </w:rPr>
            </w:pPr>
            <w:r>
              <w:rPr>
                <w:rFonts w:hint="eastAsia" w:ascii="宋体" w:hAnsi="宋体"/>
                <w:sz w:val="24"/>
                <w:szCs w:val="24"/>
              </w:rPr>
              <w:t>214.63</w:t>
            </w:r>
          </w:p>
        </w:tc>
        <w:tc>
          <w:tcPr>
            <w:tcW w:w="1866" w:type="dxa"/>
            <w:vAlign w:val="center"/>
          </w:tcPr>
          <w:p>
            <w:pPr>
              <w:jc w:val="right"/>
              <w:rPr>
                <w:rFonts w:ascii="宋体" w:hAnsi="宋体"/>
                <w:sz w:val="24"/>
                <w:szCs w:val="24"/>
              </w:rPr>
            </w:pPr>
            <w:r>
              <w:rPr>
                <w:rFonts w:hint="eastAsia" w:ascii="宋体" w:hAnsi="宋体"/>
                <w:sz w:val="24"/>
                <w:szCs w:val="24"/>
              </w:rPr>
              <w:t>414.36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8" w:type="dxa"/>
            <w:vAlign w:val="center"/>
          </w:tcPr>
          <w:p>
            <w:pPr>
              <w:jc w:val="center"/>
              <w:rPr>
                <w:rFonts w:ascii="宋体" w:hAnsi="宋体"/>
                <w:sz w:val="24"/>
                <w:szCs w:val="24"/>
              </w:rPr>
            </w:pPr>
            <w:r>
              <w:rPr>
                <w:rFonts w:hint="eastAsia" w:ascii="宋体" w:hAnsi="宋体"/>
                <w:sz w:val="24"/>
                <w:szCs w:val="24"/>
              </w:rPr>
              <w:t>建安工程</w:t>
            </w:r>
          </w:p>
        </w:tc>
        <w:tc>
          <w:tcPr>
            <w:tcW w:w="1863" w:type="dxa"/>
            <w:vAlign w:val="center"/>
          </w:tcPr>
          <w:p>
            <w:pPr>
              <w:jc w:val="right"/>
              <w:rPr>
                <w:rFonts w:ascii="宋体" w:hAnsi="宋体"/>
                <w:sz w:val="24"/>
                <w:szCs w:val="24"/>
              </w:rPr>
            </w:pPr>
            <w:r>
              <w:rPr>
                <w:rFonts w:ascii="宋体" w:hAnsi="宋体"/>
                <w:sz w:val="24"/>
                <w:szCs w:val="24"/>
              </w:rPr>
              <w:t>60,818.00</w:t>
            </w:r>
          </w:p>
        </w:tc>
        <w:tc>
          <w:tcPr>
            <w:tcW w:w="1863" w:type="dxa"/>
            <w:vAlign w:val="center"/>
          </w:tcPr>
          <w:p>
            <w:pPr>
              <w:jc w:val="right"/>
              <w:rPr>
                <w:rFonts w:ascii="宋体" w:hAnsi="宋体"/>
                <w:sz w:val="24"/>
                <w:szCs w:val="24"/>
              </w:rPr>
            </w:pPr>
            <w:r>
              <w:rPr>
                <w:rFonts w:ascii="宋体" w:hAnsi="宋体"/>
                <w:sz w:val="24"/>
                <w:szCs w:val="24"/>
              </w:rPr>
              <w:t>3</w:t>
            </w:r>
            <w:r>
              <w:rPr>
                <w:rFonts w:hint="eastAsia" w:ascii="宋体" w:hAnsi="宋体"/>
                <w:sz w:val="24"/>
                <w:szCs w:val="24"/>
              </w:rPr>
              <w:t>6</w:t>
            </w:r>
            <w:r>
              <w:rPr>
                <w:rFonts w:ascii="宋体" w:hAnsi="宋体"/>
                <w:sz w:val="24"/>
                <w:szCs w:val="24"/>
              </w:rPr>
              <w:t>,957.</w:t>
            </w:r>
            <w:r>
              <w:rPr>
                <w:rFonts w:hint="eastAsia" w:ascii="宋体" w:hAnsi="宋体"/>
                <w:sz w:val="24"/>
                <w:szCs w:val="24"/>
              </w:rPr>
              <w:t>5</w:t>
            </w:r>
            <w:r>
              <w:rPr>
                <w:rFonts w:ascii="宋体" w:hAnsi="宋体"/>
                <w:sz w:val="24"/>
                <w:szCs w:val="24"/>
              </w:rPr>
              <w:t>0</w:t>
            </w:r>
          </w:p>
        </w:tc>
        <w:tc>
          <w:tcPr>
            <w:tcW w:w="1863" w:type="dxa"/>
            <w:vAlign w:val="center"/>
          </w:tcPr>
          <w:p>
            <w:pPr>
              <w:jc w:val="right"/>
              <w:rPr>
                <w:rFonts w:ascii="宋体" w:hAnsi="宋体"/>
                <w:sz w:val="24"/>
                <w:szCs w:val="24"/>
              </w:rPr>
            </w:pPr>
            <w:r>
              <w:rPr>
                <w:rFonts w:hint="eastAsia" w:ascii="宋体" w:hAnsi="宋体"/>
                <w:sz w:val="24"/>
                <w:szCs w:val="24"/>
              </w:rPr>
              <w:t>60.</w:t>
            </w:r>
            <w:r>
              <w:rPr>
                <w:rFonts w:ascii="宋体" w:hAnsi="宋体"/>
                <w:sz w:val="24"/>
                <w:szCs w:val="24"/>
              </w:rPr>
              <w:t>7</w:t>
            </w:r>
            <w:r>
              <w:rPr>
                <w:rFonts w:hint="eastAsia" w:ascii="宋体" w:hAnsi="宋体"/>
                <w:sz w:val="24"/>
                <w:szCs w:val="24"/>
                <w:lang w:val="en-US" w:eastAsia="zh-CN"/>
              </w:rPr>
              <w:t>7</w:t>
            </w:r>
            <w:r>
              <w:rPr>
                <w:rFonts w:ascii="宋体" w:hAnsi="宋体"/>
                <w:sz w:val="24"/>
                <w:szCs w:val="24"/>
              </w:rPr>
              <w:t>%</w:t>
            </w:r>
          </w:p>
        </w:tc>
        <w:tc>
          <w:tcPr>
            <w:tcW w:w="1863" w:type="dxa"/>
            <w:vAlign w:val="center"/>
          </w:tcPr>
          <w:p>
            <w:pPr>
              <w:widowControl/>
              <w:jc w:val="right"/>
              <w:rPr>
                <w:rFonts w:ascii="宋体" w:hAnsi="宋体"/>
                <w:sz w:val="24"/>
                <w:szCs w:val="24"/>
              </w:rPr>
            </w:pPr>
            <w:r>
              <w:rPr>
                <w:rFonts w:hint="eastAsia" w:ascii="宋体" w:hAnsi="宋体"/>
                <w:sz w:val="24"/>
              </w:rPr>
              <w:t>5</w:t>
            </w:r>
            <w:r>
              <w:rPr>
                <w:rFonts w:ascii="宋体" w:hAnsi="宋体"/>
                <w:sz w:val="24"/>
              </w:rPr>
              <w:t>,</w:t>
            </w:r>
            <w:r>
              <w:rPr>
                <w:rFonts w:hint="eastAsia" w:ascii="宋体" w:hAnsi="宋体"/>
                <w:sz w:val="24"/>
              </w:rPr>
              <w:t>068.07</w:t>
            </w:r>
          </w:p>
        </w:tc>
        <w:tc>
          <w:tcPr>
            <w:tcW w:w="1866" w:type="dxa"/>
            <w:vAlign w:val="center"/>
          </w:tcPr>
          <w:p>
            <w:pPr>
              <w:jc w:val="right"/>
              <w:rPr>
                <w:rFonts w:ascii="宋体" w:hAnsi="宋体"/>
                <w:sz w:val="24"/>
                <w:szCs w:val="24"/>
              </w:rPr>
            </w:pPr>
            <w:r>
              <w:rPr>
                <w:rFonts w:hint="eastAsia" w:ascii="宋体" w:hAnsi="宋体"/>
                <w:sz w:val="24"/>
                <w:szCs w:val="24"/>
              </w:rPr>
              <w:t>1,530.95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管理费用</w:t>
            </w:r>
          </w:p>
        </w:tc>
        <w:tc>
          <w:tcPr>
            <w:tcW w:w="1863" w:type="dxa"/>
            <w:vAlign w:val="center"/>
          </w:tcPr>
          <w:p>
            <w:pPr>
              <w:jc w:val="right"/>
              <w:rPr>
                <w:rFonts w:ascii="宋体" w:hAnsi="宋体"/>
                <w:sz w:val="24"/>
                <w:szCs w:val="24"/>
              </w:rPr>
            </w:pPr>
            <w:r>
              <w:rPr>
                <w:rFonts w:hint="eastAsia" w:ascii="宋体" w:hAnsi="宋体"/>
                <w:sz w:val="24"/>
                <w:szCs w:val="24"/>
              </w:rPr>
              <w:t>3,</w:t>
            </w:r>
            <w:r>
              <w:rPr>
                <w:rFonts w:ascii="宋体" w:hAnsi="宋体"/>
                <w:sz w:val="24"/>
                <w:szCs w:val="24"/>
              </w:rPr>
              <w:t>311.00</w:t>
            </w:r>
          </w:p>
        </w:tc>
        <w:tc>
          <w:tcPr>
            <w:tcW w:w="1863" w:type="dxa"/>
            <w:vAlign w:val="center"/>
          </w:tcPr>
          <w:p>
            <w:pPr>
              <w:jc w:val="right"/>
              <w:rPr>
                <w:rFonts w:ascii="宋体" w:hAnsi="宋体"/>
                <w:sz w:val="24"/>
                <w:szCs w:val="24"/>
              </w:rPr>
            </w:pPr>
            <w:r>
              <w:rPr>
                <w:rFonts w:ascii="宋体" w:hAnsi="宋体"/>
                <w:sz w:val="24"/>
                <w:szCs w:val="24"/>
              </w:rPr>
              <w:t>1.50</w:t>
            </w:r>
          </w:p>
        </w:tc>
        <w:tc>
          <w:tcPr>
            <w:tcW w:w="1863" w:type="dxa"/>
            <w:vAlign w:val="center"/>
          </w:tcPr>
          <w:p>
            <w:pPr>
              <w:jc w:val="right"/>
              <w:rPr>
                <w:rFonts w:hint="default" w:ascii="宋体" w:hAnsi="宋体" w:eastAsia="宋体"/>
                <w:sz w:val="24"/>
                <w:szCs w:val="24"/>
                <w:lang w:val="en-US" w:eastAsia="zh-CN"/>
              </w:rPr>
            </w:pPr>
            <w:r>
              <w:rPr>
                <w:rFonts w:hint="eastAsia" w:ascii="宋体" w:hAnsi="宋体"/>
                <w:sz w:val="24"/>
                <w:szCs w:val="24"/>
              </w:rPr>
              <w:t>0.0</w:t>
            </w:r>
            <w:r>
              <w:rPr>
                <w:rFonts w:hint="eastAsia" w:ascii="宋体" w:hAnsi="宋体"/>
                <w:sz w:val="24"/>
                <w:szCs w:val="24"/>
                <w:lang w:val="en-US" w:eastAsia="zh-CN"/>
              </w:rPr>
              <w:t>5%</w:t>
            </w:r>
          </w:p>
        </w:tc>
        <w:tc>
          <w:tcPr>
            <w:tcW w:w="1863" w:type="dxa"/>
            <w:vAlign w:val="center"/>
          </w:tcPr>
          <w:p>
            <w:pPr>
              <w:widowControl/>
              <w:jc w:val="right"/>
              <w:rPr>
                <w:rFonts w:ascii="宋体" w:hAnsi="宋体"/>
                <w:sz w:val="24"/>
                <w:szCs w:val="24"/>
              </w:rPr>
            </w:pPr>
            <w:r>
              <w:rPr>
                <w:rFonts w:hint="eastAsia" w:ascii="宋体" w:hAnsi="宋体"/>
                <w:sz w:val="24"/>
                <w:szCs w:val="24"/>
              </w:rPr>
              <w:t>96.62</w:t>
            </w:r>
          </w:p>
        </w:tc>
        <w:tc>
          <w:tcPr>
            <w:tcW w:w="1866" w:type="dxa"/>
            <w:vAlign w:val="center"/>
          </w:tcPr>
          <w:p>
            <w:pPr>
              <w:jc w:val="right"/>
              <w:rPr>
                <w:rFonts w:ascii="宋体" w:hAnsi="宋体"/>
                <w:sz w:val="24"/>
                <w:szCs w:val="24"/>
              </w:rPr>
            </w:pPr>
            <w:bookmarkStart w:id="1" w:name="_GoBack"/>
            <w:bookmarkEnd w:id="1"/>
            <w:r>
              <w:rPr>
                <w:rFonts w:hint="eastAsia" w:ascii="宋体" w:hAnsi="宋体"/>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营销费用</w:t>
            </w:r>
          </w:p>
        </w:tc>
        <w:tc>
          <w:tcPr>
            <w:tcW w:w="1863" w:type="dxa"/>
            <w:vAlign w:val="center"/>
          </w:tcPr>
          <w:p>
            <w:pPr>
              <w:jc w:val="right"/>
              <w:rPr>
                <w:rFonts w:ascii="宋体" w:hAnsi="宋体"/>
                <w:sz w:val="24"/>
                <w:szCs w:val="24"/>
              </w:rPr>
            </w:pPr>
            <w:r>
              <w:rPr>
                <w:rFonts w:hint="eastAsia" w:ascii="宋体" w:hAnsi="宋体"/>
                <w:sz w:val="24"/>
                <w:szCs w:val="24"/>
              </w:rPr>
              <w:t>4,</w:t>
            </w:r>
            <w:r>
              <w:rPr>
                <w:rFonts w:ascii="宋体" w:hAnsi="宋体"/>
                <w:sz w:val="24"/>
                <w:szCs w:val="24"/>
              </w:rPr>
              <w:t>415.00</w:t>
            </w:r>
          </w:p>
        </w:tc>
        <w:tc>
          <w:tcPr>
            <w:tcW w:w="1863" w:type="dxa"/>
            <w:vAlign w:val="center"/>
          </w:tcPr>
          <w:p>
            <w:pPr>
              <w:jc w:val="right"/>
              <w:rPr>
                <w:rFonts w:ascii="宋体" w:hAnsi="宋体"/>
                <w:sz w:val="24"/>
                <w:szCs w:val="24"/>
              </w:rPr>
            </w:pPr>
            <w:r>
              <w:rPr>
                <w:rFonts w:hint="eastAsia" w:ascii="宋体" w:hAnsi="宋体"/>
                <w:sz w:val="24"/>
                <w:szCs w:val="24"/>
              </w:rPr>
              <w:t>2</w:t>
            </w:r>
            <w:r>
              <w:rPr>
                <w:rFonts w:ascii="宋体" w:hAnsi="宋体"/>
                <w:sz w:val="24"/>
                <w:szCs w:val="24"/>
              </w:rPr>
              <w:t>60.05</w:t>
            </w:r>
          </w:p>
        </w:tc>
        <w:tc>
          <w:tcPr>
            <w:tcW w:w="1863" w:type="dxa"/>
            <w:vAlign w:val="center"/>
          </w:tcPr>
          <w:p>
            <w:pPr>
              <w:jc w:val="right"/>
              <w:rPr>
                <w:rFonts w:ascii="宋体" w:hAnsi="宋体"/>
                <w:sz w:val="24"/>
                <w:szCs w:val="24"/>
              </w:rPr>
            </w:pPr>
            <w:r>
              <w:rPr>
                <w:rFonts w:hint="eastAsia" w:ascii="宋体" w:hAnsi="宋体"/>
                <w:sz w:val="24"/>
                <w:szCs w:val="24"/>
              </w:rPr>
              <w:t>5.</w:t>
            </w:r>
            <w:r>
              <w:rPr>
                <w:rFonts w:ascii="宋体" w:hAnsi="宋体"/>
                <w:sz w:val="24"/>
                <w:szCs w:val="24"/>
              </w:rPr>
              <w:t>89%</w:t>
            </w:r>
          </w:p>
        </w:tc>
        <w:tc>
          <w:tcPr>
            <w:tcW w:w="1863" w:type="dxa"/>
            <w:vAlign w:val="center"/>
          </w:tcPr>
          <w:p>
            <w:pPr>
              <w:widowControl/>
              <w:jc w:val="right"/>
              <w:rPr>
                <w:rFonts w:ascii="宋体" w:hAnsi="宋体"/>
                <w:sz w:val="24"/>
                <w:szCs w:val="24"/>
              </w:rPr>
            </w:pPr>
            <w:r>
              <w:rPr>
                <w:rFonts w:hint="eastAsia" w:ascii="宋体" w:hAnsi="宋体"/>
                <w:sz w:val="24"/>
                <w:szCs w:val="24"/>
              </w:rPr>
              <w:t>63.96</w:t>
            </w:r>
          </w:p>
        </w:tc>
        <w:tc>
          <w:tcPr>
            <w:tcW w:w="1866" w:type="dxa"/>
            <w:vAlign w:val="center"/>
          </w:tcPr>
          <w:p>
            <w:pPr>
              <w:jc w:val="right"/>
              <w:rPr>
                <w:rFonts w:ascii="宋体" w:hAnsi="宋体"/>
                <w:sz w:val="24"/>
                <w:szCs w:val="24"/>
              </w:rPr>
            </w:pPr>
            <w:r>
              <w:rPr>
                <w:rFonts w:hint="eastAsia" w:ascii="宋体" w:hAnsi="宋体"/>
                <w:sz w:val="24"/>
                <w:szCs w:val="24"/>
                <w:lang w:bidi="zh-CN"/>
              </w:rPr>
              <w:t>252.42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财务费用</w:t>
            </w:r>
          </w:p>
        </w:tc>
        <w:tc>
          <w:tcPr>
            <w:tcW w:w="1863" w:type="dxa"/>
            <w:vAlign w:val="center"/>
          </w:tcPr>
          <w:p>
            <w:pPr>
              <w:jc w:val="right"/>
              <w:rPr>
                <w:rFonts w:ascii="宋体" w:hAnsi="宋体"/>
                <w:sz w:val="24"/>
                <w:szCs w:val="24"/>
              </w:rPr>
            </w:pPr>
            <w:r>
              <w:rPr>
                <w:rFonts w:hint="eastAsia" w:ascii="宋体" w:hAnsi="宋体"/>
                <w:sz w:val="24"/>
                <w:szCs w:val="24"/>
              </w:rPr>
              <w:t>3,</w:t>
            </w:r>
            <w:r>
              <w:rPr>
                <w:rFonts w:ascii="宋体" w:hAnsi="宋体"/>
                <w:sz w:val="24"/>
                <w:szCs w:val="24"/>
              </w:rPr>
              <w:t>919.00</w:t>
            </w:r>
          </w:p>
        </w:tc>
        <w:tc>
          <w:tcPr>
            <w:tcW w:w="1863" w:type="dxa"/>
            <w:vAlign w:val="center"/>
          </w:tcPr>
          <w:p>
            <w:pPr>
              <w:jc w:val="right"/>
              <w:rPr>
                <w:rFonts w:ascii="宋体" w:hAnsi="宋体"/>
                <w:sz w:val="24"/>
                <w:szCs w:val="24"/>
              </w:rPr>
            </w:pPr>
            <w:r>
              <w:rPr>
                <w:rFonts w:hint="eastAsia" w:ascii="宋体" w:hAnsi="宋体"/>
                <w:sz w:val="24"/>
                <w:szCs w:val="24"/>
              </w:rPr>
              <w:t>0.00</w:t>
            </w:r>
          </w:p>
        </w:tc>
        <w:tc>
          <w:tcPr>
            <w:tcW w:w="1863" w:type="dxa"/>
            <w:vAlign w:val="center"/>
          </w:tcPr>
          <w:p>
            <w:pPr>
              <w:jc w:val="right"/>
              <w:rPr>
                <w:rFonts w:ascii="宋体" w:hAnsi="宋体"/>
                <w:sz w:val="24"/>
                <w:szCs w:val="24"/>
              </w:rPr>
            </w:pPr>
            <w:r>
              <w:rPr>
                <w:rFonts w:hint="eastAsia" w:ascii="宋体" w:hAnsi="宋体"/>
                <w:sz w:val="24"/>
                <w:szCs w:val="24"/>
              </w:rPr>
              <w:t>0.00</w:t>
            </w:r>
          </w:p>
        </w:tc>
        <w:tc>
          <w:tcPr>
            <w:tcW w:w="1863" w:type="dxa"/>
            <w:vAlign w:val="center"/>
          </w:tcPr>
          <w:p>
            <w:pPr>
              <w:widowControl/>
              <w:jc w:val="right"/>
              <w:rPr>
                <w:rFonts w:ascii="宋体" w:hAnsi="宋体"/>
                <w:sz w:val="24"/>
                <w:szCs w:val="24"/>
              </w:rPr>
            </w:pPr>
            <w:r>
              <w:rPr>
                <w:rFonts w:ascii="宋体" w:hAnsi="宋体"/>
                <w:sz w:val="24"/>
                <w:szCs w:val="24"/>
              </w:rPr>
              <w:t>0.0</w:t>
            </w:r>
            <w:r>
              <w:rPr>
                <w:rFonts w:hint="eastAsia" w:ascii="宋体" w:hAnsi="宋体"/>
                <w:sz w:val="24"/>
                <w:szCs w:val="24"/>
              </w:rPr>
              <w:t>8</w:t>
            </w:r>
          </w:p>
        </w:tc>
        <w:tc>
          <w:tcPr>
            <w:tcW w:w="1866" w:type="dxa"/>
            <w:vAlign w:val="center"/>
          </w:tcPr>
          <w:p>
            <w:pPr>
              <w:jc w:val="right"/>
              <w:rPr>
                <w:rFonts w:ascii="宋体" w:hAnsi="宋体"/>
                <w:sz w:val="24"/>
                <w:szCs w:val="24"/>
              </w:rPr>
            </w:pPr>
            <w:r>
              <w:rPr>
                <w:rFonts w:hint="eastAsia" w:ascii="宋体" w:hAnsi="宋体"/>
                <w:sz w:val="24"/>
                <w:szCs w:val="24"/>
                <w:lang w:bidi="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税费</w:t>
            </w:r>
          </w:p>
        </w:tc>
        <w:tc>
          <w:tcPr>
            <w:tcW w:w="1863" w:type="dxa"/>
            <w:vAlign w:val="center"/>
          </w:tcPr>
          <w:p>
            <w:pPr>
              <w:jc w:val="right"/>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281</w:t>
            </w:r>
            <w:r>
              <w:rPr>
                <w:rFonts w:ascii="宋体" w:hAnsi="宋体"/>
                <w:sz w:val="24"/>
                <w:szCs w:val="24"/>
              </w:rPr>
              <w:t>.00</w:t>
            </w:r>
          </w:p>
        </w:tc>
        <w:tc>
          <w:tcPr>
            <w:tcW w:w="1863" w:type="dxa"/>
            <w:vAlign w:val="center"/>
          </w:tcPr>
          <w:p>
            <w:pPr>
              <w:jc w:val="right"/>
              <w:rPr>
                <w:rFonts w:ascii="宋体" w:hAnsi="宋体"/>
                <w:sz w:val="24"/>
                <w:szCs w:val="24"/>
              </w:rPr>
            </w:pPr>
            <w:r>
              <w:rPr>
                <w:rFonts w:hint="eastAsia" w:ascii="宋体" w:hAnsi="宋体"/>
                <w:sz w:val="24"/>
                <w:szCs w:val="24"/>
              </w:rPr>
              <w:t>0</w:t>
            </w:r>
            <w:r>
              <w:rPr>
                <w:rFonts w:ascii="宋体" w:hAnsi="宋体"/>
                <w:sz w:val="24"/>
                <w:szCs w:val="24"/>
              </w:rPr>
              <w:t>.00</w:t>
            </w:r>
          </w:p>
        </w:tc>
        <w:tc>
          <w:tcPr>
            <w:tcW w:w="1863" w:type="dxa"/>
            <w:vAlign w:val="center"/>
          </w:tcPr>
          <w:p>
            <w:pPr>
              <w:jc w:val="right"/>
              <w:rPr>
                <w:rFonts w:ascii="宋体" w:hAnsi="宋体"/>
                <w:sz w:val="24"/>
                <w:szCs w:val="24"/>
              </w:rPr>
            </w:pPr>
            <w:r>
              <w:rPr>
                <w:rFonts w:hint="eastAsia" w:ascii="宋体" w:hAnsi="宋体"/>
                <w:sz w:val="24"/>
                <w:szCs w:val="24"/>
              </w:rPr>
              <w:t>0</w:t>
            </w:r>
            <w:r>
              <w:rPr>
                <w:rFonts w:ascii="宋体" w:hAnsi="宋体"/>
                <w:sz w:val="24"/>
                <w:szCs w:val="24"/>
              </w:rPr>
              <w:t>.00</w:t>
            </w:r>
          </w:p>
        </w:tc>
        <w:tc>
          <w:tcPr>
            <w:tcW w:w="1863" w:type="dxa"/>
            <w:vAlign w:val="center"/>
          </w:tcPr>
          <w:p>
            <w:pPr>
              <w:widowControl/>
              <w:jc w:val="right"/>
              <w:rPr>
                <w:rFonts w:ascii="宋体" w:hAnsi="宋体"/>
                <w:sz w:val="24"/>
                <w:szCs w:val="24"/>
              </w:rPr>
            </w:pPr>
            <w:r>
              <w:rPr>
                <w:rFonts w:hint="eastAsia" w:ascii="宋体" w:hAnsi="宋体"/>
                <w:sz w:val="24"/>
                <w:szCs w:val="24"/>
              </w:rPr>
              <w:t>0</w:t>
            </w:r>
            <w:r>
              <w:rPr>
                <w:rFonts w:ascii="宋体" w:hAnsi="宋体"/>
                <w:sz w:val="24"/>
                <w:szCs w:val="24"/>
              </w:rPr>
              <w:t>.00</w:t>
            </w:r>
          </w:p>
        </w:tc>
        <w:tc>
          <w:tcPr>
            <w:tcW w:w="1866" w:type="dxa"/>
            <w:vAlign w:val="center"/>
          </w:tcPr>
          <w:p>
            <w:pPr>
              <w:jc w:val="right"/>
              <w:rPr>
                <w:rFonts w:ascii="宋体" w:hAnsi="宋体"/>
                <w:sz w:val="24"/>
                <w:szCs w:val="24"/>
              </w:rPr>
            </w:pPr>
            <w:r>
              <w:rPr>
                <w:rFonts w:hint="eastAsia" w:ascii="宋体" w:hAnsi="宋体"/>
                <w:sz w:val="24"/>
                <w:szCs w:val="24"/>
              </w:rPr>
              <w:t>0</w:t>
            </w:r>
            <w:r>
              <w:rPr>
                <w:rFonts w:ascii="宋体" w:hAnsi="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sz w:val="24"/>
                <w:szCs w:val="24"/>
              </w:rPr>
            </w:pPr>
            <w:r>
              <w:rPr>
                <w:rFonts w:hint="eastAsia" w:ascii="宋体" w:hAnsi="宋体"/>
                <w:sz w:val="24"/>
                <w:szCs w:val="24"/>
              </w:rPr>
              <w:t>其他</w:t>
            </w:r>
          </w:p>
        </w:tc>
        <w:tc>
          <w:tcPr>
            <w:tcW w:w="1863" w:type="dxa"/>
            <w:vAlign w:val="center"/>
          </w:tcPr>
          <w:p>
            <w:pPr>
              <w:jc w:val="right"/>
              <w:rPr>
                <w:rFonts w:ascii="宋体" w:hAnsi="宋体"/>
                <w:sz w:val="24"/>
                <w:szCs w:val="24"/>
              </w:rPr>
            </w:pPr>
            <w:r>
              <w:rPr>
                <w:rFonts w:hint="eastAsia" w:ascii="宋体" w:hAnsi="宋体"/>
                <w:sz w:val="24"/>
                <w:szCs w:val="24"/>
              </w:rPr>
              <w:t>0</w:t>
            </w:r>
            <w:r>
              <w:rPr>
                <w:rFonts w:ascii="宋体" w:hAnsi="宋体"/>
                <w:sz w:val="24"/>
                <w:szCs w:val="24"/>
              </w:rPr>
              <w:t>.00</w:t>
            </w:r>
          </w:p>
        </w:tc>
        <w:tc>
          <w:tcPr>
            <w:tcW w:w="1863" w:type="dxa"/>
            <w:vAlign w:val="center"/>
          </w:tcPr>
          <w:p>
            <w:pPr>
              <w:jc w:val="right"/>
              <w:rPr>
                <w:rFonts w:ascii="宋体" w:hAnsi="宋体"/>
                <w:sz w:val="24"/>
                <w:szCs w:val="24"/>
              </w:rPr>
            </w:pPr>
            <w:r>
              <w:rPr>
                <w:rFonts w:hint="eastAsia" w:ascii="宋体" w:hAnsi="宋体"/>
                <w:sz w:val="24"/>
                <w:szCs w:val="24"/>
              </w:rPr>
              <w:t>0.00</w:t>
            </w:r>
          </w:p>
        </w:tc>
        <w:tc>
          <w:tcPr>
            <w:tcW w:w="1863" w:type="dxa"/>
            <w:vAlign w:val="center"/>
          </w:tcPr>
          <w:p>
            <w:pPr>
              <w:jc w:val="right"/>
              <w:rPr>
                <w:rFonts w:ascii="宋体" w:hAnsi="宋体"/>
                <w:sz w:val="24"/>
                <w:szCs w:val="24"/>
              </w:rPr>
            </w:pPr>
            <w:r>
              <w:rPr>
                <w:rFonts w:hint="eastAsia" w:ascii="宋体" w:hAnsi="宋体"/>
                <w:sz w:val="24"/>
                <w:szCs w:val="24"/>
              </w:rPr>
              <w:t>0.00</w:t>
            </w:r>
          </w:p>
        </w:tc>
        <w:tc>
          <w:tcPr>
            <w:tcW w:w="1863" w:type="dxa"/>
            <w:vAlign w:val="center"/>
          </w:tcPr>
          <w:p>
            <w:pPr>
              <w:widowControl/>
              <w:jc w:val="right"/>
              <w:rPr>
                <w:rFonts w:ascii="宋体" w:hAnsi="宋体"/>
                <w:sz w:val="24"/>
                <w:szCs w:val="24"/>
              </w:rPr>
            </w:pPr>
            <w:r>
              <w:rPr>
                <w:rFonts w:hint="eastAsia" w:ascii="宋体" w:hAnsi="宋体"/>
                <w:sz w:val="24"/>
                <w:szCs w:val="24"/>
              </w:rPr>
              <w:t>9</w:t>
            </w:r>
            <w:r>
              <w:rPr>
                <w:rFonts w:ascii="宋体" w:hAnsi="宋体"/>
                <w:sz w:val="24"/>
                <w:szCs w:val="24"/>
              </w:rPr>
              <w:t>0.</w:t>
            </w:r>
            <w:r>
              <w:rPr>
                <w:rFonts w:hint="eastAsia" w:ascii="宋体" w:hAnsi="宋体"/>
                <w:sz w:val="24"/>
                <w:szCs w:val="24"/>
              </w:rPr>
              <w:t>22</w:t>
            </w:r>
          </w:p>
        </w:tc>
        <w:tc>
          <w:tcPr>
            <w:tcW w:w="1866" w:type="dxa"/>
            <w:vAlign w:val="center"/>
          </w:tcPr>
          <w:p>
            <w:pPr>
              <w:jc w:val="right"/>
              <w:rPr>
                <w:rFonts w:ascii="宋体" w:hAnsi="宋体"/>
                <w:sz w:val="24"/>
                <w:szCs w:val="24"/>
              </w:rPr>
            </w:pPr>
            <w:r>
              <w:rPr>
                <w:rFonts w:hint="eastAsia" w:ascii="宋体" w:hAnsi="宋体"/>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228" w:type="dxa"/>
            <w:vAlign w:val="center"/>
          </w:tcPr>
          <w:p>
            <w:pPr>
              <w:jc w:val="center"/>
              <w:rPr>
                <w:rFonts w:ascii="宋体" w:hAnsi="宋体"/>
                <w:b/>
                <w:bCs/>
                <w:sz w:val="24"/>
                <w:szCs w:val="24"/>
              </w:rPr>
            </w:pPr>
            <w:r>
              <w:rPr>
                <w:rFonts w:hint="eastAsia" w:ascii="宋体" w:hAnsi="宋体"/>
                <w:b/>
                <w:bCs/>
                <w:sz w:val="24"/>
                <w:szCs w:val="24"/>
              </w:rPr>
              <w:t>总计</w:t>
            </w:r>
          </w:p>
        </w:tc>
        <w:tc>
          <w:tcPr>
            <w:tcW w:w="1863" w:type="dxa"/>
            <w:vAlign w:val="center"/>
          </w:tcPr>
          <w:p>
            <w:pPr>
              <w:jc w:val="right"/>
              <w:rPr>
                <w:rFonts w:ascii="宋体" w:hAnsi="宋体"/>
                <w:b/>
                <w:bCs/>
                <w:sz w:val="24"/>
                <w:szCs w:val="24"/>
              </w:rPr>
            </w:pPr>
            <w:r>
              <w:rPr>
                <w:rFonts w:ascii="宋体" w:hAnsi="宋体"/>
                <w:b/>
                <w:bCs/>
                <w:sz w:val="24"/>
                <w:szCs w:val="24"/>
              </w:rPr>
              <w:t>205,014.00</w:t>
            </w:r>
          </w:p>
        </w:tc>
        <w:tc>
          <w:tcPr>
            <w:tcW w:w="1863" w:type="dxa"/>
            <w:vAlign w:val="center"/>
          </w:tcPr>
          <w:p>
            <w:pPr>
              <w:jc w:val="right"/>
              <w:rPr>
                <w:rFonts w:hint="eastAsia" w:ascii="宋体" w:hAnsi="宋体" w:eastAsia="宋体"/>
                <w:b/>
                <w:bCs/>
                <w:sz w:val="24"/>
                <w:szCs w:val="24"/>
                <w:lang w:eastAsia="zh-CN"/>
              </w:rPr>
            </w:pPr>
            <w:r>
              <w:rPr>
                <w:rFonts w:hint="eastAsia" w:ascii="宋体" w:hAnsi="宋体"/>
                <w:b/>
                <w:bCs/>
                <w:sz w:val="24"/>
                <w:szCs w:val="24"/>
              </w:rPr>
              <w:t>161</w:t>
            </w:r>
            <w:r>
              <w:rPr>
                <w:rFonts w:ascii="宋体" w:hAnsi="宋体"/>
                <w:b/>
                <w:bCs/>
                <w:sz w:val="24"/>
                <w:szCs w:val="24"/>
              </w:rPr>
              <w:t>,030.3</w:t>
            </w:r>
            <w:r>
              <w:rPr>
                <w:rFonts w:hint="eastAsia" w:ascii="宋体" w:hAnsi="宋体"/>
                <w:b/>
                <w:bCs/>
                <w:sz w:val="24"/>
                <w:szCs w:val="24"/>
                <w:lang w:val="en-US" w:eastAsia="zh-CN"/>
              </w:rPr>
              <w:t>9</w:t>
            </w:r>
          </w:p>
        </w:tc>
        <w:tc>
          <w:tcPr>
            <w:tcW w:w="1863" w:type="dxa"/>
            <w:vAlign w:val="center"/>
          </w:tcPr>
          <w:p>
            <w:pPr>
              <w:jc w:val="right"/>
              <w:rPr>
                <w:rFonts w:ascii="宋体" w:hAnsi="宋体"/>
                <w:b/>
                <w:bCs/>
                <w:sz w:val="24"/>
                <w:szCs w:val="24"/>
              </w:rPr>
            </w:pPr>
            <w:r>
              <w:rPr>
                <w:rFonts w:ascii="宋体" w:hAnsi="宋体"/>
                <w:b/>
                <w:bCs/>
                <w:sz w:val="24"/>
                <w:szCs w:val="24"/>
              </w:rPr>
              <w:t>7</w:t>
            </w:r>
            <w:r>
              <w:rPr>
                <w:rFonts w:hint="eastAsia" w:ascii="宋体" w:hAnsi="宋体"/>
                <w:b/>
                <w:bCs/>
                <w:sz w:val="24"/>
                <w:szCs w:val="24"/>
              </w:rPr>
              <w:t>8</w:t>
            </w:r>
            <w:r>
              <w:rPr>
                <w:rFonts w:ascii="宋体" w:hAnsi="宋体"/>
                <w:b/>
                <w:bCs/>
                <w:sz w:val="24"/>
                <w:szCs w:val="24"/>
              </w:rPr>
              <w:t>.</w:t>
            </w:r>
            <w:r>
              <w:rPr>
                <w:rFonts w:hint="eastAsia" w:ascii="宋体" w:hAnsi="宋体"/>
                <w:b/>
                <w:bCs/>
                <w:sz w:val="24"/>
                <w:szCs w:val="24"/>
              </w:rPr>
              <w:t>5</w:t>
            </w:r>
            <w:r>
              <w:rPr>
                <w:rFonts w:ascii="宋体" w:hAnsi="宋体"/>
                <w:b/>
                <w:bCs/>
                <w:sz w:val="24"/>
                <w:szCs w:val="24"/>
              </w:rPr>
              <w:t>5%</w:t>
            </w:r>
          </w:p>
        </w:tc>
        <w:tc>
          <w:tcPr>
            <w:tcW w:w="1863" w:type="dxa"/>
            <w:vAlign w:val="center"/>
          </w:tcPr>
          <w:p>
            <w:pPr>
              <w:widowControl/>
              <w:jc w:val="right"/>
              <w:rPr>
                <w:rFonts w:hint="default" w:ascii="宋体" w:hAnsi="宋体" w:eastAsia="宋体"/>
                <w:b/>
                <w:bCs/>
                <w:sz w:val="24"/>
                <w:szCs w:val="24"/>
                <w:lang w:val="en-US" w:eastAsia="zh-CN"/>
              </w:rPr>
            </w:pPr>
            <w:r>
              <w:rPr>
                <w:rFonts w:hint="eastAsia" w:ascii="宋体" w:hAnsi="宋体"/>
                <w:b/>
                <w:bCs/>
                <w:sz w:val="24"/>
                <w:szCs w:val="24"/>
              </w:rPr>
              <w:t>65</w:t>
            </w:r>
            <w:r>
              <w:rPr>
                <w:rFonts w:ascii="宋体" w:hAnsi="宋体"/>
                <w:b/>
                <w:bCs/>
                <w:sz w:val="24"/>
                <w:szCs w:val="24"/>
              </w:rPr>
              <w:t>,</w:t>
            </w:r>
            <w:r>
              <w:rPr>
                <w:rFonts w:hint="eastAsia" w:ascii="宋体" w:hAnsi="宋体"/>
                <w:b/>
                <w:bCs/>
                <w:sz w:val="24"/>
                <w:szCs w:val="24"/>
              </w:rPr>
              <w:t>280.</w:t>
            </w:r>
            <w:r>
              <w:rPr>
                <w:rFonts w:hint="eastAsia" w:ascii="宋体" w:hAnsi="宋体"/>
                <w:b/>
                <w:bCs/>
                <w:sz w:val="24"/>
                <w:szCs w:val="24"/>
                <w:lang w:val="en-US" w:eastAsia="zh-CN"/>
              </w:rPr>
              <w:t>96</w:t>
            </w:r>
          </w:p>
        </w:tc>
        <w:tc>
          <w:tcPr>
            <w:tcW w:w="1866" w:type="dxa"/>
            <w:vAlign w:val="center"/>
          </w:tcPr>
          <w:p>
            <w:pPr>
              <w:jc w:val="right"/>
              <w:rPr>
                <w:rFonts w:ascii="宋体" w:hAnsi="宋体"/>
                <w:b/>
                <w:bCs/>
                <w:sz w:val="24"/>
                <w:szCs w:val="24"/>
              </w:rPr>
            </w:pPr>
            <w:r>
              <w:rPr>
                <w:rFonts w:hint="eastAsia" w:ascii="宋体" w:hAnsi="宋体"/>
                <w:b/>
                <w:bCs/>
                <w:sz w:val="24"/>
                <w:szCs w:val="24"/>
              </w:rPr>
              <w:t>63</w:t>
            </w:r>
            <w:r>
              <w:rPr>
                <w:rFonts w:ascii="宋体" w:hAnsi="宋体"/>
                <w:b/>
                <w:bCs/>
                <w:sz w:val="24"/>
                <w:szCs w:val="24"/>
              </w:rPr>
              <w:t>,</w:t>
            </w:r>
            <w:r>
              <w:rPr>
                <w:rFonts w:hint="eastAsia" w:ascii="宋体" w:hAnsi="宋体"/>
                <w:b/>
                <w:bCs/>
                <w:sz w:val="24"/>
                <w:szCs w:val="24"/>
              </w:rPr>
              <w:t>659.22</w:t>
            </w:r>
          </w:p>
        </w:tc>
      </w:tr>
      <w:bookmarkEnd w:id="0"/>
    </w:tbl>
    <w:p>
      <w:pPr>
        <w:pStyle w:val="10"/>
        <w:spacing w:after="0"/>
        <w:ind w:firstLine="0" w:firstLineChars="0"/>
        <w:rPr>
          <w:rFonts w:ascii="Arial" w:hAnsi="Arial" w:cs="Arial"/>
          <w:bCs/>
          <w:sz w:val="18"/>
          <w:szCs w:val="18"/>
        </w:rPr>
      </w:pPr>
      <w:r>
        <w:rPr>
          <w:rFonts w:hint="eastAsia" w:ascii="Arial" w:hAnsi="Arial" w:cs="Arial"/>
          <w:bCs/>
          <w:sz w:val="18"/>
          <w:szCs w:val="18"/>
        </w:rPr>
        <w:t>注：1、上表采用电算化连续计算得出，由于计算数据均按四舍五入保留两位小数或取整，故可能出现个别加总不完全相等的情况；</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土地成本及土地合同包括：（1）土地款、(2)土地契税、(3)土地合同印花税、(4)市政公建配套费，融创负责开发杭州富春项目中的住宅部分，仅承担住宅部分的土地成本；</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建安工程成本包括：（1）建安工程款、（2）</w:t>
      </w:r>
      <w:r>
        <w:rPr>
          <w:rFonts w:hint="eastAsia" w:ascii="Arial" w:hAnsi="Arial" w:cs="Arial"/>
          <w:color w:val="000000"/>
          <w:kern w:val="0"/>
          <w:sz w:val="18"/>
          <w:szCs w:val="18"/>
          <w:lang w:bidi="ar"/>
        </w:rPr>
        <w:t>基础设施工程款、（3）公共配套设施工程款。</w:t>
      </w:r>
    </w:p>
    <w:p>
      <w:pPr>
        <w:spacing w:before="160" w:beforeLines="50" w:after="160" w:afterLines="50" w:line="360" w:lineRule="auto"/>
        <w:rPr>
          <w:rFonts w:ascii="宋体" w:hAnsi="宋体" w:cs="宋体"/>
          <w:b/>
          <w:sz w:val="24"/>
          <w:szCs w:val="24"/>
        </w:rPr>
      </w:pPr>
      <w:r>
        <w:rPr>
          <w:rFonts w:hint="eastAsia" w:ascii="宋体" w:hAnsi="宋体"/>
          <w:b/>
          <w:color w:val="000000"/>
          <w:sz w:val="24"/>
          <w:szCs w:val="24"/>
          <w:lang w:bidi="zh-CN"/>
        </w:rPr>
        <w:t>二、</w:t>
      </w:r>
      <w:r>
        <w:rPr>
          <w:rFonts w:hint="eastAsia" w:ascii="宋体" w:hAnsi="宋体" w:cs="宋体"/>
          <w:b/>
          <w:sz w:val="24"/>
          <w:szCs w:val="24"/>
          <w:lang w:val="en-US" w:eastAsia="zh-CN"/>
        </w:rPr>
        <w:t>2</w:t>
      </w:r>
      <w:r>
        <w:rPr>
          <w:rFonts w:hint="eastAsia" w:ascii="宋体" w:hAnsi="宋体" w:cs="宋体"/>
          <w:b/>
          <w:sz w:val="24"/>
          <w:szCs w:val="24"/>
        </w:rPr>
        <w:t>月份资</w:t>
      </w:r>
      <w:r>
        <w:rPr>
          <w:rFonts w:ascii="宋体" w:hAnsi="宋体" w:cs="宋体"/>
          <w:b/>
          <w:sz w:val="24"/>
          <w:szCs w:val="24"/>
        </w:rPr>
        <w:t>金计划使用情况</w:t>
      </w:r>
    </w:p>
    <w:p>
      <w:pPr>
        <w:pStyle w:val="10"/>
        <w:spacing w:after="0" w:line="480" w:lineRule="auto"/>
        <w:ind w:firstLine="480" w:firstLineChars="200"/>
        <w:jc w:val="left"/>
        <w:rPr>
          <w:rFonts w:ascii="宋体" w:hAnsi="宋体" w:cs="宋体"/>
          <w:sz w:val="24"/>
          <w:lang w:bidi="zh-CN"/>
        </w:rPr>
      </w:pPr>
      <w:r>
        <w:rPr>
          <w:rFonts w:hint="eastAsia" w:ascii="宋体" w:hAnsi="宋体"/>
          <w:sz w:val="24"/>
        </w:rPr>
        <w:t>项目公司</w:t>
      </w:r>
      <w:r>
        <w:rPr>
          <w:rFonts w:ascii="宋体" w:hAnsi="宋体"/>
          <w:sz w:val="24"/>
        </w:rPr>
        <w:t>2021</w:t>
      </w:r>
      <w:r>
        <w:rPr>
          <w:rFonts w:hint="eastAsia" w:ascii="宋体" w:hAnsi="宋体"/>
          <w:sz w:val="24"/>
        </w:rPr>
        <w:t>年2</w:t>
      </w:r>
      <w:r>
        <w:rPr>
          <w:rFonts w:ascii="宋体" w:hAnsi="宋体"/>
          <w:sz w:val="24"/>
        </w:rPr>
        <w:t>月资金支出计划3,759.38</w:t>
      </w:r>
      <w:r>
        <w:rPr>
          <w:rFonts w:hint="eastAsia" w:ascii="宋体" w:hAnsi="宋体"/>
          <w:bCs/>
          <w:sz w:val="24"/>
        </w:rPr>
        <w:t>万元，</w:t>
      </w:r>
      <w:r>
        <w:rPr>
          <w:rFonts w:hint="eastAsia" w:ascii="宋体" w:hAnsi="宋体"/>
          <w:sz w:val="24"/>
        </w:rPr>
        <w:t>实际资金支付</w:t>
      </w:r>
      <w:r>
        <w:rPr>
          <w:rFonts w:ascii="宋体" w:hAnsi="宋体"/>
          <w:sz w:val="24"/>
        </w:rPr>
        <w:t>2,</w:t>
      </w:r>
      <w:r>
        <w:rPr>
          <w:rFonts w:hint="eastAsia" w:ascii="宋体" w:hAnsi="宋体"/>
          <w:sz w:val="24"/>
        </w:rPr>
        <w:t>990.70万元，其中：前期费用支出93.74万元；</w:t>
      </w:r>
      <w:r>
        <w:rPr>
          <w:rFonts w:hint="eastAsia" w:ascii="宋体" w:hAnsi="宋体"/>
          <w:sz w:val="22"/>
        </w:rPr>
        <w:t>建安工程</w:t>
      </w:r>
      <w:r>
        <w:rPr>
          <w:rFonts w:hint="eastAsia" w:ascii="宋体" w:hAnsi="宋体"/>
          <w:sz w:val="24"/>
        </w:rPr>
        <w:t>支出2</w:t>
      </w:r>
      <w:r>
        <w:rPr>
          <w:rFonts w:ascii="宋体" w:hAnsi="宋体"/>
          <w:sz w:val="24"/>
        </w:rPr>
        <w:t>,</w:t>
      </w:r>
      <w:r>
        <w:rPr>
          <w:rFonts w:hint="eastAsia" w:ascii="宋体" w:hAnsi="宋体"/>
          <w:sz w:val="24"/>
        </w:rPr>
        <w:t>827.21万元（含商业承兑汇票1,251.99万元）；管理费用支出55.33万元；营销费用支出14.40万元；财务费用支出0.0</w:t>
      </w:r>
      <w:r>
        <w:rPr>
          <w:rFonts w:ascii="宋体" w:hAnsi="宋体"/>
          <w:sz w:val="24"/>
        </w:rPr>
        <w:t>2</w:t>
      </w:r>
      <w:r>
        <w:rPr>
          <w:rFonts w:hint="eastAsia" w:ascii="宋体" w:hAnsi="宋体"/>
          <w:sz w:val="24"/>
        </w:rPr>
        <w:t>万元。2</w:t>
      </w:r>
      <w:r>
        <w:rPr>
          <w:rFonts w:ascii="宋体" w:hAnsi="宋体" w:cs="宋体"/>
          <w:sz w:val="24"/>
          <w:lang w:bidi="zh-CN"/>
        </w:rPr>
        <w:t>月</w:t>
      </w:r>
      <w:r>
        <w:rPr>
          <w:rFonts w:hint="eastAsia" w:ascii="宋体" w:hAnsi="宋体" w:cs="宋体"/>
          <w:sz w:val="24"/>
          <w:lang w:bidi="zh-CN"/>
        </w:rPr>
        <w:t>份资金计划金额与执行情况对比如下表所示：</w:t>
      </w:r>
    </w:p>
    <w:p>
      <w:pPr>
        <w:pStyle w:val="10"/>
        <w:spacing w:after="0" w:line="480" w:lineRule="auto"/>
        <w:ind w:firstLine="0" w:firstLineChars="0"/>
        <w:jc w:val="center"/>
        <w:rPr>
          <w:rFonts w:ascii="宋体" w:hAnsi="宋体" w:cs="宋体"/>
          <w:sz w:val="24"/>
          <w:lang w:bidi="ar"/>
        </w:rPr>
      </w:pPr>
      <w:r>
        <w:rPr>
          <w:rFonts w:hint="eastAsia" w:ascii="宋体" w:hAnsi="宋体" w:cs="宋体"/>
          <w:sz w:val="24"/>
          <w:lang w:bidi="ar"/>
        </w:rPr>
        <w:t>2</w:t>
      </w:r>
      <w:r>
        <w:rPr>
          <w:rFonts w:ascii="宋体" w:hAnsi="宋体" w:cs="宋体"/>
          <w:sz w:val="24"/>
          <w:lang w:bidi="ar"/>
        </w:rPr>
        <w:t>月份资金计划</w:t>
      </w:r>
      <w:r>
        <w:rPr>
          <w:rFonts w:hint="eastAsia" w:ascii="宋体" w:hAnsi="宋体" w:cs="宋体"/>
          <w:sz w:val="24"/>
          <w:lang w:bidi="ar"/>
        </w:rPr>
        <w:t>金额与执行情况对比表</w:t>
      </w:r>
    </w:p>
    <w:tbl>
      <w:tblPr>
        <w:tblStyle w:val="11"/>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55"/>
        <w:gridCol w:w="1287"/>
        <w:gridCol w:w="1125"/>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3"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资金</w:t>
            </w:r>
          </w:p>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类别</w:t>
            </w:r>
          </w:p>
        </w:tc>
        <w:tc>
          <w:tcPr>
            <w:tcW w:w="1255"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2</w:t>
            </w:r>
            <w:r>
              <w:rPr>
                <w:rFonts w:ascii="宋体" w:hAnsi="宋体" w:cs="宋体"/>
                <w:b/>
                <w:bCs/>
                <w:color w:val="000000"/>
                <w:kern w:val="0"/>
                <w:sz w:val="22"/>
                <w:lang w:bidi="ar"/>
              </w:rPr>
              <w:t>月份资金计划</w:t>
            </w:r>
            <w:r>
              <w:rPr>
                <w:rFonts w:hint="eastAsia" w:ascii="宋体" w:hAnsi="宋体" w:cs="宋体"/>
                <w:b/>
                <w:bCs/>
                <w:color w:val="000000"/>
                <w:kern w:val="0"/>
                <w:sz w:val="22"/>
                <w:lang w:bidi="ar"/>
              </w:rPr>
              <w:t>申请金额（万元）</w:t>
            </w:r>
          </w:p>
        </w:tc>
        <w:tc>
          <w:tcPr>
            <w:tcW w:w="1287"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2</w:t>
            </w:r>
            <w:r>
              <w:rPr>
                <w:rFonts w:ascii="宋体" w:hAnsi="宋体" w:cs="宋体"/>
                <w:b/>
                <w:bCs/>
                <w:color w:val="000000"/>
                <w:kern w:val="0"/>
                <w:sz w:val="22"/>
                <w:lang w:bidi="ar"/>
              </w:rPr>
              <w:t>月份资金计划</w:t>
            </w:r>
            <w:r>
              <w:rPr>
                <w:rFonts w:hint="eastAsia" w:ascii="宋体" w:hAnsi="宋体" w:cs="宋体"/>
                <w:b/>
                <w:bCs/>
                <w:color w:val="000000"/>
                <w:kern w:val="0"/>
                <w:sz w:val="22"/>
                <w:lang w:bidi="ar"/>
              </w:rPr>
              <w:t>执行金额</w:t>
            </w:r>
          </w:p>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（万元）</w:t>
            </w:r>
          </w:p>
        </w:tc>
        <w:tc>
          <w:tcPr>
            <w:tcW w:w="1125"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月度计划资金使用率</w:t>
            </w:r>
          </w:p>
        </w:tc>
        <w:tc>
          <w:tcPr>
            <w:tcW w:w="5325"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cs="宋体"/>
                <w:kern w:val="0"/>
                <w:sz w:val="22"/>
                <w:lang w:bidi="ar"/>
              </w:rPr>
            </w:pPr>
            <w:r>
              <w:rPr>
                <w:rFonts w:hint="eastAsia" w:ascii="宋体" w:hAnsi="宋体" w:cs="宋体"/>
                <w:kern w:val="0"/>
                <w:sz w:val="22"/>
                <w:lang w:bidi="ar"/>
              </w:rPr>
              <w:t>土地费用</w:t>
            </w:r>
          </w:p>
        </w:tc>
        <w:tc>
          <w:tcPr>
            <w:tcW w:w="1255" w:type="dxa"/>
            <w:vAlign w:val="center"/>
          </w:tcPr>
          <w:p>
            <w:pPr>
              <w:widowControl/>
              <w:jc w:val="right"/>
              <w:textAlignment w:val="top"/>
              <w:rPr>
                <w:rFonts w:ascii="宋体" w:hAnsi="宋体" w:cs="宋体"/>
                <w:kern w:val="0"/>
                <w:sz w:val="24"/>
                <w:szCs w:val="24"/>
                <w:lang w:bidi="ar"/>
              </w:rPr>
            </w:pPr>
            <w:r>
              <w:rPr>
                <w:rFonts w:ascii="宋体" w:hAnsi="宋体"/>
                <w:sz w:val="24"/>
                <w:szCs w:val="24"/>
              </w:rPr>
              <w:t>0.00</w:t>
            </w:r>
          </w:p>
        </w:tc>
        <w:tc>
          <w:tcPr>
            <w:tcW w:w="1287" w:type="dxa"/>
            <w:vAlign w:val="center"/>
          </w:tcPr>
          <w:p>
            <w:pPr>
              <w:widowControl/>
              <w:jc w:val="right"/>
              <w:textAlignment w:val="top"/>
              <w:rPr>
                <w:rFonts w:ascii="宋体" w:hAnsi="宋体"/>
                <w:sz w:val="24"/>
                <w:szCs w:val="24"/>
              </w:rPr>
            </w:pPr>
            <w:r>
              <w:rPr>
                <w:rFonts w:ascii="宋体" w:hAnsi="宋体"/>
                <w:sz w:val="24"/>
                <w:szCs w:val="24"/>
              </w:rPr>
              <w:t>0.00</w:t>
            </w:r>
          </w:p>
        </w:tc>
        <w:tc>
          <w:tcPr>
            <w:tcW w:w="1125" w:type="dxa"/>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0</w:t>
            </w:r>
          </w:p>
        </w:tc>
        <w:tc>
          <w:tcPr>
            <w:tcW w:w="5325" w:type="dxa"/>
            <w:vAlign w:val="center"/>
          </w:tcPr>
          <w:p>
            <w:pPr>
              <w:pStyle w:val="10"/>
              <w:ind w:firstLine="0" w:firstLineChars="0"/>
              <w:jc w:val="center"/>
              <w:rPr>
                <w:rFonts w:ascii="宋体" w:hAnsi="宋体" w:cs="宋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cs="宋体"/>
                <w:kern w:val="0"/>
                <w:sz w:val="22"/>
                <w:lang w:bidi="ar"/>
              </w:rPr>
            </w:pPr>
            <w:r>
              <w:rPr>
                <w:rFonts w:hint="eastAsia" w:ascii="宋体" w:hAnsi="宋体"/>
                <w:sz w:val="22"/>
              </w:rPr>
              <w:t>前期费用</w:t>
            </w:r>
          </w:p>
        </w:tc>
        <w:tc>
          <w:tcPr>
            <w:tcW w:w="1255" w:type="dxa"/>
            <w:vAlign w:val="center"/>
          </w:tcPr>
          <w:p>
            <w:pPr>
              <w:widowControl/>
              <w:jc w:val="right"/>
              <w:textAlignment w:val="center"/>
              <w:rPr>
                <w:rFonts w:ascii="宋体" w:hAnsi="宋体" w:cs="宋体"/>
                <w:kern w:val="0"/>
                <w:sz w:val="24"/>
                <w:szCs w:val="24"/>
                <w:lang w:bidi="ar"/>
              </w:rPr>
            </w:pPr>
            <w:r>
              <w:rPr>
                <w:rFonts w:hint="eastAsia" w:ascii="宋体" w:hAnsi="宋体"/>
                <w:sz w:val="24"/>
                <w:szCs w:val="24"/>
              </w:rPr>
              <w:t>280.22</w:t>
            </w:r>
          </w:p>
        </w:tc>
        <w:tc>
          <w:tcPr>
            <w:tcW w:w="1287" w:type="dxa"/>
            <w:vAlign w:val="center"/>
          </w:tcPr>
          <w:p>
            <w:pPr>
              <w:widowControl/>
              <w:jc w:val="right"/>
              <w:textAlignment w:val="center"/>
              <w:rPr>
                <w:rFonts w:ascii="宋体" w:hAnsi="宋体" w:cs="宋体"/>
                <w:sz w:val="24"/>
                <w:szCs w:val="24"/>
              </w:rPr>
            </w:pPr>
            <w:r>
              <w:rPr>
                <w:rFonts w:ascii="宋体" w:hAnsi="宋体"/>
                <w:sz w:val="24"/>
                <w:szCs w:val="24"/>
              </w:rPr>
              <w:t>9</w:t>
            </w:r>
            <w:r>
              <w:rPr>
                <w:rFonts w:hint="eastAsia" w:ascii="宋体" w:hAnsi="宋体"/>
                <w:sz w:val="24"/>
                <w:szCs w:val="24"/>
              </w:rPr>
              <w:t>3</w:t>
            </w:r>
            <w:r>
              <w:rPr>
                <w:rFonts w:ascii="宋体" w:hAnsi="宋体"/>
                <w:sz w:val="24"/>
                <w:szCs w:val="24"/>
              </w:rPr>
              <w:t>.</w:t>
            </w:r>
            <w:r>
              <w:rPr>
                <w:rFonts w:hint="eastAsia" w:ascii="宋体" w:hAnsi="宋体"/>
                <w:sz w:val="24"/>
                <w:szCs w:val="24"/>
              </w:rPr>
              <w:t>74</w:t>
            </w:r>
          </w:p>
        </w:tc>
        <w:tc>
          <w:tcPr>
            <w:tcW w:w="1125" w:type="dxa"/>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33.45</w:t>
            </w:r>
            <w:r>
              <w:rPr>
                <w:rFonts w:hint="eastAsia" w:ascii="宋体" w:hAnsi="宋体" w:cs="宋体"/>
                <w:kern w:val="0"/>
                <w:sz w:val="24"/>
                <w:szCs w:val="24"/>
                <w:lang w:bidi="ar"/>
              </w:rPr>
              <w:t>%</w:t>
            </w:r>
          </w:p>
        </w:tc>
        <w:tc>
          <w:tcPr>
            <w:tcW w:w="5325" w:type="dxa"/>
            <w:vAlign w:val="center"/>
          </w:tcPr>
          <w:p>
            <w:pPr>
              <w:widowControl/>
              <w:jc w:val="center"/>
              <w:textAlignment w:val="top"/>
              <w:rPr>
                <w:rFonts w:ascii="宋体" w:hAnsi="宋体" w:cs="宋体"/>
                <w:kern w:val="0"/>
                <w:sz w:val="24"/>
                <w:szCs w:val="24"/>
                <w:lang w:bidi="ar"/>
              </w:rPr>
            </w:pPr>
            <w:r>
              <w:rPr>
                <w:rFonts w:hint="eastAsia" w:ascii="宋体" w:hAnsi="宋体" w:cs="宋体"/>
                <w:kern w:val="0"/>
                <w:sz w:val="24"/>
                <w:szCs w:val="24"/>
                <w:lang w:bidi="ar"/>
              </w:rPr>
              <w:t>支付工程设计费、交通评估费等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cs="宋体"/>
                <w:kern w:val="0"/>
                <w:sz w:val="22"/>
                <w:lang w:bidi="ar"/>
              </w:rPr>
            </w:pPr>
            <w:r>
              <w:rPr>
                <w:rFonts w:hint="eastAsia" w:ascii="宋体" w:hAnsi="宋体"/>
                <w:sz w:val="22"/>
              </w:rPr>
              <w:t>建安工程</w:t>
            </w:r>
          </w:p>
        </w:tc>
        <w:tc>
          <w:tcPr>
            <w:tcW w:w="1255" w:type="dxa"/>
            <w:vAlign w:val="center"/>
          </w:tcPr>
          <w:p>
            <w:pPr>
              <w:widowControl/>
              <w:jc w:val="right"/>
              <w:textAlignment w:val="center"/>
              <w:rPr>
                <w:rFonts w:ascii="宋体" w:hAnsi="宋体" w:cs="宋体"/>
                <w:kern w:val="0"/>
                <w:sz w:val="24"/>
                <w:szCs w:val="24"/>
                <w:lang w:bidi="ar"/>
              </w:rPr>
            </w:pPr>
            <w:r>
              <w:rPr>
                <w:rFonts w:hint="eastAsia" w:ascii="宋体" w:hAnsi="宋体"/>
                <w:sz w:val="24"/>
                <w:szCs w:val="24"/>
              </w:rPr>
              <w:t>3</w:t>
            </w:r>
            <w:r>
              <w:rPr>
                <w:rFonts w:ascii="宋体" w:hAnsi="宋体"/>
                <w:sz w:val="24"/>
                <w:szCs w:val="24"/>
              </w:rPr>
              <w:t>,</w:t>
            </w:r>
            <w:r>
              <w:rPr>
                <w:rFonts w:hint="eastAsia" w:ascii="宋体" w:hAnsi="宋体"/>
                <w:sz w:val="24"/>
                <w:szCs w:val="24"/>
              </w:rPr>
              <w:t>080.92</w:t>
            </w:r>
          </w:p>
        </w:tc>
        <w:tc>
          <w:tcPr>
            <w:tcW w:w="1287" w:type="dxa"/>
            <w:vAlign w:val="center"/>
          </w:tcPr>
          <w:p>
            <w:pPr>
              <w:widowControl/>
              <w:jc w:val="right"/>
              <w:textAlignment w:val="center"/>
              <w:rPr>
                <w:rFonts w:ascii="宋体" w:hAnsi="宋体"/>
                <w:sz w:val="24"/>
                <w:szCs w:val="24"/>
              </w:rPr>
            </w:pPr>
            <w:r>
              <w:rPr>
                <w:rFonts w:hint="eastAsia" w:ascii="宋体" w:hAnsi="宋体"/>
                <w:sz w:val="24"/>
                <w:szCs w:val="24"/>
              </w:rPr>
              <w:t>2,827.21</w:t>
            </w:r>
          </w:p>
        </w:tc>
        <w:tc>
          <w:tcPr>
            <w:tcW w:w="1125" w:type="dxa"/>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91.77</w:t>
            </w:r>
            <w:r>
              <w:rPr>
                <w:rFonts w:hint="eastAsia" w:ascii="宋体" w:hAnsi="宋体" w:cs="宋体"/>
                <w:kern w:val="0"/>
                <w:sz w:val="24"/>
                <w:szCs w:val="24"/>
                <w:lang w:bidi="ar"/>
              </w:rPr>
              <w:t>%</w:t>
            </w:r>
          </w:p>
        </w:tc>
        <w:tc>
          <w:tcPr>
            <w:tcW w:w="5325" w:type="dxa"/>
            <w:vAlign w:val="center"/>
          </w:tcPr>
          <w:p>
            <w:pPr>
              <w:pStyle w:val="10"/>
              <w:ind w:firstLine="0" w:firstLineChars="0"/>
              <w:jc w:val="center"/>
              <w:rPr>
                <w:rFonts w:ascii="宋体" w:hAnsi="宋体" w:cs="宋体"/>
                <w:kern w:val="0"/>
                <w:sz w:val="24"/>
                <w:lang w:bidi="ar"/>
              </w:rPr>
            </w:pPr>
            <w:r>
              <w:rPr>
                <w:rFonts w:hint="eastAsia" w:ascii="宋体" w:hAnsi="宋体" w:cs="宋体"/>
                <w:kern w:val="0"/>
                <w:sz w:val="24"/>
                <w:lang w:bidi="ar"/>
              </w:rPr>
              <w:t>支付施工电费、桩基工程款、售楼部装修工程款、总包工程款等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cs="宋体"/>
                <w:kern w:val="0"/>
                <w:sz w:val="22"/>
                <w:lang w:bidi="ar"/>
              </w:rPr>
            </w:pPr>
            <w:r>
              <w:rPr>
                <w:rFonts w:hint="eastAsia" w:ascii="宋体" w:hAnsi="宋体"/>
                <w:sz w:val="22"/>
              </w:rPr>
              <w:t>管理费用</w:t>
            </w:r>
          </w:p>
        </w:tc>
        <w:tc>
          <w:tcPr>
            <w:tcW w:w="1255" w:type="dxa"/>
            <w:vAlign w:val="center"/>
          </w:tcPr>
          <w:p>
            <w:pPr>
              <w:widowControl/>
              <w:jc w:val="right"/>
              <w:textAlignment w:val="center"/>
              <w:rPr>
                <w:rFonts w:ascii="宋体" w:hAnsi="宋体" w:cs="宋体"/>
                <w:kern w:val="0"/>
                <w:sz w:val="24"/>
                <w:szCs w:val="24"/>
                <w:lang w:bidi="ar"/>
              </w:rPr>
            </w:pPr>
            <w:r>
              <w:rPr>
                <w:rFonts w:hint="eastAsia" w:ascii="宋体" w:hAnsi="宋体" w:cs="宋体"/>
                <w:kern w:val="0"/>
                <w:sz w:val="24"/>
                <w:szCs w:val="24"/>
                <w:lang w:bidi="ar"/>
              </w:rPr>
              <w:t>150</w:t>
            </w:r>
            <w:r>
              <w:rPr>
                <w:rFonts w:ascii="宋体" w:hAnsi="宋体" w:cs="宋体"/>
                <w:kern w:val="0"/>
                <w:sz w:val="24"/>
                <w:szCs w:val="24"/>
                <w:lang w:bidi="ar"/>
              </w:rPr>
              <w:t>.00</w:t>
            </w:r>
          </w:p>
        </w:tc>
        <w:tc>
          <w:tcPr>
            <w:tcW w:w="1287" w:type="dxa"/>
            <w:vAlign w:val="center"/>
          </w:tcPr>
          <w:p>
            <w:pPr>
              <w:widowControl/>
              <w:jc w:val="right"/>
              <w:textAlignment w:val="center"/>
              <w:rPr>
                <w:rFonts w:ascii="宋体" w:hAnsi="宋体"/>
                <w:sz w:val="24"/>
                <w:szCs w:val="24"/>
              </w:rPr>
            </w:pPr>
            <w:r>
              <w:rPr>
                <w:rFonts w:hint="eastAsia" w:ascii="宋体" w:hAnsi="宋体"/>
                <w:sz w:val="24"/>
                <w:szCs w:val="24"/>
              </w:rPr>
              <w:t>55.33</w:t>
            </w:r>
          </w:p>
        </w:tc>
        <w:tc>
          <w:tcPr>
            <w:tcW w:w="1125" w:type="dxa"/>
            <w:vAlign w:val="center"/>
          </w:tcPr>
          <w:p>
            <w:pPr>
              <w:widowControl/>
              <w:jc w:val="right"/>
              <w:textAlignment w:val="center"/>
              <w:rPr>
                <w:rFonts w:ascii="宋体" w:hAnsi="宋体" w:cs="宋体"/>
                <w:kern w:val="0"/>
                <w:sz w:val="24"/>
                <w:szCs w:val="24"/>
                <w:lang w:bidi="ar"/>
              </w:rPr>
            </w:pPr>
            <w:r>
              <w:rPr>
                <w:rFonts w:ascii="宋体" w:hAnsi="宋体" w:cs="宋体"/>
                <w:kern w:val="0"/>
                <w:sz w:val="24"/>
                <w:szCs w:val="24"/>
                <w:lang w:bidi="ar"/>
              </w:rPr>
              <w:t>36.89</w:t>
            </w:r>
            <w:r>
              <w:rPr>
                <w:rFonts w:hint="eastAsia" w:ascii="宋体" w:hAnsi="宋体" w:cs="宋体"/>
                <w:kern w:val="0"/>
                <w:sz w:val="24"/>
                <w:szCs w:val="24"/>
                <w:lang w:bidi="ar"/>
              </w:rPr>
              <w:t>%</w:t>
            </w:r>
          </w:p>
        </w:tc>
        <w:tc>
          <w:tcPr>
            <w:tcW w:w="5325" w:type="dxa"/>
            <w:vAlign w:val="center"/>
          </w:tcPr>
          <w:p>
            <w:pPr>
              <w:pStyle w:val="10"/>
              <w:ind w:firstLine="0" w:firstLineChars="0"/>
              <w:jc w:val="center"/>
              <w:rPr>
                <w:rFonts w:ascii="宋体" w:hAnsi="宋体" w:cs="宋体"/>
                <w:kern w:val="0"/>
                <w:sz w:val="24"/>
                <w:lang w:bidi="ar"/>
              </w:rPr>
            </w:pPr>
            <w:r>
              <w:rPr>
                <w:rFonts w:hint="eastAsia" w:ascii="宋体" w:hAnsi="宋体" w:cs="宋体"/>
                <w:kern w:val="0"/>
                <w:sz w:val="24"/>
                <w:lang w:bidi="ar"/>
              </w:rPr>
              <w:t>支付员工报销及工资等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cs="宋体"/>
                <w:color w:val="000000"/>
                <w:kern w:val="0"/>
                <w:sz w:val="22"/>
                <w:lang w:bidi="ar"/>
              </w:rPr>
            </w:pPr>
            <w:r>
              <w:rPr>
                <w:rFonts w:hint="eastAsia" w:ascii="宋体" w:hAnsi="宋体" w:cs="宋体"/>
                <w:color w:val="000000"/>
                <w:kern w:val="0"/>
                <w:sz w:val="22"/>
                <w:lang w:bidi="ar"/>
              </w:rPr>
              <w:t>营销费用</w:t>
            </w:r>
          </w:p>
        </w:tc>
        <w:tc>
          <w:tcPr>
            <w:tcW w:w="1255" w:type="dxa"/>
            <w:vAlign w:val="center"/>
          </w:tcPr>
          <w:p>
            <w:pPr>
              <w:widowControl/>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248.24</w:t>
            </w:r>
          </w:p>
        </w:tc>
        <w:tc>
          <w:tcPr>
            <w:tcW w:w="1287" w:type="dxa"/>
            <w:vAlign w:val="center"/>
          </w:tcPr>
          <w:p>
            <w:pPr>
              <w:widowControl/>
              <w:jc w:val="right"/>
              <w:textAlignment w:val="center"/>
              <w:rPr>
                <w:rFonts w:ascii="宋体" w:hAnsi="宋体"/>
                <w:sz w:val="24"/>
                <w:szCs w:val="24"/>
              </w:rPr>
            </w:pPr>
            <w:r>
              <w:rPr>
                <w:rFonts w:hint="eastAsia" w:ascii="宋体" w:hAnsi="宋体"/>
                <w:sz w:val="24"/>
                <w:szCs w:val="24"/>
              </w:rPr>
              <w:t>14.</w:t>
            </w:r>
            <w:r>
              <w:rPr>
                <w:rFonts w:ascii="宋体" w:hAnsi="宋体"/>
                <w:sz w:val="24"/>
                <w:szCs w:val="24"/>
              </w:rPr>
              <w:t>40</w:t>
            </w:r>
          </w:p>
        </w:tc>
        <w:tc>
          <w:tcPr>
            <w:tcW w:w="1125" w:type="dxa"/>
            <w:vAlign w:val="center"/>
          </w:tcPr>
          <w:p>
            <w:pPr>
              <w:widowControl/>
              <w:jc w:val="right"/>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5.8</w:t>
            </w:r>
            <w:r>
              <w:rPr>
                <w:rFonts w:hint="eastAsia" w:ascii="宋体" w:hAnsi="宋体" w:cs="宋体"/>
                <w:color w:val="000000"/>
                <w:kern w:val="0"/>
                <w:sz w:val="24"/>
                <w:szCs w:val="24"/>
                <w:lang w:bidi="ar"/>
              </w:rPr>
              <w:t>%</w:t>
            </w:r>
          </w:p>
        </w:tc>
        <w:tc>
          <w:tcPr>
            <w:tcW w:w="5325" w:type="dxa"/>
            <w:vAlign w:val="center"/>
          </w:tcPr>
          <w:p>
            <w:pPr>
              <w:pStyle w:val="10"/>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支付营销活动、广告等费用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widowControl/>
              <w:jc w:val="center"/>
              <w:textAlignment w:val="top"/>
              <w:rPr>
                <w:rFonts w:ascii="宋体" w:hAnsi="宋体"/>
                <w:sz w:val="22"/>
              </w:rPr>
            </w:pPr>
            <w:r>
              <w:rPr>
                <w:rFonts w:hint="eastAsia" w:ascii="宋体" w:hAnsi="宋体" w:cs="宋体"/>
                <w:color w:val="000000"/>
                <w:kern w:val="0"/>
                <w:sz w:val="22"/>
                <w:lang w:bidi="ar"/>
              </w:rPr>
              <w:t>财务费用</w:t>
            </w:r>
          </w:p>
        </w:tc>
        <w:tc>
          <w:tcPr>
            <w:tcW w:w="1255" w:type="dxa"/>
            <w:vAlign w:val="center"/>
          </w:tcPr>
          <w:p>
            <w:pPr>
              <w:widowControl/>
              <w:jc w:val="right"/>
              <w:textAlignment w:val="center"/>
              <w:rPr>
                <w:rFonts w:ascii="宋体" w:hAnsi="宋体"/>
                <w:sz w:val="24"/>
                <w:szCs w:val="24"/>
              </w:rPr>
            </w:pPr>
            <w:r>
              <w:rPr>
                <w:rFonts w:hint="eastAsia" w:ascii="宋体" w:hAnsi="宋体"/>
                <w:sz w:val="24"/>
                <w:szCs w:val="24"/>
                <w:lang w:bidi="zh-CN"/>
              </w:rPr>
              <w:t>0.00</w:t>
            </w:r>
          </w:p>
        </w:tc>
        <w:tc>
          <w:tcPr>
            <w:tcW w:w="1287" w:type="dxa"/>
            <w:vAlign w:val="center"/>
          </w:tcPr>
          <w:p>
            <w:pPr>
              <w:widowControl/>
              <w:jc w:val="right"/>
              <w:textAlignment w:val="center"/>
              <w:rPr>
                <w:rFonts w:ascii="宋体" w:hAnsi="宋体" w:cs="宋体"/>
                <w:color w:val="000000"/>
                <w:kern w:val="0"/>
                <w:sz w:val="24"/>
                <w:szCs w:val="24"/>
                <w:lang w:bidi="ar"/>
              </w:rPr>
            </w:pPr>
            <w:r>
              <w:rPr>
                <w:rFonts w:hint="eastAsia" w:ascii="宋体" w:hAnsi="宋体"/>
                <w:sz w:val="24"/>
                <w:szCs w:val="24"/>
              </w:rPr>
              <w:t>0.0</w:t>
            </w:r>
            <w:r>
              <w:rPr>
                <w:rFonts w:ascii="宋体" w:hAnsi="宋体"/>
                <w:sz w:val="24"/>
                <w:szCs w:val="24"/>
              </w:rPr>
              <w:t>2</w:t>
            </w:r>
          </w:p>
        </w:tc>
        <w:tc>
          <w:tcPr>
            <w:tcW w:w="1125" w:type="dxa"/>
            <w:vAlign w:val="center"/>
          </w:tcPr>
          <w:p>
            <w:pPr>
              <w:widowControl/>
              <w:jc w:val="righ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0</w:t>
            </w:r>
          </w:p>
        </w:tc>
        <w:tc>
          <w:tcPr>
            <w:tcW w:w="5325" w:type="dxa"/>
            <w:vAlign w:val="center"/>
          </w:tcPr>
          <w:p>
            <w:pPr>
              <w:pStyle w:val="10"/>
              <w:ind w:firstLine="0" w:firstLineChars="0"/>
              <w:jc w:val="center"/>
              <w:rPr>
                <w:rFonts w:ascii="宋体" w:hAnsi="宋体" w:cs="宋体"/>
                <w:color w:val="000000"/>
                <w:kern w:val="0"/>
                <w:sz w:val="24"/>
                <w:lang w:bidi="ar"/>
              </w:rPr>
            </w:pPr>
            <w:r>
              <w:rPr>
                <w:rFonts w:hint="eastAsia" w:ascii="宋体" w:hAnsi="宋体" w:cs="宋体"/>
                <w:color w:val="000000"/>
                <w:kern w:val="0"/>
                <w:sz w:val="24"/>
                <w:lang w:bidi="ar"/>
              </w:rPr>
              <w:t>银行手续费（自动扣款）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dxa"/>
            <w:vAlign w:val="center"/>
          </w:tcPr>
          <w:p>
            <w:pPr>
              <w:widowControl/>
              <w:jc w:val="center"/>
              <w:textAlignment w:val="top"/>
              <w:rPr>
                <w:rFonts w:ascii="宋体" w:hAnsi="宋体" w:cs="宋体"/>
                <w:b/>
                <w:color w:val="000000"/>
                <w:kern w:val="0"/>
                <w:sz w:val="22"/>
                <w:lang w:bidi="ar"/>
              </w:rPr>
            </w:pPr>
            <w:r>
              <w:rPr>
                <w:rFonts w:hint="eastAsia" w:ascii="宋体" w:hAnsi="宋体" w:cs="宋体"/>
                <w:b/>
                <w:color w:val="000000"/>
                <w:kern w:val="0"/>
                <w:sz w:val="22"/>
                <w:lang w:bidi="ar"/>
              </w:rPr>
              <w:t>合计</w:t>
            </w:r>
          </w:p>
        </w:tc>
        <w:tc>
          <w:tcPr>
            <w:tcW w:w="1255" w:type="dxa"/>
            <w:vAlign w:val="center"/>
          </w:tcPr>
          <w:p>
            <w:pPr>
              <w:widowControl/>
              <w:jc w:val="right"/>
              <w:textAlignment w:val="center"/>
              <w:rPr>
                <w:rFonts w:ascii="宋体" w:hAnsi="宋体" w:cs="宋体"/>
                <w:b/>
                <w:bCs/>
                <w:color w:val="000000"/>
                <w:kern w:val="0"/>
                <w:sz w:val="24"/>
                <w:szCs w:val="24"/>
                <w:lang w:bidi="ar"/>
              </w:rPr>
            </w:pPr>
            <w:r>
              <w:rPr>
                <w:rFonts w:hint="eastAsia" w:ascii="宋体" w:hAnsi="宋体"/>
                <w:b/>
                <w:bCs/>
                <w:sz w:val="24"/>
                <w:szCs w:val="24"/>
              </w:rPr>
              <w:t>3</w:t>
            </w:r>
            <w:r>
              <w:rPr>
                <w:rFonts w:ascii="宋体" w:hAnsi="宋体"/>
                <w:b/>
                <w:bCs/>
                <w:sz w:val="24"/>
                <w:szCs w:val="24"/>
              </w:rPr>
              <w:t>,</w:t>
            </w:r>
            <w:r>
              <w:rPr>
                <w:rFonts w:hint="eastAsia" w:ascii="宋体" w:hAnsi="宋体"/>
                <w:b/>
                <w:bCs/>
                <w:sz w:val="24"/>
                <w:szCs w:val="24"/>
              </w:rPr>
              <w:t>759.38</w:t>
            </w:r>
          </w:p>
        </w:tc>
        <w:tc>
          <w:tcPr>
            <w:tcW w:w="1287" w:type="dxa"/>
            <w:vAlign w:val="center"/>
          </w:tcPr>
          <w:p>
            <w:pPr>
              <w:widowControl/>
              <w:jc w:val="right"/>
              <w:textAlignment w:val="center"/>
              <w:rPr>
                <w:rFonts w:ascii="宋体" w:hAnsi="宋体"/>
                <w:b/>
                <w:bCs/>
                <w:sz w:val="24"/>
                <w:szCs w:val="24"/>
              </w:rPr>
            </w:pPr>
            <w:r>
              <w:rPr>
                <w:rFonts w:hint="eastAsia" w:ascii="宋体" w:hAnsi="宋体"/>
                <w:b/>
                <w:bCs/>
                <w:sz w:val="24"/>
                <w:szCs w:val="24"/>
              </w:rPr>
              <w:t>2,</w:t>
            </w:r>
            <w:r>
              <w:rPr>
                <w:rFonts w:ascii="宋体" w:hAnsi="宋体"/>
                <w:b/>
                <w:bCs/>
                <w:sz w:val="24"/>
                <w:szCs w:val="24"/>
              </w:rPr>
              <w:t>990</w:t>
            </w:r>
            <w:r>
              <w:rPr>
                <w:rFonts w:hint="eastAsia" w:ascii="宋体" w:hAnsi="宋体"/>
                <w:b/>
                <w:bCs/>
                <w:sz w:val="24"/>
                <w:szCs w:val="24"/>
              </w:rPr>
              <w:t>.</w:t>
            </w:r>
            <w:r>
              <w:rPr>
                <w:rFonts w:ascii="宋体" w:hAnsi="宋体"/>
                <w:b/>
                <w:bCs/>
                <w:sz w:val="24"/>
                <w:szCs w:val="24"/>
              </w:rPr>
              <w:t>70</w:t>
            </w:r>
          </w:p>
        </w:tc>
        <w:tc>
          <w:tcPr>
            <w:tcW w:w="1125" w:type="dxa"/>
            <w:vAlign w:val="center"/>
          </w:tcPr>
          <w:p>
            <w:pPr>
              <w:widowControl/>
              <w:jc w:val="right"/>
              <w:textAlignment w:val="center"/>
              <w:rPr>
                <w:rFonts w:ascii="宋体" w:hAnsi="宋体" w:cs="宋体"/>
                <w:b/>
                <w:color w:val="000000"/>
                <w:kern w:val="0"/>
                <w:sz w:val="24"/>
                <w:szCs w:val="24"/>
                <w:lang w:bidi="ar"/>
              </w:rPr>
            </w:pPr>
            <w:r>
              <w:rPr>
                <w:rFonts w:ascii="宋体" w:hAnsi="宋体" w:cs="宋体"/>
                <w:b/>
                <w:color w:val="000000"/>
                <w:kern w:val="0"/>
                <w:sz w:val="24"/>
                <w:szCs w:val="24"/>
                <w:lang w:bidi="ar"/>
              </w:rPr>
              <w:t>79.55</w:t>
            </w:r>
            <w:r>
              <w:rPr>
                <w:rFonts w:hint="eastAsia" w:ascii="宋体" w:hAnsi="宋体" w:cs="宋体"/>
                <w:b/>
                <w:color w:val="000000"/>
                <w:kern w:val="0"/>
                <w:sz w:val="24"/>
                <w:szCs w:val="24"/>
                <w:lang w:bidi="ar"/>
              </w:rPr>
              <w:t>%</w:t>
            </w:r>
          </w:p>
        </w:tc>
        <w:tc>
          <w:tcPr>
            <w:tcW w:w="5325" w:type="dxa"/>
            <w:vAlign w:val="center"/>
          </w:tcPr>
          <w:p>
            <w:pPr>
              <w:widowControl/>
              <w:jc w:val="center"/>
              <w:textAlignment w:val="top"/>
              <w:rPr>
                <w:rFonts w:ascii="宋体" w:hAnsi="宋体" w:cs="宋体"/>
                <w:b/>
                <w:color w:val="000000"/>
                <w:kern w:val="0"/>
                <w:sz w:val="24"/>
                <w:szCs w:val="24"/>
                <w:lang w:bidi="ar"/>
              </w:rPr>
            </w:pPr>
          </w:p>
        </w:tc>
      </w:tr>
    </w:tbl>
    <w:p>
      <w:pPr>
        <w:pStyle w:val="10"/>
        <w:spacing w:after="160"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60" w:beforeLines="50" w:after="160" w:afterLines="50" w:line="360" w:lineRule="auto"/>
        <w:ind w:left="225" w:firstLine="480" w:firstLineChars="200"/>
        <w:rPr>
          <w:rFonts w:ascii="宋体" w:hAnsi="宋体"/>
          <w:bCs/>
          <w:color w:val="000000"/>
          <w:sz w:val="24"/>
          <w:szCs w:val="24"/>
          <w:lang w:bidi="zh-CN"/>
        </w:rPr>
      </w:pPr>
      <w:r>
        <w:rPr>
          <w:rFonts w:hint="eastAsia" w:ascii="宋体" w:hAnsi="宋体"/>
          <w:bCs/>
          <w:color w:val="000000"/>
          <w:sz w:val="24"/>
          <w:szCs w:val="24"/>
          <w:lang w:bidi="zh-CN"/>
        </w:rPr>
        <w:t>根据《2月份资金计划金额与执行情况对比表》显示，项目公司的资金计划与实际支付差异的原因：资金计划中营销费用为不可预见费，因项目暂未开盘，售楼处营销活动阶段的费用暂未达到付款节点；前期费用部分款项未达到付款节点及延迟支付；管理费用中部分不可预见费未发生。</w:t>
      </w:r>
    </w:p>
    <w:p>
      <w:pPr>
        <w:pStyle w:val="10"/>
        <w:spacing w:after="0" w:line="360" w:lineRule="auto"/>
        <w:ind w:firstLine="0" w:firstLineChars="0"/>
        <w:rPr>
          <w:rFonts w:ascii="宋体" w:hAnsi="宋体"/>
          <w:b/>
          <w:color w:val="000000"/>
          <w:sz w:val="24"/>
          <w:lang w:bidi="zh-CN"/>
        </w:rPr>
      </w:pPr>
      <w:r>
        <w:rPr>
          <w:rFonts w:hint="eastAsia" w:ascii="宋体" w:hAnsi="宋体" w:cs="宋体"/>
          <w:b/>
          <w:sz w:val="24"/>
        </w:rPr>
        <w:t>三、</w:t>
      </w:r>
      <w:r>
        <w:rPr>
          <w:rFonts w:ascii="宋体" w:hAnsi="宋体"/>
          <w:b/>
          <w:color w:val="000000"/>
          <w:sz w:val="24"/>
          <w:lang w:val="zh-CN" w:bidi="zh-CN"/>
        </w:rPr>
        <w:t>付款情况</w:t>
      </w:r>
      <w:r>
        <w:rPr>
          <w:rFonts w:hint="eastAsia" w:ascii="宋体" w:hAnsi="宋体"/>
          <w:b/>
          <w:color w:val="000000"/>
          <w:sz w:val="24"/>
          <w:lang w:bidi="zh-CN"/>
        </w:rPr>
        <w:t>审核说明</w:t>
      </w:r>
    </w:p>
    <w:p>
      <w:pPr>
        <w:spacing w:before="160" w:beforeLines="50" w:after="160" w:afterLines="50" w:line="360" w:lineRule="auto"/>
        <w:rPr>
          <w:rFonts w:ascii="宋体" w:hAnsi="宋体"/>
          <w:b/>
          <w:color w:val="000000"/>
          <w:sz w:val="24"/>
          <w:szCs w:val="24"/>
          <w:lang w:bidi="zh-CN"/>
        </w:rPr>
      </w:pPr>
      <w:r>
        <w:rPr>
          <w:rFonts w:hint="eastAsia" w:ascii="宋体" w:hAnsi="宋体"/>
          <w:b/>
          <w:color w:val="000000"/>
          <w:sz w:val="24"/>
          <w:szCs w:val="24"/>
          <w:lang w:bidi="zh-CN"/>
        </w:rPr>
        <w:t>（一）土地费用支出计划说明</w:t>
      </w:r>
    </w:p>
    <w:p>
      <w:pPr>
        <w:spacing w:before="160" w:beforeLines="50" w:after="160" w:afterLines="50" w:line="360" w:lineRule="auto"/>
        <w:rPr>
          <w:rFonts w:ascii="宋体" w:hAnsi="宋体"/>
          <w:bCs/>
          <w:color w:val="000000"/>
          <w:sz w:val="24"/>
          <w:szCs w:val="24"/>
          <w:lang w:bidi="zh-CN"/>
        </w:rPr>
      </w:pPr>
    </w:p>
    <w:p>
      <w:pPr>
        <w:spacing w:before="160" w:beforeLines="50" w:after="160" w:afterLines="50" w:line="360" w:lineRule="auto"/>
        <w:ind w:firstLine="720" w:firstLineChars="300"/>
        <w:rPr>
          <w:rFonts w:ascii="宋体" w:hAnsi="宋体"/>
          <w:bCs/>
          <w:color w:val="000000"/>
          <w:sz w:val="24"/>
          <w:szCs w:val="24"/>
          <w:lang w:bidi="zh-CN"/>
        </w:rPr>
      </w:pPr>
      <w:r>
        <w:rPr>
          <w:rFonts w:hint="eastAsia" w:ascii="宋体" w:hAnsi="宋体"/>
          <w:bCs/>
          <w:color w:val="000000"/>
          <w:sz w:val="24"/>
          <w:szCs w:val="24"/>
          <w:lang w:bidi="zh-CN"/>
        </w:rPr>
        <w:t>项目公司在2021年3月计划支付土地费用共</w:t>
      </w:r>
      <w:r>
        <w:rPr>
          <w:rFonts w:hint="eastAsia" w:ascii="宋体" w:hAnsi="宋体"/>
          <w:bCs/>
          <w:sz w:val="24"/>
          <w:szCs w:val="24"/>
          <w:lang w:bidi="zh-CN"/>
        </w:rPr>
        <w:t>计</w:t>
      </w:r>
      <w:r>
        <w:rPr>
          <w:rFonts w:hint="eastAsia" w:ascii="宋体" w:hAnsi="宋体"/>
          <w:sz w:val="24"/>
          <w:szCs w:val="24"/>
        </w:rPr>
        <w:t>61</w:t>
      </w:r>
      <w:r>
        <w:rPr>
          <w:rFonts w:ascii="宋体" w:hAnsi="宋体"/>
          <w:sz w:val="24"/>
          <w:szCs w:val="24"/>
        </w:rPr>
        <w:t>,</w:t>
      </w:r>
      <w:r>
        <w:rPr>
          <w:rFonts w:hint="eastAsia" w:ascii="宋体" w:hAnsi="宋体"/>
          <w:sz w:val="24"/>
          <w:szCs w:val="24"/>
        </w:rPr>
        <w:t>381.49</w:t>
      </w:r>
      <w:r>
        <w:rPr>
          <w:rFonts w:hint="eastAsia" w:ascii="宋体" w:hAnsi="宋体"/>
          <w:bCs/>
          <w:color w:val="000000"/>
          <w:sz w:val="24"/>
          <w:szCs w:val="24"/>
          <w:lang w:bidi="zh-CN"/>
        </w:rPr>
        <w:t>万元，具体分析如下：</w:t>
      </w:r>
    </w:p>
    <w:p>
      <w:pPr>
        <w:spacing w:before="160" w:beforeLines="50" w:after="160" w:afterLines="50" w:line="360" w:lineRule="auto"/>
        <w:ind w:left="420" w:leftChars="200" w:firstLine="240" w:firstLineChars="100"/>
        <w:rPr>
          <w:rFonts w:ascii="宋体" w:hAnsi="宋体"/>
          <w:bCs/>
          <w:color w:val="000000"/>
          <w:sz w:val="24"/>
          <w:szCs w:val="24"/>
          <w:lang w:bidi="zh-CN"/>
        </w:rPr>
      </w:pPr>
      <w:r>
        <w:rPr>
          <w:rFonts w:hint="eastAsia" w:ascii="宋体" w:hAnsi="宋体"/>
          <w:bCs/>
          <w:color w:val="000000"/>
          <w:sz w:val="24"/>
          <w:szCs w:val="24"/>
          <w:lang w:bidi="zh-CN"/>
        </w:rPr>
        <w:t>项目公司预计3月向杭州市富阳区财政局非税收入结算专户支付剩余土地款及契税</w:t>
      </w:r>
      <w:r>
        <w:rPr>
          <w:rFonts w:ascii="宋体" w:hAnsi="宋体"/>
          <w:bCs/>
          <w:color w:val="000000"/>
          <w:sz w:val="24"/>
          <w:szCs w:val="24"/>
          <w:lang w:bidi="zh-CN"/>
        </w:rPr>
        <w:t>61</w:t>
      </w:r>
      <w:r>
        <w:rPr>
          <w:rFonts w:hint="eastAsia" w:ascii="宋体" w:hAnsi="宋体"/>
          <w:bCs/>
          <w:color w:val="000000"/>
          <w:sz w:val="24"/>
          <w:szCs w:val="24"/>
          <w:lang w:bidi="zh-CN"/>
        </w:rPr>
        <w:t>,</w:t>
      </w:r>
      <w:r>
        <w:rPr>
          <w:rFonts w:ascii="宋体" w:hAnsi="宋体"/>
          <w:bCs/>
          <w:color w:val="000000"/>
          <w:sz w:val="24"/>
          <w:szCs w:val="24"/>
          <w:lang w:bidi="zh-CN"/>
        </w:rPr>
        <w:t>381.49</w:t>
      </w:r>
      <w:r>
        <w:rPr>
          <w:rFonts w:hint="eastAsia" w:ascii="宋体" w:hAnsi="宋体"/>
          <w:bCs/>
          <w:color w:val="000000"/>
          <w:sz w:val="24"/>
          <w:szCs w:val="24"/>
          <w:lang w:bidi="zh-CN"/>
        </w:rPr>
        <w:t>万元，其中土地款为</w:t>
      </w:r>
      <w:r>
        <w:rPr>
          <w:rFonts w:ascii="宋体" w:hAnsi="宋体"/>
          <w:bCs/>
          <w:color w:val="000000"/>
          <w:sz w:val="24"/>
          <w:szCs w:val="24"/>
          <w:lang w:bidi="zh-CN"/>
        </w:rPr>
        <w:t>59</w:t>
      </w:r>
      <w:r>
        <w:rPr>
          <w:rFonts w:hint="eastAsia" w:ascii="宋体" w:hAnsi="宋体"/>
          <w:bCs/>
          <w:color w:val="000000"/>
          <w:sz w:val="24"/>
          <w:szCs w:val="24"/>
          <w:lang w:bidi="zh-CN"/>
        </w:rPr>
        <w:t>,</w:t>
      </w:r>
      <w:r>
        <w:rPr>
          <w:rFonts w:ascii="宋体" w:hAnsi="宋体"/>
          <w:bCs/>
          <w:color w:val="000000"/>
          <w:sz w:val="24"/>
          <w:szCs w:val="24"/>
          <w:lang w:bidi="zh-CN"/>
        </w:rPr>
        <w:t>593.68</w:t>
      </w:r>
      <w:r>
        <w:rPr>
          <w:rFonts w:hint="eastAsia" w:ascii="宋体" w:hAnsi="宋体"/>
          <w:bCs/>
          <w:color w:val="000000"/>
          <w:sz w:val="24"/>
          <w:szCs w:val="24"/>
          <w:lang w:bidi="zh-CN"/>
        </w:rPr>
        <w:t>万元，契税支付1,787.</w:t>
      </w:r>
      <w:r>
        <w:rPr>
          <w:rFonts w:ascii="宋体" w:hAnsi="宋体"/>
          <w:bCs/>
          <w:color w:val="000000"/>
          <w:sz w:val="24"/>
          <w:szCs w:val="24"/>
          <w:lang w:bidi="zh-CN"/>
        </w:rPr>
        <w:t>81</w:t>
      </w:r>
      <w:r>
        <w:rPr>
          <w:rFonts w:hint="eastAsia" w:ascii="宋体" w:hAnsi="宋体"/>
          <w:bCs/>
          <w:color w:val="000000"/>
          <w:sz w:val="24"/>
          <w:szCs w:val="24"/>
          <w:lang w:bidi="zh-CN"/>
        </w:rPr>
        <w:t>万元。待实际支付时以合同文件及政府文件为准。</w:t>
      </w:r>
    </w:p>
    <w:p>
      <w:pPr>
        <w:spacing w:before="160" w:beforeLines="50" w:after="160" w:afterLines="50" w:line="360" w:lineRule="auto"/>
        <w:rPr>
          <w:rFonts w:ascii="宋体" w:hAnsi="宋体"/>
          <w:bCs/>
          <w:color w:val="000000"/>
          <w:sz w:val="24"/>
          <w:szCs w:val="24"/>
          <w:lang w:bidi="zh-CN"/>
        </w:rPr>
      </w:pPr>
      <w:r>
        <w:rPr>
          <w:rFonts w:hint="eastAsia" w:ascii="宋体" w:hAnsi="宋体"/>
          <w:b/>
          <w:color w:val="000000"/>
          <w:sz w:val="24"/>
          <w:szCs w:val="24"/>
          <w:lang w:bidi="zh-CN"/>
        </w:rPr>
        <w:t>（二）前期费用支出计划说明</w:t>
      </w:r>
    </w:p>
    <w:p>
      <w:pPr>
        <w:spacing w:before="160" w:beforeLines="50" w:after="160" w:afterLines="50" w:line="360" w:lineRule="auto"/>
        <w:ind w:firstLine="720" w:firstLineChars="300"/>
        <w:rPr>
          <w:rFonts w:ascii="宋体" w:hAnsi="宋体"/>
          <w:bCs/>
          <w:color w:val="000000"/>
          <w:sz w:val="24"/>
          <w:szCs w:val="24"/>
          <w:lang w:bidi="zh-CN"/>
        </w:rPr>
      </w:pPr>
      <w:r>
        <w:rPr>
          <w:rFonts w:hint="eastAsia" w:ascii="宋体" w:hAnsi="宋体"/>
          <w:bCs/>
          <w:color w:val="000000"/>
          <w:sz w:val="24"/>
          <w:szCs w:val="24"/>
          <w:lang w:bidi="zh-CN"/>
        </w:rPr>
        <w:t>项目公司在2021年3月计划支付前期费用共</w:t>
      </w:r>
      <w:r>
        <w:rPr>
          <w:rFonts w:hint="eastAsia" w:ascii="宋体" w:hAnsi="宋体"/>
          <w:bCs/>
          <w:sz w:val="24"/>
          <w:szCs w:val="24"/>
          <w:lang w:bidi="zh-CN"/>
        </w:rPr>
        <w:t>计</w:t>
      </w:r>
      <w:r>
        <w:rPr>
          <w:rFonts w:hint="eastAsia" w:ascii="宋体" w:hAnsi="宋体"/>
          <w:sz w:val="24"/>
          <w:szCs w:val="24"/>
        </w:rPr>
        <w:t>414.36</w:t>
      </w:r>
      <w:r>
        <w:rPr>
          <w:rFonts w:hint="eastAsia" w:ascii="宋体" w:hAnsi="宋体"/>
          <w:bCs/>
          <w:color w:val="000000"/>
          <w:sz w:val="24"/>
          <w:szCs w:val="24"/>
          <w:lang w:bidi="zh-CN"/>
        </w:rPr>
        <w:t>万元，具体分析如下：</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bCs/>
          <w:color w:val="000000"/>
          <w:sz w:val="24"/>
          <w:szCs w:val="24"/>
          <w:lang w:bidi="zh-CN"/>
        </w:rPr>
        <w:t>（1）</w:t>
      </w:r>
      <w:r>
        <w:rPr>
          <w:rFonts w:hint="eastAsia" w:ascii="宋体" w:hAnsi="宋体"/>
          <w:sz w:val="24"/>
          <w:szCs w:val="24"/>
        </w:rPr>
        <w:t>预计在3月向富春区财政局支付无证施工（未取得施工证且未办理未批先建手续）处罚120.00万元（按一标段备案合同价1%预估）。因项目公司未办理施工证提前施工</w:t>
      </w:r>
      <w:r>
        <w:rPr>
          <w:rFonts w:hint="eastAsia" w:ascii="宋体" w:hAnsi="宋体" w:cs="Arial"/>
          <w:sz w:val="24"/>
          <w:szCs w:val="24"/>
        </w:rPr>
        <w:t>违反了《中华人民共和国建筑法》、《建筑工程施工许可管理办法》等法律法规,按规定最高以工程施工合同金额的2%处罚。</w:t>
      </w:r>
      <w:r>
        <w:rPr>
          <w:rFonts w:hint="eastAsia" w:ascii="宋体" w:hAnsi="宋体"/>
          <w:sz w:val="24"/>
          <w:szCs w:val="24"/>
        </w:rPr>
        <w:t>经核查，此金额为项目公司预估金额，实际支付时以富阳区财政局开具的罚款文件为准。</w:t>
      </w:r>
      <w:r>
        <w:rPr>
          <w:rFonts w:ascii="宋体" w:hAnsi="宋体"/>
          <w:sz w:val="24"/>
          <w:szCs w:val="24"/>
        </w:rPr>
        <w:br w:type="textWrapping"/>
      </w:r>
      <w:r>
        <w:rPr>
          <w:rFonts w:ascii="宋体" w:hAnsi="宋体"/>
          <w:sz w:val="24"/>
          <w:szCs w:val="24"/>
        </w:rPr>
        <w:t xml:space="preserve">    </w:t>
      </w:r>
      <w:r>
        <w:rPr>
          <w:rFonts w:hint="eastAsia" w:ascii="宋体" w:hAnsi="宋体"/>
          <w:sz w:val="24"/>
          <w:szCs w:val="24"/>
        </w:rPr>
        <w:t>（2）依据项目公司提供资料，项目公司与杭州大麦室内设计有限公司于2021年01月25日签订《富政储出2020-21号地块大区精装修设计合同》，合同价</w:t>
      </w:r>
      <w:r>
        <w:rPr>
          <w:rFonts w:ascii="宋体" w:hAnsi="宋体"/>
          <w:sz w:val="24"/>
          <w:szCs w:val="24"/>
        </w:rPr>
        <w:t>67.98</w:t>
      </w:r>
      <w:r>
        <w:rPr>
          <w:rFonts w:hint="eastAsia" w:ascii="宋体" w:hAnsi="宋体"/>
          <w:sz w:val="24"/>
          <w:szCs w:val="24"/>
        </w:rPr>
        <w:t>万元，合同付款条件为：签约并由甲方发出设计任务指令付20%预付款；概念方案设计完成后付20%设计款；方案扩初设计及甲方确认电气点位图后付20%设计款；施工图设计、软装设计完成后付30%设计款；施工完成并确认完成全部图纸变更验收合格后付10%设计款。本次拟支付预付款20%，概念方案设计费20%及方案扩初设计款20%，共计40.79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40"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依据项目公司提供资料，项目公司与上海天华建筑设计有限公司于2020年11月10日签订了《富春70-2地块施工图设计合同》，合同价212.91万元，合同付款条件为：合同签订10日内支付10%预付款，提交初步成果文件并通过审核后10日内支付20%，提交完整施工图成果文件经甲方审核后10日内支付40%，完成室内外总体、市政配套成果后10日内支付15%，结构封顶经甲方审核后10日内支付10%，竣工验收后支付5%。根据项目公司提供资料目前已提交完整施工图成果文件，本期拟支付预付款10%、进度款60%，共计149.04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4）依据项目公司提供资料，项目公司与杭州西南检测技术股份有限公司签订《富政储出【2020】21号地块项目桩基检测及基坑监测合同》，合同金额63.44万元。本期完成实际检测产值15.37万元，本次支付15.37万元，</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r>
        <w:rPr>
          <w:rFonts w:hint="eastAsia" w:ascii="宋体" w:hAnsi="宋体"/>
          <w:sz w:val="24"/>
          <w:szCs w:val="24"/>
        </w:rPr>
        <w:t>。</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依据项目公司提供资料，项目公司与中建三局第二建设工程有限责任公司浙江建筑设计院拟签订《富政储出【2020】21号地块项目-地下室人防设计》，合同价为30.10万元。本月拟支付工程款25.59万元。项目公司尚未提交该合同用印，本期支付为预估金额。</w:t>
      </w:r>
      <w:r>
        <w:rPr>
          <w:rFonts w:hint="eastAsia" w:ascii="宋体" w:hAnsi="宋体"/>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（6）依据项目公司提供资料，项目公司与中国人寿财产保险股份有限公司上海分公司《富政储出【2020】21号地块项目工程保险》，合同金额</w:t>
      </w:r>
      <w:r>
        <w:rPr>
          <w:rFonts w:ascii="宋体" w:hAnsi="宋体"/>
          <w:sz w:val="24"/>
          <w:szCs w:val="24"/>
        </w:rPr>
        <w:t>3.57</w:t>
      </w:r>
      <w:r>
        <w:rPr>
          <w:rFonts w:hint="eastAsia" w:ascii="宋体" w:hAnsi="宋体"/>
          <w:sz w:val="24"/>
          <w:szCs w:val="24"/>
        </w:rPr>
        <w:t>万元。本次支付</w:t>
      </w:r>
      <w:r>
        <w:rPr>
          <w:rFonts w:ascii="宋体" w:hAnsi="宋体"/>
          <w:sz w:val="24"/>
          <w:szCs w:val="24"/>
        </w:rPr>
        <w:t>3.57</w:t>
      </w:r>
      <w:r>
        <w:rPr>
          <w:rFonts w:hint="eastAsia" w:ascii="宋体" w:hAnsi="宋体"/>
          <w:sz w:val="24"/>
          <w:szCs w:val="24"/>
        </w:rPr>
        <w:t>万元，</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r>
        <w:rPr>
          <w:rFonts w:hint="eastAsia" w:ascii="宋体" w:hAnsi="宋体"/>
          <w:sz w:val="24"/>
          <w:szCs w:val="24"/>
        </w:rPr>
        <w:t>。</w:t>
      </w:r>
    </w:p>
    <w:p>
      <w:pPr>
        <w:spacing w:before="160" w:beforeLines="50" w:after="160" w:afterLines="50" w:line="360" w:lineRule="auto"/>
        <w:ind w:left="240"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依据项目公司提供资料，项目公司与上海墨刻景观工程有限公司于2020年12月30日签订了《富政储出【2020】21号地块项目景观工程设计合同》，合同价72.80万元，本期完成产值60.00万元，拟计划支付60.00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lang w:bidi="zh-CN"/>
        </w:rPr>
      </w:pPr>
      <w:r>
        <w:rPr>
          <w:rFonts w:hint="eastAsia" w:ascii="宋体" w:hAnsi="宋体"/>
          <w:sz w:val="24"/>
          <w:szCs w:val="24"/>
          <w:lang w:bidi="zh-CN"/>
        </w:rPr>
        <w:t>经审核，我司认为以上付款中1、5项未签订合同，为预估金额，后期我司会对合同签订严格把控；第2-4、6、7项符合合同付款条款约定，计划合理。 实际支付时，我司会</w:t>
      </w:r>
      <w:r>
        <w:rPr>
          <w:rFonts w:hint="eastAsia" w:ascii="宋体" w:hAnsi="宋体"/>
          <w:sz w:val="24"/>
          <w:szCs w:val="24"/>
        </w:rPr>
        <w:t>严格按照相关合同付款条款严格执行，</w:t>
      </w:r>
      <w:r>
        <w:rPr>
          <w:rFonts w:hint="eastAsia" w:ascii="宋体" w:hAnsi="宋体"/>
          <w:sz w:val="24"/>
          <w:szCs w:val="24"/>
          <w:lang w:bidi="zh-CN"/>
        </w:rPr>
        <w:t>确保资金支付合理、合规。</w:t>
      </w:r>
    </w:p>
    <w:p>
      <w:pPr>
        <w:spacing w:before="160" w:beforeLines="50" w:after="160" w:afterLines="50" w:line="360" w:lineRule="auto"/>
        <w:rPr>
          <w:rFonts w:ascii="宋体" w:hAnsi="宋体"/>
          <w:b/>
          <w:bCs/>
          <w:sz w:val="24"/>
          <w:szCs w:val="24"/>
          <w:lang w:bidi="zh-CN"/>
        </w:rPr>
      </w:pPr>
      <w:r>
        <w:rPr>
          <w:rFonts w:hint="eastAsia" w:ascii="宋体" w:hAnsi="宋体"/>
          <w:b/>
          <w:bCs/>
          <w:sz w:val="24"/>
          <w:szCs w:val="24"/>
          <w:lang w:bidi="zh-CN"/>
        </w:rPr>
        <w:t>（三）建安费用资金支出计划说明</w:t>
      </w:r>
    </w:p>
    <w:p>
      <w:pPr>
        <w:spacing w:before="160" w:beforeLines="50" w:after="160" w:afterLines="50" w:line="360" w:lineRule="auto"/>
        <w:ind w:firstLine="720" w:firstLineChars="300"/>
        <w:rPr>
          <w:rFonts w:ascii="宋体" w:hAnsi="宋体"/>
          <w:bCs/>
          <w:color w:val="000000"/>
          <w:sz w:val="24"/>
          <w:szCs w:val="24"/>
          <w:lang w:bidi="zh-CN"/>
        </w:rPr>
      </w:pPr>
      <w:r>
        <w:rPr>
          <w:rFonts w:hint="eastAsia" w:ascii="宋体" w:hAnsi="宋体"/>
          <w:bCs/>
          <w:color w:val="000000"/>
          <w:sz w:val="24"/>
          <w:szCs w:val="24"/>
          <w:lang w:bidi="zh-CN"/>
        </w:rPr>
        <w:t>项目公司在2021年3月计划支付建安费用共</w:t>
      </w:r>
      <w:r>
        <w:rPr>
          <w:rFonts w:hint="eastAsia" w:ascii="宋体" w:hAnsi="宋体"/>
          <w:bCs/>
          <w:sz w:val="24"/>
          <w:szCs w:val="24"/>
          <w:lang w:bidi="zh-CN"/>
        </w:rPr>
        <w:t>计</w:t>
      </w:r>
      <w:r>
        <w:rPr>
          <w:rFonts w:hint="eastAsia" w:ascii="宋体" w:hAnsi="宋体"/>
          <w:sz w:val="24"/>
          <w:szCs w:val="24"/>
        </w:rPr>
        <w:t>1,530.95</w:t>
      </w:r>
      <w:r>
        <w:rPr>
          <w:rFonts w:hint="eastAsia" w:ascii="宋体" w:hAnsi="宋体"/>
          <w:bCs/>
          <w:color w:val="000000"/>
          <w:sz w:val="24"/>
          <w:szCs w:val="24"/>
          <w:lang w:bidi="zh-CN"/>
        </w:rPr>
        <w:t>万元，具体分析如下：</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依据项目公司提供资料，项目公司与浙江富水建设有限公司签订《富政储出【2020】21号（富春70-2）地块总承包工程》，合同价为</w:t>
      </w:r>
      <w:r>
        <w:rPr>
          <w:rFonts w:ascii="宋体" w:hAnsi="宋体"/>
          <w:sz w:val="24"/>
          <w:szCs w:val="24"/>
        </w:rPr>
        <w:t>28,295.3</w:t>
      </w:r>
      <w:r>
        <w:rPr>
          <w:rFonts w:hint="eastAsia" w:ascii="宋体" w:hAnsi="宋体"/>
          <w:sz w:val="24"/>
          <w:szCs w:val="24"/>
        </w:rPr>
        <w:t>3万元。合同付款条件为：乙方在签订合同后15日内向甲方提供不低于合同总金额5%的履约保函,选用按月度付款；乙方每月25日提交已完工程的付款申请书交甲方审批经甲方及监理单位审核后，转固定前按完成工程量75%支付，每期工程进度款=（合同价款中已完工程金额－甲供材、甲分包部分）×支付比例―（违约金或罚款+甲方代付代缴项）；合同完成转固，确定合同总价后，月进度款按产值的80%支付；工程竣工验收合格，乙方提供全套合格的工程技术资料并配合甲方提供退回墙改基金等所需的发票及资料，且移交全部竣工资料经档案馆验收合格（如甲方提供资料不全，责任由甲方承担），填写《工程质量保证书》并向甲方交钥匙以后，甲方向乙方支付至已完合格工程价款的90%；完成物业移交手续，同时完成项目交付并结算完成后，支付至结算金额的95%，但开具100%足额增值税专用发票，结算额的5%作为保修金；本工程采用现金、商票、保理、工抵等多种形式，暂定如下：现金 60%+商票 30%+工抵 10%，工抵项目为锦宁里商铺。本期拟支付工程进度款1,003.56万元（产值为1338.08*75%），符合合同约定，</w:t>
      </w:r>
      <w:r>
        <w:rPr>
          <w:rFonts w:hint="eastAsia" w:ascii="宋体" w:hAnsi="宋体"/>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依据项目公司提供资料，项目公司与浙江天润建设有限公司签订《富政储出【2020】21号（富春70-2）地块桩基及基坑支护工程》，合同价为4</w:t>
      </w:r>
      <w:r>
        <w:rPr>
          <w:rFonts w:ascii="宋体" w:hAnsi="宋体"/>
          <w:sz w:val="24"/>
          <w:szCs w:val="24"/>
        </w:rPr>
        <w:t>,</w:t>
      </w:r>
      <w:r>
        <w:rPr>
          <w:rFonts w:hint="eastAsia" w:ascii="宋体" w:hAnsi="宋体"/>
          <w:sz w:val="24"/>
          <w:szCs w:val="24"/>
        </w:rPr>
        <w:t>788.05万元。合同付款条件为：每月25日上报实际完成进度，经甲方及监理公司确认实际完成工程量后，支付实际完成工程量对应造价的70%；项目桩基工程施工完成，经甲方及监理公司验收合格，甲方在验收合格30日内付至实际完成工程量对应造价的85%；项目桩基工程竣工验收合格后，乙方向甲方提供完整的工程结算书，甲方在工程结算完毕后30日内支付至本工程结算总价款的95%；工程结算总价的5%作为质量保证金；乙方同意甲方按合同额10%，即工程款/或进度款以抵房形式进行支付，乙方同意甲方可以以银行承兑的形式支付工程款，但不超过本工程总产值的30%。本期支付进度款244.71万元（产值为349.57万元*70%），符合合同约定。</w:t>
      </w:r>
      <w:r>
        <w:rPr>
          <w:rFonts w:hint="eastAsia" w:ascii="宋体" w:hAnsi="宋体"/>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依据项目公司提供资料，项目公司与杭州路翔交通设施有限公司签订《富春70-2号地块项目交通设施配套工程》，暂定合同价为12.40万元。合同约定：经相关部门验收合格后30日内支付95%，5%万作为质保金。本期支付95%即11.78万元，符合合同约定。</w:t>
      </w:r>
      <w:r>
        <w:rPr>
          <w:rFonts w:hint="eastAsia" w:ascii="宋体" w:hAnsi="宋体"/>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4）依据项目公司提供资料，项目公司与浙江宏恩装饰工程有限公司签订《富政储出【2020】21号地块示范区精装修工程》，合同价暂定为285.15万元，根据合同约定：工程全部完工，保洁完成，经发包人及监理验收达到竣工标准，发包人支付至85%。本月拟支付工程款241.64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5）依据项目公司提供资料，项目公司与浙江之江工程项目管理有限公司签订《富阳70-2地块项目监理工程合同》，合同价暂定为190.36万元，根据合同约定：每季度付完成工程量的80%作为进度款。本月拟支付监理费4.2万元，本期支付为预估金额。</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left="210" w:leftChars="100" w:firstLine="480" w:firstLineChars="200"/>
        <w:rPr>
          <w:rFonts w:ascii="宋体" w:hAnsi="宋体"/>
          <w:sz w:val="24"/>
          <w:szCs w:val="24"/>
        </w:rPr>
      </w:pPr>
      <w:r>
        <w:rPr>
          <w:rFonts w:hint="eastAsia" w:ascii="宋体" w:hAnsi="宋体"/>
          <w:sz w:val="24"/>
          <w:szCs w:val="24"/>
        </w:rPr>
        <w:t>（6）依据项目公司提供资料，项目公司拟与杭州大航雕塑景观工程有限公司签订《富政储出【2020】21号地块示范区雕塑小品工程》，合同价暂定为30.00万元，本月拟支付工程款25.06万元，经审查项目公司尚未提交该合同用印，本期支付为预估金额。</w:t>
      </w:r>
      <w:r>
        <w:rPr>
          <w:rFonts w:hint="eastAsia" w:ascii="宋体" w:hAnsi="宋体"/>
          <w:sz w:val="24"/>
          <w:szCs w:val="24"/>
          <w:lang w:bidi="zh-CN"/>
        </w:rPr>
        <w:t>后期我司会对合同签订严格把控，实际支付时，我司会对付款申请、发票、流程、合同、函证等依据进</w:t>
      </w:r>
    </w:p>
    <w:p>
      <w:pPr>
        <w:spacing w:before="160" w:beforeLines="50" w:after="160" w:afterLines="50" w:line="360" w:lineRule="auto"/>
        <w:ind w:left="210" w:leftChars="100" w:firstLine="480" w:firstLineChars="200"/>
        <w:rPr>
          <w:rFonts w:ascii="宋体" w:hAnsi="宋体"/>
          <w:sz w:val="24"/>
          <w:szCs w:val="24"/>
          <w:lang w:bidi="zh-CN"/>
        </w:rPr>
      </w:pPr>
      <w:r>
        <w:rPr>
          <w:rFonts w:hint="eastAsia" w:ascii="宋体" w:hAnsi="宋体"/>
          <w:sz w:val="24"/>
          <w:szCs w:val="24"/>
          <w:lang w:bidi="zh-CN"/>
        </w:rPr>
        <w:t>经审核，我司认为以上付款中第6项未签订合同，为预估金额，后期我司会对合同签订严格把控；第1-5项符合合同付款条款约定，计划合理。 实际支付时，我司会</w:t>
      </w:r>
      <w:r>
        <w:rPr>
          <w:rFonts w:hint="eastAsia" w:ascii="宋体" w:hAnsi="宋体"/>
          <w:sz w:val="24"/>
          <w:szCs w:val="24"/>
        </w:rPr>
        <w:t>严格按照相关合同付款条款严格执行，</w:t>
      </w:r>
      <w:r>
        <w:rPr>
          <w:rFonts w:hint="eastAsia" w:ascii="宋体" w:hAnsi="宋体"/>
          <w:sz w:val="24"/>
          <w:szCs w:val="24"/>
          <w:lang w:bidi="zh-CN"/>
        </w:rPr>
        <w:t>确保资金支付合理、合规。</w:t>
      </w:r>
    </w:p>
    <w:p>
      <w:pPr>
        <w:spacing w:before="160" w:beforeLines="50" w:after="160" w:afterLines="50" w:line="360" w:lineRule="auto"/>
        <w:rPr>
          <w:rFonts w:ascii="宋体" w:hAnsi="宋体"/>
          <w:b/>
          <w:bCs/>
          <w:sz w:val="24"/>
          <w:szCs w:val="24"/>
          <w:lang w:bidi="zh-CN"/>
        </w:rPr>
      </w:pPr>
      <w:r>
        <w:rPr>
          <w:rFonts w:hint="eastAsia" w:ascii="宋体" w:hAnsi="宋体"/>
          <w:b/>
          <w:bCs/>
          <w:sz w:val="24"/>
          <w:szCs w:val="24"/>
          <w:lang w:bidi="zh-CN"/>
        </w:rPr>
        <w:t>（四）</w:t>
      </w:r>
      <w:r>
        <w:rPr>
          <w:rFonts w:hint="eastAsia" w:ascii="宋体" w:hAnsi="宋体"/>
          <w:b/>
          <w:bCs/>
          <w:color w:val="000000"/>
          <w:sz w:val="24"/>
          <w:szCs w:val="24"/>
          <w:lang w:bidi="zh-CN"/>
        </w:rPr>
        <w:t>管理费用资金支出计划说明</w:t>
      </w:r>
    </w:p>
    <w:p>
      <w:pPr>
        <w:numPr>
          <w:ilvl w:val="255"/>
          <w:numId w:val="0"/>
        </w:numPr>
        <w:spacing w:before="160" w:beforeLines="50" w:after="160" w:afterLines="50" w:line="360" w:lineRule="auto"/>
        <w:ind w:firstLine="480" w:firstLineChars="200"/>
        <w:rPr>
          <w:rFonts w:ascii="宋体" w:hAnsi="宋体"/>
          <w:sz w:val="24"/>
          <w:szCs w:val="24"/>
          <w:lang w:bidi="zh-CN"/>
        </w:rPr>
      </w:pPr>
      <w:r>
        <w:rPr>
          <w:rFonts w:hint="eastAsia" w:ascii="宋体" w:hAnsi="宋体"/>
          <w:sz w:val="24"/>
          <w:szCs w:val="24"/>
        </w:rPr>
        <w:t>项目公司在2021年3月的管理费用支出金额共计80.00万元，为员工工资及报销等费用。</w:t>
      </w:r>
      <w:r>
        <w:rPr>
          <w:rFonts w:ascii="宋体" w:hAnsi="宋体"/>
          <w:sz w:val="24"/>
          <w:szCs w:val="24"/>
        </w:rPr>
        <w:t xml:space="preserve"> </w:t>
      </w:r>
      <w:r>
        <w:rPr>
          <w:rFonts w:hint="eastAsia" w:ascii="宋体" w:hAnsi="宋体"/>
          <w:sz w:val="24"/>
          <w:szCs w:val="24"/>
          <w:lang w:bidi="zh-CN"/>
        </w:rPr>
        <w:t>经审核，我司认为3月管理费用</w:t>
      </w:r>
      <w:r>
        <w:rPr>
          <w:rFonts w:hint="eastAsia" w:ascii="宋体" w:hAnsi="宋体"/>
          <w:sz w:val="24"/>
          <w:szCs w:val="24"/>
        </w:rPr>
        <w:t>为预估金额，</w:t>
      </w:r>
      <w:r>
        <w:rPr>
          <w:rFonts w:hint="eastAsia" w:ascii="宋体" w:hAnsi="宋体"/>
          <w:sz w:val="24"/>
          <w:szCs w:val="24"/>
          <w:lang w:bidi="zh-CN"/>
        </w:rPr>
        <w:t>实际支付时，我司会对付款申请、发票、流程、协议等依据进行审核，确保资金支付合理、合规。</w:t>
      </w:r>
    </w:p>
    <w:p>
      <w:pPr>
        <w:spacing w:before="160" w:beforeLines="50" w:after="160" w:afterLines="50" w:line="360" w:lineRule="auto"/>
        <w:rPr>
          <w:rFonts w:ascii="宋体" w:hAnsi="宋体"/>
          <w:b/>
          <w:bCs/>
          <w:color w:val="000000"/>
          <w:sz w:val="24"/>
          <w:szCs w:val="24"/>
          <w:lang w:bidi="zh-CN"/>
        </w:rPr>
      </w:pPr>
      <w:r>
        <w:rPr>
          <w:rFonts w:hint="eastAsia" w:ascii="宋体" w:hAnsi="宋体"/>
          <w:b/>
          <w:bCs/>
          <w:sz w:val="24"/>
          <w:szCs w:val="24"/>
          <w:lang w:bidi="zh-CN"/>
        </w:rPr>
        <w:t>（五）</w:t>
      </w:r>
      <w:r>
        <w:rPr>
          <w:rFonts w:hint="eastAsia" w:ascii="宋体" w:hAnsi="宋体"/>
          <w:b/>
          <w:bCs/>
          <w:color w:val="000000"/>
          <w:sz w:val="24"/>
          <w:szCs w:val="24"/>
          <w:lang w:bidi="zh-CN"/>
        </w:rPr>
        <w:t>营销费用资金支出计划说明</w:t>
      </w:r>
    </w:p>
    <w:p>
      <w:pPr>
        <w:spacing w:before="160" w:beforeLines="50" w:after="160" w:afterLines="50" w:line="360" w:lineRule="auto"/>
        <w:ind w:firstLine="480" w:firstLineChars="200"/>
        <w:rPr>
          <w:rFonts w:ascii="宋体" w:hAnsi="宋体"/>
          <w:sz w:val="24"/>
          <w:szCs w:val="24"/>
        </w:rPr>
      </w:pPr>
      <w:r>
        <w:rPr>
          <w:rFonts w:hint="eastAsia" w:ascii="宋体" w:hAnsi="宋体"/>
          <w:sz w:val="24"/>
          <w:szCs w:val="24"/>
        </w:rPr>
        <w:t>（1）依据项目公司提供资料，项目公司与杭州金辰置业有限公司签订《富春70-2地块售楼处软装（搬杭源里软装）合同》，合同价为47.71万元，合同约定：软装到货后支付100%货款。本月支付货款47.71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spacing w:before="160" w:beforeLines="50" w:after="160" w:afterLines="50" w:line="360" w:lineRule="auto"/>
        <w:ind w:firstLine="480" w:firstLineChars="200"/>
        <w:rPr>
          <w:rFonts w:ascii="宋体" w:hAnsi="宋体"/>
          <w:sz w:val="24"/>
          <w:szCs w:val="24"/>
        </w:rPr>
      </w:pPr>
      <w:r>
        <w:rPr>
          <w:rFonts w:hint="eastAsia" w:ascii="宋体" w:hAnsi="宋体"/>
          <w:sz w:val="24"/>
          <w:szCs w:val="24"/>
        </w:rPr>
        <w:t>（2）依据项目公司提供资料，项目公司与杭州汉斯人工环境工程有限公司签订《富政储出【2020】21号地块示范区户外家俱供货安装工程》，合同价为4.96万元，合同约定：合同签订15日内支付20%预付款，到货后支付70%，结算完成后支付至95%，5</w:t>
      </w:r>
      <w:r>
        <w:rPr>
          <w:rFonts w:ascii="宋体" w:hAnsi="宋体"/>
          <w:sz w:val="24"/>
          <w:szCs w:val="24"/>
        </w:rPr>
        <w:t>%</w:t>
      </w:r>
      <w:r>
        <w:rPr>
          <w:rFonts w:hint="eastAsia" w:ascii="宋体" w:hAnsi="宋体"/>
          <w:sz w:val="24"/>
          <w:szCs w:val="24"/>
        </w:rPr>
        <w:t>作为质保金。本次支付4.71万元，符合合同约定，</w:t>
      </w:r>
      <w:r>
        <w:rPr>
          <w:rFonts w:hint="eastAsia" w:ascii="宋体" w:hAnsi="宋体"/>
          <w:sz w:val="24"/>
          <w:szCs w:val="24"/>
          <w:lang w:bidi="zh-CN"/>
        </w:rPr>
        <w:t>实际支付时，我司会对付款申请、发票、流程、合同、函证等依据进行审核、计算，</w:t>
      </w:r>
      <w:r>
        <w:rPr>
          <w:rFonts w:ascii="宋体" w:hAnsi="宋体"/>
          <w:sz w:val="24"/>
          <w:szCs w:val="24"/>
        </w:rPr>
        <w:t>严格把控，确保资金支付合理、合规。</w:t>
      </w:r>
    </w:p>
    <w:p>
      <w:pPr>
        <w:numPr>
          <w:ilvl w:val="255"/>
          <w:numId w:val="0"/>
        </w:numPr>
        <w:spacing w:before="160" w:beforeLines="50" w:after="160" w:afterLines="50" w:line="360" w:lineRule="auto"/>
        <w:ind w:firstLine="480" w:firstLineChars="200"/>
        <w:rPr>
          <w:rFonts w:ascii="宋体" w:hAnsi="宋体"/>
          <w:sz w:val="24"/>
          <w:szCs w:val="24"/>
          <w:lang w:bidi="zh-CN"/>
        </w:rPr>
      </w:pPr>
      <w:r>
        <w:rPr>
          <w:rFonts w:hint="eastAsia" w:ascii="宋体" w:hAnsi="宋体"/>
          <w:sz w:val="24"/>
          <w:szCs w:val="24"/>
          <w:lang w:bidi="zh-CN"/>
        </w:rPr>
        <w:t>（3）因项目公司营销团队已组建完成，展厅已开放，筹备营销活动等，暂时预估不可预见销售费用为20</w:t>
      </w:r>
      <w:r>
        <w:rPr>
          <w:rFonts w:ascii="宋体" w:hAnsi="宋体"/>
          <w:sz w:val="24"/>
          <w:szCs w:val="24"/>
          <w:lang w:bidi="zh-CN"/>
        </w:rPr>
        <w:t>0.00万元</w:t>
      </w:r>
      <w:r>
        <w:rPr>
          <w:rFonts w:hint="eastAsia" w:ascii="宋体" w:hAnsi="宋体"/>
          <w:sz w:val="24"/>
          <w:szCs w:val="24"/>
          <w:lang w:bidi="zh-CN"/>
        </w:rPr>
        <w:t>，营销费用共计252.42万元。后期我司会对相关合同签订严格把控，实际支付时，我司会对付款申请、发票、流程、合同等依据进行审核、计算，</w:t>
      </w:r>
      <w:r>
        <w:rPr>
          <w:rFonts w:ascii="宋体" w:hAnsi="宋体"/>
          <w:sz w:val="24"/>
          <w:szCs w:val="24"/>
          <w:lang w:bidi="zh-CN"/>
        </w:rPr>
        <w:t>严格把控，确保资金支付合理、合规。</w:t>
      </w:r>
    </w:p>
    <w:p>
      <w:pPr>
        <w:spacing w:before="160" w:beforeLines="50" w:after="160" w:afterLines="50" w:line="360" w:lineRule="auto"/>
        <w:ind w:firstLine="241" w:firstLineChars="100"/>
        <w:rPr>
          <w:rFonts w:ascii="宋体" w:hAnsi="宋体"/>
          <w:b/>
          <w:bCs/>
          <w:color w:val="000000"/>
          <w:sz w:val="24"/>
          <w:szCs w:val="24"/>
          <w:lang w:bidi="zh-CN"/>
        </w:rPr>
      </w:pPr>
      <w:r>
        <w:rPr>
          <w:rFonts w:hint="eastAsia" w:ascii="宋体" w:hAnsi="宋体"/>
          <w:b/>
          <w:bCs/>
          <w:color w:val="000000"/>
          <w:sz w:val="24"/>
          <w:szCs w:val="24"/>
          <w:lang w:bidi="zh-CN"/>
        </w:rPr>
        <w:t>四、结论：</w:t>
      </w:r>
    </w:p>
    <w:p>
      <w:pPr>
        <w:spacing w:before="160" w:beforeLines="50" w:after="160" w:afterLines="50" w:line="360" w:lineRule="auto"/>
        <w:ind w:firstLine="480" w:firstLineChars="200"/>
        <w:rPr>
          <w:rFonts w:ascii="宋体" w:hAnsi="宋体"/>
          <w:sz w:val="24"/>
          <w:szCs w:val="24"/>
          <w:lang w:bidi="zh-CN"/>
        </w:rPr>
      </w:pPr>
      <w:r>
        <w:rPr>
          <w:rFonts w:hint="eastAsia" w:ascii="宋体" w:hAnsi="宋体"/>
          <w:bCs/>
          <w:color w:val="000000"/>
          <w:sz w:val="24"/>
          <w:szCs w:val="24"/>
          <w:lang w:bidi="zh-CN"/>
        </w:rPr>
        <w:t>本次杭州富阳融驰置业有限公司申报的3</w:t>
      </w:r>
      <w:r>
        <w:rPr>
          <w:rFonts w:ascii="宋体" w:hAnsi="宋体"/>
          <w:bCs/>
          <w:color w:val="000000"/>
          <w:sz w:val="24"/>
          <w:szCs w:val="24"/>
          <w:lang w:bidi="zh-CN"/>
        </w:rPr>
        <w:t>月资金计</w:t>
      </w:r>
      <w:r>
        <w:rPr>
          <w:rFonts w:hint="eastAsia" w:ascii="宋体" w:hAnsi="宋体"/>
          <w:bCs/>
          <w:color w:val="000000"/>
          <w:sz w:val="24"/>
          <w:szCs w:val="24"/>
          <w:lang w:bidi="zh-CN"/>
        </w:rPr>
        <w:t>划</w:t>
      </w:r>
      <w:r>
        <w:rPr>
          <w:rFonts w:ascii="宋体" w:hAnsi="宋体"/>
          <w:bCs/>
          <w:color w:val="000000"/>
          <w:sz w:val="24"/>
          <w:szCs w:val="24"/>
          <w:lang w:bidi="zh-CN"/>
        </w:rPr>
        <w:t>包含</w:t>
      </w:r>
      <w:r>
        <w:rPr>
          <w:rFonts w:hint="eastAsia" w:ascii="宋体" w:hAnsi="宋体"/>
          <w:bCs/>
          <w:color w:val="000000"/>
          <w:sz w:val="24"/>
          <w:szCs w:val="24"/>
          <w:lang w:bidi="zh-CN"/>
        </w:rPr>
        <w:t>五</w:t>
      </w:r>
      <w:r>
        <w:rPr>
          <w:rFonts w:ascii="宋体" w:hAnsi="宋体"/>
          <w:bCs/>
          <w:color w:val="000000"/>
          <w:sz w:val="24"/>
          <w:szCs w:val="24"/>
          <w:lang w:bidi="zh-CN"/>
        </w:rPr>
        <w:t>大</w:t>
      </w:r>
      <w:r>
        <w:rPr>
          <w:rFonts w:hint="eastAsia" w:ascii="宋体" w:hAnsi="宋体"/>
          <w:bCs/>
          <w:color w:val="000000"/>
          <w:sz w:val="24"/>
          <w:szCs w:val="24"/>
          <w:lang w:bidi="zh-CN"/>
        </w:rPr>
        <w:t>项目</w:t>
      </w:r>
      <w:r>
        <w:rPr>
          <w:rFonts w:ascii="宋体" w:hAnsi="宋体"/>
          <w:bCs/>
          <w:color w:val="000000"/>
          <w:sz w:val="24"/>
          <w:szCs w:val="24"/>
          <w:lang w:bidi="zh-CN"/>
        </w:rPr>
        <w:t>，分别为</w:t>
      </w:r>
      <w:r>
        <w:rPr>
          <w:rFonts w:hint="eastAsia" w:ascii="宋体" w:hAnsi="宋体"/>
          <w:bCs/>
          <w:color w:val="000000"/>
          <w:sz w:val="24"/>
          <w:szCs w:val="24"/>
          <w:lang w:bidi="zh-CN"/>
        </w:rPr>
        <w:t>土地费用、前期费用</w:t>
      </w:r>
      <w:r>
        <w:rPr>
          <w:rFonts w:ascii="宋体" w:hAnsi="宋体"/>
          <w:bCs/>
          <w:color w:val="000000"/>
          <w:sz w:val="24"/>
          <w:szCs w:val="24"/>
          <w:lang w:bidi="zh-CN"/>
        </w:rPr>
        <w:t>、</w:t>
      </w:r>
      <w:r>
        <w:rPr>
          <w:rFonts w:hint="eastAsia" w:ascii="宋体" w:hAnsi="宋体"/>
          <w:bCs/>
          <w:color w:val="000000"/>
          <w:sz w:val="24"/>
          <w:szCs w:val="24"/>
          <w:lang w:bidi="zh-CN"/>
        </w:rPr>
        <w:t>建安费用</w:t>
      </w:r>
      <w:r>
        <w:rPr>
          <w:rFonts w:ascii="宋体" w:hAnsi="宋体"/>
          <w:bCs/>
          <w:color w:val="000000"/>
          <w:sz w:val="24"/>
          <w:szCs w:val="24"/>
          <w:lang w:bidi="zh-CN"/>
        </w:rPr>
        <w:t>、</w:t>
      </w:r>
      <w:r>
        <w:rPr>
          <w:rFonts w:hint="eastAsia" w:ascii="宋体" w:hAnsi="宋体"/>
          <w:bCs/>
          <w:color w:val="000000"/>
          <w:sz w:val="24"/>
          <w:szCs w:val="24"/>
          <w:lang w:bidi="zh-CN"/>
        </w:rPr>
        <w:t>管理费用、营销费用。</w:t>
      </w:r>
      <w:r>
        <w:rPr>
          <w:rFonts w:hint="eastAsia" w:ascii="宋体" w:hAnsi="宋体"/>
          <w:bCs/>
          <w:sz w:val="24"/>
          <w:szCs w:val="24"/>
          <w:lang w:bidi="zh-CN"/>
        </w:rPr>
        <w:t>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3</w:t>
      </w:r>
      <w:r>
        <w:rPr>
          <w:rFonts w:ascii="宋体" w:hAnsi="宋体"/>
          <w:bCs/>
          <w:sz w:val="24"/>
          <w:szCs w:val="24"/>
          <w:lang w:bidi="zh-CN"/>
        </w:rPr>
        <w:t>月</w:t>
      </w:r>
      <w:r>
        <w:rPr>
          <w:rFonts w:hint="eastAsia" w:ascii="宋体" w:hAnsi="宋体"/>
          <w:bCs/>
          <w:sz w:val="24"/>
          <w:szCs w:val="24"/>
          <w:lang w:bidi="zh-CN"/>
        </w:rPr>
        <w:t>份资金计划，并以此作为付款的依据。待实际支付时，我司人员将对相关付款资料的合理、合规性一一核实，据实支付，请审批。</w:t>
      </w:r>
    </w:p>
    <w:p>
      <w:pPr>
        <w:spacing w:before="160" w:beforeLines="50" w:after="160" w:afterLines="50" w:line="360" w:lineRule="auto"/>
        <w:ind w:firstLine="482" w:firstLineChars="200"/>
        <w:rPr>
          <w:rFonts w:ascii="宋体" w:hAnsi="宋体"/>
          <w:b/>
          <w:color w:val="000000"/>
          <w:sz w:val="24"/>
          <w:lang w:bidi="zh-CN"/>
        </w:rPr>
      </w:pPr>
      <w:r>
        <w:rPr>
          <w:rFonts w:hint="eastAsia" w:ascii="宋体" w:hAnsi="宋体"/>
          <w:b/>
          <w:color w:val="000000"/>
          <w:sz w:val="24"/>
          <w:lang w:bidi="zh-CN"/>
        </w:rPr>
        <w:t xml:space="preserve">                                 </w:t>
      </w: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杭州富阳融创富春项目组</w:t>
      </w:r>
    </w:p>
    <w:p>
      <w:pPr>
        <w:spacing w:before="160" w:beforeLines="50" w:line="360" w:lineRule="auto"/>
        <w:ind w:left="420" w:leftChars="200" w:firstLine="482" w:firstLineChars="200"/>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 xml:space="preserve">   </w:t>
      </w:r>
      <w:r>
        <w:rPr>
          <w:rFonts w:hint="eastAsia" w:ascii="宋体" w:hAnsi="宋体"/>
          <w:color w:val="000000"/>
          <w:sz w:val="24"/>
          <w:lang w:bidi="zh-CN"/>
        </w:rPr>
        <w:t xml:space="preserve"> </w:t>
      </w:r>
      <w:r>
        <w:rPr>
          <w:rFonts w:hint="eastAsia" w:ascii="宋体" w:hAnsi="宋体"/>
          <w:b/>
          <w:bCs/>
          <w:color w:val="000000"/>
          <w:sz w:val="24"/>
          <w:lang w:bidi="zh-CN"/>
        </w:rPr>
        <w:t>20</w:t>
      </w:r>
      <w:r>
        <w:rPr>
          <w:rFonts w:ascii="宋体" w:hAnsi="宋体"/>
          <w:b/>
          <w:bCs/>
          <w:color w:val="000000"/>
          <w:sz w:val="24"/>
          <w:lang w:bidi="zh-CN"/>
        </w:rPr>
        <w:t>2</w:t>
      </w:r>
      <w:r>
        <w:rPr>
          <w:rFonts w:hint="eastAsia" w:ascii="宋体" w:hAnsi="宋体"/>
          <w:b/>
          <w:bCs/>
          <w:color w:val="000000"/>
          <w:sz w:val="24"/>
          <w:lang w:bidi="zh-CN"/>
        </w:rPr>
        <w:t>1年03</w:t>
      </w:r>
      <w:r>
        <w:rPr>
          <w:rFonts w:ascii="宋体" w:hAnsi="宋体"/>
          <w:b/>
          <w:bCs/>
          <w:color w:val="000000"/>
          <w:sz w:val="24"/>
          <w:lang w:bidi="zh-CN"/>
        </w:rPr>
        <w:t>月</w:t>
      </w:r>
      <w:r>
        <w:rPr>
          <w:rFonts w:hint="eastAsia" w:ascii="宋体" w:hAnsi="宋体"/>
          <w:b/>
          <w:bCs/>
          <w:color w:val="000000"/>
          <w:sz w:val="24"/>
          <w:lang w:bidi="zh-CN"/>
        </w:rPr>
        <w:t>05</w:t>
      </w:r>
      <w:r>
        <w:rPr>
          <w:rFonts w:ascii="宋体" w:hAnsi="宋体"/>
          <w:b/>
          <w:bCs/>
          <w:color w:val="000000"/>
          <w:sz w:val="24"/>
          <w:lang w:bidi="zh-CN"/>
        </w:rPr>
        <w:t>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4BFE3"/>
    <w:multiLevelType w:val="singleLevel"/>
    <w:tmpl w:val="F4B4BFE3"/>
    <w:lvl w:ilvl="0" w:tentative="0">
      <w:start w:val="2"/>
      <w:numFmt w:val="decimal"/>
      <w:suff w:val="nothing"/>
      <w:lvlText w:val="%1、"/>
      <w:lvlJc w:val="left"/>
      <w:pPr>
        <w:ind w:left="300" w:firstLine="0"/>
      </w:pPr>
    </w:lvl>
  </w:abstractNum>
  <w:abstractNum w:abstractNumId="1">
    <w:nsid w:val="1F5288DA"/>
    <w:multiLevelType w:val="singleLevel"/>
    <w:tmpl w:val="1F5288D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31658"/>
    <w:rsid w:val="00033C60"/>
    <w:rsid w:val="000541C5"/>
    <w:rsid w:val="000677FE"/>
    <w:rsid w:val="00085FFF"/>
    <w:rsid w:val="00090415"/>
    <w:rsid w:val="00112920"/>
    <w:rsid w:val="00324E3E"/>
    <w:rsid w:val="00334355"/>
    <w:rsid w:val="00363692"/>
    <w:rsid w:val="00382996"/>
    <w:rsid w:val="003D4ACF"/>
    <w:rsid w:val="003D5776"/>
    <w:rsid w:val="00500796"/>
    <w:rsid w:val="006119A9"/>
    <w:rsid w:val="00677BDD"/>
    <w:rsid w:val="008378CD"/>
    <w:rsid w:val="008C4C0D"/>
    <w:rsid w:val="008F68F8"/>
    <w:rsid w:val="00922F05"/>
    <w:rsid w:val="00972356"/>
    <w:rsid w:val="009A1C27"/>
    <w:rsid w:val="00A00393"/>
    <w:rsid w:val="00A23BB6"/>
    <w:rsid w:val="00AF2940"/>
    <w:rsid w:val="00B02E89"/>
    <w:rsid w:val="00B7673D"/>
    <w:rsid w:val="00C1334F"/>
    <w:rsid w:val="00C41938"/>
    <w:rsid w:val="00C662F7"/>
    <w:rsid w:val="00E26695"/>
    <w:rsid w:val="00E5786B"/>
    <w:rsid w:val="00E82975"/>
    <w:rsid w:val="00E96C75"/>
    <w:rsid w:val="00F90F9F"/>
    <w:rsid w:val="00FB1CCF"/>
    <w:rsid w:val="00FB73AE"/>
    <w:rsid w:val="00FD2B33"/>
    <w:rsid w:val="056B7017"/>
    <w:rsid w:val="48410D3F"/>
    <w:rsid w:val="5DB1707E"/>
    <w:rsid w:val="64B2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9"/>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styleId="16">
    <w:name w:val="List Paragraph"/>
    <w:basedOn w:val="1"/>
    <w:qFormat/>
    <w:uiPriority w:val="99"/>
    <w:pPr>
      <w:ind w:firstLine="420" w:firstLineChars="200"/>
    </w:pPr>
  </w:style>
  <w:style w:type="character" w:customStyle="1" w:styleId="17">
    <w:name w:val="批注框文本 字符"/>
    <w:basedOn w:val="13"/>
    <w:link w:val="6"/>
    <w:qFormat/>
    <w:uiPriority w:val="0"/>
    <w:rPr>
      <w:kern w:val="2"/>
      <w:sz w:val="18"/>
      <w:szCs w:val="18"/>
    </w:rPr>
  </w:style>
  <w:style w:type="character" w:customStyle="1" w:styleId="18">
    <w:name w:val="批注文字 字符"/>
    <w:basedOn w:val="13"/>
    <w:link w:val="4"/>
    <w:qFormat/>
    <w:uiPriority w:val="0"/>
    <w:rPr>
      <w:kern w:val="2"/>
      <w:sz w:val="21"/>
      <w:szCs w:val="22"/>
    </w:rPr>
  </w:style>
  <w:style w:type="character" w:customStyle="1" w:styleId="19">
    <w:name w:val="批注主题 字符"/>
    <w:basedOn w:val="18"/>
    <w:link w:val="9"/>
    <w:qFormat/>
    <w:uiPriority w:val="0"/>
    <w:rPr>
      <w:b/>
      <w:bCs/>
      <w:kern w:val="2"/>
      <w:sz w:val="21"/>
      <w:szCs w:val="22"/>
    </w:rPr>
  </w:style>
  <w:style w:type="character" w:customStyle="1" w:styleId="20">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BBFBC-4BF3-4FBB-B643-7CBC45C00E0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979</Words>
  <Characters>5586</Characters>
  <Lines>46</Lines>
  <Paragraphs>13</Paragraphs>
  <TotalTime>21</TotalTime>
  <ScaleCrop>false</ScaleCrop>
  <LinksUpToDate>false</LinksUpToDate>
  <CharactersWithSpaces>6552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2021-03-05T06:27:00Z</dcterms:created>
  <dc:creator>郭胜霖</dc:creator>
  <cp:lastModifiedBy>远^_^</cp:lastModifiedBy>
  <dcterms:modified xsi:type="dcterms:W3CDTF">2021-03-08T08:12:19Z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