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C6A" w:rsidRPr="002A7C6A" w:rsidRDefault="002A7C6A" w:rsidP="002A7C6A">
      <w:pPr>
        <w:spacing w:line="560" w:lineRule="exact"/>
        <w:jc w:val="left"/>
        <w:rPr>
          <w:rFonts w:ascii="彩虹粗仿宋" w:eastAsia="彩虹粗仿宋"/>
          <w:sz w:val="32"/>
          <w:szCs w:val="32"/>
        </w:rPr>
      </w:pPr>
    </w:p>
    <w:p w:rsidR="005C4457" w:rsidRDefault="0036440C" w:rsidP="006F0AE0">
      <w:pPr>
        <w:spacing w:line="560" w:lineRule="exact"/>
        <w:jc w:val="center"/>
        <w:rPr>
          <w:rFonts w:ascii="彩虹小标宋" w:eastAsia="彩虹小标宋"/>
          <w:sz w:val="44"/>
          <w:szCs w:val="44"/>
          <w:vertAlign w:val="superscript"/>
        </w:rPr>
      </w:pPr>
      <w:proofErr w:type="gramStart"/>
      <w:r w:rsidRPr="0036440C">
        <w:rPr>
          <w:rFonts w:ascii="彩虹小标宋" w:eastAsia="彩虹小标宋" w:hint="eastAsia"/>
          <w:sz w:val="44"/>
          <w:szCs w:val="44"/>
        </w:rPr>
        <w:t>关于</w:t>
      </w:r>
      <w:r w:rsidR="00394420" w:rsidRPr="00394420">
        <w:rPr>
          <w:rFonts w:ascii="彩虹小标宋" w:eastAsia="彩虹小标宋" w:hint="eastAsia"/>
          <w:sz w:val="44"/>
          <w:szCs w:val="44"/>
        </w:rPr>
        <w:t>融信通达</w:t>
      </w:r>
      <w:proofErr w:type="gramEnd"/>
      <w:r w:rsidR="00394420" w:rsidRPr="00394420">
        <w:rPr>
          <w:rFonts w:ascii="彩虹小标宋" w:eastAsia="彩虹小标宋" w:hint="eastAsia"/>
          <w:sz w:val="44"/>
          <w:szCs w:val="44"/>
        </w:rPr>
        <w:t>（天津）</w:t>
      </w:r>
      <w:proofErr w:type="gramStart"/>
      <w:r w:rsidR="00394420" w:rsidRPr="00394420">
        <w:rPr>
          <w:rFonts w:ascii="彩虹小标宋" w:eastAsia="彩虹小标宋" w:hint="eastAsia"/>
          <w:sz w:val="44"/>
          <w:szCs w:val="44"/>
        </w:rPr>
        <w:t>商业保理有限公司</w:t>
      </w:r>
      <w:proofErr w:type="gramEnd"/>
      <w:r w:rsidR="00394420" w:rsidRPr="00394420">
        <w:rPr>
          <w:rFonts w:ascii="彩虹小标宋" w:eastAsia="彩虹小标宋" w:hint="eastAsia"/>
          <w:sz w:val="44"/>
          <w:szCs w:val="44"/>
        </w:rPr>
        <w:t>2022年度飞驰-</w:t>
      </w:r>
      <w:proofErr w:type="gramStart"/>
      <w:r w:rsidR="00394420" w:rsidRPr="00394420">
        <w:rPr>
          <w:rFonts w:ascii="彩虹小标宋" w:eastAsia="彩虹小标宋" w:hint="eastAsia"/>
          <w:sz w:val="44"/>
          <w:szCs w:val="44"/>
        </w:rPr>
        <w:t>林语第一期</w:t>
      </w:r>
      <w:proofErr w:type="gramEnd"/>
      <w:r w:rsidR="00394420" w:rsidRPr="00394420">
        <w:rPr>
          <w:rFonts w:ascii="彩虹小标宋" w:eastAsia="彩虹小标宋" w:hint="eastAsia"/>
          <w:sz w:val="44"/>
          <w:szCs w:val="44"/>
        </w:rPr>
        <w:t>定向资产支持票据</w:t>
      </w:r>
      <w:r w:rsidRPr="0036440C">
        <w:rPr>
          <w:rFonts w:ascii="彩虹小标宋" w:eastAsia="彩虹小标宋" w:hint="eastAsia"/>
          <w:sz w:val="44"/>
          <w:szCs w:val="44"/>
        </w:rPr>
        <w:t>注册</w:t>
      </w:r>
      <w:r w:rsidR="00C34C54">
        <w:rPr>
          <w:rFonts w:ascii="彩虹小标宋" w:eastAsia="彩虹小标宋" w:hint="eastAsia"/>
          <w:sz w:val="44"/>
          <w:szCs w:val="44"/>
        </w:rPr>
        <w:t>/</w:t>
      </w:r>
      <w:r w:rsidRPr="0036440C">
        <w:rPr>
          <w:rFonts w:ascii="彩虹小标宋" w:eastAsia="彩虹小标宋" w:hint="eastAsia"/>
          <w:sz w:val="44"/>
          <w:szCs w:val="44"/>
        </w:rPr>
        <w:t>发行文件引用贵</w:t>
      </w:r>
      <w:proofErr w:type="gramStart"/>
      <w:r w:rsidRPr="0036440C">
        <w:rPr>
          <w:rFonts w:ascii="彩虹小标宋" w:eastAsia="彩虹小标宋" w:hint="eastAsia"/>
          <w:sz w:val="44"/>
          <w:szCs w:val="44"/>
        </w:rPr>
        <w:t>司专业</w:t>
      </w:r>
      <w:proofErr w:type="gramEnd"/>
      <w:r w:rsidRPr="0036440C">
        <w:rPr>
          <w:rFonts w:ascii="彩虹小标宋" w:eastAsia="彩虹小标宋" w:hint="eastAsia"/>
          <w:sz w:val="44"/>
          <w:szCs w:val="44"/>
        </w:rPr>
        <w:t>报告的确认函</w:t>
      </w:r>
    </w:p>
    <w:p w:rsidR="006F0AE0" w:rsidRPr="006F0AE0" w:rsidRDefault="006F0AE0" w:rsidP="006F0AE0">
      <w:pPr>
        <w:spacing w:line="560" w:lineRule="exact"/>
        <w:jc w:val="center"/>
        <w:rPr>
          <w:rFonts w:ascii="彩虹小标宋" w:eastAsia="彩虹小标宋"/>
          <w:sz w:val="44"/>
          <w:szCs w:val="44"/>
          <w:vertAlign w:val="superscript"/>
        </w:rPr>
      </w:pPr>
    </w:p>
    <w:p w:rsidR="005C4457" w:rsidRPr="00696758" w:rsidRDefault="00394420" w:rsidP="002A7C6A">
      <w:pPr>
        <w:spacing w:line="560" w:lineRule="exact"/>
        <w:rPr>
          <w:rFonts w:ascii="彩虹粗仿宋" w:eastAsia="彩虹粗仿宋"/>
          <w:sz w:val="32"/>
          <w:szCs w:val="32"/>
        </w:rPr>
      </w:pPr>
      <w:r w:rsidRPr="00394420">
        <w:rPr>
          <w:rFonts w:ascii="彩虹粗仿宋" w:eastAsia="彩虹粗仿宋" w:hint="eastAsia"/>
          <w:sz w:val="32"/>
          <w:szCs w:val="32"/>
        </w:rPr>
        <w:t>北京康正宏基房地产评估有限公司</w:t>
      </w:r>
      <w:r w:rsidR="005C4457" w:rsidRPr="00696758">
        <w:rPr>
          <w:rFonts w:ascii="彩虹粗仿宋" w:eastAsia="彩虹粗仿宋" w:hint="eastAsia"/>
          <w:sz w:val="32"/>
          <w:szCs w:val="32"/>
        </w:rPr>
        <w:t>：</w:t>
      </w:r>
    </w:p>
    <w:p w:rsidR="00982B29" w:rsidRDefault="005C4457" w:rsidP="00631BB1">
      <w:pPr>
        <w:spacing w:line="560" w:lineRule="exact"/>
        <w:ind w:firstLineChars="200" w:firstLine="640"/>
        <w:rPr>
          <w:rFonts w:ascii="彩虹粗仿宋" w:eastAsia="彩虹粗仿宋"/>
          <w:sz w:val="32"/>
          <w:szCs w:val="32"/>
        </w:rPr>
      </w:pPr>
      <w:r w:rsidRPr="00696758">
        <w:rPr>
          <w:rFonts w:ascii="彩虹粗仿宋" w:eastAsia="彩虹粗仿宋" w:hint="eastAsia"/>
          <w:sz w:val="32"/>
          <w:szCs w:val="32"/>
        </w:rPr>
        <w:t>我行</w:t>
      </w:r>
      <w:proofErr w:type="gramStart"/>
      <w:r w:rsidRPr="00696758">
        <w:rPr>
          <w:rFonts w:ascii="彩虹粗仿宋" w:eastAsia="彩虹粗仿宋" w:hint="eastAsia"/>
          <w:sz w:val="32"/>
          <w:szCs w:val="32"/>
        </w:rPr>
        <w:t>作为</w:t>
      </w:r>
      <w:r w:rsidR="00394420" w:rsidRPr="00394420">
        <w:rPr>
          <w:rFonts w:ascii="彩虹粗仿宋" w:eastAsia="彩虹粗仿宋" w:hint="eastAsia"/>
          <w:sz w:val="32"/>
          <w:szCs w:val="32"/>
        </w:rPr>
        <w:t>融信通达</w:t>
      </w:r>
      <w:proofErr w:type="gramEnd"/>
      <w:r w:rsidR="00394420" w:rsidRPr="00394420">
        <w:rPr>
          <w:rFonts w:ascii="彩虹粗仿宋" w:eastAsia="彩虹粗仿宋" w:hint="eastAsia"/>
          <w:sz w:val="32"/>
          <w:szCs w:val="32"/>
        </w:rPr>
        <w:t>（天津）</w:t>
      </w:r>
      <w:proofErr w:type="gramStart"/>
      <w:r w:rsidR="00394420" w:rsidRPr="00394420">
        <w:rPr>
          <w:rFonts w:ascii="彩虹粗仿宋" w:eastAsia="彩虹粗仿宋" w:hint="eastAsia"/>
          <w:sz w:val="32"/>
          <w:szCs w:val="32"/>
        </w:rPr>
        <w:t>商业保理有限公司</w:t>
      </w:r>
      <w:proofErr w:type="gramEnd"/>
      <w:r w:rsidR="00394420" w:rsidRPr="00394420">
        <w:rPr>
          <w:rFonts w:ascii="彩虹粗仿宋" w:eastAsia="彩虹粗仿宋" w:hint="eastAsia"/>
          <w:sz w:val="32"/>
          <w:szCs w:val="32"/>
        </w:rPr>
        <w:t>2022年度飞驰-</w:t>
      </w:r>
      <w:proofErr w:type="gramStart"/>
      <w:r w:rsidR="00394420" w:rsidRPr="00394420">
        <w:rPr>
          <w:rFonts w:ascii="彩虹粗仿宋" w:eastAsia="彩虹粗仿宋" w:hint="eastAsia"/>
          <w:sz w:val="32"/>
          <w:szCs w:val="32"/>
        </w:rPr>
        <w:t>林语第一期</w:t>
      </w:r>
      <w:proofErr w:type="gramEnd"/>
      <w:r w:rsidR="00394420" w:rsidRPr="00394420">
        <w:rPr>
          <w:rFonts w:ascii="彩虹粗仿宋" w:eastAsia="彩虹粗仿宋" w:hint="eastAsia"/>
          <w:sz w:val="32"/>
          <w:szCs w:val="32"/>
        </w:rPr>
        <w:t>定向资产支持票据</w:t>
      </w:r>
      <w:r w:rsidR="00C34C54">
        <w:rPr>
          <w:rFonts w:ascii="彩虹粗仿宋" w:eastAsia="彩虹粗仿宋" w:hint="eastAsia"/>
          <w:sz w:val="32"/>
          <w:szCs w:val="32"/>
        </w:rPr>
        <w:t>项目</w:t>
      </w:r>
      <w:r w:rsidRPr="00696758">
        <w:rPr>
          <w:rFonts w:ascii="彩虹粗仿宋" w:eastAsia="彩虹粗仿宋" w:hint="eastAsia"/>
          <w:sz w:val="32"/>
          <w:szCs w:val="32"/>
        </w:rPr>
        <w:t>的主承销商，</w:t>
      </w:r>
      <w:r w:rsidR="009B29B9">
        <w:rPr>
          <w:rFonts w:ascii="彩虹粗仿宋" w:eastAsia="彩虹粗仿宋" w:hint="eastAsia"/>
          <w:sz w:val="32"/>
          <w:szCs w:val="32"/>
        </w:rPr>
        <w:t>在</w:t>
      </w:r>
      <w:r w:rsidR="00C34C54">
        <w:rPr>
          <w:rFonts w:ascii="彩虹粗仿宋" w:eastAsia="彩虹粗仿宋" w:hint="eastAsia"/>
          <w:sz w:val="32"/>
          <w:szCs w:val="32"/>
        </w:rPr>
        <w:t>该项目注册/发行文件</w:t>
      </w:r>
      <w:r w:rsidR="009B29B9">
        <w:rPr>
          <w:rFonts w:ascii="彩虹粗仿宋" w:eastAsia="彩虹粗仿宋" w:hint="eastAsia"/>
          <w:sz w:val="32"/>
          <w:szCs w:val="32"/>
        </w:rPr>
        <w:t>书中</w:t>
      </w:r>
      <w:r w:rsidRPr="00696758">
        <w:rPr>
          <w:rFonts w:ascii="彩虹粗仿宋" w:eastAsia="彩虹粗仿宋" w:hint="eastAsia"/>
          <w:sz w:val="32"/>
          <w:szCs w:val="32"/>
        </w:rPr>
        <w:t>引用</w:t>
      </w:r>
      <w:r w:rsidR="009B29B9">
        <w:rPr>
          <w:rFonts w:ascii="彩虹粗仿宋" w:eastAsia="彩虹粗仿宋" w:hint="eastAsia"/>
          <w:sz w:val="32"/>
          <w:szCs w:val="32"/>
        </w:rPr>
        <w:t>了</w:t>
      </w:r>
      <w:r w:rsidRPr="00696758">
        <w:rPr>
          <w:rFonts w:ascii="彩虹粗仿宋" w:eastAsia="彩虹粗仿宋" w:hint="eastAsia"/>
          <w:sz w:val="32"/>
          <w:szCs w:val="32"/>
        </w:rPr>
        <w:t>贵司</w:t>
      </w:r>
      <w:r w:rsidR="009B29B9" w:rsidRPr="009B29B9">
        <w:rPr>
          <w:rFonts w:ascii="彩虹粗仿宋" w:eastAsia="彩虹粗仿宋" w:hint="eastAsia"/>
          <w:sz w:val="32"/>
          <w:szCs w:val="32"/>
        </w:rPr>
        <w:t>出具的专业报告及专项意见</w:t>
      </w:r>
      <w:r w:rsidRPr="00696758">
        <w:rPr>
          <w:rFonts w:ascii="彩虹粗仿宋" w:eastAsia="彩虹粗仿宋" w:hint="eastAsia"/>
          <w:sz w:val="32"/>
          <w:szCs w:val="32"/>
        </w:rPr>
        <w:t>。</w:t>
      </w:r>
      <w:r w:rsidR="009B29B9">
        <w:rPr>
          <w:rFonts w:ascii="彩虹粗仿宋" w:eastAsia="彩虹粗仿宋" w:hint="eastAsia"/>
          <w:sz w:val="32"/>
          <w:szCs w:val="32"/>
        </w:rPr>
        <w:t>具体引用的内容如下：</w:t>
      </w:r>
    </w:p>
    <w:p w:rsidR="0064410D" w:rsidRDefault="0064410D" w:rsidP="00631BB1">
      <w:pPr>
        <w:spacing w:line="560" w:lineRule="exact"/>
        <w:ind w:firstLineChars="200" w:firstLine="640"/>
        <w:rPr>
          <w:rFonts w:ascii="彩虹粗仿宋" w:eastAsia="彩虹粗仿宋"/>
          <w:sz w:val="32"/>
          <w:szCs w:val="32"/>
        </w:rPr>
      </w:pPr>
    </w:p>
    <w:p w:rsidR="0064410D" w:rsidRDefault="00EF46A6" w:rsidP="00704433">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一、</w:t>
      </w:r>
      <w:r w:rsidR="00A94D65">
        <w:rPr>
          <w:rFonts w:ascii="彩虹粗仿宋" w:eastAsia="彩虹粗仿宋" w:hint="eastAsia"/>
          <w:sz w:val="32"/>
          <w:szCs w:val="32"/>
        </w:rPr>
        <w:t>《融信通达（天津）商业保理有限公司2022年度飞驰-林语第一期定向资产支持票据发行协议》（以下简称“定向发行协议”）</w:t>
      </w:r>
      <w:r w:rsidRPr="00EF46A6">
        <w:rPr>
          <w:rFonts w:ascii="彩虹粗仿宋" w:eastAsia="彩虹粗仿宋" w:hint="eastAsia"/>
          <w:sz w:val="32"/>
          <w:szCs w:val="32"/>
        </w:rPr>
        <w:t>附件一：信息披露文件“第</w:t>
      </w:r>
      <w:r>
        <w:rPr>
          <w:rFonts w:ascii="彩虹粗仿宋" w:eastAsia="彩虹粗仿宋" w:hint="eastAsia"/>
          <w:sz w:val="32"/>
          <w:szCs w:val="32"/>
        </w:rPr>
        <w:t>六</w:t>
      </w:r>
      <w:r w:rsidRPr="00EF46A6">
        <w:rPr>
          <w:rFonts w:ascii="彩虹粗仿宋" w:eastAsia="彩虹粗仿宋" w:hint="eastAsia"/>
          <w:sz w:val="32"/>
          <w:szCs w:val="32"/>
        </w:rPr>
        <w:t>章</w:t>
      </w:r>
      <w:r>
        <w:rPr>
          <w:rFonts w:ascii="彩虹粗仿宋" w:eastAsia="彩虹粗仿宋" w:hint="eastAsia"/>
          <w:sz w:val="32"/>
          <w:szCs w:val="32"/>
        </w:rPr>
        <w:t xml:space="preserve"> </w:t>
      </w:r>
      <w:r w:rsidRPr="00EF46A6">
        <w:rPr>
          <w:rFonts w:ascii="彩虹粗仿宋" w:eastAsia="彩虹粗仿宋" w:hint="eastAsia"/>
          <w:sz w:val="32"/>
          <w:szCs w:val="32"/>
        </w:rPr>
        <w:t>基础资产、投资标的、项目公司、物业资产及现金流预测分析</w:t>
      </w:r>
      <w:r w:rsidR="00A94D65">
        <w:rPr>
          <w:rFonts w:ascii="彩虹粗仿宋" w:eastAsia="彩虹粗仿宋" w:hint="eastAsia"/>
          <w:sz w:val="32"/>
          <w:szCs w:val="32"/>
        </w:rPr>
        <w:t>6.4.3</w:t>
      </w:r>
      <w:r w:rsidRPr="00EF46A6">
        <w:rPr>
          <w:rFonts w:ascii="彩虹粗仿宋" w:eastAsia="彩虹粗仿宋" w:hint="eastAsia"/>
          <w:sz w:val="32"/>
          <w:szCs w:val="32"/>
        </w:rPr>
        <w:t>物业资产的评估价值</w:t>
      </w:r>
      <w:r w:rsidR="005B1EDB">
        <w:rPr>
          <w:rFonts w:ascii="彩虹粗仿宋" w:eastAsia="彩虹粗仿宋" w:hint="eastAsia"/>
          <w:sz w:val="32"/>
          <w:szCs w:val="32"/>
        </w:rPr>
        <w:t>”</w:t>
      </w:r>
      <w:r w:rsidR="00E755A9">
        <w:rPr>
          <w:rFonts w:ascii="彩虹粗仿宋" w:eastAsia="彩虹粗仿宋" w:hint="eastAsia"/>
          <w:sz w:val="32"/>
          <w:szCs w:val="32"/>
        </w:rPr>
        <w:t>：</w:t>
      </w:r>
    </w:p>
    <w:p w:rsidR="00A94D65" w:rsidRPr="00696758" w:rsidRDefault="00A94D65" w:rsidP="00704433">
      <w:pPr>
        <w:spacing w:line="560" w:lineRule="exact"/>
        <w:ind w:firstLineChars="200" w:firstLine="640"/>
        <w:rPr>
          <w:rFonts w:ascii="彩虹粗仿宋" w:eastAsia="彩虹粗仿宋"/>
          <w:sz w:val="32"/>
          <w:szCs w:val="32"/>
        </w:rPr>
      </w:pPr>
    </w:p>
    <w:p w:rsidR="00493BBE" w:rsidRPr="00704433" w:rsidRDefault="00493BBE" w:rsidP="00493BBE">
      <w:pPr>
        <w:pStyle w:val="3"/>
        <w:rPr>
          <w:sz w:val="28"/>
        </w:rPr>
      </w:pPr>
      <w:r w:rsidRPr="00704433">
        <w:rPr>
          <w:sz w:val="28"/>
        </w:rPr>
        <w:t>6.4.3</w:t>
      </w:r>
      <w:r w:rsidRPr="00704433">
        <w:rPr>
          <w:rFonts w:hint="eastAsia"/>
          <w:sz w:val="28"/>
        </w:rPr>
        <w:t>物业资产的评估价值</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租赁住房资产价值由</w:t>
      </w:r>
      <w:proofErr w:type="gramStart"/>
      <w:r w:rsidRPr="00704433">
        <w:rPr>
          <w:rFonts w:ascii="Times New Roman" w:eastAsia="楷体_GB2312" w:hAnsi="Times New Roman" w:cs="Times New Roman" w:hint="eastAsia"/>
          <w:sz w:val="22"/>
        </w:rPr>
        <w:t>北京康正宏</w:t>
      </w:r>
      <w:proofErr w:type="gramEnd"/>
      <w:r w:rsidRPr="00704433">
        <w:rPr>
          <w:rFonts w:ascii="Times New Roman" w:eastAsia="楷体_GB2312" w:hAnsi="Times New Roman" w:cs="Times New Roman" w:hint="eastAsia"/>
          <w:sz w:val="22"/>
        </w:rPr>
        <w:t>基房地产评估有限公司予以评估，并出具《北京市大兴区德祥路</w:t>
      </w:r>
      <w:r w:rsidRPr="00704433">
        <w:rPr>
          <w:rFonts w:ascii="Times New Roman" w:eastAsia="楷体_GB2312" w:hAnsi="Times New Roman" w:cs="Times New Roman"/>
          <w:sz w:val="22"/>
        </w:rPr>
        <w:t>15</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17</w:t>
      </w:r>
      <w:r w:rsidRPr="00704433">
        <w:rPr>
          <w:rFonts w:ascii="Times New Roman" w:eastAsia="楷体_GB2312" w:hAnsi="Times New Roman" w:cs="Times New Roman" w:hint="eastAsia"/>
          <w:sz w:val="22"/>
        </w:rPr>
        <w:t>号院熙悦林语项目部分</w:t>
      </w:r>
      <w:proofErr w:type="gramStart"/>
      <w:r w:rsidRPr="00704433">
        <w:rPr>
          <w:rFonts w:ascii="Times New Roman" w:eastAsia="楷体_GB2312" w:hAnsi="Times New Roman" w:cs="Times New Roman" w:hint="eastAsia"/>
          <w:sz w:val="22"/>
        </w:rPr>
        <w:t>自持</w:t>
      </w:r>
      <w:proofErr w:type="gramEnd"/>
      <w:r w:rsidRPr="00704433">
        <w:rPr>
          <w:rFonts w:ascii="Times New Roman" w:eastAsia="楷体_GB2312" w:hAnsi="Times New Roman" w:cs="Times New Roman" w:hint="eastAsia"/>
          <w:sz w:val="22"/>
        </w:rPr>
        <w:t>住宅、地下仓储、地下车库用房房地产市场价值评估》（简称“估价报告”），根据估价报告：</w:t>
      </w:r>
    </w:p>
    <w:p w:rsidR="00493BBE" w:rsidRPr="00704433" w:rsidRDefault="00493BBE" w:rsidP="00704433">
      <w:pPr>
        <w:spacing w:line="360" w:lineRule="auto"/>
        <w:ind w:firstLineChars="200" w:firstLine="442"/>
        <w:rPr>
          <w:rFonts w:ascii="Times New Roman" w:eastAsia="楷体_GB2312" w:hAnsi="Times New Roman" w:cs="Times New Roman"/>
          <w:b/>
          <w:sz w:val="22"/>
        </w:rPr>
      </w:pPr>
      <w:r w:rsidRPr="00704433">
        <w:rPr>
          <w:rFonts w:ascii="Times New Roman" w:eastAsia="楷体_GB2312" w:hAnsi="Times New Roman" w:cs="Times New Roman" w:hint="eastAsia"/>
          <w:b/>
          <w:sz w:val="22"/>
        </w:rPr>
        <w:t>（一）一般假设</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1.</w:t>
      </w:r>
      <w:r w:rsidRPr="00704433">
        <w:rPr>
          <w:rFonts w:ascii="Times New Roman" w:eastAsia="楷体_GB2312" w:hAnsi="Times New Roman" w:cs="Times New Roman" w:hint="eastAsia"/>
          <w:sz w:val="22"/>
        </w:rPr>
        <w:t>在价值时点的房地产市场为公开、平等、自愿的交易市场。</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2.</w:t>
      </w:r>
      <w:r w:rsidRPr="00704433">
        <w:rPr>
          <w:rFonts w:ascii="Times New Roman" w:eastAsia="楷体_GB2312" w:hAnsi="Times New Roman" w:cs="Times New Roman" w:hint="eastAsia"/>
          <w:sz w:val="22"/>
        </w:rPr>
        <w:t>估价报告的估价结果为正常条件下的公开市场价值，房地产交易需要买卖双方在了解足够的市场信息，拥有足够的谈判时间，经过谨慎的考虑和对房地产市场进行合理</w:t>
      </w:r>
      <w:r w:rsidRPr="00704433">
        <w:rPr>
          <w:rFonts w:ascii="Times New Roman" w:eastAsia="楷体_GB2312" w:hAnsi="Times New Roman" w:cs="Times New Roman" w:hint="eastAsia"/>
          <w:sz w:val="22"/>
        </w:rPr>
        <w:lastRenderedPageBreak/>
        <w:t>预期，并具体考虑买卖双方的偏好等条件下方能实现。对于房地产市场的波动及快速变现等特殊交易因素可能导致房地产价格有较大幅度的变化，估价报告未考虑这种变化对估价对象价值产生的影响。</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3.</w:t>
      </w:r>
      <w:r w:rsidRPr="00704433">
        <w:rPr>
          <w:rFonts w:ascii="Times New Roman" w:eastAsia="楷体_GB2312" w:hAnsi="Times New Roman" w:cs="Times New Roman" w:hint="eastAsia"/>
          <w:sz w:val="22"/>
        </w:rPr>
        <w:t>本次评估设定估价对象的出让国有建设用地使用权和建筑物所有权均为合法方式取得，并支付相关税费，估价对象能够正常上市交易。</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4.</w:t>
      </w:r>
      <w:r w:rsidRPr="00704433">
        <w:rPr>
          <w:rFonts w:ascii="Times New Roman" w:eastAsia="楷体_GB2312" w:hAnsi="Times New Roman" w:cs="Times New Roman" w:hint="eastAsia"/>
          <w:sz w:val="22"/>
        </w:rPr>
        <w:t>评估专业人员已对估价委托人所提供的、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5.</w:t>
      </w:r>
      <w:r w:rsidRPr="00704433">
        <w:rPr>
          <w:rFonts w:ascii="Times New Roman" w:eastAsia="楷体_GB2312" w:hAnsi="Times New Roman" w:cs="Times New Roman" w:hint="eastAsia"/>
          <w:sz w:val="22"/>
        </w:rPr>
        <w:t>估价对象建筑面积以《不动产权证书》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0013182</w:t>
      </w:r>
      <w:r w:rsidRPr="00704433">
        <w:rPr>
          <w:rFonts w:ascii="Times New Roman" w:eastAsia="楷体_GB2312" w:hAnsi="Times New Roman" w:cs="Times New Roman" w:hint="eastAsia"/>
          <w:sz w:val="22"/>
        </w:rPr>
        <w:t>号等</w:t>
      </w:r>
      <w:r w:rsidRPr="00704433">
        <w:rPr>
          <w:rFonts w:ascii="Times New Roman" w:eastAsia="楷体_GB2312" w:hAnsi="Times New Roman" w:cs="Times New Roman"/>
          <w:sz w:val="22"/>
        </w:rPr>
        <w:t>14</w:t>
      </w:r>
      <w:r w:rsidRPr="00704433">
        <w:rPr>
          <w:rFonts w:ascii="Times New Roman" w:eastAsia="楷体_GB2312" w:hAnsi="Times New Roman" w:cs="Times New Roman" w:hint="eastAsia"/>
          <w:sz w:val="22"/>
        </w:rPr>
        <w:t>本</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、《面积明细清单》上载明的为依据；估价对象分摊土地面积以《不动产权证书》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2017</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0000136</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0000137</w:t>
      </w:r>
      <w:r w:rsidRPr="00704433">
        <w:rPr>
          <w:rFonts w:ascii="Times New Roman" w:eastAsia="楷体_GB2312" w:hAnsi="Times New Roman" w:cs="Times New Roman" w:hint="eastAsia"/>
          <w:sz w:val="22"/>
        </w:rPr>
        <w:t>号</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0013182</w:t>
      </w:r>
      <w:r w:rsidRPr="00704433">
        <w:rPr>
          <w:rFonts w:ascii="Times New Roman" w:eastAsia="楷体_GB2312" w:hAnsi="Times New Roman" w:cs="Times New Roman" w:hint="eastAsia"/>
          <w:sz w:val="22"/>
        </w:rPr>
        <w:t>号等</w:t>
      </w:r>
      <w:r w:rsidRPr="00704433">
        <w:rPr>
          <w:rFonts w:ascii="Times New Roman" w:eastAsia="楷体_GB2312" w:hAnsi="Times New Roman" w:cs="Times New Roman"/>
          <w:sz w:val="22"/>
        </w:rPr>
        <w:t>14</w:t>
      </w:r>
      <w:r w:rsidRPr="00704433">
        <w:rPr>
          <w:rFonts w:ascii="Times New Roman" w:eastAsia="楷体_GB2312" w:hAnsi="Times New Roman" w:cs="Times New Roman" w:hint="eastAsia"/>
          <w:sz w:val="22"/>
        </w:rPr>
        <w:t>本</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、《面积明细清单》上载明的为依据，按其建筑面积占估价对象所属地块规划总建筑面积的比例分摊计算得出。</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6.</w:t>
      </w:r>
      <w:r w:rsidRPr="00704433">
        <w:rPr>
          <w:rFonts w:ascii="Times New Roman" w:eastAsia="楷体_GB2312" w:hAnsi="Times New Roman" w:cs="Times New Roman" w:hint="eastAsia"/>
          <w:sz w:val="22"/>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7.</w:t>
      </w:r>
      <w:r w:rsidRPr="00704433">
        <w:rPr>
          <w:rFonts w:ascii="Times New Roman" w:eastAsia="楷体_GB2312" w:hAnsi="Times New Roman" w:cs="Times New Roman" w:hint="eastAsia"/>
          <w:sz w:val="22"/>
        </w:rPr>
        <w:t>任何有关估价对象的运作方式、程序符合国家、地方的有关法律、法规。</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8.</w:t>
      </w:r>
      <w:r w:rsidRPr="00704433">
        <w:rPr>
          <w:rFonts w:ascii="Times New Roman" w:eastAsia="楷体_GB2312" w:hAnsi="Times New Roman" w:cs="Times New Roman" w:hint="eastAsia"/>
          <w:sz w:val="22"/>
        </w:rPr>
        <w:t>本次估价结果未考虑国家宏观政策发生重大变化以及遇有自然力和其他不可抗力对估价结果的影响。</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9.</w:t>
      </w:r>
      <w:r w:rsidRPr="00704433">
        <w:rPr>
          <w:rFonts w:ascii="Times New Roman" w:eastAsia="楷体_GB2312" w:hAnsi="Times New Roman" w:cs="Times New Roman" w:hint="eastAsia"/>
          <w:sz w:val="22"/>
        </w:rPr>
        <w:t>估价结果未考虑估价对象及其运营企业已承担的债务、或有债务及经营决策失误或市场运作失当对其价值的影响。</w:t>
      </w:r>
    </w:p>
    <w:p w:rsidR="00493BBE" w:rsidRPr="00704433" w:rsidRDefault="00493BBE" w:rsidP="00704433">
      <w:pPr>
        <w:spacing w:line="360" w:lineRule="auto"/>
        <w:ind w:firstLineChars="200" w:firstLine="442"/>
        <w:rPr>
          <w:rFonts w:ascii="Times New Roman" w:eastAsia="楷体_GB2312" w:hAnsi="Times New Roman" w:cs="Times New Roman"/>
          <w:b/>
          <w:sz w:val="22"/>
        </w:rPr>
      </w:pPr>
      <w:r w:rsidRPr="00704433">
        <w:rPr>
          <w:rFonts w:ascii="Times New Roman" w:eastAsia="楷体_GB2312" w:hAnsi="Times New Roman" w:cs="Times New Roman" w:hint="eastAsia"/>
          <w:b/>
          <w:sz w:val="22"/>
        </w:rPr>
        <w:t>（二）特殊事项假设前提</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1.</w:t>
      </w:r>
      <w:r w:rsidRPr="00704433">
        <w:rPr>
          <w:rFonts w:ascii="Times New Roman" w:eastAsia="楷体_GB2312" w:hAnsi="Times New Roman" w:cs="Times New Roman" w:hint="eastAsia"/>
          <w:sz w:val="22"/>
        </w:rPr>
        <w:t>未定事项假设</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无。</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2.</w:t>
      </w:r>
      <w:r w:rsidRPr="00704433">
        <w:rPr>
          <w:rFonts w:ascii="Times New Roman" w:eastAsia="楷体_GB2312" w:hAnsi="Times New Roman" w:cs="Times New Roman" w:hint="eastAsia"/>
          <w:sz w:val="22"/>
        </w:rPr>
        <w:t>背离事实假设</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无。</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3.</w:t>
      </w:r>
      <w:r w:rsidRPr="00704433">
        <w:rPr>
          <w:rFonts w:ascii="Times New Roman" w:eastAsia="楷体_GB2312" w:hAnsi="Times New Roman" w:cs="Times New Roman" w:hint="eastAsia"/>
          <w:sz w:val="22"/>
        </w:rPr>
        <w:t>不相一致假设</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无</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sz w:val="22"/>
        </w:rPr>
        <w:t>4.</w:t>
      </w:r>
      <w:r w:rsidRPr="00704433">
        <w:rPr>
          <w:rFonts w:ascii="Times New Roman" w:eastAsia="楷体_GB2312" w:hAnsi="Times New Roman" w:cs="Times New Roman" w:hint="eastAsia"/>
          <w:sz w:val="22"/>
        </w:rPr>
        <w:t>依据不足假设</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lastRenderedPageBreak/>
        <w:t>（</w:t>
      </w:r>
      <w:r w:rsidRPr="00704433">
        <w:rPr>
          <w:rFonts w:ascii="Times New Roman" w:eastAsia="楷体_GB2312" w:hAnsi="Times New Roman" w:cs="Times New Roman"/>
          <w:sz w:val="22"/>
        </w:rPr>
        <w:t>1</w:t>
      </w:r>
      <w:r w:rsidRPr="00704433">
        <w:rPr>
          <w:rFonts w:ascii="Times New Roman" w:eastAsia="楷体_GB2312" w:hAnsi="Times New Roman" w:cs="Times New Roman" w:hint="eastAsia"/>
          <w:sz w:val="22"/>
        </w:rPr>
        <w:t>）根据《估价委托书》，本次评估价值时点为</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年</w:t>
      </w:r>
      <w:r w:rsidRPr="00704433">
        <w:rPr>
          <w:rFonts w:ascii="Times New Roman" w:eastAsia="楷体_GB2312" w:hAnsi="Times New Roman" w:cs="Times New Roman"/>
          <w:sz w:val="22"/>
        </w:rPr>
        <w:t>9</w:t>
      </w:r>
      <w:r w:rsidRPr="00704433">
        <w:rPr>
          <w:rFonts w:ascii="Times New Roman" w:eastAsia="楷体_GB2312" w:hAnsi="Times New Roman" w:cs="Times New Roman" w:hint="eastAsia"/>
          <w:sz w:val="22"/>
        </w:rPr>
        <w:t>月</w:t>
      </w:r>
      <w:r w:rsidRPr="00704433">
        <w:rPr>
          <w:rFonts w:ascii="Times New Roman" w:eastAsia="楷体_GB2312" w:hAnsi="Times New Roman" w:cs="Times New Roman"/>
          <w:sz w:val="22"/>
        </w:rPr>
        <w:t>3</w:t>
      </w:r>
      <w:r w:rsidRPr="00704433">
        <w:rPr>
          <w:rFonts w:ascii="Times New Roman" w:eastAsia="楷体_GB2312" w:hAnsi="Times New Roman" w:cs="Times New Roman" w:hint="eastAsia"/>
          <w:sz w:val="22"/>
        </w:rPr>
        <w:t>日。评估专业人员于</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年</w:t>
      </w:r>
      <w:r w:rsidRPr="00704433">
        <w:rPr>
          <w:rFonts w:ascii="Times New Roman" w:eastAsia="楷体_GB2312" w:hAnsi="Times New Roman" w:cs="Times New Roman"/>
          <w:sz w:val="22"/>
        </w:rPr>
        <w:t>4</w:t>
      </w:r>
      <w:r w:rsidRPr="00704433">
        <w:rPr>
          <w:rFonts w:ascii="Times New Roman" w:eastAsia="楷体_GB2312" w:hAnsi="Times New Roman" w:cs="Times New Roman" w:hint="eastAsia"/>
          <w:sz w:val="22"/>
        </w:rPr>
        <w:t>月</w:t>
      </w:r>
      <w:r w:rsidRPr="00704433">
        <w:rPr>
          <w:rFonts w:ascii="Times New Roman" w:eastAsia="楷体_GB2312" w:hAnsi="Times New Roman" w:cs="Times New Roman"/>
          <w:sz w:val="22"/>
        </w:rPr>
        <w:t>28</w:t>
      </w:r>
      <w:r w:rsidRPr="00704433">
        <w:rPr>
          <w:rFonts w:ascii="Times New Roman" w:eastAsia="楷体_GB2312" w:hAnsi="Times New Roman" w:cs="Times New Roman" w:hint="eastAsia"/>
          <w:sz w:val="22"/>
        </w:rPr>
        <w:t>日对估价对象进行了实地查勘，估价对象为现房，住宅用房正在进行户内装修。根据估价委托人介绍，估价对象于本次价值时点及评估专业人员实地查勘日的实物状况无明显变化。故，本次评估估价对象在《估价委托书》约定的价值时点的实物状况以估价委托人介绍的情况为依据设定。</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w:t>
      </w:r>
      <w:r w:rsidRPr="00704433">
        <w:rPr>
          <w:rFonts w:ascii="Times New Roman" w:eastAsia="楷体_GB2312" w:hAnsi="Times New Roman" w:cs="Times New Roman" w:hint="eastAsia"/>
          <w:sz w:val="22"/>
        </w:rPr>
        <w:t>）截至估价报告出具之日，估价委托人未能提供《不动产权证书》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2017</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0000136</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0000137</w:t>
      </w:r>
      <w:r w:rsidRPr="00704433">
        <w:rPr>
          <w:rFonts w:ascii="Times New Roman" w:eastAsia="楷体_GB2312" w:hAnsi="Times New Roman" w:cs="Times New Roman" w:hint="eastAsia"/>
          <w:sz w:val="22"/>
        </w:rPr>
        <w:t>号</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0013182</w:t>
      </w:r>
      <w:r w:rsidRPr="00704433">
        <w:rPr>
          <w:rFonts w:ascii="Times New Roman" w:eastAsia="楷体_GB2312" w:hAnsi="Times New Roman" w:cs="Times New Roman" w:hint="eastAsia"/>
          <w:sz w:val="22"/>
        </w:rPr>
        <w:t>号等</w:t>
      </w:r>
      <w:r w:rsidRPr="00704433">
        <w:rPr>
          <w:rFonts w:ascii="Times New Roman" w:eastAsia="楷体_GB2312" w:hAnsi="Times New Roman" w:cs="Times New Roman"/>
          <w:sz w:val="22"/>
        </w:rPr>
        <w:t>14</w:t>
      </w:r>
      <w:r w:rsidRPr="00704433">
        <w:rPr>
          <w:rFonts w:ascii="Times New Roman" w:eastAsia="楷体_GB2312" w:hAnsi="Times New Roman" w:cs="Times New Roman" w:hint="eastAsia"/>
          <w:sz w:val="22"/>
        </w:rPr>
        <w:t>本</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原件供评估专业人员核对，且评估专业人员进行了尽职调查，难以获取该资料。本次评估以估价委托人提供的《不动产权证书》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2017</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0000136</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0000137</w:t>
      </w:r>
      <w:r w:rsidRPr="00704433">
        <w:rPr>
          <w:rFonts w:ascii="Times New Roman" w:eastAsia="楷体_GB2312" w:hAnsi="Times New Roman" w:cs="Times New Roman" w:hint="eastAsia"/>
          <w:sz w:val="22"/>
        </w:rPr>
        <w:t>号</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、《不动产权证书》</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京（</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）大不动产权第</w:t>
      </w:r>
      <w:r w:rsidRPr="00704433">
        <w:rPr>
          <w:rFonts w:ascii="Times New Roman" w:eastAsia="楷体_GB2312" w:hAnsi="Times New Roman" w:cs="Times New Roman"/>
          <w:sz w:val="22"/>
        </w:rPr>
        <w:t>0013182</w:t>
      </w:r>
      <w:r w:rsidRPr="00704433">
        <w:rPr>
          <w:rFonts w:ascii="Times New Roman" w:eastAsia="楷体_GB2312" w:hAnsi="Times New Roman" w:cs="Times New Roman" w:hint="eastAsia"/>
          <w:sz w:val="22"/>
        </w:rPr>
        <w:t>号等</w:t>
      </w:r>
      <w:r w:rsidRPr="00704433">
        <w:rPr>
          <w:rFonts w:ascii="Times New Roman" w:eastAsia="楷体_GB2312" w:hAnsi="Times New Roman" w:cs="Times New Roman"/>
          <w:sz w:val="22"/>
        </w:rPr>
        <w:t>14</w:t>
      </w:r>
      <w:r w:rsidRPr="00704433">
        <w:rPr>
          <w:rFonts w:ascii="Times New Roman" w:eastAsia="楷体_GB2312" w:hAnsi="Times New Roman" w:cs="Times New Roman" w:hint="eastAsia"/>
          <w:sz w:val="22"/>
        </w:rPr>
        <w:t>本</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复印件与原件一致为估价的假设前提。</w:t>
      </w:r>
    </w:p>
    <w:p w:rsidR="00493BBE" w:rsidRPr="00704433" w:rsidRDefault="00493BBE" w:rsidP="00704433">
      <w:pPr>
        <w:spacing w:line="360" w:lineRule="auto"/>
        <w:ind w:firstLineChars="200" w:firstLine="442"/>
        <w:rPr>
          <w:rFonts w:ascii="Times New Roman" w:eastAsia="楷体_GB2312" w:hAnsi="Times New Roman" w:cs="Times New Roman"/>
          <w:b/>
          <w:sz w:val="22"/>
        </w:rPr>
      </w:pPr>
      <w:r w:rsidRPr="00704433">
        <w:rPr>
          <w:rFonts w:ascii="Times New Roman" w:eastAsia="楷体_GB2312" w:hAnsi="Times New Roman" w:cs="Times New Roman" w:hint="eastAsia"/>
          <w:b/>
          <w:sz w:val="22"/>
        </w:rPr>
        <w:t>（三）估价对象范围</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本次评估估价对象为北京市大兴区德祥路</w:t>
      </w:r>
      <w:r w:rsidRPr="00704433">
        <w:rPr>
          <w:rFonts w:ascii="Times New Roman" w:eastAsia="楷体_GB2312" w:hAnsi="Times New Roman" w:cs="Times New Roman"/>
          <w:sz w:val="22"/>
        </w:rPr>
        <w:t>15</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17</w:t>
      </w:r>
      <w:r w:rsidRPr="00704433">
        <w:rPr>
          <w:rFonts w:ascii="Times New Roman" w:eastAsia="楷体_GB2312" w:hAnsi="Times New Roman" w:cs="Times New Roman" w:hint="eastAsia"/>
          <w:sz w:val="22"/>
        </w:rPr>
        <w:t>号</w:t>
      </w:r>
      <w:proofErr w:type="gramStart"/>
      <w:r w:rsidRPr="00704433">
        <w:rPr>
          <w:rFonts w:ascii="Times New Roman" w:eastAsia="楷体_GB2312" w:hAnsi="Times New Roman" w:cs="Times New Roman" w:hint="eastAsia"/>
          <w:sz w:val="22"/>
        </w:rPr>
        <w:t>院熙悦林语项目</w:t>
      </w:r>
      <w:proofErr w:type="gramEnd"/>
      <w:r w:rsidRPr="00704433">
        <w:rPr>
          <w:rFonts w:ascii="Times New Roman" w:eastAsia="楷体_GB2312" w:hAnsi="Times New Roman" w:cs="Times New Roman" w:hint="eastAsia"/>
          <w:sz w:val="22"/>
        </w:rPr>
        <w:t>部分</w:t>
      </w:r>
      <w:proofErr w:type="gramStart"/>
      <w:r w:rsidRPr="00704433">
        <w:rPr>
          <w:rFonts w:ascii="Times New Roman" w:eastAsia="楷体_GB2312" w:hAnsi="Times New Roman" w:cs="Times New Roman" w:hint="eastAsia"/>
          <w:sz w:val="22"/>
        </w:rPr>
        <w:t>自持</w:t>
      </w:r>
      <w:proofErr w:type="gramEnd"/>
      <w:r w:rsidRPr="00704433">
        <w:rPr>
          <w:rFonts w:ascii="Times New Roman" w:eastAsia="楷体_GB2312" w:hAnsi="Times New Roman" w:cs="Times New Roman" w:hint="eastAsia"/>
          <w:sz w:val="22"/>
        </w:rPr>
        <w:t>住宅、地下仓储、地下车库用房房地产。估价对象范围为其房屋所有权及出让国有建设用地使用权，不包含动产、债权债务、特许经营权等其他财产或权益。</w:t>
      </w:r>
    </w:p>
    <w:p w:rsidR="00493BBE" w:rsidRPr="00704433" w:rsidRDefault="00493BBE" w:rsidP="00704433">
      <w:pPr>
        <w:spacing w:line="360" w:lineRule="auto"/>
        <w:ind w:firstLineChars="200" w:firstLine="442"/>
        <w:rPr>
          <w:rFonts w:ascii="Times New Roman" w:eastAsia="楷体_GB2312" w:hAnsi="Times New Roman" w:cs="Times New Roman"/>
          <w:b/>
          <w:sz w:val="22"/>
        </w:rPr>
      </w:pPr>
      <w:r w:rsidRPr="00704433">
        <w:rPr>
          <w:rFonts w:ascii="Times New Roman" w:eastAsia="楷体_GB2312" w:hAnsi="Times New Roman" w:cs="Times New Roman" w:hint="eastAsia"/>
          <w:b/>
          <w:sz w:val="22"/>
        </w:rPr>
        <w:t>（四）价值时点</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本次评估价值时点为</w:t>
      </w:r>
      <w:r w:rsidRPr="00704433">
        <w:rPr>
          <w:rFonts w:ascii="Times New Roman" w:eastAsia="楷体_GB2312" w:hAnsi="Times New Roman" w:cs="Times New Roman"/>
          <w:sz w:val="22"/>
        </w:rPr>
        <w:t>2021</w:t>
      </w:r>
      <w:r w:rsidRPr="00704433">
        <w:rPr>
          <w:rFonts w:ascii="Times New Roman" w:eastAsia="楷体_GB2312" w:hAnsi="Times New Roman" w:cs="Times New Roman" w:hint="eastAsia"/>
          <w:sz w:val="22"/>
        </w:rPr>
        <w:t>年</w:t>
      </w:r>
      <w:r w:rsidRPr="00704433">
        <w:rPr>
          <w:rFonts w:ascii="Times New Roman" w:eastAsia="楷体_GB2312" w:hAnsi="Times New Roman" w:cs="Times New Roman"/>
          <w:sz w:val="22"/>
        </w:rPr>
        <w:t>9</w:t>
      </w:r>
      <w:r w:rsidRPr="00704433">
        <w:rPr>
          <w:rFonts w:ascii="Times New Roman" w:eastAsia="楷体_GB2312" w:hAnsi="Times New Roman" w:cs="Times New Roman" w:hint="eastAsia"/>
          <w:sz w:val="22"/>
        </w:rPr>
        <w:t>月</w:t>
      </w:r>
      <w:r w:rsidRPr="00704433">
        <w:rPr>
          <w:rFonts w:ascii="Times New Roman" w:eastAsia="楷体_GB2312" w:hAnsi="Times New Roman" w:cs="Times New Roman"/>
          <w:sz w:val="22"/>
        </w:rPr>
        <w:t>3</w:t>
      </w:r>
      <w:r w:rsidRPr="00704433">
        <w:rPr>
          <w:rFonts w:ascii="Times New Roman" w:eastAsia="楷体_GB2312" w:hAnsi="Times New Roman" w:cs="Times New Roman" w:hint="eastAsia"/>
          <w:sz w:val="22"/>
        </w:rPr>
        <w:t>日。</w:t>
      </w:r>
    </w:p>
    <w:p w:rsidR="00493BBE" w:rsidRPr="00704433" w:rsidRDefault="00493BBE" w:rsidP="00704433">
      <w:pPr>
        <w:spacing w:line="360" w:lineRule="auto"/>
        <w:ind w:firstLineChars="200" w:firstLine="442"/>
        <w:rPr>
          <w:rFonts w:ascii="Times New Roman" w:eastAsia="楷体_GB2312" w:hAnsi="Times New Roman" w:cs="Times New Roman"/>
          <w:b/>
          <w:sz w:val="22"/>
        </w:rPr>
      </w:pPr>
      <w:r w:rsidRPr="00704433">
        <w:rPr>
          <w:rFonts w:ascii="Times New Roman" w:eastAsia="楷体_GB2312" w:hAnsi="Times New Roman" w:cs="Times New Roman" w:hint="eastAsia"/>
          <w:b/>
          <w:sz w:val="22"/>
        </w:rPr>
        <w:t>（五）估价方法的选用</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估价方法主要有比较法、收益法、成本法、假设开发法四种估价方法。评估专业人员根据估价对象的特点、实际情况以及估价目的，对上述估价方法分析如下：</w:t>
      </w:r>
    </w:p>
    <w:tbl>
      <w:tblPr>
        <w:tblW w:w="8910"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65"/>
        <w:gridCol w:w="6432"/>
        <w:gridCol w:w="1113"/>
      </w:tblGrid>
      <w:tr w:rsidR="00493BBE" w:rsidRPr="0001670C" w:rsidTr="00704433">
        <w:trPr>
          <w:cantSplit/>
          <w:trHeight w:val="627"/>
          <w:jc w:val="center"/>
        </w:trPr>
        <w:tc>
          <w:tcPr>
            <w:tcW w:w="1365"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b/>
                <w:color w:val="000000"/>
                <w:sz w:val="22"/>
                <w:szCs w:val="24"/>
              </w:rPr>
            </w:pPr>
            <w:r w:rsidRPr="00704433">
              <w:rPr>
                <w:rFonts w:ascii="楷体_GB2312" w:eastAsia="楷体_GB2312" w:hAnsi="Arial" w:cs="Arial" w:hint="eastAsia"/>
                <w:b/>
                <w:color w:val="000000"/>
                <w:sz w:val="22"/>
                <w:szCs w:val="24"/>
              </w:rPr>
              <w:t>估价方法</w:t>
            </w:r>
          </w:p>
        </w:tc>
        <w:tc>
          <w:tcPr>
            <w:tcW w:w="6432"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b/>
                <w:color w:val="000000"/>
                <w:sz w:val="22"/>
                <w:szCs w:val="24"/>
              </w:rPr>
            </w:pPr>
            <w:r w:rsidRPr="00704433">
              <w:rPr>
                <w:rFonts w:ascii="楷体_GB2312" w:eastAsia="楷体_GB2312" w:hAnsi="Arial" w:cs="Arial" w:hint="eastAsia"/>
                <w:b/>
                <w:color w:val="000000"/>
                <w:sz w:val="22"/>
                <w:szCs w:val="24"/>
              </w:rPr>
              <w:t>适用性分析</w:t>
            </w:r>
          </w:p>
        </w:tc>
        <w:tc>
          <w:tcPr>
            <w:tcW w:w="1113"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b/>
                <w:color w:val="000000"/>
                <w:sz w:val="22"/>
                <w:szCs w:val="24"/>
              </w:rPr>
            </w:pPr>
            <w:r w:rsidRPr="00704433">
              <w:rPr>
                <w:rFonts w:ascii="楷体_GB2312" w:eastAsia="楷体_GB2312" w:hAnsi="Arial" w:cs="Arial" w:hint="eastAsia"/>
                <w:b/>
                <w:color w:val="000000"/>
                <w:sz w:val="22"/>
                <w:szCs w:val="24"/>
              </w:rPr>
              <w:t>是否选用</w:t>
            </w:r>
          </w:p>
        </w:tc>
      </w:tr>
      <w:tr w:rsidR="00493BBE" w:rsidRPr="0001670C" w:rsidTr="005E184B">
        <w:trPr>
          <w:cantSplit/>
          <w:jc w:val="center"/>
        </w:trPr>
        <w:tc>
          <w:tcPr>
            <w:tcW w:w="1365"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比较法</w:t>
            </w:r>
          </w:p>
        </w:tc>
        <w:tc>
          <w:tcPr>
            <w:tcW w:w="6432" w:type="dxa"/>
            <w:shd w:val="clear" w:color="auto" w:fill="auto"/>
          </w:tcPr>
          <w:p w:rsidR="00493BBE" w:rsidRPr="00704433" w:rsidRDefault="00493BBE" w:rsidP="005E184B">
            <w:pPr>
              <w:pStyle w:val="1"/>
              <w:autoSpaceDE w:val="0"/>
              <w:autoSpaceDN w:val="0"/>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估价对象位于北京市大兴区德祥路15、17号院，用途为住宅、地下仓储、地下车库用房，估价对象全部为</w:t>
            </w:r>
            <w:proofErr w:type="gramStart"/>
            <w:r w:rsidRPr="00704433">
              <w:rPr>
                <w:rFonts w:ascii="楷体_GB2312" w:eastAsia="楷体_GB2312" w:hAnsi="Arial" w:cs="Arial" w:hint="eastAsia"/>
                <w:color w:val="000000"/>
                <w:sz w:val="22"/>
                <w:szCs w:val="24"/>
              </w:rPr>
              <w:t>自持</w:t>
            </w:r>
            <w:proofErr w:type="gramEnd"/>
            <w:r w:rsidRPr="00704433">
              <w:rPr>
                <w:rFonts w:ascii="楷体_GB2312" w:eastAsia="楷体_GB2312" w:hAnsi="Arial" w:cs="Arial" w:hint="eastAsia"/>
                <w:color w:val="000000"/>
                <w:sz w:val="22"/>
                <w:szCs w:val="24"/>
              </w:rPr>
              <w:t>用房，因此本次评估未采用比较法进行测算。</w:t>
            </w:r>
          </w:p>
        </w:tc>
        <w:tc>
          <w:tcPr>
            <w:tcW w:w="1113" w:type="dxa"/>
            <w:shd w:val="clear" w:color="auto" w:fill="auto"/>
            <w:vAlign w:val="center"/>
          </w:tcPr>
          <w:p w:rsidR="00493BBE" w:rsidRPr="00704433" w:rsidRDefault="00493BBE" w:rsidP="005E184B">
            <w:pPr>
              <w:pStyle w:val="1"/>
              <w:autoSpaceDE w:val="0"/>
              <w:autoSpaceDN w:val="0"/>
              <w:spacing w:line="240" w:lineRule="exact"/>
              <w:ind w:right="6"/>
              <w:jc w:val="center"/>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否</w:t>
            </w:r>
          </w:p>
        </w:tc>
      </w:tr>
      <w:tr w:rsidR="00493BBE" w:rsidRPr="0001670C" w:rsidTr="005E184B">
        <w:trPr>
          <w:cantSplit/>
          <w:jc w:val="center"/>
        </w:trPr>
        <w:tc>
          <w:tcPr>
            <w:tcW w:w="1365"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收益法-现金流量折现法</w:t>
            </w:r>
          </w:p>
        </w:tc>
        <w:tc>
          <w:tcPr>
            <w:tcW w:w="6432" w:type="dxa"/>
            <w:shd w:val="clear" w:color="auto" w:fill="auto"/>
          </w:tcPr>
          <w:p w:rsidR="00493BBE" w:rsidRPr="00704433" w:rsidRDefault="00493BBE" w:rsidP="005E184B">
            <w:pPr>
              <w:pStyle w:val="1"/>
              <w:autoSpaceDE w:val="0"/>
              <w:autoSpaceDN w:val="0"/>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估价对象为</w:t>
            </w:r>
            <w:proofErr w:type="gramStart"/>
            <w:r w:rsidRPr="00704433">
              <w:rPr>
                <w:rFonts w:ascii="楷体_GB2312" w:eastAsia="楷体_GB2312" w:hAnsi="Arial" w:cs="Arial" w:hint="eastAsia"/>
                <w:color w:val="000000"/>
                <w:sz w:val="22"/>
                <w:szCs w:val="24"/>
              </w:rPr>
              <w:t>自持</w:t>
            </w:r>
            <w:proofErr w:type="gramEnd"/>
            <w:r w:rsidRPr="00704433">
              <w:rPr>
                <w:rFonts w:ascii="楷体_GB2312" w:eastAsia="楷体_GB2312" w:hAnsi="Arial" w:cs="Arial" w:hint="eastAsia"/>
                <w:color w:val="000000"/>
                <w:sz w:val="22"/>
                <w:szCs w:val="24"/>
              </w:rPr>
              <w:t>住宅、地下仓储、地下车库用房，为经营性物业，可持续产生稳定现金流。采用现金流量折现法能够反映估价对象未来收益的折现价值,且收益性房地产的估价应选用现金流量折现法作为其中的一种估价方法。</w:t>
            </w:r>
          </w:p>
        </w:tc>
        <w:tc>
          <w:tcPr>
            <w:tcW w:w="1113" w:type="dxa"/>
            <w:shd w:val="clear" w:color="auto" w:fill="auto"/>
            <w:vAlign w:val="center"/>
          </w:tcPr>
          <w:p w:rsidR="00493BBE" w:rsidRPr="00704433" w:rsidRDefault="00493BBE" w:rsidP="005E184B">
            <w:pPr>
              <w:pStyle w:val="1"/>
              <w:autoSpaceDE w:val="0"/>
              <w:autoSpaceDN w:val="0"/>
              <w:spacing w:line="240" w:lineRule="exact"/>
              <w:ind w:right="6"/>
              <w:jc w:val="center"/>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是</w:t>
            </w:r>
          </w:p>
        </w:tc>
      </w:tr>
      <w:tr w:rsidR="00493BBE" w:rsidRPr="0001670C" w:rsidTr="005E184B">
        <w:trPr>
          <w:cantSplit/>
          <w:jc w:val="center"/>
        </w:trPr>
        <w:tc>
          <w:tcPr>
            <w:tcW w:w="1365"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成本法</w:t>
            </w:r>
          </w:p>
        </w:tc>
        <w:tc>
          <w:tcPr>
            <w:tcW w:w="6432" w:type="dxa"/>
            <w:shd w:val="clear" w:color="auto" w:fill="auto"/>
          </w:tcPr>
          <w:p w:rsidR="00493BBE" w:rsidRPr="00704433" w:rsidRDefault="00493BBE" w:rsidP="005E184B">
            <w:pPr>
              <w:pStyle w:val="1"/>
              <w:autoSpaceDE w:val="0"/>
              <w:autoSpaceDN w:val="0"/>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估价对象周边无同类或类似房地产交易实例，估价对象为已建成房地产，成本法能够较为准确地反映房地产的价格构成且估价对象房地产其各项成本能比较准确的测算。因此本次评估采用成本法作为其中的一种估价方法。</w:t>
            </w:r>
          </w:p>
        </w:tc>
        <w:tc>
          <w:tcPr>
            <w:tcW w:w="1113" w:type="dxa"/>
            <w:shd w:val="clear" w:color="auto" w:fill="auto"/>
            <w:vAlign w:val="center"/>
          </w:tcPr>
          <w:p w:rsidR="00493BBE" w:rsidRPr="00704433" w:rsidRDefault="00493BBE" w:rsidP="005E184B">
            <w:pPr>
              <w:pStyle w:val="1"/>
              <w:autoSpaceDE w:val="0"/>
              <w:autoSpaceDN w:val="0"/>
              <w:spacing w:line="240" w:lineRule="exact"/>
              <w:ind w:right="6"/>
              <w:jc w:val="center"/>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是</w:t>
            </w:r>
          </w:p>
        </w:tc>
      </w:tr>
      <w:tr w:rsidR="00493BBE" w:rsidRPr="0001670C" w:rsidTr="005E184B">
        <w:trPr>
          <w:cantSplit/>
          <w:jc w:val="center"/>
        </w:trPr>
        <w:tc>
          <w:tcPr>
            <w:tcW w:w="1365" w:type="dxa"/>
            <w:shd w:val="clear" w:color="auto" w:fill="auto"/>
            <w:vAlign w:val="center"/>
          </w:tcPr>
          <w:p w:rsidR="00493BBE" w:rsidRPr="00704433" w:rsidRDefault="00493BBE" w:rsidP="005E184B">
            <w:pPr>
              <w:pStyle w:val="1"/>
              <w:autoSpaceDE w:val="0"/>
              <w:autoSpaceDN w:val="0"/>
              <w:spacing w:line="240" w:lineRule="exact"/>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lastRenderedPageBreak/>
              <w:t>假设开发法</w:t>
            </w:r>
          </w:p>
        </w:tc>
        <w:tc>
          <w:tcPr>
            <w:tcW w:w="6432" w:type="dxa"/>
            <w:shd w:val="clear" w:color="auto" w:fill="auto"/>
          </w:tcPr>
          <w:p w:rsidR="00493BBE" w:rsidRPr="00704433" w:rsidRDefault="00493BBE" w:rsidP="005E184B">
            <w:pPr>
              <w:pStyle w:val="1"/>
              <w:autoSpaceDE w:val="0"/>
              <w:autoSpaceDN w:val="0"/>
              <w:ind w:right="6"/>
              <w:jc w:val="left"/>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估价对象为已建成物业，且处于正常运营状态，不符合假设开发法应用条件及适用范围。</w:t>
            </w:r>
          </w:p>
        </w:tc>
        <w:tc>
          <w:tcPr>
            <w:tcW w:w="1113" w:type="dxa"/>
            <w:shd w:val="clear" w:color="auto" w:fill="auto"/>
            <w:vAlign w:val="center"/>
          </w:tcPr>
          <w:p w:rsidR="00493BBE" w:rsidRPr="00704433" w:rsidRDefault="00493BBE" w:rsidP="005E184B">
            <w:pPr>
              <w:pStyle w:val="1"/>
              <w:autoSpaceDE w:val="0"/>
              <w:autoSpaceDN w:val="0"/>
              <w:spacing w:line="240" w:lineRule="exact"/>
              <w:ind w:right="6"/>
              <w:jc w:val="center"/>
              <w:textAlignment w:val="bottom"/>
              <w:rPr>
                <w:rFonts w:ascii="楷体_GB2312" w:eastAsia="楷体_GB2312" w:hAnsi="Arial" w:cs="Arial"/>
                <w:color w:val="000000"/>
                <w:sz w:val="22"/>
                <w:szCs w:val="24"/>
              </w:rPr>
            </w:pPr>
            <w:r w:rsidRPr="00704433">
              <w:rPr>
                <w:rFonts w:ascii="楷体_GB2312" w:eastAsia="楷体_GB2312" w:hAnsi="Arial" w:cs="Arial" w:hint="eastAsia"/>
                <w:color w:val="000000"/>
                <w:sz w:val="22"/>
                <w:szCs w:val="24"/>
              </w:rPr>
              <w:t>否</w:t>
            </w:r>
          </w:p>
        </w:tc>
      </w:tr>
    </w:tbl>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本次评估根据估价对象的特点和实际状况，采用成本法和现金流量折现法为主方法进行测算，评估估价对象房地产价值。其中，成本法中土地购买价格采用比较法求取。</w:t>
      </w:r>
    </w:p>
    <w:p w:rsidR="00493BBE" w:rsidRPr="00704433" w:rsidRDefault="00493BBE" w:rsidP="00704433">
      <w:pPr>
        <w:spacing w:line="360" w:lineRule="auto"/>
        <w:ind w:firstLineChars="200" w:firstLine="442"/>
        <w:rPr>
          <w:rFonts w:ascii="Times New Roman" w:eastAsia="楷体_GB2312" w:hAnsi="Times New Roman" w:cs="Times New Roman"/>
          <w:b/>
          <w:sz w:val="22"/>
        </w:rPr>
      </w:pPr>
      <w:r w:rsidRPr="00704433">
        <w:rPr>
          <w:rFonts w:ascii="Times New Roman" w:eastAsia="楷体_GB2312" w:hAnsi="Times New Roman" w:cs="Times New Roman" w:hint="eastAsia"/>
          <w:b/>
          <w:sz w:val="22"/>
        </w:rPr>
        <w:t>（六）估价结果</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由于估价对象为集住宅、地下仓储、地下车库的住宅项目，现金流量折现法更能体现房地产整体运营的一致性及房地产市场价值，结合本次估价目的，本次评估选用现金流量折现法为最主要的估价方法。故，本次评估</w:t>
      </w:r>
      <w:proofErr w:type="gramStart"/>
      <w:r w:rsidRPr="00704433">
        <w:rPr>
          <w:rFonts w:ascii="Times New Roman" w:eastAsia="楷体_GB2312" w:hAnsi="Times New Roman" w:cs="Times New Roman" w:hint="eastAsia"/>
          <w:sz w:val="22"/>
        </w:rPr>
        <w:t>取成本</w:t>
      </w:r>
      <w:proofErr w:type="gramEnd"/>
      <w:r w:rsidRPr="00704433">
        <w:rPr>
          <w:rFonts w:ascii="Times New Roman" w:eastAsia="楷体_GB2312" w:hAnsi="Times New Roman" w:cs="Times New Roman" w:hint="eastAsia"/>
          <w:sz w:val="22"/>
        </w:rPr>
        <w:t>法为</w:t>
      </w:r>
      <w:r w:rsidRPr="00704433">
        <w:rPr>
          <w:rFonts w:ascii="Times New Roman" w:eastAsia="楷体_GB2312" w:hAnsi="Times New Roman" w:cs="Times New Roman"/>
          <w:sz w:val="22"/>
        </w:rPr>
        <w:t>40%</w:t>
      </w:r>
      <w:r w:rsidRPr="00704433">
        <w:rPr>
          <w:rFonts w:ascii="Times New Roman" w:eastAsia="楷体_GB2312" w:hAnsi="Times New Roman" w:cs="Times New Roman" w:hint="eastAsia"/>
          <w:sz w:val="22"/>
        </w:rPr>
        <w:t>，现金流量折现法为</w:t>
      </w:r>
      <w:r w:rsidRPr="00704433">
        <w:rPr>
          <w:rFonts w:ascii="Times New Roman" w:eastAsia="楷体_GB2312" w:hAnsi="Times New Roman" w:cs="Times New Roman"/>
          <w:sz w:val="22"/>
        </w:rPr>
        <w:t>60%</w:t>
      </w:r>
      <w:r w:rsidRPr="00704433">
        <w:rPr>
          <w:rFonts w:ascii="Times New Roman" w:eastAsia="楷体_GB2312" w:hAnsi="Times New Roman" w:cs="Times New Roman" w:hint="eastAsia"/>
          <w:sz w:val="22"/>
        </w:rPr>
        <w:t>。</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评估专业人员根据估价的目的，按照估价的程序，采用科学的估价方法，在认真分析现有资料的基础上，结合本次评估的特殊要求，通过仔细测算和认真分析各种影响房地产价格的因素，确定估价对象在价值时点的房地产评估价值，详见下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119"/>
        <w:gridCol w:w="1530"/>
        <w:gridCol w:w="2325"/>
        <w:gridCol w:w="2325"/>
      </w:tblGrid>
      <w:tr w:rsidR="00493BBE" w:rsidRPr="0001670C" w:rsidTr="005E184B">
        <w:trPr>
          <w:cantSplit/>
          <w:jc w:val="center"/>
        </w:trPr>
        <w:tc>
          <w:tcPr>
            <w:tcW w:w="4649"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vAlign w:val="center"/>
          </w:tcPr>
          <w:p w:rsidR="00493BBE" w:rsidRPr="00704433" w:rsidRDefault="00493BBE" w:rsidP="00704433">
            <w:pPr>
              <w:spacing w:line="240" w:lineRule="exact"/>
              <w:ind w:firstLineChars="1300" w:firstLine="2860"/>
              <w:jc w:val="right"/>
              <w:rPr>
                <w:rFonts w:ascii="Times New Roman" w:eastAsia="楷体_GB2312" w:hAnsi="Times New Roman" w:cs="Times New Roman"/>
                <w:sz w:val="22"/>
              </w:rPr>
            </w:pPr>
            <w:r w:rsidRPr="00704433">
              <w:rPr>
                <w:rFonts w:ascii="Times New Roman" w:eastAsia="楷体_GB2312" w:hAnsi="Times New Roman" w:cs="Times New Roman" w:hint="eastAsia"/>
                <w:sz w:val="22"/>
              </w:rPr>
              <w:t>估价方法</w:t>
            </w:r>
          </w:p>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物业资产及结果</w:t>
            </w:r>
          </w:p>
        </w:tc>
        <w:tc>
          <w:tcPr>
            <w:tcW w:w="2325"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成本法</w:t>
            </w:r>
          </w:p>
        </w:tc>
        <w:tc>
          <w:tcPr>
            <w:tcW w:w="2325"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现金流量折现法</w:t>
            </w:r>
          </w:p>
        </w:tc>
      </w:tr>
      <w:tr w:rsidR="00493BBE" w:rsidRPr="0001670C" w:rsidTr="005E184B">
        <w:trPr>
          <w:cantSplit/>
          <w:jc w:val="center"/>
        </w:trPr>
        <w:tc>
          <w:tcPr>
            <w:tcW w:w="3119" w:type="dxa"/>
            <w:vMerge w:val="restart"/>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测算结果</w:t>
            </w:r>
          </w:p>
        </w:tc>
        <w:tc>
          <w:tcPr>
            <w:tcW w:w="1530"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总价</w:t>
            </w:r>
          </w:p>
        </w:tc>
        <w:tc>
          <w:tcPr>
            <w:tcW w:w="2325"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586432</w:t>
            </w:r>
          </w:p>
        </w:tc>
        <w:tc>
          <w:tcPr>
            <w:tcW w:w="2325"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397317</w:t>
            </w:r>
          </w:p>
        </w:tc>
      </w:tr>
      <w:tr w:rsidR="00493BBE" w:rsidRPr="0001670C" w:rsidTr="005E184B">
        <w:trPr>
          <w:cantSplit/>
          <w:jc w:val="center"/>
        </w:trPr>
        <w:tc>
          <w:tcPr>
            <w:tcW w:w="3119" w:type="dxa"/>
            <w:vMerge/>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p>
        </w:tc>
        <w:tc>
          <w:tcPr>
            <w:tcW w:w="1530"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单价</w:t>
            </w:r>
          </w:p>
        </w:tc>
        <w:tc>
          <w:tcPr>
            <w:tcW w:w="2325"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43788</w:t>
            </w:r>
          </w:p>
        </w:tc>
        <w:tc>
          <w:tcPr>
            <w:tcW w:w="2325"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29667</w:t>
            </w:r>
          </w:p>
        </w:tc>
      </w:tr>
      <w:tr w:rsidR="00493BBE" w:rsidRPr="0001670C" w:rsidTr="005E184B">
        <w:trPr>
          <w:cantSplit/>
          <w:jc w:val="center"/>
        </w:trPr>
        <w:tc>
          <w:tcPr>
            <w:tcW w:w="3119" w:type="dxa"/>
            <w:vMerge w:val="restart"/>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评估价值（设定完成装修后的价值）</w:t>
            </w:r>
          </w:p>
        </w:tc>
        <w:tc>
          <w:tcPr>
            <w:tcW w:w="1530"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总价</w:t>
            </w:r>
          </w:p>
        </w:tc>
        <w:tc>
          <w:tcPr>
            <w:tcW w:w="4650" w:type="dxa"/>
            <w:gridSpan w:val="2"/>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472963</w:t>
            </w:r>
          </w:p>
        </w:tc>
      </w:tr>
      <w:tr w:rsidR="00493BBE" w:rsidRPr="0001670C" w:rsidTr="005E184B">
        <w:trPr>
          <w:cantSplit/>
          <w:jc w:val="center"/>
        </w:trPr>
        <w:tc>
          <w:tcPr>
            <w:tcW w:w="3119" w:type="dxa"/>
            <w:vMerge/>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p>
        </w:tc>
        <w:tc>
          <w:tcPr>
            <w:tcW w:w="1530" w:type="dxa"/>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单价</w:t>
            </w:r>
          </w:p>
        </w:tc>
        <w:tc>
          <w:tcPr>
            <w:tcW w:w="4650" w:type="dxa"/>
            <w:gridSpan w:val="2"/>
            <w:tcBorders>
              <w:top w:val="dotted" w:sz="4" w:space="0" w:color="404040"/>
              <w:left w:val="dotted" w:sz="4" w:space="0" w:color="404040"/>
              <w:bottom w:val="dotted" w:sz="4"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35315</w:t>
            </w:r>
          </w:p>
        </w:tc>
      </w:tr>
      <w:tr w:rsidR="00493BBE" w:rsidRPr="0001670C" w:rsidTr="005E184B">
        <w:trPr>
          <w:cantSplit/>
          <w:jc w:val="center"/>
        </w:trPr>
        <w:tc>
          <w:tcPr>
            <w:tcW w:w="3119" w:type="dxa"/>
            <w:tcBorders>
              <w:left w:val="dotted" w:sz="4" w:space="0" w:color="404040"/>
              <w:bottom w:val="thinThickThinSmallGap" w:sz="12"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房地产价值（扣除后续装修费用）</w:t>
            </w:r>
          </w:p>
        </w:tc>
        <w:tc>
          <w:tcPr>
            <w:tcW w:w="1530"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hint="eastAsia"/>
                <w:sz w:val="22"/>
              </w:rPr>
              <w:t>总价</w:t>
            </w:r>
          </w:p>
        </w:tc>
        <w:tc>
          <w:tcPr>
            <w:tcW w:w="4650" w:type="dxa"/>
            <w:gridSpan w:val="2"/>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493BBE" w:rsidRPr="00704433" w:rsidRDefault="00493BBE" w:rsidP="005E184B">
            <w:pPr>
              <w:spacing w:line="240" w:lineRule="exact"/>
              <w:rPr>
                <w:rFonts w:ascii="Times New Roman" w:eastAsia="楷体_GB2312" w:hAnsi="Times New Roman" w:cs="Times New Roman"/>
                <w:sz w:val="22"/>
              </w:rPr>
            </w:pPr>
            <w:r w:rsidRPr="00704433">
              <w:rPr>
                <w:rFonts w:ascii="Times New Roman" w:eastAsia="楷体_GB2312" w:hAnsi="Times New Roman" w:cs="Times New Roman"/>
                <w:sz w:val="22"/>
              </w:rPr>
              <w:t>462838</w:t>
            </w:r>
          </w:p>
        </w:tc>
      </w:tr>
    </w:tbl>
    <w:p w:rsidR="00493BBE" w:rsidRPr="00704433" w:rsidRDefault="00493BBE" w:rsidP="00493BBE">
      <w:pPr>
        <w:spacing w:line="240" w:lineRule="exact"/>
        <w:rPr>
          <w:rFonts w:ascii="楷体_GB2312" w:eastAsia="楷体_GB2312" w:hAnsi="Arial" w:cs="Arial"/>
          <w:color w:val="000000"/>
          <w:sz w:val="22"/>
        </w:rPr>
      </w:pPr>
      <w:r w:rsidRPr="00704433">
        <w:rPr>
          <w:rFonts w:ascii="楷体_GB2312" w:eastAsia="楷体_GB2312" w:hAnsi="Arial" w:cs="Arial" w:hint="eastAsia"/>
          <w:color w:val="000000"/>
          <w:sz w:val="22"/>
        </w:rPr>
        <w:t>单位：万元、元/平方米（币种：人民币）</w:t>
      </w:r>
    </w:p>
    <w:p w:rsidR="00493BBE" w:rsidRDefault="00493BBE" w:rsidP="00493BBE">
      <w:pPr>
        <w:adjustRightInd w:val="0"/>
        <w:snapToGrid w:val="0"/>
        <w:spacing w:line="360" w:lineRule="auto"/>
        <w:rPr>
          <w:rFonts w:ascii="楷体" w:eastAsia="楷体" w:hAnsi="楷体"/>
          <w:sz w:val="22"/>
        </w:rPr>
      </w:pPr>
    </w:p>
    <w:p w:rsidR="00C73646" w:rsidRPr="00696758" w:rsidRDefault="00C73646" w:rsidP="00C7364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二、《融信通达（天津）商业保理有限公司2022年度飞驰-林语第一期定向资产支持票据发行协议》（以下简称“定向发行协议”）</w:t>
      </w:r>
      <w:r w:rsidRPr="00EF46A6">
        <w:rPr>
          <w:rFonts w:ascii="彩虹粗仿宋" w:eastAsia="彩虹粗仿宋" w:hint="eastAsia"/>
          <w:sz w:val="32"/>
          <w:szCs w:val="32"/>
        </w:rPr>
        <w:t>附件一：信息披露文件“第</w:t>
      </w:r>
      <w:r>
        <w:rPr>
          <w:rFonts w:ascii="彩虹粗仿宋" w:eastAsia="彩虹粗仿宋" w:hint="eastAsia"/>
          <w:sz w:val="32"/>
          <w:szCs w:val="32"/>
        </w:rPr>
        <w:t>六</w:t>
      </w:r>
      <w:r w:rsidRPr="00EF46A6">
        <w:rPr>
          <w:rFonts w:ascii="彩虹粗仿宋" w:eastAsia="彩虹粗仿宋" w:hint="eastAsia"/>
          <w:sz w:val="32"/>
          <w:szCs w:val="32"/>
        </w:rPr>
        <w:t>章</w:t>
      </w:r>
      <w:r>
        <w:rPr>
          <w:rFonts w:ascii="彩虹粗仿宋" w:eastAsia="彩虹粗仿宋" w:hint="eastAsia"/>
          <w:sz w:val="32"/>
          <w:szCs w:val="32"/>
        </w:rPr>
        <w:t xml:space="preserve"> </w:t>
      </w:r>
      <w:r w:rsidRPr="00EF46A6">
        <w:rPr>
          <w:rFonts w:ascii="彩虹粗仿宋" w:eastAsia="彩虹粗仿宋" w:hint="eastAsia"/>
          <w:sz w:val="32"/>
          <w:szCs w:val="32"/>
        </w:rPr>
        <w:t>基础资产、投资标的、项目公司、物业资产及现金流预测分析</w:t>
      </w:r>
      <w:r w:rsidRPr="00C73646">
        <w:rPr>
          <w:rFonts w:ascii="彩虹粗仿宋" w:eastAsia="彩虹粗仿宋" w:hint="eastAsia"/>
          <w:sz w:val="32"/>
          <w:szCs w:val="32"/>
        </w:rPr>
        <w:t>6.5.1现金流预测分析</w:t>
      </w:r>
      <w:r>
        <w:rPr>
          <w:rFonts w:ascii="彩虹粗仿宋" w:eastAsia="彩虹粗仿宋" w:hint="eastAsia"/>
          <w:sz w:val="32"/>
          <w:szCs w:val="32"/>
        </w:rPr>
        <w:t xml:space="preserve"> </w:t>
      </w:r>
      <w:r w:rsidRPr="00C73646">
        <w:rPr>
          <w:rFonts w:ascii="彩虹粗仿宋" w:eastAsia="彩虹粗仿宋" w:hint="eastAsia"/>
          <w:sz w:val="32"/>
          <w:szCs w:val="32"/>
        </w:rPr>
        <w:t>1.租赁住房资产运营收入</w:t>
      </w:r>
      <w:r>
        <w:rPr>
          <w:rFonts w:ascii="彩虹粗仿宋" w:eastAsia="彩虹粗仿宋" w:hint="eastAsia"/>
          <w:sz w:val="32"/>
          <w:szCs w:val="32"/>
        </w:rPr>
        <w:t>”：</w:t>
      </w:r>
    </w:p>
    <w:p w:rsidR="00493BBE" w:rsidRPr="00704433" w:rsidRDefault="00493BBE" w:rsidP="00493BBE">
      <w:pPr>
        <w:pStyle w:val="2"/>
        <w:rPr>
          <w:sz w:val="28"/>
        </w:rPr>
      </w:pPr>
      <w:r w:rsidRPr="00704433">
        <w:rPr>
          <w:sz w:val="28"/>
        </w:rPr>
        <w:t>6.5</w:t>
      </w:r>
      <w:r w:rsidRPr="00704433">
        <w:rPr>
          <w:rFonts w:hint="eastAsia"/>
          <w:sz w:val="28"/>
        </w:rPr>
        <w:t>基础资产现金</w:t>
      </w:r>
      <w:proofErr w:type="gramStart"/>
      <w:r w:rsidRPr="00704433">
        <w:rPr>
          <w:rFonts w:hint="eastAsia"/>
          <w:sz w:val="28"/>
        </w:rPr>
        <w:t>流预测</w:t>
      </w:r>
      <w:proofErr w:type="gramEnd"/>
      <w:r w:rsidRPr="00704433">
        <w:rPr>
          <w:rFonts w:hint="eastAsia"/>
          <w:sz w:val="28"/>
        </w:rPr>
        <w:t>分析、压力测试情况</w:t>
      </w:r>
    </w:p>
    <w:p w:rsidR="00493BBE" w:rsidRPr="00704433" w:rsidRDefault="00493BBE" w:rsidP="00493BBE">
      <w:pPr>
        <w:pStyle w:val="3"/>
        <w:rPr>
          <w:sz w:val="28"/>
        </w:rPr>
      </w:pPr>
      <w:r w:rsidRPr="00704433">
        <w:rPr>
          <w:sz w:val="28"/>
        </w:rPr>
        <w:t>6.5.1</w:t>
      </w:r>
      <w:r w:rsidRPr="00704433">
        <w:rPr>
          <w:rFonts w:hint="eastAsia"/>
          <w:sz w:val="28"/>
        </w:rPr>
        <w:t>现金</w:t>
      </w:r>
      <w:proofErr w:type="gramStart"/>
      <w:r w:rsidRPr="00704433">
        <w:rPr>
          <w:rFonts w:hint="eastAsia"/>
          <w:sz w:val="28"/>
        </w:rPr>
        <w:t>流预测</w:t>
      </w:r>
      <w:proofErr w:type="gramEnd"/>
      <w:r w:rsidRPr="00704433">
        <w:rPr>
          <w:rFonts w:hint="eastAsia"/>
          <w:sz w:val="28"/>
        </w:rPr>
        <w:t>分析</w:t>
      </w:r>
    </w:p>
    <w:p w:rsidR="00493BBE" w:rsidRPr="00704433" w:rsidRDefault="00493BBE" w:rsidP="00493BBE">
      <w:pPr>
        <w:spacing w:line="360" w:lineRule="auto"/>
        <w:rPr>
          <w:rFonts w:ascii="Times New Roman" w:eastAsia="楷体_GB2312" w:hAnsi="Times New Roman" w:cs="Times New Roman"/>
          <w:b/>
          <w:bCs/>
          <w:sz w:val="22"/>
        </w:rPr>
      </w:pPr>
      <w:r w:rsidRPr="00704433">
        <w:rPr>
          <w:rFonts w:ascii="Times New Roman" w:eastAsia="楷体_GB2312" w:hAnsi="Times New Roman" w:cs="Times New Roman"/>
          <w:b/>
          <w:bCs/>
          <w:sz w:val="22"/>
        </w:rPr>
        <w:t>1.</w:t>
      </w:r>
      <w:r w:rsidRPr="00704433">
        <w:rPr>
          <w:rFonts w:ascii="Times New Roman" w:eastAsia="楷体_GB2312" w:hAnsi="Times New Roman" w:cs="Times New Roman" w:hint="eastAsia"/>
          <w:b/>
          <w:bCs/>
          <w:sz w:val="22"/>
        </w:rPr>
        <w:t>租赁住房资产运营收入</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根据《现金流预测报告》，</w:t>
      </w:r>
      <w:proofErr w:type="gramStart"/>
      <w:r w:rsidRPr="00704433">
        <w:rPr>
          <w:rFonts w:ascii="Times New Roman" w:eastAsia="楷体_GB2312" w:hAnsi="Times New Roman" w:cs="Times New Roman" w:hint="eastAsia"/>
          <w:sz w:val="22"/>
        </w:rPr>
        <w:t>康正评估</w:t>
      </w:r>
      <w:proofErr w:type="gramEnd"/>
      <w:r w:rsidRPr="00704433">
        <w:rPr>
          <w:rFonts w:ascii="Times New Roman" w:eastAsia="楷体_GB2312" w:hAnsi="Times New Roman" w:cs="Times New Roman" w:hint="eastAsia"/>
          <w:sz w:val="22"/>
        </w:rPr>
        <w:t>确定物业资产住宅用房起始租金水平平均为</w:t>
      </w:r>
      <w:r w:rsidRPr="00704433">
        <w:rPr>
          <w:rFonts w:ascii="Times New Roman" w:eastAsia="楷体_GB2312" w:hAnsi="Times New Roman" w:cs="Times New Roman"/>
          <w:sz w:val="22"/>
        </w:rPr>
        <w:t>3.7</w:t>
      </w:r>
      <w:r w:rsidRPr="00704433">
        <w:rPr>
          <w:rFonts w:ascii="Times New Roman" w:eastAsia="楷体_GB2312" w:hAnsi="Times New Roman" w:cs="Times New Roman" w:hint="eastAsia"/>
          <w:sz w:val="22"/>
        </w:rPr>
        <w:lastRenderedPageBreak/>
        <w:t>元</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天</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平方米，地下仓储用房租金在</w:t>
      </w:r>
      <w:r w:rsidRPr="00704433">
        <w:rPr>
          <w:rFonts w:ascii="Times New Roman" w:eastAsia="楷体_GB2312" w:hAnsi="Times New Roman" w:cs="Times New Roman"/>
          <w:sz w:val="22"/>
        </w:rPr>
        <w:t>1</w:t>
      </w:r>
      <w:r w:rsidRPr="00704433">
        <w:rPr>
          <w:rFonts w:ascii="Times New Roman" w:eastAsia="楷体_GB2312" w:hAnsi="Times New Roman" w:cs="Times New Roman" w:hint="eastAsia"/>
          <w:sz w:val="22"/>
        </w:rPr>
        <w:t>元</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天</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平方米，地下车库用房租金在</w:t>
      </w:r>
      <w:r w:rsidRPr="00704433">
        <w:rPr>
          <w:rFonts w:ascii="Times New Roman" w:eastAsia="楷体_GB2312" w:hAnsi="Times New Roman" w:cs="Times New Roman"/>
          <w:sz w:val="22"/>
        </w:rPr>
        <w:t>300</w:t>
      </w:r>
      <w:r w:rsidRPr="00704433">
        <w:rPr>
          <w:rFonts w:ascii="Times New Roman" w:eastAsia="楷体_GB2312" w:hAnsi="Times New Roman" w:cs="Times New Roman" w:hint="eastAsia"/>
          <w:sz w:val="22"/>
        </w:rPr>
        <w:t>元</w:t>
      </w:r>
      <w:r w:rsidRPr="00704433">
        <w:rPr>
          <w:rFonts w:ascii="Times New Roman" w:eastAsia="楷体_GB2312" w:hAnsi="Times New Roman" w:cs="Times New Roman"/>
          <w:sz w:val="22"/>
        </w:rPr>
        <w:t>/</w:t>
      </w:r>
      <w:r w:rsidRPr="00704433">
        <w:rPr>
          <w:rFonts w:ascii="Times New Roman" w:eastAsia="楷体_GB2312" w:hAnsi="Times New Roman" w:cs="Times New Roman" w:hint="eastAsia"/>
          <w:sz w:val="22"/>
        </w:rPr>
        <w:t>月</w:t>
      </w:r>
      <w:r w:rsidRPr="00704433">
        <w:rPr>
          <w:rFonts w:ascii="Times New Roman" w:eastAsia="楷体_GB2312" w:hAnsi="Times New Roman" w:cs="Times New Roman"/>
          <w:sz w:val="22"/>
        </w:rPr>
        <w:t>/</w:t>
      </w:r>
      <w:proofErr w:type="gramStart"/>
      <w:r w:rsidRPr="00704433">
        <w:rPr>
          <w:rFonts w:ascii="Times New Roman" w:eastAsia="楷体_GB2312" w:hAnsi="Times New Roman" w:cs="Times New Roman" w:hint="eastAsia"/>
          <w:sz w:val="22"/>
        </w:rPr>
        <w:t>个</w:t>
      </w:r>
      <w:proofErr w:type="gramEnd"/>
      <w:r w:rsidRPr="00704433">
        <w:rPr>
          <w:rFonts w:ascii="Times New Roman" w:eastAsia="楷体_GB2312" w:hAnsi="Times New Roman" w:cs="Times New Roman" w:hint="eastAsia"/>
          <w:sz w:val="22"/>
        </w:rPr>
        <w:t>。</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关于租金增长率，</w:t>
      </w:r>
      <w:proofErr w:type="gramStart"/>
      <w:r w:rsidRPr="00704433">
        <w:rPr>
          <w:rFonts w:ascii="Times New Roman" w:eastAsia="楷体_GB2312" w:hAnsi="Times New Roman" w:cs="Times New Roman" w:hint="eastAsia"/>
          <w:sz w:val="22"/>
        </w:rPr>
        <w:t>康正评估</w:t>
      </w:r>
      <w:proofErr w:type="gramEnd"/>
      <w:r w:rsidRPr="00704433">
        <w:rPr>
          <w:rFonts w:ascii="Times New Roman" w:eastAsia="楷体_GB2312" w:hAnsi="Times New Roman" w:cs="Times New Roman" w:hint="eastAsia"/>
          <w:sz w:val="22"/>
        </w:rPr>
        <w:t>确定物业资产未来住宅用房租金水平增长率：</w:t>
      </w:r>
      <w:r w:rsidRPr="00704433">
        <w:rPr>
          <w:rFonts w:ascii="Times New Roman" w:eastAsia="楷体_GB2312" w:hAnsi="Times New Roman" w:cs="Times New Roman"/>
          <w:sz w:val="22"/>
        </w:rPr>
        <w:t>2023</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5.00%</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2024</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w:t>
      </w:r>
      <w:r w:rsidR="00EC656C">
        <w:rPr>
          <w:rFonts w:ascii="Times New Roman" w:eastAsia="楷体_GB2312" w:hAnsi="Times New Roman" w:cs="Times New Roman" w:hint="eastAsia"/>
          <w:sz w:val="22"/>
        </w:rPr>
        <w:t>28</w:t>
      </w:r>
      <w:r w:rsidRPr="00704433">
        <w:rPr>
          <w:rFonts w:ascii="Times New Roman" w:eastAsia="楷体_GB2312" w:hAnsi="Times New Roman" w:cs="Times New Roman" w:hint="eastAsia"/>
          <w:sz w:val="22"/>
        </w:rPr>
        <w:t>年为</w:t>
      </w:r>
      <w:r w:rsidR="00EC656C">
        <w:rPr>
          <w:rFonts w:ascii="Times New Roman" w:eastAsia="楷体_GB2312" w:hAnsi="Times New Roman" w:cs="Times New Roman" w:hint="eastAsia"/>
          <w:sz w:val="22"/>
        </w:rPr>
        <w:t>3</w:t>
      </w:r>
      <w:r w:rsidRPr="00704433">
        <w:rPr>
          <w:rFonts w:ascii="Times New Roman" w:eastAsia="楷体_GB2312" w:hAnsi="Times New Roman" w:cs="Times New Roman"/>
          <w:sz w:val="22"/>
        </w:rPr>
        <w:t>.0</w:t>
      </w:r>
      <w:r w:rsidRPr="00704433">
        <w:rPr>
          <w:rFonts w:ascii="Times New Roman" w:eastAsia="楷体_GB2312" w:hAnsi="Times New Roman" w:cs="Times New Roman"/>
          <w:sz w:val="22"/>
        </w:rPr>
        <w:t>0%</w:t>
      </w:r>
      <w:r w:rsidR="00EC656C">
        <w:rPr>
          <w:rFonts w:ascii="Times New Roman" w:eastAsia="楷体_GB2312" w:hAnsi="Times New Roman" w:cs="Times New Roman" w:hint="eastAsia"/>
          <w:sz w:val="22"/>
        </w:rPr>
        <w:t>，</w:t>
      </w:r>
      <w:r w:rsidR="00EC656C">
        <w:rPr>
          <w:rFonts w:ascii="Times New Roman" w:eastAsia="楷体_GB2312" w:hAnsi="Times New Roman" w:cs="Times New Roman" w:hint="eastAsia"/>
          <w:sz w:val="22"/>
        </w:rPr>
        <w:t>2029~2036</w:t>
      </w:r>
      <w:r w:rsidR="00EC656C">
        <w:rPr>
          <w:rFonts w:ascii="Times New Roman" w:eastAsia="楷体_GB2312" w:hAnsi="Times New Roman" w:cs="Times New Roman" w:hint="eastAsia"/>
          <w:sz w:val="22"/>
        </w:rPr>
        <w:t>年为</w:t>
      </w:r>
      <w:r w:rsidR="00EC656C">
        <w:rPr>
          <w:rFonts w:ascii="Times New Roman" w:eastAsia="楷体_GB2312" w:hAnsi="Times New Roman" w:cs="Times New Roman" w:hint="eastAsia"/>
          <w:sz w:val="22"/>
        </w:rPr>
        <w:t>2%</w:t>
      </w:r>
      <w:r w:rsidRPr="00704433">
        <w:rPr>
          <w:rFonts w:ascii="Times New Roman" w:eastAsia="楷体_GB2312" w:hAnsi="Times New Roman" w:cs="Times New Roman" w:hint="eastAsia"/>
          <w:sz w:val="22"/>
        </w:rPr>
        <w:t>；物业资产地下仓储用房、地下车库用房租金增长率：</w:t>
      </w:r>
      <w:r w:rsidRPr="00704433">
        <w:rPr>
          <w:rFonts w:ascii="Times New Roman" w:eastAsia="楷体_GB2312" w:hAnsi="Times New Roman" w:cs="Times New Roman"/>
          <w:sz w:val="22"/>
        </w:rPr>
        <w:t>2023</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2031</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2.00%</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2032</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2036</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1.00%</w:t>
      </w:r>
      <w:r w:rsidRPr="00704433">
        <w:rPr>
          <w:rFonts w:ascii="Times New Roman" w:eastAsia="楷体_GB2312" w:hAnsi="Times New Roman" w:cs="Times New Roman" w:hint="eastAsia"/>
          <w:sz w:val="22"/>
        </w:rPr>
        <w:t>。</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关于空置率，</w:t>
      </w:r>
      <w:proofErr w:type="gramStart"/>
      <w:r w:rsidRPr="00704433">
        <w:rPr>
          <w:rFonts w:ascii="Times New Roman" w:eastAsia="楷体_GB2312" w:hAnsi="Times New Roman" w:cs="Times New Roman" w:hint="eastAsia"/>
          <w:sz w:val="22"/>
        </w:rPr>
        <w:t>康正评估</w:t>
      </w:r>
      <w:proofErr w:type="gramEnd"/>
      <w:r w:rsidRPr="00704433">
        <w:rPr>
          <w:rFonts w:ascii="Times New Roman" w:eastAsia="楷体_GB2312" w:hAnsi="Times New Roman" w:cs="Times New Roman" w:hint="eastAsia"/>
          <w:sz w:val="22"/>
        </w:rPr>
        <w:t>确定物业资产未来住宅用房空置率</w:t>
      </w:r>
      <w:r w:rsidRPr="00704433">
        <w:rPr>
          <w:rFonts w:ascii="Times New Roman" w:eastAsia="楷体_GB2312" w:hAnsi="Times New Roman" w:cs="Times New Roman"/>
          <w:sz w:val="22"/>
        </w:rPr>
        <w:t>:2022</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30.00%</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2023</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20.00%</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2024</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10.00%</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2025</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2036</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5.00%</w:t>
      </w:r>
      <w:r w:rsidRPr="00704433">
        <w:rPr>
          <w:rFonts w:ascii="Times New Roman" w:eastAsia="楷体_GB2312" w:hAnsi="Times New Roman" w:cs="Times New Roman" w:hint="eastAsia"/>
          <w:sz w:val="22"/>
        </w:rPr>
        <w:t>；物业资产地下仓储和地下车库空置率：</w:t>
      </w:r>
      <w:r w:rsidRPr="00704433">
        <w:rPr>
          <w:rFonts w:ascii="Times New Roman" w:eastAsia="楷体_GB2312" w:hAnsi="Times New Roman" w:cs="Times New Roman"/>
          <w:sz w:val="22"/>
        </w:rPr>
        <w:t>2022</w:t>
      </w:r>
      <w:r w:rsidRPr="00704433">
        <w:rPr>
          <w:rFonts w:ascii="Times New Roman" w:eastAsia="楷体_GB2312" w:hAnsi="Times New Roman" w:cs="Times New Roman" w:hint="eastAsia"/>
          <w:sz w:val="22"/>
        </w:rPr>
        <w:t>年</w:t>
      </w:r>
      <w:r w:rsidRPr="00704433">
        <w:rPr>
          <w:rFonts w:ascii="Times New Roman" w:eastAsia="楷体_GB2312" w:hAnsi="Times New Roman" w:cs="Times New Roman"/>
          <w:sz w:val="22"/>
        </w:rPr>
        <w:t>60.00%</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2023</w:t>
      </w:r>
      <w:r w:rsidRPr="00704433">
        <w:rPr>
          <w:rFonts w:ascii="Times New Roman" w:eastAsia="楷体_GB2312" w:hAnsi="Times New Roman" w:cs="Times New Roman" w:hint="eastAsia"/>
          <w:sz w:val="22"/>
        </w:rPr>
        <w:t>～</w:t>
      </w:r>
      <w:r w:rsidRPr="00704433">
        <w:rPr>
          <w:rFonts w:ascii="Times New Roman" w:eastAsia="楷体_GB2312" w:hAnsi="Times New Roman" w:cs="Times New Roman"/>
          <w:sz w:val="22"/>
        </w:rPr>
        <w:t>2036</w:t>
      </w:r>
      <w:r w:rsidRPr="00704433">
        <w:rPr>
          <w:rFonts w:ascii="Times New Roman" w:eastAsia="楷体_GB2312" w:hAnsi="Times New Roman" w:cs="Times New Roman" w:hint="eastAsia"/>
          <w:sz w:val="22"/>
        </w:rPr>
        <w:t>年为</w:t>
      </w:r>
      <w:r w:rsidRPr="00704433">
        <w:rPr>
          <w:rFonts w:ascii="Times New Roman" w:eastAsia="楷体_GB2312" w:hAnsi="Times New Roman" w:cs="Times New Roman"/>
          <w:sz w:val="22"/>
        </w:rPr>
        <w:t>50.00%</w:t>
      </w:r>
      <w:r w:rsidRPr="00704433">
        <w:rPr>
          <w:rFonts w:ascii="Times New Roman" w:eastAsia="楷体_GB2312" w:hAnsi="Times New Roman" w:cs="Times New Roman" w:hint="eastAsia"/>
          <w:sz w:val="22"/>
        </w:rPr>
        <w:t>。</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根据《关于承担住房租赁企业运营成本的承诺函》，项目运营成本包括管理费、宣传费、保险费、维修维护费及税费等，由首开股份按</w:t>
      </w:r>
      <w:r w:rsidRPr="00704433">
        <w:rPr>
          <w:rFonts w:ascii="Times New Roman" w:eastAsia="楷体_GB2312" w:hAnsi="Times New Roman" w:cs="Times New Roman"/>
          <w:sz w:val="22"/>
        </w:rPr>
        <w:t>100%</w:t>
      </w:r>
      <w:r w:rsidRPr="00704433">
        <w:rPr>
          <w:rFonts w:ascii="Times New Roman" w:eastAsia="楷体_GB2312" w:hAnsi="Times New Roman" w:cs="Times New Roman" w:hint="eastAsia"/>
          <w:sz w:val="22"/>
        </w:rPr>
        <w:t>比例全部承担，和信金泰无需承担经营成本及税费等。</w:t>
      </w:r>
    </w:p>
    <w:p w:rsidR="00493BBE" w:rsidRPr="00704433" w:rsidRDefault="00493BBE" w:rsidP="00704433">
      <w:pPr>
        <w:spacing w:line="360" w:lineRule="auto"/>
        <w:ind w:firstLineChars="200" w:firstLine="440"/>
        <w:rPr>
          <w:rFonts w:ascii="Times New Roman" w:eastAsia="楷体_GB2312" w:hAnsi="Times New Roman" w:cs="Times New Roman"/>
          <w:sz w:val="22"/>
        </w:rPr>
      </w:pPr>
      <w:r w:rsidRPr="00704433">
        <w:rPr>
          <w:rFonts w:ascii="Times New Roman" w:eastAsia="楷体_GB2312" w:hAnsi="Times New Roman" w:cs="Times New Roman" w:hint="eastAsia"/>
          <w:sz w:val="22"/>
        </w:rPr>
        <w:t>现金</w:t>
      </w:r>
      <w:proofErr w:type="gramStart"/>
      <w:r w:rsidRPr="00704433">
        <w:rPr>
          <w:rFonts w:ascii="Times New Roman" w:eastAsia="楷体_GB2312" w:hAnsi="Times New Roman" w:cs="Times New Roman" w:hint="eastAsia"/>
          <w:sz w:val="22"/>
        </w:rPr>
        <w:t>流预测</w:t>
      </w:r>
      <w:proofErr w:type="gramEnd"/>
      <w:r w:rsidRPr="00704433">
        <w:rPr>
          <w:rFonts w:ascii="Times New Roman" w:eastAsia="楷体_GB2312" w:hAnsi="Times New Roman" w:cs="Times New Roman" w:hint="eastAsia"/>
          <w:sz w:val="22"/>
        </w:rPr>
        <w:t>结果如下：</w:t>
      </w:r>
    </w:p>
    <w:tbl>
      <w:tblPr>
        <w:tblW w:w="85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712"/>
        <w:gridCol w:w="3402"/>
        <w:gridCol w:w="3402"/>
        <w:gridCol w:w="34"/>
      </w:tblGrid>
      <w:tr w:rsidR="00493BBE" w:rsidRPr="0001670C" w:rsidTr="005E184B">
        <w:trPr>
          <w:trHeight w:val="284"/>
          <w:jc w:val="center"/>
        </w:trPr>
        <w:tc>
          <w:tcPr>
            <w:tcW w:w="8550" w:type="dxa"/>
            <w:gridSpan w:val="4"/>
            <w:tcBorders>
              <w:top w:val="single" w:sz="12" w:space="0" w:color="auto"/>
              <w:bottom w:val="single" w:sz="4" w:space="0" w:color="auto"/>
            </w:tcBorders>
            <w:shd w:val="clear" w:color="auto" w:fill="auto"/>
            <w:vAlign w:val="center"/>
          </w:tcPr>
          <w:p w:rsidR="00493BBE" w:rsidRPr="00704433" w:rsidRDefault="00493BBE" w:rsidP="005E184B">
            <w:pPr>
              <w:jc w:val="center"/>
              <w:rPr>
                <w:rFonts w:ascii="楷体" w:eastAsia="楷体" w:hAnsi="楷体" w:cs="楷体"/>
                <w:b/>
                <w:bCs/>
                <w:color w:val="000000"/>
                <w:sz w:val="22"/>
                <w:szCs w:val="21"/>
              </w:rPr>
            </w:pPr>
            <w:r w:rsidRPr="00704433">
              <w:rPr>
                <w:rFonts w:ascii="楷体" w:eastAsia="楷体" w:hAnsi="楷体" w:cs="楷体" w:hint="eastAsia"/>
                <w:b/>
                <w:bCs/>
                <w:color w:val="000000"/>
                <w:sz w:val="22"/>
                <w:szCs w:val="21"/>
              </w:rPr>
              <w:t>物业资产预测情况（单位：万元）</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楷体" w:eastAsia="楷体" w:hAnsi="楷体" w:cs="楷体"/>
                <w:b/>
                <w:bCs/>
                <w:color w:val="000000"/>
                <w:sz w:val="22"/>
                <w:szCs w:val="21"/>
              </w:rPr>
            </w:pPr>
            <w:r w:rsidRPr="00704433">
              <w:rPr>
                <w:rFonts w:ascii="楷体" w:eastAsia="楷体" w:hAnsi="楷体" w:cs="楷体" w:hint="eastAsia"/>
                <w:b/>
                <w:bCs/>
                <w:color w:val="000000"/>
                <w:sz w:val="22"/>
                <w:szCs w:val="21"/>
              </w:rPr>
              <w:t>年度</w:t>
            </w:r>
          </w:p>
        </w:tc>
        <w:tc>
          <w:tcPr>
            <w:tcW w:w="3402" w:type="dxa"/>
            <w:tcBorders>
              <w:bottom w:val="single" w:sz="4" w:space="0" w:color="auto"/>
            </w:tcBorders>
            <w:shd w:val="clear" w:color="auto" w:fill="auto"/>
            <w:vAlign w:val="center"/>
          </w:tcPr>
          <w:p w:rsidR="00493BBE" w:rsidRPr="00704433" w:rsidRDefault="00493BBE" w:rsidP="005E184B">
            <w:pPr>
              <w:jc w:val="center"/>
              <w:rPr>
                <w:rFonts w:ascii="楷体" w:eastAsia="楷体" w:hAnsi="楷体" w:cs="楷体"/>
                <w:b/>
                <w:bCs/>
                <w:color w:val="000000"/>
                <w:sz w:val="22"/>
                <w:szCs w:val="21"/>
              </w:rPr>
            </w:pPr>
            <w:r w:rsidRPr="00704433">
              <w:rPr>
                <w:rFonts w:ascii="楷体" w:eastAsia="楷体" w:hAnsi="楷体" w:cs="楷体" w:hint="eastAsia"/>
                <w:b/>
                <w:bCs/>
                <w:color w:val="000000"/>
                <w:sz w:val="22"/>
                <w:szCs w:val="21"/>
              </w:rPr>
              <w:t>租赁收入</w:t>
            </w:r>
          </w:p>
        </w:tc>
        <w:tc>
          <w:tcPr>
            <w:tcW w:w="3402" w:type="dxa"/>
            <w:tcBorders>
              <w:bottom w:val="single" w:sz="4" w:space="0" w:color="auto"/>
            </w:tcBorders>
            <w:shd w:val="clear" w:color="auto" w:fill="auto"/>
            <w:vAlign w:val="center"/>
          </w:tcPr>
          <w:p w:rsidR="00493BBE" w:rsidRPr="00704433" w:rsidRDefault="00493BBE" w:rsidP="005E184B">
            <w:pPr>
              <w:jc w:val="center"/>
              <w:rPr>
                <w:rFonts w:ascii="楷体" w:eastAsia="楷体" w:hAnsi="楷体" w:cs="楷体"/>
                <w:b/>
                <w:bCs/>
                <w:color w:val="000000"/>
                <w:sz w:val="22"/>
                <w:szCs w:val="21"/>
              </w:rPr>
            </w:pPr>
            <w:r w:rsidRPr="00704433">
              <w:rPr>
                <w:rFonts w:ascii="楷体" w:eastAsia="楷体" w:hAnsi="楷体" w:cs="楷体" w:hint="eastAsia"/>
                <w:b/>
                <w:bCs/>
                <w:color w:val="000000"/>
                <w:sz w:val="22"/>
                <w:szCs w:val="21"/>
              </w:rPr>
              <w:t>净收入</w:t>
            </w:r>
          </w:p>
        </w:tc>
      </w:tr>
      <w:tr w:rsidR="00493BBE" w:rsidRPr="0001670C" w:rsidTr="005E184B">
        <w:trPr>
          <w:gridAfter w:val="1"/>
          <w:wAfter w:w="34" w:type="dxa"/>
          <w:trHeight w:val="125"/>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2022</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9,800.96</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9,800.96</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2023</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11,793.12</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11,793.12</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2024</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13,635.60</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13,635.60</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2025</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14,803.64</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14,803.64</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2026</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15,230.68</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15,230.68</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2027</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15,692.84</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15,692.84</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2028</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16,155.44</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16,155.44</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2029</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16,477.64</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16,477.64</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2030</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16,799.84</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16,799.84</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2031</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17,122.00</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17,122.00</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2032</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17,476.44</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17,476.44</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2033</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17,830.88</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17,830.88</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2034</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18,185.32</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18,185.32</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2035</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18,539.72</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18,539.72</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sz w:val="22"/>
              </w:rPr>
              <w:t>2036</w:t>
            </w:r>
            <w:r w:rsidRPr="00704433">
              <w:rPr>
                <w:rFonts w:ascii="Times New Roman" w:eastAsia="楷体_GB2312" w:hAnsi="Times New Roman" w:cs="Times New Roman" w:hint="eastAsia"/>
                <w:sz w:val="22"/>
              </w:rPr>
              <w:t>年</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18,894.16</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18,894.16</w:t>
            </w:r>
          </w:p>
        </w:tc>
      </w:tr>
      <w:tr w:rsidR="00493BBE" w:rsidRPr="0001670C" w:rsidTr="005E184B">
        <w:trPr>
          <w:gridAfter w:val="1"/>
          <w:wAfter w:w="34" w:type="dxa"/>
          <w:trHeight w:val="284"/>
          <w:jc w:val="center"/>
        </w:trPr>
        <w:tc>
          <w:tcPr>
            <w:tcW w:w="1712" w:type="dxa"/>
            <w:shd w:val="clear" w:color="auto" w:fill="auto"/>
            <w:vAlign w:val="center"/>
          </w:tcPr>
          <w:p w:rsidR="00493BBE" w:rsidRPr="00704433" w:rsidRDefault="00493BBE" w:rsidP="005E184B">
            <w:pPr>
              <w:jc w:val="center"/>
              <w:rPr>
                <w:rFonts w:ascii="Times New Roman" w:eastAsia="楷体_GB2312" w:hAnsi="Times New Roman" w:cs="Times New Roman"/>
                <w:sz w:val="22"/>
              </w:rPr>
            </w:pPr>
            <w:r w:rsidRPr="00704433">
              <w:rPr>
                <w:rFonts w:ascii="Times New Roman" w:eastAsia="楷体_GB2312" w:hAnsi="Times New Roman" w:cs="Times New Roman" w:hint="eastAsia"/>
                <w:sz w:val="22"/>
              </w:rPr>
              <w:t>合计</w:t>
            </w:r>
          </w:p>
        </w:tc>
        <w:tc>
          <w:tcPr>
            <w:tcW w:w="3402" w:type="dxa"/>
            <w:tcBorders>
              <w:top w:val="single" w:sz="4" w:space="0" w:color="auto"/>
              <w:left w:val="nil"/>
              <w:bottom w:val="single" w:sz="4" w:space="0" w:color="auto"/>
              <w:right w:val="single" w:sz="4" w:space="0" w:color="auto"/>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238,438.28</w:t>
            </w:r>
          </w:p>
        </w:tc>
        <w:tc>
          <w:tcPr>
            <w:tcW w:w="3402" w:type="dxa"/>
            <w:tcBorders>
              <w:top w:val="single" w:sz="4" w:space="0" w:color="auto"/>
              <w:left w:val="single" w:sz="4" w:space="0" w:color="auto"/>
              <w:bottom w:val="single" w:sz="4" w:space="0" w:color="auto"/>
              <w:right w:val="nil"/>
            </w:tcBorders>
            <w:shd w:val="clear" w:color="auto" w:fill="auto"/>
            <w:vAlign w:val="center"/>
          </w:tcPr>
          <w:p w:rsidR="00493BBE" w:rsidRPr="00704433" w:rsidRDefault="00493BBE" w:rsidP="005E184B">
            <w:pPr>
              <w:jc w:val="right"/>
              <w:rPr>
                <w:rFonts w:ascii="Times New Roman" w:eastAsia="楷体_GB2312" w:hAnsi="Times New Roman" w:cs="Times New Roman"/>
                <w:sz w:val="22"/>
              </w:rPr>
            </w:pPr>
            <w:r w:rsidRPr="00704433">
              <w:rPr>
                <w:rFonts w:ascii="Times New Roman" w:eastAsia="楷体_GB2312" w:hAnsi="Times New Roman" w:cs="Times New Roman"/>
                <w:sz w:val="22"/>
              </w:rPr>
              <w:t>238,438.28</w:t>
            </w:r>
          </w:p>
        </w:tc>
      </w:tr>
      <w:tr w:rsidR="00493BBE" w:rsidRPr="0001670C" w:rsidTr="005E184B">
        <w:trPr>
          <w:trHeight w:val="39"/>
          <w:jc w:val="center"/>
        </w:trPr>
        <w:tc>
          <w:tcPr>
            <w:tcW w:w="8550" w:type="dxa"/>
            <w:gridSpan w:val="4"/>
            <w:vAlign w:val="center"/>
          </w:tcPr>
          <w:p w:rsidR="00493BBE" w:rsidRPr="00704433" w:rsidRDefault="00493BBE" w:rsidP="005E184B">
            <w:pPr>
              <w:rPr>
                <w:rFonts w:ascii="楷体" w:eastAsia="楷体" w:hAnsi="楷体" w:cs="楷体"/>
                <w:bCs/>
                <w:color w:val="000000"/>
                <w:sz w:val="20"/>
                <w:szCs w:val="21"/>
              </w:rPr>
            </w:pPr>
            <w:r w:rsidRPr="00704433">
              <w:rPr>
                <w:rFonts w:ascii="楷体" w:eastAsia="楷体" w:hAnsi="楷体" w:cs="楷体" w:hint="eastAsia"/>
                <w:bCs/>
                <w:color w:val="000000"/>
                <w:sz w:val="20"/>
                <w:szCs w:val="21"/>
              </w:rPr>
              <w:t>数据来源：根据《现金流预测报告》整理</w:t>
            </w:r>
          </w:p>
        </w:tc>
      </w:tr>
    </w:tbl>
    <w:p w:rsidR="0064410D" w:rsidRPr="00493BBE" w:rsidRDefault="0064410D" w:rsidP="00631BB1">
      <w:pPr>
        <w:spacing w:line="560" w:lineRule="exact"/>
        <w:ind w:firstLineChars="200" w:firstLine="640"/>
        <w:rPr>
          <w:rFonts w:ascii="彩虹粗仿宋" w:eastAsia="彩虹粗仿宋"/>
          <w:sz w:val="32"/>
          <w:szCs w:val="32"/>
        </w:rPr>
      </w:pPr>
    </w:p>
    <w:p w:rsidR="0064410D" w:rsidRDefault="0064410D" w:rsidP="00631BB1">
      <w:pPr>
        <w:spacing w:line="560" w:lineRule="exact"/>
        <w:ind w:firstLineChars="200" w:firstLine="640"/>
        <w:rPr>
          <w:rFonts w:ascii="彩虹粗仿宋" w:eastAsia="彩虹粗仿宋"/>
          <w:sz w:val="32"/>
          <w:szCs w:val="32"/>
        </w:rPr>
      </w:pPr>
      <w:bookmarkStart w:id="0" w:name="_GoBack"/>
      <w:bookmarkEnd w:id="0"/>
    </w:p>
    <w:p w:rsidR="0064410D" w:rsidRDefault="0064410D" w:rsidP="00631BB1">
      <w:pPr>
        <w:spacing w:line="560" w:lineRule="exact"/>
        <w:ind w:firstLineChars="200" w:firstLine="640"/>
        <w:rPr>
          <w:rFonts w:ascii="彩虹粗仿宋" w:eastAsia="彩虹粗仿宋"/>
          <w:sz w:val="32"/>
          <w:szCs w:val="32"/>
        </w:rPr>
      </w:pPr>
    </w:p>
    <w:p w:rsidR="0064410D" w:rsidRPr="00696758" w:rsidRDefault="0064410D" w:rsidP="00631BB1">
      <w:pPr>
        <w:spacing w:line="560" w:lineRule="exact"/>
        <w:ind w:firstLineChars="200" w:firstLine="640"/>
        <w:rPr>
          <w:rFonts w:ascii="彩虹粗仿宋" w:eastAsia="彩虹粗仿宋"/>
          <w:sz w:val="32"/>
          <w:szCs w:val="32"/>
        </w:rPr>
      </w:pPr>
    </w:p>
    <w:p w:rsidR="009B29B9" w:rsidRDefault="005E6FD3" w:rsidP="00631BB1">
      <w:pPr>
        <w:spacing w:line="560" w:lineRule="exact"/>
        <w:ind w:firstLineChars="200" w:firstLine="640"/>
        <w:rPr>
          <w:rFonts w:ascii="彩虹粗仿宋" w:eastAsia="彩虹粗仿宋"/>
          <w:sz w:val="32"/>
          <w:szCs w:val="32"/>
        </w:rPr>
      </w:pPr>
      <w:r>
        <w:rPr>
          <w:rFonts w:ascii="彩虹粗仿宋" w:eastAsia="彩虹粗仿宋" w:hint="eastAsia"/>
          <w:sz w:val="32"/>
          <w:szCs w:val="32"/>
        </w:rPr>
        <w:lastRenderedPageBreak/>
        <w:t>后</w:t>
      </w:r>
      <w:r w:rsidR="009B29B9">
        <w:rPr>
          <w:rFonts w:ascii="彩虹粗仿宋" w:eastAsia="彩虹粗仿宋" w:hint="eastAsia"/>
          <w:sz w:val="32"/>
          <w:szCs w:val="32"/>
        </w:rPr>
        <w:t>附</w:t>
      </w:r>
      <w:r w:rsidR="00240E19">
        <w:rPr>
          <w:rFonts w:ascii="彩虹粗仿宋" w:eastAsia="彩虹粗仿宋" w:hint="eastAsia"/>
          <w:sz w:val="32"/>
          <w:szCs w:val="32"/>
        </w:rPr>
        <w:t>相关材料</w:t>
      </w:r>
      <w:proofErr w:type="gramStart"/>
      <w:r w:rsidR="009B29B9">
        <w:rPr>
          <w:rFonts w:ascii="彩虹粗仿宋" w:eastAsia="彩虹粗仿宋" w:hint="eastAsia"/>
          <w:sz w:val="32"/>
          <w:szCs w:val="32"/>
        </w:rPr>
        <w:t>一并请</w:t>
      </w:r>
      <w:proofErr w:type="gramEnd"/>
      <w:r w:rsidR="009B29B9">
        <w:rPr>
          <w:rFonts w:ascii="彩虹粗仿宋" w:eastAsia="彩虹粗仿宋" w:hint="eastAsia"/>
          <w:sz w:val="32"/>
          <w:szCs w:val="32"/>
        </w:rPr>
        <w:t>贵司审阅</w:t>
      </w:r>
      <w:r>
        <w:rPr>
          <w:rFonts w:ascii="彩虹粗仿宋" w:eastAsia="彩虹粗仿宋" w:hint="eastAsia"/>
          <w:sz w:val="32"/>
          <w:szCs w:val="32"/>
        </w:rPr>
        <w:t>，请贵司对以上引用予以确认。如有异议，请及时告知我</w:t>
      </w:r>
      <w:r w:rsidR="00240E19">
        <w:rPr>
          <w:rFonts w:ascii="彩虹粗仿宋" w:eastAsia="彩虹粗仿宋" w:hint="eastAsia"/>
          <w:sz w:val="32"/>
          <w:szCs w:val="32"/>
        </w:rPr>
        <w:t>行</w:t>
      </w:r>
      <w:r>
        <w:rPr>
          <w:rFonts w:ascii="彩虹粗仿宋" w:eastAsia="彩虹粗仿宋" w:hint="eastAsia"/>
          <w:sz w:val="32"/>
          <w:szCs w:val="32"/>
        </w:rPr>
        <w:t>。感谢贵司大力支持！</w:t>
      </w:r>
    </w:p>
    <w:p w:rsidR="00696758" w:rsidRPr="00696758" w:rsidRDefault="00696758" w:rsidP="002A7C6A">
      <w:pPr>
        <w:spacing w:line="560" w:lineRule="exact"/>
        <w:ind w:firstLine="420"/>
        <w:rPr>
          <w:rFonts w:ascii="彩虹粗仿宋" w:eastAsia="彩虹粗仿宋"/>
          <w:sz w:val="32"/>
          <w:szCs w:val="32"/>
        </w:rPr>
      </w:pPr>
    </w:p>
    <w:p w:rsidR="00F92688" w:rsidRDefault="00F92688" w:rsidP="00F92688">
      <w:pPr>
        <w:spacing w:line="560" w:lineRule="exact"/>
        <w:jc w:val="right"/>
        <w:rPr>
          <w:rFonts w:ascii="彩虹粗仿宋" w:eastAsia="彩虹粗仿宋"/>
          <w:sz w:val="30"/>
          <w:szCs w:val="30"/>
        </w:rPr>
      </w:pPr>
      <w:r w:rsidRPr="00F8169D">
        <w:rPr>
          <w:rFonts w:ascii="彩虹粗仿宋" w:eastAsia="彩虹粗仿宋" w:hint="eastAsia"/>
          <w:sz w:val="30"/>
          <w:szCs w:val="30"/>
        </w:rPr>
        <w:t>中国建设银行股份有限公司北京城市建设开发专业支行</w:t>
      </w:r>
    </w:p>
    <w:p w:rsidR="00696758" w:rsidRDefault="00F92688" w:rsidP="00F92688">
      <w:pPr>
        <w:spacing w:line="560" w:lineRule="exact"/>
        <w:jc w:val="right"/>
        <w:rPr>
          <w:rFonts w:ascii="彩虹粗仿宋" w:eastAsia="彩虹粗仿宋"/>
          <w:sz w:val="32"/>
          <w:szCs w:val="32"/>
        </w:rPr>
      </w:pPr>
      <w:r>
        <w:rPr>
          <w:rFonts w:ascii="彩虹粗仿宋" w:eastAsia="彩虹粗仿宋" w:hint="eastAsia"/>
          <w:sz w:val="32"/>
          <w:szCs w:val="32"/>
        </w:rPr>
        <w:t xml:space="preserve"> </w:t>
      </w:r>
      <w:r w:rsidR="00696758" w:rsidRPr="00696758">
        <w:rPr>
          <w:rFonts w:ascii="彩虹粗仿宋" w:eastAsia="彩虹粗仿宋" w:hint="eastAsia"/>
          <w:sz w:val="32"/>
          <w:szCs w:val="32"/>
        </w:rPr>
        <w:t>年</w:t>
      </w:r>
      <w:r>
        <w:rPr>
          <w:rFonts w:ascii="彩虹粗仿宋" w:eastAsia="彩虹粗仿宋" w:hint="eastAsia"/>
          <w:sz w:val="32"/>
          <w:szCs w:val="32"/>
        </w:rPr>
        <w:t xml:space="preserve">  </w:t>
      </w:r>
      <w:r w:rsidR="00696758" w:rsidRPr="00696758">
        <w:rPr>
          <w:rFonts w:ascii="彩虹粗仿宋" w:eastAsia="彩虹粗仿宋" w:hint="eastAsia"/>
          <w:sz w:val="32"/>
          <w:szCs w:val="32"/>
        </w:rPr>
        <w:t>月</w:t>
      </w:r>
      <w:r>
        <w:rPr>
          <w:rFonts w:ascii="彩虹粗仿宋" w:eastAsia="彩虹粗仿宋" w:hint="eastAsia"/>
          <w:sz w:val="32"/>
          <w:szCs w:val="32"/>
        </w:rPr>
        <w:t xml:space="preserve">  </w:t>
      </w:r>
      <w:r w:rsidR="00696758" w:rsidRPr="00696758">
        <w:rPr>
          <w:rFonts w:ascii="彩虹粗仿宋" w:eastAsia="彩虹粗仿宋" w:hint="eastAsia"/>
          <w:sz w:val="32"/>
          <w:szCs w:val="32"/>
        </w:rPr>
        <w:t>日</w:t>
      </w:r>
    </w:p>
    <w:p w:rsidR="00894D19" w:rsidRDefault="00894D19" w:rsidP="00894D19">
      <w:pPr>
        <w:spacing w:line="560" w:lineRule="exact"/>
        <w:rPr>
          <w:rFonts w:ascii="彩虹小标宋" w:eastAsia="彩虹小标宋"/>
          <w:sz w:val="44"/>
          <w:szCs w:val="44"/>
        </w:rPr>
      </w:pPr>
    </w:p>
    <w:p w:rsidR="0064410D" w:rsidRDefault="0064410D">
      <w:pPr>
        <w:widowControl/>
        <w:jc w:val="left"/>
        <w:rPr>
          <w:rFonts w:ascii="彩虹小标宋" w:eastAsia="彩虹小标宋"/>
          <w:sz w:val="44"/>
          <w:szCs w:val="44"/>
        </w:rPr>
      </w:pPr>
      <w:r>
        <w:rPr>
          <w:rFonts w:ascii="彩虹小标宋" w:eastAsia="彩虹小标宋"/>
          <w:sz w:val="44"/>
          <w:szCs w:val="44"/>
        </w:rPr>
        <w:br w:type="page"/>
      </w:r>
    </w:p>
    <w:p w:rsidR="00F92688" w:rsidRDefault="00F92688" w:rsidP="00F92688">
      <w:pPr>
        <w:spacing w:line="560" w:lineRule="exact"/>
        <w:jc w:val="center"/>
        <w:rPr>
          <w:rFonts w:ascii="彩虹小标宋" w:eastAsia="彩虹小标宋"/>
          <w:sz w:val="44"/>
          <w:szCs w:val="44"/>
          <w:vertAlign w:val="superscript"/>
        </w:rPr>
      </w:pPr>
      <w:proofErr w:type="gramStart"/>
      <w:r w:rsidRPr="0036440C">
        <w:rPr>
          <w:rFonts w:ascii="彩虹小标宋" w:eastAsia="彩虹小标宋" w:hint="eastAsia"/>
          <w:sz w:val="44"/>
          <w:szCs w:val="44"/>
        </w:rPr>
        <w:lastRenderedPageBreak/>
        <w:t>关于</w:t>
      </w:r>
      <w:r w:rsidRPr="00B632C3">
        <w:rPr>
          <w:rFonts w:ascii="彩虹小标宋" w:eastAsia="彩虹小标宋" w:hint="eastAsia"/>
          <w:sz w:val="44"/>
          <w:szCs w:val="44"/>
        </w:rPr>
        <w:t>融信通达</w:t>
      </w:r>
      <w:proofErr w:type="gramEnd"/>
      <w:r w:rsidRPr="00B632C3">
        <w:rPr>
          <w:rFonts w:ascii="彩虹小标宋" w:eastAsia="彩虹小标宋" w:hint="eastAsia"/>
          <w:sz w:val="44"/>
          <w:szCs w:val="44"/>
        </w:rPr>
        <w:t>（天津）</w:t>
      </w:r>
      <w:proofErr w:type="gramStart"/>
      <w:r w:rsidRPr="00B632C3">
        <w:rPr>
          <w:rFonts w:ascii="彩虹小标宋" w:eastAsia="彩虹小标宋" w:hint="eastAsia"/>
          <w:sz w:val="44"/>
          <w:szCs w:val="44"/>
        </w:rPr>
        <w:t>商业保理有限公司</w:t>
      </w:r>
      <w:proofErr w:type="gramEnd"/>
      <w:r w:rsidRPr="00B632C3">
        <w:rPr>
          <w:rFonts w:ascii="彩虹小标宋" w:eastAsia="彩虹小标宋" w:hint="eastAsia"/>
          <w:sz w:val="44"/>
          <w:szCs w:val="44"/>
        </w:rPr>
        <w:t>2022年度飞驰-</w:t>
      </w:r>
      <w:proofErr w:type="gramStart"/>
      <w:r w:rsidRPr="00B632C3">
        <w:rPr>
          <w:rFonts w:ascii="彩虹小标宋" w:eastAsia="彩虹小标宋" w:hint="eastAsia"/>
          <w:sz w:val="44"/>
          <w:szCs w:val="44"/>
        </w:rPr>
        <w:t>林语第一期</w:t>
      </w:r>
      <w:proofErr w:type="gramEnd"/>
      <w:r w:rsidRPr="00B632C3">
        <w:rPr>
          <w:rFonts w:ascii="彩虹小标宋" w:eastAsia="彩虹小标宋" w:hint="eastAsia"/>
          <w:sz w:val="44"/>
          <w:szCs w:val="44"/>
        </w:rPr>
        <w:t>定向资产支持票据</w:t>
      </w:r>
      <w:r w:rsidRPr="0036440C">
        <w:rPr>
          <w:rFonts w:ascii="彩虹小标宋" w:eastAsia="彩虹小标宋" w:hint="eastAsia"/>
          <w:sz w:val="44"/>
          <w:szCs w:val="44"/>
        </w:rPr>
        <w:t>注册</w:t>
      </w:r>
      <w:r>
        <w:rPr>
          <w:rFonts w:ascii="彩虹小标宋" w:eastAsia="彩虹小标宋" w:hint="eastAsia"/>
          <w:sz w:val="44"/>
          <w:szCs w:val="44"/>
        </w:rPr>
        <w:t>/</w:t>
      </w:r>
      <w:r w:rsidRPr="0036440C">
        <w:rPr>
          <w:rFonts w:ascii="彩虹小标宋" w:eastAsia="彩虹小标宋" w:hint="eastAsia"/>
          <w:sz w:val="44"/>
          <w:szCs w:val="44"/>
        </w:rPr>
        <w:t>发行文件引用贵</w:t>
      </w:r>
      <w:proofErr w:type="gramStart"/>
      <w:r w:rsidRPr="0036440C">
        <w:rPr>
          <w:rFonts w:ascii="彩虹小标宋" w:eastAsia="彩虹小标宋" w:hint="eastAsia"/>
          <w:sz w:val="44"/>
          <w:szCs w:val="44"/>
        </w:rPr>
        <w:t>司专业</w:t>
      </w:r>
      <w:proofErr w:type="gramEnd"/>
      <w:r w:rsidRPr="0036440C">
        <w:rPr>
          <w:rFonts w:ascii="彩虹小标宋" w:eastAsia="彩虹小标宋" w:hint="eastAsia"/>
          <w:sz w:val="44"/>
          <w:szCs w:val="44"/>
        </w:rPr>
        <w:t>报告的确认函</w:t>
      </w:r>
    </w:p>
    <w:p w:rsidR="00894D19" w:rsidRPr="00F92688" w:rsidRDefault="00894D19" w:rsidP="00894D19">
      <w:pPr>
        <w:spacing w:line="560" w:lineRule="exact"/>
        <w:jc w:val="center"/>
        <w:rPr>
          <w:rFonts w:ascii="彩虹小标宋" w:eastAsia="彩虹小标宋"/>
          <w:sz w:val="44"/>
          <w:szCs w:val="44"/>
        </w:rPr>
      </w:pPr>
    </w:p>
    <w:p w:rsidR="00894D19" w:rsidRPr="00240E19" w:rsidRDefault="00894D19" w:rsidP="00894D19">
      <w:pPr>
        <w:spacing w:line="560" w:lineRule="exact"/>
        <w:rPr>
          <w:rFonts w:ascii="彩虹粗仿宋" w:eastAsia="彩虹粗仿宋"/>
          <w:sz w:val="32"/>
          <w:szCs w:val="32"/>
        </w:rPr>
      </w:pPr>
    </w:p>
    <w:p w:rsidR="00894D19" w:rsidRDefault="00894D19" w:rsidP="00894D19">
      <w:pPr>
        <w:spacing w:line="560" w:lineRule="exact"/>
        <w:rPr>
          <w:rFonts w:ascii="彩虹粗仿宋" w:eastAsia="彩虹粗仿宋"/>
          <w:sz w:val="32"/>
          <w:szCs w:val="32"/>
        </w:rPr>
      </w:pPr>
      <w:r w:rsidRPr="00894D19">
        <w:rPr>
          <w:rFonts w:ascii="彩虹粗仿宋" w:eastAsia="彩虹粗仿宋" w:hint="eastAsia"/>
          <w:sz w:val="32"/>
          <w:szCs w:val="32"/>
        </w:rPr>
        <w:t>中国建设银行股份有限公司：</w:t>
      </w:r>
    </w:p>
    <w:p w:rsidR="00894D19" w:rsidRPr="00894D19" w:rsidRDefault="00F92688" w:rsidP="00894D19">
      <w:pPr>
        <w:spacing w:line="560" w:lineRule="exact"/>
        <w:ind w:firstLineChars="200" w:firstLine="640"/>
        <w:rPr>
          <w:rFonts w:ascii="彩虹粗仿宋" w:eastAsia="彩虹粗仿宋"/>
          <w:sz w:val="32"/>
          <w:szCs w:val="32"/>
        </w:rPr>
      </w:pPr>
      <w:r w:rsidRPr="00894D19">
        <w:rPr>
          <w:rFonts w:ascii="彩虹粗仿宋" w:eastAsia="彩虹粗仿宋" w:hint="eastAsia"/>
          <w:sz w:val="32"/>
          <w:szCs w:val="32"/>
        </w:rPr>
        <w:t>贵</w:t>
      </w:r>
      <w:r>
        <w:rPr>
          <w:rFonts w:ascii="彩虹粗仿宋" w:eastAsia="彩虹粗仿宋" w:hint="eastAsia"/>
          <w:sz w:val="32"/>
          <w:szCs w:val="32"/>
        </w:rPr>
        <w:t>行</w:t>
      </w:r>
      <w:r w:rsidRPr="00894D19">
        <w:rPr>
          <w:rFonts w:ascii="彩虹粗仿宋" w:eastAsia="彩虹粗仿宋" w:hint="eastAsia"/>
          <w:sz w:val="32"/>
          <w:szCs w:val="32"/>
        </w:rPr>
        <w:t>《</w:t>
      </w:r>
      <w:r w:rsidRPr="00240E19">
        <w:rPr>
          <w:rFonts w:ascii="彩虹粗仿宋" w:eastAsia="彩虹粗仿宋" w:hint="eastAsia"/>
          <w:sz w:val="32"/>
          <w:szCs w:val="32"/>
        </w:rPr>
        <w:t>关</w:t>
      </w:r>
      <w:r>
        <w:rPr>
          <w:rFonts w:ascii="彩虹粗仿宋" w:eastAsia="彩虹粗仿宋" w:hint="eastAsia"/>
          <w:sz w:val="32"/>
          <w:szCs w:val="32"/>
        </w:rPr>
        <w:t>于</w:t>
      </w:r>
      <w:r w:rsidRPr="00F8169D">
        <w:rPr>
          <w:rFonts w:ascii="彩虹粗仿宋" w:eastAsia="彩虹粗仿宋" w:hint="eastAsia"/>
          <w:sz w:val="32"/>
          <w:szCs w:val="32"/>
        </w:rPr>
        <w:t>融信通达（天津）商业保理有限公司2022年度飞驰-林语第一期定向资产支持票据</w:t>
      </w:r>
      <w:r w:rsidRPr="00240E19">
        <w:rPr>
          <w:rFonts w:ascii="彩虹粗仿宋" w:eastAsia="彩虹粗仿宋" w:hint="eastAsia"/>
          <w:sz w:val="32"/>
          <w:szCs w:val="32"/>
        </w:rPr>
        <w:t>注册/发行文件引用贵司专业报告的确认函</w:t>
      </w:r>
      <w:r w:rsidRPr="00894D19">
        <w:rPr>
          <w:rFonts w:ascii="彩虹粗仿宋" w:eastAsia="彩虹粗仿宋" w:hint="eastAsia"/>
          <w:sz w:val="32"/>
          <w:szCs w:val="32"/>
        </w:rPr>
        <w:t>》已收悉</w:t>
      </w:r>
      <w:r w:rsidR="00894D19" w:rsidRPr="00894D19">
        <w:rPr>
          <w:rFonts w:ascii="彩虹粗仿宋" w:eastAsia="彩虹粗仿宋" w:hint="eastAsia"/>
          <w:sz w:val="32"/>
          <w:szCs w:val="32"/>
        </w:rPr>
        <w:t>。</w:t>
      </w:r>
    </w:p>
    <w:p w:rsidR="00894D19" w:rsidRDefault="00894D19" w:rsidP="00894D19">
      <w:pPr>
        <w:spacing w:line="560" w:lineRule="exact"/>
        <w:ind w:firstLineChars="200" w:firstLine="640"/>
        <w:rPr>
          <w:rFonts w:ascii="彩虹粗仿宋" w:eastAsia="彩虹粗仿宋"/>
          <w:sz w:val="32"/>
          <w:szCs w:val="32"/>
        </w:rPr>
      </w:pPr>
      <w:r w:rsidRPr="00894D19">
        <w:rPr>
          <w:rFonts w:ascii="彩虹粗仿宋" w:eastAsia="彩虹粗仿宋" w:hint="eastAsia"/>
          <w:sz w:val="32"/>
          <w:szCs w:val="32"/>
        </w:rPr>
        <w:t>经审阅，我司确认注册</w:t>
      </w:r>
      <w:r w:rsidR="00240E19">
        <w:rPr>
          <w:rFonts w:ascii="彩虹粗仿宋" w:eastAsia="彩虹粗仿宋" w:hint="eastAsia"/>
          <w:sz w:val="32"/>
          <w:szCs w:val="32"/>
        </w:rPr>
        <w:t>/</w:t>
      </w:r>
      <w:r w:rsidRPr="00894D19">
        <w:rPr>
          <w:rFonts w:ascii="彩虹粗仿宋" w:eastAsia="彩虹粗仿宋" w:hint="eastAsia"/>
          <w:sz w:val="32"/>
          <w:szCs w:val="32"/>
        </w:rPr>
        <w:t>发行文件中</w:t>
      </w:r>
      <w:r>
        <w:rPr>
          <w:rFonts w:ascii="彩虹粗仿宋" w:eastAsia="彩虹粗仿宋" w:hint="eastAsia"/>
          <w:sz w:val="32"/>
          <w:szCs w:val="32"/>
        </w:rPr>
        <w:t>贵</w:t>
      </w:r>
      <w:r w:rsidR="00240E19">
        <w:rPr>
          <w:rFonts w:ascii="彩虹粗仿宋" w:eastAsia="彩虹粗仿宋" w:hint="eastAsia"/>
          <w:sz w:val="32"/>
          <w:szCs w:val="32"/>
        </w:rPr>
        <w:t>行</w:t>
      </w:r>
      <w:r w:rsidRPr="00894D19">
        <w:rPr>
          <w:rFonts w:ascii="彩虹粗仿宋" w:eastAsia="彩虹粗仿宋" w:hint="eastAsia"/>
          <w:sz w:val="32"/>
          <w:szCs w:val="32"/>
        </w:rPr>
        <w:t>引用我司专业报告及专项意见的内容与我司出具的专业报告不存在矛盾之处、并对注册</w:t>
      </w:r>
      <w:r w:rsidR="00240E19">
        <w:rPr>
          <w:rFonts w:ascii="彩虹粗仿宋" w:eastAsia="彩虹粗仿宋" w:hint="eastAsia"/>
          <w:sz w:val="32"/>
          <w:szCs w:val="32"/>
        </w:rPr>
        <w:t>/</w:t>
      </w:r>
      <w:r w:rsidRPr="00894D19">
        <w:rPr>
          <w:rFonts w:ascii="彩虹粗仿宋" w:eastAsia="彩虹粗仿宋" w:hint="eastAsia"/>
          <w:sz w:val="32"/>
          <w:szCs w:val="32"/>
        </w:rPr>
        <w:t>发行文件引用的内容无异议。</w:t>
      </w:r>
    </w:p>
    <w:p w:rsidR="00894D19" w:rsidRDefault="00894D19" w:rsidP="00894D19">
      <w:pPr>
        <w:spacing w:line="560" w:lineRule="exact"/>
        <w:ind w:firstLineChars="200" w:firstLine="640"/>
        <w:rPr>
          <w:rFonts w:ascii="彩虹粗仿宋" w:eastAsia="彩虹粗仿宋"/>
          <w:sz w:val="32"/>
          <w:szCs w:val="32"/>
        </w:rPr>
      </w:pPr>
    </w:p>
    <w:p w:rsidR="00894D19" w:rsidRDefault="00894D19" w:rsidP="00894D19">
      <w:pPr>
        <w:spacing w:line="560" w:lineRule="exact"/>
        <w:ind w:firstLineChars="200" w:firstLine="640"/>
        <w:rPr>
          <w:rFonts w:ascii="彩虹粗仿宋" w:eastAsia="彩虹粗仿宋"/>
          <w:sz w:val="32"/>
          <w:szCs w:val="32"/>
        </w:rPr>
      </w:pPr>
    </w:p>
    <w:p w:rsidR="00F92688" w:rsidRDefault="00F92688" w:rsidP="00F92688">
      <w:pPr>
        <w:spacing w:line="560" w:lineRule="exact"/>
        <w:jc w:val="right"/>
        <w:rPr>
          <w:rFonts w:ascii="彩虹粗仿宋" w:eastAsia="彩虹粗仿宋"/>
          <w:sz w:val="32"/>
          <w:szCs w:val="32"/>
        </w:rPr>
      </w:pPr>
      <w:r w:rsidRPr="00394420">
        <w:rPr>
          <w:rFonts w:ascii="彩虹粗仿宋" w:eastAsia="彩虹粗仿宋" w:hint="eastAsia"/>
          <w:sz w:val="32"/>
          <w:szCs w:val="32"/>
        </w:rPr>
        <w:t>北京康正宏基房地产评估有限公司</w:t>
      </w:r>
    </w:p>
    <w:p w:rsidR="00894D19" w:rsidRDefault="00F92688" w:rsidP="00F92688">
      <w:pPr>
        <w:spacing w:line="560" w:lineRule="exact"/>
        <w:jc w:val="right"/>
        <w:rPr>
          <w:rFonts w:ascii="彩虹粗仿宋" w:eastAsia="彩虹粗仿宋"/>
          <w:sz w:val="32"/>
          <w:szCs w:val="32"/>
        </w:rPr>
      </w:pPr>
      <w:r>
        <w:rPr>
          <w:rFonts w:ascii="彩虹粗仿宋" w:eastAsia="彩虹粗仿宋" w:hint="eastAsia"/>
          <w:sz w:val="32"/>
          <w:szCs w:val="32"/>
        </w:rPr>
        <w:t xml:space="preserve"> </w:t>
      </w:r>
      <w:r w:rsidR="00894D19" w:rsidRPr="00696758">
        <w:rPr>
          <w:rFonts w:ascii="彩虹粗仿宋" w:eastAsia="彩虹粗仿宋" w:hint="eastAsia"/>
          <w:sz w:val="32"/>
          <w:szCs w:val="32"/>
        </w:rPr>
        <w:t>年</w:t>
      </w:r>
      <w:r>
        <w:rPr>
          <w:rFonts w:ascii="彩虹粗仿宋" w:eastAsia="彩虹粗仿宋" w:hint="eastAsia"/>
          <w:sz w:val="32"/>
          <w:szCs w:val="32"/>
        </w:rPr>
        <w:t xml:space="preserve">  </w:t>
      </w:r>
      <w:r w:rsidR="00894D19" w:rsidRPr="00696758">
        <w:rPr>
          <w:rFonts w:ascii="彩虹粗仿宋" w:eastAsia="彩虹粗仿宋" w:hint="eastAsia"/>
          <w:sz w:val="32"/>
          <w:szCs w:val="32"/>
        </w:rPr>
        <w:t>月</w:t>
      </w:r>
      <w:r>
        <w:rPr>
          <w:rFonts w:ascii="彩虹粗仿宋" w:eastAsia="彩虹粗仿宋" w:hint="eastAsia"/>
          <w:sz w:val="32"/>
          <w:szCs w:val="32"/>
        </w:rPr>
        <w:t xml:space="preserve">  </w:t>
      </w:r>
      <w:r w:rsidR="00894D19" w:rsidRPr="00696758">
        <w:rPr>
          <w:rFonts w:ascii="彩虹粗仿宋" w:eastAsia="彩虹粗仿宋" w:hint="eastAsia"/>
          <w:sz w:val="32"/>
          <w:szCs w:val="32"/>
        </w:rPr>
        <w:t>日</w:t>
      </w:r>
    </w:p>
    <w:p w:rsidR="00894D19" w:rsidRPr="00894D19" w:rsidRDefault="00894D19" w:rsidP="00894D19">
      <w:pPr>
        <w:spacing w:line="560" w:lineRule="exact"/>
        <w:ind w:firstLineChars="200" w:firstLine="640"/>
        <w:rPr>
          <w:rFonts w:ascii="彩虹粗仿宋" w:eastAsia="彩虹粗仿宋"/>
          <w:sz w:val="32"/>
          <w:szCs w:val="32"/>
        </w:rPr>
      </w:pPr>
    </w:p>
    <w:p w:rsidR="00894D19" w:rsidRPr="00894D19" w:rsidRDefault="00894D19" w:rsidP="00894D19">
      <w:pPr>
        <w:spacing w:line="560" w:lineRule="exact"/>
        <w:ind w:firstLineChars="200" w:firstLine="640"/>
        <w:rPr>
          <w:rFonts w:ascii="彩虹粗仿宋" w:eastAsia="彩虹粗仿宋"/>
          <w:sz w:val="32"/>
          <w:szCs w:val="32"/>
        </w:rPr>
      </w:pPr>
    </w:p>
    <w:p w:rsidR="00894D19" w:rsidRPr="00894D19" w:rsidRDefault="00894D19" w:rsidP="00894D19">
      <w:pPr>
        <w:spacing w:line="560" w:lineRule="exact"/>
        <w:ind w:firstLineChars="200" w:firstLine="640"/>
        <w:rPr>
          <w:rFonts w:ascii="彩虹粗仿宋" w:eastAsia="彩虹粗仿宋"/>
          <w:sz w:val="32"/>
          <w:szCs w:val="32"/>
        </w:rPr>
      </w:pPr>
      <w:r w:rsidRPr="00894D19">
        <w:rPr>
          <w:rFonts w:ascii="彩虹粗仿宋" w:eastAsia="彩虹粗仿宋" w:hint="eastAsia"/>
          <w:sz w:val="32"/>
          <w:szCs w:val="32"/>
        </w:rPr>
        <w:t xml:space="preserve">                        </w:t>
      </w:r>
    </w:p>
    <w:p w:rsidR="00894D19" w:rsidRPr="00894D19" w:rsidRDefault="00894D19" w:rsidP="00894D19">
      <w:pPr>
        <w:spacing w:line="560" w:lineRule="exact"/>
        <w:ind w:firstLineChars="200" w:firstLine="640"/>
        <w:rPr>
          <w:rFonts w:ascii="彩虹粗仿宋" w:eastAsia="彩虹粗仿宋"/>
          <w:sz w:val="32"/>
          <w:szCs w:val="32"/>
        </w:rPr>
      </w:pPr>
    </w:p>
    <w:sectPr w:rsidR="00894D19" w:rsidRPr="00894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61" w:rsidRDefault="008E0B61" w:rsidP="005C4457">
      <w:r>
        <w:separator/>
      </w:r>
    </w:p>
  </w:endnote>
  <w:endnote w:type="continuationSeparator" w:id="0">
    <w:p w:rsidR="008E0B61" w:rsidRDefault="008E0B61" w:rsidP="005C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彩虹粗仿宋">
    <w:altName w:val="Arial Unicode MS"/>
    <w:charset w:val="86"/>
    <w:family w:val="script"/>
    <w:pitch w:val="fixed"/>
    <w:sig w:usb0="00000000" w:usb1="080E0000" w:usb2="00000010" w:usb3="00000000" w:csb0="00040000" w:csb1="00000000"/>
  </w:font>
  <w:font w:name="彩虹小标宋">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61" w:rsidRDefault="008E0B61" w:rsidP="005C4457">
      <w:r>
        <w:separator/>
      </w:r>
    </w:p>
  </w:footnote>
  <w:footnote w:type="continuationSeparator" w:id="0">
    <w:p w:rsidR="008E0B61" w:rsidRDefault="008E0B61" w:rsidP="005C4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29"/>
    <w:rsid w:val="0000560D"/>
    <w:rsid w:val="0000752F"/>
    <w:rsid w:val="000165A1"/>
    <w:rsid w:val="0001670C"/>
    <w:rsid w:val="00031CD4"/>
    <w:rsid w:val="00034983"/>
    <w:rsid w:val="00041D63"/>
    <w:rsid w:val="000426E0"/>
    <w:rsid w:val="00046498"/>
    <w:rsid w:val="00055E73"/>
    <w:rsid w:val="00061BC3"/>
    <w:rsid w:val="00075A7A"/>
    <w:rsid w:val="000930A5"/>
    <w:rsid w:val="000B2ACC"/>
    <w:rsid w:val="000B69EE"/>
    <w:rsid w:val="00104E9D"/>
    <w:rsid w:val="00115653"/>
    <w:rsid w:val="00135D15"/>
    <w:rsid w:val="0014338E"/>
    <w:rsid w:val="00167F6A"/>
    <w:rsid w:val="00186BC1"/>
    <w:rsid w:val="001B281D"/>
    <w:rsid w:val="001C73F5"/>
    <w:rsid w:val="001D4676"/>
    <w:rsid w:val="001D760D"/>
    <w:rsid w:val="0021251E"/>
    <w:rsid w:val="00212577"/>
    <w:rsid w:val="00224BFB"/>
    <w:rsid w:val="00240E19"/>
    <w:rsid w:val="0024499A"/>
    <w:rsid w:val="002A0578"/>
    <w:rsid w:val="002A6415"/>
    <w:rsid w:val="002A7C6A"/>
    <w:rsid w:val="002C373F"/>
    <w:rsid w:val="002D15F6"/>
    <w:rsid w:val="002D5743"/>
    <w:rsid w:val="002F27F3"/>
    <w:rsid w:val="002F3EB8"/>
    <w:rsid w:val="00304C65"/>
    <w:rsid w:val="00343967"/>
    <w:rsid w:val="003513AE"/>
    <w:rsid w:val="00351C38"/>
    <w:rsid w:val="0036440C"/>
    <w:rsid w:val="00367A6B"/>
    <w:rsid w:val="00394420"/>
    <w:rsid w:val="003B6426"/>
    <w:rsid w:val="003C50BA"/>
    <w:rsid w:val="003E05F3"/>
    <w:rsid w:val="003F1D3C"/>
    <w:rsid w:val="004329C5"/>
    <w:rsid w:val="004332B9"/>
    <w:rsid w:val="00454381"/>
    <w:rsid w:val="0046104E"/>
    <w:rsid w:val="00493BBE"/>
    <w:rsid w:val="004A7032"/>
    <w:rsid w:val="004C1F09"/>
    <w:rsid w:val="004C27B5"/>
    <w:rsid w:val="004C62D9"/>
    <w:rsid w:val="004D4C11"/>
    <w:rsid w:val="004F19FD"/>
    <w:rsid w:val="005238E9"/>
    <w:rsid w:val="0052451F"/>
    <w:rsid w:val="005434D4"/>
    <w:rsid w:val="0054686B"/>
    <w:rsid w:val="00563DFC"/>
    <w:rsid w:val="005978EF"/>
    <w:rsid w:val="005B1EDB"/>
    <w:rsid w:val="005C3A82"/>
    <w:rsid w:val="005C4457"/>
    <w:rsid w:val="005C45B4"/>
    <w:rsid w:val="005D228E"/>
    <w:rsid w:val="005E6FD3"/>
    <w:rsid w:val="00601589"/>
    <w:rsid w:val="006156C1"/>
    <w:rsid w:val="0062310A"/>
    <w:rsid w:val="00631BB1"/>
    <w:rsid w:val="0064410D"/>
    <w:rsid w:val="0064417A"/>
    <w:rsid w:val="00654D29"/>
    <w:rsid w:val="006575E5"/>
    <w:rsid w:val="00662862"/>
    <w:rsid w:val="006802DA"/>
    <w:rsid w:val="006853D8"/>
    <w:rsid w:val="00696758"/>
    <w:rsid w:val="006C481A"/>
    <w:rsid w:val="006D07CE"/>
    <w:rsid w:val="006D3942"/>
    <w:rsid w:val="006D546D"/>
    <w:rsid w:val="006F0AE0"/>
    <w:rsid w:val="00702D61"/>
    <w:rsid w:val="00704433"/>
    <w:rsid w:val="00735EA3"/>
    <w:rsid w:val="00743B30"/>
    <w:rsid w:val="007554B1"/>
    <w:rsid w:val="007665F6"/>
    <w:rsid w:val="0077573C"/>
    <w:rsid w:val="00775FAE"/>
    <w:rsid w:val="007960CD"/>
    <w:rsid w:val="007A3960"/>
    <w:rsid w:val="007C06A3"/>
    <w:rsid w:val="007D43E9"/>
    <w:rsid w:val="007E7500"/>
    <w:rsid w:val="007F04C5"/>
    <w:rsid w:val="007F1220"/>
    <w:rsid w:val="007F7B47"/>
    <w:rsid w:val="00822F79"/>
    <w:rsid w:val="00824506"/>
    <w:rsid w:val="008254AE"/>
    <w:rsid w:val="00827BD3"/>
    <w:rsid w:val="0084453F"/>
    <w:rsid w:val="0085695E"/>
    <w:rsid w:val="008610BE"/>
    <w:rsid w:val="00867B18"/>
    <w:rsid w:val="00876C93"/>
    <w:rsid w:val="00876F92"/>
    <w:rsid w:val="00881421"/>
    <w:rsid w:val="00894D19"/>
    <w:rsid w:val="008C7F8E"/>
    <w:rsid w:val="008D5533"/>
    <w:rsid w:val="008E0B61"/>
    <w:rsid w:val="008E226A"/>
    <w:rsid w:val="008F6ACE"/>
    <w:rsid w:val="00900553"/>
    <w:rsid w:val="00912EFE"/>
    <w:rsid w:val="00945B6F"/>
    <w:rsid w:val="00952EF9"/>
    <w:rsid w:val="009573D1"/>
    <w:rsid w:val="00973B0B"/>
    <w:rsid w:val="009744AD"/>
    <w:rsid w:val="00982B29"/>
    <w:rsid w:val="00992FFB"/>
    <w:rsid w:val="009A145E"/>
    <w:rsid w:val="009A5E2B"/>
    <w:rsid w:val="009A797D"/>
    <w:rsid w:val="009B29B9"/>
    <w:rsid w:val="009C0F0B"/>
    <w:rsid w:val="009D514F"/>
    <w:rsid w:val="009E3204"/>
    <w:rsid w:val="009F492C"/>
    <w:rsid w:val="00A17841"/>
    <w:rsid w:val="00A271B3"/>
    <w:rsid w:val="00A749C2"/>
    <w:rsid w:val="00A83B18"/>
    <w:rsid w:val="00A94D65"/>
    <w:rsid w:val="00AA4ED4"/>
    <w:rsid w:val="00AC09E5"/>
    <w:rsid w:val="00AE59A8"/>
    <w:rsid w:val="00AF6F56"/>
    <w:rsid w:val="00B0640A"/>
    <w:rsid w:val="00B07638"/>
    <w:rsid w:val="00B349F3"/>
    <w:rsid w:val="00B5022E"/>
    <w:rsid w:val="00B52C6A"/>
    <w:rsid w:val="00B65AF5"/>
    <w:rsid w:val="00B70584"/>
    <w:rsid w:val="00B7249C"/>
    <w:rsid w:val="00B753FB"/>
    <w:rsid w:val="00B77740"/>
    <w:rsid w:val="00BB4314"/>
    <w:rsid w:val="00BB72B9"/>
    <w:rsid w:val="00BC08EA"/>
    <w:rsid w:val="00BC55E2"/>
    <w:rsid w:val="00C34C54"/>
    <w:rsid w:val="00C35F68"/>
    <w:rsid w:val="00C4275C"/>
    <w:rsid w:val="00C44F96"/>
    <w:rsid w:val="00C63FEC"/>
    <w:rsid w:val="00C6651C"/>
    <w:rsid w:val="00C73646"/>
    <w:rsid w:val="00CE7993"/>
    <w:rsid w:val="00CF7AF4"/>
    <w:rsid w:val="00D20295"/>
    <w:rsid w:val="00D31425"/>
    <w:rsid w:val="00D55AC4"/>
    <w:rsid w:val="00D572A0"/>
    <w:rsid w:val="00D83C24"/>
    <w:rsid w:val="00D84DBF"/>
    <w:rsid w:val="00DA7412"/>
    <w:rsid w:val="00DB518D"/>
    <w:rsid w:val="00DC230C"/>
    <w:rsid w:val="00DC3487"/>
    <w:rsid w:val="00DD0082"/>
    <w:rsid w:val="00DD00D2"/>
    <w:rsid w:val="00DF2321"/>
    <w:rsid w:val="00E12921"/>
    <w:rsid w:val="00E15868"/>
    <w:rsid w:val="00E52082"/>
    <w:rsid w:val="00E73BA0"/>
    <w:rsid w:val="00E755A9"/>
    <w:rsid w:val="00E92478"/>
    <w:rsid w:val="00EA0973"/>
    <w:rsid w:val="00EA1774"/>
    <w:rsid w:val="00EB2DBC"/>
    <w:rsid w:val="00EB4AAD"/>
    <w:rsid w:val="00EC656C"/>
    <w:rsid w:val="00EF46A6"/>
    <w:rsid w:val="00EF7D8A"/>
    <w:rsid w:val="00EF7E5D"/>
    <w:rsid w:val="00F05F02"/>
    <w:rsid w:val="00F65BD4"/>
    <w:rsid w:val="00F9124D"/>
    <w:rsid w:val="00F92688"/>
    <w:rsid w:val="00F96D52"/>
    <w:rsid w:val="00FA66F9"/>
    <w:rsid w:val="00FB40DE"/>
    <w:rsid w:val="00FE2C29"/>
    <w:rsid w:val="00FE6FA7"/>
    <w:rsid w:val="00FF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19"/>
    <w:pPr>
      <w:widowControl w:val="0"/>
      <w:jc w:val="both"/>
    </w:pPr>
  </w:style>
  <w:style w:type="paragraph" w:styleId="2">
    <w:name w:val="heading 2"/>
    <w:basedOn w:val="a"/>
    <w:next w:val="a"/>
    <w:link w:val="2Char"/>
    <w:qFormat/>
    <w:rsid w:val="00493BBE"/>
    <w:pPr>
      <w:keepNext/>
      <w:keepLines/>
      <w:spacing w:before="20" w:after="20" w:line="416" w:lineRule="auto"/>
      <w:outlineLvl w:val="1"/>
    </w:pPr>
    <w:rPr>
      <w:rFonts w:ascii="Arial" w:eastAsia="楷体" w:hAnsi="Arial" w:cs="Times New Roman"/>
      <w:b/>
      <w:bCs/>
      <w:sz w:val="24"/>
      <w:szCs w:val="32"/>
    </w:rPr>
  </w:style>
  <w:style w:type="paragraph" w:styleId="3">
    <w:name w:val="heading 3"/>
    <w:basedOn w:val="a"/>
    <w:next w:val="a"/>
    <w:link w:val="3Char"/>
    <w:qFormat/>
    <w:rsid w:val="00493BBE"/>
    <w:pPr>
      <w:keepNext/>
      <w:keepLines/>
      <w:spacing w:before="20" w:after="20" w:line="416" w:lineRule="auto"/>
      <w:jc w:val="left"/>
      <w:outlineLvl w:val="2"/>
    </w:pPr>
    <w:rPr>
      <w:rFonts w:ascii="Times New Roman" w:eastAsia="楷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457"/>
    <w:rPr>
      <w:sz w:val="18"/>
      <w:szCs w:val="18"/>
    </w:rPr>
  </w:style>
  <w:style w:type="paragraph" w:styleId="a4">
    <w:name w:val="footer"/>
    <w:basedOn w:val="a"/>
    <w:link w:val="Char0"/>
    <w:uiPriority w:val="99"/>
    <w:unhideWhenUsed/>
    <w:rsid w:val="005C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5C4457"/>
    <w:rPr>
      <w:sz w:val="18"/>
      <w:szCs w:val="18"/>
    </w:rPr>
  </w:style>
  <w:style w:type="paragraph" w:styleId="a5">
    <w:name w:val="footnote text"/>
    <w:basedOn w:val="a"/>
    <w:link w:val="Char1"/>
    <w:uiPriority w:val="99"/>
    <w:semiHidden/>
    <w:unhideWhenUsed/>
    <w:rsid w:val="00304C65"/>
    <w:pPr>
      <w:snapToGrid w:val="0"/>
      <w:jc w:val="left"/>
    </w:pPr>
    <w:rPr>
      <w:sz w:val="18"/>
      <w:szCs w:val="18"/>
    </w:rPr>
  </w:style>
  <w:style w:type="character" w:customStyle="1" w:styleId="Char1">
    <w:name w:val="脚注文本 Char"/>
    <w:basedOn w:val="a0"/>
    <w:link w:val="a5"/>
    <w:uiPriority w:val="99"/>
    <w:semiHidden/>
    <w:rsid w:val="00304C65"/>
    <w:rPr>
      <w:sz w:val="18"/>
      <w:szCs w:val="18"/>
    </w:rPr>
  </w:style>
  <w:style w:type="character" w:styleId="a6">
    <w:name w:val="footnote reference"/>
    <w:basedOn w:val="a0"/>
    <w:uiPriority w:val="99"/>
    <w:semiHidden/>
    <w:unhideWhenUsed/>
    <w:rsid w:val="00304C65"/>
    <w:rPr>
      <w:vertAlign w:val="superscript"/>
    </w:rPr>
  </w:style>
  <w:style w:type="character" w:customStyle="1" w:styleId="2Char">
    <w:name w:val="标题 2 Char"/>
    <w:basedOn w:val="a0"/>
    <w:link w:val="2"/>
    <w:qFormat/>
    <w:rsid w:val="00493BBE"/>
    <w:rPr>
      <w:rFonts w:ascii="Arial" w:eastAsia="楷体" w:hAnsi="Arial" w:cs="Times New Roman"/>
      <w:b/>
      <w:bCs/>
      <w:sz w:val="24"/>
      <w:szCs w:val="32"/>
    </w:rPr>
  </w:style>
  <w:style w:type="character" w:customStyle="1" w:styleId="3Char">
    <w:name w:val="标题 3 Char"/>
    <w:basedOn w:val="a0"/>
    <w:link w:val="3"/>
    <w:qFormat/>
    <w:rsid w:val="00493BBE"/>
    <w:rPr>
      <w:rFonts w:ascii="Times New Roman" w:eastAsia="楷体" w:hAnsi="Times New Roman" w:cs="Times New Roman"/>
      <w:b/>
      <w:bCs/>
      <w:sz w:val="24"/>
      <w:szCs w:val="32"/>
    </w:rPr>
  </w:style>
  <w:style w:type="paragraph" w:customStyle="1" w:styleId="1">
    <w:name w:val="正文1"/>
    <w:link w:val="1Char"/>
    <w:qFormat/>
    <w:rsid w:val="00493BBE"/>
    <w:pPr>
      <w:jc w:val="both"/>
    </w:pPr>
    <w:rPr>
      <w:rFonts w:ascii="Times New Roman" w:eastAsia="宋体" w:hAnsi="Times New Roman" w:cs="Times New Roman"/>
      <w:szCs w:val="21"/>
    </w:rPr>
  </w:style>
  <w:style w:type="character" w:customStyle="1" w:styleId="1Char">
    <w:name w:val="正文1 Char"/>
    <w:link w:val="1"/>
    <w:qFormat/>
    <w:rsid w:val="00493BBE"/>
    <w:rPr>
      <w:rFonts w:ascii="Times New Roman" w:eastAsia="宋体" w:hAnsi="Times New Roman" w:cs="Times New Roman"/>
      <w:szCs w:val="21"/>
    </w:rPr>
  </w:style>
  <w:style w:type="paragraph" w:styleId="a7">
    <w:name w:val="Balloon Text"/>
    <w:basedOn w:val="a"/>
    <w:link w:val="Char2"/>
    <w:uiPriority w:val="99"/>
    <w:semiHidden/>
    <w:unhideWhenUsed/>
    <w:rsid w:val="00EF46A6"/>
    <w:rPr>
      <w:sz w:val="18"/>
      <w:szCs w:val="18"/>
    </w:rPr>
  </w:style>
  <w:style w:type="character" w:customStyle="1" w:styleId="Char2">
    <w:name w:val="批注框文本 Char"/>
    <w:basedOn w:val="a0"/>
    <w:link w:val="a7"/>
    <w:uiPriority w:val="99"/>
    <w:semiHidden/>
    <w:rsid w:val="00EF46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D19"/>
    <w:pPr>
      <w:widowControl w:val="0"/>
      <w:jc w:val="both"/>
    </w:pPr>
  </w:style>
  <w:style w:type="paragraph" w:styleId="2">
    <w:name w:val="heading 2"/>
    <w:basedOn w:val="a"/>
    <w:next w:val="a"/>
    <w:link w:val="2Char"/>
    <w:qFormat/>
    <w:rsid w:val="00493BBE"/>
    <w:pPr>
      <w:keepNext/>
      <w:keepLines/>
      <w:spacing w:before="20" w:after="20" w:line="416" w:lineRule="auto"/>
      <w:outlineLvl w:val="1"/>
    </w:pPr>
    <w:rPr>
      <w:rFonts w:ascii="Arial" w:eastAsia="楷体" w:hAnsi="Arial" w:cs="Times New Roman"/>
      <w:b/>
      <w:bCs/>
      <w:sz w:val="24"/>
      <w:szCs w:val="32"/>
    </w:rPr>
  </w:style>
  <w:style w:type="paragraph" w:styleId="3">
    <w:name w:val="heading 3"/>
    <w:basedOn w:val="a"/>
    <w:next w:val="a"/>
    <w:link w:val="3Char"/>
    <w:qFormat/>
    <w:rsid w:val="00493BBE"/>
    <w:pPr>
      <w:keepNext/>
      <w:keepLines/>
      <w:spacing w:before="20" w:after="20" w:line="416" w:lineRule="auto"/>
      <w:jc w:val="left"/>
      <w:outlineLvl w:val="2"/>
    </w:pPr>
    <w:rPr>
      <w:rFonts w:ascii="Times New Roman" w:eastAsia="楷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457"/>
    <w:rPr>
      <w:sz w:val="18"/>
      <w:szCs w:val="18"/>
    </w:rPr>
  </w:style>
  <w:style w:type="paragraph" w:styleId="a4">
    <w:name w:val="footer"/>
    <w:basedOn w:val="a"/>
    <w:link w:val="Char0"/>
    <w:uiPriority w:val="99"/>
    <w:unhideWhenUsed/>
    <w:rsid w:val="005C4457"/>
    <w:pPr>
      <w:tabs>
        <w:tab w:val="center" w:pos="4153"/>
        <w:tab w:val="right" w:pos="8306"/>
      </w:tabs>
      <w:snapToGrid w:val="0"/>
      <w:jc w:val="left"/>
    </w:pPr>
    <w:rPr>
      <w:sz w:val="18"/>
      <w:szCs w:val="18"/>
    </w:rPr>
  </w:style>
  <w:style w:type="character" w:customStyle="1" w:styleId="Char0">
    <w:name w:val="页脚 Char"/>
    <w:basedOn w:val="a0"/>
    <w:link w:val="a4"/>
    <w:uiPriority w:val="99"/>
    <w:rsid w:val="005C4457"/>
    <w:rPr>
      <w:sz w:val="18"/>
      <w:szCs w:val="18"/>
    </w:rPr>
  </w:style>
  <w:style w:type="paragraph" w:styleId="a5">
    <w:name w:val="footnote text"/>
    <w:basedOn w:val="a"/>
    <w:link w:val="Char1"/>
    <w:uiPriority w:val="99"/>
    <w:semiHidden/>
    <w:unhideWhenUsed/>
    <w:rsid w:val="00304C65"/>
    <w:pPr>
      <w:snapToGrid w:val="0"/>
      <w:jc w:val="left"/>
    </w:pPr>
    <w:rPr>
      <w:sz w:val="18"/>
      <w:szCs w:val="18"/>
    </w:rPr>
  </w:style>
  <w:style w:type="character" w:customStyle="1" w:styleId="Char1">
    <w:name w:val="脚注文本 Char"/>
    <w:basedOn w:val="a0"/>
    <w:link w:val="a5"/>
    <w:uiPriority w:val="99"/>
    <w:semiHidden/>
    <w:rsid w:val="00304C65"/>
    <w:rPr>
      <w:sz w:val="18"/>
      <w:szCs w:val="18"/>
    </w:rPr>
  </w:style>
  <w:style w:type="character" w:styleId="a6">
    <w:name w:val="footnote reference"/>
    <w:basedOn w:val="a0"/>
    <w:uiPriority w:val="99"/>
    <w:semiHidden/>
    <w:unhideWhenUsed/>
    <w:rsid w:val="00304C65"/>
    <w:rPr>
      <w:vertAlign w:val="superscript"/>
    </w:rPr>
  </w:style>
  <w:style w:type="character" w:customStyle="1" w:styleId="2Char">
    <w:name w:val="标题 2 Char"/>
    <w:basedOn w:val="a0"/>
    <w:link w:val="2"/>
    <w:qFormat/>
    <w:rsid w:val="00493BBE"/>
    <w:rPr>
      <w:rFonts w:ascii="Arial" w:eastAsia="楷体" w:hAnsi="Arial" w:cs="Times New Roman"/>
      <w:b/>
      <w:bCs/>
      <w:sz w:val="24"/>
      <w:szCs w:val="32"/>
    </w:rPr>
  </w:style>
  <w:style w:type="character" w:customStyle="1" w:styleId="3Char">
    <w:name w:val="标题 3 Char"/>
    <w:basedOn w:val="a0"/>
    <w:link w:val="3"/>
    <w:qFormat/>
    <w:rsid w:val="00493BBE"/>
    <w:rPr>
      <w:rFonts w:ascii="Times New Roman" w:eastAsia="楷体" w:hAnsi="Times New Roman" w:cs="Times New Roman"/>
      <w:b/>
      <w:bCs/>
      <w:sz w:val="24"/>
      <w:szCs w:val="32"/>
    </w:rPr>
  </w:style>
  <w:style w:type="paragraph" w:customStyle="1" w:styleId="1">
    <w:name w:val="正文1"/>
    <w:link w:val="1Char"/>
    <w:qFormat/>
    <w:rsid w:val="00493BBE"/>
    <w:pPr>
      <w:jc w:val="both"/>
    </w:pPr>
    <w:rPr>
      <w:rFonts w:ascii="Times New Roman" w:eastAsia="宋体" w:hAnsi="Times New Roman" w:cs="Times New Roman"/>
      <w:szCs w:val="21"/>
    </w:rPr>
  </w:style>
  <w:style w:type="character" w:customStyle="1" w:styleId="1Char">
    <w:name w:val="正文1 Char"/>
    <w:link w:val="1"/>
    <w:qFormat/>
    <w:rsid w:val="00493BBE"/>
    <w:rPr>
      <w:rFonts w:ascii="Times New Roman" w:eastAsia="宋体" w:hAnsi="Times New Roman" w:cs="Times New Roman"/>
      <w:szCs w:val="21"/>
    </w:rPr>
  </w:style>
  <w:style w:type="paragraph" w:styleId="a7">
    <w:name w:val="Balloon Text"/>
    <w:basedOn w:val="a"/>
    <w:link w:val="Char2"/>
    <w:uiPriority w:val="99"/>
    <w:semiHidden/>
    <w:unhideWhenUsed/>
    <w:rsid w:val="00EF46A6"/>
    <w:rPr>
      <w:sz w:val="18"/>
      <w:szCs w:val="18"/>
    </w:rPr>
  </w:style>
  <w:style w:type="character" w:customStyle="1" w:styleId="Char2">
    <w:name w:val="批注框文本 Char"/>
    <w:basedOn w:val="a0"/>
    <w:link w:val="a7"/>
    <w:uiPriority w:val="99"/>
    <w:semiHidden/>
    <w:rsid w:val="00EF4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B819A-06FB-487C-A509-026E0303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630</Words>
  <Characters>3591</Characters>
  <Application>Microsoft Office Word</Application>
  <DocSecurity>0</DocSecurity>
  <Lines>29</Lines>
  <Paragraphs>8</Paragraphs>
  <ScaleCrop>false</ScaleCrop>
  <Company>Microsoft</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王茜</dc:creator>
  <cp:lastModifiedBy>Windows User</cp:lastModifiedBy>
  <cp:revision>4</cp:revision>
  <cp:lastPrinted>2021-09-28T10:29:00Z</cp:lastPrinted>
  <dcterms:created xsi:type="dcterms:W3CDTF">2022-06-09T11:16:00Z</dcterms:created>
  <dcterms:modified xsi:type="dcterms:W3CDTF">2022-07-13T02:39:00Z</dcterms:modified>
</cp:coreProperties>
</file>