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cs="Arial" w:asciiTheme="minorEastAsia" w:hAnsiTheme="minorEastAsia" w:eastAsiaTheme="minorEastAsia"/>
          <w:b/>
          <w:bCs/>
          <w:sz w:val="36"/>
          <w:szCs w:val="36"/>
        </w:rPr>
        <w:t>7</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7</w:t>
      </w:r>
      <w:r>
        <w:rPr>
          <w:rFonts w:ascii="宋体" w:hAnsi="宋体"/>
          <w:sz w:val="24"/>
          <w:szCs w:val="24"/>
        </w:rPr>
        <w:t>月</w:t>
      </w:r>
      <w:r>
        <w:rPr>
          <w:rFonts w:hint="eastAsia" w:ascii="宋体" w:hAnsi="宋体"/>
          <w:sz w:val="24"/>
          <w:szCs w:val="24"/>
        </w:rPr>
        <w:t>1</w:t>
      </w:r>
      <w:r>
        <w:rPr>
          <w:rFonts w:ascii="宋体" w:hAnsi="宋体"/>
          <w:sz w:val="24"/>
          <w:szCs w:val="24"/>
        </w:rPr>
        <w:t>日</w:t>
      </w:r>
      <w:r>
        <w:rPr>
          <w:rFonts w:hint="eastAsia" w:ascii="宋体" w:hAnsi="宋体"/>
          <w:sz w:val="24"/>
          <w:szCs w:val="24"/>
        </w:rPr>
        <w:t>提交了2021年7月的资金计划，我司对项目公司申报的资金计划进行了审核，审核结果如下：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项目公司2021年7月份资金汇总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7</w:t>
      </w:r>
      <w:r>
        <w:rPr>
          <w:rFonts w:ascii="宋体" w:hAnsi="宋体"/>
          <w:sz w:val="24"/>
          <w:szCs w:val="24"/>
        </w:rPr>
        <w:t>月</w:t>
      </w:r>
      <w:r>
        <w:rPr>
          <w:rFonts w:hint="eastAsia" w:ascii="宋体" w:hAnsi="宋体"/>
          <w:sz w:val="24"/>
          <w:szCs w:val="24"/>
        </w:rPr>
        <w:t>1</w:t>
      </w:r>
      <w:r>
        <w:rPr>
          <w:rFonts w:ascii="宋体" w:hAnsi="宋体"/>
          <w:sz w:val="24"/>
          <w:szCs w:val="24"/>
        </w:rPr>
        <w:t>日</w:t>
      </w:r>
      <w:r>
        <w:rPr>
          <w:rFonts w:hint="eastAsia" w:ascii="宋体" w:hAnsi="宋体"/>
          <w:sz w:val="24"/>
          <w:szCs w:val="24"/>
        </w:rPr>
        <w:t>提交的2021年7月的资金支出计划，</w:t>
      </w:r>
      <w:r>
        <w:rPr>
          <w:rFonts w:ascii="宋体" w:hAnsi="宋体"/>
          <w:sz w:val="24"/>
          <w:szCs w:val="24"/>
        </w:rPr>
        <w:t>计划</w:t>
      </w:r>
      <w:r>
        <w:rPr>
          <w:rFonts w:hint="eastAsia" w:ascii="宋体" w:hAnsi="宋体"/>
          <w:sz w:val="24"/>
          <w:szCs w:val="24"/>
        </w:rPr>
        <w:t>资金支出合计</w:t>
      </w:r>
      <w:r>
        <w:rPr>
          <w:rFonts w:hint="eastAsia" w:ascii="宋体" w:hAnsi="宋体"/>
          <w:sz w:val="24"/>
          <w:szCs w:val="24"/>
          <w:lang w:val="en-US" w:eastAsia="zh-CN"/>
        </w:rPr>
        <w:t>7,3</w:t>
      </w:r>
      <w:r>
        <w:rPr>
          <w:rFonts w:hint="eastAsia" w:ascii="宋体" w:hAnsi="宋体"/>
          <w:sz w:val="24"/>
          <w:szCs w:val="24"/>
        </w:rPr>
        <w:t>64.61万元。其中：工程款支出2,283.55万元，销售费用220.00万元，管理费用60.00万元，财务费用283.06万元，兑付</w:t>
      </w:r>
      <w:r>
        <w:rPr>
          <w:rFonts w:hint="eastAsia" w:ascii="宋体" w:hAnsi="宋体" w:cs="宋体"/>
          <w:bCs/>
          <w:sz w:val="24"/>
          <w:szCs w:val="24"/>
        </w:rPr>
        <w:t>到期商票4,218.00万元，</w:t>
      </w:r>
      <w:r>
        <w:rPr>
          <w:rFonts w:hint="eastAsia" w:ascii="宋体" w:hAnsi="宋体"/>
          <w:sz w:val="24"/>
          <w:szCs w:val="24"/>
        </w:rPr>
        <w:t>不可预见费用</w:t>
      </w:r>
      <w:r>
        <w:rPr>
          <w:rFonts w:hint="eastAsia" w:ascii="宋体" w:hAnsi="宋体"/>
          <w:sz w:val="24"/>
          <w:szCs w:val="24"/>
          <w:lang w:val="en-US" w:eastAsia="zh-CN"/>
        </w:rPr>
        <w:t>3</w:t>
      </w:r>
      <w:r>
        <w:rPr>
          <w:rFonts w:hint="eastAsia" w:ascii="宋体" w:hAnsi="宋体"/>
          <w:sz w:val="24"/>
          <w:szCs w:val="24"/>
        </w:rPr>
        <w:t>00.00万元。</w:t>
      </w:r>
    </w:p>
    <w:tbl>
      <w:tblPr>
        <w:tblStyle w:val="11"/>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正茂（福州）投资发展有限公司2021年7月资金计划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7月计划金额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2,283.55</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220.00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60.00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hint="eastAsia" w:ascii="Arial" w:hAnsi="Arial" w:cs="Arial"/>
                <w:sz w:val="18"/>
                <w:szCs w:val="18"/>
              </w:rPr>
              <w:t>283.06</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本月到期商票</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4,218.00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Cs/>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lang w:val="en-US" w:eastAsia="zh-CN"/>
              </w:rPr>
              <w:t>3</w:t>
            </w:r>
            <w:r>
              <w:rPr>
                <w:rFonts w:hint="eastAsia" w:ascii="Arial" w:hAnsi="Arial" w:cs="Arial"/>
                <w:sz w:val="18"/>
                <w:szCs w:val="18"/>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18"/>
                <w:szCs w:val="18"/>
              </w:rPr>
            </w:pPr>
            <w:r>
              <w:rPr>
                <w:rFonts w:hint="eastAsia" w:ascii="Arial" w:hAnsi="Arial" w:cs="Arial"/>
                <w:b/>
                <w:sz w:val="18"/>
                <w:szCs w:val="18"/>
                <w:lang w:val="en-US" w:eastAsia="zh-CN"/>
              </w:rPr>
              <w:t>7,3</w:t>
            </w:r>
            <w:r>
              <w:rPr>
                <w:rFonts w:ascii="Arial" w:hAnsi="Arial" w:cs="Arial"/>
                <w:b/>
                <w:sz w:val="18"/>
                <w:szCs w:val="18"/>
              </w:rPr>
              <w:t>64.61</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项目公司在2021年7月工程款计划支出金额共计</w:t>
      </w:r>
      <w:r>
        <w:rPr>
          <w:rFonts w:hint="eastAsia" w:ascii="宋体" w:hAnsi="宋体"/>
          <w:sz w:val="24"/>
          <w:szCs w:val="24"/>
        </w:rPr>
        <w:t>2,283.55</w:t>
      </w:r>
      <w:r>
        <w:rPr>
          <w:rFonts w:hint="eastAsia" w:ascii="宋体" w:hAnsi="宋体"/>
          <w:bCs/>
          <w:sz w:val="24"/>
          <w:szCs w:val="24"/>
          <w:lang w:bidi="zh-CN"/>
        </w:rPr>
        <w:t>万元，具体分析如下：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项目总承包工程》，项目公司委托中国核工业华兴建设有限公司承担本项目施工建设任务。合同总价款为32,267.34万元，付款节点见下表，目前已累计支付七笔工程款共计11,316.476万元，项目公司本次核定产值为2,328.39万元，项目公司按照核定产值的6</w:t>
      </w:r>
      <w:r>
        <w:rPr>
          <w:rFonts w:hint="eastAsia" w:ascii="宋体" w:hAnsi="宋体"/>
          <w:bCs/>
          <w:sz w:val="24"/>
          <w:szCs w:val="24"/>
          <w:lang w:val="en-US" w:bidi="zh-CN"/>
        </w:rPr>
        <w:t>0</w:t>
      </w:r>
      <w:r>
        <w:rPr>
          <w:rFonts w:hint="eastAsia" w:ascii="宋体" w:hAnsi="宋体"/>
          <w:bCs/>
          <w:sz w:val="24"/>
          <w:szCs w:val="24"/>
          <w:lang w:bidi="zh-CN"/>
        </w:rPr>
        <w:t>%</w:t>
      </w:r>
      <w:r>
        <w:rPr>
          <w:rFonts w:hint="eastAsia" w:ascii="宋体" w:hAnsi="宋体"/>
          <w:bCs/>
          <w:sz w:val="24"/>
          <w:szCs w:val="24"/>
          <w:lang w:val="en-US" w:bidi="zh-CN"/>
        </w:rPr>
        <w:t>/70%</w:t>
      </w:r>
      <w:r>
        <w:rPr>
          <w:rFonts w:hint="eastAsia" w:ascii="宋体" w:hAnsi="宋体"/>
          <w:bCs/>
          <w:sz w:val="24"/>
          <w:szCs w:val="24"/>
          <w:lang w:bidi="zh-CN"/>
        </w:rPr>
        <w:t>计算核定金额，即1,513.45万元，而6月份应付未付金额为524.68万元，故计划在7月份使用商票支付该合同的工程款2,038.13万元，支付时我司根据实际情况复核付款的合理性、合规性；</w:t>
      </w:r>
    </w:p>
    <w:tbl>
      <w:tblPr>
        <w:tblStyle w:val="11"/>
        <w:tblW w:w="9064" w:type="dxa"/>
        <w:jc w:val="center"/>
        <w:tblLayout w:type="autofit"/>
        <w:tblCellMar>
          <w:top w:w="0" w:type="dxa"/>
          <w:left w:w="108" w:type="dxa"/>
          <w:bottom w:w="0" w:type="dxa"/>
          <w:right w:w="108" w:type="dxa"/>
        </w:tblCellMar>
      </w:tblPr>
      <w:tblGrid>
        <w:gridCol w:w="3884"/>
        <w:gridCol w:w="2750"/>
        <w:gridCol w:w="2430"/>
      </w:tblGrid>
      <w:tr>
        <w:tblPrEx>
          <w:tblCellMar>
            <w:top w:w="0" w:type="dxa"/>
            <w:left w:w="108" w:type="dxa"/>
            <w:bottom w:w="0" w:type="dxa"/>
            <w:right w:w="108" w:type="dxa"/>
          </w:tblCellMar>
        </w:tblPrEx>
        <w:trPr>
          <w:trHeight w:val="312"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节点</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付款比例</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付款支付形成</w:t>
            </w:r>
          </w:p>
        </w:tc>
      </w:tr>
      <w:tr>
        <w:tblPrEx>
          <w:tblCellMar>
            <w:top w:w="0" w:type="dxa"/>
            <w:left w:w="108" w:type="dxa"/>
            <w:bottom w:w="0" w:type="dxa"/>
            <w:right w:w="108" w:type="dxa"/>
          </w:tblCellMar>
        </w:tblPrEx>
        <w:trPr>
          <w:trHeight w:val="56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应付款垫资至首栋达到预售，此部分垫资利息按年华8%补偿</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预售前地下室顶板封顶完成（按达标面积算）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开工批次达1层顶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开工批次到预售条件后</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单体结构完成30%、60%两个节点付款</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封顶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预售后地下室顶板封顶完成（按达标面积算）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砌体每完成30%付一次，一共付三次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单栋结构验收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单栋内墙抹灰每完成50%付一次，一共付两次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单栋外墙抹灰每完成50%付一次，一共付两次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保温、涂料每完成50%付一次，一共付两次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单栋主体落外架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单栋精装修交接完成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回填土完成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开工批次工程竣工</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整体交付（交付率达90%）</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合同结算完毕</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保修期满1年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保修期满2年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保修期满3年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0%</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bl>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9月8日签订的《正茂望山筑（金鸡新苑三期）基建用水工程》，合同总金额为37.00万元，对方单位名称福建兆亿建设工程有限公司，付款方式为：按照现场施工进度付款，每月支付经核准完成金额的70%；工程全部竣工验收后的一周内，付至合同金额的100%。截至目前工程已竣工并经项目公司验收，合同已支付25.90万元，本次计划在7月份支付合同剩余价款，即11.10万元，该笔计划支付款项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11月22日用印的《正茂望山筑通信广电迁改工程合同》，对方单位名称：福建金朝通信工程有限公司，工程范围：福州正茂望山筑项目通信（联通、移动、电信及有线电视等）迁改工程。迁改范围涉及塔头路铁门口至二化医院化工河段红线内通信广电线路,合同总价款为11.84万元。付款节点为：按照现场施工进度付款，每月支付经核准完成金额的70%；工程全部竣工验收后的一周内，付至合同金额的90%；结算完成后付至结算金额的100%。目前工程已结算完成，累计支付合同金额10.66万元，项目计划在7月份支付尾款，即1.18万元，符合合同的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11月9日签订的《正茂望山筑项目燃气迁改事宜合同》，由福建宝畅建设发展有限公司为项目公司提供燃气迁改服务，合同总金额为38.77万元，付款方式为：每月支付经核准完成金额的70%；工程全部竣工验收后的一周内，付至合同金额的100%。合同已支付27.14万元，截至目前已完成合同规定内容，故项目公司计划在7月份支付合同剩余价款，即11.63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ascii="宋体" w:hAnsi="宋体"/>
          <w:bCs/>
          <w:sz w:val="24"/>
          <w:szCs w:val="24"/>
          <w:lang w:bidi="zh-CN"/>
        </w:rPr>
        <w:t>项目公司</w:t>
      </w:r>
      <w:r>
        <w:rPr>
          <w:rFonts w:hint="eastAsia" w:ascii="宋体" w:hAnsi="宋体"/>
          <w:bCs/>
          <w:sz w:val="24"/>
          <w:szCs w:val="24"/>
          <w:lang w:bidi="zh-CN"/>
        </w:rPr>
        <w:t>计划在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7</w:t>
      </w:r>
      <w:r>
        <w:rPr>
          <w:rFonts w:ascii="宋体" w:hAnsi="宋体"/>
          <w:bCs/>
          <w:sz w:val="24"/>
          <w:szCs w:val="24"/>
          <w:lang w:bidi="zh-CN"/>
        </w:rPr>
        <w:t>月签订《</w:t>
      </w:r>
      <w:r>
        <w:rPr>
          <w:rFonts w:hint="eastAsia" w:ascii="宋体" w:hAnsi="宋体"/>
          <w:bCs/>
          <w:sz w:val="24"/>
          <w:szCs w:val="24"/>
          <w:lang w:bidi="zh-CN"/>
        </w:rPr>
        <w:t>正茂望山筑（金鸡新苑三期）燃气工程合同</w:t>
      </w:r>
      <w:r>
        <w:rPr>
          <w:rFonts w:ascii="宋体" w:hAnsi="宋体"/>
          <w:bCs/>
          <w:sz w:val="24"/>
          <w:szCs w:val="24"/>
          <w:lang w:bidi="zh-CN"/>
        </w:rPr>
        <w:t>》，</w:t>
      </w:r>
      <w:r>
        <w:rPr>
          <w:rFonts w:hint="eastAsia" w:ascii="宋体" w:hAnsi="宋体"/>
          <w:bCs/>
          <w:sz w:val="24"/>
          <w:szCs w:val="24"/>
          <w:lang w:bidi="zh-CN"/>
        </w:rPr>
        <w:t>对方单位名称：</w:t>
      </w:r>
      <w:r>
        <w:rPr>
          <w:rFonts w:ascii="宋体" w:hAnsi="宋体"/>
          <w:bCs/>
          <w:sz w:val="24"/>
          <w:szCs w:val="24"/>
          <w:lang w:bidi="zh-CN"/>
        </w:rPr>
        <w:t>福州华润燃气有限公司，合同内容：乙方根据甲方委托负责组织由相应资质等级的设计、施工、监理单位完成福州市晋安区岳峰镇塔头路与二环路交叉口北侧正茂山南筑(正茂望山筑) 1#-3#楼、5#-11#楼的施工、竣工验收、移交以及接口通气等工作，合同总金额为322.462万元，付款节点：甲方应于本合同签订5个工作日内，向乙方支付全部合同价款的60%，即1,934,772.00元，其余40%的合同价款，即1,289,848.00元，在乙方完成施工并竣工验收后十日内付清。项目公司将于7月与签订合同，届时将支付合同全部合同价款的60%，即193.48万元，该项支付</w:t>
      </w:r>
      <w:r>
        <w:rPr>
          <w:rFonts w:hint="eastAsia" w:ascii="宋体" w:hAnsi="宋体"/>
          <w:bCs/>
          <w:sz w:val="24"/>
          <w:szCs w:val="24"/>
          <w:lang w:bidi="zh-CN"/>
        </w:rPr>
        <w:t>计划合理，该笔款项在申请付款时会严格审核合同签订情况及核实合同内容；</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5月18日签订的《给水设计合同书》，由福州城建设计研究院有限公司为正茂望山筑项目提供自来水供水设计服务，合同总价款为13.02万元。目前合同已履行完毕，项目公司计划在7月份支付工程全部价款13.02万元，符合合同的规定，该笔计划支付款项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5月21日与华泰财产保险有限公司签订的投保单，商用燃气用户投保单9.00万元，居民用燃气用户投保单6.00万元，项目公司计划在7月份支付保险费15.00万元，符合合同的规定，该笔计划支付款项合理；</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7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项目公司计划2021年7月的销售费用支出金额共计220.00万元，具体分析如下：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预计本期支付工资社保费用100.00万元，职工福利费10.00万元，其他营销合同及日常费用付款110.00万元。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项目公司计划在2021年7月的管理费用支出金额共计60.00万元，具体分析如下：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预计本期支付工资社保费用15.00万元，招待费用10.00万元，水电费8.00万元，其他办公费用27.00万元。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经审核，我司认为7月管理费用资金支出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3"/>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项目公司计划在2021年7月的的财务费用支出金额共计283.06万元，具体分析如下：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1、本</w:t>
      </w:r>
      <w:r>
        <w:rPr>
          <w:rFonts w:hint="eastAsia" w:ascii="宋体" w:hAnsi="宋体"/>
          <w:sz w:val="24"/>
          <w:szCs w:val="24"/>
          <w:lang w:val="en-US" w:eastAsia="zh-CN"/>
        </w:rPr>
        <w:t>月应付</w:t>
      </w:r>
      <w:r>
        <w:rPr>
          <w:rFonts w:hint="eastAsia" w:ascii="宋体" w:hAnsi="宋体"/>
          <w:sz w:val="24"/>
          <w:szCs w:val="24"/>
        </w:rPr>
        <w:t>开发贷利息253.06万元。</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项目公司于2021年3月1日收到开发贷54,500.00万元，2021年6月29日收到开发贷12,300.00万元，利率4.75%</w:t>
      </w:r>
      <w:r>
        <w:rPr>
          <w:rFonts w:hint="eastAsia" w:ascii="宋体" w:hAnsi="宋体"/>
          <w:sz w:val="24"/>
          <w:szCs w:val="24"/>
          <w:lang w:eastAsia="zh-CN"/>
        </w:rPr>
        <w:t>，</w:t>
      </w:r>
      <w:r>
        <w:rPr>
          <w:rFonts w:hint="eastAsia" w:ascii="宋体" w:hAnsi="宋体"/>
          <w:sz w:val="24"/>
          <w:szCs w:val="24"/>
          <w:lang w:val="en-US" w:eastAsia="zh-CN"/>
        </w:rPr>
        <w:t>开发贷利息按月支付</w:t>
      </w:r>
      <w:r>
        <w:rPr>
          <w:rFonts w:hint="eastAsia" w:ascii="宋体" w:hAnsi="宋体"/>
          <w:sz w:val="24"/>
          <w:szCs w:val="24"/>
        </w:rPr>
        <w:t>。</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本月应付利息</w:t>
      </w:r>
      <w:bookmarkStart w:id="0" w:name="_GoBack"/>
      <w:bookmarkEnd w:id="0"/>
      <w:r>
        <w:rPr>
          <w:rFonts w:hint="eastAsia" w:ascii="宋体" w:hAnsi="宋体"/>
          <w:sz w:val="24"/>
          <w:szCs w:val="24"/>
          <w:lang w:val="en-US" w:eastAsia="zh-CN"/>
        </w:rPr>
        <w:t>：</w:t>
      </w:r>
      <w:r>
        <w:rPr>
          <w:rFonts w:hint="eastAsia" w:ascii="宋体" w:hAnsi="宋体"/>
          <w:sz w:val="24"/>
          <w:szCs w:val="24"/>
        </w:rPr>
        <w:t>54,500.00万元*4.75%/360*30+12,300.00万元*4.75%/360*23=253.06万元。</w:t>
      </w:r>
    </w:p>
    <w:p>
      <w:pPr>
        <w:numPr>
          <w:ilvl w:val="0"/>
          <w:numId w:val="4"/>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中行中收费用30.00万元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项目公司计划在7月支付中行中收费用30.00万元，此笔款项预计在7月份与中行签订协议，实际支付时以协议为准。此笔款项为2020年12月安置房政府回款时需向银行贷款，项目公司承诺向中行支付30.00万元，以使政府取得贷款后支付项目公司第一笔房款。</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经审核，我司认为7月财务费用资金支出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（五）兑付商票资金支出计划说明</w:t>
      </w:r>
    </w:p>
    <w:p>
      <w:pPr>
        <w:spacing w:before="156" w:beforeLines="50" w:after="156" w:afterLines="50" w:line="360" w:lineRule="auto"/>
        <w:ind w:firstLine="481"/>
        <w:rPr>
          <w:rFonts w:ascii="宋体" w:hAnsi="宋体"/>
          <w:sz w:val="24"/>
          <w:szCs w:val="24"/>
          <w:lang w:bidi="zh-CN"/>
        </w:rPr>
      </w:pPr>
      <w:r>
        <w:rPr>
          <w:rFonts w:hint="eastAsia" w:ascii="宋体" w:hAnsi="宋体"/>
          <w:sz w:val="24"/>
          <w:szCs w:val="24"/>
        </w:rPr>
        <w:t>项目公司计划在2021年7月兑付到期商票5笔共计4,218.00万元，明细如下：</w:t>
      </w:r>
    </w:p>
    <w:p>
      <w:pPr>
        <w:numPr>
          <w:ilvl w:val="0"/>
          <w:numId w:val="5"/>
        </w:numPr>
        <w:spacing w:before="156" w:beforeLines="50" w:after="156" w:afterLines="50" w:line="360" w:lineRule="auto"/>
        <w:ind w:firstLine="481"/>
        <w:rPr>
          <w:rFonts w:ascii="宋体" w:hAnsi="宋体"/>
          <w:sz w:val="24"/>
          <w:szCs w:val="24"/>
          <w:lang w:bidi="zh-CN"/>
        </w:rPr>
      </w:pPr>
      <w:r>
        <w:rPr>
          <w:rFonts w:hint="eastAsia" w:ascii="宋体" w:hAnsi="宋体"/>
          <w:sz w:val="24"/>
          <w:szCs w:val="24"/>
          <w:lang w:bidi="zh-CN"/>
        </w:rPr>
        <w:t>2021年1月21日开出工程款商票460.00万元，收款方：中国核工业华兴建设有限公司，该商票于2021年7月20日到期。</w:t>
      </w:r>
    </w:p>
    <w:p>
      <w:pPr>
        <w:numPr>
          <w:ilvl w:val="0"/>
          <w:numId w:val="5"/>
        </w:numPr>
        <w:spacing w:before="156" w:beforeLines="50" w:after="156" w:afterLines="50" w:line="360" w:lineRule="auto"/>
        <w:ind w:firstLine="481"/>
        <w:rPr>
          <w:rFonts w:ascii="宋体" w:hAnsi="宋体"/>
          <w:sz w:val="24"/>
          <w:szCs w:val="24"/>
          <w:lang w:bidi="zh-CN"/>
        </w:rPr>
      </w:pPr>
      <w:r>
        <w:rPr>
          <w:rFonts w:hint="eastAsia" w:ascii="宋体" w:hAnsi="宋体"/>
          <w:sz w:val="24"/>
          <w:szCs w:val="24"/>
          <w:lang w:bidi="zh-CN"/>
        </w:rPr>
        <w:t>2021年1月21日开出工程款商票1,000.00万元，收款方：中国核工业华兴建设有限公司，该商票于2021年7月20日到期。</w:t>
      </w:r>
    </w:p>
    <w:p>
      <w:pPr>
        <w:numPr>
          <w:ilvl w:val="0"/>
          <w:numId w:val="5"/>
        </w:numPr>
        <w:spacing w:before="156" w:beforeLines="50" w:after="156" w:afterLines="50" w:line="360" w:lineRule="auto"/>
        <w:ind w:firstLine="481"/>
        <w:rPr>
          <w:rFonts w:ascii="宋体" w:hAnsi="宋体"/>
          <w:sz w:val="24"/>
          <w:szCs w:val="24"/>
          <w:lang w:bidi="zh-CN"/>
        </w:rPr>
      </w:pPr>
      <w:r>
        <w:rPr>
          <w:rFonts w:hint="eastAsia" w:ascii="宋体" w:hAnsi="宋体"/>
          <w:sz w:val="24"/>
          <w:szCs w:val="24"/>
          <w:lang w:bidi="zh-CN"/>
        </w:rPr>
        <w:t>2021年1月28日开出工程款商票758.00万元，收款方：中国核工业华兴建设有限公司，该商票于2021年7月27日到期。</w:t>
      </w:r>
    </w:p>
    <w:p>
      <w:pPr>
        <w:numPr>
          <w:ilvl w:val="0"/>
          <w:numId w:val="5"/>
        </w:numPr>
        <w:spacing w:before="156" w:beforeLines="50" w:after="156" w:afterLines="50" w:line="360" w:lineRule="auto"/>
        <w:ind w:firstLine="481"/>
        <w:rPr>
          <w:rFonts w:ascii="宋体" w:hAnsi="宋体"/>
          <w:sz w:val="24"/>
          <w:szCs w:val="24"/>
          <w:lang w:bidi="zh-CN"/>
        </w:rPr>
      </w:pPr>
      <w:r>
        <w:rPr>
          <w:rFonts w:hint="eastAsia" w:ascii="宋体" w:hAnsi="宋体"/>
          <w:sz w:val="24"/>
          <w:szCs w:val="24"/>
          <w:lang w:bidi="zh-CN"/>
        </w:rPr>
        <w:t>2021年1月28日开出工程款商票1,000.00万元，收款方：中国核工业华兴建设有限公司，该商票于2021年7月27日到期。</w:t>
      </w:r>
    </w:p>
    <w:p>
      <w:pPr>
        <w:numPr>
          <w:ilvl w:val="0"/>
          <w:numId w:val="5"/>
        </w:numPr>
        <w:spacing w:before="156" w:beforeLines="50" w:after="156" w:afterLines="50" w:line="360" w:lineRule="auto"/>
        <w:ind w:firstLine="481"/>
        <w:rPr>
          <w:rFonts w:ascii="宋体" w:hAnsi="宋体"/>
          <w:sz w:val="24"/>
          <w:szCs w:val="24"/>
          <w:lang w:bidi="zh-CN"/>
        </w:rPr>
      </w:pPr>
      <w:r>
        <w:rPr>
          <w:rFonts w:hint="eastAsia" w:ascii="宋体" w:hAnsi="宋体"/>
          <w:sz w:val="24"/>
          <w:szCs w:val="24"/>
          <w:lang w:bidi="zh-CN"/>
        </w:rPr>
        <w:t>2021年1月28日开出工程款商票1,000.00万元，收款方：中国核工业华兴建设有限公司，该商票于2021年7月27日到期。</w:t>
      </w:r>
    </w:p>
    <w:p>
      <w:pPr>
        <w:spacing w:before="156" w:beforeLines="50" w:after="156" w:afterLines="50" w:line="360" w:lineRule="auto"/>
        <w:ind w:firstLine="481"/>
        <w:rPr>
          <w:rFonts w:ascii="宋体" w:hAnsi="宋体"/>
          <w:sz w:val="24"/>
          <w:szCs w:val="24"/>
          <w:lang w:bidi="zh-CN"/>
        </w:rPr>
      </w:pPr>
      <w:r>
        <w:rPr>
          <w:rFonts w:hint="eastAsia" w:ascii="宋体" w:hAnsi="宋体"/>
          <w:sz w:val="24"/>
          <w:szCs w:val="24"/>
          <w:lang w:bidi="zh-CN"/>
        </w:rPr>
        <w:t>经审核，我司认为7月兑付商票资金支出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六</w:t>
      </w: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项目公司在7月份的不可预见费用为</w:t>
      </w:r>
      <w:r>
        <w:rPr>
          <w:rFonts w:hint="eastAsia" w:ascii="宋体" w:hAnsi="宋体"/>
          <w:sz w:val="24"/>
          <w:szCs w:val="24"/>
          <w:lang w:val="en-US" w:bidi="zh-CN"/>
        </w:rPr>
        <w:t>3</w:t>
      </w:r>
      <w:r>
        <w:rPr>
          <w:rFonts w:hint="eastAsia" w:ascii="宋体" w:hAnsi="宋体"/>
          <w:sz w:val="24"/>
          <w:szCs w:val="24"/>
          <w:lang w:bidi="zh-CN"/>
        </w:rPr>
        <w:t>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项目公司本次提交的2021年7月资金计划按款项类别分类，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我司拟同意项目公司2021年7月份的资金计划，并以此作为付款的依据。待实际支付时，我司人员将对相关付款资料的合理、合规性一一核实，据实支付，请审批。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sz w:val="24"/>
          <w:lang w:bidi="zh-CN"/>
        </w:rPr>
      </w:pPr>
      <w:r>
        <w:rPr>
          <w:rFonts w:hint="eastAsia" w:ascii="宋体" w:hAnsi="宋体"/>
          <w:b/>
          <w:sz w:val="24"/>
          <w:lang w:bidi="zh-CN"/>
        </w:rPr>
        <w:t xml:space="preserve">       北京康信君安资产管理有限公司</w:t>
      </w:r>
    </w:p>
    <w:p>
      <w:pPr>
        <w:spacing w:before="156" w:beforeLines="50" w:line="360" w:lineRule="auto"/>
        <w:ind w:left="420" w:leftChars="200" w:firstLine="482" w:firstLineChars="200"/>
        <w:rPr>
          <w:rFonts w:ascii="宋体" w:hAnsi="宋体"/>
          <w:b/>
          <w:bCs/>
        </w:rPr>
      </w:pPr>
      <w:r>
        <w:rPr>
          <w:rFonts w:hint="eastAsia" w:ascii="宋体" w:hAnsi="宋体"/>
          <w:b/>
          <w:sz w:val="24"/>
          <w:lang w:bidi="zh-CN"/>
        </w:rPr>
        <w:t xml:space="preserve">                                              </w:t>
      </w:r>
      <w:r>
        <w:rPr>
          <w:rFonts w:hint="eastAsia" w:ascii="宋体" w:hAnsi="宋体"/>
          <w:b/>
          <w:bCs/>
          <w:sz w:val="24"/>
          <w:lang w:bidi="zh-CN"/>
        </w:rPr>
        <w:t xml:space="preserve"> 20</w:t>
      </w:r>
      <w:r>
        <w:rPr>
          <w:rFonts w:ascii="宋体" w:hAnsi="宋体"/>
          <w:b/>
          <w:bCs/>
          <w:sz w:val="24"/>
          <w:lang w:bidi="zh-CN"/>
        </w:rPr>
        <w:t>2</w:t>
      </w:r>
      <w:r>
        <w:rPr>
          <w:rFonts w:hint="eastAsia" w:ascii="宋体" w:hAnsi="宋体"/>
          <w:b/>
          <w:bCs/>
          <w:sz w:val="24"/>
          <w:lang w:bidi="zh-CN"/>
        </w:rPr>
        <w:t>1年7</w:t>
      </w:r>
      <w:r>
        <w:rPr>
          <w:rFonts w:ascii="宋体" w:hAnsi="宋体"/>
          <w:b/>
          <w:bCs/>
          <w:sz w:val="24"/>
          <w:lang w:bidi="zh-CN"/>
        </w:rPr>
        <w:t>月</w:t>
      </w:r>
      <w:r>
        <w:rPr>
          <w:rFonts w:hint="eastAsia" w:ascii="宋体" w:hAnsi="宋体"/>
          <w:b/>
          <w:bCs/>
          <w:sz w:val="24"/>
          <w:lang w:bidi="zh-CN"/>
        </w:rPr>
        <w:t>1</w:t>
      </w:r>
      <w:r>
        <w:rPr>
          <w:rFonts w:ascii="宋体" w:hAnsi="宋体"/>
          <w:b/>
          <w:bCs/>
          <w:sz w:val="24"/>
          <w:lang w:bidi="zh-CN"/>
        </w:rPr>
        <w:t>日</w:t>
      </w:r>
    </w:p>
    <w:p>
      <w:pPr>
        <w:spacing w:line="360" w:lineRule="auto"/>
        <w:ind w:firstLine="4578" w:firstLineChars="1900"/>
        <w:rPr>
          <w:rFonts w:ascii="宋体" w:hAnsi="宋体"/>
          <w:b/>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C4E36"/>
    <w:multiLevelType w:val="singleLevel"/>
    <w:tmpl w:val="B24C4E36"/>
    <w:lvl w:ilvl="0" w:tentative="0">
      <w:start w:val="2"/>
      <w:numFmt w:val="decimal"/>
      <w:suff w:val="nothing"/>
      <w:lvlText w:val="%1、"/>
      <w:lvlJc w:val="left"/>
    </w:lvl>
  </w:abstractNum>
  <w:abstractNum w:abstractNumId="1">
    <w:nsid w:val="E2EF10D7"/>
    <w:multiLevelType w:val="singleLevel"/>
    <w:tmpl w:val="E2EF10D7"/>
    <w:lvl w:ilvl="0" w:tentative="0">
      <w:start w:val="4"/>
      <w:numFmt w:val="chineseCounting"/>
      <w:suff w:val="nothing"/>
      <w:lvlText w:val="（%1）"/>
      <w:lvlJc w:val="left"/>
      <w:rPr>
        <w:rFonts w:hint="eastAsia"/>
      </w:rPr>
    </w:lvl>
  </w:abstractNum>
  <w:abstractNum w:abstractNumId="2">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4ACB245C"/>
    <w:multiLevelType w:val="singleLevel"/>
    <w:tmpl w:val="4ACB245C"/>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211B"/>
    <w:rsid w:val="00040F89"/>
    <w:rsid w:val="000525F4"/>
    <w:rsid w:val="00065207"/>
    <w:rsid w:val="000C41A2"/>
    <w:rsid w:val="000E3789"/>
    <w:rsid w:val="00136E9B"/>
    <w:rsid w:val="00142260"/>
    <w:rsid w:val="00194BA4"/>
    <w:rsid w:val="001F6BFC"/>
    <w:rsid w:val="00221439"/>
    <w:rsid w:val="00221B7A"/>
    <w:rsid w:val="0023132A"/>
    <w:rsid w:val="00237492"/>
    <w:rsid w:val="002A26CB"/>
    <w:rsid w:val="002B4D97"/>
    <w:rsid w:val="002E58E2"/>
    <w:rsid w:val="00347099"/>
    <w:rsid w:val="0039037B"/>
    <w:rsid w:val="003B735D"/>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E1386"/>
    <w:rsid w:val="00816F02"/>
    <w:rsid w:val="00832436"/>
    <w:rsid w:val="008610EA"/>
    <w:rsid w:val="00877846"/>
    <w:rsid w:val="008847E6"/>
    <w:rsid w:val="00890EE2"/>
    <w:rsid w:val="008E0218"/>
    <w:rsid w:val="009004D8"/>
    <w:rsid w:val="009030FB"/>
    <w:rsid w:val="009A0579"/>
    <w:rsid w:val="00A6720B"/>
    <w:rsid w:val="00A87777"/>
    <w:rsid w:val="00AF7AC5"/>
    <w:rsid w:val="00B21E45"/>
    <w:rsid w:val="00BA68DE"/>
    <w:rsid w:val="00BF7391"/>
    <w:rsid w:val="00C930E4"/>
    <w:rsid w:val="00C944C0"/>
    <w:rsid w:val="00C95AE7"/>
    <w:rsid w:val="00D306E0"/>
    <w:rsid w:val="00D33A47"/>
    <w:rsid w:val="00D628DD"/>
    <w:rsid w:val="00D76CDD"/>
    <w:rsid w:val="00DD6217"/>
    <w:rsid w:val="00E10A98"/>
    <w:rsid w:val="00E20E17"/>
    <w:rsid w:val="00E45716"/>
    <w:rsid w:val="00E568EC"/>
    <w:rsid w:val="00E921FE"/>
    <w:rsid w:val="00EF25BE"/>
    <w:rsid w:val="00F01AF9"/>
    <w:rsid w:val="00F8220C"/>
    <w:rsid w:val="00FA3166"/>
    <w:rsid w:val="01941947"/>
    <w:rsid w:val="01A714F3"/>
    <w:rsid w:val="04143CD3"/>
    <w:rsid w:val="04982717"/>
    <w:rsid w:val="063D1761"/>
    <w:rsid w:val="067348A4"/>
    <w:rsid w:val="07E03F89"/>
    <w:rsid w:val="08EE1EC1"/>
    <w:rsid w:val="095C401C"/>
    <w:rsid w:val="0A6F7752"/>
    <w:rsid w:val="0A9161E2"/>
    <w:rsid w:val="0BD9562E"/>
    <w:rsid w:val="0BF42BB6"/>
    <w:rsid w:val="0C5374A3"/>
    <w:rsid w:val="0DEB56BA"/>
    <w:rsid w:val="0E4F23EE"/>
    <w:rsid w:val="0EB47384"/>
    <w:rsid w:val="0F2C2C9D"/>
    <w:rsid w:val="122B1285"/>
    <w:rsid w:val="12EE54E0"/>
    <w:rsid w:val="146A512F"/>
    <w:rsid w:val="15567058"/>
    <w:rsid w:val="16FC6FB1"/>
    <w:rsid w:val="178873E1"/>
    <w:rsid w:val="19EB4927"/>
    <w:rsid w:val="1D043C1A"/>
    <w:rsid w:val="1DCF49CE"/>
    <w:rsid w:val="23565FC4"/>
    <w:rsid w:val="25941A9C"/>
    <w:rsid w:val="25A8047B"/>
    <w:rsid w:val="27154C5C"/>
    <w:rsid w:val="275F1399"/>
    <w:rsid w:val="2A9918BD"/>
    <w:rsid w:val="2B2066F6"/>
    <w:rsid w:val="2D6149CC"/>
    <w:rsid w:val="31BC4B3E"/>
    <w:rsid w:val="31ED37AF"/>
    <w:rsid w:val="35334DCE"/>
    <w:rsid w:val="35826B17"/>
    <w:rsid w:val="369827D3"/>
    <w:rsid w:val="37052A1D"/>
    <w:rsid w:val="37967549"/>
    <w:rsid w:val="37ED0FBB"/>
    <w:rsid w:val="38B73058"/>
    <w:rsid w:val="392817E4"/>
    <w:rsid w:val="39570990"/>
    <w:rsid w:val="3CD27D75"/>
    <w:rsid w:val="3CF828BA"/>
    <w:rsid w:val="3D7C3CA5"/>
    <w:rsid w:val="3DF30266"/>
    <w:rsid w:val="401251D3"/>
    <w:rsid w:val="407961B2"/>
    <w:rsid w:val="418F0C8B"/>
    <w:rsid w:val="42212FA0"/>
    <w:rsid w:val="437C7673"/>
    <w:rsid w:val="43E87380"/>
    <w:rsid w:val="466923B3"/>
    <w:rsid w:val="46A80D2B"/>
    <w:rsid w:val="48BF0390"/>
    <w:rsid w:val="4A7C41BA"/>
    <w:rsid w:val="4AA870DA"/>
    <w:rsid w:val="4E8809AE"/>
    <w:rsid w:val="4F925B40"/>
    <w:rsid w:val="51BD5B4A"/>
    <w:rsid w:val="54BD1A39"/>
    <w:rsid w:val="570876FE"/>
    <w:rsid w:val="59DE52E9"/>
    <w:rsid w:val="5C2F2581"/>
    <w:rsid w:val="5C41771D"/>
    <w:rsid w:val="660D7223"/>
    <w:rsid w:val="697C6B98"/>
    <w:rsid w:val="697D7370"/>
    <w:rsid w:val="6A8601F9"/>
    <w:rsid w:val="6C9C7B61"/>
    <w:rsid w:val="6D572487"/>
    <w:rsid w:val="6F433989"/>
    <w:rsid w:val="6F592DE9"/>
    <w:rsid w:val="6F8F5E4F"/>
    <w:rsid w:val="702F22F1"/>
    <w:rsid w:val="73F773CD"/>
    <w:rsid w:val="74AF74FD"/>
    <w:rsid w:val="74B63547"/>
    <w:rsid w:val="7586575E"/>
    <w:rsid w:val="761B4740"/>
    <w:rsid w:val="780C51CB"/>
    <w:rsid w:val="79C755E3"/>
    <w:rsid w:val="79EA73B1"/>
    <w:rsid w:val="7CFC6257"/>
    <w:rsid w:val="7D0839FB"/>
    <w:rsid w:val="7D8160E8"/>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750</Words>
  <Characters>4275</Characters>
  <Lines>35</Lines>
  <Paragraphs>10</Paragraphs>
  <TotalTime>94</TotalTime>
  <ScaleCrop>false</ScaleCrop>
  <LinksUpToDate>false</LinksUpToDate>
  <CharactersWithSpaces>5015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ASUS</cp:lastModifiedBy>
  <dcterms:modified xsi:type="dcterms:W3CDTF">2021-07-02T03:45:25Z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DBE7A89B9E444AE9A0145D8134440A47</vt:lpwstr>
  </property>
</Properties>
</file>