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关于福州螺洲T</w:t>
      </w:r>
      <w:r>
        <w:rPr>
          <w:rFonts w:ascii="宋体" w:hAnsi="宋体" w:cs="宋体"/>
          <w:b/>
          <w:bCs/>
          <w:sz w:val="36"/>
          <w:szCs w:val="36"/>
        </w:rPr>
        <w:t>OD</w:t>
      </w:r>
      <w:r>
        <w:rPr>
          <w:rFonts w:hint="eastAsia" w:ascii="宋体" w:hAnsi="宋体" w:cs="宋体"/>
          <w:b/>
          <w:bCs/>
          <w:sz w:val="36"/>
          <w:szCs w:val="36"/>
        </w:rPr>
        <w:t>项目</w:t>
      </w:r>
      <w:r>
        <w:rPr>
          <w:rFonts w:cs="Arial" w:asciiTheme="minorEastAsia" w:hAnsiTheme="minorEastAsia" w:eastAsiaTheme="minorEastAsia"/>
          <w:b/>
          <w:bCs/>
          <w:sz w:val="36"/>
          <w:szCs w:val="36"/>
        </w:rPr>
        <w:t>2020</w:t>
      </w:r>
      <w:r>
        <w:rPr>
          <w:rFonts w:hint="eastAsia" w:ascii="宋体" w:hAnsi="宋体" w:cs="宋体"/>
          <w:b/>
          <w:bCs/>
          <w:sz w:val="36"/>
          <w:szCs w:val="36"/>
        </w:rPr>
        <w:t>年</w:t>
      </w:r>
      <w:r>
        <w:rPr>
          <w:rFonts w:hint="eastAsia" w:cs="Arial" w:asciiTheme="minorEastAsia" w:hAnsiTheme="minorEastAsia" w:eastAsiaTheme="minorEastAsia"/>
          <w:b/>
          <w:bCs/>
          <w:sz w:val="36"/>
          <w:szCs w:val="36"/>
        </w:rPr>
        <w:t>8</w:t>
      </w:r>
      <w:r>
        <w:rPr>
          <w:rFonts w:hint="eastAsia" w:ascii="宋体" w:hAnsi="宋体" w:cs="宋体"/>
          <w:b/>
          <w:bCs/>
          <w:sz w:val="36"/>
          <w:szCs w:val="36"/>
        </w:rPr>
        <w:t>月-</w:t>
      </w:r>
      <w:r>
        <w:rPr>
          <w:rFonts w:ascii="宋体" w:hAnsi="宋体" w:cs="宋体"/>
          <w:b/>
          <w:bCs/>
          <w:sz w:val="36"/>
          <w:szCs w:val="36"/>
        </w:rPr>
        <w:t>10</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宁德融熙置业有限公司（以下简称S</w:t>
      </w:r>
      <w:r>
        <w:rPr>
          <w:rFonts w:ascii="宋体" w:hAnsi="宋体"/>
          <w:sz w:val="24"/>
          <w:szCs w:val="24"/>
        </w:rPr>
        <w:t>PV</w:t>
      </w:r>
      <w:r>
        <w:rPr>
          <w:rFonts w:hint="eastAsia" w:ascii="宋体" w:hAnsi="宋体"/>
          <w:sz w:val="24"/>
          <w:szCs w:val="24"/>
        </w:rPr>
        <w:t>公司）及福州首融房地产有限公司（以下简称项目公司）于</w:t>
      </w:r>
      <w:r>
        <w:rPr>
          <w:rFonts w:ascii="宋体" w:hAnsi="宋体"/>
          <w:sz w:val="24"/>
          <w:szCs w:val="24"/>
        </w:rPr>
        <w:t>2020年8月</w:t>
      </w:r>
      <w:r>
        <w:rPr>
          <w:rFonts w:hint="eastAsia" w:ascii="宋体" w:hAnsi="宋体"/>
          <w:sz w:val="24"/>
          <w:szCs w:val="24"/>
        </w:rPr>
        <w:t>7</w:t>
      </w:r>
      <w:r>
        <w:rPr>
          <w:rFonts w:ascii="宋体" w:hAnsi="宋体"/>
          <w:sz w:val="24"/>
          <w:szCs w:val="24"/>
        </w:rPr>
        <w:t>日</w:t>
      </w:r>
      <w:r>
        <w:rPr>
          <w:rFonts w:hint="eastAsia" w:ascii="宋体" w:hAnsi="宋体"/>
          <w:sz w:val="24"/>
          <w:szCs w:val="24"/>
        </w:rPr>
        <w:t>提交了2020年</w:t>
      </w:r>
      <w:r>
        <w:rPr>
          <w:rFonts w:ascii="宋体" w:hAnsi="宋体"/>
          <w:sz w:val="24"/>
          <w:szCs w:val="24"/>
        </w:rPr>
        <w:t>8</w:t>
      </w:r>
      <w:r>
        <w:rPr>
          <w:rFonts w:hint="eastAsia" w:ascii="宋体" w:hAnsi="宋体"/>
          <w:sz w:val="24"/>
          <w:szCs w:val="24"/>
        </w:rPr>
        <w:t>月-10月《季度资金计划表》，我司对S</w:t>
      </w:r>
      <w:r>
        <w:rPr>
          <w:rFonts w:ascii="宋体" w:hAnsi="宋体"/>
          <w:sz w:val="24"/>
          <w:szCs w:val="24"/>
        </w:rPr>
        <w:t>PV</w:t>
      </w:r>
      <w:r>
        <w:rPr>
          <w:rFonts w:hint="eastAsia" w:ascii="宋体" w:hAnsi="宋体"/>
          <w:sz w:val="24"/>
          <w:szCs w:val="24"/>
        </w:rPr>
        <w:t>公司及项目公司申报的资金计划进行了审核，审核结果如下：</w:t>
      </w:r>
    </w:p>
    <w:p>
      <w:pPr>
        <w:numPr>
          <w:ilvl w:val="0"/>
          <w:numId w:val="1"/>
        </w:numPr>
        <w:spacing w:before="156" w:beforeLines="50" w:after="156" w:afterLines="50" w:line="360" w:lineRule="auto"/>
        <w:ind w:firstLine="120" w:firstLineChars="50"/>
        <w:rPr>
          <w:rFonts w:ascii="宋体" w:hAnsi="宋体"/>
          <w:b/>
          <w:sz w:val="24"/>
          <w:szCs w:val="24"/>
        </w:rPr>
      </w:pPr>
      <w:r>
        <w:rPr>
          <w:rFonts w:ascii="宋体" w:hAnsi="宋体"/>
          <w:b/>
          <w:sz w:val="24"/>
          <w:szCs w:val="24"/>
        </w:rPr>
        <w:t>SPV</w:t>
      </w:r>
      <w:r>
        <w:rPr>
          <w:rFonts w:hint="eastAsia" w:ascii="宋体" w:hAnsi="宋体"/>
          <w:b/>
          <w:sz w:val="24"/>
          <w:szCs w:val="24"/>
        </w:rPr>
        <w:t>公司2020年</w:t>
      </w:r>
      <w:r>
        <w:rPr>
          <w:rFonts w:ascii="宋体" w:hAnsi="宋体"/>
          <w:b/>
          <w:sz w:val="24"/>
          <w:szCs w:val="24"/>
        </w:rPr>
        <w:t>8</w:t>
      </w:r>
      <w:r>
        <w:rPr>
          <w:rFonts w:hint="eastAsia" w:ascii="宋体" w:hAnsi="宋体"/>
          <w:b/>
          <w:sz w:val="24"/>
          <w:szCs w:val="24"/>
        </w:rPr>
        <w:t>月-10月份资金汇总</w:t>
      </w:r>
    </w:p>
    <w:p>
      <w:pPr>
        <w:spacing w:before="156" w:beforeLines="50" w:after="156" w:afterLines="50" w:line="360" w:lineRule="auto"/>
        <w:ind w:firstLine="480" w:firstLineChars="200"/>
        <w:rPr>
          <w:rFonts w:ascii="宋体" w:hAnsi="宋体"/>
          <w:sz w:val="24"/>
          <w:szCs w:val="24"/>
        </w:rPr>
      </w:pPr>
      <w:r>
        <w:rPr>
          <w:rFonts w:ascii="宋体" w:hAnsi="宋体"/>
          <w:sz w:val="24"/>
          <w:szCs w:val="24"/>
        </w:rPr>
        <w:t>SPV</w:t>
      </w:r>
      <w:r>
        <w:rPr>
          <w:rFonts w:hint="eastAsia" w:ascii="宋体" w:hAnsi="宋体"/>
          <w:sz w:val="24"/>
          <w:szCs w:val="24"/>
        </w:rPr>
        <w:t>公司于</w:t>
      </w:r>
      <w:r>
        <w:rPr>
          <w:rFonts w:ascii="宋体" w:hAnsi="宋体"/>
          <w:sz w:val="24"/>
          <w:szCs w:val="24"/>
        </w:rPr>
        <w:t>2020年8月7日</w:t>
      </w:r>
      <w:r>
        <w:rPr>
          <w:rFonts w:hint="eastAsia" w:ascii="宋体" w:hAnsi="宋体"/>
          <w:sz w:val="24"/>
          <w:szCs w:val="24"/>
        </w:rPr>
        <w:t>提交的2020年8月-10月资金支出计划，计划资金流入共计56,600.00万元，其中贷款新增56,000.00万元；区域公司内部往来600.00万元。</w:t>
      </w:r>
      <w:r>
        <w:rPr>
          <w:rFonts w:ascii="宋体" w:hAnsi="宋体"/>
          <w:sz w:val="24"/>
          <w:szCs w:val="24"/>
        </w:rPr>
        <w:t>计划</w:t>
      </w:r>
      <w:r>
        <w:rPr>
          <w:rFonts w:hint="eastAsia" w:ascii="宋体" w:hAnsi="宋体"/>
          <w:sz w:val="24"/>
          <w:szCs w:val="24"/>
        </w:rPr>
        <w:t>资金支出共计9笔，合计56,600.</w:t>
      </w:r>
      <w:r>
        <w:rPr>
          <w:rFonts w:ascii="宋体" w:hAnsi="宋体"/>
          <w:sz w:val="24"/>
          <w:szCs w:val="24"/>
        </w:rPr>
        <w:t>00</w:t>
      </w:r>
      <w:r>
        <w:rPr>
          <w:rFonts w:hint="eastAsia" w:ascii="宋体" w:hAnsi="宋体"/>
          <w:sz w:val="24"/>
          <w:szCs w:val="24"/>
        </w:rPr>
        <w:t>万元。其中：财务费用600.00万元；其他净支出560.00万元，区域公司内部往来55,440</w:t>
      </w:r>
      <w:r>
        <w:rPr>
          <w:rFonts w:ascii="宋体" w:hAnsi="宋体"/>
          <w:sz w:val="24"/>
          <w:szCs w:val="24"/>
        </w:rPr>
        <w:t>.00</w:t>
      </w:r>
      <w:r>
        <w:rPr>
          <w:rFonts w:hint="eastAsia" w:ascii="宋体" w:hAnsi="宋体"/>
          <w:sz w:val="24"/>
          <w:szCs w:val="24"/>
        </w:rPr>
        <w:t>万元。</w:t>
      </w:r>
    </w:p>
    <w:tbl>
      <w:tblPr>
        <w:tblStyle w:val="9"/>
        <w:tblW w:w="10433" w:type="dxa"/>
        <w:jc w:val="center"/>
        <w:tblLayout w:type="autofit"/>
        <w:tblCellMar>
          <w:top w:w="0" w:type="dxa"/>
          <w:left w:w="108" w:type="dxa"/>
          <w:bottom w:w="0" w:type="dxa"/>
          <w:right w:w="108" w:type="dxa"/>
        </w:tblCellMar>
      </w:tblPr>
      <w:tblGrid>
        <w:gridCol w:w="2689"/>
        <w:gridCol w:w="1761"/>
        <w:gridCol w:w="1782"/>
        <w:gridCol w:w="1985"/>
        <w:gridCol w:w="2216"/>
      </w:tblGrid>
      <w:tr>
        <w:tblPrEx>
          <w:tblCellMar>
            <w:top w:w="0" w:type="dxa"/>
            <w:left w:w="108" w:type="dxa"/>
            <w:bottom w:w="0" w:type="dxa"/>
            <w:right w:w="108" w:type="dxa"/>
          </w:tblCellMar>
        </w:tblPrEx>
        <w:trPr>
          <w:trHeight w:val="429" w:hRule="atLeast"/>
          <w:jc w:val="center"/>
        </w:trPr>
        <w:tc>
          <w:tcPr>
            <w:tcW w:w="10433" w:type="dxa"/>
            <w:gridSpan w:val="5"/>
            <w:tcBorders>
              <w:top w:val="single" w:color="auto" w:sz="4" w:space="0"/>
              <w:left w:val="single" w:color="auto" w:sz="4" w:space="0"/>
              <w:right w:val="single" w:color="auto" w:sz="4" w:space="0"/>
            </w:tcBorders>
            <w:shd w:val="clear" w:color="000000" w:fill="CCC0D9"/>
          </w:tcPr>
          <w:p>
            <w:pPr>
              <w:widowControl/>
              <w:jc w:val="center"/>
              <w:rPr>
                <w:rFonts w:ascii="宋体" w:hAnsi="宋体" w:cs="宋体"/>
                <w:b/>
                <w:bCs/>
                <w:color w:val="000000"/>
                <w:kern w:val="0"/>
                <w:sz w:val="32"/>
                <w:szCs w:val="32"/>
              </w:rPr>
            </w:pPr>
            <w:r>
              <w:rPr>
                <w:rFonts w:hint="eastAsia" w:ascii="宋体" w:hAnsi="宋体" w:cs="宋体"/>
                <w:b/>
                <w:bCs/>
                <w:color w:val="000000"/>
                <w:kern w:val="0"/>
                <w:sz w:val="28"/>
                <w:szCs w:val="28"/>
              </w:rPr>
              <w:t>中航信托·天启【2020】201号福州螺洲TOD项目股权投资集合资金信托计划</w:t>
            </w:r>
          </w:p>
        </w:tc>
      </w:tr>
      <w:tr>
        <w:tblPrEx>
          <w:tblCellMar>
            <w:top w:w="0" w:type="dxa"/>
            <w:left w:w="108" w:type="dxa"/>
            <w:bottom w:w="0" w:type="dxa"/>
            <w:right w:w="108" w:type="dxa"/>
          </w:tblCellMar>
        </w:tblPrEx>
        <w:trPr>
          <w:trHeight w:val="367" w:hRule="atLeast"/>
          <w:jc w:val="center"/>
        </w:trPr>
        <w:tc>
          <w:tcPr>
            <w:tcW w:w="10433" w:type="dxa"/>
            <w:gridSpan w:val="5"/>
            <w:tcBorders>
              <w:left w:val="single" w:color="auto" w:sz="4" w:space="0"/>
              <w:right w:val="single" w:color="auto" w:sz="4" w:space="0"/>
            </w:tcBorders>
            <w:shd w:val="clear" w:color="000000" w:fill="CCC0D9"/>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宁德融熙置业有限公司2020年8月-10月资金计划</w:t>
            </w:r>
          </w:p>
        </w:tc>
      </w:tr>
      <w:tr>
        <w:tblPrEx>
          <w:tblCellMar>
            <w:top w:w="0" w:type="dxa"/>
            <w:left w:w="108" w:type="dxa"/>
            <w:bottom w:w="0" w:type="dxa"/>
            <w:right w:w="108" w:type="dxa"/>
          </w:tblCellMar>
        </w:tblPrEx>
        <w:trPr>
          <w:trHeight w:val="277" w:hRule="atLeast"/>
          <w:jc w:val="center"/>
        </w:trPr>
        <w:tc>
          <w:tcPr>
            <w:tcW w:w="10433" w:type="dxa"/>
            <w:gridSpan w:val="5"/>
            <w:tcBorders>
              <w:left w:val="single" w:color="auto" w:sz="4" w:space="0"/>
              <w:bottom w:val="single" w:color="auto" w:sz="4" w:space="0"/>
              <w:right w:val="single" w:color="auto" w:sz="4" w:space="0"/>
            </w:tcBorders>
            <w:shd w:val="clear" w:color="000000" w:fill="CCC0D9"/>
            <w:vAlign w:val="center"/>
          </w:tcPr>
          <w:p>
            <w:pPr>
              <w:widowControl/>
              <w:rPr>
                <w:rFonts w:ascii="宋体" w:hAnsi="宋体" w:cs="宋体"/>
                <w:b/>
                <w:bCs/>
                <w:color w:val="000000"/>
                <w:kern w:val="0"/>
                <w:sz w:val="28"/>
                <w:szCs w:val="28"/>
              </w:rPr>
            </w:pPr>
            <w:r>
              <w:rPr>
                <w:rFonts w:hint="eastAsia" w:ascii="宋体" w:hAnsi="宋体" w:cs="宋体"/>
                <w:b/>
                <w:bCs/>
                <w:color w:val="000000"/>
                <w:kern w:val="0"/>
                <w:sz w:val="24"/>
                <w:szCs w:val="24"/>
              </w:rPr>
              <w:t xml:space="preserve">编制单位：宁德融熙置业有限公司  </w:t>
            </w:r>
            <w:r>
              <w:rPr>
                <w:rFonts w:hint="eastAsia" w:ascii="宋体" w:hAnsi="宋体" w:cs="宋体"/>
                <w:b/>
                <w:bCs/>
                <w:color w:val="000000"/>
                <w:kern w:val="0"/>
                <w:sz w:val="28"/>
                <w:szCs w:val="28"/>
              </w:rPr>
              <w:t xml:space="preserve">                          </w:t>
            </w:r>
            <w:r>
              <w:rPr>
                <w:rFonts w:hint="eastAsia" w:ascii="宋体" w:hAnsi="宋体" w:cs="宋体"/>
                <w:b/>
                <w:bCs/>
                <w:color w:val="000000"/>
                <w:kern w:val="0"/>
                <w:sz w:val="24"/>
                <w:szCs w:val="24"/>
              </w:rPr>
              <w:t xml:space="preserve"> </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 xml:space="preserve"> 单位：万元</w:t>
            </w:r>
          </w:p>
        </w:tc>
      </w:tr>
      <w:tr>
        <w:tblPrEx>
          <w:tblCellMar>
            <w:top w:w="0" w:type="dxa"/>
            <w:left w:w="108" w:type="dxa"/>
            <w:bottom w:w="0" w:type="dxa"/>
            <w:right w:w="108" w:type="dxa"/>
          </w:tblCellMar>
        </w:tblPrEx>
        <w:trPr>
          <w:trHeight w:val="498" w:hRule="atLeast"/>
          <w:jc w:val="center"/>
        </w:trPr>
        <w:tc>
          <w:tcPr>
            <w:tcW w:w="2689" w:type="dxa"/>
            <w:tcBorders>
              <w:top w:val="nil"/>
              <w:left w:val="single" w:color="auto" w:sz="4" w:space="0"/>
              <w:bottom w:val="single" w:color="auto" w:sz="4" w:space="0"/>
              <w:right w:val="single" w:color="auto" w:sz="4" w:space="0"/>
            </w:tcBorders>
            <w:shd w:val="clear" w:color="000000" w:fill="DCD8C2"/>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w:t>
            </w:r>
          </w:p>
        </w:tc>
        <w:tc>
          <w:tcPr>
            <w:tcW w:w="1761" w:type="dxa"/>
            <w:tcBorders>
              <w:top w:val="nil"/>
              <w:left w:val="nil"/>
              <w:bottom w:val="single" w:color="auto" w:sz="4" w:space="0"/>
              <w:right w:val="single" w:color="auto" w:sz="4" w:space="0"/>
            </w:tcBorders>
            <w:shd w:val="clear" w:color="000000" w:fill="DCD8C2"/>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8月计划金额</w:t>
            </w:r>
          </w:p>
        </w:tc>
        <w:tc>
          <w:tcPr>
            <w:tcW w:w="1782" w:type="dxa"/>
            <w:tcBorders>
              <w:top w:val="nil"/>
              <w:left w:val="nil"/>
              <w:bottom w:val="single" w:color="auto" w:sz="4" w:space="0"/>
              <w:right w:val="single" w:color="auto" w:sz="4" w:space="0"/>
            </w:tcBorders>
            <w:shd w:val="clear" w:color="000000" w:fill="DCD8C2"/>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9月计划金额</w:t>
            </w:r>
          </w:p>
        </w:tc>
        <w:tc>
          <w:tcPr>
            <w:tcW w:w="1985" w:type="dxa"/>
            <w:tcBorders>
              <w:top w:val="nil"/>
              <w:left w:val="nil"/>
              <w:bottom w:val="single" w:color="auto" w:sz="4" w:space="0"/>
              <w:right w:val="single" w:color="auto" w:sz="4" w:space="0"/>
            </w:tcBorders>
            <w:shd w:val="clear" w:color="000000" w:fill="DCD8C2"/>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10月计划金额</w:t>
            </w:r>
          </w:p>
        </w:tc>
        <w:tc>
          <w:tcPr>
            <w:tcW w:w="2216" w:type="dxa"/>
            <w:tcBorders>
              <w:top w:val="nil"/>
              <w:left w:val="nil"/>
              <w:bottom w:val="single" w:color="auto" w:sz="4" w:space="0"/>
              <w:right w:val="single" w:color="auto" w:sz="4" w:space="0"/>
            </w:tcBorders>
            <w:shd w:val="clear" w:color="000000" w:fill="DCD8C2"/>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8-10月合计</w:t>
            </w:r>
          </w:p>
        </w:tc>
      </w:tr>
      <w:tr>
        <w:tblPrEx>
          <w:tblCellMar>
            <w:top w:w="0" w:type="dxa"/>
            <w:left w:w="108" w:type="dxa"/>
            <w:bottom w:w="0" w:type="dxa"/>
            <w:right w:w="108" w:type="dxa"/>
          </w:tblCellMar>
        </w:tblPrEx>
        <w:trPr>
          <w:trHeight w:val="249"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贷款新增</w:t>
            </w:r>
          </w:p>
        </w:tc>
        <w:tc>
          <w:tcPr>
            <w:tcW w:w="1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56</w:t>
            </w:r>
            <w:r>
              <w:rPr>
                <w:rFonts w:ascii="宋体" w:hAnsi="宋体" w:cs="宋体"/>
                <w:color w:val="000000"/>
                <w:kern w:val="0"/>
                <w:sz w:val="24"/>
                <w:szCs w:val="24"/>
              </w:rPr>
              <w:t>,</w:t>
            </w:r>
            <w:r>
              <w:rPr>
                <w:rFonts w:hint="eastAsia" w:ascii="宋体" w:hAnsi="宋体" w:cs="宋体"/>
                <w:color w:val="000000"/>
                <w:kern w:val="0"/>
                <w:sz w:val="24"/>
                <w:szCs w:val="24"/>
              </w:rPr>
              <w:t>000.00</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56,000.00</w:t>
            </w:r>
          </w:p>
        </w:tc>
      </w:tr>
      <w:tr>
        <w:tblPrEx>
          <w:tblCellMar>
            <w:top w:w="0" w:type="dxa"/>
            <w:left w:w="108" w:type="dxa"/>
            <w:bottom w:w="0" w:type="dxa"/>
            <w:right w:w="108" w:type="dxa"/>
          </w:tblCellMar>
        </w:tblPrEx>
        <w:trPr>
          <w:trHeight w:val="249"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区域公司内部往来</w:t>
            </w:r>
          </w:p>
        </w:tc>
        <w:tc>
          <w:tcPr>
            <w:tcW w:w="1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600.00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600.00</w:t>
            </w:r>
          </w:p>
        </w:tc>
      </w:tr>
      <w:tr>
        <w:tblPrEx>
          <w:tblCellMar>
            <w:top w:w="0" w:type="dxa"/>
            <w:left w:w="108" w:type="dxa"/>
            <w:bottom w:w="0" w:type="dxa"/>
            <w:right w:w="108" w:type="dxa"/>
          </w:tblCellMar>
        </w:tblPrEx>
        <w:trPr>
          <w:trHeight w:val="249"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b/>
                <w:bCs/>
                <w:kern w:val="0"/>
                <w:sz w:val="24"/>
                <w:szCs w:val="24"/>
              </w:rPr>
              <w:t>资金流入小计</w:t>
            </w:r>
          </w:p>
        </w:tc>
        <w:tc>
          <w:tcPr>
            <w:tcW w:w="1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56</w:t>
            </w:r>
            <w:r>
              <w:rPr>
                <w:rFonts w:ascii="宋体" w:hAnsi="宋体" w:cs="宋体"/>
                <w:b/>
                <w:bCs/>
                <w:color w:val="000000"/>
                <w:kern w:val="0"/>
                <w:sz w:val="24"/>
                <w:szCs w:val="24"/>
              </w:rPr>
              <w:t>,</w:t>
            </w:r>
            <w:r>
              <w:rPr>
                <w:rFonts w:hint="eastAsia" w:ascii="宋体" w:hAnsi="宋体" w:cs="宋体"/>
                <w:b/>
                <w:bCs/>
                <w:color w:val="000000"/>
                <w:kern w:val="0"/>
                <w:sz w:val="24"/>
                <w:szCs w:val="24"/>
              </w:rPr>
              <w:t>000.00</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600.00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56,600.00</w:t>
            </w:r>
          </w:p>
        </w:tc>
      </w:tr>
      <w:tr>
        <w:tblPrEx>
          <w:tblCellMar>
            <w:top w:w="0" w:type="dxa"/>
            <w:left w:w="108" w:type="dxa"/>
            <w:bottom w:w="0" w:type="dxa"/>
            <w:right w:w="108" w:type="dxa"/>
          </w:tblCellMar>
        </w:tblPrEx>
        <w:trPr>
          <w:trHeight w:val="249"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财务费用</w:t>
            </w:r>
          </w:p>
        </w:tc>
        <w:tc>
          <w:tcPr>
            <w:tcW w:w="1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600.00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600.00</w:t>
            </w:r>
          </w:p>
        </w:tc>
      </w:tr>
      <w:tr>
        <w:tblPrEx>
          <w:tblCellMar>
            <w:top w:w="0" w:type="dxa"/>
            <w:left w:w="108" w:type="dxa"/>
            <w:bottom w:w="0" w:type="dxa"/>
            <w:right w:w="108" w:type="dxa"/>
          </w:tblCellMar>
        </w:tblPrEx>
        <w:trPr>
          <w:trHeight w:val="249"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其他净支出</w:t>
            </w:r>
          </w:p>
        </w:tc>
        <w:tc>
          <w:tcPr>
            <w:tcW w:w="1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560.00</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560.00</w:t>
            </w:r>
          </w:p>
        </w:tc>
      </w:tr>
      <w:tr>
        <w:tblPrEx>
          <w:tblCellMar>
            <w:top w:w="0" w:type="dxa"/>
            <w:left w:w="108" w:type="dxa"/>
            <w:bottom w:w="0" w:type="dxa"/>
            <w:right w:w="108" w:type="dxa"/>
          </w:tblCellMar>
        </w:tblPrEx>
        <w:trPr>
          <w:trHeight w:val="249"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区域公司内部往来</w:t>
            </w:r>
          </w:p>
        </w:tc>
        <w:tc>
          <w:tcPr>
            <w:tcW w:w="1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55</w:t>
            </w:r>
            <w:r>
              <w:rPr>
                <w:rFonts w:ascii="宋体" w:hAnsi="宋体" w:cs="宋体"/>
                <w:color w:val="000000"/>
                <w:kern w:val="0"/>
                <w:sz w:val="24"/>
                <w:szCs w:val="24"/>
              </w:rPr>
              <w:t>,</w:t>
            </w:r>
            <w:r>
              <w:rPr>
                <w:rFonts w:hint="eastAsia" w:ascii="宋体" w:hAnsi="宋体" w:cs="宋体"/>
                <w:color w:val="000000"/>
                <w:kern w:val="0"/>
                <w:sz w:val="24"/>
                <w:szCs w:val="24"/>
              </w:rPr>
              <w:t>440.00</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55,440.00</w:t>
            </w:r>
          </w:p>
        </w:tc>
      </w:tr>
      <w:tr>
        <w:tblPrEx>
          <w:tblCellMar>
            <w:top w:w="0" w:type="dxa"/>
            <w:left w:w="108" w:type="dxa"/>
            <w:bottom w:w="0" w:type="dxa"/>
            <w:right w:w="108" w:type="dxa"/>
          </w:tblCellMar>
        </w:tblPrEx>
        <w:trPr>
          <w:trHeight w:val="249"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资金流出小计</w:t>
            </w:r>
          </w:p>
        </w:tc>
        <w:tc>
          <w:tcPr>
            <w:tcW w:w="17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56,000.00</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600.00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56,600.00</w:t>
            </w:r>
          </w:p>
        </w:tc>
      </w:tr>
    </w:tbl>
    <w:p>
      <w:pPr>
        <w:numPr>
          <w:ilvl w:val="-1"/>
          <w:numId w:val="0"/>
        </w:numPr>
        <w:spacing w:before="156" w:beforeLines="50" w:after="156" w:afterLines="50"/>
        <w:ind w:firstLine="0" w:firstLineChars="0"/>
        <w:rPr>
          <w:rFonts w:ascii="宋体" w:hAnsi="宋体" w:cs="Times New Roman"/>
          <w:b/>
          <w:sz w:val="24"/>
          <w:szCs w:val="24"/>
        </w:rPr>
      </w:pPr>
    </w:p>
    <w:p>
      <w:pPr>
        <w:numPr>
          <w:ilvl w:val="0"/>
          <w:numId w:val="1"/>
        </w:numPr>
        <w:spacing w:before="156" w:beforeLines="50" w:after="156" w:afterLines="50"/>
        <w:ind w:firstLine="120" w:firstLineChars="50"/>
        <w:rPr>
          <w:rFonts w:ascii="宋体" w:hAnsi="宋体" w:cs="Times New Roman"/>
          <w:b/>
          <w:sz w:val="24"/>
          <w:szCs w:val="24"/>
        </w:rPr>
      </w:pPr>
      <w:r>
        <w:rPr>
          <w:rFonts w:hint="default" w:ascii="宋体" w:hAnsi="宋体" w:cs="Times New Roman"/>
          <w:b/>
          <w:sz w:val="24"/>
          <w:szCs w:val="24"/>
        </w:rPr>
        <w:t>S</w:t>
      </w:r>
      <w:r>
        <w:rPr>
          <w:rFonts w:ascii="宋体" w:hAnsi="宋体" w:cs="Times New Roman"/>
          <w:b/>
          <w:sz w:val="24"/>
          <w:szCs w:val="24"/>
        </w:rPr>
        <w:t>PV</w:t>
      </w:r>
      <w:r>
        <w:rPr>
          <w:rFonts w:hint="default" w:ascii="宋体" w:hAnsi="宋体" w:cs="Times New Roman"/>
          <w:b/>
          <w:sz w:val="24"/>
          <w:szCs w:val="24"/>
        </w:rPr>
        <w:t>公司</w:t>
      </w:r>
      <w:r>
        <w:rPr>
          <w:rFonts w:hint="default" w:ascii="宋体" w:hAnsi="宋体"/>
          <w:b/>
          <w:sz w:val="24"/>
          <w:szCs w:val="24"/>
          <w:lang w:val="zh-CN" w:bidi="zh-CN"/>
        </w:rPr>
        <w:t>资金计划</w:t>
      </w:r>
      <w:r>
        <w:rPr>
          <w:rFonts w:ascii="宋体" w:hAnsi="宋体"/>
          <w:b/>
          <w:sz w:val="24"/>
          <w:szCs w:val="24"/>
          <w:lang w:val="zh-CN" w:bidi="zh-CN"/>
        </w:rPr>
        <w:t>情况</w:t>
      </w:r>
      <w:r>
        <w:rPr>
          <w:rFonts w:hint="default" w:ascii="宋体" w:hAnsi="宋体"/>
          <w:b/>
          <w:sz w:val="24"/>
          <w:szCs w:val="24"/>
          <w:lang w:bidi="zh-CN"/>
        </w:rPr>
        <w:t>审核说明</w:t>
      </w:r>
    </w:p>
    <w:p>
      <w:pPr>
        <w:spacing w:before="156" w:beforeLines="50" w:after="156" w:afterLines="50" w:line="360" w:lineRule="auto"/>
        <w:rPr>
          <w:rFonts w:ascii="宋体" w:hAnsi="宋体"/>
          <w:b/>
          <w:bCs/>
          <w:sz w:val="24"/>
          <w:szCs w:val="24"/>
        </w:rPr>
      </w:pPr>
      <w:r>
        <w:rPr>
          <w:rFonts w:hint="eastAsia" w:ascii="宋体" w:hAnsi="宋体"/>
          <w:b/>
          <w:bCs/>
          <w:sz w:val="24"/>
          <w:szCs w:val="24"/>
        </w:rPr>
        <w:t>（一）资金流入计划说明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2020年8月-10月共有5笔资金流入，金额共计56,600.00万元，具体分析如下：</w:t>
      </w:r>
    </w:p>
    <w:p>
      <w:pPr>
        <w:spacing w:before="156" w:beforeLines="50" w:after="156" w:afterLines="50" w:line="360" w:lineRule="auto"/>
        <w:ind w:left="1080" w:hanging="1080" w:hangingChars="4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（1）8月预计分别在每周收到新增信托贷款四笔，分别为20,000.00万元、10,000.00万元、10,000.00万元和16,000.00万元，共计56,000.00万元。</w:t>
      </w:r>
    </w:p>
    <w:p>
      <w:pPr>
        <w:spacing w:before="156" w:beforeLines="50" w:after="156" w:afterLines="50" w:line="360" w:lineRule="auto"/>
        <w:ind w:left="225" w:firstLine="240" w:firstLineChars="100"/>
        <w:rPr>
          <w:rFonts w:ascii="宋体" w:hAnsi="宋体"/>
          <w:sz w:val="24"/>
          <w:szCs w:val="24"/>
        </w:rPr>
      </w:pPr>
      <w:r>
        <w:rPr>
          <w:rFonts w:hint="eastAsia" w:ascii="宋体" w:hAnsi="宋体"/>
          <w:sz w:val="24"/>
          <w:szCs w:val="24"/>
        </w:rPr>
        <w:t>（2）9月预计收到项目公司的一笔600.00万元的拨款用于信托贷款的利息支付。</w:t>
      </w:r>
    </w:p>
    <w:p>
      <w:pPr>
        <w:spacing w:before="156" w:beforeLines="50" w:after="156" w:afterLines="50" w:line="360" w:lineRule="auto"/>
        <w:rPr>
          <w:rFonts w:ascii="宋体" w:hAnsi="宋体"/>
          <w:b/>
          <w:bCs/>
          <w:color w:val="000000"/>
          <w:sz w:val="24"/>
          <w:szCs w:val="24"/>
          <w:lang w:bidi="zh-CN"/>
        </w:rPr>
      </w:pPr>
      <w:r>
        <w:rPr>
          <w:rFonts w:hint="eastAsia" w:ascii="宋体" w:hAnsi="宋体"/>
          <w:b/>
          <w:bCs/>
          <w:sz w:val="24"/>
          <w:szCs w:val="24"/>
        </w:rPr>
        <w:t>（二）</w:t>
      </w:r>
      <w:r>
        <w:rPr>
          <w:rFonts w:hint="eastAsia" w:ascii="宋体" w:hAnsi="宋体"/>
          <w:b/>
          <w:bCs/>
          <w:color w:val="000000"/>
          <w:sz w:val="24"/>
          <w:szCs w:val="24"/>
          <w:lang w:bidi="zh-CN"/>
        </w:rPr>
        <w:t>资金流出计划说明</w:t>
      </w:r>
    </w:p>
    <w:p>
      <w:pPr>
        <w:spacing w:before="156" w:beforeLines="50" w:after="156" w:afterLines="50" w:line="360" w:lineRule="auto"/>
        <w:ind w:firstLine="480" w:firstLineChars="200"/>
        <w:rPr>
          <w:rFonts w:hint="eastAsia" w:ascii="宋体" w:hAnsi="宋体"/>
          <w:bCs w:val="0"/>
          <w:sz w:val="24"/>
          <w:szCs w:val="24"/>
          <w:lang w:bidi="zh-CN"/>
        </w:rPr>
      </w:pPr>
      <w:r>
        <w:rPr>
          <w:rFonts w:hint="eastAsia" w:ascii="宋体" w:hAnsi="宋体"/>
          <w:sz w:val="24"/>
          <w:szCs w:val="24"/>
        </w:rPr>
        <w:t>2020年8月-10月共支付9笔资金，金额共计56,600.00万元，具体分析如下：</w:t>
      </w:r>
    </w:p>
    <w:p>
      <w:pPr>
        <w:pStyle w:val="11"/>
        <w:numPr>
          <w:ilvl w:val="0"/>
          <w:numId w:val="2"/>
        </w:numPr>
        <w:spacing w:before="157" w:beforeLines="50" w:after="157" w:afterLines="50" w:line="360" w:lineRule="auto"/>
        <w:ind w:left="1202" w:firstLineChars="0"/>
        <w:rPr>
          <w:rFonts w:hint="eastAsia" w:ascii="宋体" w:hAnsi="宋体"/>
          <w:bCs/>
          <w:color w:val="000000"/>
          <w:sz w:val="24"/>
          <w:szCs w:val="24"/>
          <w:lang w:bidi="zh-CN"/>
        </w:rPr>
      </w:pPr>
      <w:r>
        <w:rPr>
          <w:rFonts w:hint="eastAsia" w:ascii="宋体" w:hAnsi="宋体"/>
          <w:bCs/>
          <w:color w:val="000000"/>
          <w:sz w:val="24"/>
          <w:szCs w:val="24"/>
          <w:lang w:bidi="zh-CN"/>
        </w:rPr>
        <w:t>9月支付的一笔600.00万元的财务费用是向中航信托融资所缴纳的利息费用。</w:t>
      </w:r>
    </w:p>
    <w:p>
      <w:pPr>
        <w:pStyle w:val="11"/>
        <w:numPr>
          <w:ilvl w:val="0"/>
          <w:numId w:val="2"/>
        </w:numPr>
        <w:spacing w:before="157" w:beforeLines="50" w:after="157" w:afterLines="50" w:line="360" w:lineRule="auto"/>
        <w:ind w:left="1202" w:firstLineChars="0"/>
        <w:rPr>
          <w:rFonts w:hint="eastAsia" w:ascii="宋体" w:hAnsi="宋体"/>
          <w:bCs/>
          <w:color w:val="000000"/>
          <w:sz w:val="24"/>
          <w:szCs w:val="24"/>
          <w:lang w:bidi="zh-CN"/>
        </w:rPr>
      </w:pPr>
      <w:r>
        <w:rPr>
          <w:rFonts w:hint="eastAsia" w:ascii="宋体" w:hAnsi="宋体"/>
          <w:bCs/>
          <w:color w:val="000000"/>
          <w:sz w:val="24"/>
          <w:szCs w:val="24"/>
          <w:lang w:bidi="zh-CN"/>
        </w:rPr>
        <w:t>其他净支出的560.00万元为SPV公司缴纳的信托业保障基金，按收到信托放款的时间在8月分4笔每周缴纳，支出的金额分别为200.00万元、100.00万元、100.00万元、160.00万元（即新增信托贷款金额的1%）。</w:t>
      </w:r>
    </w:p>
    <w:p>
      <w:pPr>
        <w:pStyle w:val="11"/>
        <w:numPr>
          <w:ilvl w:val="0"/>
          <w:numId w:val="2"/>
        </w:numPr>
        <w:spacing w:before="157" w:beforeLines="50" w:after="157" w:afterLines="50" w:line="360" w:lineRule="auto"/>
        <w:ind w:left="1202" w:firstLineChars="0"/>
        <w:rPr>
          <w:rFonts w:hint="eastAsia" w:ascii="宋体" w:hAnsi="宋体"/>
          <w:bCs/>
          <w:color w:val="000000"/>
          <w:sz w:val="24"/>
          <w:szCs w:val="24"/>
          <w:lang w:bidi="zh-CN"/>
        </w:rPr>
      </w:pPr>
      <w:r>
        <w:rPr>
          <w:rFonts w:hint="eastAsia" w:ascii="宋体" w:hAnsi="宋体"/>
          <w:bCs/>
          <w:color w:val="000000"/>
          <w:sz w:val="24"/>
          <w:szCs w:val="24"/>
          <w:lang w:bidi="zh-CN"/>
        </w:rPr>
        <w:t>区域公司内部往来的金额55,440.00万元是SPV公司在陆续收到新增贷款金额后分笔在8月的每周支付给区域公司的金额，分别为19,800.00万元、9,900.00万元、9,900.00万元、15,840.00万元。</w:t>
      </w:r>
    </w:p>
    <w:p>
      <w:pPr>
        <w:pStyle w:val="11"/>
        <w:spacing w:before="156" w:beforeLines="50" w:after="156" w:afterLines="50" w:line="360" w:lineRule="auto"/>
        <w:ind w:left="225" w:firstLine="480"/>
        <w:rPr>
          <w:rFonts w:ascii="宋体" w:hAnsi="宋体"/>
          <w:sz w:val="24"/>
          <w:szCs w:val="24"/>
          <w:lang w:bidi="zh-CN"/>
        </w:rPr>
      </w:pPr>
      <w:r>
        <w:rPr>
          <w:rFonts w:ascii="宋体" w:hAnsi="宋体"/>
          <w:sz w:val="24"/>
          <w:szCs w:val="24"/>
          <w:lang w:bidi="zh-CN"/>
        </w:rPr>
        <w:t>经审核，我司认为</w:t>
      </w:r>
      <w:r>
        <w:rPr>
          <w:rFonts w:hint="eastAsia" w:ascii="宋体" w:hAnsi="宋体"/>
          <w:sz w:val="24"/>
          <w:szCs w:val="24"/>
          <w:lang w:bidi="zh-CN"/>
        </w:rPr>
        <w:t>S</w:t>
      </w:r>
      <w:r>
        <w:rPr>
          <w:rFonts w:ascii="宋体" w:hAnsi="宋体"/>
          <w:sz w:val="24"/>
          <w:szCs w:val="24"/>
          <w:lang w:bidi="zh-CN"/>
        </w:rPr>
        <w:t>PV</w:t>
      </w:r>
      <w:r>
        <w:rPr>
          <w:rFonts w:hint="eastAsia" w:ascii="宋体" w:hAnsi="宋体"/>
          <w:sz w:val="24"/>
          <w:szCs w:val="24"/>
          <w:lang w:bidi="zh-CN"/>
        </w:rPr>
        <w:t>公司</w:t>
      </w:r>
      <w:r>
        <w:rPr>
          <w:rFonts w:ascii="宋体" w:hAnsi="宋体"/>
          <w:sz w:val="24"/>
          <w:szCs w:val="24"/>
          <w:lang w:bidi="zh-CN"/>
        </w:rPr>
        <w:t>8</w:t>
      </w:r>
      <w:r>
        <w:rPr>
          <w:rFonts w:hint="eastAsia" w:ascii="宋体" w:hAnsi="宋体"/>
          <w:sz w:val="24"/>
          <w:szCs w:val="24"/>
          <w:lang w:bidi="zh-CN"/>
        </w:rPr>
        <w:t>月-10</w:t>
      </w:r>
      <w:r>
        <w:rPr>
          <w:rFonts w:ascii="宋体" w:hAnsi="宋体"/>
          <w:sz w:val="24"/>
          <w:szCs w:val="24"/>
          <w:lang w:bidi="zh-CN"/>
        </w:rPr>
        <w:t>月</w:t>
      </w:r>
      <w:r>
        <w:rPr>
          <w:rFonts w:hint="eastAsia" w:ascii="宋体" w:hAnsi="宋体"/>
          <w:sz w:val="24"/>
          <w:szCs w:val="24"/>
          <w:lang w:bidi="zh-CN"/>
        </w:rPr>
        <w:t>的支付信托保障基金及信托利息的流出计划编制合理。依据</w:t>
      </w:r>
      <w:r>
        <w:rPr>
          <w:rFonts w:hint="eastAsia" w:ascii="宋体" w:hAnsi="宋体"/>
          <w:sz w:val="24"/>
          <w:szCs w:val="24"/>
        </w:rPr>
        <w:t>《中航信托•天启【2020】201号福州螺洲TOD项目投资集合资金信托计划监管服务协议》中第4.2条规定“在监管期间，除其他交易文件另有约定，SPV及项目公司账户内的资金仅可用于项目的开发建设投入、偿还交易文件项下相关债权及其他款项或甲方另行书面同意的其他用途。”</w:t>
      </w:r>
      <w:r>
        <w:rPr>
          <w:rFonts w:hint="eastAsia" w:ascii="宋体" w:hAnsi="宋体"/>
          <w:sz w:val="24"/>
          <w:szCs w:val="24"/>
          <w:lang w:eastAsia="zh-CN"/>
        </w:rPr>
        <w:t>，</w:t>
      </w:r>
      <w:r>
        <w:rPr>
          <w:rFonts w:hint="eastAsia" w:ascii="宋体" w:hAnsi="宋体"/>
          <w:sz w:val="24"/>
          <w:szCs w:val="24"/>
          <w:lang w:bidi="zh-CN"/>
        </w:rPr>
        <w:t>我司会在</w:t>
      </w:r>
      <w:r>
        <w:rPr>
          <w:rFonts w:ascii="宋体" w:hAnsi="宋体"/>
          <w:sz w:val="24"/>
          <w:szCs w:val="24"/>
          <w:lang w:bidi="zh-CN"/>
        </w:rPr>
        <w:t>项目公司</w:t>
      </w:r>
      <w:r>
        <w:rPr>
          <w:rFonts w:ascii="宋体" w:hAnsi="宋体"/>
          <w:sz w:val="24"/>
          <w:szCs w:val="24"/>
        </w:rPr>
        <w:t>后期申请相关款项</w:t>
      </w:r>
      <w:r>
        <w:rPr>
          <w:rFonts w:ascii="宋体" w:hAnsi="宋体"/>
          <w:sz w:val="24"/>
          <w:szCs w:val="24"/>
          <w:lang w:bidi="zh-CN"/>
        </w:rPr>
        <w:t>支付时，对付款申请、发票、流程等</w:t>
      </w:r>
      <w:r>
        <w:rPr>
          <w:rFonts w:hint="eastAsia" w:ascii="宋体" w:hAnsi="宋体"/>
          <w:sz w:val="24"/>
          <w:szCs w:val="24"/>
          <w:lang w:bidi="zh-CN"/>
        </w:rPr>
        <w:t>资料</w:t>
      </w:r>
      <w:r>
        <w:rPr>
          <w:rFonts w:ascii="宋体" w:hAnsi="宋体"/>
          <w:sz w:val="24"/>
          <w:szCs w:val="24"/>
          <w:lang w:bidi="zh-CN"/>
        </w:rPr>
        <w:t>进行审核，</w:t>
      </w:r>
      <w:r>
        <w:rPr>
          <w:rFonts w:hint="eastAsia" w:ascii="宋体" w:hAnsi="宋体"/>
          <w:sz w:val="24"/>
          <w:szCs w:val="24"/>
          <w:lang w:bidi="zh-CN"/>
        </w:rPr>
        <w:t>并按照《监管服务协议》附件一：权限划分明细及审批流程规定，在收到信托审批通过的指令后，才配合进行资金支付</w:t>
      </w:r>
      <w:r>
        <w:rPr>
          <w:rFonts w:ascii="宋体" w:hAnsi="宋体"/>
          <w:sz w:val="24"/>
          <w:szCs w:val="24"/>
          <w:lang w:bidi="zh-CN"/>
        </w:rPr>
        <w:t>。</w:t>
      </w:r>
    </w:p>
    <w:p>
      <w:pPr>
        <w:numPr>
          <w:ilvl w:val="0"/>
          <w:numId w:val="1"/>
        </w:numPr>
        <w:spacing w:before="156" w:beforeLines="50" w:after="156" w:afterLines="50" w:line="240" w:lineRule="auto"/>
        <w:ind w:firstLine="120" w:firstLineChars="50"/>
        <w:rPr>
          <w:rFonts w:ascii="宋体" w:hAnsi="宋体"/>
          <w:b/>
          <w:sz w:val="24"/>
          <w:szCs w:val="24"/>
        </w:rPr>
      </w:pPr>
      <w:r>
        <w:rPr>
          <w:rFonts w:hint="default" w:ascii="宋体" w:hAnsi="宋体"/>
          <w:b/>
          <w:bCs w:val="0"/>
          <w:sz w:val="24"/>
          <w:szCs w:val="24"/>
          <w:lang w:bidi="zh-CN"/>
        </w:rPr>
        <w:t>福州螺洲T</w:t>
      </w:r>
      <w:r>
        <w:rPr>
          <w:rFonts w:ascii="宋体" w:hAnsi="宋体"/>
          <w:b/>
          <w:bCs w:val="0"/>
          <w:sz w:val="24"/>
          <w:szCs w:val="24"/>
          <w:lang w:bidi="zh-CN"/>
        </w:rPr>
        <w:t>OD</w:t>
      </w:r>
      <w:r>
        <w:rPr>
          <w:rFonts w:hint="eastAsia" w:ascii="宋体" w:hAnsi="宋体"/>
          <w:b/>
          <w:sz w:val="24"/>
          <w:szCs w:val="24"/>
        </w:rPr>
        <w:t>项目公司2020年</w:t>
      </w:r>
      <w:r>
        <w:rPr>
          <w:rFonts w:ascii="宋体" w:hAnsi="宋体"/>
          <w:b/>
          <w:sz w:val="24"/>
          <w:szCs w:val="24"/>
        </w:rPr>
        <w:t>8</w:t>
      </w:r>
      <w:r>
        <w:rPr>
          <w:rFonts w:hint="eastAsia" w:ascii="宋体" w:hAnsi="宋体"/>
          <w:b/>
          <w:sz w:val="24"/>
          <w:szCs w:val="24"/>
        </w:rPr>
        <w:t>月-10月份资金汇总</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项目公司于</w:t>
      </w:r>
      <w:r>
        <w:rPr>
          <w:rFonts w:ascii="宋体" w:hAnsi="宋体"/>
          <w:sz w:val="24"/>
          <w:szCs w:val="24"/>
        </w:rPr>
        <w:t>2020年8月7日</w:t>
      </w:r>
      <w:r>
        <w:rPr>
          <w:rFonts w:hint="eastAsia" w:ascii="宋体" w:hAnsi="宋体"/>
          <w:sz w:val="24"/>
          <w:szCs w:val="24"/>
        </w:rPr>
        <w:t>提交的2020年8月-10月资金支出计划，</w:t>
      </w:r>
      <w:r>
        <w:rPr>
          <w:rFonts w:ascii="宋体" w:hAnsi="宋体"/>
          <w:sz w:val="24"/>
          <w:szCs w:val="24"/>
        </w:rPr>
        <w:t>计划</w:t>
      </w:r>
      <w:r>
        <w:rPr>
          <w:rFonts w:hint="eastAsia" w:ascii="宋体" w:hAnsi="宋体"/>
          <w:sz w:val="24"/>
          <w:szCs w:val="24"/>
        </w:rPr>
        <w:t>资金支出共计17笔，合计2,537.76万元。其中：工程款支出2,453.97万元，销售费用60.</w:t>
      </w:r>
      <w:r>
        <w:rPr>
          <w:rFonts w:ascii="宋体" w:hAnsi="宋体"/>
          <w:sz w:val="24"/>
          <w:szCs w:val="24"/>
        </w:rPr>
        <w:t>64</w:t>
      </w:r>
      <w:r>
        <w:rPr>
          <w:rFonts w:hint="eastAsia" w:ascii="宋体" w:hAnsi="宋体"/>
          <w:sz w:val="24"/>
          <w:szCs w:val="24"/>
        </w:rPr>
        <w:t>万元，管理费用23.15万元。计划资金流入共计4笔，合计2,000.00万元。其中：与融创公司集团内各公司往来流入共计940.00万元，区域公司与非融创股东往来流入共计1,060.</w:t>
      </w:r>
      <w:r>
        <w:rPr>
          <w:rFonts w:ascii="宋体" w:hAnsi="宋体"/>
          <w:sz w:val="24"/>
          <w:szCs w:val="24"/>
        </w:rPr>
        <w:t>00</w:t>
      </w:r>
      <w:r>
        <w:rPr>
          <w:rFonts w:hint="eastAsia" w:ascii="宋体" w:hAnsi="宋体"/>
          <w:sz w:val="24"/>
          <w:szCs w:val="24"/>
        </w:rPr>
        <w:t>万元。</w:t>
      </w:r>
    </w:p>
    <w:tbl>
      <w:tblPr>
        <w:tblStyle w:val="9"/>
        <w:tblW w:w="9530" w:type="dxa"/>
        <w:tblInd w:w="0" w:type="dxa"/>
        <w:tblLayout w:type="autofit"/>
        <w:tblCellMar>
          <w:top w:w="0" w:type="dxa"/>
          <w:left w:w="108" w:type="dxa"/>
          <w:bottom w:w="0" w:type="dxa"/>
          <w:right w:w="108" w:type="dxa"/>
        </w:tblCellMar>
      </w:tblPr>
      <w:tblGrid>
        <w:gridCol w:w="2650"/>
        <w:gridCol w:w="1761"/>
        <w:gridCol w:w="1680"/>
        <w:gridCol w:w="1809"/>
        <w:gridCol w:w="1630"/>
      </w:tblGrid>
      <w:tr>
        <w:tblPrEx>
          <w:tblCellMar>
            <w:top w:w="0" w:type="dxa"/>
            <w:left w:w="108" w:type="dxa"/>
            <w:bottom w:w="0" w:type="dxa"/>
            <w:right w:w="108" w:type="dxa"/>
          </w:tblCellMar>
        </w:tblPrEx>
        <w:trPr>
          <w:cantSplit/>
          <w:trHeight w:val="471" w:hRule="atLeast"/>
          <w:tblHeader/>
        </w:trPr>
        <w:tc>
          <w:tcPr>
            <w:tcW w:w="9530" w:type="dxa"/>
            <w:gridSpan w:val="5"/>
            <w:tcBorders>
              <w:top w:val="single" w:color="auto" w:sz="4" w:space="0"/>
              <w:left w:val="single" w:color="auto" w:sz="4" w:space="0"/>
              <w:right w:val="single" w:color="auto" w:sz="4" w:space="0"/>
            </w:tcBorders>
            <w:shd w:val="clear" w:color="000000" w:fill="CCC0D9"/>
            <w:vAlign w:val="center"/>
          </w:tcPr>
          <w:p>
            <w:pPr>
              <w:widowControl/>
              <w:jc w:val="center"/>
              <w:rPr>
                <w:rFonts w:ascii="宋体" w:hAnsi="宋体" w:cs="宋体"/>
                <w:b/>
                <w:bCs/>
                <w:color w:val="000000"/>
                <w:kern w:val="0"/>
                <w:sz w:val="32"/>
                <w:szCs w:val="32"/>
              </w:rPr>
            </w:pPr>
            <w:bookmarkStart w:id="0" w:name="RANGE!A1"/>
            <w:r>
              <w:rPr>
                <w:rFonts w:hint="eastAsia" w:ascii="宋体" w:hAnsi="宋体" w:cs="宋体"/>
                <w:b/>
                <w:bCs/>
                <w:color w:val="000000"/>
                <w:kern w:val="0"/>
                <w:sz w:val="24"/>
                <w:szCs w:val="24"/>
              </w:rPr>
              <w:t>中航信托·天启【2020】201号福州螺洲TOD项目股权投资集合资金信托计划</w:t>
            </w:r>
            <w:bookmarkEnd w:id="0"/>
          </w:p>
        </w:tc>
      </w:tr>
      <w:tr>
        <w:tblPrEx>
          <w:tblCellMar>
            <w:top w:w="0" w:type="dxa"/>
            <w:left w:w="108" w:type="dxa"/>
            <w:bottom w:w="0" w:type="dxa"/>
            <w:right w:w="108" w:type="dxa"/>
          </w:tblCellMar>
        </w:tblPrEx>
        <w:trPr>
          <w:cantSplit/>
          <w:trHeight w:val="383" w:hRule="atLeast"/>
          <w:tblHeader/>
        </w:trPr>
        <w:tc>
          <w:tcPr>
            <w:tcW w:w="9530" w:type="dxa"/>
            <w:gridSpan w:val="5"/>
            <w:tcBorders>
              <w:left w:val="single" w:color="auto" w:sz="4" w:space="0"/>
              <w:right w:val="single" w:color="auto" w:sz="4" w:space="0"/>
            </w:tcBorders>
            <w:shd w:val="clear" w:color="000000" w:fill="CCC0D9"/>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福州首融房地产开发有限公司螺洲TOD项目2020年8月-10月资金计划</w:t>
            </w:r>
          </w:p>
        </w:tc>
      </w:tr>
      <w:tr>
        <w:tblPrEx>
          <w:tblCellMar>
            <w:top w:w="0" w:type="dxa"/>
            <w:left w:w="108" w:type="dxa"/>
            <w:bottom w:w="0" w:type="dxa"/>
            <w:right w:w="108" w:type="dxa"/>
          </w:tblCellMar>
        </w:tblPrEx>
        <w:trPr>
          <w:cantSplit/>
          <w:trHeight w:val="339" w:hRule="atLeast"/>
          <w:tblHeader/>
        </w:trPr>
        <w:tc>
          <w:tcPr>
            <w:tcW w:w="9530" w:type="dxa"/>
            <w:gridSpan w:val="5"/>
            <w:tcBorders>
              <w:top w:val="nil"/>
              <w:left w:val="single" w:color="auto" w:sz="4" w:space="0"/>
              <w:bottom w:val="single" w:color="auto" w:sz="4" w:space="0"/>
              <w:right w:val="single" w:color="auto" w:sz="4" w:space="0"/>
            </w:tcBorders>
            <w:shd w:val="clear" w:color="000000" w:fill="CCC0D9"/>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2"/>
              </w:rPr>
              <w:t xml:space="preserve">编制单位：福州首融房地产开发有限公司                           </w:t>
            </w:r>
            <w:r>
              <w:rPr>
                <w:rFonts w:ascii="宋体" w:hAnsi="宋体" w:cs="宋体"/>
                <w:b/>
                <w:bCs/>
                <w:color w:val="000000"/>
                <w:kern w:val="0"/>
                <w:sz w:val="22"/>
              </w:rPr>
              <w:t xml:space="preserve">         </w:t>
            </w:r>
            <w:r>
              <w:rPr>
                <w:rFonts w:hint="eastAsia" w:ascii="宋体" w:hAnsi="宋体" w:cs="宋体"/>
                <w:b/>
                <w:bCs/>
                <w:color w:val="000000"/>
                <w:kern w:val="0"/>
                <w:sz w:val="22"/>
              </w:rPr>
              <w:t xml:space="preserve">  单位：万元</w:t>
            </w:r>
          </w:p>
        </w:tc>
      </w:tr>
      <w:tr>
        <w:tblPrEx>
          <w:tblCellMar>
            <w:top w:w="0" w:type="dxa"/>
            <w:left w:w="108" w:type="dxa"/>
            <w:bottom w:w="0" w:type="dxa"/>
            <w:right w:w="108" w:type="dxa"/>
          </w:tblCellMar>
        </w:tblPrEx>
        <w:trPr>
          <w:cantSplit/>
          <w:trHeight w:val="356" w:hRule="atLeast"/>
          <w:tblHeader/>
        </w:trPr>
        <w:tc>
          <w:tcPr>
            <w:tcW w:w="2650" w:type="dxa"/>
            <w:tcBorders>
              <w:top w:val="nil"/>
              <w:left w:val="single" w:color="auto" w:sz="4" w:space="0"/>
              <w:bottom w:val="single" w:color="auto" w:sz="4" w:space="0"/>
              <w:right w:val="single" w:color="auto" w:sz="4" w:space="0"/>
            </w:tcBorders>
            <w:shd w:val="clear" w:color="000000" w:fill="DCD8C2"/>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w:t>
            </w:r>
          </w:p>
        </w:tc>
        <w:tc>
          <w:tcPr>
            <w:tcW w:w="1761" w:type="dxa"/>
            <w:tcBorders>
              <w:top w:val="nil"/>
              <w:left w:val="nil"/>
              <w:bottom w:val="single" w:color="auto" w:sz="4" w:space="0"/>
              <w:right w:val="single" w:color="auto" w:sz="4" w:space="0"/>
            </w:tcBorders>
            <w:shd w:val="clear" w:color="000000" w:fill="DCD8C2"/>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8月计划金额</w:t>
            </w:r>
          </w:p>
        </w:tc>
        <w:tc>
          <w:tcPr>
            <w:tcW w:w="1680" w:type="dxa"/>
            <w:tcBorders>
              <w:top w:val="nil"/>
              <w:left w:val="nil"/>
              <w:bottom w:val="single" w:color="auto" w:sz="4" w:space="0"/>
              <w:right w:val="single" w:color="auto" w:sz="4" w:space="0"/>
            </w:tcBorders>
            <w:shd w:val="clear" w:color="000000" w:fill="DCD8C2"/>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9月计划金额</w:t>
            </w:r>
          </w:p>
        </w:tc>
        <w:tc>
          <w:tcPr>
            <w:tcW w:w="1809" w:type="dxa"/>
            <w:tcBorders>
              <w:top w:val="nil"/>
              <w:left w:val="nil"/>
              <w:bottom w:val="single" w:color="auto" w:sz="4" w:space="0"/>
              <w:right w:val="single" w:color="auto" w:sz="4" w:space="0"/>
            </w:tcBorders>
            <w:shd w:val="clear" w:color="000000" w:fill="DCD8C2"/>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10月计划金额</w:t>
            </w:r>
          </w:p>
        </w:tc>
        <w:tc>
          <w:tcPr>
            <w:tcW w:w="1630" w:type="dxa"/>
            <w:tcBorders>
              <w:top w:val="nil"/>
              <w:left w:val="nil"/>
              <w:bottom w:val="single" w:color="auto" w:sz="4" w:space="0"/>
              <w:right w:val="single" w:color="auto" w:sz="4" w:space="0"/>
            </w:tcBorders>
            <w:shd w:val="clear" w:color="000000" w:fill="DCD8C2"/>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8-10月合计</w:t>
            </w:r>
          </w:p>
        </w:tc>
      </w:tr>
      <w:tr>
        <w:tblPrEx>
          <w:tblCellMar>
            <w:top w:w="0" w:type="dxa"/>
            <w:left w:w="108" w:type="dxa"/>
            <w:bottom w:w="0" w:type="dxa"/>
            <w:right w:w="108" w:type="dxa"/>
          </w:tblCellMar>
        </w:tblPrEx>
        <w:trPr>
          <w:cantSplit/>
          <w:trHeight w:val="357" w:hRule="atLeast"/>
        </w:trPr>
        <w:tc>
          <w:tcPr>
            <w:tcW w:w="2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工程款支出 </w:t>
            </w:r>
          </w:p>
        </w:tc>
        <w:tc>
          <w:tcPr>
            <w:tcW w:w="1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316.91 </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936.72 </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w:t>
            </w:r>
            <w:r>
              <w:rPr>
                <w:rFonts w:hint="eastAsia" w:ascii="宋体" w:hAnsi="宋体" w:cs="宋体"/>
                <w:color w:val="000000"/>
                <w:kern w:val="0"/>
                <w:sz w:val="24"/>
                <w:szCs w:val="24"/>
              </w:rPr>
              <w:t xml:space="preserve">200.34 </w:t>
            </w:r>
          </w:p>
        </w:tc>
        <w:tc>
          <w:tcPr>
            <w:tcW w:w="1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2,453.97</w:t>
            </w:r>
          </w:p>
        </w:tc>
      </w:tr>
      <w:tr>
        <w:tblPrEx>
          <w:tblCellMar>
            <w:top w:w="0" w:type="dxa"/>
            <w:left w:w="108" w:type="dxa"/>
            <w:bottom w:w="0" w:type="dxa"/>
            <w:right w:w="108" w:type="dxa"/>
          </w:tblCellMar>
        </w:tblPrEx>
        <w:trPr>
          <w:cantSplit/>
          <w:trHeight w:val="357" w:hRule="atLeast"/>
        </w:trPr>
        <w:tc>
          <w:tcPr>
            <w:tcW w:w="2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销售费用 </w:t>
            </w:r>
          </w:p>
        </w:tc>
        <w:tc>
          <w:tcPr>
            <w:tcW w:w="1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15.00 </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22.82 </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22.82 </w:t>
            </w:r>
          </w:p>
        </w:tc>
        <w:tc>
          <w:tcPr>
            <w:tcW w:w="1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60.64</w:t>
            </w:r>
          </w:p>
        </w:tc>
      </w:tr>
      <w:tr>
        <w:tblPrEx>
          <w:tblCellMar>
            <w:top w:w="0" w:type="dxa"/>
            <w:left w:w="108" w:type="dxa"/>
            <w:bottom w:w="0" w:type="dxa"/>
            <w:right w:w="108" w:type="dxa"/>
          </w:tblCellMar>
        </w:tblPrEx>
        <w:trPr>
          <w:cantSplit/>
          <w:trHeight w:val="357" w:hRule="atLeast"/>
        </w:trPr>
        <w:tc>
          <w:tcPr>
            <w:tcW w:w="2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管理费用 </w:t>
            </w:r>
          </w:p>
        </w:tc>
        <w:tc>
          <w:tcPr>
            <w:tcW w:w="1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11.25 </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7.15 </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4.75 </w:t>
            </w:r>
          </w:p>
        </w:tc>
        <w:tc>
          <w:tcPr>
            <w:tcW w:w="1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23.15</w:t>
            </w:r>
          </w:p>
        </w:tc>
      </w:tr>
      <w:tr>
        <w:tblPrEx>
          <w:tblCellMar>
            <w:top w:w="0" w:type="dxa"/>
            <w:left w:w="108" w:type="dxa"/>
            <w:bottom w:w="0" w:type="dxa"/>
            <w:right w:w="108" w:type="dxa"/>
          </w:tblCellMar>
        </w:tblPrEx>
        <w:trPr>
          <w:cantSplit/>
          <w:trHeight w:val="357" w:hRule="atLeast"/>
        </w:trPr>
        <w:tc>
          <w:tcPr>
            <w:tcW w:w="265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xml:space="preserve"> 资金流出小计 </w:t>
            </w:r>
          </w:p>
        </w:tc>
        <w:tc>
          <w:tcPr>
            <w:tcW w:w="1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343.16</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966.69</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1,227.91</w:t>
            </w:r>
          </w:p>
        </w:tc>
        <w:tc>
          <w:tcPr>
            <w:tcW w:w="1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2,537.76</w:t>
            </w:r>
          </w:p>
        </w:tc>
      </w:tr>
      <w:tr>
        <w:tblPrEx>
          <w:tblCellMar>
            <w:top w:w="0" w:type="dxa"/>
            <w:left w:w="108" w:type="dxa"/>
            <w:bottom w:w="0" w:type="dxa"/>
            <w:right w:w="108" w:type="dxa"/>
          </w:tblCellMar>
        </w:tblPrEx>
        <w:trPr>
          <w:cantSplit/>
          <w:trHeight w:val="357" w:hRule="atLeast"/>
        </w:trPr>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与融创集团内各公司往来 </w:t>
            </w:r>
          </w:p>
        </w:tc>
        <w:tc>
          <w:tcPr>
            <w:tcW w:w="17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470.00</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470.00</w:t>
            </w:r>
          </w:p>
        </w:tc>
        <w:tc>
          <w:tcPr>
            <w:tcW w:w="1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940.00</w:t>
            </w:r>
          </w:p>
        </w:tc>
      </w:tr>
      <w:tr>
        <w:tblPrEx>
          <w:tblCellMar>
            <w:top w:w="0" w:type="dxa"/>
            <w:left w:w="108" w:type="dxa"/>
            <w:bottom w:w="0" w:type="dxa"/>
            <w:right w:w="108" w:type="dxa"/>
          </w:tblCellMar>
        </w:tblPrEx>
        <w:trPr>
          <w:cantSplit/>
          <w:trHeight w:val="357" w:hRule="atLeast"/>
        </w:trPr>
        <w:tc>
          <w:tcPr>
            <w:tcW w:w="2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区域公司与非融创股东往来 </w:t>
            </w:r>
          </w:p>
        </w:tc>
        <w:tc>
          <w:tcPr>
            <w:tcW w:w="1761" w:type="dxa"/>
            <w:tcBorders>
              <w:top w:val="nil"/>
              <w:left w:val="nil"/>
              <w:bottom w:val="single" w:color="auto" w:sz="4" w:space="0"/>
              <w:right w:val="single" w:color="auto" w:sz="4" w:space="0"/>
            </w:tcBorders>
            <w:shd w:val="clear" w:color="auto" w:fill="auto"/>
            <w:noWrap/>
            <w:vAlign w:val="center"/>
          </w:tcPr>
          <w:p>
            <w:pPr>
              <w:pStyle w:val="11"/>
              <w:widowControl/>
              <w:numPr>
                <w:ilvl w:val="0"/>
                <w:numId w:val="3"/>
              </w:numPr>
              <w:ind w:firstLineChars="0"/>
              <w:rPr>
                <w:rFonts w:ascii="宋体" w:hAnsi="宋体" w:cs="宋体"/>
                <w:color w:val="000000"/>
                <w:kern w:val="0"/>
                <w:sz w:val="24"/>
                <w:szCs w:val="24"/>
              </w:rPr>
            </w:pP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530.00</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530.00</w:t>
            </w:r>
          </w:p>
        </w:tc>
        <w:tc>
          <w:tcPr>
            <w:tcW w:w="1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1,060.00</w:t>
            </w:r>
          </w:p>
        </w:tc>
      </w:tr>
      <w:tr>
        <w:tblPrEx>
          <w:tblCellMar>
            <w:top w:w="0" w:type="dxa"/>
            <w:left w:w="108" w:type="dxa"/>
            <w:bottom w:w="0" w:type="dxa"/>
            <w:right w:w="108" w:type="dxa"/>
          </w:tblCellMar>
        </w:tblPrEx>
        <w:trPr>
          <w:cantSplit/>
          <w:trHeight w:val="357" w:hRule="atLeast"/>
        </w:trPr>
        <w:tc>
          <w:tcPr>
            <w:tcW w:w="265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xml:space="preserve"> 资金流入小计 </w:t>
            </w:r>
          </w:p>
        </w:tc>
        <w:tc>
          <w:tcPr>
            <w:tcW w:w="1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w:t>
            </w:r>
            <w:r>
              <w:rPr>
                <w:rFonts w:ascii="宋体" w:hAnsi="宋体" w:cs="宋体"/>
                <w:b/>
                <w:bCs/>
                <w:color w:val="000000"/>
                <w:kern w:val="0"/>
                <w:sz w:val="24"/>
                <w:szCs w:val="24"/>
              </w:rPr>
              <w:t>,</w:t>
            </w:r>
            <w:r>
              <w:rPr>
                <w:rFonts w:hint="eastAsia" w:ascii="宋体" w:hAnsi="宋体" w:cs="宋体"/>
                <w:b/>
                <w:bCs/>
                <w:color w:val="000000"/>
                <w:kern w:val="0"/>
                <w:sz w:val="24"/>
                <w:szCs w:val="24"/>
              </w:rPr>
              <w:t>000.00</w:t>
            </w:r>
          </w:p>
        </w:tc>
        <w:tc>
          <w:tcPr>
            <w:tcW w:w="18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w:t>
            </w:r>
            <w:r>
              <w:rPr>
                <w:rFonts w:ascii="宋体" w:hAnsi="宋体" w:cs="宋体"/>
                <w:b/>
                <w:bCs/>
                <w:color w:val="000000"/>
                <w:kern w:val="0"/>
                <w:sz w:val="24"/>
                <w:szCs w:val="24"/>
              </w:rPr>
              <w:t>,</w:t>
            </w:r>
            <w:r>
              <w:rPr>
                <w:rFonts w:hint="eastAsia" w:ascii="宋体" w:hAnsi="宋体" w:cs="宋体"/>
                <w:b/>
                <w:bCs/>
                <w:color w:val="000000"/>
                <w:kern w:val="0"/>
                <w:sz w:val="24"/>
                <w:szCs w:val="24"/>
              </w:rPr>
              <w:t>000.00</w:t>
            </w:r>
          </w:p>
        </w:tc>
        <w:tc>
          <w:tcPr>
            <w:tcW w:w="1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2,000.00</w:t>
            </w:r>
          </w:p>
        </w:tc>
      </w:tr>
    </w:tbl>
    <w:p>
      <w:pPr>
        <w:spacing w:before="156" w:beforeLines="50" w:after="156" w:afterLines="50" w:line="360" w:lineRule="auto"/>
        <w:rPr>
          <w:rFonts w:ascii="宋体" w:hAnsi="宋体"/>
          <w:bCs/>
          <w:color w:val="000000"/>
          <w:sz w:val="24"/>
          <w:szCs w:val="24"/>
          <w:lang w:bidi="zh-CN"/>
        </w:rPr>
      </w:pPr>
    </w:p>
    <w:p>
      <w:pPr>
        <w:numPr>
          <w:ilvl w:val="0"/>
          <w:numId w:val="1"/>
        </w:numPr>
        <w:spacing w:before="156" w:beforeLines="50" w:after="156" w:afterLines="50" w:line="240" w:lineRule="auto"/>
        <w:ind w:firstLine="120" w:firstLineChars="50"/>
        <w:rPr>
          <w:rFonts w:ascii="宋体" w:hAnsi="宋体"/>
          <w:b/>
          <w:sz w:val="24"/>
          <w:szCs w:val="24"/>
          <w:lang w:bidi="zh-CN"/>
        </w:rPr>
      </w:pPr>
      <w:r>
        <w:rPr>
          <w:rFonts w:hint="default" w:ascii="宋体" w:hAnsi="宋体"/>
          <w:b/>
          <w:bCs w:val="0"/>
          <w:sz w:val="24"/>
          <w:szCs w:val="24"/>
          <w:lang w:bidi="zh-CN"/>
        </w:rPr>
        <w:t>福州螺洲T</w:t>
      </w:r>
      <w:r>
        <w:rPr>
          <w:rFonts w:ascii="宋体" w:hAnsi="宋体"/>
          <w:b/>
          <w:bCs w:val="0"/>
          <w:sz w:val="24"/>
          <w:szCs w:val="24"/>
          <w:lang w:bidi="zh-CN"/>
        </w:rPr>
        <w:t>OD</w:t>
      </w:r>
      <w:r>
        <w:rPr>
          <w:rFonts w:hint="default" w:ascii="宋体" w:hAnsi="宋体" w:cs="Times New Roman"/>
          <w:b/>
          <w:sz w:val="24"/>
          <w:szCs w:val="24"/>
          <w:lang w:bidi="zh-CN"/>
        </w:rPr>
        <w:t>项目公司</w:t>
      </w:r>
      <w:r>
        <w:rPr>
          <w:rFonts w:hint="default" w:ascii="宋体" w:hAnsi="宋体"/>
          <w:b/>
          <w:sz w:val="24"/>
          <w:szCs w:val="24"/>
          <w:lang w:val="zh-CN" w:bidi="zh-CN"/>
        </w:rPr>
        <w:t>资金计划</w:t>
      </w:r>
      <w:r>
        <w:rPr>
          <w:rFonts w:ascii="宋体" w:hAnsi="宋体"/>
          <w:b/>
          <w:sz w:val="24"/>
          <w:szCs w:val="24"/>
          <w:lang w:val="zh-CN" w:bidi="zh-CN"/>
        </w:rPr>
        <w:t>情况</w:t>
      </w:r>
      <w:r>
        <w:rPr>
          <w:rFonts w:hint="default" w:ascii="宋体" w:hAnsi="宋体"/>
          <w:b/>
          <w:sz w:val="24"/>
          <w:szCs w:val="24"/>
          <w:lang w:bidi="zh-CN"/>
        </w:rPr>
        <w:t>审核说明</w:t>
      </w:r>
    </w:p>
    <w:p>
      <w:pPr>
        <w:spacing w:before="156" w:beforeLines="50" w:after="156" w:afterLines="50" w:line="360" w:lineRule="auto"/>
        <w:ind w:firstLine="0" w:firstLineChars="0"/>
        <w:rPr>
          <w:rFonts w:hint="eastAsia" w:ascii="宋体" w:hAnsi="宋体"/>
          <w:b/>
          <w:bCs/>
          <w:sz w:val="24"/>
          <w:szCs w:val="24"/>
          <w:lang w:bidi="zh-CN"/>
        </w:rPr>
      </w:pPr>
      <w:r>
        <w:rPr>
          <w:rFonts w:hint="eastAsia" w:ascii="宋体" w:hAnsi="宋体"/>
          <w:b/>
          <w:bCs/>
          <w:sz w:val="24"/>
          <w:szCs w:val="24"/>
          <w:lang w:bidi="zh-CN"/>
        </w:rPr>
        <w:t>（一）工程款资金支出计划说明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项目公司在2020年8月-10月工程款支出金额共计2</w:t>
      </w:r>
      <w:r>
        <w:rPr>
          <w:rFonts w:ascii="宋体" w:hAnsi="宋体"/>
          <w:bCs/>
          <w:color w:val="000000"/>
          <w:sz w:val="24"/>
          <w:szCs w:val="24"/>
          <w:lang w:bidi="zh-CN"/>
        </w:rPr>
        <w:t>,</w:t>
      </w:r>
      <w:r>
        <w:rPr>
          <w:rFonts w:hint="eastAsia" w:ascii="宋体" w:hAnsi="宋体"/>
          <w:bCs/>
          <w:color w:val="000000"/>
          <w:sz w:val="24"/>
          <w:szCs w:val="24"/>
          <w:lang w:bidi="zh-CN"/>
        </w:rPr>
        <w:t>453.97万元，其中包含设计费用1</w:t>
      </w:r>
      <w:r>
        <w:rPr>
          <w:rFonts w:ascii="宋体" w:hAnsi="宋体"/>
          <w:bCs/>
          <w:color w:val="000000"/>
          <w:sz w:val="24"/>
          <w:szCs w:val="24"/>
          <w:lang w:bidi="zh-CN"/>
        </w:rPr>
        <w:t>,</w:t>
      </w:r>
      <w:r>
        <w:rPr>
          <w:rFonts w:hint="eastAsia" w:ascii="宋体" w:hAnsi="宋体"/>
          <w:bCs/>
          <w:color w:val="000000"/>
          <w:sz w:val="24"/>
          <w:szCs w:val="24"/>
          <w:lang w:bidi="zh-CN"/>
        </w:rPr>
        <w:t>504.11万元，具体分析如下：</w:t>
      </w:r>
    </w:p>
    <w:p>
      <w:pPr>
        <w:pStyle w:val="11"/>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展示区总包工程费预计在9月支付工程款290.00万元、10月份支付174.00万元，合同尚未签订，具体支付金额以实际签订的协议为准；</w:t>
      </w:r>
    </w:p>
    <w:p>
      <w:pPr>
        <w:pStyle w:val="11"/>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预计在9月给深圳市筑地建筑设计咨询有限公司支付优化设计费146.00万元，设计合同尚未签订，具体支付金额以实际签订的协议为准；</w:t>
      </w:r>
    </w:p>
    <w:p>
      <w:pPr>
        <w:pStyle w:val="11"/>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临水、临电合工程款预计在9月分别支付19.00万元、65.00万元；</w:t>
      </w:r>
    </w:p>
    <w:p>
      <w:pPr>
        <w:pStyle w:val="11"/>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展示区精装修和外立面工程费用预计在10月分别支付150.00万元、100.00万元，合同尚未签订，具体支付金额以实际签订的协议为准；</w:t>
      </w:r>
    </w:p>
    <w:p>
      <w:pPr>
        <w:pStyle w:val="11"/>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依据项目公司2020年7月30日和福建榕桓建设有限公司签订的搬迁协议，合同金额132.096万元，8月、9月分别支付的金额为105</w:t>
      </w:r>
      <w:r>
        <w:rPr>
          <w:rFonts w:ascii="宋体" w:hAnsi="宋体"/>
          <w:bCs/>
          <w:color w:val="000000"/>
          <w:sz w:val="24"/>
          <w:szCs w:val="24"/>
          <w:lang w:bidi="zh-CN"/>
        </w:rPr>
        <w:t>.00</w:t>
      </w:r>
      <w:r>
        <w:rPr>
          <w:rFonts w:hint="eastAsia" w:ascii="宋体" w:hAnsi="宋体"/>
          <w:bCs/>
          <w:color w:val="000000"/>
          <w:sz w:val="24"/>
          <w:szCs w:val="24"/>
          <w:lang w:bidi="zh-CN"/>
        </w:rPr>
        <w:t>万元、27</w:t>
      </w:r>
      <w:r>
        <w:rPr>
          <w:rFonts w:ascii="宋体" w:hAnsi="宋体"/>
          <w:bCs/>
          <w:color w:val="000000"/>
          <w:sz w:val="24"/>
          <w:szCs w:val="24"/>
          <w:lang w:bidi="zh-CN"/>
        </w:rPr>
        <w:t>.00</w:t>
      </w:r>
      <w:r>
        <w:rPr>
          <w:rFonts w:hint="eastAsia" w:ascii="宋体" w:hAnsi="宋体"/>
          <w:bCs/>
          <w:color w:val="000000"/>
          <w:sz w:val="24"/>
          <w:szCs w:val="24"/>
          <w:lang w:bidi="zh-CN"/>
        </w:rPr>
        <w:t>万元，其中8月拟支付的金额包含7月预计支付但尚未支付的工程款15</w:t>
      </w:r>
      <w:r>
        <w:rPr>
          <w:rFonts w:ascii="宋体" w:hAnsi="宋体"/>
          <w:bCs/>
          <w:color w:val="000000"/>
          <w:sz w:val="24"/>
          <w:szCs w:val="24"/>
          <w:lang w:bidi="zh-CN"/>
        </w:rPr>
        <w:t>.00</w:t>
      </w:r>
      <w:r>
        <w:rPr>
          <w:rFonts w:hint="eastAsia" w:ascii="宋体" w:hAnsi="宋体"/>
          <w:bCs/>
          <w:color w:val="000000"/>
          <w:sz w:val="24"/>
          <w:szCs w:val="24"/>
          <w:lang w:bidi="zh-CN"/>
        </w:rPr>
        <w:t>万元；</w:t>
      </w:r>
    </w:p>
    <w:p>
      <w:pPr>
        <w:pStyle w:val="11"/>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预计在8月至10月给上海中房建筑设计有限公司支付的方案设计费用共计约570.34万元，设计合同尚未签订，具体支付金额以实际签订的协议为准；</w:t>
      </w:r>
    </w:p>
    <w:p>
      <w:pPr>
        <w:pStyle w:val="11"/>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预计在8月至10月给福建嘉博联合设计股份有限公司支付的施工图设计费用共计约734.79万元，施工图设计合同尚未签订，具体金额以实际签订的协议为准；</w:t>
      </w:r>
    </w:p>
    <w:p>
      <w:pPr>
        <w:pStyle w:val="11"/>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施工图审查合同设计费用预计在9月支付金额约53.32万元，合同尚未签订，具体金额以实际签订的协议为准。</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sz w:val="24"/>
          <w:szCs w:val="24"/>
          <w:lang w:bidi="zh-CN"/>
        </w:rPr>
        <w:t>经审核，搬迁协议的工程款支付符合合同约定；其它协议均未签订，资金计划表中的金额为预估金额，</w:t>
      </w:r>
      <w:r>
        <w:rPr>
          <w:rFonts w:hint="eastAsia" w:ascii="宋体" w:hAnsi="宋体"/>
          <w:sz w:val="24"/>
          <w:szCs w:val="24"/>
        </w:rPr>
        <w:t>需待合同签定后根据合同条款确定是否合理</w:t>
      </w:r>
      <w:r>
        <w:rPr>
          <w:rFonts w:hint="eastAsia" w:ascii="宋体" w:hAnsi="宋体"/>
          <w:sz w:val="24"/>
          <w:szCs w:val="24"/>
          <w:lang w:bidi="zh-CN"/>
        </w:rPr>
        <w:t>。</w:t>
      </w:r>
      <w:r>
        <w:rPr>
          <w:rFonts w:hint="eastAsia" w:ascii="宋体" w:hAnsi="宋体"/>
          <w:sz w:val="24"/>
          <w:szCs w:val="24"/>
        </w:rPr>
        <w:t>根据项目公司提供的《项目开发节奏表》，上述计划支付</w:t>
      </w:r>
      <w:r>
        <w:rPr>
          <w:rFonts w:hint="eastAsia" w:ascii="宋体" w:hAnsi="宋体"/>
          <w:sz w:val="24"/>
          <w:szCs w:val="24"/>
          <w:lang w:eastAsia="zh-CN"/>
        </w:rPr>
        <w:t>内容</w:t>
      </w:r>
      <w:r>
        <w:rPr>
          <w:rFonts w:hint="eastAsia" w:ascii="宋体" w:hAnsi="宋体"/>
          <w:sz w:val="24"/>
          <w:szCs w:val="24"/>
        </w:rPr>
        <w:t>与计划进度相符，</w:t>
      </w:r>
      <w:r>
        <w:rPr>
          <w:rFonts w:hint="eastAsia" w:ascii="宋体" w:hAnsi="宋体"/>
          <w:sz w:val="24"/>
          <w:szCs w:val="24"/>
          <w:lang w:bidi="zh-CN"/>
        </w:rPr>
        <w:t>我司认为</w:t>
      </w:r>
      <w:r>
        <w:rPr>
          <w:rFonts w:ascii="宋体" w:hAnsi="宋体"/>
          <w:sz w:val="24"/>
          <w:szCs w:val="24"/>
          <w:lang w:bidi="zh-CN"/>
        </w:rPr>
        <w:t>8</w:t>
      </w:r>
      <w:r>
        <w:rPr>
          <w:rFonts w:hint="eastAsia" w:ascii="宋体" w:hAnsi="宋体"/>
          <w:sz w:val="24"/>
          <w:szCs w:val="24"/>
          <w:lang w:bidi="zh-CN"/>
        </w:rPr>
        <w:t>月-10月项目公司有关工程款支出的资金计划编制合理。后期我司会对合同签订严格把控，实际支付时，我司会对付款申请、发票、流程、工程合同、现场签证等依据进行审核、计算，根据实际申请情况该付款的合理性、合规性。</w:t>
      </w:r>
    </w:p>
    <w:p>
      <w:pPr>
        <w:spacing w:before="156" w:beforeLines="50" w:after="156" w:afterLines="50" w:line="360" w:lineRule="auto"/>
        <w:ind w:left="0"/>
        <w:rPr>
          <w:rFonts w:hint="eastAsia" w:ascii="宋体" w:hAnsi="宋体"/>
          <w:b/>
          <w:bCs/>
          <w:sz w:val="24"/>
          <w:szCs w:val="24"/>
          <w:lang w:bidi="zh-CN"/>
        </w:rPr>
      </w:pPr>
      <w:r>
        <w:rPr>
          <w:rFonts w:hint="eastAsia" w:ascii="宋体" w:hAnsi="宋体"/>
          <w:b/>
          <w:bCs/>
          <w:sz w:val="24"/>
          <w:szCs w:val="24"/>
          <w:lang w:bidi="zh-CN"/>
        </w:rPr>
        <w:t>（二）销售费用资金支出计划说明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项目公司在8月-10月的销售费用支出共6笔，共计60.64万元，包括营销部员工的工资、奖金、福利及餐费报销等费用，具体分析如下：</w:t>
      </w:r>
    </w:p>
    <w:p>
      <w:pPr>
        <w:pStyle w:val="11"/>
        <w:numPr>
          <w:ilvl w:val="0"/>
          <w:numId w:val="5"/>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9月至10月的营销人员的工资每月4.3</w:t>
      </w:r>
      <w:r>
        <w:rPr>
          <w:rFonts w:hint="eastAsia" w:ascii="宋体" w:hAnsi="宋体"/>
          <w:bCs/>
          <w:color w:val="000000"/>
          <w:sz w:val="24"/>
          <w:szCs w:val="24"/>
          <w:lang w:val="en-US" w:bidi="zh-CN"/>
        </w:rPr>
        <w:t>0</w:t>
      </w:r>
      <w:r>
        <w:rPr>
          <w:rFonts w:hint="eastAsia" w:ascii="宋体" w:hAnsi="宋体"/>
          <w:bCs/>
          <w:color w:val="000000"/>
          <w:sz w:val="24"/>
          <w:szCs w:val="24"/>
          <w:lang w:bidi="zh-CN"/>
        </w:rPr>
        <w:t>万元，人员报销费用预计7.04万元，包括差旅费、杂费、福利费、餐费、社会统筹及办公用品等费用。</w:t>
      </w:r>
    </w:p>
    <w:p>
      <w:pPr>
        <w:pStyle w:val="11"/>
        <w:numPr>
          <w:ilvl w:val="0"/>
          <w:numId w:val="5"/>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8月至10月支付给广告公司月费15.</w:t>
      </w:r>
      <w:r>
        <w:rPr>
          <w:rFonts w:ascii="宋体" w:hAnsi="宋体"/>
          <w:bCs/>
          <w:color w:val="000000"/>
          <w:sz w:val="24"/>
          <w:szCs w:val="24"/>
          <w:lang w:bidi="zh-CN"/>
        </w:rPr>
        <w:t>00</w:t>
      </w:r>
      <w:r>
        <w:rPr>
          <w:rFonts w:hint="eastAsia" w:ascii="宋体" w:hAnsi="宋体"/>
          <w:bCs/>
          <w:color w:val="000000"/>
          <w:sz w:val="24"/>
          <w:szCs w:val="24"/>
          <w:lang w:bidi="zh-CN"/>
        </w:rPr>
        <w:t>万元，合同尚未签订，具体金额以实际签订的协议为准。</w:t>
      </w:r>
    </w:p>
    <w:p>
      <w:pPr>
        <w:spacing w:before="156" w:beforeLines="50" w:after="156" w:afterLines="50" w:line="360" w:lineRule="auto"/>
        <w:ind w:firstLine="480" w:firstLineChars="200"/>
        <w:rPr>
          <w:rFonts w:ascii="宋体" w:hAnsi="宋体"/>
          <w:sz w:val="24"/>
          <w:szCs w:val="24"/>
        </w:rPr>
      </w:pPr>
      <w:r>
        <w:rPr>
          <w:rFonts w:hint="eastAsia" w:ascii="宋体" w:hAnsi="宋体"/>
          <w:bCs/>
          <w:color w:val="000000"/>
          <w:sz w:val="24"/>
          <w:szCs w:val="24"/>
          <w:lang w:bidi="zh-CN"/>
        </w:rPr>
        <w:t>项目公司营销计划及人员工作计划尚未排定，届时将根据实际人员安排进行支付</w:t>
      </w:r>
      <w:r>
        <w:rPr>
          <w:rFonts w:hint="eastAsia" w:ascii="宋体" w:hAnsi="宋体"/>
          <w:sz w:val="24"/>
          <w:szCs w:val="24"/>
          <w:lang w:bidi="zh-CN"/>
        </w:rPr>
        <w:t>相应费用</w:t>
      </w:r>
      <w:r>
        <w:rPr>
          <w:rFonts w:ascii="宋体" w:hAnsi="宋体"/>
          <w:sz w:val="24"/>
          <w:szCs w:val="24"/>
          <w:lang w:bidi="zh-CN"/>
        </w:rPr>
        <w:t>，</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ind w:firstLine="0" w:firstLineChars="0"/>
        <w:rPr>
          <w:rFonts w:hint="eastAsia" w:ascii="宋体" w:hAnsi="宋体"/>
          <w:b/>
          <w:bCs/>
          <w:sz w:val="24"/>
          <w:szCs w:val="24"/>
          <w:lang w:bidi="zh-CN"/>
        </w:rPr>
      </w:pPr>
      <w:r>
        <w:rPr>
          <w:rFonts w:hint="eastAsia" w:ascii="宋体" w:hAnsi="宋体"/>
          <w:b/>
          <w:bCs/>
          <w:sz w:val="24"/>
          <w:szCs w:val="24"/>
          <w:lang w:bidi="zh-CN"/>
        </w:rPr>
        <w:t>（三）管理费用资金支出计划说明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项目公司在8月-10月的管理费用支出共计13笔，共计23.15万元，包括月度招待费、项目地办公室房租、水电物管及其他日常行政费用，具体分析如下：</w:t>
      </w:r>
    </w:p>
    <w:p>
      <w:pPr>
        <w:pStyle w:val="11"/>
        <w:numPr>
          <w:ilvl w:val="0"/>
          <w:numId w:val="6"/>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月度招待费在8月预计支付10.00万元，9月、10月分别支付4.00万元；</w:t>
      </w:r>
    </w:p>
    <w:p>
      <w:pPr>
        <w:pStyle w:val="11"/>
        <w:numPr>
          <w:ilvl w:val="0"/>
          <w:numId w:val="6"/>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办公室房租9月预计支付2.40万元，水电物管8月至10月预计每月支付0.25万元；</w:t>
      </w:r>
    </w:p>
    <w:p>
      <w:pPr>
        <w:pStyle w:val="11"/>
        <w:numPr>
          <w:ilvl w:val="0"/>
          <w:numId w:val="6"/>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其他日常行政费用共计2.00万元。</w:t>
      </w:r>
    </w:p>
    <w:p>
      <w:pPr>
        <w:spacing w:before="156" w:beforeLines="50" w:after="156" w:afterLines="50" w:line="360" w:lineRule="auto"/>
        <w:ind w:firstLine="480" w:firstLineChars="200"/>
        <w:rPr>
          <w:rFonts w:ascii="宋体" w:hAnsi="宋体"/>
          <w:sz w:val="24"/>
          <w:szCs w:val="24"/>
        </w:rPr>
      </w:pPr>
      <w:r>
        <w:rPr>
          <w:rFonts w:ascii="宋体" w:hAnsi="宋体"/>
          <w:sz w:val="24"/>
          <w:szCs w:val="24"/>
          <w:lang w:bidi="zh-CN"/>
        </w:rPr>
        <w:t>经审核，我司认为</w:t>
      </w:r>
      <w:r>
        <w:rPr>
          <w:rFonts w:hint="eastAsia" w:ascii="宋体" w:hAnsi="宋体"/>
          <w:sz w:val="24"/>
          <w:szCs w:val="24"/>
          <w:lang w:bidi="zh-CN"/>
        </w:rPr>
        <w:t>项目公司</w:t>
      </w:r>
      <w:r>
        <w:rPr>
          <w:rFonts w:ascii="宋体" w:hAnsi="宋体"/>
          <w:sz w:val="24"/>
          <w:szCs w:val="24"/>
          <w:lang w:bidi="zh-CN"/>
        </w:rPr>
        <w:t>8月</w:t>
      </w:r>
      <w:r>
        <w:rPr>
          <w:rFonts w:hint="eastAsia" w:ascii="宋体" w:hAnsi="宋体"/>
          <w:sz w:val="24"/>
          <w:szCs w:val="24"/>
          <w:lang w:bidi="zh-CN"/>
        </w:rPr>
        <w:t>-10月份的管理费用资金支出计划表编制基本合理，公司的办公室房租及水电物管的支出符合企业情况，</w:t>
      </w:r>
      <w:r>
        <w:rPr>
          <w:rFonts w:hint="eastAsia" w:ascii="宋体" w:hAnsi="宋体"/>
          <w:sz w:val="24"/>
          <w:szCs w:val="24"/>
        </w:rPr>
        <w:t>由于今年中秋、国庆集中在10月，我司认为项目公司8-10月招待费支付时间可能会有所调整。后期申请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ind w:firstLine="0" w:firstLineChars="0"/>
        <w:rPr>
          <w:rFonts w:hint="eastAsia" w:ascii="宋体" w:hAnsi="宋体"/>
          <w:b/>
          <w:bCs/>
          <w:sz w:val="24"/>
          <w:szCs w:val="24"/>
          <w:lang w:bidi="zh-CN"/>
        </w:rPr>
      </w:pPr>
      <w:r>
        <w:rPr>
          <w:rFonts w:hint="eastAsia" w:ascii="宋体" w:hAnsi="宋体"/>
          <w:b/>
          <w:bCs/>
          <w:sz w:val="24"/>
          <w:szCs w:val="24"/>
          <w:lang w:bidi="zh-CN"/>
        </w:rPr>
        <w:t>（四）资金流入计划审核说明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融创方、非融创方股东预计在9月和10月每月分别投入470</w:t>
      </w:r>
      <w:r>
        <w:rPr>
          <w:rFonts w:ascii="宋体" w:hAnsi="宋体"/>
          <w:sz w:val="24"/>
          <w:szCs w:val="24"/>
        </w:rPr>
        <w:t>.00</w:t>
      </w:r>
      <w:r>
        <w:rPr>
          <w:rFonts w:hint="eastAsia" w:ascii="宋体" w:hAnsi="宋体"/>
          <w:sz w:val="24"/>
          <w:szCs w:val="24"/>
        </w:rPr>
        <w:t>万元、530</w:t>
      </w:r>
      <w:r>
        <w:rPr>
          <w:rFonts w:ascii="宋体" w:hAnsi="宋体"/>
          <w:sz w:val="24"/>
          <w:szCs w:val="24"/>
        </w:rPr>
        <w:t>.00</w:t>
      </w:r>
      <w:r>
        <w:rPr>
          <w:rFonts w:hint="eastAsia" w:ascii="宋体" w:hAnsi="宋体"/>
          <w:sz w:val="24"/>
          <w:szCs w:val="24"/>
        </w:rPr>
        <w:t>万元，用于项目日常支出和工程款支付。</w:t>
      </w:r>
    </w:p>
    <w:p>
      <w:pPr>
        <w:numPr>
          <w:ilvl w:val="0"/>
          <w:numId w:val="1"/>
        </w:numPr>
        <w:spacing w:before="156" w:beforeLines="50" w:after="156" w:afterLines="50" w:line="240" w:lineRule="auto"/>
        <w:ind w:firstLine="120" w:firstLineChars="50"/>
        <w:rPr>
          <w:rFonts w:ascii="宋体" w:hAnsi="宋体"/>
          <w:b/>
          <w:bCs w:val="0"/>
          <w:sz w:val="24"/>
          <w:szCs w:val="24"/>
          <w:lang w:bidi="zh-CN"/>
        </w:rPr>
      </w:pPr>
      <w:r>
        <w:rPr>
          <w:rFonts w:hint="default" w:ascii="宋体" w:hAnsi="宋体"/>
          <w:b/>
          <w:bCs w:val="0"/>
          <w:sz w:val="24"/>
          <w:szCs w:val="24"/>
          <w:lang w:bidi="zh-CN"/>
        </w:rPr>
        <w:t>结论：</w:t>
      </w:r>
    </w:p>
    <w:p>
      <w:pPr>
        <w:pStyle w:val="11"/>
        <w:spacing w:before="156" w:beforeLines="50" w:after="156" w:afterLines="50" w:line="360" w:lineRule="auto"/>
        <w:ind w:firstLine="480"/>
        <w:rPr>
          <w:rFonts w:ascii="宋体" w:hAnsi="宋体"/>
          <w:sz w:val="24"/>
          <w:szCs w:val="24"/>
          <w:lang w:bidi="zh-CN"/>
        </w:rPr>
      </w:pPr>
      <w:r>
        <w:rPr>
          <w:rFonts w:hint="eastAsia" w:ascii="宋体" w:hAnsi="宋体"/>
          <w:sz w:val="24"/>
          <w:szCs w:val="24"/>
        </w:rPr>
        <w:t>SPV公司、项目公司本次提交的2020年8月-10月《季度资金计划表》按款项类别分类，</w:t>
      </w:r>
      <w:r>
        <w:rPr>
          <w:rFonts w:ascii="宋体" w:hAnsi="宋体"/>
          <w:bCs/>
          <w:color w:val="000000"/>
          <w:sz w:val="24"/>
          <w:szCs w:val="24"/>
          <w:lang w:bidi="zh-CN"/>
        </w:rPr>
        <w:t>分类信息明确，直观，费用明细与现场实际情况基本吻合</w:t>
      </w:r>
      <w:r>
        <w:rPr>
          <w:rFonts w:hint="eastAsia" w:ascii="宋体" w:hAnsi="宋体"/>
          <w:bCs/>
          <w:color w:val="000000"/>
          <w:sz w:val="24"/>
          <w:szCs w:val="24"/>
          <w:lang w:bidi="zh-CN"/>
        </w:rPr>
        <w:t>。涉及的合同及付款与开发节奏匹配，部分付款时间较之现金流预测表略有调整。由于本次提交的为季度预算，部分合同在提交预算时未签定属正常情况，</w:t>
      </w:r>
      <w:r>
        <w:rPr>
          <w:rFonts w:hint="eastAsia" w:ascii="宋体" w:hAnsi="宋体"/>
          <w:sz w:val="24"/>
          <w:szCs w:val="24"/>
          <w:lang w:bidi="zh-CN"/>
        </w:rPr>
        <w:t>后期我司会对合同签订严格把控。</w:t>
      </w:r>
      <w:bookmarkStart w:id="1" w:name="_GoBack"/>
      <w:bookmarkEnd w:id="1"/>
      <w:r>
        <w:rPr>
          <w:rFonts w:hint="eastAsia" w:ascii="宋体" w:hAnsi="宋体"/>
          <w:sz w:val="24"/>
          <w:szCs w:val="24"/>
          <w:lang w:bidi="zh-CN"/>
        </w:rPr>
        <w:t>实际支付时，我司会对付款申请、发票、流程、工程合同、现场签证等依据进行审核、计算，根据实际申请情况该付款的合理性、合规性。</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bCs/>
          <w:sz w:val="24"/>
          <w:szCs w:val="24"/>
          <w:lang w:bidi="zh-CN"/>
        </w:rPr>
        <w:t>我司拟同意S</w:t>
      </w:r>
      <w:r>
        <w:rPr>
          <w:rFonts w:ascii="宋体" w:hAnsi="宋体"/>
          <w:bCs/>
          <w:sz w:val="24"/>
          <w:szCs w:val="24"/>
          <w:lang w:bidi="zh-CN"/>
        </w:rPr>
        <w:t>PV</w:t>
      </w:r>
      <w:r>
        <w:rPr>
          <w:rFonts w:hint="eastAsia" w:ascii="宋体" w:hAnsi="宋体"/>
          <w:bCs/>
          <w:sz w:val="24"/>
          <w:szCs w:val="24"/>
          <w:lang w:bidi="zh-CN"/>
        </w:rPr>
        <w:t>公司和项目公司2020年8</w:t>
      </w:r>
      <w:r>
        <w:rPr>
          <w:rFonts w:ascii="宋体" w:hAnsi="宋体"/>
          <w:bCs/>
          <w:sz w:val="24"/>
          <w:szCs w:val="24"/>
          <w:lang w:bidi="zh-CN"/>
        </w:rPr>
        <w:t>月</w:t>
      </w:r>
      <w:r>
        <w:rPr>
          <w:rFonts w:hint="eastAsia" w:ascii="宋体" w:hAnsi="宋体"/>
          <w:bCs/>
          <w:sz w:val="24"/>
          <w:szCs w:val="24"/>
          <w:lang w:bidi="zh-CN"/>
        </w:rPr>
        <w:t>-10月份的资金计划，并以此作为付款的依据。待实际支付时，我司人员将对相关付款资料的合理、合规性一一核实，据实支付，请审批。</w:t>
      </w:r>
    </w:p>
    <w:p>
      <w:pPr>
        <w:spacing w:before="156" w:beforeLines="50" w:after="156" w:afterLines="50" w:line="360" w:lineRule="auto"/>
        <w:ind w:firstLine="480" w:firstLineChars="200"/>
        <w:rPr>
          <w:rFonts w:ascii="宋体" w:hAnsi="宋体"/>
          <w:sz w:val="24"/>
          <w:szCs w:val="24"/>
        </w:rPr>
      </w:pPr>
    </w:p>
    <w:p>
      <w:pPr>
        <w:spacing w:line="360" w:lineRule="auto"/>
        <w:ind w:firstLine="5060" w:firstLineChars="2100"/>
        <w:rPr>
          <w:rFonts w:ascii="宋体" w:hAnsi="宋体"/>
          <w:b/>
          <w:color w:val="000000"/>
          <w:sz w:val="24"/>
          <w:lang w:bidi="zh-CN"/>
        </w:rPr>
      </w:pPr>
      <w:r>
        <w:rPr>
          <w:rFonts w:hint="eastAsia" w:ascii="宋体" w:hAnsi="宋体"/>
          <w:b/>
          <w:color w:val="000000"/>
          <w:sz w:val="24"/>
          <w:lang w:bidi="zh-CN"/>
        </w:rPr>
        <w:t xml:space="preserve">       北京康信君安资产管理有限公司</w:t>
      </w:r>
    </w:p>
    <w:p>
      <w:pPr>
        <w:spacing w:before="156" w:beforeLines="50" w:line="360" w:lineRule="auto"/>
        <w:ind w:left="420" w:leftChars="200" w:firstLine="482" w:firstLineChars="200"/>
        <w:rPr>
          <w:rFonts w:ascii="宋体" w:hAnsi="宋体"/>
        </w:rPr>
      </w:pPr>
      <w:r>
        <w:rPr>
          <w:rFonts w:hint="eastAsia" w:ascii="宋体" w:hAnsi="宋体"/>
          <w:b/>
          <w:color w:val="000000"/>
          <w:sz w:val="24"/>
          <w:lang w:bidi="zh-CN"/>
        </w:rPr>
        <w:t xml:space="preserve">                                              </w:t>
      </w:r>
      <w:r>
        <w:rPr>
          <w:rFonts w:hint="eastAsia" w:ascii="宋体" w:hAnsi="宋体"/>
          <w:color w:val="000000"/>
          <w:sz w:val="24"/>
          <w:lang w:bidi="zh-CN"/>
        </w:rPr>
        <w:t xml:space="preserve"> 20</w:t>
      </w:r>
      <w:r>
        <w:rPr>
          <w:rFonts w:ascii="宋体" w:hAnsi="宋体"/>
          <w:color w:val="000000"/>
          <w:sz w:val="24"/>
          <w:lang w:bidi="zh-CN"/>
        </w:rPr>
        <w:t>20</w:t>
      </w:r>
      <w:r>
        <w:rPr>
          <w:rFonts w:hint="eastAsia" w:ascii="宋体" w:hAnsi="宋体"/>
          <w:color w:val="000000"/>
          <w:sz w:val="24"/>
          <w:lang w:bidi="zh-CN"/>
        </w:rPr>
        <w:t>年</w:t>
      </w:r>
      <w:r>
        <w:rPr>
          <w:rFonts w:ascii="宋体" w:hAnsi="宋体"/>
          <w:color w:val="000000"/>
          <w:sz w:val="24"/>
          <w:lang w:bidi="zh-CN"/>
        </w:rPr>
        <w:t>8月</w:t>
      </w:r>
      <w:r>
        <w:rPr>
          <w:rFonts w:hint="eastAsia" w:ascii="宋体" w:hAnsi="宋体"/>
          <w:color w:val="000000"/>
          <w:sz w:val="24"/>
          <w:lang w:bidi="zh-CN"/>
        </w:rPr>
        <w:t>10</w:t>
      </w:r>
      <w:r>
        <w:rPr>
          <w:rFonts w:ascii="宋体" w:hAnsi="宋体"/>
          <w:color w:val="000000"/>
          <w:sz w:val="24"/>
          <w:lang w:bidi="zh-CN"/>
        </w:rPr>
        <w:t>日</w:t>
      </w:r>
    </w:p>
    <w:p>
      <w:pPr>
        <w:spacing w:line="360" w:lineRule="auto"/>
        <w:ind w:firstLine="4578" w:firstLineChars="1900"/>
        <w:rPr>
          <w:rFonts w:ascii="宋体" w:hAnsi="宋体"/>
          <w:b/>
          <w:color w:val="000000"/>
          <w:sz w:val="24"/>
          <w:lang w:bidi="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81DE"/>
    <w:multiLevelType w:val="multilevel"/>
    <w:tmpl w:val="062381DE"/>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4C624E7"/>
    <w:multiLevelType w:val="multilevel"/>
    <w:tmpl w:val="14C624E7"/>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F5288DA"/>
    <w:multiLevelType w:val="singleLevel"/>
    <w:tmpl w:val="1F5288DA"/>
    <w:lvl w:ilvl="0" w:tentative="0">
      <w:start w:val="1"/>
      <w:numFmt w:val="chineseCounting"/>
      <w:suff w:val="nothing"/>
      <w:lvlText w:val="%1、"/>
      <w:lvlJc w:val="left"/>
      <w:rPr>
        <w:rFonts w:hint="eastAsia"/>
      </w:rPr>
    </w:lvl>
  </w:abstractNum>
  <w:abstractNum w:abstractNumId="3">
    <w:nsid w:val="43768D9D"/>
    <w:multiLevelType w:val="multilevel"/>
    <w:tmpl w:val="43768D9D"/>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3794717"/>
    <w:multiLevelType w:val="multilevel"/>
    <w:tmpl w:val="43794717"/>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8C32C33"/>
    <w:multiLevelType w:val="multilevel"/>
    <w:tmpl w:val="78C32C33"/>
    <w:lvl w:ilvl="0" w:tentative="0">
      <w:start w:val="940"/>
      <w:numFmt w:val="bullet"/>
      <w:lvlText w:val="-"/>
      <w:lvlJc w:val="left"/>
      <w:pPr>
        <w:ind w:left="1080" w:hanging="360"/>
      </w:pPr>
      <w:rPr>
        <w:rFonts w:hint="eastAsia" w:ascii="宋体" w:hAnsi="宋体" w:eastAsia="宋体" w:cs="宋体"/>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3D1761"/>
    <w:rsid w:val="00040F89"/>
    <w:rsid w:val="00065207"/>
    <w:rsid w:val="000E3789"/>
    <w:rsid w:val="00136E9B"/>
    <w:rsid w:val="00142260"/>
    <w:rsid w:val="00194BA4"/>
    <w:rsid w:val="00237492"/>
    <w:rsid w:val="002A26CB"/>
    <w:rsid w:val="002B4D97"/>
    <w:rsid w:val="002E58E2"/>
    <w:rsid w:val="00473EDB"/>
    <w:rsid w:val="0049374E"/>
    <w:rsid w:val="004B1C61"/>
    <w:rsid w:val="004D1D0F"/>
    <w:rsid w:val="00571659"/>
    <w:rsid w:val="005B4A9C"/>
    <w:rsid w:val="005B5D70"/>
    <w:rsid w:val="00634457"/>
    <w:rsid w:val="00644ECF"/>
    <w:rsid w:val="007A22DB"/>
    <w:rsid w:val="007E1386"/>
    <w:rsid w:val="00832436"/>
    <w:rsid w:val="008610EA"/>
    <w:rsid w:val="00877846"/>
    <w:rsid w:val="008847E6"/>
    <w:rsid w:val="009A0579"/>
    <w:rsid w:val="00AF7AC5"/>
    <w:rsid w:val="00BA68DE"/>
    <w:rsid w:val="00C930E4"/>
    <w:rsid w:val="00C95AE7"/>
    <w:rsid w:val="00D306E0"/>
    <w:rsid w:val="00D76CDD"/>
    <w:rsid w:val="00E20E17"/>
    <w:rsid w:val="00E45716"/>
    <w:rsid w:val="00E568EC"/>
    <w:rsid w:val="00F01AF9"/>
    <w:rsid w:val="00F8220C"/>
    <w:rsid w:val="00FA3166"/>
    <w:rsid w:val="04143CD3"/>
    <w:rsid w:val="04982717"/>
    <w:rsid w:val="063D1761"/>
    <w:rsid w:val="07E03F89"/>
    <w:rsid w:val="08EE1EC1"/>
    <w:rsid w:val="0DEB56BA"/>
    <w:rsid w:val="178873E1"/>
    <w:rsid w:val="2A9918BD"/>
    <w:rsid w:val="35826B17"/>
    <w:rsid w:val="407961B2"/>
    <w:rsid w:val="437C7673"/>
    <w:rsid w:val="466923B3"/>
    <w:rsid w:val="54BD1A39"/>
    <w:rsid w:val="59DE52E9"/>
    <w:rsid w:val="6C9C7B61"/>
    <w:rsid w:val="73F773CD"/>
    <w:rsid w:val="7586575E"/>
    <w:rsid w:val="761B4740"/>
    <w:rsid w:val="7D0839FB"/>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12"/>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Body Text First Indent"/>
    <w:basedOn w:val="5"/>
    <w:unhideWhenUsed/>
    <w:qFormat/>
    <w:uiPriority w:val="99"/>
    <w:pPr>
      <w:ind w:firstLine="420" w:firstLineChars="100"/>
    </w:pPr>
    <w:rPr>
      <w:szCs w:val="24"/>
    </w:rPr>
  </w:style>
  <w:style w:type="paragraph" w:styleId="11">
    <w:name w:val="List Paragraph"/>
    <w:basedOn w:val="1"/>
    <w:qFormat/>
    <w:uiPriority w:val="99"/>
    <w:pPr>
      <w:ind w:firstLine="420" w:firstLineChars="200"/>
    </w:pPr>
  </w:style>
  <w:style w:type="character" w:customStyle="1" w:styleId="12">
    <w:name w:val="批注框文本 字符"/>
    <w:basedOn w:val="10"/>
    <w:link w:val="6"/>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617</Words>
  <Characters>3518</Characters>
  <Lines>29</Lines>
  <Paragraphs>8</Paragraphs>
  <TotalTime>39</TotalTime>
  <ScaleCrop>false</ScaleCrop>
  <LinksUpToDate>false</LinksUpToDate>
  <CharactersWithSpaces>4127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2020-08-11T03:39:00Z</dcterms:created>
  <dc:creator>郭胜霖</dc:creator>
  <cp:lastModifiedBy>zhenny</cp:lastModifiedBy>
  <dcterms:modified xsi:type="dcterms:W3CDTF">2020-08-12T01:55:25Z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