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36"/>
          <w:szCs w:val="36"/>
        </w:rPr>
      </w:pPr>
      <w:r>
        <w:rPr>
          <w:rFonts w:hint="eastAsia" w:ascii="宋体" w:hAnsi="宋体" w:cs="宋体"/>
          <w:b/>
          <w:bCs/>
          <w:sz w:val="36"/>
          <w:szCs w:val="36"/>
        </w:rPr>
        <w:t>关于福州螺洲T</w:t>
      </w:r>
      <w:r>
        <w:rPr>
          <w:rFonts w:ascii="宋体" w:hAnsi="宋体" w:cs="宋体"/>
          <w:b/>
          <w:bCs/>
          <w:sz w:val="36"/>
          <w:szCs w:val="36"/>
        </w:rPr>
        <w:t>OD</w:t>
      </w:r>
      <w:r>
        <w:rPr>
          <w:rFonts w:hint="eastAsia" w:ascii="宋体" w:hAnsi="宋体" w:cs="宋体"/>
          <w:b/>
          <w:bCs/>
          <w:sz w:val="36"/>
          <w:szCs w:val="36"/>
        </w:rPr>
        <w:t>项目</w:t>
      </w:r>
      <w:r>
        <w:rPr>
          <w:rFonts w:cs="Arial" w:asciiTheme="minorEastAsia" w:hAnsiTheme="minorEastAsia" w:eastAsiaTheme="minorEastAsia"/>
          <w:b/>
          <w:bCs/>
          <w:sz w:val="36"/>
          <w:szCs w:val="36"/>
        </w:rPr>
        <w:t>202</w:t>
      </w:r>
      <w:r>
        <w:rPr>
          <w:rFonts w:hint="eastAsia" w:cs="Arial" w:asciiTheme="minorEastAsia" w:hAnsiTheme="minorEastAsia" w:eastAsiaTheme="minorEastAsia"/>
          <w:b/>
          <w:bCs/>
          <w:sz w:val="36"/>
          <w:szCs w:val="36"/>
        </w:rPr>
        <w:t>1</w:t>
      </w:r>
      <w:r>
        <w:rPr>
          <w:rFonts w:hint="eastAsia" w:ascii="宋体" w:hAnsi="宋体" w:cs="宋体"/>
          <w:b/>
          <w:bCs/>
          <w:sz w:val="36"/>
          <w:szCs w:val="36"/>
        </w:rPr>
        <w:t>年</w:t>
      </w:r>
      <w:r>
        <w:rPr>
          <w:rFonts w:hint="eastAsia" w:cs="Arial" w:asciiTheme="minorEastAsia" w:hAnsiTheme="minorEastAsia" w:eastAsiaTheme="minorEastAsia"/>
          <w:b/>
          <w:bCs/>
          <w:sz w:val="36"/>
          <w:szCs w:val="36"/>
        </w:rPr>
        <w:t>1</w:t>
      </w:r>
      <w:r>
        <w:rPr>
          <w:rFonts w:hint="eastAsia" w:ascii="宋体" w:hAnsi="宋体" w:cs="宋体"/>
          <w:b/>
          <w:bCs/>
          <w:sz w:val="36"/>
          <w:szCs w:val="36"/>
        </w:rPr>
        <w:t>月资金计划</w:t>
      </w:r>
    </w:p>
    <w:p>
      <w:pPr>
        <w:jc w:val="center"/>
        <w:rPr>
          <w:rFonts w:ascii="宋体" w:hAnsi="宋体" w:cs="宋体"/>
          <w:b/>
          <w:bCs/>
          <w:sz w:val="36"/>
          <w:szCs w:val="36"/>
        </w:rPr>
      </w:pPr>
      <w:r>
        <w:rPr>
          <w:rFonts w:hint="eastAsia" w:ascii="宋体" w:hAnsi="宋体" w:cs="宋体"/>
          <w:b/>
          <w:bCs/>
          <w:sz w:val="36"/>
          <w:szCs w:val="36"/>
        </w:rPr>
        <w:t>审核说明</w:t>
      </w:r>
    </w:p>
    <w:p>
      <w:pPr>
        <w:spacing w:line="360" w:lineRule="auto"/>
        <w:rPr>
          <w:rFonts w:ascii="宋体" w:hAnsi="宋体"/>
          <w:b/>
          <w:bCs/>
          <w:sz w:val="28"/>
          <w:szCs w:val="28"/>
        </w:rPr>
      </w:pPr>
      <w:r>
        <w:rPr>
          <w:rFonts w:hint="eastAsia" w:ascii="宋体" w:hAnsi="宋体"/>
          <w:b/>
          <w:bCs/>
          <w:sz w:val="28"/>
          <w:szCs w:val="28"/>
        </w:rPr>
        <w:t>中航信托股份有限公司：</w:t>
      </w:r>
    </w:p>
    <w:p>
      <w:pPr>
        <w:spacing w:line="360" w:lineRule="auto"/>
        <w:ind w:firstLine="480" w:firstLineChars="200"/>
        <w:rPr>
          <w:rFonts w:ascii="宋体" w:hAnsi="宋体"/>
          <w:sz w:val="24"/>
          <w:szCs w:val="24"/>
        </w:rPr>
      </w:pPr>
      <w:r>
        <w:rPr>
          <w:rFonts w:hint="eastAsia" w:ascii="宋体" w:hAnsi="宋体"/>
          <w:sz w:val="24"/>
          <w:szCs w:val="24"/>
        </w:rPr>
        <w:t>福州首融房地产有限公司（以下简称“项目公司”）于</w:t>
      </w:r>
      <w:r>
        <w:rPr>
          <w:rFonts w:ascii="宋体" w:hAnsi="宋体"/>
          <w:sz w:val="24"/>
          <w:szCs w:val="24"/>
        </w:rPr>
        <w:t>2020年</w:t>
      </w:r>
      <w:r>
        <w:rPr>
          <w:rFonts w:hint="eastAsia" w:ascii="宋体" w:hAnsi="宋体"/>
          <w:sz w:val="24"/>
          <w:szCs w:val="24"/>
        </w:rPr>
        <w:t>12</w:t>
      </w:r>
      <w:r>
        <w:rPr>
          <w:rFonts w:ascii="宋体" w:hAnsi="宋体"/>
          <w:sz w:val="24"/>
          <w:szCs w:val="24"/>
        </w:rPr>
        <w:t>月</w:t>
      </w:r>
      <w:r>
        <w:rPr>
          <w:rFonts w:hint="eastAsia" w:ascii="宋体" w:hAnsi="宋体"/>
          <w:sz w:val="24"/>
          <w:szCs w:val="24"/>
        </w:rPr>
        <w:t>28</w:t>
      </w:r>
      <w:r>
        <w:rPr>
          <w:rFonts w:ascii="宋体" w:hAnsi="宋体"/>
          <w:sz w:val="24"/>
          <w:szCs w:val="24"/>
        </w:rPr>
        <w:t>日</w:t>
      </w:r>
      <w:r>
        <w:rPr>
          <w:rFonts w:hint="eastAsia" w:ascii="宋体" w:hAnsi="宋体"/>
          <w:sz w:val="24"/>
          <w:szCs w:val="24"/>
        </w:rPr>
        <w:t>提交了2021年1月的资金计划，我司对项目公司申报的资金计划进行了审核，202</w:t>
      </w:r>
      <w:r>
        <w:rPr>
          <w:rFonts w:hint="eastAsia" w:ascii="宋体" w:hAnsi="宋体"/>
          <w:sz w:val="24"/>
          <w:szCs w:val="24"/>
          <w:lang w:val="en-US" w:eastAsia="zh-CN"/>
        </w:rPr>
        <w:t>1</w:t>
      </w:r>
      <w:r>
        <w:rPr>
          <w:rFonts w:hint="eastAsia" w:ascii="宋体" w:hAnsi="宋体"/>
          <w:sz w:val="24"/>
          <w:szCs w:val="24"/>
        </w:rPr>
        <w:t>年1月资金计划审核结果如下：</w:t>
      </w:r>
    </w:p>
    <w:p>
      <w:pPr>
        <w:numPr>
          <w:ilvl w:val="0"/>
          <w:numId w:val="1"/>
        </w:numPr>
        <w:spacing w:before="156" w:beforeLines="50" w:after="156" w:afterLines="50"/>
        <w:ind w:firstLine="120" w:firstLineChars="50"/>
        <w:rPr>
          <w:rFonts w:ascii="宋体" w:hAnsi="宋体"/>
          <w:b/>
          <w:sz w:val="24"/>
          <w:szCs w:val="24"/>
        </w:rPr>
      </w:pPr>
      <w:r>
        <w:rPr>
          <w:rFonts w:ascii="宋体" w:hAnsi="宋体"/>
          <w:b/>
          <w:sz w:val="24"/>
          <w:szCs w:val="24"/>
          <w:lang w:bidi="zh-CN"/>
        </w:rPr>
        <w:t>福州螺洲TOD</w:t>
      </w:r>
      <w:r>
        <w:rPr>
          <w:rFonts w:hint="eastAsia" w:ascii="宋体" w:hAnsi="宋体"/>
          <w:b/>
          <w:sz w:val="24"/>
          <w:szCs w:val="24"/>
        </w:rPr>
        <w:t>项目公司202</w:t>
      </w:r>
      <w:r>
        <w:rPr>
          <w:rFonts w:hint="eastAsia" w:ascii="宋体" w:hAnsi="宋体"/>
          <w:b/>
          <w:sz w:val="24"/>
          <w:szCs w:val="24"/>
          <w:lang w:val="en-US" w:eastAsia="zh-CN"/>
        </w:rPr>
        <w:t>1</w:t>
      </w:r>
      <w:r>
        <w:rPr>
          <w:rFonts w:hint="eastAsia" w:ascii="宋体" w:hAnsi="宋体"/>
          <w:b/>
          <w:sz w:val="24"/>
          <w:szCs w:val="24"/>
        </w:rPr>
        <w:t>年1月份资金汇总</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项目公司于</w:t>
      </w:r>
      <w:r>
        <w:rPr>
          <w:rFonts w:ascii="宋体" w:hAnsi="宋体"/>
          <w:sz w:val="24"/>
          <w:szCs w:val="24"/>
        </w:rPr>
        <w:t>2020年</w:t>
      </w:r>
      <w:r>
        <w:rPr>
          <w:rFonts w:hint="eastAsia" w:ascii="宋体" w:hAnsi="宋体"/>
          <w:sz w:val="24"/>
          <w:szCs w:val="24"/>
        </w:rPr>
        <w:t>12</w:t>
      </w:r>
      <w:r>
        <w:rPr>
          <w:rFonts w:ascii="宋体" w:hAnsi="宋体"/>
          <w:sz w:val="24"/>
          <w:szCs w:val="24"/>
        </w:rPr>
        <w:t>月</w:t>
      </w:r>
      <w:r>
        <w:rPr>
          <w:rFonts w:hint="eastAsia" w:ascii="宋体" w:hAnsi="宋体"/>
          <w:sz w:val="24"/>
          <w:szCs w:val="24"/>
        </w:rPr>
        <w:t>28</w:t>
      </w:r>
      <w:r>
        <w:rPr>
          <w:rFonts w:ascii="宋体" w:hAnsi="宋体"/>
          <w:sz w:val="24"/>
          <w:szCs w:val="24"/>
        </w:rPr>
        <w:t>日</w:t>
      </w:r>
      <w:r>
        <w:rPr>
          <w:rFonts w:hint="eastAsia" w:ascii="宋体" w:hAnsi="宋体"/>
          <w:sz w:val="24"/>
          <w:szCs w:val="24"/>
        </w:rPr>
        <w:t>提交的2021年1月的资金支出计划，</w:t>
      </w:r>
      <w:r>
        <w:rPr>
          <w:rFonts w:hint="eastAsia" w:ascii="宋体" w:hAnsi="宋体"/>
          <w:sz w:val="24"/>
          <w:szCs w:val="24"/>
          <w:lang w:val="en-US" w:eastAsia="zh-CN"/>
        </w:rPr>
        <w:t>2021年</w:t>
      </w:r>
      <w:bookmarkStart w:id="0" w:name="_GoBack"/>
      <w:bookmarkEnd w:id="0"/>
      <w:r>
        <w:rPr>
          <w:rFonts w:ascii="宋体" w:hAnsi="宋体"/>
          <w:sz w:val="24"/>
          <w:szCs w:val="24"/>
        </w:rPr>
        <w:t>1</w:t>
      </w:r>
      <w:r>
        <w:rPr>
          <w:rFonts w:hint="eastAsia" w:ascii="宋体" w:hAnsi="宋体"/>
          <w:sz w:val="24"/>
          <w:szCs w:val="24"/>
        </w:rPr>
        <w:t>月份的</w:t>
      </w:r>
      <w:r>
        <w:rPr>
          <w:rFonts w:ascii="宋体" w:hAnsi="宋体"/>
          <w:sz w:val="24"/>
          <w:szCs w:val="24"/>
        </w:rPr>
        <w:t>计划</w:t>
      </w:r>
      <w:r>
        <w:rPr>
          <w:rFonts w:hint="eastAsia" w:ascii="宋体" w:hAnsi="宋体"/>
          <w:sz w:val="24"/>
          <w:szCs w:val="24"/>
        </w:rPr>
        <w:t>资金支出共计70笔，合计3,112.49万元。其中：工程款支出2,324.26万元，销售费用</w:t>
      </w:r>
      <w:r>
        <w:rPr>
          <w:rFonts w:hint="eastAsia" w:ascii="宋体" w:hAnsi="宋体" w:cs="宋体"/>
          <w:color w:val="000000"/>
          <w:kern w:val="0"/>
          <w:sz w:val="24"/>
          <w:szCs w:val="24"/>
          <w:lang w:bidi="ar"/>
        </w:rPr>
        <w:t xml:space="preserve">571.63 </w:t>
      </w:r>
      <w:r>
        <w:rPr>
          <w:rFonts w:hint="eastAsia" w:ascii="宋体" w:hAnsi="宋体"/>
          <w:sz w:val="24"/>
          <w:szCs w:val="24"/>
        </w:rPr>
        <w:t>万元，管理费用</w:t>
      </w:r>
      <w:r>
        <w:rPr>
          <w:rFonts w:hint="eastAsia" w:ascii="宋体" w:hAnsi="宋体" w:cs="宋体"/>
          <w:color w:val="000000"/>
          <w:kern w:val="0"/>
          <w:sz w:val="24"/>
          <w:szCs w:val="24"/>
          <w:lang w:bidi="ar"/>
        </w:rPr>
        <w:t xml:space="preserve">16.60 </w:t>
      </w:r>
      <w:r>
        <w:rPr>
          <w:rFonts w:hint="eastAsia" w:ascii="宋体" w:hAnsi="宋体"/>
          <w:sz w:val="24"/>
          <w:szCs w:val="24"/>
        </w:rPr>
        <w:t>万元，不可预见费用200.00万元。</w:t>
      </w:r>
    </w:p>
    <w:tbl>
      <w:tblPr>
        <w:tblStyle w:val="11"/>
        <w:tblW w:w="9660" w:type="dxa"/>
        <w:tblInd w:w="-124" w:type="dxa"/>
        <w:tblLayout w:type="fixed"/>
        <w:tblCellMar>
          <w:top w:w="0" w:type="dxa"/>
          <w:left w:w="0" w:type="dxa"/>
          <w:bottom w:w="0" w:type="dxa"/>
          <w:right w:w="0" w:type="dxa"/>
        </w:tblCellMar>
      </w:tblPr>
      <w:tblGrid>
        <w:gridCol w:w="5688"/>
        <w:gridCol w:w="3972"/>
      </w:tblGrid>
      <w:tr>
        <w:tblPrEx>
          <w:tblCellMar>
            <w:top w:w="0" w:type="dxa"/>
            <w:left w:w="0" w:type="dxa"/>
            <w:bottom w:w="0" w:type="dxa"/>
            <w:right w:w="0" w:type="dxa"/>
          </w:tblCellMar>
        </w:tblPrEx>
        <w:trPr>
          <w:trHeight w:val="552" w:hRule="atLeast"/>
        </w:trPr>
        <w:tc>
          <w:tcPr>
            <w:tcW w:w="9660" w:type="dxa"/>
            <w:gridSpan w:val="2"/>
            <w:tcBorders>
              <w:top w:val="single" w:color="auto" w:sz="4" w:space="0"/>
              <w:left w:val="single" w:color="000000" w:sz="4" w:space="0"/>
              <w:bottom w:val="nil"/>
              <w:right w:val="single" w:color="auto" w:sz="4" w:space="0"/>
            </w:tcBorders>
            <w:shd w:val="clear" w:color="auto" w:fill="CCC0D9"/>
            <w:tcMar>
              <w:top w:w="12" w:type="dxa"/>
              <w:left w:w="12" w:type="dxa"/>
              <w:right w:w="12" w:type="dxa"/>
            </w:tcMar>
          </w:tcPr>
          <w:p>
            <w:pPr>
              <w:widowControl/>
              <w:jc w:val="center"/>
              <w:textAlignment w:val="top"/>
              <w:rPr>
                <w:rFonts w:ascii="宋体" w:hAnsi="宋体" w:cs="宋体"/>
                <w:b/>
                <w:color w:val="000000"/>
                <w:sz w:val="28"/>
                <w:szCs w:val="28"/>
              </w:rPr>
            </w:pPr>
            <w:r>
              <w:rPr>
                <w:rFonts w:hint="eastAsia" w:ascii="宋体" w:hAnsi="宋体" w:cs="宋体"/>
                <w:b/>
                <w:color w:val="000000"/>
                <w:kern w:val="0"/>
                <w:sz w:val="28"/>
                <w:szCs w:val="28"/>
                <w:lang w:bidi="ar"/>
              </w:rPr>
              <w:t>中航信托·天启【202</w:t>
            </w:r>
            <w:r>
              <w:rPr>
                <w:rFonts w:hint="eastAsia" w:ascii="宋体" w:hAnsi="宋体" w:cs="宋体"/>
                <w:b/>
                <w:color w:val="000000"/>
                <w:kern w:val="0"/>
                <w:sz w:val="28"/>
                <w:szCs w:val="28"/>
                <w:lang w:val="en-US" w:eastAsia="zh-CN" w:bidi="ar"/>
              </w:rPr>
              <w:t>1</w:t>
            </w:r>
            <w:r>
              <w:rPr>
                <w:rFonts w:hint="eastAsia" w:ascii="宋体" w:hAnsi="宋体" w:cs="宋体"/>
                <w:b/>
                <w:color w:val="000000"/>
                <w:kern w:val="0"/>
                <w:sz w:val="28"/>
                <w:szCs w:val="28"/>
                <w:lang w:bidi="ar"/>
              </w:rPr>
              <w:t>】201号福州螺洲TOD项目股权投资集合资金信托计划</w:t>
            </w:r>
          </w:p>
        </w:tc>
      </w:tr>
      <w:tr>
        <w:tblPrEx>
          <w:tblCellMar>
            <w:top w:w="0" w:type="dxa"/>
            <w:left w:w="0" w:type="dxa"/>
            <w:bottom w:w="0" w:type="dxa"/>
            <w:right w:w="0" w:type="dxa"/>
          </w:tblCellMar>
        </w:tblPrEx>
        <w:trPr>
          <w:trHeight w:val="288" w:hRule="atLeast"/>
        </w:trPr>
        <w:tc>
          <w:tcPr>
            <w:tcW w:w="9660" w:type="dxa"/>
            <w:gridSpan w:val="2"/>
            <w:tcBorders>
              <w:top w:val="nil"/>
              <w:left w:val="single" w:color="000000" w:sz="4" w:space="0"/>
              <w:bottom w:val="nil"/>
              <w:right w:val="single" w:color="auto" w:sz="4" w:space="0"/>
            </w:tcBorders>
            <w:shd w:val="clear" w:color="auto" w:fill="CCC0D9"/>
            <w:tcMar>
              <w:top w:w="12" w:type="dxa"/>
              <w:left w:w="12" w:type="dxa"/>
              <w:right w:w="12"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福州首融房地产开发有限公司螺洲TOD项目202</w:t>
            </w:r>
            <w:r>
              <w:rPr>
                <w:rFonts w:hint="eastAsia" w:ascii="宋体" w:hAnsi="宋体" w:cs="宋体"/>
                <w:b/>
                <w:color w:val="000000"/>
                <w:kern w:val="0"/>
                <w:sz w:val="24"/>
                <w:szCs w:val="24"/>
                <w:lang w:val="en-US" w:eastAsia="zh-CN" w:bidi="ar"/>
              </w:rPr>
              <w:t>1</w:t>
            </w:r>
            <w:r>
              <w:rPr>
                <w:rFonts w:hint="eastAsia" w:ascii="宋体" w:hAnsi="宋体" w:cs="宋体"/>
                <w:b/>
                <w:color w:val="000000"/>
                <w:kern w:val="0"/>
                <w:sz w:val="24"/>
                <w:szCs w:val="24"/>
                <w:lang w:bidi="ar"/>
              </w:rPr>
              <w:t>年1月资金计划</w:t>
            </w:r>
          </w:p>
        </w:tc>
      </w:tr>
      <w:tr>
        <w:tblPrEx>
          <w:tblCellMar>
            <w:top w:w="0" w:type="dxa"/>
            <w:left w:w="0" w:type="dxa"/>
            <w:bottom w:w="0" w:type="dxa"/>
            <w:right w:w="0" w:type="dxa"/>
          </w:tblCellMar>
        </w:tblPrEx>
        <w:trPr>
          <w:trHeight w:val="348" w:hRule="atLeast"/>
        </w:trPr>
        <w:tc>
          <w:tcPr>
            <w:tcW w:w="9660" w:type="dxa"/>
            <w:gridSpan w:val="2"/>
            <w:tcBorders>
              <w:top w:val="nil"/>
              <w:left w:val="single" w:color="000000" w:sz="4" w:space="0"/>
              <w:bottom w:val="single" w:color="000000" w:sz="4" w:space="0"/>
              <w:right w:val="single" w:color="auto" w:sz="4" w:space="0"/>
            </w:tcBorders>
            <w:shd w:val="clear" w:color="auto" w:fill="CCC0D9"/>
            <w:tcMar>
              <w:top w:w="12" w:type="dxa"/>
              <w:left w:w="12" w:type="dxa"/>
              <w:right w:w="12" w:type="dxa"/>
            </w:tcMar>
            <w:vAlign w:val="center"/>
          </w:tcPr>
          <w:p>
            <w:pPr>
              <w:widowControl/>
              <w:textAlignment w:val="center"/>
              <w:rPr>
                <w:rFonts w:ascii="宋体" w:hAnsi="宋体" w:cs="宋体"/>
                <w:b/>
                <w:color w:val="000000"/>
                <w:sz w:val="24"/>
                <w:szCs w:val="24"/>
              </w:rPr>
            </w:pPr>
            <w:r>
              <w:rPr>
                <w:rFonts w:hint="eastAsia" w:ascii="宋体" w:hAnsi="宋体" w:cs="宋体"/>
                <w:b/>
                <w:color w:val="000000"/>
                <w:kern w:val="0"/>
                <w:sz w:val="24"/>
                <w:szCs w:val="24"/>
                <w:lang w:bidi="ar"/>
              </w:rPr>
              <w:t>编制单位：福州首融房地产开发有限公司                                  单位：万元</w:t>
            </w:r>
          </w:p>
        </w:tc>
      </w:tr>
      <w:tr>
        <w:tblPrEx>
          <w:tblCellMar>
            <w:top w:w="0" w:type="dxa"/>
            <w:left w:w="0" w:type="dxa"/>
            <w:bottom w:w="0" w:type="dxa"/>
            <w:right w:w="0" w:type="dxa"/>
          </w:tblCellMar>
        </w:tblPrEx>
        <w:trPr>
          <w:trHeight w:val="312" w:hRule="atLeast"/>
        </w:trPr>
        <w:tc>
          <w:tcPr>
            <w:tcW w:w="5688" w:type="dxa"/>
            <w:tcBorders>
              <w:top w:val="single" w:color="000000" w:sz="4" w:space="0"/>
              <w:left w:val="single" w:color="000000" w:sz="4" w:space="0"/>
              <w:bottom w:val="single" w:color="000000" w:sz="4" w:space="0"/>
              <w:right w:val="single" w:color="000000" w:sz="4" w:space="0"/>
            </w:tcBorders>
            <w:shd w:val="clear" w:color="auto" w:fill="DCD8C2"/>
            <w:tcMar>
              <w:top w:w="12" w:type="dxa"/>
              <w:left w:w="12" w:type="dxa"/>
              <w:right w:w="12" w:type="dxa"/>
            </w:tcMar>
          </w:tcPr>
          <w:p>
            <w:pPr>
              <w:widowControl/>
              <w:jc w:val="center"/>
              <w:textAlignment w:val="top"/>
              <w:rPr>
                <w:rFonts w:ascii="宋体" w:hAnsi="宋体" w:cs="宋体"/>
                <w:b/>
                <w:color w:val="000000"/>
                <w:sz w:val="24"/>
                <w:szCs w:val="24"/>
              </w:rPr>
            </w:pPr>
            <w:r>
              <w:rPr>
                <w:rFonts w:hint="eastAsia" w:ascii="宋体" w:hAnsi="宋体" w:cs="宋体"/>
                <w:b/>
                <w:color w:val="000000"/>
                <w:kern w:val="0"/>
                <w:sz w:val="24"/>
                <w:szCs w:val="24"/>
                <w:lang w:bidi="ar"/>
              </w:rPr>
              <w:t>项目</w:t>
            </w:r>
          </w:p>
        </w:tc>
        <w:tc>
          <w:tcPr>
            <w:tcW w:w="3972" w:type="dxa"/>
            <w:tcBorders>
              <w:top w:val="single" w:color="000000" w:sz="4" w:space="0"/>
              <w:left w:val="single" w:color="000000" w:sz="4" w:space="0"/>
              <w:bottom w:val="single" w:color="000000" w:sz="4" w:space="0"/>
              <w:right w:val="single" w:color="000000" w:sz="4" w:space="0"/>
            </w:tcBorders>
            <w:shd w:val="clear" w:color="auto" w:fill="DCD8C2"/>
            <w:tcMar>
              <w:top w:w="12" w:type="dxa"/>
              <w:left w:w="12" w:type="dxa"/>
              <w:right w:w="12" w:type="dxa"/>
            </w:tcMar>
          </w:tcPr>
          <w:p>
            <w:pPr>
              <w:widowControl/>
              <w:jc w:val="center"/>
              <w:textAlignment w:val="top"/>
              <w:rPr>
                <w:rFonts w:ascii="宋体" w:hAnsi="宋体" w:cs="宋体"/>
                <w:b/>
                <w:color w:val="000000"/>
                <w:sz w:val="24"/>
                <w:szCs w:val="24"/>
              </w:rPr>
            </w:pPr>
            <w:r>
              <w:rPr>
                <w:rFonts w:hint="eastAsia" w:ascii="宋体" w:hAnsi="宋体" w:cs="宋体"/>
                <w:b/>
                <w:color w:val="000000"/>
                <w:kern w:val="0"/>
                <w:sz w:val="24"/>
                <w:szCs w:val="24"/>
                <w:lang w:bidi="ar"/>
              </w:rPr>
              <w:t>1月计划金额</w:t>
            </w:r>
          </w:p>
        </w:tc>
      </w:tr>
      <w:tr>
        <w:tblPrEx>
          <w:tblCellMar>
            <w:top w:w="0" w:type="dxa"/>
            <w:left w:w="0" w:type="dxa"/>
            <w:bottom w:w="0" w:type="dxa"/>
            <w:right w:w="0" w:type="dxa"/>
          </w:tblCellMar>
        </w:tblPrEx>
        <w:trPr>
          <w:trHeight w:val="312" w:hRule="atLeast"/>
        </w:trPr>
        <w:tc>
          <w:tcPr>
            <w:tcW w:w="56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 xml:space="preserve"> 土地款支出 </w:t>
            </w:r>
          </w:p>
        </w:tc>
        <w:tc>
          <w:tcPr>
            <w:tcW w:w="3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jc w:val="center"/>
              <w:rPr>
                <w:rFonts w:ascii="Arial" w:hAnsi="Arial" w:cs="Arial"/>
                <w:color w:val="000000"/>
                <w:sz w:val="18"/>
                <w:szCs w:val="18"/>
              </w:rPr>
            </w:pPr>
            <w:r>
              <w:rPr>
                <w:rFonts w:ascii="Arial" w:hAnsi="Arial" w:cs="Arial"/>
                <w:color w:val="000000"/>
                <w:sz w:val="18"/>
                <w:szCs w:val="18"/>
              </w:rPr>
              <w:t>-</w:t>
            </w:r>
          </w:p>
        </w:tc>
      </w:tr>
      <w:tr>
        <w:tblPrEx>
          <w:tblCellMar>
            <w:top w:w="0" w:type="dxa"/>
            <w:left w:w="0" w:type="dxa"/>
            <w:bottom w:w="0" w:type="dxa"/>
            <w:right w:w="0" w:type="dxa"/>
          </w:tblCellMar>
        </w:tblPrEx>
        <w:trPr>
          <w:trHeight w:val="312" w:hRule="atLeast"/>
        </w:trPr>
        <w:tc>
          <w:tcPr>
            <w:tcW w:w="56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 xml:space="preserve"> 大配套支出 </w:t>
            </w:r>
          </w:p>
        </w:tc>
        <w:tc>
          <w:tcPr>
            <w:tcW w:w="3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jc w:val="center"/>
              <w:rPr>
                <w:rFonts w:ascii="Arial" w:hAnsi="Arial" w:cs="Arial"/>
                <w:color w:val="000000"/>
                <w:sz w:val="18"/>
                <w:szCs w:val="18"/>
              </w:rPr>
            </w:pPr>
            <w:r>
              <w:rPr>
                <w:rFonts w:ascii="Arial" w:hAnsi="Arial" w:cs="Arial"/>
                <w:color w:val="000000"/>
                <w:sz w:val="18"/>
                <w:szCs w:val="18"/>
              </w:rPr>
              <w:t>-</w:t>
            </w:r>
          </w:p>
        </w:tc>
      </w:tr>
      <w:tr>
        <w:tblPrEx>
          <w:tblCellMar>
            <w:top w:w="0" w:type="dxa"/>
            <w:left w:w="0" w:type="dxa"/>
            <w:bottom w:w="0" w:type="dxa"/>
            <w:right w:w="0" w:type="dxa"/>
          </w:tblCellMar>
        </w:tblPrEx>
        <w:trPr>
          <w:trHeight w:val="312" w:hRule="atLeast"/>
        </w:trPr>
        <w:tc>
          <w:tcPr>
            <w:tcW w:w="56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 xml:space="preserve"> 工程款支出 </w:t>
            </w:r>
          </w:p>
        </w:tc>
        <w:tc>
          <w:tcPr>
            <w:tcW w:w="3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Arial" w:hAnsi="Arial" w:cs="Arial"/>
                <w:color w:val="000000"/>
                <w:sz w:val="18"/>
                <w:szCs w:val="18"/>
              </w:rPr>
            </w:pPr>
            <w:r>
              <w:rPr>
                <w:rFonts w:ascii="Arial" w:hAnsi="Arial" w:cs="Arial"/>
                <w:color w:val="000000"/>
                <w:kern w:val="0"/>
                <w:sz w:val="18"/>
                <w:szCs w:val="18"/>
                <w:lang w:bidi="ar"/>
              </w:rPr>
              <w:t>2,</w:t>
            </w:r>
            <w:r>
              <w:rPr>
                <w:rFonts w:hint="eastAsia" w:ascii="Arial" w:hAnsi="Arial" w:cs="Arial"/>
                <w:color w:val="000000"/>
                <w:kern w:val="0"/>
                <w:sz w:val="18"/>
                <w:szCs w:val="18"/>
                <w:lang w:bidi="ar"/>
              </w:rPr>
              <w:t>324</w:t>
            </w:r>
            <w:r>
              <w:rPr>
                <w:rFonts w:ascii="Arial" w:hAnsi="Arial" w:cs="Arial"/>
                <w:color w:val="000000"/>
                <w:kern w:val="0"/>
                <w:sz w:val="18"/>
                <w:szCs w:val="18"/>
                <w:lang w:bidi="ar"/>
              </w:rPr>
              <w:t>.</w:t>
            </w:r>
            <w:r>
              <w:rPr>
                <w:rFonts w:hint="eastAsia" w:ascii="Arial" w:hAnsi="Arial" w:cs="Arial"/>
                <w:color w:val="000000"/>
                <w:kern w:val="0"/>
                <w:sz w:val="18"/>
                <w:szCs w:val="18"/>
                <w:lang w:bidi="ar"/>
              </w:rPr>
              <w:t>26</w:t>
            </w:r>
          </w:p>
        </w:tc>
      </w:tr>
      <w:tr>
        <w:tblPrEx>
          <w:tblCellMar>
            <w:top w:w="0" w:type="dxa"/>
            <w:left w:w="0" w:type="dxa"/>
            <w:bottom w:w="0" w:type="dxa"/>
            <w:right w:w="0" w:type="dxa"/>
          </w:tblCellMar>
        </w:tblPrEx>
        <w:trPr>
          <w:trHeight w:val="312" w:hRule="atLeast"/>
        </w:trPr>
        <w:tc>
          <w:tcPr>
            <w:tcW w:w="56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 xml:space="preserve"> 销售费用 </w:t>
            </w:r>
          </w:p>
        </w:tc>
        <w:tc>
          <w:tcPr>
            <w:tcW w:w="3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Arial" w:hAnsi="Arial" w:cs="Arial"/>
                <w:color w:val="000000"/>
                <w:sz w:val="18"/>
                <w:szCs w:val="18"/>
              </w:rPr>
            </w:pPr>
            <w:r>
              <w:rPr>
                <w:rFonts w:hint="eastAsia" w:ascii="Arial" w:hAnsi="Arial" w:cs="Arial"/>
                <w:color w:val="000000"/>
                <w:kern w:val="0"/>
                <w:sz w:val="18"/>
                <w:szCs w:val="18"/>
                <w:lang w:bidi="ar"/>
              </w:rPr>
              <w:t>571</w:t>
            </w:r>
            <w:r>
              <w:rPr>
                <w:rFonts w:ascii="Arial" w:hAnsi="Arial" w:cs="Arial"/>
                <w:color w:val="000000"/>
                <w:kern w:val="0"/>
                <w:sz w:val="18"/>
                <w:szCs w:val="18"/>
                <w:lang w:bidi="ar"/>
              </w:rPr>
              <w:t>.</w:t>
            </w:r>
            <w:r>
              <w:rPr>
                <w:rFonts w:hint="eastAsia" w:ascii="Arial" w:hAnsi="Arial" w:cs="Arial"/>
                <w:color w:val="000000"/>
                <w:kern w:val="0"/>
                <w:sz w:val="18"/>
                <w:szCs w:val="18"/>
                <w:lang w:bidi="ar"/>
              </w:rPr>
              <w:t>63</w:t>
            </w:r>
            <w:r>
              <w:rPr>
                <w:rFonts w:ascii="Arial" w:hAnsi="Arial" w:cs="Arial"/>
                <w:color w:val="000000"/>
                <w:kern w:val="0"/>
                <w:sz w:val="18"/>
                <w:szCs w:val="18"/>
                <w:lang w:bidi="ar"/>
              </w:rPr>
              <w:t xml:space="preserve"> </w:t>
            </w:r>
          </w:p>
        </w:tc>
      </w:tr>
      <w:tr>
        <w:tblPrEx>
          <w:tblCellMar>
            <w:top w:w="0" w:type="dxa"/>
            <w:left w:w="0" w:type="dxa"/>
            <w:bottom w:w="0" w:type="dxa"/>
            <w:right w:w="0" w:type="dxa"/>
          </w:tblCellMar>
        </w:tblPrEx>
        <w:trPr>
          <w:trHeight w:val="312" w:hRule="atLeast"/>
        </w:trPr>
        <w:tc>
          <w:tcPr>
            <w:tcW w:w="56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 xml:space="preserve"> 管理费用 </w:t>
            </w:r>
          </w:p>
        </w:tc>
        <w:tc>
          <w:tcPr>
            <w:tcW w:w="3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Arial" w:hAnsi="Arial" w:cs="Arial"/>
                <w:color w:val="000000"/>
                <w:sz w:val="18"/>
                <w:szCs w:val="18"/>
              </w:rPr>
            </w:pPr>
            <w:r>
              <w:rPr>
                <w:rFonts w:ascii="Arial" w:hAnsi="Arial" w:cs="Arial"/>
                <w:color w:val="000000"/>
                <w:kern w:val="0"/>
                <w:sz w:val="18"/>
                <w:szCs w:val="18"/>
                <w:lang w:bidi="ar"/>
              </w:rPr>
              <w:t>1</w:t>
            </w:r>
            <w:r>
              <w:rPr>
                <w:rFonts w:hint="eastAsia" w:ascii="Arial" w:hAnsi="Arial" w:cs="Arial"/>
                <w:color w:val="000000"/>
                <w:kern w:val="0"/>
                <w:sz w:val="18"/>
                <w:szCs w:val="18"/>
                <w:lang w:bidi="ar"/>
              </w:rPr>
              <w:t>6</w:t>
            </w:r>
            <w:r>
              <w:rPr>
                <w:rFonts w:ascii="Arial" w:hAnsi="Arial" w:cs="Arial"/>
                <w:color w:val="000000"/>
                <w:kern w:val="0"/>
                <w:sz w:val="18"/>
                <w:szCs w:val="18"/>
                <w:lang w:bidi="ar"/>
              </w:rPr>
              <w:t>.</w:t>
            </w:r>
            <w:r>
              <w:rPr>
                <w:rFonts w:hint="eastAsia" w:ascii="Arial" w:hAnsi="Arial" w:cs="Arial"/>
                <w:color w:val="000000"/>
                <w:kern w:val="0"/>
                <w:sz w:val="18"/>
                <w:szCs w:val="18"/>
                <w:lang w:bidi="ar"/>
              </w:rPr>
              <w:t>60</w:t>
            </w:r>
          </w:p>
        </w:tc>
      </w:tr>
      <w:tr>
        <w:tblPrEx>
          <w:tblCellMar>
            <w:top w:w="0" w:type="dxa"/>
            <w:left w:w="0" w:type="dxa"/>
            <w:bottom w:w="0" w:type="dxa"/>
            <w:right w:w="0" w:type="dxa"/>
          </w:tblCellMar>
        </w:tblPrEx>
        <w:trPr>
          <w:trHeight w:val="312" w:hRule="atLeast"/>
        </w:trPr>
        <w:tc>
          <w:tcPr>
            <w:tcW w:w="56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 xml:space="preserve"> 财务费用 </w:t>
            </w:r>
          </w:p>
        </w:tc>
        <w:tc>
          <w:tcPr>
            <w:tcW w:w="3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jc w:val="center"/>
              <w:rPr>
                <w:rFonts w:ascii="Arial" w:hAnsi="Arial" w:cs="Arial"/>
                <w:color w:val="000000"/>
                <w:sz w:val="18"/>
                <w:szCs w:val="18"/>
              </w:rPr>
            </w:pPr>
            <w:r>
              <w:rPr>
                <w:rFonts w:ascii="Arial" w:hAnsi="Arial" w:cs="Arial"/>
                <w:color w:val="000000"/>
                <w:sz w:val="18"/>
                <w:szCs w:val="18"/>
              </w:rPr>
              <w:t>-</w:t>
            </w:r>
          </w:p>
        </w:tc>
      </w:tr>
      <w:tr>
        <w:tblPrEx>
          <w:tblCellMar>
            <w:top w:w="0" w:type="dxa"/>
            <w:left w:w="0" w:type="dxa"/>
            <w:bottom w:w="0" w:type="dxa"/>
            <w:right w:w="0" w:type="dxa"/>
          </w:tblCellMar>
        </w:tblPrEx>
        <w:trPr>
          <w:trHeight w:val="312" w:hRule="atLeast"/>
        </w:trPr>
        <w:tc>
          <w:tcPr>
            <w:tcW w:w="56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 xml:space="preserve"> 营业税金及附加 </w:t>
            </w:r>
          </w:p>
        </w:tc>
        <w:tc>
          <w:tcPr>
            <w:tcW w:w="3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jc w:val="center"/>
              <w:rPr>
                <w:rFonts w:ascii="Arial" w:hAnsi="Arial" w:cs="Arial"/>
                <w:b/>
                <w:color w:val="000000"/>
                <w:sz w:val="18"/>
                <w:szCs w:val="18"/>
              </w:rPr>
            </w:pPr>
            <w:r>
              <w:rPr>
                <w:rFonts w:ascii="Arial" w:hAnsi="Arial" w:cs="Arial"/>
                <w:b/>
                <w:color w:val="000000"/>
                <w:sz w:val="18"/>
                <w:szCs w:val="18"/>
              </w:rPr>
              <w:t>-</w:t>
            </w:r>
          </w:p>
        </w:tc>
      </w:tr>
      <w:tr>
        <w:tblPrEx>
          <w:tblCellMar>
            <w:top w:w="0" w:type="dxa"/>
            <w:left w:w="0" w:type="dxa"/>
            <w:bottom w:w="0" w:type="dxa"/>
            <w:right w:w="0" w:type="dxa"/>
          </w:tblCellMar>
        </w:tblPrEx>
        <w:trPr>
          <w:trHeight w:val="312" w:hRule="atLeast"/>
        </w:trPr>
        <w:tc>
          <w:tcPr>
            <w:tcW w:w="56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 xml:space="preserve"> 土地增值税 </w:t>
            </w:r>
          </w:p>
        </w:tc>
        <w:tc>
          <w:tcPr>
            <w:tcW w:w="3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Arial" w:hAnsi="Arial" w:cs="Arial"/>
                <w:color w:val="000000"/>
                <w:sz w:val="18"/>
                <w:szCs w:val="18"/>
              </w:rPr>
            </w:pPr>
            <w:r>
              <w:rPr>
                <w:rFonts w:ascii="Arial" w:hAnsi="Arial" w:cs="Arial"/>
                <w:color w:val="000000"/>
                <w:sz w:val="18"/>
                <w:szCs w:val="18"/>
              </w:rPr>
              <w:t>-</w:t>
            </w:r>
          </w:p>
        </w:tc>
      </w:tr>
      <w:tr>
        <w:tblPrEx>
          <w:tblCellMar>
            <w:top w:w="0" w:type="dxa"/>
            <w:left w:w="0" w:type="dxa"/>
            <w:bottom w:w="0" w:type="dxa"/>
            <w:right w:w="0" w:type="dxa"/>
          </w:tblCellMar>
        </w:tblPrEx>
        <w:trPr>
          <w:trHeight w:val="312" w:hRule="atLeast"/>
        </w:trPr>
        <w:tc>
          <w:tcPr>
            <w:tcW w:w="56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 xml:space="preserve"> 所得税 </w:t>
            </w:r>
          </w:p>
        </w:tc>
        <w:tc>
          <w:tcPr>
            <w:tcW w:w="3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Arial" w:hAnsi="Arial" w:cs="Arial"/>
                <w:color w:val="000000"/>
                <w:sz w:val="18"/>
                <w:szCs w:val="18"/>
              </w:rPr>
            </w:pPr>
            <w:r>
              <w:rPr>
                <w:rFonts w:ascii="Arial" w:hAnsi="Arial" w:cs="Arial"/>
                <w:color w:val="000000"/>
                <w:sz w:val="18"/>
                <w:szCs w:val="18"/>
              </w:rPr>
              <w:t>-</w:t>
            </w:r>
          </w:p>
        </w:tc>
      </w:tr>
      <w:tr>
        <w:tblPrEx>
          <w:tblCellMar>
            <w:top w:w="0" w:type="dxa"/>
            <w:left w:w="0" w:type="dxa"/>
            <w:bottom w:w="0" w:type="dxa"/>
            <w:right w:w="0" w:type="dxa"/>
          </w:tblCellMar>
        </w:tblPrEx>
        <w:trPr>
          <w:trHeight w:val="312" w:hRule="atLeast"/>
        </w:trPr>
        <w:tc>
          <w:tcPr>
            <w:tcW w:w="56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 xml:space="preserve"> 其他净支出 </w:t>
            </w:r>
          </w:p>
        </w:tc>
        <w:tc>
          <w:tcPr>
            <w:tcW w:w="3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Arial" w:hAnsi="Arial" w:cs="Arial"/>
                <w:color w:val="000000"/>
                <w:sz w:val="18"/>
                <w:szCs w:val="18"/>
              </w:rPr>
            </w:pPr>
            <w:r>
              <w:rPr>
                <w:rFonts w:ascii="Arial" w:hAnsi="Arial" w:cs="Arial"/>
                <w:color w:val="000000"/>
                <w:sz w:val="18"/>
                <w:szCs w:val="18"/>
              </w:rPr>
              <w:t>-</w:t>
            </w:r>
          </w:p>
        </w:tc>
      </w:tr>
      <w:tr>
        <w:tblPrEx>
          <w:tblCellMar>
            <w:top w:w="0" w:type="dxa"/>
            <w:left w:w="0" w:type="dxa"/>
            <w:bottom w:w="0" w:type="dxa"/>
            <w:right w:w="0" w:type="dxa"/>
          </w:tblCellMar>
        </w:tblPrEx>
        <w:trPr>
          <w:trHeight w:val="312" w:hRule="atLeast"/>
        </w:trPr>
        <w:tc>
          <w:tcPr>
            <w:tcW w:w="56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 xml:space="preserve"> 与融创集团内各公司往来 </w:t>
            </w:r>
          </w:p>
        </w:tc>
        <w:tc>
          <w:tcPr>
            <w:tcW w:w="3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Arial" w:hAnsi="Arial" w:cs="Arial"/>
                <w:color w:val="000000"/>
                <w:sz w:val="18"/>
                <w:szCs w:val="18"/>
              </w:rPr>
            </w:pPr>
            <w:r>
              <w:rPr>
                <w:rFonts w:ascii="Arial" w:hAnsi="Arial" w:cs="Arial"/>
                <w:color w:val="000000"/>
                <w:sz w:val="18"/>
                <w:szCs w:val="18"/>
              </w:rPr>
              <w:t>-</w:t>
            </w:r>
          </w:p>
        </w:tc>
      </w:tr>
      <w:tr>
        <w:tblPrEx>
          <w:tblCellMar>
            <w:top w:w="0" w:type="dxa"/>
            <w:left w:w="0" w:type="dxa"/>
            <w:bottom w:w="0" w:type="dxa"/>
            <w:right w:w="0" w:type="dxa"/>
          </w:tblCellMar>
        </w:tblPrEx>
        <w:trPr>
          <w:trHeight w:val="312" w:hRule="atLeast"/>
        </w:trPr>
        <w:tc>
          <w:tcPr>
            <w:tcW w:w="5688"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4"/>
                <w:szCs w:val="24"/>
              </w:rPr>
            </w:pPr>
            <w:r>
              <w:rPr>
                <w:rFonts w:hint="eastAsia" w:ascii="宋体" w:hAnsi="宋体" w:cs="宋体"/>
                <w:bCs/>
                <w:color w:val="000000"/>
                <w:sz w:val="24"/>
                <w:szCs w:val="24"/>
              </w:rPr>
              <w:t>不可预见费</w:t>
            </w:r>
          </w:p>
        </w:tc>
        <w:tc>
          <w:tcPr>
            <w:tcW w:w="3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Arial" w:hAnsi="Arial" w:cs="Arial"/>
                <w:b/>
                <w:color w:val="000000"/>
                <w:sz w:val="18"/>
                <w:szCs w:val="18"/>
              </w:rPr>
            </w:pPr>
            <w:r>
              <w:rPr>
                <w:rFonts w:ascii="Arial" w:hAnsi="Arial" w:cs="Arial"/>
                <w:bCs/>
                <w:color w:val="000000"/>
                <w:sz w:val="18"/>
                <w:szCs w:val="18"/>
              </w:rPr>
              <w:t>200.00</w:t>
            </w:r>
          </w:p>
        </w:tc>
      </w:tr>
      <w:tr>
        <w:tblPrEx>
          <w:tblCellMar>
            <w:top w:w="0" w:type="dxa"/>
            <w:left w:w="0" w:type="dxa"/>
            <w:bottom w:w="0" w:type="dxa"/>
            <w:right w:w="0" w:type="dxa"/>
          </w:tblCellMar>
        </w:tblPrEx>
        <w:trPr>
          <w:trHeight w:val="312" w:hRule="atLeast"/>
        </w:trPr>
        <w:tc>
          <w:tcPr>
            <w:tcW w:w="5688"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 xml:space="preserve"> 资金流出小计 </w:t>
            </w:r>
          </w:p>
        </w:tc>
        <w:tc>
          <w:tcPr>
            <w:tcW w:w="3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Arial" w:hAnsi="Arial" w:cs="Arial"/>
                <w:b/>
                <w:color w:val="000000"/>
                <w:sz w:val="18"/>
                <w:szCs w:val="18"/>
              </w:rPr>
            </w:pPr>
            <w:r>
              <w:rPr>
                <w:rFonts w:hint="eastAsia" w:ascii="Arial" w:hAnsi="Arial" w:cs="Arial"/>
                <w:b/>
                <w:color w:val="000000"/>
                <w:kern w:val="0"/>
                <w:sz w:val="18"/>
                <w:szCs w:val="18"/>
                <w:lang w:bidi="ar"/>
              </w:rPr>
              <w:t>3</w:t>
            </w:r>
            <w:r>
              <w:rPr>
                <w:rFonts w:ascii="Arial" w:hAnsi="Arial" w:cs="Arial"/>
                <w:b/>
                <w:color w:val="000000"/>
                <w:kern w:val="0"/>
                <w:sz w:val="18"/>
                <w:szCs w:val="18"/>
                <w:lang w:bidi="ar"/>
              </w:rPr>
              <w:t>,</w:t>
            </w:r>
            <w:r>
              <w:rPr>
                <w:rFonts w:hint="eastAsia" w:ascii="Arial" w:hAnsi="Arial" w:cs="Arial"/>
                <w:b/>
                <w:color w:val="000000"/>
                <w:kern w:val="0"/>
                <w:sz w:val="18"/>
                <w:szCs w:val="18"/>
                <w:lang w:bidi="ar"/>
              </w:rPr>
              <w:t>112</w:t>
            </w:r>
            <w:r>
              <w:rPr>
                <w:rFonts w:ascii="Arial" w:hAnsi="Arial" w:cs="Arial"/>
                <w:b/>
                <w:color w:val="000000"/>
                <w:kern w:val="0"/>
                <w:sz w:val="18"/>
                <w:szCs w:val="18"/>
                <w:lang w:bidi="ar"/>
              </w:rPr>
              <w:t>.</w:t>
            </w:r>
            <w:r>
              <w:rPr>
                <w:rFonts w:hint="eastAsia" w:ascii="Arial" w:hAnsi="Arial" w:cs="Arial"/>
                <w:b/>
                <w:color w:val="000000"/>
                <w:kern w:val="0"/>
                <w:sz w:val="18"/>
                <w:szCs w:val="18"/>
                <w:lang w:bidi="ar"/>
              </w:rPr>
              <w:t>49</w:t>
            </w:r>
          </w:p>
        </w:tc>
      </w:tr>
    </w:tbl>
    <w:p>
      <w:pPr>
        <w:pStyle w:val="10"/>
        <w:spacing w:after="0" w:line="360" w:lineRule="auto"/>
        <w:ind w:firstLine="0" w:firstLineChars="0"/>
        <w:rPr>
          <w:rFonts w:ascii="宋体" w:hAnsi="宋体" w:cs="宋体"/>
          <w:b/>
          <w:sz w:val="24"/>
        </w:rPr>
      </w:pPr>
      <w:r>
        <w:rPr>
          <w:rFonts w:hint="eastAsia" w:ascii="Arial" w:hAnsi="Arial" w:cs="Arial"/>
          <w:bCs/>
          <w:sz w:val="15"/>
          <w:szCs w:val="13"/>
        </w:rPr>
        <w:t>注：上表采用电算化连续计算得出，由于计算数据均按四舍五入保留两位小数或取整，故可能出现个别加总不完全相等的情况。</w:t>
      </w:r>
    </w:p>
    <w:p>
      <w:pPr>
        <w:numPr>
          <w:ilvl w:val="0"/>
          <w:numId w:val="1"/>
        </w:numPr>
        <w:spacing w:before="156" w:beforeLines="50" w:after="156" w:afterLines="50"/>
        <w:ind w:firstLine="120" w:firstLineChars="50"/>
        <w:rPr>
          <w:rFonts w:ascii="宋体" w:hAnsi="宋体"/>
          <w:b/>
          <w:sz w:val="24"/>
          <w:szCs w:val="24"/>
          <w:lang w:bidi="zh-CN"/>
        </w:rPr>
      </w:pPr>
      <w:r>
        <w:rPr>
          <w:rFonts w:ascii="宋体" w:hAnsi="宋体"/>
          <w:b/>
          <w:sz w:val="24"/>
          <w:szCs w:val="24"/>
          <w:lang w:bidi="zh-CN"/>
        </w:rPr>
        <w:t>福州螺洲TOD项目公司</w:t>
      </w:r>
      <w:r>
        <w:rPr>
          <w:rFonts w:ascii="宋体" w:hAnsi="宋体"/>
          <w:b/>
          <w:sz w:val="24"/>
          <w:szCs w:val="24"/>
          <w:lang w:val="zh-CN" w:bidi="zh-CN"/>
        </w:rPr>
        <w:t>资金计划情况</w:t>
      </w:r>
      <w:r>
        <w:rPr>
          <w:rFonts w:ascii="宋体" w:hAnsi="宋体"/>
          <w:b/>
          <w:sz w:val="24"/>
          <w:szCs w:val="24"/>
          <w:lang w:bidi="zh-CN"/>
        </w:rPr>
        <w:t>审核说明</w:t>
      </w:r>
    </w:p>
    <w:p>
      <w:pPr>
        <w:spacing w:before="156" w:beforeLines="50" w:after="156" w:afterLines="50" w:line="360" w:lineRule="auto"/>
        <w:rPr>
          <w:rFonts w:ascii="宋体" w:hAnsi="宋体"/>
          <w:b/>
          <w:bCs/>
          <w:sz w:val="24"/>
          <w:szCs w:val="24"/>
          <w:lang w:bidi="zh-CN"/>
        </w:rPr>
      </w:pPr>
      <w:r>
        <w:rPr>
          <w:rFonts w:hint="eastAsia" w:ascii="宋体" w:hAnsi="宋体"/>
          <w:b/>
          <w:bCs/>
          <w:sz w:val="24"/>
          <w:szCs w:val="24"/>
          <w:lang w:bidi="zh-CN"/>
        </w:rPr>
        <w:t>（一）工程款资金支出计划说明</w:t>
      </w:r>
    </w:p>
    <w:p>
      <w:pPr>
        <w:spacing w:before="156" w:beforeLines="50" w:after="156" w:afterLines="50" w:line="360" w:lineRule="auto"/>
        <w:ind w:firstLine="480" w:firstLineChars="200"/>
        <w:rPr>
          <w:rFonts w:ascii="宋体" w:hAnsi="宋体"/>
          <w:bCs/>
          <w:color w:val="000000"/>
          <w:sz w:val="24"/>
          <w:szCs w:val="24"/>
          <w:lang w:bidi="zh-CN"/>
        </w:rPr>
      </w:pPr>
      <w:r>
        <w:rPr>
          <w:rFonts w:hint="eastAsia" w:ascii="宋体" w:hAnsi="宋体"/>
          <w:bCs/>
          <w:color w:val="000000"/>
          <w:sz w:val="24"/>
          <w:szCs w:val="24"/>
          <w:lang w:bidi="zh-CN"/>
        </w:rPr>
        <w:t>项目公司在202</w:t>
      </w:r>
      <w:r>
        <w:rPr>
          <w:rFonts w:hint="eastAsia" w:ascii="宋体" w:hAnsi="宋体"/>
          <w:bCs/>
          <w:color w:val="000000"/>
          <w:sz w:val="24"/>
          <w:szCs w:val="24"/>
          <w:lang w:val="en-US" w:bidi="zh-CN"/>
        </w:rPr>
        <w:t>1</w:t>
      </w:r>
      <w:r>
        <w:rPr>
          <w:rFonts w:hint="eastAsia" w:ascii="宋体" w:hAnsi="宋体"/>
          <w:bCs/>
          <w:color w:val="000000"/>
          <w:sz w:val="24"/>
          <w:szCs w:val="24"/>
          <w:lang w:bidi="zh-CN"/>
        </w:rPr>
        <w:t>年1月工程款</w:t>
      </w:r>
      <w:r>
        <w:rPr>
          <w:rFonts w:hint="eastAsia" w:ascii="宋体" w:hAnsi="宋体"/>
          <w:bCs/>
          <w:color w:val="000000"/>
          <w:sz w:val="24"/>
          <w:szCs w:val="24"/>
          <w:lang w:val="en-US" w:bidi="zh-CN"/>
        </w:rPr>
        <w:t>计划</w:t>
      </w:r>
      <w:r>
        <w:rPr>
          <w:rFonts w:hint="eastAsia" w:ascii="宋体" w:hAnsi="宋体"/>
          <w:bCs/>
          <w:color w:val="000000"/>
          <w:sz w:val="24"/>
          <w:szCs w:val="24"/>
          <w:lang w:bidi="zh-CN"/>
        </w:rPr>
        <w:t>支出金额共计2,324.26万元，其中包含工程款1，061.55万元，设计费用1,221.61万元，前期费用41.10万元，具体分析如下：</w:t>
      </w:r>
    </w:p>
    <w:p>
      <w:pPr>
        <w:pStyle w:val="14"/>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bidi="zh-CN"/>
        </w:rPr>
        <w:t>根据项目公司11月18日用印的《福州螺洲TOD项目设计咨询委托服务合同》，委托深圳市筑地建筑设计咨询有限公司为项目公司提供建筑地下室设计咨询服务和结构设计咨询服务，合同总价款为181.90万元。约定在合同签订盖章后45个工作日内支付合同总价款的15%；乙方提供项目地下室设计优化建议及反馈落实情况、结构优化建议及反馈落实情况DWG电子版并得到甲方确认后30个工作日内支付合同总价款的35%；通过施工图审查后30个工作日内支付合同总价款的30%；提交建筑地下室、结构设计咨询成果报告后30个工作日内支付合同总价款的20%。项目公司1月份计划完成第三阶段，通过施工图审查，支付合同总价款80%，即145.52万元，符合合同约定；</w:t>
      </w:r>
    </w:p>
    <w:p>
      <w:pPr>
        <w:pStyle w:val="14"/>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bidi="zh-CN"/>
        </w:rPr>
        <w:t>计划支付给福建省建研工程顾问有限公司的基坑支护设计费12万元，目前合同尚未签订，具体支付金额以实际签订的协议及完成产值为准；</w:t>
      </w:r>
    </w:p>
    <w:p>
      <w:pPr>
        <w:pStyle w:val="14"/>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bidi="zh-CN"/>
        </w:rPr>
        <w:t>根据项目公司9月2</w:t>
      </w:r>
      <w:r>
        <w:rPr>
          <w:rFonts w:ascii="宋体" w:hAnsi="宋体"/>
          <w:bCs/>
          <w:color w:val="000000"/>
          <w:sz w:val="24"/>
          <w:szCs w:val="24"/>
          <w:lang w:bidi="zh-CN"/>
        </w:rPr>
        <w:t>8</w:t>
      </w:r>
      <w:r>
        <w:rPr>
          <w:rFonts w:hint="eastAsia" w:ascii="宋体" w:hAnsi="宋体"/>
          <w:bCs/>
          <w:color w:val="000000"/>
          <w:sz w:val="24"/>
          <w:szCs w:val="24"/>
          <w:lang w:bidi="zh-CN"/>
        </w:rPr>
        <w:t>日用印的《福州市云洲郡项目装饰装修工程设计合同》，项目公司委托上海卡纳建筑装饰设计工程有限公司为本项目提供装饰装修工程设计，合同总价款为1</w:t>
      </w:r>
      <w:r>
        <w:rPr>
          <w:rFonts w:ascii="宋体" w:hAnsi="宋体"/>
          <w:bCs/>
          <w:color w:val="000000"/>
          <w:sz w:val="24"/>
          <w:szCs w:val="24"/>
          <w:lang w:bidi="zh-CN"/>
        </w:rPr>
        <w:t>38.06</w:t>
      </w:r>
      <w:r>
        <w:rPr>
          <w:rFonts w:hint="eastAsia" w:ascii="宋体" w:hAnsi="宋体"/>
          <w:bCs/>
          <w:color w:val="000000"/>
          <w:sz w:val="24"/>
          <w:szCs w:val="24"/>
          <w:lang w:bidi="zh-CN"/>
        </w:rPr>
        <w:t>万元。合同约定在签约并由甲方发出设计任务指令后支付合同金额20%的预付款；按照甲方要求完成平面白图设计阶段最终成果，并经甲方书面确认阶段支付合同总价款的20%；甲方书面确认电气点位图完成方案扩初设计阶段支付合同总价款的20%；甲方书面确认施工图、材料样板阶段最终成果支付合同总价款的30%；完成施工现场服务、工程阶段支付合同总价款的10%。该合同截至到12月份已累计支付82.84万元，计划在1月份完成所有工程，支付剩余合同金额55.22万元，符合合同的规定；</w:t>
      </w:r>
    </w:p>
    <w:p>
      <w:pPr>
        <w:pStyle w:val="14"/>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bidi="zh-CN"/>
        </w:rPr>
        <w:t>根据项目公司11月19日用印的《建筑工程设计合同》，项目公司委托上海中房建筑设计有限公司承担本项目方案阶段设计任务，合同总价款为712.92万元。根据项目进度在12月份完成建筑单专业扩初设计提交合格的成果并通过相关部门审核，向乙方支付人民币570.3392万元。根据合同规定的付款条件为设计合同签订后15个工作日内支付合同总价款的15%，即1,069,386.00元;概念方案确认稿（含总图、主要平面图或主要户型、主要剖面图），完成提交合格的设计成果后15个工作日内支付合同价款的15%，即1,069,386.00元;方案设计阶段设计成果出图后15个工作日内支付合同价款15%,即1,069,386.00元,方案设计阶段设计成果获当地审批部门通过后15个工作日内或发包人要求进入下一设计阶段前支付合同价款的15%，即1,069,386.00元；扩初阶段建筑单专业设计提交合格的成果并通过相关部门的审核后15个工作日内支付合同价款的20%，即1</w:t>
      </w:r>
      <w:r>
        <w:rPr>
          <w:rFonts w:ascii="宋体" w:hAnsi="宋体"/>
          <w:bCs/>
          <w:color w:val="000000"/>
          <w:sz w:val="24"/>
          <w:szCs w:val="24"/>
          <w:lang w:bidi="zh-CN"/>
        </w:rPr>
        <w:t>,</w:t>
      </w:r>
      <w:r>
        <w:rPr>
          <w:rFonts w:hint="eastAsia" w:ascii="宋体" w:hAnsi="宋体"/>
          <w:bCs/>
          <w:color w:val="000000"/>
          <w:sz w:val="24"/>
          <w:szCs w:val="24"/>
          <w:lang w:bidi="zh-CN"/>
        </w:rPr>
        <w:t>425</w:t>
      </w:r>
      <w:r>
        <w:rPr>
          <w:rFonts w:ascii="宋体" w:hAnsi="宋体"/>
          <w:bCs/>
          <w:color w:val="000000"/>
          <w:sz w:val="24"/>
          <w:szCs w:val="24"/>
          <w:lang w:bidi="zh-CN"/>
        </w:rPr>
        <w:t>,</w:t>
      </w:r>
      <w:r>
        <w:rPr>
          <w:rFonts w:hint="eastAsia" w:ascii="宋体" w:hAnsi="宋体"/>
          <w:bCs/>
          <w:color w:val="000000"/>
          <w:sz w:val="24"/>
          <w:szCs w:val="24"/>
          <w:lang w:bidi="zh-CN"/>
        </w:rPr>
        <w:t>848.00元；建筑专业建筑提交合格的主要大样节点后，施工图审查合格后15个工作日内支付合同总价款的15%，即1,069,386.00元;完成立面实体样板段通过联合评审后30天内，结算款扣除已付款后的余额。项目公司计划在1月份支付该合同的工程款为106.94万元，即乙方提交合格的主要打样节点后，施工图审查合格后15个工作日内合同总价款的15%，符合合同的规定，该笔计划支付款项合理；</w:t>
      </w:r>
    </w:p>
    <w:p>
      <w:pPr>
        <w:pStyle w:val="14"/>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bidi="zh-CN"/>
        </w:rPr>
        <w:t>根据项目公司11月26日用印的云洲郡项目《建设工程设计合同施工图阶段》，合同总价款为1,049.70万元，合同规定嘉博联合设计股份有限公司为云洲郡项目提供施工图设计服务。约定在合同生效后的20天内，发包人支付设计费总额的10%，即104.97万元作为预付款；在设计人提交初步设计成果文件，经发包人审核确认并获取外部批复后20天内，发包人支付设计费总额的20%；设计人提交完整施工图成果文件经发包人审核确认并完成施工图纸会审后20天内，发包人支付设计费总额的40%；设计人完成室外总体，市政配套，精装等配合服务工作成果后并经发包人审核确认后20天内，发包人支付设计费总额的15%；结构封顶后，经发包人审核确认后20天内，发包人支付设计费总额的10%；发包人在竣工备案后20天内进行结算，在发包人确认设计人完成各项设计任务及施工配合工作后，且设计人无任何违约的前提下，在结算完毕后20天内一次性结清设计费余款；该合同在12月25日按规定支付了合同预付款，即合同总价款的10%，计划在1月份支付429.82万元，即乙方提交完整施工图成果并经发包方审核确认阶段，</w:t>
      </w:r>
      <w:r>
        <w:rPr>
          <w:rFonts w:hint="eastAsia" w:ascii="宋体" w:hAnsi="宋体"/>
          <w:bCs/>
          <w:color w:val="000000"/>
          <w:sz w:val="24"/>
          <w:szCs w:val="24"/>
          <w:lang w:val="en-US" w:bidi="zh-CN"/>
        </w:rPr>
        <w:t>累计支付到合同总金额的60%，由于项目公司资金紧张，故仅支付该阶段的部分费用，</w:t>
      </w:r>
      <w:r>
        <w:rPr>
          <w:rFonts w:hint="eastAsia" w:ascii="宋体" w:hAnsi="宋体"/>
          <w:bCs/>
          <w:color w:val="000000"/>
          <w:sz w:val="24"/>
          <w:szCs w:val="24"/>
          <w:lang w:bidi="zh-CN"/>
        </w:rPr>
        <w:t>符合合同要求；</w:t>
      </w:r>
    </w:p>
    <w:p>
      <w:pPr>
        <w:pStyle w:val="14"/>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bidi="zh-CN"/>
        </w:rPr>
        <w:t>根据11月19日用印的《建筑工程施工图文件审查合同》，合同约定由福建天正建筑工程施工图审查事务有限公司为云洲郡项目提供施工图审查服务,合同总价款为53.31万元。在项目公司收到审查成果后15个工作日内，付清施工图文件审查费的全部金额。项目公司计划在1月份完成施工图审查，支付合同总价款53.31万元，符合合同规定；</w:t>
      </w:r>
    </w:p>
    <w:p>
      <w:pPr>
        <w:pStyle w:val="14"/>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bidi="zh-CN"/>
        </w:rPr>
        <w:t>计划支付给福建中联众科环境技术有限公司的检测服务费1.30万元，目前合同尚未签订，具体支付金额以实际签订的协议及完成产值为准；</w:t>
      </w:r>
    </w:p>
    <w:p>
      <w:pPr>
        <w:pStyle w:val="14"/>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bidi="zh-CN"/>
        </w:rPr>
        <w:t>计划支付给福建置信绿建工程咨询有限公司的设计费14.14万元，目前合同尚未签订，具体支付金额以实际签订的协议为及完成产值准；</w:t>
      </w:r>
    </w:p>
    <w:p>
      <w:pPr>
        <w:pStyle w:val="14"/>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bidi="zh-CN"/>
        </w:rPr>
        <w:t>计划支付给杭州东昊照明工程有限公司的泛光设计费11.40万元，目前合同尚未签订，具体支付金额以实际签订的协议为及完成产值准；</w:t>
      </w:r>
    </w:p>
    <w:p>
      <w:pPr>
        <w:pStyle w:val="14"/>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bidi="zh-CN"/>
        </w:rPr>
        <w:t>根据项目公司12月7日用印的《云洲郡景观（方案-施工图）设计合同》文件，项目公司委托荷于景观设计咨询（上海）有限公司为本项目提供概念设计、方案设计、扩初设计、施工图设计和施工现场服务，合同总价款为380.00万元。合同规定预付款为合同总价款的15%；完成概念设计阶段，支付合同总价款的5%；完成方案深化阶段，支付合同总价款的25%；完成扩初设计阶段，支付合同总价款的25%；完成施工图设计阶段，支付合同总价款的20%；完成施工图现场服务阶段，支付合同总价款的10%。项目公司计划在1月份完成概念设计阶段并支付76.00万元，即合同总价款的20%，符合合同要求，计划支付款项合理；</w:t>
      </w:r>
    </w:p>
    <w:p>
      <w:pPr>
        <w:pStyle w:val="14"/>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bidi="zh-CN"/>
        </w:rPr>
        <w:t>计划支付给杭州优辰建筑设计咨询有限公司的设计费37.62万元，目前合同尚未签订，具体支付金额以实际签订的协议及完成产值为准；</w:t>
      </w:r>
    </w:p>
    <w:p>
      <w:pPr>
        <w:pStyle w:val="14"/>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bidi="zh-CN"/>
        </w:rPr>
        <w:t>计划支付给福建省建研工程顾问有限公司的设计费13.36万元，目前合同尚未签订，具体支付金额以实际签订的协议及完成产值为准；</w:t>
      </w:r>
    </w:p>
    <w:p>
      <w:pPr>
        <w:pStyle w:val="14"/>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bidi="zh-CN"/>
        </w:rPr>
        <w:t>计划支付给厦门万安智能有限公司的设计费12.98万元，目前合同尚未签订，具体支付金额以实际签订的协议及完成产值为准；</w:t>
      </w:r>
    </w:p>
    <w:p>
      <w:pPr>
        <w:pStyle w:val="14"/>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bidi="zh-CN"/>
        </w:rPr>
        <w:t>根据项目公司在入场前签订的《云洲郡项目地铁安全评估技术咨询合同》，项目公司委托广州地铁设计研究院股份有限公司和北京国科天创建筑设计院有限责任公司江西分公司两家单位为项目公司提供地铁安全评估技术咨询服务，合同总价款为360.00万元，规定在合同签订且收到等额合规发票后，甲方15日内支付第一笔合同费用，即甲方支付合同总价的30%作为预付款，即人民币108.00万元；在乙方完成成果报告并提交甲方审核且甲方收到等额合规发票后15日内支付第二阶段合同费用，即甲方支付合同总价的30%作为期间成果咨询费，本阶段甲方支付人民币108.00万元；乙方向甲方提交全部成果报告并经地铁公司相关主管部门（地保科）认可且收到等额合规发票后，甲方于15日内支付第三阶段合同费用，即剩余合同款项，计人民币144.00万元。项目公司已经在8月4日支付该合同的预付款，即108.00万元，项目公司计划在1月份完成全部成果报告并经地铁公司相关主管部门（地保科）认可，并支付该合同的剩余款项252.00万元，符合合同要求；</w:t>
      </w:r>
    </w:p>
    <w:p>
      <w:pPr>
        <w:pStyle w:val="14"/>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bidi="zh-CN"/>
        </w:rPr>
        <w:t>根据项目公司12月1</w:t>
      </w:r>
      <w:r>
        <w:rPr>
          <w:rFonts w:ascii="宋体" w:hAnsi="宋体"/>
          <w:bCs/>
          <w:color w:val="000000"/>
          <w:sz w:val="24"/>
          <w:szCs w:val="24"/>
          <w:lang w:bidi="zh-CN"/>
        </w:rPr>
        <w:t>8</w:t>
      </w:r>
      <w:r>
        <w:rPr>
          <w:rFonts w:hint="eastAsia" w:ascii="宋体" w:hAnsi="宋体"/>
          <w:bCs/>
          <w:color w:val="000000"/>
          <w:sz w:val="24"/>
          <w:szCs w:val="24"/>
          <w:lang w:bidi="zh-CN"/>
        </w:rPr>
        <w:t>日用印的《福州云洲郡项目C8#外立面工程》文件，项目公司委托泉州市磊盛装饰工程有限公司为本项目提供外立面工程服务，合同总价款为372.99万元，约定承包人每月25日提交已完工程的付款申请书交发包人审批（措施费与实体工程款等比例支付）。发包人在办理每一次付款手续前，承包人须向发包人开具与当期已完工并完成对应核算产值或结算产值等额的、合法有效的增值税专用发票，并加盖发票专用章，每次按确认产值的80%支付。项目公司计划在1月份支付工程款298.39万元，即合同总价款的80%，符合合同规定；</w:t>
      </w:r>
    </w:p>
    <w:p>
      <w:pPr>
        <w:pStyle w:val="14"/>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bidi="zh-CN"/>
        </w:rPr>
        <w:t>根据项目公司11月份用印的精装工程中标文件，齐家居美（苏州）精装科技有限公司为中标单位，中标价格为526.87万元。项目公司计划在1月份支付工程款121.50万元，目前精装工程合同尚未签订，具体支付金额以实际签订的协议及完成产值为准；</w:t>
      </w:r>
    </w:p>
    <w:p>
      <w:pPr>
        <w:pStyle w:val="14"/>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bidi="zh-CN"/>
        </w:rPr>
        <w:t>根据项目公司12月21日用印的《云洲郡C8#景观工程合同》文件，项目公司委托福建绿艺园林景观工程有限公司为本项目提供示范区景观工程劳务，合同总价款为638.97万元。合同约定按周期付款，以实际完成工程量，并经发包人验收合格、资料为付款依据。承包人每月25日提交已完工程的付款申请书交发包人审批，项目公司计划在1月份支付工程款511.18万元，即合同价款的80%，承包人向发包人提价完整的竣工资料后，按已核实完工的合格工程量，计算有关累计工程款，支付至该累计工程款的80%，故1月份计划支付款项符合合同的规定；</w:t>
      </w:r>
    </w:p>
    <w:p>
      <w:pPr>
        <w:pStyle w:val="14"/>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bidi="zh-CN"/>
        </w:rPr>
        <w:t>根据项目公司11月12日用印的《地质勘察技术服务合同》，由福建岩土工程勘察研究院有限公司为云洲郡项目提供地质勘察技术服务，合同总价款为41.32万元。约定在乙方完成钻探工作，经甲方盖章审定合格后，甲方向乙方支付已完成工程合同价款的80%；乙方向甲方提供准确的勘探技术报告，经甲方审定且经图审中心审查合格通过后，双方办理工程结算，甲方向乙方支付至工程结算价款的95%；工程结算工程款的5%作为履约保证金，在本项目土方及桩基基础工程完成，且主体桩基础验收合格后30个工作日内，若实际情况与乙方提供的勘探技术报告内容相符，甲方一次性向乙方无息付清；若不相符，则甲方有权扣除相应的履约保证金。项目公司在12月份完成钻探工作，累计支付了合同工程款的80%,即33.06万元，计划在1月份完成全部工程，并支付剩余工程款8.26万元，</w:t>
      </w:r>
      <w:r>
        <w:rPr>
          <w:rFonts w:hint="eastAsia" w:ascii="宋体" w:hAnsi="宋体"/>
          <w:bCs/>
          <w:color w:val="000000"/>
          <w:sz w:val="24"/>
          <w:szCs w:val="24"/>
          <w:lang w:val="en-US" w:bidi="zh-CN"/>
        </w:rPr>
        <w:t>该合同沿用城采协议，合同里规定的履约保证金不单独扣除，故该笔支出</w:t>
      </w:r>
      <w:r>
        <w:rPr>
          <w:rFonts w:hint="eastAsia" w:ascii="宋体" w:hAnsi="宋体"/>
          <w:bCs/>
          <w:color w:val="000000"/>
          <w:sz w:val="24"/>
          <w:szCs w:val="24"/>
          <w:lang w:bidi="zh-CN"/>
        </w:rPr>
        <w:t>符合合同规定；</w:t>
      </w:r>
    </w:p>
    <w:p>
      <w:pPr>
        <w:pStyle w:val="14"/>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bidi="zh-CN"/>
        </w:rPr>
        <w:t>根据项目公司11月份用印的泛光照明工程中标文件，厦门科实照明有限公司为中标单位，中标价格为14.83万元。项目公司计划1月份支付14.39万元，目前泛光照明工程合同尚未签订，具体支付金额以实际签订的协议及完成产值为准；</w:t>
      </w:r>
    </w:p>
    <w:p>
      <w:pPr>
        <w:pStyle w:val="14"/>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bidi="zh-CN"/>
        </w:rPr>
        <w:t>根据项目公司12月10日用印的《空调工程设备采购合同》，项目委托天津宏易空调设备安装工程有限公司为本项目提供空调设备采购服务，合同总价款为48.82万元。规定在合同签订后10日内，发包方支付承包合同价款90%，剩余合同价款在货物验收合格并完成合同结算10日内支付完毕，12月份已支付合同总价款的90%，即43.94万元，剩余款项计划在1月份支付，即货物验收合格并完成合同结算10内支付合同总价款的10%,即4.88万元，符合合同规定，该项计划支付款项合理；</w:t>
      </w:r>
    </w:p>
    <w:p>
      <w:pPr>
        <w:pStyle w:val="14"/>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bidi="zh-CN"/>
        </w:rPr>
        <w:t>计划支付天津宏易空调设备安装工程有限公司空调安装工程款25.00万元，目前合同尚未签订，具体支付金额以实际签订的协议及完成产值为准；</w:t>
      </w:r>
    </w:p>
    <w:p>
      <w:pPr>
        <w:pStyle w:val="14"/>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bidi="zh-CN"/>
        </w:rPr>
        <w:t>根据项目公司11月18日用印的《云洲郡售楼部项目电梯采购合同》文件，合同约定由杭州西奥电梯有限公司为云洲郡项目提供售楼部电梯采购服务，合同总价款32.67万元，合同第一笔付款条件为采购合同签署生效后，甲方发出《订货通知单》之日起7个工作日内，甲方向实际供方支付产品合同价款的20%作为预付款，实际供方收到此款项即刻进行生产；合同第二笔付款条件为经甲方提前确认乙方具备发货条件后，甲方在《发货确认函》确认的发货日期前，向乙方支付产品该批次合同价款的50%；合同第三笔付款条件为电梯项目经监督检验合格并在当地质量技术监督局取得《电梯监督检验合格证》后7个工作日内，乙方协助甲方办毕使用登记手续并向甲方移交产品的全部竣工资料的情况下，且供方按规定格式开出银行质量保函给甲方后，甲方向乙方支付该批次合同价款的30%。项目公司计划1月份支付合同工程款32.67万元，目前电梯已全部到货，计划1月在质量技术监督局取得《电梯监督检验合格证》，符合合同规定，该项支付计划合理；</w:t>
      </w:r>
    </w:p>
    <w:p>
      <w:pPr>
        <w:pStyle w:val="14"/>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bidi="zh-CN"/>
        </w:rPr>
        <w:t>根据项目公司11月18日用印的《云洲郡售楼部项目电梯安装合同》文件，合同约定由杭州西奥电梯有限公司为云洲郡项目提供售楼部电梯安装服务，合同总价款8.23万元，合同第一笔付款条件为发货前7个工作日内，甲方向乙方支付该批次产品安装费用总额的50%；合同第二笔付款条件电梯安装完毕并通过当地政府部门的有关验收并取得相应的证件后，且乙方按规定格式开出银行质量保函（有效期与保修期相同，金额为产品安装费的5%）给甲方后7日内，支付该批次产品安装费的50%；合同第三笔工程款付款条件为工程竣工验收和配合甲方全面工程验收后乙方需配合办理结算，结算完成且乙方按规定格式开出银行质量保函（有效期与保修期相同，金额为结算金额减合同金额的5%，若结算金额小于合同金额，则乙方按照上述2）已提供的银行质量保函不予调整）给甲方后7日内，甲方向乙方支付至结算金额的100%。项目公司计划1月份完成电梯安装后一次性支付全部合同价款8.23万元，符合合同规定，该项支付计划合理；</w:t>
      </w:r>
    </w:p>
    <w:p>
      <w:pPr>
        <w:pStyle w:val="14"/>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bidi="zh-CN"/>
        </w:rPr>
        <w:t>根据项目公司11月份用印的全过程造价咨询工程中标文件，上海正弘建设工程顾问有限公司为中标单位，中标价格为465.32万元，计划在1月份支付工程款37.05万元，目前全过程造价咨询工程合同尚未签订，具体支付金额以实际签订的协议及完成产值为准；</w:t>
      </w:r>
    </w:p>
    <w:p>
      <w:pPr>
        <w:pStyle w:val="14"/>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bidi="zh-CN"/>
        </w:rPr>
        <w:t>计划支付给福州永洁环保服务有限公司的前期费用34.60万元，目前合同尚未签订，具体支付金额以实际签订的协议及完成产值为准；</w:t>
      </w:r>
    </w:p>
    <w:p>
      <w:pPr>
        <w:pStyle w:val="14"/>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bidi="zh-CN"/>
        </w:rPr>
        <w:t>计划支付给福建省鑫耀峰建设工程有限公司基建用水二次施工的前期费用6.50万元，目前合同尚未签订，具体支付金额以实际签订的协议及完成产值为准；</w:t>
      </w:r>
    </w:p>
    <w:p>
      <w:pPr>
        <w:spacing w:before="156" w:beforeLines="50" w:after="156" w:afterLines="50" w:line="360" w:lineRule="auto"/>
        <w:ind w:firstLine="480" w:firstLineChars="200"/>
        <w:rPr>
          <w:rFonts w:ascii="宋体" w:hAnsi="宋体"/>
          <w:bCs/>
          <w:color w:val="000000"/>
          <w:sz w:val="24"/>
          <w:szCs w:val="24"/>
          <w:lang w:bidi="zh-CN"/>
        </w:rPr>
      </w:pPr>
      <w:r>
        <w:rPr>
          <w:rFonts w:hint="eastAsia" w:ascii="宋体" w:hAnsi="宋体"/>
          <w:sz w:val="24"/>
          <w:szCs w:val="24"/>
          <w:lang w:bidi="zh-CN"/>
        </w:rPr>
        <w:t>经审核，本月工程款涉及的合同中13项已经签订，剩余的合同均未签订，资金计划表中的金额为预估金额，</w:t>
      </w:r>
      <w:r>
        <w:rPr>
          <w:rFonts w:hint="eastAsia" w:ascii="宋体" w:hAnsi="宋体"/>
          <w:sz w:val="24"/>
          <w:szCs w:val="24"/>
        </w:rPr>
        <w:t>需待合同签定后根据合同条款及完成产值情况确定是否合理</w:t>
      </w:r>
      <w:r>
        <w:rPr>
          <w:rFonts w:hint="eastAsia" w:ascii="宋体" w:hAnsi="宋体"/>
          <w:sz w:val="24"/>
          <w:szCs w:val="24"/>
          <w:lang w:bidi="zh-CN"/>
        </w:rPr>
        <w:t>。</w:t>
      </w:r>
      <w:r>
        <w:rPr>
          <w:rFonts w:hint="eastAsia" w:ascii="宋体" w:hAnsi="宋体"/>
          <w:sz w:val="24"/>
          <w:szCs w:val="24"/>
        </w:rPr>
        <w:t>根据项目公司提供的《项目开发节奏表》，上述计划支付内容与计划开发进度基本相符，</w:t>
      </w:r>
      <w:r>
        <w:rPr>
          <w:rFonts w:hint="eastAsia" w:ascii="宋体" w:hAnsi="宋体"/>
          <w:sz w:val="24"/>
          <w:szCs w:val="24"/>
          <w:lang w:bidi="zh-CN"/>
        </w:rPr>
        <w:t>我司认为1月项目公司有关工程款支出的资金计划编制合理。后期我司会对合同签订严格把控，实际支付时，我司会对付款申请、发票、流程、工程合同、现场签证等依据进行审核、计算，根据实际情况复核付款的合理性、合规性。</w:t>
      </w:r>
    </w:p>
    <w:p>
      <w:pPr>
        <w:spacing w:before="156" w:beforeLines="50" w:after="156" w:afterLines="50" w:line="360" w:lineRule="auto"/>
        <w:rPr>
          <w:rFonts w:ascii="宋体" w:hAnsi="宋体"/>
          <w:b/>
          <w:bCs/>
          <w:sz w:val="24"/>
          <w:szCs w:val="24"/>
          <w:lang w:bidi="zh-CN"/>
        </w:rPr>
      </w:pPr>
      <w:r>
        <w:rPr>
          <w:rFonts w:hint="eastAsia" w:ascii="宋体" w:hAnsi="宋体"/>
          <w:b/>
          <w:bCs/>
          <w:sz w:val="24"/>
          <w:szCs w:val="24"/>
          <w:lang w:bidi="zh-CN"/>
        </w:rPr>
        <w:t>（二）销售费用资金支出计划说明</w:t>
      </w:r>
    </w:p>
    <w:p>
      <w:pPr>
        <w:spacing w:before="156" w:beforeLines="50" w:after="156" w:afterLines="50" w:line="360" w:lineRule="auto"/>
        <w:ind w:firstLine="480" w:firstLineChars="200"/>
        <w:rPr>
          <w:rFonts w:ascii="宋体" w:hAnsi="宋体"/>
          <w:bCs/>
          <w:color w:val="000000"/>
          <w:sz w:val="24"/>
          <w:szCs w:val="24"/>
          <w:lang w:bidi="zh-CN"/>
        </w:rPr>
      </w:pPr>
      <w:r>
        <w:rPr>
          <w:rFonts w:hint="eastAsia" w:ascii="宋体" w:hAnsi="宋体"/>
          <w:bCs/>
          <w:color w:val="000000"/>
          <w:sz w:val="24"/>
          <w:szCs w:val="24"/>
          <w:lang w:bidi="zh-CN"/>
        </w:rPr>
        <w:t>项目公司计划1月的销售费用支出共38笔，共计571.63万元，包括营销部员工的工资、奖金、福利及餐费报销以及广告宣传等费用，具体分析如下：</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1月的营销人员的薪金费用为27.00万元，具体的销售人员数额尚未确认，项目公司目前正在组织销售人员的招聘工作；</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社会统筹、办公费用、人员报销费用预计39.23万元，包括差旅费、办公家具、内部团建等费用。</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1月份售楼处的通讯费用为4.00万元；</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员工通讯费、交通费补贴和会议费共计3.30万元；</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食堂费和员工福利费共计3.00万元；</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编外人员底薪3.00万元；</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媒体等关系维系5.00万元；</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渠道拓展礼品2.00万元；</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根据项目公司和杭州捷群广告有限公司签订的广告服务合同，合同总价款为55.00万元，每月服务费总额为11.00万元，1月份计划支付11.00万元，符合合同规定，该项资金计划款项合理；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计划支付给杭州据象网络科技有限公司微信月费5.00万元，目前合同尚未签订，具体支付金额以实际签订的协议及完成产值为准；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根据项目公司11月19日用印的《展厅服务合同》，由上海良晓信息科技有限公司为云洲郡项目提供展厅服务，合同总价款为292.00万元，合同规定在正式签订日起15个工作日内，甲方书面确认展厅及各展项设计方案、施工图、强弱电点位图，并支付合同总价款10%款项；第二次款项支付条件为完成软硬件深化阶段支付合同总价款为调整后合同包干总价的30%；第三次款项支付在硬件采购阶段支付至调整后合同包干总价的50%；第四次款项支付在安装与施工现场服务阶段支付至调整后合同包干总价的70%；第五次款项支付在软硬件现场调试阶段支付至结算合同总价的95%；最后在维护阶段，支付至结算合同总价的100%。11月份已支付合同总价款的10%，目前已经进行到第三阶段硬件采购，项目公司计划第二阶段和第三阶段的款项一起支付，截止到12月该合同累计支付了146.00万元，1月份计划支付131.40万元，完成软硬件现场调试阶段，符合合同规定，该支付计划款项合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计划支付给上海良晓信息科技有限公司21.00万元，为云洲郡项目提供展厅服务，目前增补展厅服务合同尚未签订，具体支付金额以实际签订的协议及完成产值为准；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计划支付给杭州一拳网络科技有限公司8.00万元，目前合同尚未签订，具体支付金额以实际签订的协议及完成产值为准；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计划支付给杭州臻挚标识有限公司的精神堡垒制作费用15.00万元，目前合同尚未签订，具体支付金额以实际签订的协议及完成产值为准；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计划支付给上海市山之田模型设计有限公司的项目沙盘制作费用43.23万元，目前合同尚未签订，具体支付金额以实际签订的协议及完成产值为准；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计划支付给合肥零壹捌陆商业设计有限公司的项目万达展点搭建费用28.00万元，目前合同尚未签订，具体支付金额以实际签订的协议及完成产值为准；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计划支付给厦门图易文化传播有限公司的项目汇达、三坊七巷展点搭建费用7.00万元，目前合同尚未签订，具体支付金额以实际签订的协议及完成产值为准；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计划支付三坊七巷展点租赁费9.00万元，目前合同尚未签订，具体支付金额以实际签订的协议及完成产值为准；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计划支付给福州壹家文化传播有限公司的项目活动费用10.00万元，目前合同尚未签订，具体支付金额以实际签订的协议及完成产值为准；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计划支付给台江区优润日用品经营部的活动礼品采购费用4.07万元，目前合同尚未签订，具体支付金额以实际签订的协议及完成产值为准；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计划支付自媒体投放费用10.00万元，目前合同尚未签订，具体支付金额以实际签订的协议及完成产值为准；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计划支付福州吉造传媒有限公司的营销中心开放大视频费用10.00万元，目前合同尚未签订，具体支付金额以实际签订的协议及完成产值为准；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计划支付的项目暖场、路宣视频拍摄费用5.00万元，目前合同尚未签订，具体支付金额以实际签订的协议及完成产值为准；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计划支付的项目大区、特写、户型渲染效果图、小视频费用15.00万元，目前合同尚未签订，具体支付金额以实际签订的协议及完成产值为准；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计划支付给的杭州角动量科技有限公司关于LED屏幕及广告机制作安装费用36.40万元，目前合同尚未签订，具体支付金额以实际签订的协议及完成产值为准；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计划支付给的深圳市文达智通科技有限公司关于人脸识别采购费用10.00万元，目前合同尚未签订，具体支付金额以实际签订的协议及完成产值为准；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计划支付航拍视频费用3.00万元，目前合同尚未签订，具体支付金额以实际签订的协议及完成产值为准；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计划支付5G智慧屏平台搭建费用100.00万元，目前合同尚未签订，具体支付金额以实际签订的协议及完成产值为准；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计划支付户型图三维拍摄费用3.00万元，目前合同尚未签订，具体支付金额以实际签订的协议及完成产值为准；</w:t>
      </w:r>
    </w:p>
    <w:p>
      <w:pPr>
        <w:spacing w:before="156" w:beforeLines="50" w:after="156" w:afterLines="50" w:line="360" w:lineRule="auto"/>
        <w:ind w:firstLine="480" w:firstLineChars="200"/>
        <w:rPr>
          <w:rFonts w:ascii="宋体" w:hAnsi="宋体"/>
          <w:sz w:val="24"/>
          <w:szCs w:val="24"/>
        </w:rPr>
      </w:pPr>
      <w:r>
        <w:rPr>
          <w:rFonts w:hint="eastAsia" w:ascii="宋体" w:hAnsi="宋体"/>
          <w:bCs/>
          <w:color w:val="000000"/>
          <w:sz w:val="24"/>
          <w:szCs w:val="24"/>
          <w:lang w:bidi="zh-CN"/>
        </w:rPr>
        <w:t>项目公司营销计划及人员工作计划尚未排定，届时将根据实际人员安排进行支付</w:t>
      </w:r>
      <w:r>
        <w:rPr>
          <w:rFonts w:hint="eastAsia" w:ascii="宋体" w:hAnsi="宋体"/>
          <w:sz w:val="24"/>
          <w:szCs w:val="24"/>
          <w:lang w:bidi="zh-CN"/>
        </w:rPr>
        <w:t>相应费用</w:t>
      </w:r>
      <w:r>
        <w:rPr>
          <w:rFonts w:ascii="宋体" w:hAnsi="宋体"/>
          <w:sz w:val="24"/>
          <w:szCs w:val="24"/>
          <w:lang w:bidi="zh-CN"/>
        </w:rPr>
        <w:t>，</w:t>
      </w:r>
      <w:r>
        <w:rPr>
          <w:rFonts w:hint="eastAsia" w:ascii="宋体" w:hAnsi="宋体"/>
          <w:sz w:val="24"/>
          <w:szCs w:val="24"/>
        </w:rPr>
        <w:t>后期申请</w:t>
      </w:r>
      <w:r>
        <w:rPr>
          <w:rFonts w:ascii="宋体" w:hAnsi="宋体"/>
          <w:sz w:val="24"/>
          <w:szCs w:val="24"/>
        </w:rPr>
        <w:t>相关款项</w:t>
      </w:r>
      <w:r>
        <w:rPr>
          <w:rFonts w:ascii="宋体" w:hAnsi="宋体"/>
          <w:sz w:val="24"/>
          <w:szCs w:val="24"/>
          <w:lang w:bidi="zh-CN"/>
        </w:rPr>
        <w:t>支付时，我司会对付款申请、发票、流程、合同等依据进行审核，严格把控，确保资金支付合理、合规。</w:t>
      </w:r>
    </w:p>
    <w:p>
      <w:pPr>
        <w:spacing w:before="156" w:beforeLines="50" w:after="156" w:afterLines="50" w:line="360" w:lineRule="auto"/>
        <w:rPr>
          <w:rFonts w:ascii="宋体" w:hAnsi="宋体"/>
          <w:b/>
          <w:bCs/>
          <w:sz w:val="24"/>
          <w:szCs w:val="24"/>
          <w:lang w:bidi="zh-CN"/>
        </w:rPr>
      </w:pPr>
      <w:r>
        <w:rPr>
          <w:rFonts w:hint="eastAsia" w:ascii="宋体" w:hAnsi="宋体"/>
          <w:b/>
          <w:bCs/>
          <w:sz w:val="24"/>
          <w:szCs w:val="24"/>
          <w:lang w:bidi="zh-CN"/>
        </w:rPr>
        <w:t>（三）管理费用资金支出计划说明</w:t>
      </w:r>
    </w:p>
    <w:p>
      <w:pPr>
        <w:spacing w:before="156" w:beforeLines="50" w:after="156" w:afterLines="50" w:line="360" w:lineRule="auto"/>
        <w:ind w:firstLine="480" w:firstLineChars="200"/>
        <w:rPr>
          <w:rFonts w:ascii="宋体" w:hAnsi="宋体"/>
          <w:bCs/>
          <w:color w:val="000000"/>
          <w:sz w:val="24"/>
          <w:szCs w:val="24"/>
          <w:lang w:bidi="zh-CN"/>
        </w:rPr>
      </w:pPr>
      <w:r>
        <w:rPr>
          <w:rFonts w:hint="eastAsia" w:ascii="宋体" w:hAnsi="宋体"/>
          <w:bCs/>
          <w:color w:val="000000"/>
          <w:sz w:val="24"/>
          <w:szCs w:val="24"/>
          <w:lang w:bidi="zh-CN"/>
        </w:rPr>
        <w:t>项目公司在1月的管理费用支出共计6笔，共计16.60万元，包括月度招待费、水电物管及其他日常行政费用，具体分析如下：</w:t>
      </w:r>
    </w:p>
    <w:p>
      <w:pPr>
        <w:pStyle w:val="14"/>
        <w:numPr>
          <w:ilvl w:val="0"/>
          <w:numId w:val="4"/>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bidi="zh-CN"/>
        </w:rPr>
        <w:t>月度招待费在1月预计支付15.00万元；</w:t>
      </w:r>
    </w:p>
    <w:p>
      <w:pPr>
        <w:pStyle w:val="14"/>
        <w:numPr>
          <w:ilvl w:val="0"/>
          <w:numId w:val="4"/>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bidi="zh-CN"/>
        </w:rPr>
        <w:t>水电物管1月份支付0.60万元；</w:t>
      </w:r>
    </w:p>
    <w:p>
      <w:pPr>
        <w:pStyle w:val="14"/>
        <w:numPr>
          <w:ilvl w:val="0"/>
          <w:numId w:val="4"/>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bidi="zh-CN"/>
        </w:rPr>
        <w:t>其他日常行政费用共计1.00万元。</w:t>
      </w:r>
    </w:p>
    <w:p>
      <w:pPr>
        <w:spacing w:before="156" w:beforeLines="50" w:after="156" w:afterLines="50" w:line="360" w:lineRule="auto"/>
        <w:ind w:firstLine="480" w:firstLineChars="200"/>
        <w:rPr>
          <w:rFonts w:ascii="宋体" w:hAnsi="宋体"/>
          <w:sz w:val="24"/>
          <w:szCs w:val="24"/>
          <w:lang w:bidi="zh-CN"/>
        </w:rPr>
      </w:pPr>
      <w:r>
        <w:rPr>
          <w:rFonts w:ascii="宋体" w:hAnsi="宋体"/>
          <w:sz w:val="24"/>
          <w:szCs w:val="24"/>
          <w:lang w:bidi="zh-CN"/>
        </w:rPr>
        <w:t>经审核，我司认为</w:t>
      </w:r>
      <w:r>
        <w:rPr>
          <w:rFonts w:hint="eastAsia" w:ascii="宋体" w:hAnsi="宋体"/>
          <w:sz w:val="24"/>
          <w:szCs w:val="24"/>
          <w:lang w:bidi="zh-CN"/>
        </w:rPr>
        <w:t>项目公司1月份的管理费用资金支出计划表编制基本合理，公司的办公室房租及水电物管的支出符合企业情况，</w:t>
      </w:r>
      <w:r>
        <w:rPr>
          <w:rFonts w:hint="eastAsia" w:ascii="宋体" w:hAnsi="宋体"/>
          <w:sz w:val="24"/>
          <w:szCs w:val="24"/>
        </w:rPr>
        <w:t>后期申请</w:t>
      </w:r>
      <w:r>
        <w:rPr>
          <w:rFonts w:ascii="宋体" w:hAnsi="宋体"/>
          <w:sz w:val="24"/>
          <w:szCs w:val="24"/>
        </w:rPr>
        <w:t>相关款项</w:t>
      </w:r>
      <w:r>
        <w:rPr>
          <w:rFonts w:ascii="宋体" w:hAnsi="宋体"/>
          <w:sz w:val="24"/>
          <w:szCs w:val="24"/>
          <w:lang w:bidi="zh-CN"/>
        </w:rPr>
        <w:t>支付时，我司会对付款申请、发票、流程、合同等依据进行审核，严格把控，确保资金支付合理、合规。</w:t>
      </w:r>
    </w:p>
    <w:p>
      <w:pPr>
        <w:spacing w:before="156" w:beforeLines="50" w:after="156" w:afterLines="50" w:line="360" w:lineRule="auto"/>
        <w:rPr>
          <w:rFonts w:ascii="宋体" w:hAnsi="宋体"/>
          <w:b/>
          <w:bCs/>
          <w:sz w:val="24"/>
          <w:szCs w:val="24"/>
          <w:lang w:bidi="zh-CN"/>
        </w:rPr>
      </w:pPr>
      <w:r>
        <w:rPr>
          <w:rFonts w:hint="eastAsia" w:ascii="宋体" w:hAnsi="宋体"/>
          <w:b/>
          <w:bCs/>
          <w:sz w:val="24"/>
          <w:szCs w:val="24"/>
          <w:lang w:bidi="zh-CN"/>
        </w:rPr>
        <w:t>（四）不可预见费用资金支出计划说明</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lang w:bidi="zh-CN"/>
        </w:rPr>
        <w:t>项目公司在1月份的不可预见费用为200.00万元，以备一些不可预测的资金支付。</w:t>
      </w:r>
    </w:p>
    <w:p>
      <w:pPr>
        <w:numPr>
          <w:ilvl w:val="0"/>
          <w:numId w:val="1"/>
        </w:numPr>
        <w:spacing w:before="156" w:beforeLines="50" w:after="156" w:afterLines="50"/>
        <w:ind w:firstLine="120" w:firstLineChars="50"/>
        <w:rPr>
          <w:rFonts w:ascii="宋体" w:hAnsi="宋体"/>
          <w:b/>
          <w:sz w:val="24"/>
          <w:szCs w:val="24"/>
          <w:lang w:bidi="zh-CN"/>
        </w:rPr>
      </w:pPr>
      <w:r>
        <w:rPr>
          <w:rFonts w:ascii="宋体" w:hAnsi="宋体"/>
          <w:b/>
          <w:sz w:val="24"/>
          <w:szCs w:val="24"/>
          <w:lang w:bidi="zh-CN"/>
        </w:rPr>
        <w:t>结论：</w:t>
      </w:r>
    </w:p>
    <w:p>
      <w:pPr>
        <w:pStyle w:val="14"/>
        <w:spacing w:before="156" w:beforeLines="50" w:after="156" w:afterLines="50" w:line="360" w:lineRule="auto"/>
        <w:ind w:firstLine="480"/>
        <w:rPr>
          <w:rFonts w:ascii="宋体" w:hAnsi="宋体"/>
          <w:sz w:val="24"/>
          <w:szCs w:val="24"/>
          <w:lang w:bidi="zh-CN"/>
        </w:rPr>
      </w:pPr>
      <w:r>
        <w:rPr>
          <w:rFonts w:hint="eastAsia" w:ascii="宋体" w:hAnsi="宋体"/>
          <w:sz w:val="24"/>
          <w:szCs w:val="24"/>
        </w:rPr>
        <w:t>项目公司本次提交的2021年1月资金计划表中1月份的资金计划按款项类别分类，</w:t>
      </w:r>
      <w:r>
        <w:rPr>
          <w:rFonts w:ascii="宋体" w:hAnsi="宋体"/>
          <w:bCs/>
          <w:color w:val="000000"/>
          <w:sz w:val="24"/>
          <w:szCs w:val="24"/>
          <w:lang w:bidi="zh-CN"/>
        </w:rPr>
        <w:t>分类信息明确，直观，费用明细与现场实际情况基本吻合</w:t>
      </w:r>
      <w:r>
        <w:rPr>
          <w:rFonts w:hint="eastAsia" w:ascii="宋体" w:hAnsi="宋体"/>
          <w:bCs/>
          <w:color w:val="000000"/>
          <w:sz w:val="24"/>
          <w:szCs w:val="24"/>
          <w:lang w:bidi="zh-CN"/>
        </w:rPr>
        <w:t>。涉及的合同及付款与开发节奏匹配，部分付款时间较之现金流预测表略有调整。由于部分合同在提交预算时未签定属正常情况，</w:t>
      </w:r>
      <w:r>
        <w:rPr>
          <w:rFonts w:hint="eastAsia" w:ascii="宋体" w:hAnsi="宋体"/>
          <w:sz w:val="24"/>
          <w:szCs w:val="24"/>
          <w:lang w:bidi="zh-CN"/>
        </w:rPr>
        <w:t>后期我司会对合同签订严格把控。实际支付时，我司会对付款申请、发票、流程、合同、现场签证等依据进行审核、计算，根据实际申请情况该付款的合理性、合规性。</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bCs/>
          <w:sz w:val="24"/>
          <w:szCs w:val="24"/>
          <w:lang w:bidi="zh-CN"/>
        </w:rPr>
        <w:t>我司拟同意项目公司2021年1月份的资金计划，并以此作为付款的依据。待实际支付时，我司人员将对相关付款资料的合理、合规性一一核实，据实支付，请审批。</w:t>
      </w:r>
    </w:p>
    <w:p>
      <w:pPr>
        <w:spacing w:before="156" w:beforeLines="50" w:after="156" w:afterLines="50" w:line="360" w:lineRule="auto"/>
        <w:ind w:firstLine="480" w:firstLineChars="200"/>
        <w:rPr>
          <w:rFonts w:ascii="宋体" w:hAnsi="宋体"/>
          <w:sz w:val="24"/>
          <w:szCs w:val="24"/>
        </w:rPr>
      </w:pPr>
    </w:p>
    <w:p>
      <w:pPr>
        <w:spacing w:line="360" w:lineRule="auto"/>
        <w:ind w:firstLine="5060" w:firstLineChars="2100"/>
        <w:rPr>
          <w:rFonts w:ascii="宋体" w:hAnsi="宋体"/>
          <w:b/>
          <w:color w:val="000000"/>
          <w:sz w:val="24"/>
          <w:lang w:bidi="zh-CN"/>
        </w:rPr>
      </w:pPr>
      <w:r>
        <w:rPr>
          <w:rFonts w:hint="eastAsia" w:ascii="宋体" w:hAnsi="宋体"/>
          <w:b/>
          <w:color w:val="000000"/>
          <w:sz w:val="24"/>
          <w:lang w:bidi="zh-CN"/>
        </w:rPr>
        <w:t xml:space="preserve">       北京康信君安资产管理有限公司</w:t>
      </w:r>
    </w:p>
    <w:p>
      <w:pPr>
        <w:spacing w:before="156" w:beforeLines="50" w:line="360" w:lineRule="auto"/>
        <w:ind w:left="420" w:leftChars="200" w:firstLine="482" w:firstLineChars="200"/>
        <w:rPr>
          <w:rFonts w:ascii="宋体" w:hAnsi="宋体"/>
          <w:b/>
          <w:bCs/>
        </w:rPr>
      </w:pPr>
      <w:r>
        <w:rPr>
          <w:rFonts w:hint="eastAsia" w:ascii="宋体" w:hAnsi="宋体"/>
          <w:b/>
          <w:color w:val="000000"/>
          <w:sz w:val="24"/>
          <w:lang w:bidi="zh-CN"/>
        </w:rPr>
        <w:t xml:space="preserve">                                              </w:t>
      </w:r>
      <w:r>
        <w:rPr>
          <w:rFonts w:hint="eastAsia" w:ascii="宋体" w:hAnsi="宋体"/>
          <w:b/>
          <w:bCs/>
          <w:color w:val="000000"/>
          <w:sz w:val="24"/>
          <w:lang w:bidi="zh-CN"/>
        </w:rPr>
        <w:t xml:space="preserve"> 20</w:t>
      </w:r>
      <w:r>
        <w:rPr>
          <w:rFonts w:ascii="宋体" w:hAnsi="宋体"/>
          <w:b/>
          <w:bCs/>
          <w:color w:val="000000"/>
          <w:sz w:val="24"/>
          <w:lang w:bidi="zh-CN"/>
        </w:rPr>
        <w:t>20</w:t>
      </w:r>
      <w:r>
        <w:rPr>
          <w:rFonts w:hint="eastAsia" w:ascii="宋体" w:hAnsi="宋体"/>
          <w:b/>
          <w:bCs/>
          <w:color w:val="000000"/>
          <w:sz w:val="24"/>
          <w:lang w:bidi="zh-CN"/>
        </w:rPr>
        <w:t>年12</w:t>
      </w:r>
      <w:r>
        <w:rPr>
          <w:rFonts w:ascii="宋体" w:hAnsi="宋体"/>
          <w:b/>
          <w:bCs/>
          <w:color w:val="000000"/>
          <w:sz w:val="24"/>
          <w:lang w:bidi="zh-CN"/>
        </w:rPr>
        <w:t>月</w:t>
      </w:r>
      <w:r>
        <w:rPr>
          <w:rFonts w:hint="eastAsia" w:ascii="宋体" w:hAnsi="宋体"/>
          <w:b/>
          <w:bCs/>
          <w:color w:val="000000"/>
          <w:sz w:val="24"/>
          <w:lang w:bidi="zh-CN"/>
        </w:rPr>
        <w:t>2</w:t>
      </w:r>
      <w:r>
        <w:rPr>
          <w:rFonts w:hint="eastAsia" w:ascii="宋体" w:hAnsi="宋体"/>
          <w:b/>
          <w:bCs/>
          <w:color w:val="000000"/>
          <w:sz w:val="24"/>
          <w:lang w:val="en-US" w:bidi="zh-CN"/>
        </w:rPr>
        <w:t>9</w:t>
      </w:r>
      <w:r>
        <w:rPr>
          <w:rFonts w:ascii="宋体" w:hAnsi="宋体"/>
          <w:b/>
          <w:bCs/>
          <w:color w:val="000000"/>
          <w:sz w:val="24"/>
          <w:lang w:bidi="zh-CN"/>
        </w:rPr>
        <w:t>日</w:t>
      </w:r>
    </w:p>
    <w:p>
      <w:pPr>
        <w:spacing w:line="360" w:lineRule="auto"/>
        <w:ind w:firstLine="4578" w:firstLineChars="1900"/>
        <w:rPr>
          <w:rFonts w:ascii="宋体" w:hAnsi="宋体"/>
          <w:b/>
          <w:color w:val="000000"/>
          <w:sz w:val="24"/>
          <w:lang w:bidi="zh-CN"/>
        </w:rPr>
      </w:pPr>
    </w:p>
    <w:sectPr>
      <w:headerReference r:id="rId3" w:type="default"/>
      <w:footerReference r:id="rId4" w:type="default"/>
      <w:pgSz w:w="11906" w:h="16838"/>
      <w:pgMar w:top="1417" w:right="1134" w:bottom="113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ascii="楷体_GB2312" w:eastAsia="楷体_GB2312"/>
        <w:spacing w:val="-20"/>
        <w:sz w:val="24"/>
      </w:rPr>
      <w:t xml:space="preserve">        </w:t>
    </w:r>
    <w:r>
      <w:drawing>
        <wp:inline distT="0" distB="0" distL="0" distR="0">
          <wp:extent cx="6048375" cy="418465"/>
          <wp:effectExtent l="0" t="0" r="952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48375" cy="4184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381DE"/>
    <w:multiLevelType w:val="multilevel"/>
    <w:tmpl w:val="062381DE"/>
    <w:lvl w:ilvl="0" w:tentative="0">
      <w:start w:val="1"/>
      <w:numFmt w:val="decimal"/>
      <w:lvlText w:val="（%1）"/>
      <w:lvlJc w:val="left"/>
      <w:pPr>
        <w:ind w:left="1200" w:hanging="7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14C624E7"/>
    <w:multiLevelType w:val="multilevel"/>
    <w:tmpl w:val="14C624E7"/>
    <w:lvl w:ilvl="0" w:tentative="0">
      <w:start w:val="1"/>
      <w:numFmt w:val="decimal"/>
      <w:lvlText w:val="（%1）"/>
      <w:lvlJc w:val="left"/>
      <w:pPr>
        <w:ind w:left="1200" w:hanging="7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1F5288DA"/>
    <w:multiLevelType w:val="singleLevel"/>
    <w:tmpl w:val="1F5288DA"/>
    <w:lvl w:ilvl="0" w:tentative="0">
      <w:start w:val="1"/>
      <w:numFmt w:val="chineseCounting"/>
      <w:suff w:val="nothing"/>
      <w:lvlText w:val="%1、"/>
      <w:lvlJc w:val="left"/>
      <w:rPr>
        <w:rFonts w:hint="eastAsia"/>
      </w:rPr>
    </w:lvl>
  </w:abstractNum>
  <w:abstractNum w:abstractNumId="3">
    <w:nsid w:val="43768D9D"/>
    <w:multiLevelType w:val="multilevel"/>
    <w:tmpl w:val="43768D9D"/>
    <w:lvl w:ilvl="0" w:tentative="0">
      <w:start w:val="1"/>
      <w:numFmt w:val="decimal"/>
      <w:lvlText w:val="（%1）"/>
      <w:lvlJc w:val="left"/>
      <w:pPr>
        <w:ind w:left="1200" w:hanging="7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3D1761"/>
    <w:rsid w:val="00040F89"/>
    <w:rsid w:val="000525F4"/>
    <w:rsid w:val="00065207"/>
    <w:rsid w:val="000C41A2"/>
    <w:rsid w:val="000E3789"/>
    <w:rsid w:val="00136E9B"/>
    <w:rsid w:val="00142260"/>
    <w:rsid w:val="00194BA4"/>
    <w:rsid w:val="00237492"/>
    <w:rsid w:val="002A26CB"/>
    <w:rsid w:val="002B4D97"/>
    <w:rsid w:val="002E58E2"/>
    <w:rsid w:val="00347099"/>
    <w:rsid w:val="00473EDB"/>
    <w:rsid w:val="0049374E"/>
    <w:rsid w:val="004B1C61"/>
    <w:rsid w:val="004D1D0F"/>
    <w:rsid w:val="00510E2C"/>
    <w:rsid w:val="00571659"/>
    <w:rsid w:val="005B4A9C"/>
    <w:rsid w:val="005B5D70"/>
    <w:rsid w:val="006151EF"/>
    <w:rsid w:val="00634457"/>
    <w:rsid w:val="00644ECF"/>
    <w:rsid w:val="006E2B52"/>
    <w:rsid w:val="006F6637"/>
    <w:rsid w:val="007A22DB"/>
    <w:rsid w:val="007E1386"/>
    <w:rsid w:val="00816F02"/>
    <w:rsid w:val="00832436"/>
    <w:rsid w:val="008610EA"/>
    <w:rsid w:val="00877846"/>
    <w:rsid w:val="008847E6"/>
    <w:rsid w:val="009004D8"/>
    <w:rsid w:val="009030FB"/>
    <w:rsid w:val="009A0579"/>
    <w:rsid w:val="00AF7AC5"/>
    <w:rsid w:val="00BA68DE"/>
    <w:rsid w:val="00C930E4"/>
    <w:rsid w:val="00C95AE7"/>
    <w:rsid w:val="00D306E0"/>
    <w:rsid w:val="00D628DD"/>
    <w:rsid w:val="00D76CDD"/>
    <w:rsid w:val="00DD6217"/>
    <w:rsid w:val="00E10A98"/>
    <w:rsid w:val="00E20E17"/>
    <w:rsid w:val="00E45716"/>
    <w:rsid w:val="00E568EC"/>
    <w:rsid w:val="00E921FE"/>
    <w:rsid w:val="00F01AF9"/>
    <w:rsid w:val="00F8220C"/>
    <w:rsid w:val="00FA3166"/>
    <w:rsid w:val="04143CD3"/>
    <w:rsid w:val="04982717"/>
    <w:rsid w:val="063D1761"/>
    <w:rsid w:val="07E03F89"/>
    <w:rsid w:val="08EE1EC1"/>
    <w:rsid w:val="0BD9562E"/>
    <w:rsid w:val="0BF42BB6"/>
    <w:rsid w:val="0C5374A3"/>
    <w:rsid w:val="0DEB56BA"/>
    <w:rsid w:val="0EB47384"/>
    <w:rsid w:val="0F2C2C9D"/>
    <w:rsid w:val="12EE54E0"/>
    <w:rsid w:val="178873E1"/>
    <w:rsid w:val="1D043C1A"/>
    <w:rsid w:val="23565FC4"/>
    <w:rsid w:val="25941A9C"/>
    <w:rsid w:val="25A8047B"/>
    <w:rsid w:val="2A9918BD"/>
    <w:rsid w:val="2D6149CC"/>
    <w:rsid w:val="31BC4B3E"/>
    <w:rsid w:val="31ED37AF"/>
    <w:rsid w:val="35334DCE"/>
    <w:rsid w:val="35826B17"/>
    <w:rsid w:val="369827D3"/>
    <w:rsid w:val="37052A1D"/>
    <w:rsid w:val="37967549"/>
    <w:rsid w:val="392817E4"/>
    <w:rsid w:val="39570990"/>
    <w:rsid w:val="3CF828BA"/>
    <w:rsid w:val="3D7C3CA5"/>
    <w:rsid w:val="3DF30266"/>
    <w:rsid w:val="407961B2"/>
    <w:rsid w:val="437C7673"/>
    <w:rsid w:val="43E87380"/>
    <w:rsid w:val="466923B3"/>
    <w:rsid w:val="48BF0390"/>
    <w:rsid w:val="4AA870DA"/>
    <w:rsid w:val="4E8809AE"/>
    <w:rsid w:val="54BD1A39"/>
    <w:rsid w:val="570876FE"/>
    <w:rsid w:val="59DE52E9"/>
    <w:rsid w:val="6A8601F9"/>
    <w:rsid w:val="6C9C7B61"/>
    <w:rsid w:val="6D572487"/>
    <w:rsid w:val="6F433989"/>
    <w:rsid w:val="73F773CD"/>
    <w:rsid w:val="7586575E"/>
    <w:rsid w:val="761B4740"/>
    <w:rsid w:val="780C51CB"/>
    <w:rsid w:val="79C755E3"/>
    <w:rsid w:val="7D0839FB"/>
    <w:rsid w:val="7F522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0"/>
    <w:qFormat/>
    <w:uiPriority w:val="0"/>
    <w:pPr>
      <w:jc w:val="left"/>
    </w:pPr>
  </w:style>
  <w:style w:type="paragraph" w:styleId="5">
    <w:name w:val="Body Text"/>
    <w:basedOn w:val="1"/>
    <w:semiHidden/>
    <w:unhideWhenUsed/>
    <w:qFormat/>
    <w:uiPriority w:val="99"/>
    <w:pPr>
      <w:spacing w:after="120"/>
    </w:pPr>
  </w:style>
  <w:style w:type="paragraph" w:styleId="6">
    <w:name w:val="Balloon Text"/>
    <w:basedOn w:val="1"/>
    <w:link w:val="15"/>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annotation subject"/>
    <w:basedOn w:val="4"/>
    <w:next w:val="4"/>
    <w:link w:val="21"/>
    <w:uiPriority w:val="0"/>
    <w:rPr>
      <w:b/>
      <w:bCs/>
    </w:rPr>
  </w:style>
  <w:style w:type="paragraph" w:styleId="10">
    <w:name w:val="Body Text First Indent"/>
    <w:basedOn w:val="5"/>
    <w:unhideWhenUsed/>
    <w:qFormat/>
    <w:uiPriority w:val="99"/>
    <w:pPr>
      <w:ind w:firstLine="420" w:firstLineChars="100"/>
    </w:pPr>
    <w:rPr>
      <w:szCs w:val="24"/>
    </w:rPr>
  </w:style>
  <w:style w:type="character" w:styleId="13">
    <w:name w:val="annotation reference"/>
    <w:basedOn w:val="12"/>
    <w:qFormat/>
    <w:uiPriority w:val="0"/>
    <w:rPr>
      <w:sz w:val="21"/>
      <w:szCs w:val="21"/>
    </w:rPr>
  </w:style>
  <w:style w:type="paragraph" w:styleId="14">
    <w:name w:val="List Paragraph"/>
    <w:basedOn w:val="1"/>
    <w:qFormat/>
    <w:uiPriority w:val="99"/>
    <w:pPr>
      <w:ind w:firstLine="420" w:firstLineChars="200"/>
    </w:pPr>
  </w:style>
  <w:style w:type="character" w:customStyle="1" w:styleId="15">
    <w:name w:val="批注框文本 字符"/>
    <w:basedOn w:val="12"/>
    <w:link w:val="6"/>
    <w:qFormat/>
    <w:uiPriority w:val="0"/>
    <w:rPr>
      <w:kern w:val="2"/>
      <w:sz w:val="18"/>
      <w:szCs w:val="18"/>
    </w:rPr>
  </w:style>
  <w:style w:type="character" w:customStyle="1" w:styleId="16">
    <w:name w:val="font21"/>
    <w:basedOn w:val="12"/>
    <w:qFormat/>
    <w:uiPriority w:val="0"/>
    <w:rPr>
      <w:rFonts w:hint="eastAsia" w:ascii="宋体" w:hAnsi="宋体" w:eastAsia="宋体" w:cs="宋体"/>
      <w:color w:val="000000"/>
      <w:sz w:val="20"/>
      <w:szCs w:val="20"/>
      <w:u w:val="none"/>
    </w:rPr>
  </w:style>
  <w:style w:type="character" w:customStyle="1" w:styleId="17">
    <w:name w:val="font01"/>
    <w:basedOn w:val="12"/>
    <w:qFormat/>
    <w:uiPriority w:val="0"/>
    <w:rPr>
      <w:rFonts w:hint="eastAsia" w:ascii="宋体" w:hAnsi="宋体" w:eastAsia="宋体" w:cs="宋体"/>
      <w:color w:val="000000"/>
      <w:sz w:val="22"/>
      <w:szCs w:val="22"/>
      <w:u w:val="none"/>
    </w:rPr>
  </w:style>
  <w:style w:type="character" w:customStyle="1" w:styleId="18">
    <w:name w:val="font41"/>
    <w:basedOn w:val="12"/>
    <w:qFormat/>
    <w:uiPriority w:val="0"/>
    <w:rPr>
      <w:rFonts w:hint="eastAsia" w:ascii="宋体" w:hAnsi="宋体" w:eastAsia="宋体" w:cs="宋体"/>
      <w:color w:val="000000"/>
      <w:sz w:val="22"/>
      <w:szCs w:val="22"/>
      <w:u w:val="none"/>
    </w:rPr>
  </w:style>
  <w:style w:type="character" w:customStyle="1" w:styleId="19">
    <w:name w:val="font31"/>
    <w:basedOn w:val="12"/>
    <w:qFormat/>
    <w:uiPriority w:val="0"/>
    <w:rPr>
      <w:rFonts w:ascii="Arial" w:hAnsi="Arial" w:cs="Arial"/>
      <w:color w:val="000000"/>
      <w:sz w:val="22"/>
      <w:szCs w:val="22"/>
      <w:u w:val="none"/>
    </w:rPr>
  </w:style>
  <w:style w:type="character" w:customStyle="1" w:styleId="20">
    <w:name w:val="批注文字 字符"/>
    <w:basedOn w:val="12"/>
    <w:link w:val="4"/>
    <w:qFormat/>
    <w:uiPriority w:val="0"/>
    <w:rPr>
      <w:kern w:val="2"/>
      <w:sz w:val="21"/>
      <w:szCs w:val="22"/>
    </w:rPr>
  </w:style>
  <w:style w:type="character" w:customStyle="1" w:styleId="21">
    <w:name w:val="批注主题 字符"/>
    <w:basedOn w:val="20"/>
    <w:link w:val="9"/>
    <w:qFormat/>
    <w:uiPriority w:val="0"/>
    <w:rPr>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1389</Words>
  <Characters>7921</Characters>
  <Lines>66</Lines>
  <Paragraphs>18</Paragraphs>
  <TotalTime>25</TotalTime>
  <ScaleCrop>false</ScaleCrop>
  <LinksUpToDate>false</LinksUpToDate>
  <CharactersWithSpaces>9292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2020-08-11T03:39:00Z</dcterms:created>
  <dc:creator>郭胜霖</dc:creator>
  <cp:lastModifiedBy>王存丽</cp:lastModifiedBy>
  <dcterms:modified xsi:type="dcterms:W3CDTF">2020-12-29T03:02:03Z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