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sz w:val="32"/>
          <w:szCs w:val="32"/>
        </w:rPr>
      </w:pPr>
      <w:bookmarkStart w:id="0" w:name="_Toc13220"/>
      <w:bookmarkStart w:id="1" w:name="_Toc17474"/>
      <w:r>
        <w:rPr>
          <w:rFonts w:hint="eastAsia" w:ascii="宋体" w:hAnsi="宋体" w:cs="宋体"/>
          <w:b/>
          <w:bCs/>
          <w:sz w:val="32"/>
          <w:szCs w:val="32"/>
        </w:rPr>
        <w:t>关于福州螺洲T</w:t>
      </w:r>
      <w:r>
        <w:rPr>
          <w:rFonts w:ascii="宋体" w:hAnsi="宋体" w:cs="宋体"/>
          <w:b/>
          <w:bCs/>
          <w:sz w:val="32"/>
          <w:szCs w:val="32"/>
        </w:rPr>
        <w:t>OD</w:t>
      </w:r>
      <w:r>
        <w:rPr>
          <w:rFonts w:hint="eastAsia" w:ascii="宋体" w:hAnsi="宋体" w:cs="宋体"/>
          <w:b/>
          <w:bCs/>
          <w:sz w:val="32"/>
          <w:szCs w:val="32"/>
        </w:rPr>
        <w:t>项目</w:t>
      </w:r>
      <w:r>
        <w:rPr>
          <w:rFonts w:cs="Arial" w:asciiTheme="minorEastAsia" w:hAnsiTheme="minorEastAsia" w:eastAsiaTheme="minorEastAsia"/>
          <w:b/>
          <w:bCs/>
          <w:sz w:val="32"/>
          <w:szCs w:val="32"/>
        </w:rPr>
        <w:t>202</w:t>
      </w:r>
      <w:r>
        <w:rPr>
          <w:rFonts w:hint="eastAsia" w:cs="Arial" w:asciiTheme="minorEastAsia" w:hAnsiTheme="minorEastAsia" w:eastAsiaTheme="minorEastAsia"/>
          <w:b/>
          <w:bCs/>
          <w:sz w:val="32"/>
          <w:szCs w:val="32"/>
        </w:rPr>
        <w:t>2</w:t>
      </w:r>
      <w:r>
        <w:rPr>
          <w:rFonts w:hint="eastAsia" w:ascii="宋体" w:hAnsi="宋体" w:cs="宋体"/>
          <w:b/>
          <w:bCs/>
          <w:sz w:val="32"/>
          <w:szCs w:val="32"/>
        </w:rPr>
        <w:t>年0</w:t>
      </w:r>
      <w:r>
        <w:rPr>
          <w:rFonts w:hint="eastAsia" w:ascii="宋体" w:hAnsi="宋体" w:cs="宋体"/>
          <w:b/>
          <w:bCs/>
          <w:sz w:val="32"/>
          <w:szCs w:val="32"/>
          <w:lang w:val="en-US" w:eastAsia="zh-CN"/>
        </w:rPr>
        <w:t>7</w:t>
      </w:r>
      <w:r>
        <w:rPr>
          <w:rFonts w:hint="eastAsia" w:ascii="宋体" w:hAnsi="宋体" w:cs="宋体"/>
          <w:b/>
          <w:bCs/>
          <w:sz w:val="32"/>
          <w:szCs w:val="32"/>
        </w:rPr>
        <w:t>月资金计划</w:t>
      </w:r>
      <w:bookmarkEnd w:id="0"/>
      <w:bookmarkEnd w:id="1"/>
    </w:p>
    <w:p>
      <w:pPr>
        <w:jc w:val="center"/>
        <w:outlineLvl w:val="0"/>
        <w:rPr>
          <w:rFonts w:ascii="宋体" w:hAnsi="宋体" w:cs="宋体"/>
          <w:b/>
          <w:bCs/>
          <w:sz w:val="32"/>
          <w:szCs w:val="32"/>
        </w:rPr>
      </w:pPr>
      <w:bookmarkStart w:id="2" w:name="_Toc2941"/>
      <w:bookmarkStart w:id="3" w:name="_Toc7913"/>
      <w:r>
        <w:rPr>
          <w:rFonts w:hint="eastAsia" w:ascii="宋体" w:hAnsi="宋体" w:cs="宋体"/>
          <w:b/>
          <w:bCs/>
          <w:sz w:val="32"/>
          <w:szCs w:val="32"/>
        </w:rPr>
        <w:t>审核说明</w:t>
      </w:r>
      <w:bookmarkEnd w:id="2"/>
      <w:bookmarkEnd w:id="3"/>
    </w:p>
    <w:p>
      <w:pPr>
        <w:spacing w:line="360" w:lineRule="auto"/>
        <w:outlineLvl w:val="0"/>
        <w:rPr>
          <w:rFonts w:ascii="宋体" w:hAnsi="宋体"/>
          <w:b/>
          <w:bCs/>
          <w:sz w:val="28"/>
          <w:szCs w:val="28"/>
        </w:rPr>
      </w:pPr>
      <w:bookmarkStart w:id="4" w:name="_Toc5360"/>
      <w:bookmarkStart w:id="5" w:name="_Toc22561"/>
      <w:r>
        <w:rPr>
          <w:rFonts w:hint="eastAsia" w:ascii="宋体" w:hAnsi="宋体"/>
          <w:b/>
          <w:bCs/>
          <w:sz w:val="28"/>
          <w:szCs w:val="28"/>
        </w:rPr>
        <w:t>中航信托股份有限公司：</w:t>
      </w:r>
      <w:bookmarkEnd w:id="4"/>
      <w:bookmarkEnd w:id="5"/>
    </w:p>
    <w:p>
      <w:pPr>
        <w:spacing w:line="360" w:lineRule="auto"/>
        <w:ind w:firstLine="480" w:firstLineChars="200"/>
        <w:rPr>
          <w:rFonts w:ascii="宋体" w:hAnsi="宋体"/>
          <w:sz w:val="24"/>
        </w:rPr>
      </w:pPr>
      <w:r>
        <w:rPr>
          <w:rFonts w:hint="eastAsia" w:ascii="宋体" w:hAnsi="宋体"/>
          <w:sz w:val="24"/>
        </w:rPr>
        <w:t>福州首融房地产有限公司（以下简称“项目公司”）于</w:t>
      </w:r>
      <w:r>
        <w:rPr>
          <w:rFonts w:ascii="宋体" w:hAnsi="宋体"/>
          <w:sz w:val="24"/>
        </w:rPr>
        <w:t>202</w:t>
      </w:r>
      <w:r>
        <w:rPr>
          <w:rFonts w:hint="eastAsia" w:ascii="宋体" w:hAnsi="宋体"/>
          <w:sz w:val="24"/>
        </w:rPr>
        <w:t>2</w:t>
      </w:r>
      <w:r>
        <w:rPr>
          <w:rFonts w:ascii="宋体" w:hAnsi="宋体"/>
          <w:sz w:val="24"/>
        </w:rPr>
        <w:t>年</w:t>
      </w:r>
      <w:r>
        <w:rPr>
          <w:rFonts w:hint="eastAsia" w:ascii="宋体" w:hAnsi="宋体"/>
          <w:sz w:val="24"/>
        </w:rPr>
        <w:t>0</w:t>
      </w:r>
      <w:r>
        <w:rPr>
          <w:rFonts w:hint="eastAsia" w:ascii="宋体" w:hAnsi="宋体"/>
          <w:sz w:val="24"/>
          <w:lang w:val="en-US" w:eastAsia="zh-CN"/>
        </w:rPr>
        <w:t>6</w:t>
      </w:r>
      <w:r>
        <w:rPr>
          <w:rFonts w:ascii="宋体" w:hAnsi="宋体"/>
          <w:sz w:val="24"/>
        </w:rPr>
        <w:t>月</w:t>
      </w:r>
      <w:r>
        <w:rPr>
          <w:rFonts w:hint="eastAsia" w:ascii="宋体" w:hAnsi="宋体"/>
          <w:sz w:val="24"/>
        </w:rPr>
        <w:t>2</w:t>
      </w:r>
      <w:r>
        <w:rPr>
          <w:rFonts w:hint="eastAsia" w:ascii="宋体" w:hAnsi="宋体"/>
          <w:sz w:val="24"/>
          <w:lang w:val="en-US" w:eastAsia="zh-CN"/>
        </w:rPr>
        <w:t>8</w:t>
      </w:r>
      <w:r>
        <w:rPr>
          <w:rFonts w:ascii="宋体" w:hAnsi="宋体"/>
          <w:sz w:val="24"/>
        </w:rPr>
        <w:t>日</w:t>
      </w:r>
      <w:r>
        <w:rPr>
          <w:rFonts w:hint="eastAsia" w:ascii="宋体" w:hAnsi="宋体"/>
          <w:sz w:val="24"/>
        </w:rPr>
        <w:t>提交了2022年0</w:t>
      </w:r>
      <w:r>
        <w:rPr>
          <w:rFonts w:hint="eastAsia" w:ascii="宋体" w:hAnsi="宋体"/>
          <w:sz w:val="24"/>
          <w:lang w:val="en-US" w:eastAsia="zh-CN"/>
        </w:rPr>
        <w:t>7</w:t>
      </w:r>
      <w:r>
        <w:rPr>
          <w:rFonts w:hint="eastAsia" w:ascii="宋体" w:hAnsi="宋体"/>
          <w:sz w:val="24"/>
        </w:rPr>
        <w:t>月的资金计划，我司对项目公司申报的资金计划进行了审核，审核结果如下：</w:t>
      </w:r>
    </w:p>
    <w:p>
      <w:pPr>
        <w:numPr>
          <w:ilvl w:val="0"/>
          <w:numId w:val="1"/>
        </w:numPr>
        <w:spacing w:before="156" w:beforeLines="50" w:after="156" w:afterLines="50"/>
        <w:ind w:firstLine="161" w:firstLineChars="50"/>
        <w:outlineLvl w:val="0"/>
        <w:rPr>
          <w:rFonts w:ascii="宋体" w:hAnsi="宋体"/>
          <w:b/>
          <w:sz w:val="32"/>
          <w:szCs w:val="32"/>
        </w:rPr>
      </w:pPr>
      <w:bookmarkStart w:id="6" w:name="_Toc29778"/>
      <w:bookmarkStart w:id="7" w:name="_Toc25752"/>
      <w:r>
        <w:rPr>
          <w:rFonts w:ascii="宋体" w:hAnsi="宋体"/>
          <w:b/>
          <w:sz w:val="32"/>
          <w:szCs w:val="32"/>
          <w:lang w:bidi="zh-CN"/>
        </w:rPr>
        <w:t>福州螺洲TOD</w:t>
      </w:r>
      <w:r>
        <w:rPr>
          <w:rFonts w:hint="eastAsia" w:ascii="宋体" w:hAnsi="宋体"/>
          <w:b/>
          <w:sz w:val="32"/>
          <w:szCs w:val="32"/>
        </w:rPr>
        <w:t>项目公司2022年0</w:t>
      </w:r>
      <w:r>
        <w:rPr>
          <w:rFonts w:hint="eastAsia" w:ascii="宋体" w:hAnsi="宋体"/>
          <w:b/>
          <w:sz w:val="32"/>
          <w:szCs w:val="32"/>
          <w:lang w:val="en-US" w:eastAsia="zh-CN"/>
        </w:rPr>
        <w:t>7</w:t>
      </w:r>
      <w:r>
        <w:rPr>
          <w:rFonts w:hint="eastAsia" w:ascii="宋体" w:hAnsi="宋体"/>
          <w:b/>
          <w:sz w:val="32"/>
          <w:szCs w:val="32"/>
        </w:rPr>
        <w:t>月份资金汇总</w:t>
      </w:r>
      <w:bookmarkEnd w:id="6"/>
      <w:bookmarkEnd w:id="7"/>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sz w:val="24"/>
        </w:rPr>
        <w:t>项目公司</w:t>
      </w:r>
      <w:r>
        <w:rPr>
          <w:rFonts w:hint="default" w:ascii="Arial" w:hAnsi="Arial" w:eastAsia="宋体" w:cs="Arial"/>
          <w:color w:val="auto"/>
          <w:sz w:val="24"/>
          <w:szCs w:val="24"/>
        </w:rPr>
        <w:t>于</w:t>
      </w:r>
      <w:r>
        <w:rPr>
          <w:rFonts w:hint="eastAsia" w:ascii="宋体" w:hAnsi="宋体" w:eastAsia="宋体" w:cs="宋体"/>
          <w:color w:val="auto"/>
          <w:sz w:val="24"/>
          <w:szCs w:val="24"/>
        </w:rPr>
        <w:t>2022年0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日提交的2022年0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月的资金支出计划，计划资金支出共计</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笔，合计</w:t>
      </w:r>
      <w:r>
        <w:rPr>
          <w:rFonts w:hint="eastAsia" w:ascii="宋体" w:hAnsi="宋体" w:eastAsia="宋体" w:cs="宋体"/>
          <w:color w:val="auto"/>
          <w:sz w:val="24"/>
          <w:szCs w:val="24"/>
          <w:lang w:val="en-US" w:eastAsia="zh-CN"/>
        </w:rPr>
        <w:t>5,626.70</w:t>
      </w:r>
      <w:r>
        <w:rPr>
          <w:rFonts w:hint="eastAsia" w:ascii="宋体" w:hAnsi="宋体" w:eastAsia="宋体" w:cs="宋体"/>
          <w:color w:val="auto"/>
          <w:sz w:val="24"/>
          <w:szCs w:val="24"/>
        </w:rPr>
        <w:t>万元。其中：工程款支出</w:t>
      </w:r>
      <w:r>
        <w:rPr>
          <w:rFonts w:hint="eastAsia" w:ascii="宋体" w:hAnsi="宋体" w:eastAsia="宋体" w:cs="宋体"/>
          <w:color w:val="auto"/>
          <w:sz w:val="24"/>
          <w:szCs w:val="24"/>
          <w:lang w:val="en-US" w:eastAsia="zh-CN"/>
        </w:rPr>
        <w:t>1,916.32</w:t>
      </w:r>
      <w:r>
        <w:rPr>
          <w:rFonts w:hint="eastAsia" w:ascii="宋体" w:hAnsi="宋体" w:eastAsia="宋体" w:cs="宋体"/>
          <w:color w:val="auto"/>
          <w:sz w:val="24"/>
          <w:szCs w:val="24"/>
        </w:rPr>
        <w:t>万元，销售费用</w:t>
      </w:r>
      <w:r>
        <w:rPr>
          <w:rFonts w:hint="eastAsia" w:ascii="宋体" w:hAnsi="宋体" w:eastAsia="宋体" w:cs="宋体"/>
          <w:bCs/>
          <w:color w:val="auto"/>
          <w:sz w:val="24"/>
          <w:szCs w:val="24"/>
          <w:lang w:val="en-US" w:bidi="zh-CN"/>
        </w:rPr>
        <w:t>843.62</w:t>
      </w:r>
      <w:r>
        <w:rPr>
          <w:rFonts w:hint="eastAsia" w:ascii="宋体" w:hAnsi="宋体" w:eastAsia="宋体" w:cs="宋体"/>
          <w:color w:val="auto"/>
          <w:sz w:val="24"/>
          <w:szCs w:val="24"/>
        </w:rPr>
        <w:t>万元，管理费用</w:t>
      </w:r>
      <w:r>
        <w:rPr>
          <w:rFonts w:hint="eastAsia" w:ascii="宋体" w:hAnsi="宋体" w:eastAsia="宋体" w:cs="宋体"/>
          <w:bCs/>
          <w:color w:val="auto"/>
          <w:sz w:val="24"/>
          <w:szCs w:val="24"/>
          <w:lang w:bidi="zh-CN"/>
        </w:rPr>
        <w:t>1,7</w:t>
      </w:r>
      <w:r>
        <w:rPr>
          <w:rFonts w:hint="eastAsia" w:ascii="宋体" w:hAnsi="宋体" w:eastAsia="宋体" w:cs="宋体"/>
          <w:bCs/>
          <w:color w:val="auto"/>
          <w:sz w:val="24"/>
          <w:szCs w:val="24"/>
          <w:lang w:val="en-US" w:bidi="zh-CN"/>
        </w:rPr>
        <w:t>39.37</w:t>
      </w:r>
      <w:r>
        <w:rPr>
          <w:rFonts w:hint="eastAsia" w:ascii="宋体" w:hAnsi="宋体" w:eastAsia="宋体" w:cs="宋体"/>
          <w:color w:val="auto"/>
          <w:sz w:val="24"/>
          <w:szCs w:val="24"/>
        </w:rPr>
        <w:t>万元，营业税金及附加</w:t>
      </w:r>
      <w:r>
        <w:rPr>
          <w:rFonts w:hint="eastAsia" w:ascii="宋体" w:hAnsi="宋体" w:eastAsia="宋体" w:cs="宋体"/>
          <w:bCs/>
          <w:color w:val="auto"/>
          <w:sz w:val="24"/>
          <w:szCs w:val="24"/>
          <w:lang w:val="en-US" w:bidi="zh-CN"/>
        </w:rPr>
        <w:t>120.31</w:t>
      </w:r>
      <w:r>
        <w:rPr>
          <w:rFonts w:hint="eastAsia" w:ascii="宋体" w:hAnsi="宋体" w:eastAsia="宋体" w:cs="宋体"/>
          <w:color w:val="auto"/>
          <w:sz w:val="24"/>
          <w:szCs w:val="24"/>
        </w:rPr>
        <w:t>万元，土地增值税</w:t>
      </w:r>
      <w:r>
        <w:rPr>
          <w:rFonts w:hint="eastAsia" w:ascii="宋体" w:hAnsi="宋体" w:eastAsia="宋体" w:cs="宋体"/>
          <w:color w:val="auto"/>
          <w:sz w:val="24"/>
          <w:szCs w:val="24"/>
          <w:lang w:val="en-US" w:eastAsia="zh-CN"/>
        </w:rPr>
        <w:t>72.92</w:t>
      </w:r>
      <w:r>
        <w:rPr>
          <w:rFonts w:hint="eastAsia" w:ascii="宋体" w:hAnsi="宋体" w:eastAsia="宋体" w:cs="宋体"/>
          <w:color w:val="auto"/>
          <w:sz w:val="24"/>
          <w:szCs w:val="24"/>
        </w:rPr>
        <w:t>万元，</w:t>
      </w:r>
      <w:r>
        <w:rPr>
          <w:rFonts w:hint="eastAsia" w:ascii="宋体" w:hAnsi="宋体" w:eastAsia="宋体" w:cs="宋体"/>
          <w:color w:val="auto"/>
          <w:sz w:val="24"/>
          <w:szCs w:val="24"/>
          <w:lang w:val="en-US" w:eastAsia="zh-CN"/>
        </w:rPr>
        <w:t>企业所得税634.16万元，</w:t>
      </w:r>
      <w:r>
        <w:rPr>
          <w:rFonts w:hint="eastAsia" w:ascii="宋体" w:hAnsi="宋体" w:eastAsia="宋体" w:cs="宋体"/>
          <w:color w:val="auto"/>
          <w:sz w:val="24"/>
          <w:szCs w:val="24"/>
        </w:rPr>
        <w:t>不可预见费用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00.00万元。</w:t>
      </w:r>
    </w:p>
    <w:tbl>
      <w:tblPr>
        <w:tblStyle w:val="12"/>
        <w:tblW w:w="9913" w:type="dxa"/>
        <w:tblInd w:w="0" w:type="dxa"/>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5837"/>
        <w:gridCol w:w="4076"/>
      </w:tblGrid>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720" w:hRule="atLeast"/>
        </w:trPr>
        <w:tc>
          <w:tcPr>
            <w:tcW w:w="9913" w:type="dxa"/>
            <w:gridSpan w:val="2"/>
            <w:tcBorders>
              <w:tl2br w:val="nil"/>
              <w:tr2bl w:val="nil"/>
            </w:tcBorders>
            <w:shd w:val="clear" w:color="auto" w:fill="auto"/>
            <w:tcMar>
              <w:top w:w="12" w:type="dxa"/>
              <w:left w:w="12" w:type="dxa"/>
              <w:right w:w="12" w:type="dxa"/>
            </w:tcMar>
          </w:tcPr>
          <w:p>
            <w:pPr>
              <w:widowControl/>
              <w:jc w:val="center"/>
              <w:textAlignment w:val="top"/>
              <w:rPr>
                <w:rFonts w:ascii="宋体" w:hAnsi="宋体" w:cs="宋体"/>
                <w:b/>
                <w:color w:val="000000"/>
                <w:sz w:val="28"/>
                <w:szCs w:val="28"/>
              </w:rPr>
            </w:pPr>
            <w:r>
              <w:rPr>
                <w:rFonts w:hint="eastAsia" w:ascii="宋体" w:hAnsi="宋体" w:cs="宋体"/>
                <w:b/>
                <w:color w:val="000000"/>
                <w:kern w:val="0"/>
                <w:sz w:val="28"/>
                <w:szCs w:val="28"/>
                <w:lang w:bidi="ar"/>
              </w:rPr>
              <w:t>中航信托·天启【2020】201号福州螺洲TOD项目股权投资集合资金信托计划</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75" w:hRule="atLeast"/>
        </w:trPr>
        <w:tc>
          <w:tcPr>
            <w:tcW w:w="9913"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福州首融房地产开发有限公司螺洲TOD项目2022年0</w:t>
            </w:r>
            <w:r>
              <w:rPr>
                <w:rFonts w:hint="eastAsia" w:ascii="宋体" w:hAnsi="宋体" w:cs="宋体"/>
                <w:b/>
                <w:color w:val="000000"/>
                <w:kern w:val="0"/>
                <w:sz w:val="24"/>
                <w:lang w:val="en-US" w:eastAsia="zh-CN" w:bidi="ar"/>
              </w:rPr>
              <w:t>7</w:t>
            </w:r>
            <w:r>
              <w:rPr>
                <w:rFonts w:hint="eastAsia" w:ascii="宋体" w:hAnsi="宋体" w:cs="宋体"/>
                <w:b/>
                <w:color w:val="000000"/>
                <w:kern w:val="0"/>
                <w:sz w:val="24"/>
                <w:lang w:bidi="ar"/>
              </w:rPr>
              <w:t>月资金计划</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53" w:hRule="atLeast"/>
        </w:trPr>
        <w:tc>
          <w:tcPr>
            <w:tcW w:w="9913" w:type="dxa"/>
            <w:gridSpan w:val="2"/>
            <w:tcBorders>
              <w:tl2br w:val="nil"/>
              <w:tr2bl w:val="nil"/>
            </w:tcBorders>
            <w:shd w:val="clear" w:color="auto" w:fill="auto"/>
            <w:tcMar>
              <w:top w:w="12" w:type="dxa"/>
              <w:left w:w="12" w:type="dxa"/>
              <w:right w:w="12" w:type="dxa"/>
            </w:tcMar>
            <w:vAlign w:val="center"/>
          </w:tcPr>
          <w:p>
            <w:pPr>
              <w:widowControl/>
              <w:ind w:firstLine="241" w:firstLineChars="100"/>
              <w:jc w:val="left"/>
              <w:textAlignment w:val="center"/>
              <w:rPr>
                <w:rFonts w:ascii="宋体" w:hAnsi="宋体" w:cs="宋体"/>
                <w:b/>
                <w:color w:val="000000"/>
                <w:sz w:val="24"/>
              </w:rPr>
            </w:pPr>
            <w:r>
              <w:rPr>
                <w:rFonts w:hint="eastAsia" w:ascii="宋体" w:hAnsi="宋体" w:cs="宋体"/>
                <w:b/>
                <w:color w:val="000000"/>
                <w:kern w:val="0"/>
                <w:sz w:val="24"/>
                <w:lang w:bidi="ar"/>
              </w:rPr>
              <w:t>编制单位：福州首融房地产开发有限公司                                   单位：万元</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68355"/>
            <w:tcMar>
              <w:top w:w="12" w:type="dxa"/>
              <w:left w:w="12" w:type="dxa"/>
              <w:right w:w="12" w:type="dxa"/>
            </w:tcMar>
          </w:tcPr>
          <w:p>
            <w:pPr>
              <w:widowControl/>
              <w:jc w:val="center"/>
              <w:textAlignment w:val="top"/>
              <w:rPr>
                <w:rFonts w:ascii="宋体" w:hAnsi="宋体" w:cs="宋体"/>
                <w:b/>
                <w:color w:val="FFFFFF" w:themeColor="background1"/>
                <w:sz w:val="24"/>
                <w14:textFill>
                  <w14:solidFill>
                    <w14:schemeClr w14:val="bg1"/>
                  </w14:solidFill>
                </w14:textFill>
              </w:rPr>
            </w:pPr>
            <w:r>
              <w:rPr>
                <w:rFonts w:hint="eastAsia" w:ascii="宋体" w:hAnsi="宋体" w:cs="宋体"/>
                <w:b/>
                <w:color w:val="FFFFFF" w:themeColor="background1"/>
                <w:kern w:val="0"/>
                <w:sz w:val="24"/>
                <w:lang w:bidi="ar"/>
                <w14:textFill>
                  <w14:solidFill>
                    <w14:schemeClr w14:val="bg1"/>
                  </w14:solidFill>
                </w14:textFill>
              </w:rPr>
              <w:t>项目</w:t>
            </w:r>
          </w:p>
        </w:tc>
        <w:tc>
          <w:tcPr>
            <w:tcW w:w="4076" w:type="dxa"/>
            <w:tcBorders>
              <w:tl2br w:val="nil"/>
              <w:tr2bl w:val="nil"/>
            </w:tcBorders>
            <w:shd w:val="clear" w:color="auto" w:fill="A68355"/>
            <w:tcMar>
              <w:top w:w="12" w:type="dxa"/>
              <w:left w:w="12" w:type="dxa"/>
              <w:right w:w="12" w:type="dxa"/>
            </w:tcMar>
          </w:tcPr>
          <w:p>
            <w:pPr>
              <w:widowControl/>
              <w:jc w:val="center"/>
              <w:textAlignment w:val="top"/>
              <w:rPr>
                <w:rFonts w:ascii="宋体" w:hAnsi="宋体" w:cs="宋体"/>
                <w:b/>
                <w:color w:val="FFFFFF" w:themeColor="background1"/>
                <w:sz w:val="24"/>
                <w14:textFill>
                  <w14:solidFill>
                    <w14:schemeClr w14:val="bg1"/>
                  </w14:solidFill>
                </w14:textFill>
              </w:rPr>
            </w:pPr>
            <w:r>
              <w:rPr>
                <w:rFonts w:hint="eastAsia" w:ascii="宋体" w:hAnsi="宋体" w:cs="宋体"/>
                <w:b/>
                <w:color w:val="FFFFFF" w:themeColor="background1"/>
                <w:kern w:val="0"/>
                <w:sz w:val="24"/>
                <w:lang w:bidi="ar"/>
                <w14:textFill>
                  <w14:solidFill>
                    <w14:schemeClr w14:val="bg1"/>
                  </w14:solidFill>
                </w14:textFill>
              </w:rPr>
              <w:t>0</w:t>
            </w:r>
            <w:r>
              <w:rPr>
                <w:rFonts w:hint="eastAsia" w:ascii="宋体" w:hAnsi="宋体" w:cs="宋体"/>
                <w:b/>
                <w:color w:val="FFFFFF" w:themeColor="background1"/>
                <w:kern w:val="0"/>
                <w:sz w:val="24"/>
                <w:lang w:val="en-US" w:eastAsia="zh-CN" w:bidi="ar"/>
                <w14:textFill>
                  <w14:solidFill>
                    <w14:schemeClr w14:val="bg1"/>
                  </w14:solidFill>
                </w14:textFill>
              </w:rPr>
              <w:t>7</w:t>
            </w:r>
            <w:r>
              <w:rPr>
                <w:rFonts w:hint="eastAsia" w:ascii="宋体" w:hAnsi="宋体" w:cs="宋体"/>
                <w:b/>
                <w:color w:val="FFFFFF" w:themeColor="background1"/>
                <w:kern w:val="0"/>
                <w:sz w:val="24"/>
                <w:lang w:bidi="ar"/>
                <w14:textFill>
                  <w14:solidFill>
                    <w14:schemeClr w14:val="bg1"/>
                  </w14:solidFill>
                </w14:textFill>
              </w:rPr>
              <w:t>月计划金额</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土地款支出 </w:t>
            </w:r>
          </w:p>
        </w:tc>
        <w:tc>
          <w:tcPr>
            <w:tcW w:w="4076" w:type="dxa"/>
            <w:tcBorders>
              <w:tl2br w:val="nil"/>
              <w:tr2bl w:val="nil"/>
            </w:tcBorders>
            <w:shd w:val="clear" w:color="auto" w:fill="auto"/>
            <w:tcMar>
              <w:top w:w="12" w:type="dxa"/>
              <w:left w:w="12" w:type="dxa"/>
              <w:right w:w="12" w:type="dxa"/>
            </w:tcMar>
          </w:tcPr>
          <w:p>
            <w:pPr>
              <w:jc w:val="center"/>
              <w:rPr>
                <w:rFonts w:ascii="Arial" w:hAnsi="Arial" w:cs="Arial"/>
                <w:szCs w:val="21"/>
              </w:rPr>
            </w:pPr>
            <w:r>
              <w:rPr>
                <w:rFonts w:ascii="Arial" w:hAnsi="Arial" w:cs="Arial"/>
                <w:szCs w:val="21"/>
              </w:rPr>
              <w:t>-</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大配套支出 </w:t>
            </w:r>
          </w:p>
        </w:tc>
        <w:tc>
          <w:tcPr>
            <w:tcW w:w="4076" w:type="dxa"/>
            <w:tcBorders>
              <w:tl2br w:val="nil"/>
              <w:tr2bl w:val="nil"/>
            </w:tcBorders>
            <w:shd w:val="clear" w:color="auto" w:fill="auto"/>
            <w:tcMar>
              <w:top w:w="12" w:type="dxa"/>
              <w:left w:w="12" w:type="dxa"/>
              <w:right w:w="12" w:type="dxa"/>
            </w:tcMar>
          </w:tcPr>
          <w:p>
            <w:pPr>
              <w:jc w:val="center"/>
              <w:rPr>
                <w:rFonts w:ascii="Arial" w:hAnsi="Arial" w:cs="Arial"/>
                <w:szCs w:val="21"/>
              </w:rPr>
            </w:pPr>
            <w:r>
              <w:rPr>
                <w:rFonts w:ascii="Arial" w:hAnsi="Arial" w:cs="Arial"/>
                <w:szCs w:val="21"/>
              </w:rPr>
              <w:t>-</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工程款支出 </w:t>
            </w:r>
          </w:p>
        </w:tc>
        <w:tc>
          <w:tcPr>
            <w:tcW w:w="4076" w:type="dxa"/>
            <w:tcBorders>
              <w:tl2br w:val="nil"/>
              <w:tr2bl w:val="nil"/>
            </w:tcBorders>
            <w:shd w:val="clear" w:color="auto" w:fill="auto"/>
            <w:tcMar>
              <w:top w:w="12" w:type="dxa"/>
              <w:left w:w="12" w:type="dxa"/>
              <w:right w:w="12" w:type="dxa"/>
            </w:tcMar>
            <w:vAlign w:val="center"/>
          </w:tcPr>
          <w:p>
            <w:pPr>
              <w:jc w:val="center"/>
              <w:rPr>
                <w:rFonts w:hint="eastAsia" w:ascii="Arial" w:hAnsi="Arial" w:cs="Arial"/>
                <w:color w:val="auto"/>
                <w:szCs w:val="21"/>
              </w:rPr>
            </w:pPr>
            <w:r>
              <w:rPr>
                <w:rFonts w:hint="eastAsia" w:ascii="Arial" w:hAnsi="Arial" w:cs="Arial"/>
                <w:color w:val="auto"/>
                <w:szCs w:val="21"/>
                <w:lang w:val="en-US" w:eastAsia="zh-CN"/>
              </w:rPr>
              <w:t>1,916.32</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销售费用 </w:t>
            </w:r>
          </w:p>
        </w:tc>
        <w:tc>
          <w:tcPr>
            <w:tcW w:w="4076" w:type="dxa"/>
            <w:tcBorders>
              <w:tl2br w:val="nil"/>
              <w:tr2bl w:val="nil"/>
            </w:tcBorders>
            <w:shd w:val="clear" w:color="auto" w:fill="auto"/>
            <w:tcMar>
              <w:top w:w="12" w:type="dxa"/>
              <w:left w:w="12" w:type="dxa"/>
              <w:right w:w="12" w:type="dxa"/>
            </w:tcMar>
            <w:vAlign w:val="center"/>
          </w:tcPr>
          <w:p>
            <w:pPr>
              <w:jc w:val="center"/>
              <w:rPr>
                <w:rFonts w:hint="eastAsia" w:ascii="Arial" w:hAnsi="Arial" w:cs="Arial"/>
                <w:color w:val="auto"/>
                <w:szCs w:val="21"/>
              </w:rPr>
            </w:pPr>
            <w:r>
              <w:rPr>
                <w:rFonts w:hint="eastAsia" w:ascii="Arial" w:hAnsi="Arial" w:cs="Arial"/>
                <w:color w:val="auto"/>
                <w:szCs w:val="21"/>
                <w:lang w:val="en-US"/>
              </w:rPr>
              <w:t>843.62</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管理费用 </w:t>
            </w:r>
          </w:p>
        </w:tc>
        <w:tc>
          <w:tcPr>
            <w:tcW w:w="4076" w:type="dxa"/>
            <w:tcBorders>
              <w:tl2br w:val="nil"/>
              <w:tr2bl w:val="nil"/>
            </w:tcBorders>
            <w:shd w:val="clear" w:color="auto" w:fill="auto"/>
            <w:tcMar>
              <w:top w:w="12" w:type="dxa"/>
              <w:left w:w="12" w:type="dxa"/>
              <w:right w:w="12" w:type="dxa"/>
            </w:tcMar>
            <w:vAlign w:val="center"/>
          </w:tcPr>
          <w:p>
            <w:pPr>
              <w:jc w:val="center"/>
              <w:rPr>
                <w:rFonts w:hint="eastAsia" w:ascii="Arial" w:hAnsi="Arial" w:cs="Arial"/>
                <w:color w:val="auto"/>
                <w:szCs w:val="21"/>
              </w:rPr>
            </w:pPr>
            <w:r>
              <w:rPr>
                <w:rFonts w:hint="eastAsia" w:ascii="Arial" w:hAnsi="Arial" w:cs="Arial"/>
                <w:color w:val="auto"/>
                <w:szCs w:val="21"/>
              </w:rPr>
              <w:t>1,7</w:t>
            </w:r>
            <w:r>
              <w:rPr>
                <w:rFonts w:hint="eastAsia" w:ascii="Arial" w:hAnsi="Arial" w:cs="Arial"/>
                <w:color w:val="auto"/>
                <w:szCs w:val="21"/>
                <w:lang w:val="en-US"/>
              </w:rPr>
              <w:t>39.37</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财务费用 </w:t>
            </w:r>
          </w:p>
        </w:tc>
        <w:tc>
          <w:tcPr>
            <w:tcW w:w="4076" w:type="dxa"/>
            <w:tcBorders>
              <w:tl2br w:val="nil"/>
              <w:tr2bl w:val="nil"/>
            </w:tcBorders>
            <w:shd w:val="clear" w:color="auto" w:fill="auto"/>
            <w:tcMar>
              <w:top w:w="12" w:type="dxa"/>
              <w:left w:w="12" w:type="dxa"/>
              <w:right w:w="12" w:type="dxa"/>
            </w:tcMar>
          </w:tcPr>
          <w:p>
            <w:pPr>
              <w:jc w:val="center"/>
              <w:rPr>
                <w:rFonts w:hint="eastAsia" w:ascii="Arial" w:hAnsi="Arial" w:cs="Arial"/>
                <w:color w:val="auto"/>
                <w:szCs w:val="21"/>
              </w:rPr>
            </w:pPr>
            <w:r>
              <w:rPr>
                <w:rFonts w:hint="eastAsia" w:ascii="Arial" w:hAnsi="Arial" w:cs="Arial"/>
                <w:color w:val="auto"/>
                <w:szCs w:val="21"/>
              </w:rPr>
              <w:t>-</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营业税金及附加 </w:t>
            </w:r>
          </w:p>
        </w:tc>
        <w:tc>
          <w:tcPr>
            <w:tcW w:w="4076" w:type="dxa"/>
            <w:tcBorders>
              <w:tl2br w:val="nil"/>
              <w:tr2bl w:val="nil"/>
            </w:tcBorders>
            <w:shd w:val="clear" w:color="auto" w:fill="auto"/>
            <w:tcMar>
              <w:top w:w="12" w:type="dxa"/>
              <w:left w:w="12" w:type="dxa"/>
              <w:right w:w="12" w:type="dxa"/>
            </w:tcMar>
          </w:tcPr>
          <w:p>
            <w:pPr>
              <w:jc w:val="center"/>
              <w:rPr>
                <w:rFonts w:hint="default" w:ascii="Arial" w:hAnsi="Arial" w:cs="Arial"/>
                <w:color w:val="auto"/>
                <w:szCs w:val="21"/>
                <w:lang w:val="en-US" w:eastAsia="zh-CN"/>
              </w:rPr>
            </w:pPr>
            <w:r>
              <w:rPr>
                <w:rFonts w:hint="eastAsia" w:ascii="Arial" w:hAnsi="Arial" w:cs="Arial"/>
                <w:color w:val="auto"/>
                <w:szCs w:val="21"/>
                <w:lang w:val="en-US" w:eastAsia="zh-CN"/>
              </w:rPr>
              <w:t>120.31</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土地增值税 </w:t>
            </w:r>
          </w:p>
        </w:tc>
        <w:tc>
          <w:tcPr>
            <w:tcW w:w="4076" w:type="dxa"/>
            <w:tcBorders>
              <w:tl2br w:val="nil"/>
              <w:tr2bl w:val="nil"/>
            </w:tcBorders>
            <w:shd w:val="clear" w:color="auto" w:fill="auto"/>
            <w:noWrap/>
            <w:tcMar>
              <w:top w:w="12" w:type="dxa"/>
              <w:left w:w="12" w:type="dxa"/>
              <w:right w:w="12" w:type="dxa"/>
            </w:tcMar>
            <w:vAlign w:val="center"/>
          </w:tcPr>
          <w:p>
            <w:pPr>
              <w:jc w:val="center"/>
              <w:rPr>
                <w:rFonts w:hint="default" w:ascii="Arial" w:hAnsi="Arial" w:cs="Arial"/>
                <w:color w:val="auto"/>
                <w:szCs w:val="21"/>
                <w:lang w:val="en-US" w:eastAsia="zh-CN"/>
              </w:rPr>
            </w:pPr>
            <w:r>
              <w:rPr>
                <w:rFonts w:hint="eastAsia" w:ascii="Arial" w:hAnsi="Arial" w:cs="Arial"/>
                <w:color w:val="auto"/>
                <w:szCs w:val="21"/>
                <w:lang w:val="en-US" w:eastAsia="zh-CN"/>
              </w:rPr>
              <w:t>72.92</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9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所得税 </w:t>
            </w:r>
          </w:p>
        </w:tc>
        <w:tc>
          <w:tcPr>
            <w:tcW w:w="4076" w:type="dxa"/>
            <w:tcBorders>
              <w:tl2br w:val="nil"/>
              <w:tr2bl w:val="nil"/>
            </w:tcBorders>
            <w:shd w:val="clear" w:color="auto" w:fill="auto"/>
            <w:noWrap/>
            <w:tcMar>
              <w:top w:w="12" w:type="dxa"/>
              <w:left w:w="12" w:type="dxa"/>
              <w:right w:w="12" w:type="dxa"/>
            </w:tcMar>
            <w:vAlign w:val="center"/>
          </w:tcPr>
          <w:p>
            <w:pPr>
              <w:jc w:val="center"/>
              <w:rPr>
                <w:rFonts w:hint="default" w:ascii="Arial" w:hAnsi="Arial" w:cs="Arial"/>
                <w:color w:val="auto"/>
                <w:szCs w:val="21"/>
                <w:lang w:val="en-US" w:eastAsia="zh-CN"/>
              </w:rPr>
            </w:pPr>
            <w:r>
              <w:rPr>
                <w:rFonts w:hint="eastAsia" w:ascii="Arial" w:hAnsi="Arial" w:cs="Arial"/>
                <w:color w:val="auto"/>
                <w:szCs w:val="21"/>
                <w:lang w:val="en-US" w:eastAsia="zh-CN"/>
              </w:rPr>
              <w:t>634.16</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其他净支出 </w:t>
            </w:r>
          </w:p>
        </w:tc>
        <w:tc>
          <w:tcPr>
            <w:tcW w:w="4076" w:type="dxa"/>
            <w:tcBorders>
              <w:tl2br w:val="nil"/>
              <w:tr2bl w:val="nil"/>
            </w:tcBorders>
            <w:shd w:val="clear" w:color="auto" w:fill="auto"/>
            <w:noWrap/>
            <w:tcMar>
              <w:top w:w="12" w:type="dxa"/>
              <w:left w:w="12" w:type="dxa"/>
              <w:right w:w="12" w:type="dxa"/>
            </w:tcMar>
            <w:vAlign w:val="center"/>
          </w:tcPr>
          <w:p>
            <w:pPr>
              <w:jc w:val="center"/>
              <w:rPr>
                <w:rFonts w:hint="eastAsia" w:ascii="Arial" w:hAnsi="Arial" w:cs="Arial"/>
                <w:color w:val="auto"/>
                <w:szCs w:val="21"/>
              </w:rPr>
            </w:pPr>
            <w:r>
              <w:rPr>
                <w:rFonts w:hint="eastAsia" w:ascii="Arial" w:hAnsi="Arial" w:cs="Arial"/>
                <w:color w:val="auto"/>
                <w:szCs w:val="21"/>
              </w:rPr>
              <w:t>-</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与融创集团内各公司往来 </w:t>
            </w:r>
          </w:p>
        </w:tc>
        <w:tc>
          <w:tcPr>
            <w:tcW w:w="4076" w:type="dxa"/>
            <w:tcBorders>
              <w:tl2br w:val="nil"/>
              <w:tr2bl w:val="nil"/>
            </w:tcBorders>
            <w:shd w:val="clear" w:color="auto" w:fill="auto"/>
            <w:noWrap/>
            <w:tcMar>
              <w:top w:w="12" w:type="dxa"/>
              <w:left w:w="12" w:type="dxa"/>
              <w:right w:w="12" w:type="dxa"/>
            </w:tcMar>
            <w:vAlign w:val="center"/>
          </w:tcPr>
          <w:p>
            <w:pPr>
              <w:jc w:val="center"/>
              <w:rPr>
                <w:rFonts w:hint="eastAsia" w:ascii="Arial" w:hAnsi="Arial" w:cs="Arial"/>
                <w:color w:val="auto"/>
                <w:szCs w:val="21"/>
              </w:rPr>
            </w:pPr>
            <w:r>
              <w:rPr>
                <w:rFonts w:hint="eastAsia" w:ascii="Arial" w:hAnsi="Arial" w:cs="Arial"/>
                <w:color w:val="auto"/>
                <w:szCs w:val="21"/>
              </w:rPr>
              <w:t>-</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Cs w:val="21"/>
              </w:rPr>
            </w:pPr>
            <w:r>
              <w:rPr>
                <w:rFonts w:hint="eastAsia" w:ascii="宋体" w:hAnsi="宋体" w:cs="宋体"/>
                <w:bCs/>
                <w:color w:val="000000"/>
                <w:szCs w:val="21"/>
              </w:rPr>
              <w:t>不可预见费</w:t>
            </w:r>
          </w:p>
        </w:tc>
        <w:tc>
          <w:tcPr>
            <w:tcW w:w="4076" w:type="dxa"/>
            <w:tcBorders>
              <w:tl2br w:val="nil"/>
              <w:tr2bl w:val="nil"/>
            </w:tcBorders>
            <w:shd w:val="clear" w:color="auto" w:fill="auto"/>
            <w:noWrap/>
            <w:tcMar>
              <w:top w:w="12" w:type="dxa"/>
              <w:left w:w="12" w:type="dxa"/>
              <w:right w:w="12" w:type="dxa"/>
            </w:tcMar>
            <w:vAlign w:val="center"/>
          </w:tcPr>
          <w:p>
            <w:pPr>
              <w:jc w:val="center"/>
              <w:rPr>
                <w:rFonts w:hint="eastAsia" w:ascii="Arial" w:hAnsi="Arial" w:cs="Arial"/>
                <w:color w:val="auto"/>
                <w:szCs w:val="21"/>
              </w:rPr>
            </w:pPr>
            <w:r>
              <w:rPr>
                <w:rFonts w:hint="eastAsia" w:ascii="Arial" w:hAnsi="Arial" w:cs="Arial"/>
                <w:color w:val="auto"/>
                <w:szCs w:val="21"/>
                <w:lang w:val="en-US" w:eastAsia="zh-CN"/>
              </w:rPr>
              <w:t>3</w:t>
            </w:r>
            <w:r>
              <w:rPr>
                <w:rFonts w:hint="eastAsia" w:ascii="Arial" w:hAnsi="Arial" w:cs="Arial"/>
                <w:color w:val="auto"/>
                <w:szCs w:val="21"/>
              </w:rPr>
              <w:t>00.00</w:t>
            </w:r>
          </w:p>
        </w:tc>
      </w:tr>
      <w:tr>
        <w:tblPrEx>
          <w:tblBorders>
            <w:top w:val="thinThickSmallGap" w:color="auto" w:sz="12" w:space="0"/>
            <w:left w:val="none" w:color="auto" w:sz="0" w:space="0"/>
            <w:bottom w:val="thinThickSmallGap"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06" w:hRule="atLeast"/>
        </w:trPr>
        <w:tc>
          <w:tcPr>
            <w:tcW w:w="583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A68355"/>
                <w:szCs w:val="21"/>
              </w:rPr>
            </w:pPr>
            <w:r>
              <w:rPr>
                <w:rFonts w:hint="eastAsia" w:ascii="宋体" w:hAnsi="宋体" w:cs="宋体"/>
                <w:b/>
                <w:color w:val="A68355"/>
                <w:kern w:val="0"/>
                <w:szCs w:val="21"/>
                <w:lang w:bidi="ar"/>
              </w:rPr>
              <w:t xml:space="preserve"> 资金流出小计 </w:t>
            </w:r>
          </w:p>
        </w:tc>
        <w:tc>
          <w:tcPr>
            <w:tcW w:w="4076" w:type="dxa"/>
            <w:tcBorders>
              <w:tl2br w:val="nil"/>
              <w:tr2bl w:val="nil"/>
            </w:tcBorders>
            <w:shd w:val="clear" w:color="auto" w:fill="auto"/>
            <w:noWrap/>
            <w:tcMar>
              <w:top w:w="12" w:type="dxa"/>
              <w:left w:w="12" w:type="dxa"/>
              <w:right w:w="12" w:type="dxa"/>
            </w:tcMar>
            <w:vAlign w:val="center"/>
          </w:tcPr>
          <w:p>
            <w:pPr>
              <w:jc w:val="center"/>
              <w:rPr>
                <w:rFonts w:hint="default" w:ascii="Arial" w:hAnsi="Arial" w:eastAsia="宋体" w:cs="Arial"/>
                <w:szCs w:val="21"/>
                <w:lang w:val="en-US" w:eastAsia="zh-CN"/>
              </w:rPr>
            </w:pPr>
            <w:r>
              <w:rPr>
                <w:rFonts w:hint="eastAsia" w:ascii="Arial" w:hAnsi="Arial" w:cs="Arial"/>
                <w:b/>
                <w:color w:val="A68355"/>
                <w:kern w:val="0"/>
                <w:szCs w:val="21"/>
                <w:lang w:val="en-US" w:eastAsia="zh-CN" w:bidi="ar"/>
              </w:rPr>
              <w:t>5</w:t>
            </w:r>
            <w:r>
              <w:rPr>
                <w:rFonts w:ascii="Arial" w:hAnsi="Arial" w:cs="Arial"/>
                <w:b/>
                <w:color w:val="A68355"/>
                <w:kern w:val="0"/>
                <w:szCs w:val="21"/>
                <w:lang w:bidi="ar"/>
              </w:rPr>
              <w:t>,</w:t>
            </w:r>
            <w:r>
              <w:rPr>
                <w:rFonts w:hint="eastAsia" w:ascii="Arial" w:hAnsi="Arial" w:cs="Arial"/>
                <w:b/>
                <w:color w:val="A68355"/>
                <w:kern w:val="0"/>
                <w:szCs w:val="21"/>
                <w:lang w:val="en-US" w:eastAsia="zh-CN" w:bidi="ar"/>
              </w:rPr>
              <w:t>626.70</w:t>
            </w:r>
          </w:p>
        </w:tc>
      </w:tr>
    </w:tbl>
    <w:p>
      <w:pPr>
        <w:pStyle w:val="11"/>
        <w:spacing w:after="0"/>
        <w:ind w:firstLine="0" w:firstLineChars="0"/>
        <w:rPr>
          <w:rFonts w:ascii="宋体" w:hAnsi="宋体"/>
          <w:b/>
          <w:sz w:val="18"/>
          <w:szCs w:val="18"/>
          <w:lang w:bidi="zh-CN"/>
        </w:rPr>
      </w:pPr>
      <w:r>
        <w:rPr>
          <w:rFonts w:hint="eastAsia" w:ascii="Arial" w:hAnsi="Arial" w:cs="Arial"/>
          <w:bCs/>
          <w:sz w:val="18"/>
          <w:szCs w:val="18"/>
        </w:rPr>
        <w:t>注：上表采用电算化连续计算得出，由于计算数据均按四舍五入保留两位小数或取整，故可能出现个别加总不完全相等的情况。</w:t>
      </w:r>
    </w:p>
    <w:p>
      <w:pPr>
        <w:numPr>
          <w:ilvl w:val="0"/>
          <w:numId w:val="1"/>
        </w:numPr>
        <w:spacing w:before="156" w:beforeLines="50" w:after="156" w:afterLines="50" w:line="360" w:lineRule="auto"/>
        <w:ind w:firstLine="161" w:firstLineChars="50"/>
        <w:outlineLvl w:val="0"/>
        <w:rPr>
          <w:rFonts w:ascii="宋体" w:hAnsi="宋体"/>
          <w:b/>
          <w:sz w:val="32"/>
          <w:szCs w:val="32"/>
          <w:lang w:bidi="zh-CN"/>
        </w:rPr>
      </w:pPr>
      <w:bookmarkStart w:id="8" w:name="_Toc23356"/>
      <w:bookmarkStart w:id="9" w:name="_Toc22396"/>
      <w:r>
        <w:rPr>
          <w:rFonts w:ascii="宋体" w:hAnsi="宋体"/>
          <w:b/>
          <w:sz w:val="32"/>
          <w:szCs w:val="32"/>
          <w:lang w:bidi="zh-CN"/>
        </w:rPr>
        <w:t>福州螺洲TOD项目公司</w:t>
      </w:r>
      <w:r>
        <w:rPr>
          <w:rFonts w:ascii="宋体" w:hAnsi="宋体"/>
          <w:b/>
          <w:sz w:val="32"/>
          <w:szCs w:val="32"/>
          <w:lang w:val="zh-CN" w:bidi="zh-CN"/>
        </w:rPr>
        <w:t>资金计划情况</w:t>
      </w:r>
      <w:r>
        <w:rPr>
          <w:rFonts w:ascii="宋体" w:hAnsi="宋体"/>
          <w:b/>
          <w:sz w:val="32"/>
          <w:szCs w:val="32"/>
          <w:lang w:bidi="zh-CN"/>
        </w:rPr>
        <w:t>审核说明</w:t>
      </w:r>
      <w:bookmarkEnd w:id="8"/>
      <w:bookmarkEnd w:id="9"/>
    </w:p>
    <w:p>
      <w:pPr>
        <w:numPr>
          <w:ilvl w:val="0"/>
          <w:numId w:val="2"/>
        </w:numPr>
        <w:spacing w:before="156" w:beforeLines="50" w:after="156" w:afterLines="50" w:line="360" w:lineRule="auto"/>
        <w:outlineLvl w:val="1"/>
        <w:rPr>
          <w:rFonts w:ascii="宋体" w:hAnsi="宋体"/>
          <w:b/>
          <w:bCs/>
          <w:sz w:val="28"/>
          <w:szCs w:val="28"/>
          <w:lang w:bidi="zh-CN"/>
        </w:rPr>
      </w:pPr>
      <w:bookmarkStart w:id="10" w:name="_Toc6401"/>
      <w:bookmarkStart w:id="11" w:name="_Toc2475"/>
      <w:r>
        <w:rPr>
          <w:rFonts w:hint="eastAsia" w:ascii="宋体" w:hAnsi="宋体"/>
          <w:b/>
          <w:bCs/>
          <w:sz w:val="28"/>
          <w:szCs w:val="28"/>
          <w:lang w:bidi="zh-CN"/>
        </w:rPr>
        <w:t>工程款资金支出计划说明</w:t>
      </w:r>
      <w:bookmarkEnd w:id="10"/>
      <w:bookmarkEnd w:id="11"/>
    </w:p>
    <w:p>
      <w:pPr>
        <w:spacing w:before="156" w:beforeLines="50" w:after="156" w:afterLines="50" w:line="360" w:lineRule="auto"/>
        <w:ind w:firstLine="480" w:firstLineChars="200"/>
        <w:rPr>
          <w:rFonts w:ascii="宋体" w:hAnsi="宋体"/>
          <w:bCs/>
          <w:color w:val="000000"/>
          <w:sz w:val="24"/>
          <w:lang w:bidi="zh-CN"/>
        </w:rPr>
      </w:pPr>
      <w:r>
        <w:rPr>
          <w:rFonts w:hint="eastAsia" w:ascii="宋体" w:hAnsi="宋体"/>
          <w:bCs/>
          <w:color w:val="000000"/>
          <w:sz w:val="24"/>
          <w:lang w:bidi="zh-CN"/>
        </w:rPr>
        <w:t>项目公司在2022年0</w:t>
      </w:r>
      <w:r>
        <w:rPr>
          <w:rFonts w:hint="eastAsia" w:ascii="宋体" w:hAnsi="宋体"/>
          <w:bCs/>
          <w:color w:val="000000"/>
          <w:sz w:val="24"/>
          <w:lang w:val="en-US" w:bidi="zh-CN"/>
        </w:rPr>
        <w:t>7</w:t>
      </w:r>
      <w:r>
        <w:rPr>
          <w:rFonts w:hint="eastAsia" w:ascii="宋体" w:hAnsi="宋体"/>
          <w:bCs/>
          <w:color w:val="000000"/>
          <w:sz w:val="24"/>
          <w:lang w:bidi="zh-CN"/>
        </w:rPr>
        <w:t>月</w:t>
      </w:r>
      <w:r>
        <w:rPr>
          <w:rFonts w:hint="eastAsia" w:ascii="宋体" w:hAnsi="宋体"/>
          <w:bCs/>
          <w:sz w:val="24"/>
          <w:lang w:bidi="zh-CN"/>
        </w:rPr>
        <w:t>工程款计划支出金额共计</w:t>
      </w:r>
      <w:r>
        <w:rPr>
          <w:rFonts w:hint="eastAsia" w:ascii="宋体" w:hAnsi="宋体"/>
          <w:color w:val="auto"/>
          <w:sz w:val="24"/>
          <w:lang w:val="en-US" w:eastAsia="zh-CN"/>
        </w:rPr>
        <w:t>19,163,180.50</w:t>
      </w:r>
      <w:r>
        <w:rPr>
          <w:rFonts w:hint="eastAsia" w:ascii="宋体" w:hAnsi="宋体"/>
          <w:bCs/>
          <w:color w:val="auto"/>
          <w:sz w:val="24"/>
          <w:lang w:bidi="zh-CN"/>
        </w:rPr>
        <w:t>元,</w:t>
      </w:r>
      <w:r>
        <w:rPr>
          <w:rFonts w:hint="eastAsia" w:ascii="宋体" w:hAnsi="宋体"/>
          <w:bCs/>
          <w:sz w:val="24"/>
          <w:lang w:bidi="zh-CN"/>
        </w:rPr>
        <w:t>具体分析如下：</w:t>
      </w:r>
    </w:p>
    <w:p>
      <w:pPr>
        <w:pStyle w:val="22"/>
        <w:numPr>
          <w:ilvl w:val="0"/>
          <w:numId w:val="3"/>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根据2021年5月7日与中交第四航务工程局有限公司签订的《桩基与基坑支护工程合同》，承包范围：将福州云洲郡项目桩基及基坑支护工程委托实施完成本工程范围内的所有工作；合同总价25,498,747.24元</w:t>
      </w:r>
      <w:bookmarkStart w:id="26" w:name="_GoBack"/>
      <w:bookmarkEnd w:id="26"/>
      <w:r>
        <w:rPr>
          <w:rFonts w:hint="eastAsia" w:ascii="宋体" w:hAnsi="宋体"/>
          <w:bCs/>
          <w:sz w:val="24"/>
          <w:szCs w:val="24"/>
          <w:lang w:bidi="zh-CN"/>
        </w:rPr>
        <w:t>。每月上报实际完成进度，经甲方及监理公司确认实际完成工程量后，支付实际完成工程量对应造价的80%。已完成付款17,128,973.10元，预计本期完成工程量</w:t>
      </w:r>
      <w:r>
        <w:rPr>
          <w:rFonts w:hint="eastAsia" w:ascii="宋体" w:hAnsi="宋体"/>
          <w:bCs/>
          <w:sz w:val="24"/>
          <w:szCs w:val="24"/>
          <w:lang w:val="en-US" w:bidi="zh-CN"/>
        </w:rPr>
        <w:t>2,750,000</w:t>
      </w:r>
      <w:r>
        <w:rPr>
          <w:rFonts w:hint="eastAsia" w:ascii="宋体" w:hAnsi="宋体"/>
          <w:bCs/>
          <w:sz w:val="24"/>
          <w:szCs w:val="24"/>
          <w:lang w:bidi="zh-CN"/>
        </w:rPr>
        <w:t>元，计划付款</w:t>
      </w:r>
      <w:r>
        <w:rPr>
          <w:rFonts w:hint="eastAsia" w:ascii="宋体" w:hAnsi="宋体"/>
          <w:bCs/>
          <w:sz w:val="24"/>
          <w:szCs w:val="24"/>
          <w:lang w:val="en-US" w:bidi="zh-CN"/>
        </w:rPr>
        <w:t>2,200,000.00</w:t>
      </w:r>
      <w:r>
        <w:rPr>
          <w:rFonts w:hint="eastAsia" w:ascii="宋体" w:hAnsi="宋体"/>
          <w:bCs/>
          <w:sz w:val="24"/>
          <w:szCs w:val="24"/>
          <w:lang w:bidi="zh-CN"/>
        </w:rPr>
        <w:t>元。符合合同约定付款。</w:t>
      </w:r>
    </w:p>
    <w:p>
      <w:pPr>
        <w:pStyle w:val="22"/>
        <w:numPr>
          <w:ilvl w:val="0"/>
          <w:numId w:val="3"/>
        </w:numPr>
        <w:spacing w:before="156" w:beforeLines="50" w:after="156" w:afterLines="50" w:line="360" w:lineRule="auto"/>
        <w:ind w:firstLineChars="0"/>
        <w:rPr>
          <w:rFonts w:ascii="宋体" w:hAnsi="宋体"/>
          <w:bCs/>
          <w:sz w:val="24"/>
          <w:lang w:bidi="zh-CN"/>
        </w:rPr>
      </w:pPr>
      <w:r>
        <w:rPr>
          <w:rFonts w:hint="eastAsia" w:ascii="宋体" w:hAnsi="宋体"/>
          <w:bCs/>
          <w:sz w:val="24"/>
          <w:lang w:val="en-US" w:bidi="zh-CN"/>
        </w:rPr>
        <w:t>根据2021年4月27日与福建省建筑材料质量监督检验站签订的《桩基检测工程合同》，承包项目桩基检测工程，合同总价383,800元。完成检测工作并提交经质检站认可的质量桩基检测备案报告、基础验收合格且基础土方回填完成、结算手续办妥等条件同时具备后15个工作日内，支付工程结算总价款余款。已完成合同付款182,742元；剩余应付款201,058元，本期计划付款129,260元。未超出合同约定付款。</w:t>
      </w:r>
    </w:p>
    <w:p>
      <w:pPr>
        <w:pStyle w:val="22"/>
        <w:numPr>
          <w:ilvl w:val="0"/>
          <w:numId w:val="3"/>
        </w:numPr>
        <w:spacing w:before="156" w:beforeLines="50" w:after="156" w:afterLines="50" w:line="360" w:lineRule="auto"/>
        <w:ind w:firstLineChars="0"/>
        <w:rPr>
          <w:rFonts w:ascii="宋体" w:hAnsi="宋体"/>
          <w:bCs/>
          <w:sz w:val="24"/>
          <w:lang w:bidi="zh-CN"/>
        </w:rPr>
      </w:pPr>
      <w:r>
        <w:rPr>
          <w:rFonts w:hint="eastAsia" w:ascii="宋体" w:hAnsi="宋体"/>
          <w:bCs/>
          <w:sz w:val="24"/>
          <w:lang w:bidi="zh-CN"/>
        </w:rPr>
        <w:t>根据2021年8月25日与福建省凡士建设集团有限公司签订的《B+C地块总承包工程（含机电）合同》，提供项目B+C地块总承包工程（含机电）；合同总价340,515,610.19元。按月度付款（安全文明施工费与实体工程款等比例支付）上部按月进度对应产值的80％。累计已完成付款67,529,752.72元；本期预计完成工程量</w:t>
      </w:r>
      <w:r>
        <w:rPr>
          <w:rFonts w:hint="eastAsia" w:ascii="宋体" w:hAnsi="宋体"/>
          <w:bCs/>
          <w:sz w:val="24"/>
          <w:lang w:val="en-US" w:bidi="zh-CN"/>
        </w:rPr>
        <w:t>17,0</w:t>
      </w:r>
      <w:r>
        <w:rPr>
          <w:rFonts w:hint="eastAsia" w:ascii="宋体" w:hAnsi="宋体"/>
          <w:bCs/>
          <w:sz w:val="24"/>
          <w:lang w:bidi="zh-CN"/>
        </w:rPr>
        <w:t>00,000元,</w:t>
      </w:r>
      <w:r>
        <w:rPr>
          <w:rFonts w:hint="eastAsia" w:ascii="宋体" w:hAnsi="宋体"/>
          <w:bCs/>
          <w:sz w:val="24"/>
          <w:lang w:val="en-US" w:bidi="zh-CN"/>
        </w:rPr>
        <w:t>按</w:t>
      </w:r>
      <w:r>
        <w:rPr>
          <w:rFonts w:hint="eastAsia" w:ascii="宋体" w:hAnsi="宋体"/>
          <w:bCs/>
          <w:sz w:val="24"/>
          <w:lang w:bidi="zh-CN"/>
        </w:rPr>
        <w:t>上部按月进度对应产值的80％支付，本期计划付款</w:t>
      </w:r>
      <w:r>
        <w:rPr>
          <w:rFonts w:hint="eastAsia" w:ascii="宋体" w:hAnsi="宋体"/>
          <w:bCs/>
          <w:sz w:val="24"/>
          <w:lang w:val="en-US" w:bidi="zh-CN"/>
        </w:rPr>
        <w:t>13</w:t>
      </w:r>
      <w:r>
        <w:rPr>
          <w:rFonts w:hint="eastAsia" w:ascii="宋体" w:hAnsi="宋体"/>
          <w:bCs/>
          <w:sz w:val="24"/>
          <w:lang w:bidi="zh-CN"/>
        </w:rPr>
        <w:t>,</w:t>
      </w:r>
      <w:r>
        <w:rPr>
          <w:rFonts w:hint="eastAsia" w:ascii="宋体" w:hAnsi="宋体"/>
          <w:bCs/>
          <w:sz w:val="24"/>
          <w:lang w:val="en-US" w:bidi="zh-CN"/>
        </w:rPr>
        <w:t>6</w:t>
      </w:r>
      <w:r>
        <w:rPr>
          <w:rFonts w:hint="eastAsia" w:ascii="宋体" w:hAnsi="宋体"/>
          <w:bCs/>
          <w:sz w:val="24"/>
          <w:lang w:bidi="zh-CN"/>
        </w:rPr>
        <w:t>00,000元。符合合同约定付款。</w:t>
      </w:r>
    </w:p>
    <w:p>
      <w:pPr>
        <w:pStyle w:val="22"/>
        <w:numPr>
          <w:ilvl w:val="0"/>
          <w:numId w:val="3"/>
        </w:numPr>
        <w:spacing w:before="156" w:beforeLines="50" w:after="156" w:afterLines="50" w:line="360" w:lineRule="auto"/>
        <w:ind w:firstLineChars="0"/>
        <w:rPr>
          <w:rFonts w:ascii="宋体" w:hAnsi="宋体"/>
          <w:bCs/>
          <w:sz w:val="24"/>
          <w:lang w:bidi="zh-CN"/>
        </w:rPr>
      </w:pPr>
      <w:r>
        <w:rPr>
          <w:rFonts w:hint="eastAsia" w:ascii="宋体" w:hAnsi="宋体"/>
          <w:bCs/>
          <w:sz w:val="24"/>
          <w:lang w:val="en-US" w:bidi="zh-CN"/>
        </w:rPr>
        <w:t>根据2021年8月5日与福建宝宏人防工程防护设备有限公司签订的《云洲郡项目一期人防工程合同》，承包福州云洲郡项目人防工程，合同总价4,858,000.03元。按节点付款：合同签订生效后，甲方根据施工进度提前通知乙方组织门框及其它预埋件进场，乙方预埋安装完毕后甲方支付合同总价（除过滤吸收器设备费外）的40%；本期预计完成工程量3,500,000元，本期计划付款1,400,000元。</w:t>
      </w:r>
      <w:r>
        <w:rPr>
          <w:rFonts w:hint="eastAsia" w:ascii="宋体" w:hAnsi="宋体"/>
          <w:bCs/>
          <w:sz w:val="24"/>
          <w:lang w:bidi="zh-CN"/>
        </w:rPr>
        <w:t>符合合同约定付款。</w:t>
      </w:r>
    </w:p>
    <w:p>
      <w:pPr>
        <w:pStyle w:val="22"/>
        <w:numPr>
          <w:ilvl w:val="0"/>
          <w:numId w:val="3"/>
        </w:numPr>
        <w:spacing w:before="156" w:beforeLines="50" w:after="156" w:afterLines="50" w:line="360" w:lineRule="auto"/>
        <w:ind w:firstLineChars="0"/>
        <w:rPr>
          <w:rFonts w:ascii="宋体" w:hAnsi="宋体"/>
          <w:bCs/>
          <w:sz w:val="24"/>
          <w:lang w:bidi="zh-CN"/>
        </w:rPr>
      </w:pPr>
      <w:r>
        <w:rPr>
          <w:rFonts w:hint="eastAsia" w:ascii="宋体" w:hAnsi="宋体"/>
          <w:bCs/>
          <w:sz w:val="24"/>
          <w:lang w:val="en-US" w:bidi="zh-CN"/>
        </w:rPr>
        <w:t>根据2022年6月23日与深圳鹏城建科集团有限公司签订的《C8#65C精装改造工程合同》，承包云洲郡项目C8#65C精装改造，合同总价298,730.81元。现场施工完成后支付至已完合同金额的85%；本期计划付款253,920.50元。</w:t>
      </w:r>
      <w:r>
        <w:rPr>
          <w:rFonts w:hint="eastAsia" w:ascii="宋体" w:hAnsi="宋体"/>
          <w:bCs/>
          <w:sz w:val="24"/>
          <w:lang w:bidi="zh-CN"/>
        </w:rPr>
        <w:t>符合合同约定付款。</w:t>
      </w:r>
    </w:p>
    <w:p>
      <w:pPr>
        <w:pStyle w:val="22"/>
        <w:numPr>
          <w:ilvl w:val="0"/>
          <w:numId w:val="3"/>
        </w:numPr>
        <w:spacing w:before="156" w:beforeLines="50" w:after="156" w:afterLines="50" w:line="360" w:lineRule="auto"/>
        <w:ind w:firstLineChars="0"/>
        <w:rPr>
          <w:rFonts w:ascii="宋体" w:hAnsi="宋体"/>
          <w:bCs/>
          <w:sz w:val="24"/>
          <w:lang w:bidi="zh-CN"/>
        </w:rPr>
      </w:pPr>
      <w:r>
        <w:rPr>
          <w:rFonts w:hint="eastAsia" w:ascii="宋体" w:hAnsi="宋体"/>
          <w:bCs/>
          <w:sz w:val="24"/>
          <w:lang w:val="en-US" w:bidi="zh-CN"/>
        </w:rPr>
        <w:t>根据2022年3月31日与杭州西奥电梯有限公司签订的《福州云洲郡项目B+C地块电梯安装合同》，合同金额2,036,336.84元。B+C地块50台电梯的安装、调试、验收以及维修保养期内维修和更换、技术支持和培训，即交钥匙工程。发货前7个工作日内，需方向供方支付该批次订货单项下产品安装费总额的50%。本期预计完成产值640,000元，申请支付320,000元。</w:t>
      </w:r>
      <w:r>
        <w:rPr>
          <w:rFonts w:hint="eastAsia" w:ascii="宋体" w:hAnsi="宋体"/>
          <w:bCs/>
          <w:sz w:val="24"/>
          <w:lang w:bidi="zh-CN"/>
        </w:rPr>
        <w:t>符合合同约定付款。</w:t>
      </w:r>
    </w:p>
    <w:p>
      <w:pPr>
        <w:pStyle w:val="22"/>
        <w:numPr>
          <w:ilvl w:val="0"/>
          <w:numId w:val="3"/>
        </w:numPr>
        <w:spacing w:before="156" w:beforeLines="50" w:after="156" w:afterLines="50" w:line="360" w:lineRule="auto"/>
        <w:ind w:firstLineChars="0"/>
        <w:rPr>
          <w:rFonts w:ascii="宋体" w:hAnsi="宋体"/>
          <w:bCs/>
          <w:sz w:val="24"/>
          <w:lang w:bidi="zh-CN"/>
        </w:rPr>
      </w:pPr>
      <w:r>
        <w:rPr>
          <w:rFonts w:hint="eastAsia" w:ascii="宋体" w:hAnsi="宋体"/>
          <w:bCs/>
          <w:color w:val="000000"/>
          <w:sz w:val="24"/>
          <w:lang w:bidi="zh-CN"/>
        </w:rPr>
        <w:t>计划支付给福建凡龙装饰工程有限公司的B+C地块外立面涂料工程</w:t>
      </w:r>
      <w:r>
        <w:rPr>
          <w:rFonts w:hint="eastAsia" w:ascii="宋体" w:hAnsi="宋体"/>
          <w:bCs/>
          <w:color w:val="000000"/>
          <w:sz w:val="24"/>
          <w:lang w:val="en-US" w:bidi="zh-CN"/>
        </w:rPr>
        <w:t>款</w:t>
      </w:r>
      <w:r>
        <w:rPr>
          <w:rFonts w:hint="eastAsia" w:ascii="宋体" w:hAnsi="宋体"/>
          <w:bCs/>
          <w:color w:val="000000"/>
          <w:sz w:val="24"/>
          <w:lang w:bidi="zh-CN"/>
        </w:rPr>
        <w:t>1</w:t>
      </w:r>
      <w:r>
        <w:rPr>
          <w:rFonts w:hint="eastAsia" w:ascii="宋体" w:hAnsi="宋体"/>
          <w:bCs/>
          <w:color w:val="000000"/>
          <w:sz w:val="24"/>
          <w:lang w:val="en-US" w:bidi="zh-CN"/>
        </w:rPr>
        <w:t>,</w:t>
      </w:r>
      <w:r>
        <w:rPr>
          <w:rFonts w:hint="eastAsia" w:ascii="宋体" w:hAnsi="宋体"/>
          <w:bCs/>
          <w:color w:val="000000"/>
          <w:sz w:val="24"/>
          <w:lang w:bidi="zh-CN"/>
        </w:rPr>
        <w:t>260</w:t>
      </w:r>
      <w:r>
        <w:rPr>
          <w:rFonts w:hint="eastAsia" w:ascii="宋体" w:hAnsi="宋体"/>
          <w:bCs/>
          <w:color w:val="000000"/>
          <w:sz w:val="24"/>
          <w:lang w:val="en-US" w:bidi="zh-CN"/>
        </w:rPr>
        <w:t>,</w:t>
      </w:r>
      <w:r>
        <w:rPr>
          <w:rFonts w:hint="eastAsia" w:ascii="宋体" w:hAnsi="宋体"/>
          <w:bCs/>
          <w:color w:val="000000"/>
          <w:sz w:val="24"/>
          <w:lang w:bidi="zh-CN"/>
        </w:rPr>
        <w:t>000元，目前合同尚未签订，具体支付金额以实际签订的协议及完成产值为准。</w:t>
      </w:r>
    </w:p>
    <w:p>
      <w:pPr>
        <w:spacing w:before="156" w:beforeLines="50" w:after="156" w:afterLines="50" w:line="360" w:lineRule="auto"/>
        <w:ind w:firstLine="480" w:firstLineChars="200"/>
        <w:rPr>
          <w:rFonts w:ascii="宋体" w:hAnsi="宋体"/>
          <w:bCs/>
          <w:color w:val="000000"/>
          <w:sz w:val="24"/>
          <w:lang w:bidi="zh-CN"/>
        </w:rPr>
      </w:pPr>
      <w:r>
        <w:rPr>
          <w:rFonts w:hint="eastAsia" w:ascii="宋体" w:hAnsi="宋体"/>
          <w:bCs/>
          <w:color w:val="000000"/>
          <w:sz w:val="24"/>
          <w:lang w:bidi="zh-CN"/>
        </w:rPr>
        <w:t>经审核，本月工程款</w:t>
      </w:r>
      <w:r>
        <w:rPr>
          <w:rFonts w:hint="eastAsia" w:ascii="宋体" w:hAnsi="宋体"/>
          <w:bCs/>
          <w:sz w:val="24"/>
          <w:lang w:bidi="zh-CN"/>
        </w:rPr>
        <w:t>涉及的合同中</w:t>
      </w:r>
      <w:r>
        <w:rPr>
          <w:rFonts w:hint="eastAsia" w:ascii="宋体" w:hAnsi="宋体"/>
          <w:bCs/>
          <w:sz w:val="24"/>
          <w:lang w:val="en-US" w:bidi="zh-CN"/>
        </w:rPr>
        <w:t>6</w:t>
      </w:r>
      <w:r>
        <w:rPr>
          <w:rFonts w:hint="eastAsia" w:ascii="宋体" w:hAnsi="宋体"/>
          <w:bCs/>
          <w:sz w:val="24"/>
          <w:lang w:bidi="zh-CN"/>
        </w:rPr>
        <w:t>项已经签订。根据项目公司</w:t>
      </w:r>
      <w:r>
        <w:rPr>
          <w:rFonts w:hint="eastAsia" w:ascii="宋体" w:hAnsi="宋体"/>
          <w:bCs/>
          <w:color w:val="000000"/>
          <w:sz w:val="24"/>
          <w:lang w:bidi="zh-CN"/>
        </w:rPr>
        <w:t>提供的《项目开发节奏表》，上述计划支付内容与计划开发进度基本相符，我司认为0</w:t>
      </w:r>
      <w:r>
        <w:rPr>
          <w:rFonts w:hint="eastAsia" w:ascii="宋体" w:hAnsi="宋体"/>
          <w:bCs/>
          <w:color w:val="000000"/>
          <w:sz w:val="24"/>
          <w:lang w:val="en-US" w:bidi="zh-CN"/>
        </w:rPr>
        <w:t>7</w:t>
      </w:r>
      <w:r>
        <w:rPr>
          <w:rFonts w:hint="eastAsia" w:ascii="宋体" w:hAnsi="宋体"/>
          <w:bCs/>
          <w:color w:val="000000"/>
          <w:sz w:val="24"/>
          <w:lang w:bidi="zh-CN"/>
        </w:rPr>
        <w:t>月项目公司有关工程款支出的资金计划编制合理。后期我司会对合同签订严格把控，实际支付时，我司会对付款申请、发票、流程、工程合同、现场签证等依据进行审核、计算，根据实际情况复核付款的合理性、合规性。</w:t>
      </w:r>
    </w:p>
    <w:p>
      <w:pPr>
        <w:numPr>
          <w:ilvl w:val="0"/>
          <w:numId w:val="2"/>
        </w:numPr>
        <w:spacing w:before="156" w:beforeLines="50" w:after="156" w:afterLines="50" w:line="360" w:lineRule="auto"/>
        <w:outlineLvl w:val="1"/>
        <w:rPr>
          <w:rFonts w:ascii="宋体" w:hAnsi="宋体"/>
          <w:b/>
          <w:bCs/>
          <w:sz w:val="28"/>
          <w:szCs w:val="28"/>
          <w:lang w:bidi="zh-CN"/>
        </w:rPr>
      </w:pPr>
      <w:bookmarkStart w:id="12" w:name="_Toc21500"/>
      <w:bookmarkStart w:id="13" w:name="_Toc1688"/>
      <w:r>
        <w:rPr>
          <w:rFonts w:hint="eastAsia" w:ascii="宋体" w:hAnsi="宋体"/>
          <w:b/>
          <w:bCs/>
          <w:sz w:val="28"/>
          <w:szCs w:val="28"/>
          <w:lang w:bidi="zh-CN"/>
        </w:rPr>
        <w:t>销售费用资金支出计划说明</w:t>
      </w:r>
      <w:bookmarkEnd w:id="12"/>
      <w:bookmarkEnd w:id="13"/>
    </w:p>
    <w:p>
      <w:pPr>
        <w:spacing w:before="156" w:beforeLines="50" w:after="156" w:afterLines="50" w:line="360" w:lineRule="auto"/>
        <w:ind w:firstLine="480" w:firstLineChars="200"/>
        <w:rPr>
          <w:rFonts w:ascii="宋体" w:hAnsi="宋体"/>
          <w:bCs/>
          <w:sz w:val="24"/>
          <w:lang w:bidi="zh-CN"/>
        </w:rPr>
      </w:pPr>
      <w:r>
        <w:rPr>
          <w:rFonts w:hint="eastAsia" w:ascii="宋体" w:hAnsi="宋体"/>
          <w:bCs/>
          <w:color w:val="000000"/>
          <w:sz w:val="24"/>
          <w:lang w:bidi="zh-CN"/>
        </w:rPr>
        <w:t>项目公司计划0</w:t>
      </w:r>
      <w:r>
        <w:rPr>
          <w:rFonts w:hint="eastAsia" w:ascii="宋体" w:hAnsi="宋体"/>
          <w:bCs/>
          <w:color w:val="000000"/>
          <w:sz w:val="24"/>
          <w:lang w:val="en-US" w:bidi="zh-CN"/>
        </w:rPr>
        <w:t>7</w:t>
      </w:r>
      <w:r>
        <w:rPr>
          <w:rFonts w:hint="eastAsia" w:ascii="宋体" w:hAnsi="宋体"/>
          <w:bCs/>
          <w:color w:val="000000"/>
          <w:sz w:val="24"/>
          <w:lang w:bidi="zh-CN"/>
        </w:rPr>
        <w:t>月</w:t>
      </w:r>
      <w:r>
        <w:rPr>
          <w:rFonts w:hint="eastAsia" w:ascii="宋体" w:hAnsi="宋体"/>
          <w:bCs/>
          <w:sz w:val="24"/>
          <w:lang w:bidi="zh-CN"/>
        </w:rPr>
        <w:t>的销售费用支出共</w:t>
      </w:r>
      <w:r>
        <w:rPr>
          <w:rFonts w:hint="eastAsia" w:ascii="宋体" w:hAnsi="宋体"/>
          <w:bCs/>
          <w:sz w:val="24"/>
          <w:lang w:val="en-US" w:bidi="zh-CN"/>
        </w:rPr>
        <w:t>67</w:t>
      </w:r>
      <w:r>
        <w:rPr>
          <w:rFonts w:hint="eastAsia" w:ascii="宋体" w:hAnsi="宋体"/>
          <w:bCs/>
          <w:sz w:val="24"/>
          <w:lang w:bidi="zh-CN"/>
        </w:rPr>
        <w:t>笔，共计</w:t>
      </w:r>
      <w:r>
        <w:rPr>
          <w:rFonts w:hint="eastAsia" w:ascii="宋体" w:hAnsi="宋体"/>
          <w:bCs/>
          <w:color w:val="auto"/>
          <w:sz w:val="24"/>
          <w:lang w:val="en-US" w:bidi="zh-CN"/>
        </w:rPr>
        <w:t>843.62</w:t>
      </w:r>
      <w:r>
        <w:rPr>
          <w:rFonts w:hint="eastAsia" w:ascii="宋体" w:hAnsi="宋体"/>
          <w:bCs/>
          <w:color w:val="auto"/>
          <w:sz w:val="24"/>
          <w:lang w:bidi="zh-CN"/>
        </w:rPr>
        <w:t>万元，</w:t>
      </w:r>
      <w:r>
        <w:rPr>
          <w:rFonts w:hint="eastAsia" w:ascii="宋体" w:hAnsi="宋体"/>
          <w:bCs/>
          <w:sz w:val="24"/>
          <w:lang w:bidi="zh-CN"/>
        </w:rPr>
        <w:t>包括营销部员工的工资、奖金、福利及餐费报销以及广告宣传等费用，具体分析如下：</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val="en-US" w:bidi="zh-CN"/>
        </w:rPr>
        <w:t>根据2022年3月16日与台江区中彩办公设备店签订的《办公设备服务租赁合同》，租用打印机，合同总价1.8万元。费用每满1个季度（3个月）结算一次,已完成付款0.24万元，本期申请支付2022年第二季度费用0.24万元。</w:t>
      </w:r>
      <w:r>
        <w:rPr>
          <w:rFonts w:hint="eastAsia" w:ascii="宋体" w:hAnsi="宋体"/>
          <w:bCs/>
          <w:color w:val="000000"/>
          <w:sz w:val="24"/>
          <w:lang w:bidi="zh-CN"/>
        </w:rPr>
        <w:t>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计划支付与中国联合网络通信有限公司福州市分公司的售楼处宽带费用0.40万元，实消实报，具体支付金额以实际签订的协议及完成产值为准。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计划支付与中国联合网络通信有限公司福州市分公司的售楼处电话费用0.30万元，实消实报，具体支付金额以实际签订的协议及完成产值为准。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val="en-US" w:bidi="zh-CN"/>
        </w:rPr>
        <w:t>根据2022年6月13日与上海易居房地产交易服务有限公司签订的《项目全民经纪代理服务合同》，老业主、员工、编外推荐等泛营销，本合同为框架合同。老业主、员工、编外推荐等泛营销点位2%；联动总包服务费（经纪人）实时结算，网签结算100%佣金（9%的税点）。对于达到二级联动服务费（全民经纪人）结算支付服务费标准的房源，由甲方确认。本月计划支付59.46万元，</w:t>
      </w:r>
      <w:r>
        <w:rPr>
          <w:rFonts w:hint="eastAsia" w:ascii="宋体" w:hAnsi="宋体"/>
          <w:bCs/>
          <w:sz w:val="24"/>
          <w:lang w:bidi="zh-CN"/>
        </w:rPr>
        <w:t>具体支付时我司会严格根据实际成交情况和审批资料，据实支付。</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计划支付中国邮政速递物流股份有限公司福州市分公司的营销中心EMS月结0.0</w:t>
      </w:r>
      <w:r>
        <w:rPr>
          <w:rFonts w:hint="eastAsia" w:ascii="宋体" w:hAnsi="宋体"/>
          <w:bCs/>
          <w:color w:val="000000"/>
          <w:sz w:val="24"/>
          <w:lang w:val="en-US" w:bidi="zh-CN"/>
        </w:rPr>
        <w:t>7</w:t>
      </w:r>
      <w:r>
        <w:rPr>
          <w:rFonts w:hint="eastAsia" w:ascii="宋体" w:hAnsi="宋体"/>
          <w:bCs/>
          <w:color w:val="000000"/>
          <w:sz w:val="24"/>
          <w:lang w:bidi="zh-CN"/>
        </w:rPr>
        <w:t>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计划支付给福建长颈鹿文化传媒有限公司的大牌投放</w:t>
      </w:r>
      <w:r>
        <w:rPr>
          <w:rFonts w:hint="eastAsia" w:ascii="宋体" w:hAnsi="宋体"/>
          <w:bCs/>
          <w:color w:val="000000"/>
          <w:sz w:val="24"/>
          <w:lang w:val="en-US" w:bidi="zh-CN"/>
        </w:rPr>
        <w:t>广告</w:t>
      </w:r>
      <w:r>
        <w:rPr>
          <w:rFonts w:hint="eastAsia" w:ascii="宋体" w:hAnsi="宋体"/>
          <w:bCs/>
          <w:color w:val="000000"/>
          <w:sz w:val="24"/>
          <w:lang w:bidi="zh-CN"/>
        </w:rPr>
        <w:t>费用</w:t>
      </w:r>
      <w:r>
        <w:rPr>
          <w:rFonts w:hint="eastAsia" w:ascii="宋体" w:hAnsi="宋体"/>
          <w:bCs/>
          <w:color w:val="000000"/>
          <w:sz w:val="24"/>
          <w:lang w:val="en-US" w:bidi="zh-CN"/>
        </w:rPr>
        <w:t>5</w:t>
      </w:r>
      <w:r>
        <w:rPr>
          <w:rFonts w:hint="eastAsia" w:ascii="宋体" w:hAnsi="宋体"/>
          <w:bCs/>
          <w:color w:val="000000"/>
          <w:sz w:val="24"/>
          <w:lang w:bidi="zh-CN"/>
        </w:rPr>
        <w:t>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计划支付给福州韦盛传媒有限公司的现场氛围升级包装费用</w:t>
      </w:r>
      <w:r>
        <w:rPr>
          <w:rFonts w:hint="eastAsia" w:ascii="宋体" w:hAnsi="宋体"/>
          <w:bCs/>
          <w:color w:val="000000"/>
          <w:sz w:val="24"/>
          <w:lang w:val="en-US" w:bidi="zh-CN"/>
        </w:rPr>
        <w:t>1.45</w:t>
      </w:r>
      <w:r>
        <w:rPr>
          <w:rFonts w:hint="eastAsia" w:ascii="宋体" w:hAnsi="宋体"/>
          <w:bCs/>
          <w:color w:val="000000"/>
          <w:sz w:val="24"/>
          <w:lang w:bidi="zh-CN"/>
        </w:rPr>
        <w:t>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杭州臻挚标识有限公司杭州臻挚标识有限公司</w:t>
      </w:r>
      <w:r>
        <w:rPr>
          <w:rFonts w:hint="eastAsia" w:ascii="宋体" w:hAnsi="宋体"/>
          <w:bCs/>
          <w:color w:val="000000"/>
          <w:sz w:val="24"/>
          <w:lang w:val="en-US" w:bidi="zh-CN"/>
        </w:rPr>
        <w:t>的标识标牌增补费用5.20</w:t>
      </w:r>
      <w:r>
        <w:rPr>
          <w:rFonts w:hint="eastAsia" w:ascii="宋体" w:hAnsi="宋体"/>
          <w:bCs/>
          <w:color w:val="000000"/>
          <w:sz w:val="24"/>
          <w:lang w:bidi="zh-CN"/>
        </w:rPr>
        <w:t>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计划支付与安徽意识流文化传播有限公司的短视频制作费用0.9万元，实消实报，具体支付金额以实际签订的协议及完成产值为准。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3月17日与成都品悦互动科技有限公司签订的《榕耀之城项目今日头条及抖音广告发布合同》，全福州区域内投放今日头条、抖音信息流广告，合同总价5万元。验收合格后一次性支付，本期计划付款5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根据2022年1月20日与福建九宫格纸制品有限公司签订的《螺洲TOD项目12月印刷品制作合同》，制作及印刷费；合同总价4.01万元。验收合格后一次性支付；本期计划付款4.01万元。符合合同约定付款。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计划支付给福建九宫格纸制品有限公司的拓客展架制作费用0.9万元，实消实报，具体支付金额以实际签订的协议及完成产值为准。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根据2022年1月20日与福建九宫格纸制品有限公司签订的《榕耀之城11月印刷服务合同》，制作渠道物料；合同总价3.95元。验收合格后一次性支付；本期计划付款3.95万元。符合合同约定付款。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计划支付给福建九宫格纸制品有限公司的臻心公告制作费用0.42万元，实消实报，具体支付金额以实际签订的协议及完成产值为准。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计划支付给福建九宫格纸制品有限公司的一次性纸杯定制费用0.39万元，实消实报，具体支付金额以实际签订的协议及完成产值为准。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根据2021年7月23日与福建九宫格纸制品有限公司签订的《1月物料印刷制作合同》，DM单页、展架、展架画面增补，合同总价1.82万元。验收合格后一次性支付，本期计划付款1.82万元。符合合同约定付款。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计划支付给福建九宫格纸制品有限公司的3月印刷物料制作费用1.95万元，目前合同尚未签订，具体支付金额以实际签订的协议及完成产值为准。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计划支付给福建九宫格纸制品有限公司的3月印刷物料制作增补费用1.61万元，目前合同尚未签订，具体支付金额以实际签订的协议及完成产值为准。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计划支付给福建九宫格纸制品有限公司的4月印刷品制作费用0.7万元，实消实报，具体支付金额以实际签订的协议及完成产值为准。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计划支付给福建九宫格纸制品有限公司的4月零散物料印刷费用0.41万元，实消实报，具体支付金额以实际签订的协议及完成产值为准。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根据2021年11月11日与福建蓝房网络科技有限公司签订的《蓝房网广告发布合同》，蓝房网广告发布，合同总价6万元。验收合格后一次性支付。本期计划付款6万元。符合合同约定付款。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4月14日与福建乐达城轨传媒有限公司签订的《福州地铁一号线、二号线车载广告发布合同》，增加地铁1/2号线出入口u型门楣广告；合同总价11.5万元。验收合格后一次性支付；本期计划付款11.5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计划支付给福建乐达城轨传媒有限公司的5号线地铁灯箱投放费用3万元，实消实报，具体支付金额以实际签订的协议及完成产值为准。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计划支付给福建伍贰捌道闸传媒有限公司的市区写字楼、商业停车场道闸广告投放费用6.52万元，具体支付金额以实际签订的协议及完成产值为准。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计划支付给湖州视新传媒广告有限公司的公交车车身广告投放费用8.5万元，目前合同尚未签订，具体支付金额以实际签订的协议及完成产值为准。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计划支付给福建优思文化发展有限公司的3月物料采购费用1.65万元，目前合同尚未签订，具体支付金额以实际签订的协议及完成产值为准。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计划支付给福州策元第文化传媒有限公司的架空层焕新开放活动费用5万元，目前合同尚未签订，具体支付金额以实际签订的协议及完成产值为准。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根据2022年4月14日与福州海方网络技术有限公司签订的《榕耀之城项目彩信投放合同》，彩信投放广告，合同总价5万元。验收合格后一次性支付，本期计划付款5万元。符合合同约定付款。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计划支付给福建九宫格纸制品有限公司的一次性纸杯定制费用0.26万元，实消实报，具体支付金额以实际签订的协议及完成产值为准。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根据2021年11月11日与福州日报文化传播有限公司签订的《日报广告发布合同》，广告发布，合同总价5万元。广告发布验收合格后一次性支付。本期计划付款5万元。符合合同约定付款。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计划支付给福州市鼓楼区创华贸易有限公司的2022年3月物料采购费用1.65万元，目前合同尚未签订，具体支付金额以实际签订的协议及完成产值为准。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计划支付给福州市台江区华胜日用百货商行的2022年1月日耗采购费用0.94万元，实消实报，具体支付金额以实际签订的协议及完成产值为准。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计划支付给福州市台江区华胜日用百货商行的项目2022年2月日耗采购费用0.5万元，实消实报，具体支付金额以实际签订的协议及完成产值为准。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计划支付给福州市台江区华胜日用百货商行的项目2022年3月日耗采购费用0.5万元，实消实报，具体支付金额以实际签订的协议及完成产值为准。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计划支付给福州市台江区华胜日用百货商行的项目2021年11月日耗采购费用0.5万元，实消实报，具体支付金额以实际签订的协议及完成产值为准。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根据2022年3月17日与福州造梦时代文化传媒有限公司签订的《圣诞节导客活动委托服务合同》，举行圣诞节导客活动，合同总价1.59万元。验收合格后一次性支付，本期计划付款1.59万元。符合合同约定付款。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4月7日与福州首创广告有限公司签订的《榕耀之城项目阵地公交站牌户外广告发布合同》，项目附近公交站牌投放，合同总价2.63万元。验收合格后一次性支付，本期计划付款2.63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计划支付给福州韦盛传媒有限公司的1月零散物料制作费用1.47万元，目前合同尚未签订，具体支付金额以实际签订的协议及完成产值为准。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计划支付给福州韦盛传媒有限公司的4月案场包装费用1.49万元，目前合同尚未签订，具体支付金额以实际签订的协议及完成产值为准。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计划支付给福州韦盛传媒有限公司的3月防疫活动费用0.26万元，实消实报，具体支付金额以实际签订的协议及完成产值为准。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根据2022年4月7日与福州壹家文化传播有限公司签订的《“福州开门红 榕耀在此刻”榕耀之城开盘活动增补活动委托服务合同》，开盘活动增补活动委托服务，合同总价1.53万元。验收合格后一次性支付，本期计划付款1.53万元。符合合同约定付款。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计划支付给福州印象五和印务有限公司的销售道具印刷增补费用0.78万元，实消实报，具体支付金额以实际签订的协议及完成产值为准。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根据2022年3月17日与福州映榕环境工程有限公司签订的《消杀外包合同》，续约四害消杀，合同总价2万元。验收合格后一次性支付，本期计划付款2万元。符合合同约定付款。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计划支付给福州众翼传媒有限公司的1-2月阵地包装费用23.58万元，目前合同尚未签订，具体支付金额以实际签订的协议及完成产值为准。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与福州众翼传媒有限公司的签订的《榕耀之城4月阵地户外广告发布合同》，提供榕耀之城项目阵地户外包装事项，合同总价9.30万元。验收合格后一次性付款，本期计划付款9.30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w:t>
      </w:r>
      <w:r>
        <w:rPr>
          <w:rFonts w:hint="eastAsia" w:ascii="宋体" w:hAnsi="宋体"/>
          <w:bCs/>
          <w:sz w:val="24"/>
          <w:lang w:bidi="zh-CN"/>
        </w:rPr>
        <w:t>给福州众翼传媒有限公司的阵</w:t>
      </w:r>
      <w:r>
        <w:rPr>
          <w:rFonts w:hint="eastAsia" w:ascii="宋体" w:hAnsi="宋体"/>
          <w:bCs/>
          <w:color w:val="000000"/>
          <w:sz w:val="24"/>
          <w:lang w:bidi="zh-CN"/>
        </w:rPr>
        <w:t>地户外包装投放费用7.95万元，目前合同尚未签订，具体支付金额以实际签订的协议及完成产值为准。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根据2022年3月17日与杭州迦密科技有限公司签订的《香薰设备租赁框架协议》，采购香薰续约，合同总价3.43万元。验收合格后一次性支付，本期计划付款3.43万元。符合合同约定付款。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计划支付给杭州角动量科技有限公司的楼梯LED维修费用0.08万元，实消实报，具体支付金额以实际签订的协议及完成产值为准。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4月7日与杭州捷群广告有限公司签订的《2022年3-6月广告服务合同》，2021年及2022年1-2月合作供应商，本次续约4个月，合同总价36万元。验收合格后一次性支付，本期计划付款27万元。未超出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4月28日与合肥多谷互动科技有限公司签订的《榕耀之城项目IP设计合同》，设计项目IP形象用于策划推广及大区景观落地，合同总价2.60万元。验收合格后一次性付款，本期计划付款2.60万元。未超出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根据2022年5月19日与合肥多谷互动科技有限公司签订的《定制互动H5制作合同》，定制互动H5制作，合同总价2.00万元。验收合格后一次性付款，本期计划付款2.00万元。未超出合同约定付款。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计划支付给合肥多谷互动科技有限公司的IP动作手绘延展费用0.2万元，实消实报，具体支付金额以实际签订的协议及完成产值为准。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sz w:val="24"/>
          <w:lang w:bidi="zh-CN"/>
        </w:rPr>
      </w:pPr>
      <w:r>
        <w:rPr>
          <w:rFonts w:hint="eastAsia" w:ascii="宋体" w:hAnsi="宋体"/>
          <w:bCs/>
          <w:color w:val="000000"/>
          <w:sz w:val="24"/>
          <w:lang w:bidi="zh-CN"/>
        </w:rPr>
        <w:t>根据202</w:t>
      </w:r>
      <w:r>
        <w:rPr>
          <w:rFonts w:hint="eastAsia" w:ascii="宋体" w:hAnsi="宋体"/>
          <w:bCs/>
          <w:color w:val="000000"/>
          <w:sz w:val="24"/>
          <w:lang w:val="en-US" w:bidi="zh-CN"/>
        </w:rPr>
        <w:t>2</w:t>
      </w:r>
      <w:r>
        <w:rPr>
          <w:rFonts w:hint="eastAsia" w:ascii="宋体" w:hAnsi="宋体"/>
          <w:bCs/>
          <w:color w:val="000000"/>
          <w:sz w:val="24"/>
          <w:lang w:bidi="zh-CN"/>
        </w:rPr>
        <w:t>年5月12日与融创物业服务集团有限公司福州分公司签订的《福州云洲郡案场物业服务合同》，委托负责对案场进行物业服务工作；合同总价220.39万元。按编制签订框架协议后，每月根据考勤实际结算，1.考勤验收：策划线针对物业提交考勤，进行复核首开融创主策签字确认。2.验收方式：物业根据复核签字版考勤绘制《验收单》案场负责人签字后，签订对应金额子合同。3.结算方式：以实际考勤及签订合同金额为准。</w:t>
      </w:r>
      <w:r>
        <w:rPr>
          <w:rFonts w:hint="eastAsia" w:ascii="宋体" w:hAnsi="宋体"/>
          <w:bCs/>
          <w:color w:val="000000"/>
          <w:sz w:val="24"/>
          <w:lang w:val="en-US" w:bidi="zh-CN"/>
        </w:rPr>
        <w:t>已完成付款72.73万元，</w:t>
      </w:r>
      <w:r>
        <w:rPr>
          <w:rFonts w:hint="eastAsia" w:ascii="宋体" w:hAnsi="宋体"/>
          <w:bCs/>
          <w:color w:val="000000"/>
          <w:sz w:val="24"/>
          <w:lang w:bidi="zh-CN"/>
        </w:rPr>
        <w:t>本期计划支付2022年</w:t>
      </w:r>
      <w:r>
        <w:rPr>
          <w:rFonts w:hint="eastAsia" w:ascii="宋体" w:hAnsi="宋体"/>
          <w:bCs/>
          <w:color w:val="000000"/>
          <w:sz w:val="24"/>
          <w:lang w:val="en-US" w:bidi="zh-CN"/>
        </w:rPr>
        <w:t>5</w:t>
      </w:r>
      <w:r>
        <w:rPr>
          <w:rFonts w:hint="eastAsia" w:ascii="宋体" w:hAnsi="宋体"/>
          <w:bCs/>
          <w:color w:val="000000"/>
          <w:sz w:val="24"/>
          <w:lang w:bidi="zh-CN"/>
        </w:rPr>
        <w:t>月-2022年</w:t>
      </w:r>
      <w:r>
        <w:rPr>
          <w:rFonts w:hint="eastAsia" w:ascii="宋体" w:hAnsi="宋体"/>
          <w:bCs/>
          <w:color w:val="000000"/>
          <w:sz w:val="24"/>
          <w:lang w:val="en-US" w:bidi="zh-CN"/>
        </w:rPr>
        <w:t>6</w:t>
      </w:r>
      <w:r>
        <w:rPr>
          <w:rFonts w:hint="eastAsia" w:ascii="宋体" w:hAnsi="宋体"/>
          <w:bCs/>
          <w:color w:val="000000"/>
          <w:sz w:val="24"/>
          <w:lang w:bidi="zh-CN"/>
        </w:rPr>
        <w:t>月份案场</w:t>
      </w:r>
      <w:r>
        <w:rPr>
          <w:rFonts w:hint="eastAsia" w:ascii="宋体" w:hAnsi="宋体"/>
          <w:bCs/>
          <w:sz w:val="24"/>
          <w:lang w:bidi="zh-CN"/>
        </w:rPr>
        <w:t>服务费支付</w:t>
      </w:r>
      <w:r>
        <w:rPr>
          <w:rFonts w:hint="eastAsia" w:ascii="宋体" w:hAnsi="宋体"/>
          <w:bCs/>
          <w:sz w:val="24"/>
          <w:lang w:val="en-US" w:bidi="zh-CN"/>
        </w:rPr>
        <w:t>40</w:t>
      </w:r>
      <w:r>
        <w:rPr>
          <w:rFonts w:hint="eastAsia" w:ascii="宋体" w:hAnsi="宋体"/>
          <w:bCs/>
          <w:sz w:val="24"/>
          <w:lang w:bidi="zh-CN"/>
        </w:rPr>
        <w:t>万元。具体支付时我司会严格审核考勤和审批资料，据实支付。</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计划支付给瑞庭网络技术（上海）有限公司福州分公司的2021年4月安居客广告投放广告发布费用10.50万元，目前合同尚未签订，具体支付金额以实际签订的协议及完成产值为准。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5月19日与瑞庭网络技术（上海）有限公司福州分公司签订的《3月安居客投放广告发布合同》，进行安居客网站投放，合同总价10.50万元。验收合格后一次性付款，本期计划付款10.50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根据2022年5月19日与厦门芳华正耀文化传媒有限公司签订的《样板房拍摄活动委托服务合同》，65㎡样板房实景拍摄，合同总价1.18万元。验收合格后一次性付款，本期计划付款1.18万元。符合合同约定付款。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根据2021年9月23日与上海良晓信息科技有限公司签订的《展厅服务合同补充协议》，展厅服务增补，合同总价12万元。验收合格后一次性支付，本期计划付款12万元。符合合同约定付款。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计划支付给上海市山之田模型设计有限公司的11月沙盘增补费用0.75万元，实消实报，具体支付金额以实际签订的协议及完成产值为准。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计划支付给台江区华胜日用品商行的12月日耗采购费用0.95万元，实消实报，具体支付金额以实际签订的协议及完成产值为准。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根据2022年4月15日与台江区优润日用品经营部签订的《物料采购专项活动委托服务合同》，2022年1月榕耀之城示范区物料采购专项，合同总价4.15万元。验收合格后一次性支付，本期计划付款12万元。符合合同约定付款。</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计划支付给台江区优润日用经营部的柿子采购费用0.6万元，实消实报，具体支付金额以实际签订的协议及完成产值为准。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计划支付给台江区优润日用经营部的三只松鼠新增采购费用1万元，目前合同尚未签订，具体支付金额以实际签订的协议及完成产值为准。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计划支付给台江区优润日用经营部的3月礼品互动活动费用0.94万元，实消实报，具体支付金额以实际签订的协议及完成产值为准。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计划支付给福州市台江区华胜日用百货商行的项目4月日耗采购费用0.5万元，实消实报，具体支付金额以实际签订的协议及完成产值为准。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计划支付给厦门优思麓文化传播有限公司的5月IP周边增补制作费用3.68万元，目前合同尚未签订，具体支付金额以实际签订的协议及完成产值为准。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bidi="zh-CN"/>
        </w:rPr>
        <w:t>计划支付给福州市台江区华胜日用百货商行的项目5月日耗采购费用0.5万元，实消实报，具体支付金额以实际签订的协议及完成产值为准。</w:t>
      </w:r>
    </w:p>
    <w:p>
      <w:pPr>
        <w:pStyle w:val="22"/>
        <w:numPr>
          <w:ilvl w:val="0"/>
          <w:numId w:val="4"/>
        </w:numPr>
        <w:spacing w:before="156" w:beforeLines="50" w:after="156" w:afterLines="50" w:line="360" w:lineRule="auto"/>
        <w:ind w:left="1202" w:firstLineChars="0"/>
        <w:rPr>
          <w:rFonts w:ascii="宋体" w:hAnsi="宋体"/>
          <w:bCs/>
          <w:color w:val="000000"/>
          <w:sz w:val="24"/>
          <w:lang w:bidi="zh-CN"/>
        </w:rPr>
      </w:pPr>
      <w:r>
        <w:rPr>
          <w:rFonts w:hint="eastAsia" w:ascii="宋体" w:hAnsi="宋体"/>
          <w:bCs/>
          <w:color w:val="000000"/>
          <w:sz w:val="24"/>
          <w:lang w:val="en-US" w:bidi="zh-CN"/>
        </w:rPr>
        <w:t>7月份计划计提2020年7月-2021年12月营销费用517.79万元。</w:t>
      </w:r>
      <w:r>
        <w:rPr>
          <w:rFonts w:hint="eastAsia" w:ascii="宋体" w:hAnsi="宋体"/>
          <w:bCs/>
          <w:color w:val="000000"/>
          <w:sz w:val="24"/>
          <w:lang w:bidi="zh-CN"/>
        </w:rPr>
        <w:t>具体支付金额以实际签订的协议及完成产值为准。</w:t>
      </w:r>
    </w:p>
    <w:p>
      <w:pPr>
        <w:spacing w:before="156" w:beforeLines="50" w:after="156" w:afterLines="50" w:line="360" w:lineRule="auto"/>
        <w:ind w:firstLine="480" w:firstLineChars="200"/>
        <w:rPr>
          <w:rFonts w:ascii="宋体" w:hAnsi="宋体"/>
          <w:sz w:val="24"/>
        </w:rPr>
      </w:pPr>
      <w:r>
        <w:rPr>
          <w:rFonts w:hint="eastAsia" w:ascii="宋体" w:hAnsi="宋体"/>
          <w:bCs/>
          <w:color w:val="000000"/>
          <w:sz w:val="24"/>
          <w:lang w:bidi="zh-CN"/>
        </w:rPr>
        <w:t>项目公司营销计划及人员工作计划尚未排定，届时将根据实际人员安排进行支付</w:t>
      </w:r>
      <w:r>
        <w:rPr>
          <w:rFonts w:hint="eastAsia" w:ascii="宋体" w:hAnsi="宋体"/>
          <w:sz w:val="24"/>
          <w:lang w:bidi="zh-CN"/>
        </w:rPr>
        <w:t>相应费用</w:t>
      </w:r>
      <w:r>
        <w:rPr>
          <w:rFonts w:ascii="宋体" w:hAnsi="宋体"/>
          <w:sz w:val="24"/>
          <w:lang w:bidi="zh-CN"/>
        </w:rPr>
        <w:t>，</w:t>
      </w:r>
      <w:r>
        <w:rPr>
          <w:rFonts w:hint="eastAsia" w:ascii="宋体" w:hAnsi="宋体"/>
          <w:sz w:val="24"/>
        </w:rPr>
        <w:t>后期申请</w:t>
      </w:r>
      <w:r>
        <w:rPr>
          <w:rFonts w:ascii="宋体" w:hAnsi="宋体"/>
          <w:sz w:val="24"/>
        </w:rPr>
        <w:t>相关款项</w:t>
      </w:r>
      <w:r>
        <w:rPr>
          <w:rFonts w:ascii="宋体" w:hAnsi="宋体"/>
          <w:sz w:val="24"/>
          <w:lang w:bidi="zh-CN"/>
        </w:rPr>
        <w:t>支付时，我司会对付款申请、发票、流程、合同等依据进行审核，严格把控，确保资金支付合理、合规。</w:t>
      </w:r>
    </w:p>
    <w:p>
      <w:pPr>
        <w:spacing w:before="156" w:beforeLines="50" w:after="156" w:afterLines="50" w:line="360" w:lineRule="auto"/>
        <w:outlineLvl w:val="1"/>
        <w:rPr>
          <w:rFonts w:ascii="宋体" w:hAnsi="宋体"/>
          <w:b/>
          <w:bCs/>
          <w:sz w:val="24"/>
          <w:lang w:bidi="zh-CN"/>
        </w:rPr>
      </w:pPr>
      <w:bookmarkStart w:id="14" w:name="_Toc3616"/>
      <w:bookmarkStart w:id="15" w:name="_Toc3534"/>
      <w:r>
        <w:rPr>
          <w:rFonts w:hint="eastAsia" w:ascii="宋体" w:hAnsi="宋体"/>
          <w:b/>
          <w:bCs/>
          <w:sz w:val="24"/>
          <w:lang w:bidi="zh-CN"/>
        </w:rPr>
        <w:t>（三）管理费用资金支出计划说明</w:t>
      </w:r>
      <w:bookmarkEnd w:id="14"/>
      <w:bookmarkEnd w:id="15"/>
    </w:p>
    <w:p>
      <w:pPr>
        <w:spacing w:before="156" w:beforeLines="50" w:after="156" w:afterLines="50" w:line="360" w:lineRule="auto"/>
        <w:ind w:firstLine="480" w:firstLineChars="200"/>
        <w:rPr>
          <w:rFonts w:ascii="宋体" w:hAnsi="宋体"/>
          <w:bCs/>
          <w:sz w:val="24"/>
          <w:lang w:bidi="zh-CN"/>
        </w:rPr>
      </w:pPr>
      <w:r>
        <w:rPr>
          <w:rFonts w:hint="eastAsia" w:ascii="宋体" w:hAnsi="宋体"/>
          <w:bCs/>
          <w:color w:val="000000"/>
          <w:sz w:val="24"/>
          <w:lang w:bidi="zh-CN"/>
        </w:rPr>
        <w:t>项目公司在0</w:t>
      </w:r>
      <w:r>
        <w:rPr>
          <w:rFonts w:hint="eastAsia" w:ascii="宋体" w:hAnsi="宋体"/>
          <w:bCs/>
          <w:color w:val="000000"/>
          <w:sz w:val="24"/>
          <w:lang w:val="en-US" w:bidi="zh-CN"/>
        </w:rPr>
        <w:t>7</w:t>
      </w:r>
      <w:r>
        <w:rPr>
          <w:rFonts w:hint="eastAsia" w:ascii="宋体" w:hAnsi="宋体"/>
          <w:bCs/>
          <w:color w:val="000000"/>
          <w:sz w:val="24"/>
          <w:lang w:bidi="zh-CN"/>
        </w:rPr>
        <w:t>月</w:t>
      </w:r>
      <w:r>
        <w:rPr>
          <w:rFonts w:hint="eastAsia" w:ascii="宋体" w:hAnsi="宋体"/>
          <w:bCs/>
          <w:sz w:val="24"/>
          <w:lang w:bidi="zh-CN"/>
        </w:rPr>
        <w:t>的管理费用支出共1</w:t>
      </w:r>
      <w:r>
        <w:rPr>
          <w:rFonts w:hint="eastAsia" w:ascii="宋体" w:hAnsi="宋体"/>
          <w:bCs/>
          <w:sz w:val="24"/>
          <w:lang w:val="en-US" w:bidi="zh-CN"/>
        </w:rPr>
        <w:t>3</w:t>
      </w:r>
      <w:r>
        <w:rPr>
          <w:rFonts w:hint="eastAsia" w:ascii="宋体" w:hAnsi="宋体"/>
          <w:bCs/>
          <w:sz w:val="24"/>
          <w:lang w:bidi="zh-CN"/>
        </w:rPr>
        <w:t>笔，共计1,7</w:t>
      </w:r>
      <w:r>
        <w:rPr>
          <w:rFonts w:hint="eastAsia" w:ascii="宋体" w:hAnsi="宋体"/>
          <w:bCs/>
          <w:sz w:val="24"/>
          <w:lang w:val="en-US" w:bidi="zh-CN"/>
        </w:rPr>
        <w:t>39.37</w:t>
      </w:r>
      <w:r>
        <w:rPr>
          <w:rFonts w:hint="eastAsia" w:ascii="宋体" w:hAnsi="宋体"/>
          <w:bCs/>
          <w:sz w:val="24"/>
          <w:lang w:bidi="zh-CN"/>
        </w:rPr>
        <w:t>万元，包括月度招待费、水电物管及其他日常行政费用，具体分析如下：</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月度员工社保预计支付2.30万元；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月度员工医保预计支付1.30万元；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月度员工住房公积金预计支付1.80万元；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月度员工工资预计支付16万元；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月度员工福利预计支付3.50万元；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月度招待费在预计支付7.00万元；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月度水电物管费用0.40万元；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其他日常行政费用共计1.50万元；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计提2020年7月-2021年12月管理费1,671.18万元。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bidi="zh-CN"/>
        </w:rPr>
        <w:t>月度印花税支付1.</w:t>
      </w:r>
      <w:r>
        <w:rPr>
          <w:rFonts w:hint="eastAsia" w:ascii="宋体" w:hAnsi="宋体"/>
          <w:bCs/>
          <w:color w:val="000000"/>
          <w:sz w:val="24"/>
          <w:lang w:val="en-US" w:bidi="zh-CN"/>
        </w:rPr>
        <w:t>82</w:t>
      </w:r>
      <w:r>
        <w:rPr>
          <w:rFonts w:hint="eastAsia" w:ascii="宋体" w:hAnsi="宋体"/>
          <w:bCs/>
          <w:color w:val="000000"/>
          <w:sz w:val="24"/>
          <w:lang w:bidi="zh-CN"/>
        </w:rPr>
        <w:t>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val="en-US" w:bidi="zh-CN"/>
        </w:rPr>
        <w:t>城镇土地使用税季度预计需缴纳8.53万元；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val="en-US" w:bidi="zh-CN"/>
        </w:rPr>
        <w:t>夏季防洪费19.57万元；</w:t>
      </w:r>
    </w:p>
    <w:p>
      <w:pPr>
        <w:pStyle w:val="22"/>
        <w:numPr>
          <w:ilvl w:val="0"/>
          <w:numId w:val="5"/>
        </w:numPr>
        <w:spacing w:before="156" w:beforeLines="50" w:after="156" w:afterLines="50" w:line="360" w:lineRule="auto"/>
        <w:ind w:firstLineChars="0"/>
        <w:rPr>
          <w:rFonts w:ascii="宋体" w:hAnsi="宋体"/>
          <w:bCs/>
          <w:color w:val="000000"/>
          <w:sz w:val="24"/>
          <w:lang w:bidi="zh-CN"/>
        </w:rPr>
      </w:pPr>
      <w:r>
        <w:rPr>
          <w:rFonts w:hint="eastAsia" w:ascii="宋体" w:hAnsi="宋体"/>
          <w:bCs/>
          <w:color w:val="000000"/>
          <w:sz w:val="24"/>
          <w:lang w:val="en-US" w:bidi="zh-CN"/>
        </w:rPr>
        <w:t>房产税季度预计需缴纳4.47万元。</w:t>
      </w:r>
    </w:p>
    <w:p>
      <w:pPr>
        <w:spacing w:before="156" w:beforeLines="50" w:after="156" w:afterLines="50" w:line="360" w:lineRule="auto"/>
        <w:ind w:firstLine="480" w:firstLineChars="200"/>
        <w:rPr>
          <w:rFonts w:ascii="宋体" w:hAnsi="宋体"/>
          <w:bCs/>
          <w:color w:val="000000"/>
          <w:sz w:val="24"/>
          <w:lang w:bidi="zh-CN"/>
        </w:rPr>
      </w:pPr>
      <w:r>
        <w:rPr>
          <w:rFonts w:ascii="宋体" w:hAnsi="宋体"/>
          <w:sz w:val="24"/>
          <w:lang w:bidi="zh-CN"/>
        </w:rPr>
        <w:t>经审核，我司认为</w:t>
      </w:r>
      <w:r>
        <w:rPr>
          <w:rFonts w:hint="eastAsia" w:ascii="宋体" w:hAnsi="宋体"/>
          <w:sz w:val="24"/>
          <w:lang w:bidi="zh-CN"/>
        </w:rPr>
        <w:t>项目公司0</w:t>
      </w:r>
      <w:r>
        <w:rPr>
          <w:rFonts w:hint="eastAsia" w:ascii="宋体" w:hAnsi="宋体"/>
          <w:sz w:val="24"/>
          <w:lang w:val="en-US" w:bidi="zh-CN"/>
        </w:rPr>
        <w:t>7</w:t>
      </w:r>
      <w:r>
        <w:rPr>
          <w:rFonts w:hint="eastAsia" w:ascii="宋体" w:hAnsi="宋体"/>
          <w:sz w:val="24"/>
          <w:lang w:bidi="zh-CN"/>
        </w:rPr>
        <w:t>月份的管理费用资金支出计划表编制基本合理，公司的办公室房租及水电物管的支出符合企业情况，</w:t>
      </w:r>
      <w:r>
        <w:rPr>
          <w:rFonts w:hint="eastAsia" w:ascii="宋体" w:hAnsi="宋体"/>
          <w:sz w:val="24"/>
        </w:rPr>
        <w:t>后期申请</w:t>
      </w:r>
      <w:r>
        <w:rPr>
          <w:rFonts w:ascii="宋体" w:hAnsi="宋体"/>
          <w:sz w:val="24"/>
        </w:rPr>
        <w:t>相关款项</w:t>
      </w:r>
      <w:r>
        <w:rPr>
          <w:rFonts w:ascii="宋体" w:hAnsi="宋体"/>
          <w:sz w:val="24"/>
          <w:lang w:bidi="zh-CN"/>
        </w:rPr>
        <w:t>支付时，我司会对付款申请、发票、流程、合同等依据进行审核，严格把控，确保资金支付合理、合规。</w:t>
      </w:r>
    </w:p>
    <w:p>
      <w:pPr>
        <w:numPr>
          <w:ilvl w:val="0"/>
          <w:numId w:val="6"/>
        </w:numPr>
        <w:spacing w:before="156" w:beforeLines="50" w:after="156" w:afterLines="50" w:line="360" w:lineRule="auto"/>
        <w:outlineLvl w:val="1"/>
        <w:rPr>
          <w:rFonts w:ascii="宋体" w:hAnsi="宋体"/>
          <w:b/>
          <w:bCs/>
          <w:sz w:val="24"/>
          <w:lang w:bidi="zh-CN"/>
        </w:rPr>
      </w:pPr>
      <w:bookmarkStart w:id="16" w:name="_Toc1695"/>
      <w:bookmarkStart w:id="17" w:name="_Toc5353"/>
      <w:r>
        <w:rPr>
          <w:rFonts w:hint="eastAsia" w:ascii="宋体" w:hAnsi="宋体"/>
          <w:b/>
          <w:bCs/>
          <w:sz w:val="24"/>
          <w:lang w:bidi="zh-CN"/>
        </w:rPr>
        <w:t>税金预估支出计划说明</w:t>
      </w:r>
      <w:bookmarkEnd w:id="16"/>
      <w:bookmarkEnd w:id="17"/>
    </w:p>
    <w:p>
      <w:pPr>
        <w:pStyle w:val="22"/>
        <w:numPr>
          <w:ilvl w:val="0"/>
          <w:numId w:val="7"/>
        </w:numPr>
        <w:spacing w:before="156" w:beforeLines="50" w:after="156" w:afterLines="50" w:line="360" w:lineRule="auto"/>
        <w:ind w:left="420" w:firstLine="0" w:firstLineChars="0"/>
        <w:jc w:val="left"/>
        <w:rPr>
          <w:rFonts w:ascii="宋体" w:hAnsi="宋体"/>
          <w:bCs/>
          <w:color w:val="000000"/>
          <w:sz w:val="24"/>
          <w:lang w:bidi="zh-CN"/>
        </w:rPr>
      </w:pPr>
      <w:r>
        <w:rPr>
          <w:rFonts w:hint="eastAsia" w:ascii="宋体" w:hAnsi="宋体"/>
          <w:bCs/>
          <w:color w:val="000000"/>
          <w:sz w:val="24"/>
          <w:lang w:bidi="zh-CN"/>
        </w:rPr>
        <w:t>营业税金及附加月度预计需缴纳</w:t>
      </w:r>
      <w:r>
        <w:rPr>
          <w:rFonts w:hint="eastAsia" w:ascii="宋体" w:hAnsi="宋体"/>
          <w:bCs/>
          <w:color w:val="000000"/>
          <w:sz w:val="24"/>
          <w:lang w:val="en-US" w:bidi="zh-CN"/>
        </w:rPr>
        <w:t>120.31</w:t>
      </w:r>
      <w:r>
        <w:rPr>
          <w:rFonts w:hint="eastAsia" w:ascii="宋体" w:hAnsi="宋体"/>
          <w:bCs/>
          <w:color w:val="000000"/>
          <w:sz w:val="24"/>
          <w:lang w:bidi="zh-CN"/>
        </w:rPr>
        <w:t>万元；</w:t>
      </w:r>
    </w:p>
    <w:p>
      <w:pPr>
        <w:pStyle w:val="22"/>
        <w:numPr>
          <w:ilvl w:val="0"/>
          <w:numId w:val="7"/>
        </w:numPr>
        <w:spacing w:before="156" w:beforeLines="50" w:after="156" w:afterLines="50" w:line="360" w:lineRule="auto"/>
        <w:ind w:left="420" w:firstLine="0" w:firstLineChars="0"/>
        <w:rPr>
          <w:rFonts w:ascii="宋体" w:hAnsi="宋体"/>
          <w:bCs/>
          <w:color w:val="000000"/>
          <w:sz w:val="24"/>
          <w:lang w:bidi="zh-CN"/>
        </w:rPr>
      </w:pPr>
      <w:r>
        <w:rPr>
          <w:rFonts w:hint="eastAsia" w:ascii="宋体" w:hAnsi="宋体"/>
          <w:bCs/>
          <w:color w:val="000000"/>
          <w:sz w:val="24"/>
          <w:lang w:bidi="zh-CN"/>
        </w:rPr>
        <w:t>土地增值税月度预计需缴纳</w:t>
      </w:r>
      <w:r>
        <w:rPr>
          <w:rFonts w:hint="eastAsia" w:ascii="宋体" w:hAnsi="宋体"/>
          <w:bCs/>
          <w:color w:val="000000"/>
          <w:sz w:val="24"/>
          <w:lang w:val="en-US" w:bidi="zh-CN"/>
        </w:rPr>
        <w:t>72.92</w:t>
      </w:r>
      <w:r>
        <w:rPr>
          <w:rFonts w:hint="eastAsia" w:ascii="宋体" w:hAnsi="宋体"/>
          <w:bCs/>
          <w:color w:val="000000"/>
          <w:sz w:val="24"/>
          <w:lang w:bidi="zh-CN"/>
        </w:rPr>
        <w:t>万元；</w:t>
      </w:r>
    </w:p>
    <w:p>
      <w:pPr>
        <w:pStyle w:val="22"/>
        <w:numPr>
          <w:ilvl w:val="0"/>
          <w:numId w:val="7"/>
        </w:numPr>
        <w:spacing w:before="156" w:beforeLines="50" w:after="156" w:afterLines="50" w:line="360" w:lineRule="auto"/>
        <w:ind w:left="420" w:firstLine="0" w:firstLineChars="0"/>
        <w:rPr>
          <w:rFonts w:ascii="宋体" w:hAnsi="宋体"/>
          <w:bCs/>
          <w:color w:val="000000"/>
          <w:sz w:val="24"/>
          <w:lang w:bidi="zh-CN"/>
        </w:rPr>
      </w:pPr>
      <w:r>
        <w:rPr>
          <w:rFonts w:hint="eastAsia" w:ascii="宋体" w:hAnsi="宋体"/>
          <w:bCs/>
          <w:color w:val="000000"/>
          <w:sz w:val="24"/>
          <w:lang w:val="en-US" w:bidi="zh-CN"/>
        </w:rPr>
        <w:t>企业所得税634.16万元；</w:t>
      </w:r>
    </w:p>
    <w:p>
      <w:pPr>
        <w:spacing w:before="156" w:beforeLines="50" w:after="156" w:afterLines="50" w:line="360" w:lineRule="auto"/>
        <w:outlineLvl w:val="1"/>
        <w:rPr>
          <w:rFonts w:ascii="宋体" w:hAnsi="宋体"/>
          <w:b/>
          <w:bCs/>
          <w:sz w:val="24"/>
          <w:lang w:bidi="zh-CN"/>
        </w:rPr>
      </w:pPr>
      <w:bookmarkStart w:id="18" w:name="_Toc4559"/>
      <w:bookmarkStart w:id="19" w:name="_Toc17231"/>
      <w:r>
        <w:rPr>
          <w:rFonts w:hint="eastAsia" w:ascii="宋体" w:hAnsi="宋体"/>
          <w:b/>
          <w:bCs/>
          <w:sz w:val="24"/>
          <w:lang w:bidi="zh-CN"/>
        </w:rPr>
        <w:t>（五）不可预见费用资金支出计划说明</w:t>
      </w:r>
      <w:bookmarkEnd w:id="18"/>
      <w:bookmarkEnd w:id="19"/>
    </w:p>
    <w:p>
      <w:pPr>
        <w:spacing w:before="156" w:beforeLines="50" w:after="156" w:afterLines="50" w:line="360" w:lineRule="auto"/>
        <w:ind w:firstLine="480" w:firstLineChars="200"/>
        <w:rPr>
          <w:rFonts w:ascii="宋体" w:hAnsi="宋体"/>
          <w:sz w:val="24"/>
        </w:rPr>
      </w:pPr>
      <w:r>
        <w:rPr>
          <w:rFonts w:hint="eastAsia" w:ascii="宋体" w:hAnsi="宋体"/>
          <w:sz w:val="24"/>
          <w:lang w:bidi="zh-CN"/>
        </w:rPr>
        <w:t>项目公司在0</w:t>
      </w:r>
      <w:r>
        <w:rPr>
          <w:rFonts w:hint="eastAsia" w:ascii="宋体" w:hAnsi="宋体"/>
          <w:sz w:val="24"/>
          <w:lang w:val="en-US" w:bidi="zh-CN"/>
        </w:rPr>
        <w:t>7</w:t>
      </w:r>
      <w:r>
        <w:rPr>
          <w:rFonts w:hint="eastAsia" w:ascii="宋体" w:hAnsi="宋体"/>
          <w:sz w:val="24"/>
          <w:lang w:bidi="zh-CN"/>
        </w:rPr>
        <w:t>月份的不可预见费用为</w:t>
      </w:r>
      <w:r>
        <w:rPr>
          <w:rFonts w:hint="eastAsia" w:ascii="宋体" w:hAnsi="宋体"/>
          <w:sz w:val="24"/>
          <w:lang w:val="en-US" w:bidi="zh-CN"/>
        </w:rPr>
        <w:t>300</w:t>
      </w:r>
      <w:r>
        <w:rPr>
          <w:rFonts w:hint="eastAsia" w:ascii="宋体" w:hAnsi="宋体"/>
          <w:sz w:val="24"/>
          <w:lang w:bidi="zh-CN"/>
        </w:rPr>
        <w:t>.00万元，以备一些不可预测的资金支付。</w:t>
      </w:r>
    </w:p>
    <w:p>
      <w:pPr>
        <w:numPr>
          <w:ilvl w:val="0"/>
          <w:numId w:val="1"/>
        </w:numPr>
        <w:spacing w:before="156" w:beforeLines="50" w:after="156" w:afterLines="50"/>
        <w:ind w:firstLine="120" w:firstLineChars="50"/>
        <w:outlineLvl w:val="0"/>
        <w:rPr>
          <w:rFonts w:ascii="宋体" w:hAnsi="宋体"/>
          <w:b/>
          <w:sz w:val="24"/>
          <w:lang w:bidi="zh-CN"/>
        </w:rPr>
      </w:pPr>
      <w:bookmarkStart w:id="20" w:name="_Toc5607"/>
      <w:bookmarkStart w:id="21" w:name="_Toc24361"/>
      <w:r>
        <w:rPr>
          <w:rFonts w:ascii="宋体" w:hAnsi="宋体"/>
          <w:b/>
          <w:sz w:val="24"/>
          <w:lang w:bidi="zh-CN"/>
        </w:rPr>
        <w:t>结论：</w:t>
      </w:r>
      <w:bookmarkEnd w:id="20"/>
      <w:bookmarkEnd w:id="21"/>
    </w:p>
    <w:p>
      <w:pPr>
        <w:pStyle w:val="22"/>
        <w:spacing w:before="156" w:beforeLines="50" w:after="156" w:afterLines="50" w:line="360" w:lineRule="auto"/>
        <w:ind w:firstLine="480"/>
        <w:rPr>
          <w:rFonts w:ascii="宋体" w:hAnsi="宋体"/>
          <w:sz w:val="24"/>
          <w:lang w:bidi="zh-CN"/>
        </w:rPr>
      </w:pPr>
      <w:r>
        <w:rPr>
          <w:rFonts w:hint="eastAsia" w:ascii="宋体" w:hAnsi="宋体"/>
          <w:sz w:val="24"/>
        </w:rPr>
        <w:t>项目公司本次提交的2022年0</w:t>
      </w:r>
      <w:r>
        <w:rPr>
          <w:rFonts w:hint="eastAsia" w:ascii="宋体" w:hAnsi="宋体"/>
          <w:sz w:val="24"/>
          <w:lang w:val="en-US" w:eastAsia="zh-CN"/>
        </w:rPr>
        <w:t>7</w:t>
      </w:r>
      <w:r>
        <w:rPr>
          <w:rFonts w:hint="eastAsia" w:ascii="宋体" w:hAnsi="宋体"/>
          <w:sz w:val="24"/>
        </w:rPr>
        <w:t>月资金计划按款项类别分类，</w:t>
      </w:r>
      <w:r>
        <w:rPr>
          <w:rFonts w:ascii="宋体" w:hAnsi="宋体"/>
          <w:bCs/>
          <w:color w:val="000000"/>
          <w:sz w:val="24"/>
          <w:lang w:bidi="zh-CN"/>
        </w:rPr>
        <w:t>分类信息明确，直观，费用明细与现场实际情况基本吻合</w:t>
      </w:r>
      <w:r>
        <w:rPr>
          <w:rFonts w:hint="eastAsia" w:ascii="宋体" w:hAnsi="宋体"/>
          <w:bCs/>
          <w:color w:val="000000"/>
          <w:sz w:val="24"/>
          <w:lang w:bidi="zh-CN"/>
        </w:rPr>
        <w:t>。涉及的合同及付款与开发节奏匹配，部分付款时间较之现金流预测表略有调整。由于部分合同在提交预算时未签订属正常情况，</w:t>
      </w:r>
      <w:r>
        <w:rPr>
          <w:rFonts w:hint="eastAsia" w:ascii="宋体" w:hAnsi="宋体"/>
          <w:sz w:val="24"/>
          <w:lang w:bidi="zh-CN"/>
        </w:rPr>
        <w:t>后期我司会对合同签订严格把控。实际支付时，我司会对付款申请、发票、流程、合同、现场签证等依据进行审核、计算，根据实际申请情况审核付款的合理性、合规性。</w:t>
      </w:r>
    </w:p>
    <w:p>
      <w:pPr>
        <w:spacing w:before="156" w:beforeLines="50" w:after="156" w:afterLines="50" w:line="360" w:lineRule="auto"/>
        <w:ind w:firstLine="480" w:firstLineChars="200"/>
        <w:rPr>
          <w:rFonts w:ascii="宋体" w:hAnsi="宋体"/>
          <w:sz w:val="24"/>
          <w:lang w:bidi="zh-CN"/>
        </w:rPr>
      </w:pPr>
      <w:r>
        <w:rPr>
          <w:rFonts w:hint="eastAsia" w:ascii="宋体" w:hAnsi="宋体"/>
          <w:bCs/>
          <w:sz w:val="24"/>
          <w:lang w:bidi="zh-CN"/>
        </w:rPr>
        <w:t>我司拟同意项目公司2022年0</w:t>
      </w:r>
      <w:r>
        <w:rPr>
          <w:rFonts w:hint="eastAsia" w:ascii="宋体" w:hAnsi="宋体"/>
          <w:bCs/>
          <w:sz w:val="24"/>
          <w:lang w:val="en-US" w:bidi="zh-CN"/>
        </w:rPr>
        <w:t>7</w:t>
      </w:r>
      <w:r>
        <w:rPr>
          <w:rFonts w:hint="eastAsia" w:ascii="宋体" w:hAnsi="宋体"/>
          <w:bCs/>
          <w:sz w:val="24"/>
          <w:lang w:bidi="zh-CN"/>
        </w:rPr>
        <w:t>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rPr>
      </w:pPr>
    </w:p>
    <w:p>
      <w:pPr>
        <w:spacing w:line="360" w:lineRule="auto"/>
        <w:ind w:firstLine="5060" w:firstLineChars="2100"/>
        <w:outlineLvl w:val="0"/>
        <w:rPr>
          <w:rFonts w:ascii="宋体" w:hAnsi="宋体"/>
          <w:b/>
          <w:color w:val="000000"/>
          <w:sz w:val="24"/>
          <w:lang w:bidi="zh-CN"/>
        </w:rPr>
      </w:pPr>
      <w:r>
        <w:rPr>
          <w:rFonts w:hint="eastAsia" w:ascii="宋体" w:hAnsi="宋体"/>
          <w:b/>
          <w:color w:val="000000"/>
          <w:sz w:val="24"/>
          <w:lang w:bidi="zh-CN"/>
        </w:rPr>
        <w:t xml:space="preserve">       </w:t>
      </w:r>
      <w:bookmarkStart w:id="22" w:name="_Toc19860"/>
      <w:bookmarkStart w:id="23" w:name="_Toc32743"/>
      <w:r>
        <w:rPr>
          <w:rFonts w:hint="eastAsia" w:ascii="宋体" w:hAnsi="宋体"/>
          <w:b/>
          <w:color w:val="000000"/>
          <w:sz w:val="24"/>
          <w:lang w:bidi="zh-CN"/>
        </w:rPr>
        <w:t>北京康信君安资产管理有限公司</w:t>
      </w:r>
      <w:bookmarkEnd w:id="22"/>
      <w:bookmarkEnd w:id="23"/>
    </w:p>
    <w:p>
      <w:pPr>
        <w:spacing w:before="156" w:beforeLines="50" w:line="360" w:lineRule="auto"/>
        <w:ind w:left="420" w:leftChars="200" w:firstLine="482" w:firstLineChars="200"/>
        <w:outlineLvl w:val="0"/>
      </w:pPr>
      <w:r>
        <w:rPr>
          <w:rFonts w:hint="eastAsia" w:ascii="宋体" w:hAnsi="宋体"/>
          <w:b/>
          <w:color w:val="000000"/>
          <w:sz w:val="24"/>
          <w:lang w:bidi="zh-CN"/>
        </w:rPr>
        <w:t xml:space="preserve">                                              </w:t>
      </w:r>
      <w:r>
        <w:rPr>
          <w:rFonts w:hint="eastAsia" w:ascii="宋体" w:hAnsi="宋体"/>
          <w:b/>
          <w:bCs/>
          <w:color w:val="000000"/>
          <w:sz w:val="24"/>
          <w:lang w:bidi="zh-CN"/>
        </w:rPr>
        <w:t xml:space="preserve"> </w:t>
      </w:r>
      <w:bookmarkStart w:id="24" w:name="_Toc17526"/>
      <w:bookmarkStart w:id="25" w:name="_Toc31706"/>
      <w:r>
        <w:rPr>
          <w:rFonts w:hint="eastAsia" w:ascii="宋体" w:hAnsi="宋体"/>
          <w:b/>
          <w:bCs/>
          <w:color w:val="000000"/>
          <w:sz w:val="24"/>
          <w:lang w:bidi="zh-CN"/>
        </w:rPr>
        <w:t>20</w:t>
      </w:r>
      <w:r>
        <w:rPr>
          <w:rFonts w:ascii="宋体" w:hAnsi="宋体"/>
          <w:b/>
          <w:bCs/>
          <w:color w:val="000000"/>
          <w:sz w:val="24"/>
          <w:lang w:bidi="zh-CN"/>
        </w:rPr>
        <w:t>2</w:t>
      </w:r>
      <w:r>
        <w:rPr>
          <w:rFonts w:hint="eastAsia" w:ascii="宋体" w:hAnsi="宋体"/>
          <w:b/>
          <w:bCs/>
          <w:color w:val="000000"/>
          <w:sz w:val="24"/>
          <w:lang w:bidi="zh-CN"/>
        </w:rPr>
        <w:t>2年0</w:t>
      </w:r>
      <w:r>
        <w:rPr>
          <w:rFonts w:hint="eastAsia" w:ascii="宋体" w:hAnsi="宋体"/>
          <w:b/>
          <w:bCs/>
          <w:color w:val="000000"/>
          <w:sz w:val="24"/>
          <w:lang w:val="en-US" w:bidi="zh-CN"/>
        </w:rPr>
        <w:t>6</w:t>
      </w:r>
      <w:r>
        <w:rPr>
          <w:rFonts w:ascii="宋体" w:hAnsi="宋体"/>
          <w:b/>
          <w:bCs/>
          <w:color w:val="000000"/>
          <w:sz w:val="24"/>
          <w:lang w:bidi="zh-CN"/>
        </w:rPr>
        <w:t>月</w:t>
      </w:r>
      <w:r>
        <w:rPr>
          <w:rFonts w:hint="eastAsia" w:ascii="宋体" w:hAnsi="宋体"/>
          <w:b/>
          <w:bCs/>
          <w:color w:val="000000"/>
          <w:sz w:val="24"/>
          <w:lang w:bidi="zh-CN"/>
        </w:rPr>
        <w:t>2</w:t>
      </w:r>
      <w:r>
        <w:rPr>
          <w:rFonts w:hint="eastAsia" w:ascii="宋体" w:hAnsi="宋体"/>
          <w:b/>
          <w:bCs/>
          <w:color w:val="000000"/>
          <w:sz w:val="24"/>
          <w:lang w:val="en-US" w:bidi="zh-CN"/>
        </w:rPr>
        <w:t>8</w:t>
      </w:r>
      <w:r>
        <w:rPr>
          <w:rFonts w:ascii="宋体" w:hAnsi="宋体"/>
          <w:b/>
          <w:bCs/>
          <w:color w:val="000000"/>
          <w:sz w:val="24"/>
          <w:lang w:bidi="zh-CN"/>
        </w:rPr>
        <w:t>日</w:t>
      </w:r>
      <w:bookmarkEnd w:id="24"/>
      <w:bookmarkEnd w:id="25"/>
    </w:p>
    <w:sectPr>
      <w:headerReference r:id="rId3" w:type="default"/>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1781782"/>
                          </w:sdtPr>
                          <w:sdtContent>
                            <w:p>
                              <w:pPr>
                                <w:pStyle w:val="6"/>
                                <w:jc w:val="center"/>
                              </w:pPr>
                              <w:r>
                                <w:fldChar w:fldCharType="begin"/>
                              </w:r>
                              <w:r>
                                <w:instrText xml:space="preserve">PAGE   \* MERGEFORMAT</w:instrText>
                              </w:r>
                              <w:r>
                                <w:fldChar w:fldCharType="separate"/>
                              </w:r>
                              <w:r>
                                <w:rPr>
                                  <w:lang w:val="zh-CN"/>
                                </w:rPr>
                                <w:t>-</w:t>
                              </w:r>
                              <w:r>
                                <w:t xml:space="preserve"> 25 -</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861781782"/>
                    </w:sdtPr>
                    <w:sdtContent>
                      <w:p>
                        <w:pPr>
                          <w:pStyle w:val="6"/>
                          <w:jc w:val="center"/>
                        </w:pPr>
                        <w:r>
                          <w:fldChar w:fldCharType="begin"/>
                        </w:r>
                        <w:r>
                          <w:instrText xml:space="preserve">PAGE   \* MERGEFORMAT</w:instrText>
                        </w:r>
                        <w:r>
                          <w:fldChar w:fldCharType="separate"/>
                        </w:r>
                        <w:r>
                          <w:rPr>
                            <w:lang w:val="zh-CN"/>
                          </w:rPr>
                          <w:t>-</w:t>
                        </w:r>
                        <w:r>
                          <w:t xml:space="preserve"> 25 -</w:t>
                        </w:r>
                        <w:r>
                          <w:fldChar w:fldCharType="end"/>
                        </w:r>
                      </w:p>
                    </w:sdtContent>
                  </w:sdt>
                  <w:p>
                    <w:pPr>
                      <w:pStyle w:val="2"/>
                    </w:pP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300"/>
      <w:jc w:val="right"/>
      <w:rPr>
        <w:rFonts w:ascii="黑体" w:hAnsi="黑体" w:eastAsia="黑体"/>
        <w:b/>
        <w:bCs/>
        <w:color w:val="A78458"/>
      </w:rPr>
    </w:pPr>
    <w:r>
      <w:rPr>
        <w:rFonts w:ascii="黑体" w:hAnsi="黑体" w:eastAsia="黑体"/>
        <w:color w:val="A78458"/>
        <w:sz w:val="15"/>
        <w:szCs w:val="15"/>
      </w:rPr>
      <w:drawing>
        <wp:anchor distT="0" distB="0" distL="114300" distR="114300" simplePos="0" relativeHeight="251659264" behindDoc="0" locked="0" layoutInCell="1" allowOverlap="1">
          <wp:simplePos x="0" y="0"/>
          <wp:positionH relativeFrom="column">
            <wp:posOffset>6350</wp:posOffset>
          </wp:positionH>
          <wp:positionV relativeFrom="paragraph">
            <wp:posOffset>-69215</wp:posOffset>
          </wp:positionV>
          <wp:extent cx="1330325" cy="433705"/>
          <wp:effectExtent l="0" t="0" r="3810" b="444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0037" cy="433951"/>
                  </a:xfrm>
                  <a:prstGeom prst="rect">
                    <a:avLst/>
                  </a:prstGeom>
                </pic:spPr>
              </pic:pic>
            </a:graphicData>
          </a:graphic>
        </wp:anchor>
      </w:drawing>
    </w:r>
    <w:r>
      <w:rPr>
        <w:rFonts w:hint="eastAsia" w:ascii="黑体" w:hAnsi="黑体" w:eastAsia="黑体"/>
        <w:b/>
        <w:bCs/>
        <w:color w:val="A78458"/>
      </w:rPr>
      <w:t>北京康信君安资产管理有限公司</w:t>
    </w:r>
  </w:p>
  <w:p>
    <w:pPr>
      <w:pStyle w:val="7"/>
      <w:pBdr>
        <w:top w:val="none" w:color="auto" w:sz="0" w:space="0"/>
        <w:left w:val="none" w:color="auto" w:sz="0" w:space="0"/>
        <w:bottom w:val="single" w:color="auto" w:sz="4" w:space="1"/>
        <w:right w:val="none" w:color="auto" w:sz="0" w:space="0"/>
      </w:pBdr>
      <w:ind w:firstLine="300"/>
      <w:jc w:val="right"/>
      <w:rPr>
        <w:rFonts w:ascii="黑体" w:hAnsi="黑体" w:eastAsia="黑体"/>
        <w:color w:val="767171" w:themeColor="background2" w:themeShade="80"/>
        <w:sz w:val="15"/>
        <w:szCs w:val="15"/>
      </w:rPr>
    </w:pPr>
    <w:r>
      <w:rPr>
        <w:rFonts w:hint="eastAsia" w:ascii="黑体" w:hAnsi="黑体" w:eastAsia="黑体"/>
        <w:color w:val="767171" w:themeColor="background2" w:themeShade="80"/>
        <w:sz w:val="15"/>
        <w:szCs w:val="15"/>
      </w:rPr>
      <w:t>地址:北京市朝阳区裕民路</w:t>
    </w:r>
    <w:r>
      <w:rPr>
        <w:rFonts w:ascii="黑体" w:hAnsi="黑体" w:eastAsia="黑体"/>
        <w:color w:val="767171" w:themeColor="background2" w:themeShade="80"/>
        <w:sz w:val="15"/>
        <w:szCs w:val="15"/>
      </w:rPr>
      <w:t>12号中国国际科技会展中心A座1601</w:t>
    </w:r>
  </w:p>
  <w:p>
    <w:pPr>
      <w:pStyle w:val="7"/>
      <w:pBdr>
        <w:top w:val="none" w:color="auto" w:sz="0" w:space="0"/>
        <w:left w:val="none" w:color="auto" w:sz="0" w:space="0"/>
        <w:bottom w:val="single" w:color="auto" w:sz="4" w:space="1"/>
        <w:right w:val="none" w:color="auto" w:sz="0" w:space="0"/>
      </w:pBdr>
      <w:ind w:firstLine="300"/>
      <w:jc w:val="right"/>
      <w:rPr>
        <w:rFonts w:ascii="黑体" w:hAnsi="黑体" w:eastAsia="黑体"/>
        <w:color w:val="595959" w:themeColor="text1" w:themeTint="A6"/>
        <w:sz w:val="15"/>
        <w:szCs w:val="15"/>
        <w14:textFill>
          <w14:solidFill>
            <w14:schemeClr w14:val="tx1">
              <w14:lumMod w14:val="65000"/>
              <w14:lumOff w14:val="35000"/>
            </w14:schemeClr>
          </w14:solidFill>
        </w14:textFill>
      </w:rPr>
    </w:pPr>
    <w:r>
      <w:rPr>
        <w:rFonts w:hint="eastAsia" w:ascii="黑体" w:hAnsi="黑体" w:eastAsia="黑体"/>
        <w:color w:val="767171" w:themeColor="background2" w:themeShade="80"/>
        <w:sz w:val="15"/>
        <w:szCs w:val="15"/>
      </w:rPr>
      <w:t>电话:</w:t>
    </w:r>
    <w:r>
      <w:rPr>
        <w:rFonts w:ascii="黑体" w:hAnsi="黑体" w:eastAsia="黑体"/>
        <w:color w:val="767171" w:themeColor="background2" w:themeShade="80"/>
        <w:sz w:val="15"/>
        <w:szCs w:val="15"/>
      </w:rPr>
      <w:t>010-50911878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C178F"/>
    <w:multiLevelType w:val="singleLevel"/>
    <w:tmpl w:val="C77C178F"/>
    <w:lvl w:ilvl="0" w:tentative="0">
      <w:start w:val="1"/>
      <w:numFmt w:val="chineseCounting"/>
      <w:suff w:val="nothing"/>
      <w:lvlText w:val="（%1）"/>
      <w:lvlJc w:val="left"/>
      <w:pPr>
        <w:ind w:left="0" w:firstLine="420"/>
      </w:pPr>
      <w:rPr>
        <w:rFonts w:hint="eastAsia"/>
        <w:sz w:val="28"/>
        <w:szCs w:val="28"/>
      </w:rPr>
    </w:lvl>
  </w:abstractNum>
  <w:abstractNum w:abstractNumId="1">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4C624E7"/>
    <w:multiLevelType w:val="multilevel"/>
    <w:tmpl w:val="14C624E7"/>
    <w:lvl w:ilvl="0" w:tentative="0">
      <w:start w:val="1"/>
      <w:numFmt w:val="decimal"/>
      <w:lvlText w:val="（%1）"/>
      <w:lvlJc w:val="left"/>
      <w:pPr>
        <w:ind w:left="114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5288DA"/>
    <w:multiLevelType w:val="singleLevel"/>
    <w:tmpl w:val="1F5288DA"/>
    <w:lvl w:ilvl="0" w:tentative="0">
      <w:start w:val="1"/>
      <w:numFmt w:val="chineseCounting"/>
      <w:suff w:val="nothing"/>
      <w:lvlText w:val="%1、"/>
      <w:lvlJc w:val="left"/>
      <w:rPr>
        <w:rFonts w:hint="eastAsia" w:ascii="宋体" w:hAnsi="宋体" w:eastAsia="宋体" w:cs="宋体"/>
        <w:sz w:val="32"/>
        <w:szCs w:val="32"/>
      </w:rPr>
    </w:lvl>
  </w:abstractNum>
  <w:abstractNum w:abstractNumId="4">
    <w:nsid w:val="43768D9D"/>
    <w:multiLevelType w:val="multilevel"/>
    <w:tmpl w:val="43768D9D"/>
    <w:lvl w:ilvl="0" w:tentative="0">
      <w:start w:val="1"/>
      <w:numFmt w:val="decimal"/>
      <w:lvlText w:val="（%1）"/>
      <w:lvlJc w:val="left"/>
      <w:pPr>
        <w:ind w:left="1200" w:hanging="7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6B48C5E"/>
    <w:multiLevelType w:val="singleLevel"/>
    <w:tmpl w:val="56B48C5E"/>
    <w:lvl w:ilvl="0" w:tentative="0">
      <w:start w:val="1"/>
      <w:numFmt w:val="decimal"/>
      <w:suff w:val="nothing"/>
      <w:lvlText w:val="（%1）"/>
      <w:lvlJc w:val="left"/>
    </w:lvl>
  </w:abstractNum>
  <w:abstractNum w:abstractNumId="6">
    <w:nsid w:val="64A19CB2"/>
    <w:multiLevelType w:val="singleLevel"/>
    <w:tmpl w:val="64A19CB2"/>
    <w:lvl w:ilvl="0" w:tentative="0">
      <w:start w:val="4"/>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Y2NDgwODExMzgxNTY1N2I1ZDBjYzY3MWZhZGEifQ=="/>
  </w:docVars>
  <w:rsids>
    <w:rsidRoot w:val="00D01690"/>
    <w:rsid w:val="0029527F"/>
    <w:rsid w:val="002B2D4C"/>
    <w:rsid w:val="003355D6"/>
    <w:rsid w:val="00433B96"/>
    <w:rsid w:val="004E1D35"/>
    <w:rsid w:val="005566F8"/>
    <w:rsid w:val="005F0392"/>
    <w:rsid w:val="00746756"/>
    <w:rsid w:val="00763806"/>
    <w:rsid w:val="00842F4B"/>
    <w:rsid w:val="008E2185"/>
    <w:rsid w:val="00940531"/>
    <w:rsid w:val="00A017CC"/>
    <w:rsid w:val="00A258E0"/>
    <w:rsid w:val="00A82C1D"/>
    <w:rsid w:val="00C35648"/>
    <w:rsid w:val="00C77376"/>
    <w:rsid w:val="00CA27AB"/>
    <w:rsid w:val="00D01690"/>
    <w:rsid w:val="05F97A30"/>
    <w:rsid w:val="07126477"/>
    <w:rsid w:val="08141675"/>
    <w:rsid w:val="0847383B"/>
    <w:rsid w:val="091340A7"/>
    <w:rsid w:val="093E47A2"/>
    <w:rsid w:val="097A4477"/>
    <w:rsid w:val="0A0B50CF"/>
    <w:rsid w:val="0BDA5797"/>
    <w:rsid w:val="0CB201CD"/>
    <w:rsid w:val="0E016BC7"/>
    <w:rsid w:val="0E22536A"/>
    <w:rsid w:val="0FC91486"/>
    <w:rsid w:val="10E04816"/>
    <w:rsid w:val="11880FFF"/>
    <w:rsid w:val="11D31D5B"/>
    <w:rsid w:val="14902184"/>
    <w:rsid w:val="15BC4477"/>
    <w:rsid w:val="18025BF1"/>
    <w:rsid w:val="186E33F9"/>
    <w:rsid w:val="1B681380"/>
    <w:rsid w:val="1DE310E6"/>
    <w:rsid w:val="1E4E1D03"/>
    <w:rsid w:val="1E7C6661"/>
    <w:rsid w:val="1EDD4E34"/>
    <w:rsid w:val="21832138"/>
    <w:rsid w:val="22327245"/>
    <w:rsid w:val="22790CE3"/>
    <w:rsid w:val="23765DE6"/>
    <w:rsid w:val="27991F5D"/>
    <w:rsid w:val="2D6D483C"/>
    <w:rsid w:val="2EAE53A4"/>
    <w:rsid w:val="2F505B12"/>
    <w:rsid w:val="3196072A"/>
    <w:rsid w:val="322F1668"/>
    <w:rsid w:val="350E464D"/>
    <w:rsid w:val="3712780C"/>
    <w:rsid w:val="39C22251"/>
    <w:rsid w:val="3A306308"/>
    <w:rsid w:val="3A5A6577"/>
    <w:rsid w:val="3C074E47"/>
    <w:rsid w:val="3C94492D"/>
    <w:rsid w:val="3CE15486"/>
    <w:rsid w:val="3CFE3BE2"/>
    <w:rsid w:val="3D413EAB"/>
    <w:rsid w:val="3DAD7B9D"/>
    <w:rsid w:val="419D3E09"/>
    <w:rsid w:val="420E0483"/>
    <w:rsid w:val="439F47EC"/>
    <w:rsid w:val="46FE4014"/>
    <w:rsid w:val="47FE35A2"/>
    <w:rsid w:val="48616B66"/>
    <w:rsid w:val="49405B79"/>
    <w:rsid w:val="497F4AD1"/>
    <w:rsid w:val="4A8C39A9"/>
    <w:rsid w:val="4BEE3AC9"/>
    <w:rsid w:val="4DB66E34"/>
    <w:rsid w:val="4E167C2A"/>
    <w:rsid w:val="4E3E62B7"/>
    <w:rsid w:val="4F056388"/>
    <w:rsid w:val="4FEE03A0"/>
    <w:rsid w:val="50C728B2"/>
    <w:rsid w:val="530423A0"/>
    <w:rsid w:val="53E321CD"/>
    <w:rsid w:val="53E7132C"/>
    <w:rsid w:val="53FD6633"/>
    <w:rsid w:val="5414526A"/>
    <w:rsid w:val="550B72FE"/>
    <w:rsid w:val="5589744D"/>
    <w:rsid w:val="58EE3776"/>
    <w:rsid w:val="59311521"/>
    <w:rsid w:val="5A211720"/>
    <w:rsid w:val="5A4F7CC0"/>
    <w:rsid w:val="5BB44790"/>
    <w:rsid w:val="5BC82FB7"/>
    <w:rsid w:val="5C0F7E69"/>
    <w:rsid w:val="5C130510"/>
    <w:rsid w:val="5CD73CC6"/>
    <w:rsid w:val="5CDE2B80"/>
    <w:rsid w:val="5D1071C5"/>
    <w:rsid w:val="5DD42013"/>
    <w:rsid w:val="5EA66BEA"/>
    <w:rsid w:val="5F9A7BFD"/>
    <w:rsid w:val="61397396"/>
    <w:rsid w:val="623B1F9B"/>
    <w:rsid w:val="66BC2537"/>
    <w:rsid w:val="67F74C4B"/>
    <w:rsid w:val="68782486"/>
    <w:rsid w:val="69EA564E"/>
    <w:rsid w:val="6B4E4EAE"/>
    <w:rsid w:val="6C4443B0"/>
    <w:rsid w:val="6C9217CC"/>
    <w:rsid w:val="6CD13996"/>
    <w:rsid w:val="6CF65C69"/>
    <w:rsid w:val="6D4403BB"/>
    <w:rsid w:val="71291AE7"/>
    <w:rsid w:val="714005CA"/>
    <w:rsid w:val="71922E29"/>
    <w:rsid w:val="722C55EC"/>
    <w:rsid w:val="72B32C22"/>
    <w:rsid w:val="73AC0C0E"/>
    <w:rsid w:val="73D56FFD"/>
    <w:rsid w:val="747A4884"/>
    <w:rsid w:val="75202B6D"/>
    <w:rsid w:val="75284761"/>
    <w:rsid w:val="762069DE"/>
    <w:rsid w:val="77DE0212"/>
    <w:rsid w:val="780F2D90"/>
    <w:rsid w:val="796C21B2"/>
    <w:rsid w:val="7A622557"/>
    <w:rsid w:val="7B3336DA"/>
    <w:rsid w:val="7B6202DE"/>
    <w:rsid w:val="7C0A4F59"/>
    <w:rsid w:val="7DD81BC4"/>
    <w:rsid w:val="7E0C0FF9"/>
    <w:rsid w:val="7E22523F"/>
    <w:rsid w:val="7E441CE9"/>
    <w:rsid w:val="7E746CAF"/>
    <w:rsid w:val="7EFB50CD"/>
    <w:rsid w:val="7FC2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rFonts w:eastAsia="仿宋_GB2312"/>
      <w:b/>
      <w:kern w:val="44"/>
      <w:sz w:val="32"/>
      <w:szCs w:val="2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annotation text"/>
    <w:basedOn w:val="1"/>
    <w:link w:val="26"/>
    <w:unhideWhenUsed/>
    <w:qFormat/>
    <w:uiPriority w:val="0"/>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spacing w:after="100" w:line="276" w:lineRule="auto"/>
    </w:pPr>
    <w:rPr>
      <w:sz w:val="22"/>
      <w:szCs w:val="22"/>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27"/>
    <w:qFormat/>
    <w:uiPriority w:val="0"/>
    <w:pPr>
      <w:jc w:val="left"/>
    </w:pPr>
    <w:rPr>
      <w:b/>
      <w:bCs/>
    </w:rPr>
  </w:style>
  <w:style w:type="paragraph" w:styleId="11">
    <w:name w:val="Body Text First Indent"/>
    <w:basedOn w:val="5"/>
    <w:qFormat/>
    <w:uiPriority w:val="0"/>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basedOn w:val="14"/>
    <w:unhideWhenUsed/>
    <w:qFormat/>
    <w:uiPriority w:val="0"/>
    <w:rPr>
      <w:sz w:val="21"/>
      <w:szCs w:val="21"/>
    </w:rPr>
  </w:style>
  <w:style w:type="character" w:customStyle="1" w:styleId="17">
    <w:name w:val="页眉 字符"/>
    <w:basedOn w:val="14"/>
    <w:link w:val="7"/>
    <w:qFormat/>
    <w:uiPriority w:val="99"/>
    <w:rPr>
      <w:rFonts w:ascii="Calibri" w:hAnsi="Calibri"/>
      <w:kern w:val="2"/>
      <w:sz w:val="18"/>
      <w:szCs w:val="24"/>
    </w:rPr>
  </w:style>
  <w:style w:type="character" w:customStyle="1" w:styleId="18">
    <w:name w:val="font11"/>
    <w:basedOn w:val="14"/>
    <w:qFormat/>
    <w:uiPriority w:val="0"/>
    <w:rPr>
      <w:rFonts w:hint="eastAsia" w:ascii="宋体" w:hAnsi="宋体" w:eastAsia="宋体" w:cs="宋体"/>
      <w:color w:val="000000"/>
      <w:sz w:val="24"/>
      <w:szCs w:val="24"/>
      <w:u w:val="none"/>
    </w:rPr>
  </w:style>
  <w:style w:type="character" w:customStyle="1" w:styleId="19">
    <w:name w:val="font51"/>
    <w:basedOn w:val="14"/>
    <w:qFormat/>
    <w:uiPriority w:val="0"/>
    <w:rPr>
      <w:rFonts w:ascii="Arial" w:hAnsi="Arial" w:cs="Arial"/>
      <w:b/>
      <w:color w:val="000000"/>
      <w:sz w:val="18"/>
      <w:szCs w:val="18"/>
      <w:u w:val="none"/>
    </w:rPr>
  </w:style>
  <w:style w:type="character" w:customStyle="1" w:styleId="20">
    <w:name w:val="font31"/>
    <w:basedOn w:val="14"/>
    <w:qFormat/>
    <w:uiPriority w:val="0"/>
    <w:rPr>
      <w:rFonts w:hint="eastAsia" w:ascii="宋体" w:hAnsi="宋体" w:eastAsia="宋体" w:cs="宋体"/>
      <w:color w:val="C55911"/>
      <w:sz w:val="18"/>
      <w:szCs w:val="18"/>
      <w:u w:val="none"/>
    </w:rPr>
  </w:style>
  <w:style w:type="paragraph" w:customStyle="1" w:styleId="21">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Cs w:val="32"/>
    </w:rPr>
  </w:style>
  <w:style w:type="paragraph" w:styleId="22">
    <w:name w:val="List Paragraph"/>
    <w:basedOn w:val="1"/>
    <w:qFormat/>
    <w:uiPriority w:val="99"/>
    <w:pPr>
      <w:ind w:firstLine="420" w:firstLineChars="20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Revision"/>
    <w:hidden/>
    <w:semiHidden/>
    <w:qFormat/>
    <w:uiPriority w:val="99"/>
    <w:rPr>
      <w:rFonts w:ascii="Calibri" w:hAnsi="Calibri" w:eastAsia="宋体" w:cs="Times New Roman"/>
      <w:kern w:val="2"/>
      <w:sz w:val="21"/>
      <w:szCs w:val="24"/>
      <w:lang w:val="en-US" w:eastAsia="zh-CN" w:bidi="ar-SA"/>
    </w:rPr>
  </w:style>
  <w:style w:type="character" w:customStyle="1" w:styleId="26">
    <w:name w:val="批注文字 字符"/>
    <w:basedOn w:val="14"/>
    <w:link w:val="4"/>
    <w:qFormat/>
    <w:uiPriority w:val="0"/>
    <w:rPr>
      <w:rFonts w:ascii="Calibri" w:hAnsi="Calibri"/>
      <w:kern w:val="2"/>
      <w:sz w:val="21"/>
      <w:szCs w:val="24"/>
    </w:rPr>
  </w:style>
  <w:style w:type="character" w:customStyle="1" w:styleId="27">
    <w:name w:val="批注主题 字符"/>
    <w:basedOn w:val="26"/>
    <w:link w:val="10"/>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3160F-4727-4822-9A7E-F5AB81B2EECD}">
  <ds:schemaRefs/>
</ds:datastoreItem>
</file>

<file path=docProps/app.xml><?xml version="1.0" encoding="utf-8"?>
<Properties xmlns="http://schemas.openxmlformats.org/officeDocument/2006/extended-properties" xmlns:vt="http://schemas.openxmlformats.org/officeDocument/2006/docPropsVTypes">
  <Template>Normal</Template>
  <Manager>Abu设计</Manager>
  <Company>Abu设计</Company>
  <Pages>11</Pages>
  <Words>7602</Words>
  <Characters>8494</Characters>
  <Lines>75</Lines>
  <Paragraphs>21</Paragraphs>
  <TotalTime>9</TotalTime>
  <ScaleCrop>false</ScaleCrop>
  <LinksUpToDate>false</LinksUpToDate>
  <CharactersWithSpaces>8608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紫色三色堇</cp:lastModifiedBy>
  <cp:lastPrinted>2022-04-27T01:39:00Z</cp:lastPrinted>
  <dcterms:modified xsi:type="dcterms:W3CDTF">2022-06-28T09:15:15Z</dcterms:modified>
  <dc:subject>信纸</dc:subject>
  <dc:title>信纸-Abu设计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E624EB2009E74D638FC9B65F30CF3CEA</vt:lpwstr>
  </property>
</Properties>
</file>