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F60" w:rsidRPr="009F3829" w:rsidRDefault="00437B3B" w:rsidP="009F382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共同申请</w:t>
      </w:r>
      <w:r w:rsidR="009F3829" w:rsidRPr="009F3829">
        <w:rPr>
          <w:rFonts w:hint="eastAsia"/>
          <w:b/>
          <w:sz w:val="32"/>
          <w:szCs w:val="32"/>
        </w:rPr>
        <w:t>说明函</w:t>
      </w:r>
    </w:p>
    <w:p w:rsidR="00EF33E7" w:rsidRPr="009F3829" w:rsidRDefault="00EF6B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中诚</w:t>
      </w:r>
      <w:r w:rsidR="009F3829" w:rsidRPr="009F3829">
        <w:rPr>
          <w:rFonts w:hint="eastAsia"/>
          <w:sz w:val="28"/>
          <w:szCs w:val="28"/>
        </w:rPr>
        <w:t>信托有限</w:t>
      </w:r>
      <w:r>
        <w:rPr>
          <w:rFonts w:hint="eastAsia"/>
          <w:sz w:val="28"/>
          <w:szCs w:val="28"/>
        </w:rPr>
        <w:t>责任</w:t>
      </w:r>
      <w:r w:rsidR="009F3829" w:rsidRPr="009F3829">
        <w:rPr>
          <w:rFonts w:hint="eastAsia"/>
          <w:sz w:val="28"/>
          <w:szCs w:val="28"/>
        </w:rPr>
        <w:t>公司</w:t>
      </w:r>
      <w:r w:rsidR="009F3829">
        <w:rPr>
          <w:rFonts w:hint="eastAsia"/>
          <w:sz w:val="28"/>
          <w:szCs w:val="28"/>
        </w:rPr>
        <w:t>：</w:t>
      </w:r>
    </w:p>
    <w:p w:rsidR="00437B3B" w:rsidRDefault="009F3829" w:rsidP="007D2EAE">
      <w:pPr>
        <w:ind w:firstLineChars="200" w:firstLine="560"/>
        <w:rPr>
          <w:rFonts w:hint="eastAsia"/>
          <w:sz w:val="28"/>
          <w:szCs w:val="28"/>
        </w:rPr>
      </w:pPr>
      <w:r w:rsidRPr="009F3829">
        <w:rPr>
          <w:rFonts w:hint="eastAsia"/>
          <w:sz w:val="28"/>
          <w:szCs w:val="28"/>
        </w:rPr>
        <w:t>北京康正宏基房地产评估有限公司</w:t>
      </w:r>
      <w:r w:rsidR="00EF6BB5">
        <w:rPr>
          <w:rFonts w:hint="eastAsia"/>
          <w:sz w:val="28"/>
          <w:szCs w:val="28"/>
        </w:rPr>
        <w:t>于</w:t>
      </w:r>
      <w:r w:rsidR="00EF6BB5">
        <w:rPr>
          <w:rFonts w:hint="eastAsia"/>
          <w:sz w:val="28"/>
          <w:szCs w:val="28"/>
        </w:rPr>
        <w:t>1993</w:t>
      </w:r>
      <w:r w:rsidR="00EF6BB5">
        <w:rPr>
          <w:rFonts w:hint="eastAsia"/>
          <w:sz w:val="28"/>
          <w:szCs w:val="28"/>
        </w:rPr>
        <w:t>年成立，</w:t>
      </w:r>
      <w:r>
        <w:rPr>
          <w:rFonts w:hint="eastAsia"/>
          <w:sz w:val="28"/>
          <w:szCs w:val="28"/>
        </w:rPr>
        <w:t>在</w:t>
      </w:r>
      <w:r w:rsidR="007D2EAE">
        <w:rPr>
          <w:rFonts w:hint="eastAsia"/>
          <w:sz w:val="28"/>
          <w:szCs w:val="28"/>
        </w:rPr>
        <w:t>26</w:t>
      </w:r>
      <w:r w:rsidR="007D2EAE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评估专业领域高质量发展的同时，</w:t>
      </w:r>
      <w:r w:rsidRPr="009F3829">
        <w:rPr>
          <w:rFonts w:hint="eastAsia"/>
          <w:sz w:val="28"/>
          <w:szCs w:val="28"/>
        </w:rPr>
        <w:t>不</w:t>
      </w:r>
      <w:r w:rsidR="007D2EAE">
        <w:rPr>
          <w:rFonts w:hint="eastAsia"/>
          <w:sz w:val="28"/>
          <w:szCs w:val="28"/>
        </w:rPr>
        <w:t>断寻求创新与突破</w:t>
      </w:r>
      <w:r w:rsidRPr="009F3829">
        <w:rPr>
          <w:rFonts w:hint="eastAsia"/>
          <w:sz w:val="28"/>
          <w:szCs w:val="28"/>
        </w:rPr>
        <w:t>。</w:t>
      </w:r>
      <w:r w:rsidR="007D2EAE">
        <w:rPr>
          <w:rFonts w:hint="eastAsia"/>
          <w:sz w:val="28"/>
          <w:szCs w:val="28"/>
        </w:rPr>
        <w:t>公司</w:t>
      </w:r>
      <w:r w:rsidR="00EF6BB5">
        <w:rPr>
          <w:rFonts w:hint="eastAsia"/>
          <w:sz w:val="28"/>
          <w:szCs w:val="28"/>
        </w:rPr>
        <w:t>于</w:t>
      </w:r>
      <w:r w:rsidR="00EF6BB5" w:rsidRPr="00EF6BB5">
        <w:rPr>
          <w:rFonts w:hint="eastAsia"/>
          <w:sz w:val="28"/>
          <w:szCs w:val="28"/>
        </w:rPr>
        <w:t>2009</w:t>
      </w:r>
      <w:r w:rsidR="00EF6BB5" w:rsidRPr="00EF6BB5">
        <w:rPr>
          <w:rFonts w:hint="eastAsia"/>
          <w:sz w:val="28"/>
          <w:szCs w:val="28"/>
        </w:rPr>
        <w:t>年</w:t>
      </w:r>
      <w:r w:rsidR="00EF6BB5">
        <w:rPr>
          <w:rFonts w:hint="eastAsia"/>
          <w:sz w:val="28"/>
          <w:szCs w:val="28"/>
        </w:rPr>
        <w:t>成立</w:t>
      </w:r>
      <w:proofErr w:type="gramStart"/>
      <w:r w:rsidR="00EF6BB5" w:rsidRPr="00EF6BB5">
        <w:rPr>
          <w:rFonts w:hint="eastAsia"/>
          <w:sz w:val="28"/>
          <w:szCs w:val="28"/>
        </w:rPr>
        <w:t>北京康正国际</w:t>
      </w:r>
      <w:proofErr w:type="gramEnd"/>
      <w:r w:rsidR="00EF6BB5" w:rsidRPr="00EF6BB5">
        <w:rPr>
          <w:rFonts w:hint="eastAsia"/>
          <w:sz w:val="28"/>
          <w:szCs w:val="28"/>
        </w:rPr>
        <w:t>资产评估有限公司，主要从事无形资产评估、企业改组、并购等资产评估类</w:t>
      </w:r>
      <w:proofErr w:type="gramStart"/>
      <w:r w:rsidR="00EF6BB5" w:rsidRPr="00EF6BB5">
        <w:rPr>
          <w:rFonts w:hint="eastAsia"/>
          <w:sz w:val="28"/>
          <w:szCs w:val="28"/>
        </w:rPr>
        <w:t>业务</w:t>
      </w:r>
      <w:r w:rsidR="00EF6BB5">
        <w:rPr>
          <w:rFonts w:hint="eastAsia"/>
          <w:sz w:val="28"/>
          <w:szCs w:val="28"/>
        </w:rPr>
        <w:t>及投后</w:t>
      </w:r>
      <w:proofErr w:type="gramEnd"/>
      <w:r w:rsidR="00EF6BB5">
        <w:rPr>
          <w:rFonts w:hint="eastAsia"/>
          <w:sz w:val="28"/>
          <w:szCs w:val="28"/>
        </w:rPr>
        <w:t>管理服务；公司</w:t>
      </w:r>
      <w:r w:rsidR="007D2EAE">
        <w:rPr>
          <w:rFonts w:hint="eastAsia"/>
          <w:sz w:val="28"/>
          <w:szCs w:val="28"/>
        </w:rPr>
        <w:t>于</w:t>
      </w:r>
      <w:r w:rsidR="007D2EAE" w:rsidRPr="009F3829">
        <w:rPr>
          <w:rFonts w:hint="eastAsia"/>
          <w:sz w:val="28"/>
          <w:szCs w:val="28"/>
        </w:rPr>
        <w:t>2012</w:t>
      </w:r>
      <w:r w:rsidR="007D2EAE" w:rsidRPr="009F3829">
        <w:rPr>
          <w:rFonts w:hint="eastAsia"/>
          <w:sz w:val="28"/>
          <w:szCs w:val="28"/>
        </w:rPr>
        <w:t>年成立投后管理事业部，为信托</w:t>
      </w:r>
      <w:r w:rsidR="00BE6C7D">
        <w:rPr>
          <w:rFonts w:hint="eastAsia"/>
          <w:sz w:val="28"/>
          <w:szCs w:val="28"/>
        </w:rPr>
        <w:t>机构</w:t>
      </w:r>
      <w:r w:rsidR="007D2EAE" w:rsidRPr="009F3829">
        <w:rPr>
          <w:rFonts w:hint="eastAsia"/>
          <w:sz w:val="28"/>
          <w:szCs w:val="28"/>
        </w:rPr>
        <w:t>提供投后管理、建设工程项目管理</w:t>
      </w:r>
      <w:r w:rsidR="00EF6BB5">
        <w:rPr>
          <w:rFonts w:hint="eastAsia"/>
          <w:sz w:val="28"/>
          <w:szCs w:val="28"/>
        </w:rPr>
        <w:t>、</w:t>
      </w:r>
      <w:r w:rsidR="007D2EAE" w:rsidRPr="009F3829">
        <w:rPr>
          <w:rFonts w:hint="eastAsia"/>
          <w:sz w:val="28"/>
          <w:szCs w:val="28"/>
        </w:rPr>
        <w:t>投资管理等相关服务；</w:t>
      </w:r>
      <w:r w:rsidR="007D2EAE">
        <w:rPr>
          <w:rFonts w:hint="eastAsia"/>
          <w:sz w:val="28"/>
          <w:szCs w:val="28"/>
        </w:rPr>
        <w:t>于</w:t>
      </w:r>
      <w:r w:rsidR="007D2EAE" w:rsidRPr="009F3829">
        <w:rPr>
          <w:rFonts w:hint="eastAsia"/>
          <w:sz w:val="28"/>
          <w:szCs w:val="28"/>
        </w:rPr>
        <w:t>2015</w:t>
      </w:r>
      <w:r w:rsidR="007D2EAE" w:rsidRPr="009F3829">
        <w:rPr>
          <w:rFonts w:hint="eastAsia"/>
          <w:sz w:val="28"/>
          <w:szCs w:val="28"/>
        </w:rPr>
        <w:t>年成立北京康信君安资产管理有限公司，专门从事投后管理、尽职调查、风险评估与排查、咨询策划、投融资</w:t>
      </w:r>
      <w:r w:rsidR="00BE6C7D">
        <w:rPr>
          <w:rFonts w:hint="eastAsia"/>
          <w:sz w:val="28"/>
          <w:szCs w:val="28"/>
        </w:rPr>
        <w:t>顾问、资产管理等业务</w:t>
      </w:r>
      <w:r w:rsidR="00EF6BB5">
        <w:rPr>
          <w:rFonts w:hint="eastAsia"/>
          <w:sz w:val="28"/>
          <w:szCs w:val="28"/>
        </w:rPr>
        <w:t>。</w:t>
      </w:r>
      <w:bookmarkStart w:id="0" w:name="_GoBack"/>
      <w:bookmarkEnd w:id="0"/>
    </w:p>
    <w:p w:rsidR="007456AB" w:rsidRDefault="007456AB" w:rsidP="007456AB">
      <w:pPr>
        <w:ind w:firstLineChars="200" w:firstLine="56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公司架构图</w:t>
      </w:r>
    </w:p>
    <w:p w:rsidR="007456AB" w:rsidRDefault="007456AB" w:rsidP="007456AB">
      <w:pPr>
        <w:ind w:firstLineChars="200" w:firstLine="56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3B6D863">
            <wp:extent cx="5111455" cy="37034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806" cy="37051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2EAE" w:rsidRDefault="00EF6BB5" w:rsidP="007D2EA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目前，我们三家公司拥有</w:t>
      </w:r>
      <w:r w:rsidRPr="00EF6BB5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7</w:t>
      </w:r>
      <w:r w:rsidRPr="00EF6BB5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余</w:t>
      </w:r>
      <w:r w:rsidRPr="00EF6BB5">
        <w:rPr>
          <w:rFonts w:hint="eastAsia"/>
          <w:sz w:val="28"/>
          <w:szCs w:val="28"/>
        </w:rPr>
        <w:t>名专业人员，</w:t>
      </w:r>
      <w:r w:rsidRPr="00EF6BB5">
        <w:rPr>
          <w:rFonts w:hint="eastAsia"/>
          <w:sz w:val="28"/>
          <w:szCs w:val="28"/>
        </w:rPr>
        <w:t xml:space="preserve"> </w:t>
      </w:r>
      <w:r w:rsidRPr="00EF6BB5">
        <w:rPr>
          <w:rFonts w:hint="eastAsia"/>
          <w:sz w:val="28"/>
          <w:szCs w:val="28"/>
        </w:rPr>
        <w:t>能够在全国范围内从事各种类型的房地产评估业务</w:t>
      </w:r>
      <w:r>
        <w:rPr>
          <w:rFonts w:hint="eastAsia"/>
          <w:sz w:val="28"/>
          <w:szCs w:val="28"/>
        </w:rPr>
        <w:t>、资产评估业务以及投后管理业务。</w:t>
      </w:r>
      <w:r w:rsidR="007D2EAE">
        <w:rPr>
          <w:rFonts w:hint="eastAsia"/>
          <w:sz w:val="28"/>
          <w:szCs w:val="28"/>
        </w:rPr>
        <w:lastRenderedPageBreak/>
        <w:t>迄今投后管理项目已覆盖全国大部分</w:t>
      </w:r>
      <w:proofErr w:type="gramStart"/>
      <w:r w:rsidR="00437B3B">
        <w:rPr>
          <w:rFonts w:hint="eastAsia"/>
          <w:sz w:val="28"/>
          <w:szCs w:val="28"/>
        </w:rPr>
        <w:t>一</w:t>
      </w:r>
      <w:proofErr w:type="gramEnd"/>
      <w:r w:rsidR="00437B3B">
        <w:rPr>
          <w:rFonts w:hint="eastAsia"/>
          <w:sz w:val="28"/>
          <w:szCs w:val="28"/>
        </w:rPr>
        <w:t>二线城市及重点城市，</w:t>
      </w:r>
      <w:r w:rsidR="007D2EAE">
        <w:rPr>
          <w:rFonts w:hint="eastAsia"/>
          <w:sz w:val="28"/>
          <w:szCs w:val="28"/>
        </w:rPr>
        <w:t>信托资金管理规模</w:t>
      </w:r>
      <w:r w:rsidR="007D2EAE">
        <w:rPr>
          <w:rFonts w:hint="eastAsia"/>
          <w:sz w:val="28"/>
          <w:szCs w:val="28"/>
        </w:rPr>
        <w:t>300</w:t>
      </w:r>
      <w:r w:rsidR="007D2EAE">
        <w:rPr>
          <w:rFonts w:hint="eastAsia"/>
          <w:sz w:val="28"/>
          <w:szCs w:val="28"/>
        </w:rPr>
        <w:t>亿元，</w:t>
      </w:r>
      <w:r w:rsidR="007D2EAE" w:rsidRPr="009F3829">
        <w:rPr>
          <w:rFonts w:hint="eastAsia"/>
          <w:sz w:val="28"/>
          <w:szCs w:val="28"/>
        </w:rPr>
        <w:t>资产管理规模已突破</w:t>
      </w:r>
      <w:r>
        <w:rPr>
          <w:rFonts w:hint="eastAsia"/>
          <w:sz w:val="28"/>
          <w:szCs w:val="28"/>
        </w:rPr>
        <w:t>8</w:t>
      </w:r>
      <w:r w:rsidR="007D2EAE" w:rsidRPr="009F3829">
        <w:rPr>
          <w:rFonts w:hint="eastAsia"/>
          <w:sz w:val="28"/>
          <w:szCs w:val="28"/>
        </w:rPr>
        <w:t>00</w:t>
      </w:r>
      <w:r w:rsidR="007D2EAE" w:rsidRPr="009F3829">
        <w:rPr>
          <w:rFonts w:hint="eastAsia"/>
          <w:sz w:val="28"/>
          <w:szCs w:val="28"/>
        </w:rPr>
        <w:t>亿</w:t>
      </w:r>
      <w:r>
        <w:rPr>
          <w:rFonts w:hint="eastAsia"/>
          <w:sz w:val="28"/>
          <w:szCs w:val="28"/>
        </w:rPr>
        <w:t>元</w:t>
      </w:r>
      <w:r w:rsidR="007456AB">
        <w:rPr>
          <w:rFonts w:hint="eastAsia"/>
          <w:sz w:val="28"/>
          <w:szCs w:val="28"/>
        </w:rPr>
        <w:t>，</w:t>
      </w:r>
      <w:r w:rsidR="007456AB" w:rsidRPr="007456AB">
        <w:rPr>
          <w:rFonts w:hint="eastAsia"/>
          <w:sz w:val="28"/>
          <w:szCs w:val="28"/>
        </w:rPr>
        <w:t>其中信托业务占比</w:t>
      </w:r>
      <w:r w:rsidR="007456AB" w:rsidRPr="007456AB">
        <w:rPr>
          <w:rFonts w:hint="eastAsia"/>
          <w:sz w:val="28"/>
          <w:szCs w:val="28"/>
        </w:rPr>
        <w:t>85%</w:t>
      </w:r>
      <w:r w:rsidR="007456AB" w:rsidRPr="007456AB">
        <w:rPr>
          <w:rFonts w:hint="eastAsia"/>
          <w:sz w:val="28"/>
          <w:szCs w:val="28"/>
        </w:rPr>
        <w:t>以上，其他为基金业务，已成为最优秀第三方监管机构之一。</w:t>
      </w:r>
    </w:p>
    <w:p w:rsidR="009F3829" w:rsidRDefault="00437B3B" w:rsidP="007D2EA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我们三家</w:t>
      </w:r>
      <w:r w:rsidR="009F3829" w:rsidRPr="009F3829">
        <w:rPr>
          <w:rFonts w:hint="eastAsia"/>
          <w:sz w:val="28"/>
          <w:szCs w:val="28"/>
        </w:rPr>
        <w:t>公司凭借为客户提供</w:t>
      </w:r>
      <w:r>
        <w:rPr>
          <w:rFonts w:hint="eastAsia"/>
          <w:sz w:val="28"/>
          <w:szCs w:val="28"/>
        </w:rPr>
        <w:t>优质</w:t>
      </w:r>
      <w:r w:rsidR="009F3829" w:rsidRPr="009F3829">
        <w:rPr>
          <w:rFonts w:hint="eastAsia"/>
          <w:sz w:val="28"/>
          <w:szCs w:val="28"/>
        </w:rPr>
        <w:t>专业服务的经营理念，</w:t>
      </w:r>
      <w:r w:rsidR="007D2EAE" w:rsidRPr="009F3829">
        <w:rPr>
          <w:rFonts w:hint="eastAsia"/>
          <w:sz w:val="28"/>
          <w:szCs w:val="28"/>
        </w:rPr>
        <w:t>为众多金融机构服务的过程中</w:t>
      </w:r>
      <w:r w:rsidR="007D2EAE">
        <w:rPr>
          <w:rFonts w:hint="eastAsia"/>
          <w:sz w:val="28"/>
          <w:szCs w:val="28"/>
        </w:rPr>
        <w:t>，</w:t>
      </w:r>
      <w:r w:rsidR="009F3829" w:rsidRPr="009F3829">
        <w:rPr>
          <w:rFonts w:hint="eastAsia"/>
          <w:sz w:val="28"/>
          <w:szCs w:val="28"/>
        </w:rPr>
        <w:t>先后</w:t>
      </w:r>
      <w:r>
        <w:rPr>
          <w:rFonts w:hint="eastAsia"/>
          <w:sz w:val="28"/>
          <w:szCs w:val="28"/>
        </w:rPr>
        <w:t>共同</w:t>
      </w:r>
      <w:r w:rsidR="009F3829" w:rsidRPr="009F3829">
        <w:rPr>
          <w:rFonts w:hint="eastAsia"/>
          <w:sz w:val="28"/>
          <w:szCs w:val="28"/>
        </w:rPr>
        <w:t>拓展了包括：投后管理、尽职调查、风险评估与排查、咨询策划、投融资顾问等业务领域。具体包括：投后监管业务；房地产项目尽职调查业务；融资与交易结构设计推介业务；投资退出及税务筹划等业务。</w:t>
      </w:r>
    </w:p>
    <w:p w:rsidR="007D2EAE" w:rsidRDefault="00BE6C7D" w:rsidP="009F382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为了</w:t>
      </w:r>
      <w:r w:rsidR="0032518C">
        <w:rPr>
          <w:rFonts w:hint="eastAsia"/>
          <w:sz w:val="28"/>
          <w:szCs w:val="28"/>
        </w:rPr>
        <w:t>理清业务条线，突出专业分工</w:t>
      </w:r>
      <w:r>
        <w:rPr>
          <w:rFonts w:hint="eastAsia"/>
          <w:sz w:val="28"/>
          <w:szCs w:val="28"/>
        </w:rPr>
        <w:t>，</w:t>
      </w:r>
      <w:r w:rsidR="009F3829"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年公司决定</w:t>
      </w:r>
      <w:r w:rsidR="009F3829">
        <w:rPr>
          <w:rFonts w:hint="eastAsia"/>
          <w:sz w:val="28"/>
          <w:szCs w:val="28"/>
        </w:rPr>
        <w:t>由</w:t>
      </w:r>
      <w:r w:rsidR="007D2EAE">
        <w:rPr>
          <w:rFonts w:hint="eastAsia"/>
          <w:sz w:val="28"/>
          <w:szCs w:val="28"/>
        </w:rPr>
        <w:t>北京康信君安资产管理有限公司作为</w:t>
      </w:r>
      <w:r w:rsidR="00EF33E7" w:rsidRPr="009F3829">
        <w:rPr>
          <w:rFonts w:hint="eastAsia"/>
          <w:sz w:val="28"/>
          <w:szCs w:val="28"/>
        </w:rPr>
        <w:t>专业资产管理平台，</w:t>
      </w:r>
      <w:r w:rsidR="009F3829">
        <w:rPr>
          <w:rFonts w:hint="eastAsia"/>
          <w:sz w:val="28"/>
          <w:szCs w:val="28"/>
        </w:rPr>
        <w:t>统一对外承接：</w:t>
      </w:r>
      <w:r w:rsidR="009F3829" w:rsidRPr="009F3829">
        <w:rPr>
          <w:rFonts w:hint="eastAsia"/>
          <w:sz w:val="28"/>
          <w:szCs w:val="28"/>
        </w:rPr>
        <w:t>投后管理、尽职调查、风险评估与排查、咨询策划、投融资顾问等业务领域。具体包括：投后监管业务；房地产项目尽职调查业务；融资与交易结构设计推介业务；投资退出及税务筹划等</w:t>
      </w:r>
      <w:r w:rsidR="007D2EAE">
        <w:rPr>
          <w:rFonts w:hint="eastAsia"/>
          <w:sz w:val="28"/>
          <w:szCs w:val="28"/>
        </w:rPr>
        <w:t>资产管理</w:t>
      </w:r>
      <w:r w:rsidR="009F3829" w:rsidRPr="009F3829">
        <w:rPr>
          <w:rFonts w:hint="eastAsia"/>
          <w:sz w:val="28"/>
          <w:szCs w:val="28"/>
        </w:rPr>
        <w:t>业务。</w:t>
      </w:r>
    </w:p>
    <w:p w:rsidR="00EF33E7" w:rsidRDefault="007D2EAE" w:rsidP="009F382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特此说明！</w:t>
      </w:r>
    </w:p>
    <w:p w:rsidR="007D2EAE" w:rsidRDefault="007D2EAE" w:rsidP="007D2EAE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北京康正宏基房地产评估有限公司</w:t>
      </w:r>
    </w:p>
    <w:p w:rsidR="00437B3B" w:rsidRDefault="00437B3B" w:rsidP="007D2EAE">
      <w:pPr>
        <w:ind w:firstLineChars="200" w:firstLine="560"/>
        <w:jc w:val="right"/>
        <w:rPr>
          <w:sz w:val="28"/>
          <w:szCs w:val="28"/>
        </w:rPr>
      </w:pPr>
    </w:p>
    <w:p w:rsidR="00437B3B" w:rsidRDefault="00437B3B" w:rsidP="007D2EAE">
      <w:pPr>
        <w:ind w:firstLineChars="200" w:firstLine="560"/>
        <w:jc w:val="right"/>
        <w:rPr>
          <w:sz w:val="28"/>
          <w:szCs w:val="28"/>
        </w:rPr>
      </w:pPr>
    </w:p>
    <w:p w:rsidR="00437B3B" w:rsidRDefault="00437B3B" w:rsidP="007D2EAE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北京康正国际资产评估有限公司</w:t>
      </w:r>
    </w:p>
    <w:p w:rsidR="00437B3B" w:rsidRDefault="00437B3B" w:rsidP="007D2EAE">
      <w:pPr>
        <w:ind w:firstLineChars="200" w:firstLine="560"/>
        <w:jc w:val="right"/>
        <w:rPr>
          <w:sz w:val="28"/>
          <w:szCs w:val="28"/>
        </w:rPr>
      </w:pPr>
    </w:p>
    <w:p w:rsidR="00437B3B" w:rsidRDefault="00437B3B" w:rsidP="007D2EAE">
      <w:pPr>
        <w:ind w:firstLineChars="200" w:firstLine="560"/>
        <w:jc w:val="right"/>
        <w:rPr>
          <w:sz w:val="28"/>
          <w:szCs w:val="28"/>
        </w:rPr>
      </w:pPr>
    </w:p>
    <w:p w:rsidR="00437B3B" w:rsidRPr="00437B3B" w:rsidRDefault="00437B3B" w:rsidP="007D2EAE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北京康信君安资产管理有限公司</w:t>
      </w:r>
    </w:p>
    <w:p w:rsidR="007D2EAE" w:rsidRPr="007D2EAE" w:rsidRDefault="007D2EAE" w:rsidP="007D2EAE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 w:rsidR="00437B3B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 w:rsidR="00437B3B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日</w:t>
      </w:r>
    </w:p>
    <w:sectPr w:rsidR="007D2EAE" w:rsidRPr="007D2EAE" w:rsidSect="00F75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9A2" w:rsidRDefault="00F849A2" w:rsidP="0032518C">
      <w:r>
        <w:separator/>
      </w:r>
    </w:p>
  </w:endnote>
  <w:endnote w:type="continuationSeparator" w:id="0">
    <w:p w:rsidR="00F849A2" w:rsidRDefault="00F849A2" w:rsidP="0032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9A2" w:rsidRDefault="00F849A2" w:rsidP="0032518C">
      <w:r>
        <w:separator/>
      </w:r>
    </w:p>
  </w:footnote>
  <w:footnote w:type="continuationSeparator" w:id="0">
    <w:p w:rsidR="00F849A2" w:rsidRDefault="00F849A2" w:rsidP="00325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33E7"/>
    <w:rsid w:val="00207A47"/>
    <w:rsid w:val="00230207"/>
    <w:rsid w:val="0032518C"/>
    <w:rsid w:val="00437B3B"/>
    <w:rsid w:val="007456AB"/>
    <w:rsid w:val="007D2EAE"/>
    <w:rsid w:val="00845127"/>
    <w:rsid w:val="0088438B"/>
    <w:rsid w:val="008A5F91"/>
    <w:rsid w:val="009F3829"/>
    <w:rsid w:val="00BE6C7D"/>
    <w:rsid w:val="00C73491"/>
    <w:rsid w:val="00DB4F60"/>
    <w:rsid w:val="00EF33E7"/>
    <w:rsid w:val="00EF6BB5"/>
    <w:rsid w:val="00F750FB"/>
    <w:rsid w:val="00F849A2"/>
    <w:rsid w:val="00FC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0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51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51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51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518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56A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56A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113</Words>
  <Characters>645</Characters>
  <Application>Microsoft Office Word</Application>
  <DocSecurity>0</DocSecurity>
  <Lines>5</Lines>
  <Paragraphs>1</Paragraphs>
  <ScaleCrop>false</ScaleCrop>
  <Company>CHINA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2019-05-10T03:28:00Z</dcterms:created>
  <dcterms:modified xsi:type="dcterms:W3CDTF">2019-07-05T02:47:00Z</dcterms:modified>
</cp:coreProperties>
</file>