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hint="eastAsia" w:ascii="宋体" w:hAnsi="宋体" w:eastAsia="宋体" w:cs="仿宋"/>
          <w:bCs/>
          <w:color w:val="000000"/>
          <w:kern w:val="0"/>
          <w:sz w:val="32"/>
          <w:szCs w:val="32"/>
          <w:lang w:val="en-US" w:eastAsia="zh-CN"/>
        </w:rPr>
      </w:pPr>
      <w:r>
        <w:rPr>
          <w:rFonts w:hint="eastAsia" w:ascii="宋体" w:hAnsi="宋体" w:eastAsia="宋体" w:cs="仿宋"/>
          <w:bCs/>
          <w:color w:val="000000"/>
          <w:kern w:val="0"/>
          <w:sz w:val="32"/>
          <w:szCs w:val="32"/>
          <w:lang w:val="en-US" w:eastAsia="zh-CN"/>
        </w:rPr>
        <w:t>重庆佳源名城航空小镇项目施工总承包合同审核说明</w:t>
      </w:r>
    </w:p>
    <w:p>
      <w:pPr>
        <w:spacing w:line="360" w:lineRule="auto"/>
        <w:ind w:firstLine="420" w:firstLineChars="200"/>
        <w:jc w:val="both"/>
        <w:rPr>
          <w:rFonts w:hint="eastAsia" w:cs="仿宋" w:asciiTheme="majorEastAsia" w:hAnsiTheme="majorEastAsia" w:eastAsiaTheme="majorEastAsia"/>
          <w:bCs/>
          <w:color w:val="auto"/>
          <w:kern w:val="0"/>
          <w:sz w:val="21"/>
          <w:szCs w:val="21"/>
          <w:lang w:val="en-US" w:eastAsia="zh-CN"/>
        </w:rPr>
      </w:pPr>
      <w:r>
        <w:rPr>
          <w:rFonts w:hint="eastAsia" w:cs="仿宋" w:asciiTheme="majorEastAsia" w:hAnsiTheme="majorEastAsia" w:eastAsiaTheme="majorEastAsia"/>
          <w:bCs/>
          <w:color w:val="auto"/>
          <w:kern w:val="0"/>
          <w:sz w:val="21"/>
          <w:szCs w:val="21"/>
          <w:lang w:val="en-US" w:eastAsia="zh-CN"/>
        </w:rPr>
        <w:t>我司主要从以下四个方面对该合同进行了审核说明：</w:t>
      </w:r>
    </w:p>
    <w:p>
      <w:pPr>
        <w:numPr>
          <w:ilvl w:val="0"/>
          <w:numId w:val="3"/>
        </w:numPr>
        <w:spacing w:line="360" w:lineRule="auto"/>
        <w:ind w:firstLine="420" w:firstLineChars="200"/>
        <w:jc w:val="both"/>
        <w:rPr>
          <w:rFonts w:hint="eastAsia" w:cs="仿宋" w:asciiTheme="majorEastAsia" w:hAnsiTheme="majorEastAsia" w:eastAsiaTheme="majorEastAsia"/>
          <w:bCs/>
          <w:color w:val="auto"/>
          <w:sz w:val="21"/>
          <w:szCs w:val="21"/>
          <w:lang w:val="en-US" w:eastAsia="zh-CN"/>
        </w:rPr>
      </w:pPr>
      <w:r>
        <w:rPr>
          <w:rFonts w:hint="eastAsia" w:cs="仿宋" w:asciiTheme="majorEastAsia" w:hAnsiTheme="majorEastAsia" w:eastAsiaTheme="majorEastAsia"/>
          <w:bCs/>
          <w:color w:val="auto"/>
          <w:sz w:val="21"/>
          <w:szCs w:val="21"/>
          <w:lang w:val="en-US" w:eastAsia="zh-CN"/>
        </w:rPr>
        <w:t>合同对方主体资格审查</w:t>
      </w:r>
    </w:p>
    <w:p>
      <w:pPr>
        <w:spacing w:line="360" w:lineRule="auto"/>
        <w:ind w:firstLine="420" w:firstLineChars="200"/>
        <w:jc w:val="both"/>
        <w:rPr>
          <w:rFonts w:hint="eastAsia" w:cs="仿宋" w:asciiTheme="majorEastAsia" w:hAnsiTheme="majorEastAsia" w:eastAsiaTheme="majorEastAsia"/>
          <w:bCs/>
          <w:color w:val="auto"/>
          <w:kern w:val="0"/>
          <w:sz w:val="21"/>
          <w:szCs w:val="21"/>
          <w:lang w:val="en-US" w:eastAsia="zh-CN"/>
        </w:rPr>
      </w:pPr>
      <w:r>
        <w:rPr>
          <w:rFonts w:hint="eastAsia" w:cs="仿宋" w:asciiTheme="majorEastAsia" w:hAnsiTheme="majorEastAsia" w:eastAsiaTheme="majorEastAsia"/>
          <w:bCs/>
          <w:color w:val="auto"/>
          <w:kern w:val="0"/>
          <w:sz w:val="21"/>
          <w:szCs w:val="21"/>
          <w:lang w:val="en-US" w:eastAsia="zh-CN"/>
        </w:rPr>
        <w:t>经我司审查，项目公司经过招投标过程拟定山西六建集团有限公司承接项目公司渝北区两路组团A分区A122-1、A122-2、A122-3地块项目施工总承包工程。合同承包方山西六建集团有限公司持有依法取得的资质证书，并在其资质允许的范围内承揽业务；并非项目公司的关联公司，具备签订本合同的主体资格。</w:t>
      </w:r>
    </w:p>
    <w:p>
      <w:pPr>
        <w:numPr>
          <w:ilvl w:val="0"/>
          <w:numId w:val="3"/>
        </w:numPr>
        <w:spacing w:line="360" w:lineRule="auto"/>
        <w:ind w:firstLine="420" w:firstLineChars="200"/>
        <w:jc w:val="both"/>
        <w:rPr>
          <w:rFonts w:hint="eastAsia" w:cs="仿宋" w:asciiTheme="majorEastAsia" w:hAnsiTheme="majorEastAsia" w:eastAsiaTheme="majorEastAsia"/>
          <w:bCs/>
          <w:color w:val="auto"/>
          <w:sz w:val="21"/>
          <w:szCs w:val="21"/>
          <w:lang w:val="en-US" w:eastAsia="zh-CN"/>
        </w:rPr>
      </w:pPr>
      <w:r>
        <w:rPr>
          <w:rFonts w:hint="eastAsia" w:cs="仿宋" w:asciiTheme="majorEastAsia" w:hAnsiTheme="majorEastAsia" w:eastAsiaTheme="majorEastAsia"/>
          <w:bCs/>
          <w:color w:val="auto"/>
          <w:sz w:val="21"/>
          <w:szCs w:val="21"/>
          <w:lang w:val="en-US" w:eastAsia="zh-CN"/>
        </w:rPr>
        <w:t>合同条款合法性、合理性审</w:t>
      </w:r>
      <w:bookmarkStart w:id="0" w:name="_GoBack"/>
      <w:bookmarkEnd w:id="0"/>
      <w:r>
        <w:rPr>
          <w:rFonts w:hint="eastAsia" w:cs="仿宋" w:asciiTheme="majorEastAsia" w:hAnsiTheme="majorEastAsia" w:eastAsiaTheme="majorEastAsia"/>
          <w:bCs/>
          <w:color w:val="auto"/>
          <w:sz w:val="21"/>
          <w:szCs w:val="21"/>
          <w:lang w:val="en-US" w:eastAsia="zh-CN"/>
        </w:rPr>
        <w:t>查</w:t>
      </w:r>
    </w:p>
    <w:p>
      <w:pPr>
        <w:spacing w:line="360" w:lineRule="auto"/>
        <w:ind w:firstLine="420" w:firstLineChars="200"/>
        <w:jc w:val="both"/>
        <w:rPr>
          <w:rFonts w:hint="eastAsia" w:cs="仿宋" w:asciiTheme="majorEastAsia" w:hAnsiTheme="majorEastAsia" w:eastAsiaTheme="majorEastAsia"/>
          <w:bCs/>
          <w:color w:val="auto"/>
          <w:kern w:val="0"/>
          <w:sz w:val="21"/>
          <w:szCs w:val="21"/>
          <w:lang w:val="en-US" w:eastAsia="zh-CN"/>
        </w:rPr>
      </w:pPr>
      <w:r>
        <w:rPr>
          <w:rFonts w:hint="eastAsia" w:cs="仿宋" w:asciiTheme="majorEastAsia" w:hAnsiTheme="majorEastAsia" w:eastAsiaTheme="majorEastAsia"/>
          <w:bCs/>
          <w:color w:val="auto"/>
          <w:kern w:val="0"/>
          <w:sz w:val="21"/>
          <w:szCs w:val="21"/>
          <w:lang w:val="en-US" w:eastAsia="zh-CN"/>
        </w:rPr>
        <w:t>经我司审查，依照《中华人民共和国合同法》、《中华人民共和国建筑法》等相关法律、法规、规章和规范性文件的规定，双方就本施工总承包工程施工事项协商一致，达成协议，各相应条款、条目齐全，合同双方权利、义务明确，承包范围及承包方式、工期管理、工程实施管理、质量标准、工程变更、竣工验收、工程移交、违约索赔等必要条款约定明确、合理。</w:t>
      </w:r>
    </w:p>
    <w:p>
      <w:pPr>
        <w:numPr>
          <w:ilvl w:val="0"/>
          <w:numId w:val="3"/>
        </w:numPr>
        <w:spacing w:line="360" w:lineRule="auto"/>
        <w:ind w:firstLine="420" w:firstLineChars="200"/>
        <w:jc w:val="both"/>
        <w:rPr>
          <w:rFonts w:hint="eastAsia" w:cs="仿宋" w:asciiTheme="majorEastAsia" w:hAnsiTheme="majorEastAsia" w:eastAsiaTheme="majorEastAsia"/>
          <w:bCs/>
          <w:color w:val="auto"/>
          <w:sz w:val="21"/>
          <w:szCs w:val="21"/>
          <w:lang w:val="en-US" w:eastAsia="zh-CN"/>
        </w:rPr>
      </w:pPr>
      <w:r>
        <w:rPr>
          <w:rFonts w:hint="eastAsia" w:cs="仿宋" w:asciiTheme="majorEastAsia" w:hAnsiTheme="majorEastAsia" w:eastAsiaTheme="majorEastAsia"/>
          <w:bCs/>
          <w:color w:val="auto"/>
          <w:sz w:val="21"/>
          <w:szCs w:val="21"/>
          <w:lang w:val="en-US" w:eastAsia="zh-CN"/>
        </w:rPr>
        <w:t>合同价款审查</w:t>
      </w:r>
    </w:p>
    <w:p>
      <w:pPr>
        <w:spacing w:line="360" w:lineRule="auto"/>
        <w:ind w:firstLine="420" w:firstLineChars="200"/>
        <w:jc w:val="both"/>
        <w:rPr>
          <w:rFonts w:hint="default" w:cs="仿宋" w:asciiTheme="majorEastAsia" w:hAnsiTheme="majorEastAsia" w:eastAsiaTheme="majorEastAsia"/>
          <w:bCs/>
          <w:color w:val="auto"/>
          <w:kern w:val="0"/>
          <w:sz w:val="21"/>
          <w:szCs w:val="21"/>
          <w:lang w:val="en-US" w:eastAsia="zh-CN"/>
        </w:rPr>
      </w:pPr>
      <w:r>
        <w:rPr>
          <w:rFonts w:hint="eastAsia" w:cs="仿宋" w:asciiTheme="majorEastAsia" w:hAnsiTheme="majorEastAsia" w:eastAsiaTheme="majorEastAsia"/>
          <w:bCs/>
          <w:color w:val="auto"/>
          <w:kern w:val="0"/>
          <w:sz w:val="21"/>
          <w:szCs w:val="21"/>
          <w:lang w:val="en-US" w:eastAsia="zh-CN"/>
        </w:rPr>
        <w:t>经我司审查，该施工总承包合同签订金额为：410,000,762.72 元（大写人民币：肆亿壹仟万零柒佰陆拾贰元柒角贰分），为所有投标人报价中最低价格。本合同金额为暂估总价，其中单价固定，工程量为模拟清单，届时据实调整。项目公司合约规划金额为415,235,651.00 元，主体建安工程费为533,890,000.00 元，总承包工程造价与项目公司规划金额结余5,234,888.33 元，在主体建安工程费范围内。</w:t>
      </w:r>
    </w:p>
    <w:p>
      <w:pPr>
        <w:numPr>
          <w:ilvl w:val="0"/>
          <w:numId w:val="3"/>
        </w:numPr>
        <w:spacing w:line="360" w:lineRule="auto"/>
        <w:ind w:firstLine="420" w:firstLineChars="200"/>
        <w:jc w:val="both"/>
        <w:rPr>
          <w:rFonts w:hint="eastAsia" w:cs="仿宋" w:asciiTheme="majorEastAsia" w:hAnsiTheme="majorEastAsia" w:eastAsiaTheme="majorEastAsia"/>
          <w:bCs/>
          <w:color w:val="auto"/>
          <w:sz w:val="21"/>
          <w:szCs w:val="21"/>
          <w:lang w:val="en-US" w:eastAsia="zh-CN"/>
        </w:rPr>
      </w:pPr>
      <w:r>
        <w:rPr>
          <w:rFonts w:hint="eastAsia" w:cs="仿宋" w:asciiTheme="majorEastAsia" w:hAnsiTheme="majorEastAsia" w:eastAsiaTheme="majorEastAsia"/>
          <w:bCs/>
          <w:color w:val="auto"/>
          <w:sz w:val="21"/>
          <w:szCs w:val="21"/>
          <w:lang w:val="en-US" w:eastAsia="zh-CN"/>
        </w:rPr>
        <w:t>付款方式审查</w:t>
      </w:r>
    </w:p>
    <w:p>
      <w:pPr>
        <w:spacing w:line="360" w:lineRule="auto"/>
        <w:ind w:firstLine="420" w:firstLineChars="200"/>
        <w:jc w:val="both"/>
        <w:rPr>
          <w:rFonts w:hint="eastAsia" w:cs="仿宋" w:asciiTheme="majorEastAsia" w:hAnsiTheme="majorEastAsia" w:eastAsiaTheme="majorEastAsia"/>
          <w:bCs/>
          <w:color w:val="auto"/>
          <w:kern w:val="0"/>
          <w:sz w:val="21"/>
          <w:szCs w:val="21"/>
          <w:lang w:val="en-US" w:eastAsia="zh-CN"/>
        </w:rPr>
      </w:pPr>
      <w:r>
        <w:rPr>
          <w:rFonts w:hint="eastAsia" w:cs="仿宋" w:asciiTheme="majorEastAsia" w:hAnsiTheme="majorEastAsia" w:eastAsiaTheme="majorEastAsia"/>
          <w:bCs/>
          <w:color w:val="auto"/>
          <w:kern w:val="0"/>
          <w:sz w:val="21"/>
          <w:szCs w:val="21"/>
          <w:lang w:val="en-US" w:eastAsia="zh-CN"/>
        </w:rPr>
        <w:t xml:space="preserve">经我司审查，合同付款方式为按节点支付，无预付款，未存在超进度、超产值支出情况，付款无风险。 合同计价方式、结算方式符合要求，未存在计价风险。 </w:t>
      </w:r>
    </w:p>
    <w:p>
      <w:pPr>
        <w:pStyle w:val="2"/>
        <w:ind w:left="0" w:leftChars="0" w:firstLine="0" w:firstLineChars="0"/>
        <w:rPr>
          <w:rFonts w:hint="eastAsia" w:cs="仿宋" w:asciiTheme="majorEastAsia" w:hAnsiTheme="majorEastAsia" w:eastAsiaTheme="majorEastAsia"/>
          <w:bCs/>
          <w:color w:val="auto"/>
          <w:kern w:val="0"/>
          <w:sz w:val="21"/>
          <w:szCs w:val="21"/>
          <w:lang w:val="en-US" w:eastAsia="zh-CN" w:bidi="ar-SA"/>
        </w:rPr>
      </w:pPr>
      <w:r>
        <w:rPr>
          <w:rFonts w:hint="eastAsia" w:cs="仿宋" w:asciiTheme="majorEastAsia" w:hAnsiTheme="majorEastAsia" w:eastAsiaTheme="majorEastAsia"/>
          <w:bCs/>
          <w:color w:val="auto"/>
          <w:kern w:val="0"/>
          <w:sz w:val="21"/>
          <w:szCs w:val="21"/>
          <w:lang w:val="en-US" w:eastAsia="zh-CN" w:bidi="ar-SA"/>
        </w:rPr>
        <w:t>工程付款节点：</w:t>
      </w:r>
    </w:p>
    <w:p>
      <w:pPr>
        <w:adjustRightInd w:val="0"/>
        <w:snapToGrid w:val="0"/>
        <w:spacing w:before="156" w:after="156"/>
        <w:jc w:val="left"/>
        <w:rPr>
          <w:rFonts w:hint="eastAsia" w:cs="仿宋" w:asciiTheme="majorEastAsia" w:hAnsiTheme="majorEastAsia" w:eastAsiaTheme="majorEastAsia"/>
          <w:bCs/>
          <w:color w:val="000000"/>
          <w:kern w:val="0"/>
          <w:sz w:val="21"/>
          <w:szCs w:val="21"/>
          <w:lang w:val="en-US" w:eastAsia="zh-CN"/>
        </w:rPr>
      </w:pPr>
      <w:r>
        <w:rPr>
          <w:rFonts w:hint="eastAsia" w:cs="仿宋" w:asciiTheme="majorEastAsia" w:hAnsiTheme="majorEastAsia" w:eastAsiaTheme="majorEastAsia"/>
          <w:bCs/>
          <w:color w:val="000000"/>
          <w:kern w:val="0"/>
          <w:sz w:val="21"/>
          <w:szCs w:val="21"/>
          <w:lang w:val="en-US" w:eastAsia="zh-CN"/>
        </w:rPr>
        <w:t>（1）根据重庆市关于安全文明施工费缴纳的有关规定（安全文明施工费按照渝建发【2014】25号文及渝建管【2020】97号）计取），</w:t>
      </w:r>
      <w:r>
        <w:rPr>
          <w:rFonts w:hint="eastAsia" w:cs="仿宋" w:asciiTheme="majorEastAsia" w:hAnsiTheme="majorEastAsia" w:eastAsiaTheme="majorEastAsia"/>
          <w:bCs/>
          <w:color w:val="000000"/>
          <w:kern w:val="0"/>
          <w:sz w:val="21"/>
          <w:szCs w:val="21"/>
          <w:u w:val="single"/>
          <w:lang w:val="en-US" w:eastAsia="zh-CN"/>
        </w:rPr>
        <w:t xml:space="preserve"> 50% </w:t>
      </w:r>
      <w:r>
        <w:rPr>
          <w:rFonts w:hint="eastAsia" w:cs="仿宋" w:asciiTheme="majorEastAsia" w:hAnsiTheme="majorEastAsia" w:eastAsiaTheme="majorEastAsia"/>
          <w:bCs/>
          <w:color w:val="000000"/>
          <w:kern w:val="0"/>
          <w:sz w:val="21"/>
          <w:szCs w:val="21"/>
          <w:lang w:val="en-US" w:eastAsia="zh-CN"/>
        </w:rPr>
        <w:t xml:space="preserve"> 安全文明施工费用乙方缴纳的现金履约保证金支付给乙方，该费用为乙方安全文明施工费专项费用，乙方须开具等额的增值税专用发票； </w:t>
      </w:r>
    </w:p>
    <w:p>
      <w:pPr>
        <w:adjustRightInd w:val="0"/>
        <w:snapToGrid w:val="0"/>
        <w:spacing w:before="156" w:after="156"/>
        <w:jc w:val="left"/>
        <w:rPr>
          <w:rFonts w:hint="eastAsia" w:cs="仿宋" w:asciiTheme="majorEastAsia" w:hAnsiTheme="majorEastAsia" w:eastAsiaTheme="majorEastAsia"/>
          <w:bCs/>
          <w:color w:val="000000"/>
          <w:kern w:val="0"/>
          <w:sz w:val="21"/>
          <w:szCs w:val="21"/>
          <w:lang w:val="en-US" w:eastAsia="zh-CN"/>
        </w:rPr>
      </w:pPr>
      <w:r>
        <w:rPr>
          <w:rFonts w:hint="eastAsia" w:cs="仿宋" w:asciiTheme="majorEastAsia" w:hAnsiTheme="majorEastAsia" w:eastAsiaTheme="majorEastAsia"/>
          <w:bCs/>
          <w:color w:val="000000"/>
          <w:kern w:val="0"/>
          <w:sz w:val="21"/>
          <w:szCs w:val="21"/>
          <w:lang w:val="en-US" w:eastAsia="zh-CN"/>
        </w:rPr>
        <w:t>（2）13层及以下的建筑及配建主体结构封顶完成后支付至对应组团合同额（有转固价的按转固价）的</w:t>
      </w:r>
      <w:r>
        <w:rPr>
          <w:rFonts w:hint="eastAsia" w:cs="仿宋" w:asciiTheme="majorEastAsia" w:hAnsiTheme="majorEastAsia" w:eastAsiaTheme="majorEastAsia"/>
          <w:bCs/>
          <w:color w:val="000000"/>
          <w:kern w:val="0"/>
          <w:sz w:val="21"/>
          <w:szCs w:val="21"/>
          <w:u w:val="single"/>
          <w:lang w:val="en-US" w:eastAsia="zh-CN"/>
        </w:rPr>
        <w:t xml:space="preserve"> 45% </w:t>
      </w:r>
      <w:r>
        <w:rPr>
          <w:rFonts w:hint="eastAsia" w:cs="仿宋" w:asciiTheme="majorEastAsia" w:hAnsiTheme="majorEastAsia" w:eastAsiaTheme="majorEastAsia"/>
          <w:bCs/>
          <w:color w:val="000000"/>
          <w:kern w:val="0"/>
          <w:sz w:val="21"/>
          <w:szCs w:val="21"/>
          <w:lang w:val="en-US" w:eastAsia="zh-CN"/>
        </w:rPr>
        <w:t xml:space="preserve"> ；</w:t>
      </w:r>
    </w:p>
    <w:p>
      <w:pPr>
        <w:adjustRightInd w:val="0"/>
        <w:snapToGrid w:val="0"/>
        <w:spacing w:before="156" w:after="156"/>
        <w:jc w:val="left"/>
        <w:rPr>
          <w:rFonts w:hint="eastAsia" w:cs="仿宋" w:asciiTheme="majorEastAsia" w:hAnsiTheme="majorEastAsia" w:eastAsiaTheme="majorEastAsia"/>
          <w:bCs/>
          <w:color w:val="000000"/>
          <w:kern w:val="0"/>
          <w:sz w:val="21"/>
          <w:szCs w:val="21"/>
          <w:lang w:val="en-US" w:eastAsia="zh-CN"/>
        </w:rPr>
      </w:pPr>
      <w:r>
        <w:rPr>
          <w:rFonts w:hint="eastAsia" w:cs="仿宋" w:asciiTheme="majorEastAsia" w:hAnsiTheme="majorEastAsia" w:eastAsiaTheme="majorEastAsia"/>
          <w:bCs/>
          <w:color w:val="000000"/>
          <w:kern w:val="0"/>
          <w:sz w:val="21"/>
          <w:szCs w:val="21"/>
          <w:lang w:val="en-US" w:eastAsia="zh-CN"/>
        </w:rPr>
        <w:t>（3）室内外墙面抹灰完成、室内地坪施工完成、电梯井道清理完成后，支付至对应组团合同额（有转固价的按转固价）</w:t>
      </w:r>
      <w:r>
        <w:rPr>
          <w:rFonts w:hint="eastAsia" w:cs="仿宋" w:asciiTheme="majorEastAsia" w:hAnsiTheme="majorEastAsia" w:eastAsiaTheme="majorEastAsia"/>
          <w:bCs/>
          <w:color w:val="000000"/>
          <w:kern w:val="0"/>
          <w:sz w:val="21"/>
          <w:szCs w:val="21"/>
          <w:u w:val="single"/>
          <w:lang w:val="en-US" w:eastAsia="zh-CN"/>
        </w:rPr>
        <w:t xml:space="preserve"> 55％</w:t>
      </w:r>
      <w:r>
        <w:rPr>
          <w:rFonts w:hint="eastAsia" w:cs="仿宋" w:asciiTheme="majorEastAsia" w:hAnsiTheme="majorEastAsia" w:eastAsiaTheme="majorEastAsia"/>
          <w:bCs/>
          <w:color w:val="000000"/>
          <w:kern w:val="0"/>
          <w:sz w:val="21"/>
          <w:szCs w:val="21"/>
          <w:lang w:val="en-US" w:eastAsia="zh-CN"/>
        </w:rPr>
        <w:t xml:space="preserve">； </w:t>
      </w:r>
    </w:p>
    <w:p>
      <w:pPr>
        <w:adjustRightInd w:val="0"/>
        <w:snapToGrid w:val="0"/>
        <w:spacing w:before="156" w:after="156"/>
        <w:jc w:val="left"/>
        <w:rPr>
          <w:rFonts w:hint="eastAsia" w:cs="仿宋" w:asciiTheme="majorEastAsia" w:hAnsiTheme="majorEastAsia" w:eastAsiaTheme="majorEastAsia"/>
          <w:bCs/>
          <w:color w:val="000000"/>
          <w:kern w:val="0"/>
          <w:sz w:val="21"/>
          <w:szCs w:val="21"/>
          <w:lang w:val="en-US" w:eastAsia="zh-CN"/>
        </w:rPr>
      </w:pPr>
      <w:r>
        <w:rPr>
          <w:rFonts w:hint="eastAsia" w:cs="仿宋" w:asciiTheme="majorEastAsia" w:hAnsiTheme="majorEastAsia" w:eastAsiaTheme="majorEastAsia"/>
          <w:bCs/>
          <w:color w:val="000000"/>
          <w:kern w:val="0"/>
          <w:sz w:val="21"/>
          <w:szCs w:val="21"/>
          <w:lang w:val="en-US" w:eastAsia="zh-CN"/>
        </w:rPr>
        <w:t xml:space="preserve">（4）地下室顶板防水保护层施工完成，地上临时设施设备撤离现场，并满足景观和负数管网施工条件后，支付至对应组团转固总价的 </w:t>
      </w:r>
      <w:r>
        <w:rPr>
          <w:rFonts w:hint="eastAsia" w:cs="仿宋" w:asciiTheme="majorEastAsia" w:hAnsiTheme="majorEastAsia" w:eastAsiaTheme="majorEastAsia"/>
          <w:bCs/>
          <w:color w:val="000000"/>
          <w:kern w:val="0"/>
          <w:sz w:val="21"/>
          <w:szCs w:val="21"/>
          <w:u w:val="single"/>
          <w:lang w:val="en-US" w:eastAsia="zh-CN"/>
        </w:rPr>
        <w:t xml:space="preserve"> 70% </w:t>
      </w:r>
      <w:r>
        <w:rPr>
          <w:rFonts w:hint="eastAsia" w:cs="仿宋" w:asciiTheme="majorEastAsia" w:hAnsiTheme="majorEastAsia" w:eastAsiaTheme="majorEastAsia"/>
          <w:bCs/>
          <w:color w:val="000000"/>
          <w:kern w:val="0"/>
          <w:sz w:val="21"/>
          <w:szCs w:val="21"/>
          <w:lang w:val="en-US" w:eastAsia="zh-CN"/>
        </w:rPr>
        <w:t xml:space="preserve">； </w:t>
      </w:r>
    </w:p>
    <w:p>
      <w:pPr>
        <w:adjustRightInd w:val="0"/>
        <w:snapToGrid w:val="0"/>
        <w:spacing w:before="156" w:after="156"/>
        <w:jc w:val="left"/>
        <w:rPr>
          <w:rFonts w:hint="eastAsia" w:cs="仿宋" w:asciiTheme="majorEastAsia" w:hAnsiTheme="majorEastAsia" w:eastAsiaTheme="majorEastAsia"/>
          <w:bCs/>
          <w:color w:val="000000"/>
          <w:kern w:val="0"/>
          <w:sz w:val="21"/>
          <w:szCs w:val="21"/>
          <w:lang w:val="en-US" w:eastAsia="zh-CN"/>
        </w:rPr>
      </w:pPr>
      <w:r>
        <w:rPr>
          <w:rFonts w:hint="eastAsia" w:cs="仿宋" w:asciiTheme="majorEastAsia" w:hAnsiTheme="majorEastAsia" w:eastAsiaTheme="majorEastAsia"/>
          <w:bCs/>
          <w:color w:val="000000"/>
          <w:kern w:val="0"/>
          <w:sz w:val="21"/>
          <w:szCs w:val="21"/>
          <w:lang w:val="en-US" w:eastAsia="zh-CN"/>
        </w:rPr>
        <w:t xml:space="preserve">（5）分户验收完成后支付对应组团转固总价的 </w:t>
      </w:r>
      <w:r>
        <w:rPr>
          <w:rFonts w:hint="eastAsia" w:cs="仿宋" w:asciiTheme="majorEastAsia" w:hAnsiTheme="majorEastAsia" w:eastAsiaTheme="majorEastAsia"/>
          <w:bCs/>
          <w:color w:val="000000"/>
          <w:kern w:val="0"/>
          <w:sz w:val="21"/>
          <w:szCs w:val="21"/>
          <w:u w:val="single"/>
          <w:lang w:val="en-US" w:eastAsia="zh-CN"/>
        </w:rPr>
        <w:t xml:space="preserve"> 80% </w:t>
      </w:r>
      <w:r>
        <w:rPr>
          <w:rFonts w:hint="eastAsia" w:cs="仿宋" w:asciiTheme="majorEastAsia" w:hAnsiTheme="majorEastAsia" w:eastAsiaTheme="majorEastAsia"/>
          <w:bCs/>
          <w:color w:val="000000"/>
          <w:kern w:val="0"/>
          <w:sz w:val="21"/>
          <w:szCs w:val="21"/>
          <w:lang w:val="en-US" w:eastAsia="zh-CN"/>
        </w:rPr>
        <w:t xml:space="preserve">； </w:t>
      </w:r>
    </w:p>
    <w:p>
      <w:pPr>
        <w:keepNext w:val="0"/>
        <w:keepLines w:val="0"/>
        <w:widowControl/>
        <w:suppressLineNumbers w:val="0"/>
        <w:jc w:val="left"/>
        <w:rPr>
          <w:rFonts w:hint="eastAsia" w:cs="仿宋" w:asciiTheme="majorEastAsia" w:hAnsiTheme="majorEastAsia" w:eastAsiaTheme="majorEastAsia"/>
          <w:bCs/>
          <w:color w:val="auto"/>
          <w:sz w:val="21"/>
          <w:szCs w:val="21"/>
          <w:lang w:val="en-US" w:eastAsia="zh-CN"/>
        </w:rPr>
      </w:pPr>
      <w:r>
        <w:rPr>
          <w:rFonts w:hint="eastAsia" w:cs="仿宋" w:asciiTheme="majorEastAsia" w:hAnsiTheme="majorEastAsia" w:eastAsiaTheme="majorEastAsia"/>
          <w:bCs/>
          <w:color w:val="auto"/>
          <w:sz w:val="21"/>
          <w:szCs w:val="21"/>
          <w:lang w:val="en-US" w:eastAsia="zh-CN"/>
        </w:rPr>
        <w:t xml:space="preserve">（6）完成该组团竣工验收并取得竣工备案表后支付至对应组团转固总价的 </w:t>
      </w:r>
      <w:r>
        <w:rPr>
          <w:rFonts w:hint="eastAsia" w:cs="仿宋" w:asciiTheme="majorEastAsia" w:hAnsiTheme="majorEastAsia" w:eastAsiaTheme="majorEastAsia"/>
          <w:bCs/>
          <w:color w:val="auto"/>
          <w:sz w:val="21"/>
          <w:szCs w:val="21"/>
          <w:u w:val="single"/>
          <w:lang w:val="en-US" w:eastAsia="zh-CN"/>
        </w:rPr>
        <w:t xml:space="preserve"> 85％</w:t>
      </w:r>
      <w:r>
        <w:rPr>
          <w:rFonts w:hint="eastAsia" w:cs="仿宋" w:asciiTheme="majorEastAsia" w:hAnsiTheme="majorEastAsia" w:eastAsiaTheme="majorEastAsia"/>
          <w:bCs/>
          <w:color w:val="auto"/>
          <w:sz w:val="21"/>
          <w:szCs w:val="21"/>
          <w:lang w:val="en-US" w:eastAsia="zh-CN"/>
        </w:rPr>
        <w:t xml:space="preserve"> ； </w:t>
      </w:r>
    </w:p>
    <w:p>
      <w:pPr>
        <w:keepNext w:val="0"/>
        <w:keepLines w:val="0"/>
        <w:widowControl/>
        <w:suppressLineNumbers w:val="0"/>
        <w:jc w:val="left"/>
        <w:rPr>
          <w:rFonts w:hint="eastAsia" w:cs="仿宋" w:asciiTheme="majorEastAsia" w:hAnsiTheme="majorEastAsia" w:eastAsiaTheme="majorEastAsia"/>
          <w:bCs/>
          <w:color w:val="auto"/>
          <w:sz w:val="21"/>
          <w:szCs w:val="21"/>
          <w:lang w:val="en-US" w:eastAsia="zh-CN"/>
        </w:rPr>
      </w:pPr>
      <w:r>
        <w:rPr>
          <w:rFonts w:hint="eastAsia" w:cs="仿宋" w:asciiTheme="majorEastAsia" w:hAnsiTheme="majorEastAsia" w:eastAsiaTheme="majorEastAsia"/>
          <w:bCs/>
          <w:color w:val="auto"/>
          <w:sz w:val="21"/>
          <w:szCs w:val="21"/>
          <w:lang w:val="en-US" w:eastAsia="zh-CN"/>
        </w:rPr>
        <w:t xml:space="preserve">（7）竣工结算完成后支付至结算总价的  97% （付款时需提供全额的保修金发票）； </w:t>
      </w:r>
    </w:p>
    <w:p>
      <w:pPr>
        <w:keepNext w:val="0"/>
        <w:keepLines w:val="0"/>
        <w:widowControl/>
        <w:suppressLineNumbers w:val="0"/>
        <w:jc w:val="left"/>
        <w:rPr>
          <w:rFonts w:hint="eastAsia" w:cs="仿宋" w:asciiTheme="majorEastAsia" w:hAnsiTheme="majorEastAsia" w:eastAsiaTheme="majorEastAsia"/>
          <w:bCs/>
          <w:color w:val="auto"/>
          <w:sz w:val="21"/>
          <w:szCs w:val="21"/>
          <w:lang w:val="en-US" w:eastAsia="zh-CN"/>
        </w:rPr>
      </w:pPr>
      <w:r>
        <w:rPr>
          <w:rFonts w:hint="eastAsia" w:cs="仿宋" w:asciiTheme="majorEastAsia" w:hAnsiTheme="majorEastAsia" w:eastAsiaTheme="majorEastAsia"/>
          <w:bCs/>
          <w:color w:val="auto"/>
          <w:sz w:val="21"/>
          <w:szCs w:val="21"/>
          <w:lang w:val="en-US" w:eastAsia="zh-CN"/>
        </w:rPr>
        <w:t>（8）剩余 3% 保修金。</w:t>
      </w:r>
    </w:p>
    <w:p>
      <w:pPr>
        <w:pStyle w:val="2"/>
        <w:spacing w:line="360" w:lineRule="auto"/>
        <w:rPr>
          <w:rFonts w:hint="eastAsia" w:cs="仿宋" w:asciiTheme="majorEastAsia" w:hAnsiTheme="majorEastAsia" w:eastAsiaTheme="majorEastAsia"/>
          <w:bCs/>
          <w:color w:val="auto"/>
          <w:sz w:val="21"/>
          <w:szCs w:val="21"/>
          <w:lang w:val="en-US" w:eastAsia="zh-CN"/>
        </w:rPr>
      </w:pPr>
      <w:r>
        <w:rPr>
          <w:rFonts w:hint="eastAsia" w:cs="仿宋" w:asciiTheme="majorEastAsia" w:hAnsiTheme="majorEastAsia" w:eastAsiaTheme="majorEastAsia"/>
          <w:bCs/>
          <w:color w:val="auto"/>
          <w:sz w:val="21"/>
          <w:szCs w:val="21"/>
          <w:lang w:val="en-US" w:eastAsia="zh-CN"/>
        </w:rPr>
        <w:t>支付方式合理，发票类型、支付条件等均满足合规性、合理性要求。</w:t>
      </w:r>
    </w:p>
    <w:p>
      <w:pPr>
        <w:pStyle w:val="2"/>
        <w:spacing w:line="360" w:lineRule="auto"/>
        <w:jc w:val="left"/>
        <w:rPr>
          <w:rFonts w:hint="eastAsia" w:cs="仿宋" w:asciiTheme="majorEastAsia" w:hAnsiTheme="majorEastAsia" w:eastAsiaTheme="majorEastAsia"/>
          <w:bCs/>
          <w:color w:val="auto"/>
          <w:kern w:val="0"/>
          <w:sz w:val="21"/>
          <w:szCs w:val="21"/>
          <w:lang w:val="en-US" w:eastAsia="zh-CN"/>
        </w:rPr>
      </w:pPr>
      <w:r>
        <w:rPr>
          <w:rFonts w:hint="eastAsia" w:cs="仿宋" w:asciiTheme="majorEastAsia" w:hAnsiTheme="majorEastAsia" w:eastAsiaTheme="majorEastAsia"/>
          <w:bCs/>
          <w:color w:val="auto"/>
          <w:kern w:val="0"/>
          <w:sz w:val="21"/>
          <w:szCs w:val="21"/>
          <w:lang w:val="en-US" w:eastAsia="zh-CN"/>
        </w:rPr>
        <w:t>综上所述，项目公司与山西六建集团有限公司拟签订的渝北区两路组团A分区A122-1、A122-2、A122-3施工总承包合同合理，请信托方审阅。</w:t>
      </w:r>
    </w:p>
    <w:p>
      <w:pPr>
        <w:pStyle w:val="2"/>
        <w:spacing w:line="360" w:lineRule="auto"/>
        <w:rPr>
          <w:rFonts w:hint="eastAsia" w:cs="仿宋" w:asciiTheme="majorEastAsia" w:hAnsiTheme="majorEastAsia" w:eastAsiaTheme="majorEastAsia"/>
          <w:bCs/>
          <w:color w:val="auto"/>
          <w:sz w:val="21"/>
          <w:szCs w:val="21"/>
          <w:lang w:val="en-US" w:eastAsia="zh-CN"/>
        </w:rPr>
      </w:pPr>
    </w:p>
    <w:p>
      <w:pPr>
        <w:pStyle w:val="2"/>
        <w:rPr>
          <w:rFonts w:hint="default" w:ascii="宋体" w:eastAsia="宋体" w:cs="宋体"/>
          <w:color w:val="000000"/>
          <w:kern w:val="0"/>
          <w:sz w:val="18"/>
          <w:szCs w:val="18"/>
          <w:lang w:val="en-US" w:eastAsia="zh-CN" w:bidi="ar"/>
        </w:rPr>
      </w:pPr>
    </w:p>
    <w:p>
      <w:pPr>
        <w:pStyle w:val="2"/>
        <w:numPr>
          <w:ilvl w:val="0"/>
          <w:numId w:val="0"/>
        </w:numPr>
        <w:ind w:leftChars="200"/>
        <w:rPr>
          <w:rFonts w:hint="default"/>
          <w:lang w:val="en-US" w:eastAsia="zh-CN"/>
        </w:rPr>
      </w:pPr>
    </w:p>
    <w:p>
      <w:pPr>
        <w:pStyle w:val="2"/>
        <w:numPr>
          <w:ilvl w:val="0"/>
          <w:numId w:val="0"/>
        </w:numPr>
        <w:ind w:leftChars="200"/>
        <w:rPr>
          <w:rFonts w:hint="default" w:cs="仿宋" w:asciiTheme="majorEastAsia" w:hAnsiTheme="majorEastAsia" w:eastAsiaTheme="majorEastAsia"/>
          <w:bCs/>
          <w:color w:val="auto"/>
          <w:sz w:val="21"/>
          <w:szCs w:val="21"/>
          <w:lang w:val="en-US" w:eastAsia="zh-CN"/>
        </w:rPr>
      </w:pPr>
    </w:p>
    <w:p>
      <w:pPr>
        <w:widowControl/>
        <w:spacing w:line="360" w:lineRule="auto"/>
        <w:ind w:firstLine="420" w:firstLineChars="200"/>
        <w:rPr>
          <w:rFonts w:hint="default" w:cs="仿宋" w:asciiTheme="majorEastAsia" w:hAnsiTheme="majorEastAsia" w:eastAsiaTheme="majorEastAsia"/>
          <w:bCs/>
          <w:color w:val="auto"/>
          <w:sz w:val="21"/>
          <w:szCs w:val="21"/>
          <w:lang w:val="en-US" w:eastAsia="zh-CN"/>
        </w:rPr>
      </w:pPr>
    </w:p>
    <w:p>
      <w:pPr>
        <w:jc w:val="right"/>
        <w:rPr>
          <w:rFonts w:hint="eastAsia" w:cs="仿宋" w:asciiTheme="majorEastAsia" w:hAnsiTheme="majorEastAsia" w:eastAsiaTheme="majorEastAsia"/>
          <w:bCs/>
          <w:sz w:val="21"/>
          <w:szCs w:val="21"/>
          <w:lang w:eastAsia="zh-CN"/>
        </w:rPr>
      </w:pPr>
      <w:r>
        <w:rPr>
          <w:rFonts w:hint="eastAsia"/>
          <w:szCs w:val="22"/>
          <w:lang w:val="en-US" w:eastAsia="zh-CN"/>
        </w:rPr>
        <w:t xml:space="preserve">                                                   </w:t>
      </w:r>
      <w:r>
        <w:rPr>
          <w:rFonts w:hint="eastAsia" w:cs="仿宋" w:asciiTheme="majorEastAsia" w:hAnsiTheme="majorEastAsia" w:eastAsiaTheme="majorEastAsia"/>
          <w:bCs/>
          <w:sz w:val="21"/>
          <w:szCs w:val="21"/>
          <w:lang w:eastAsia="zh-CN"/>
        </w:rPr>
        <w:t>北京康信君安资产管理有限公司</w:t>
      </w:r>
    </w:p>
    <w:p>
      <w:pPr>
        <w:pStyle w:val="2"/>
        <w:spacing w:line="360" w:lineRule="auto"/>
        <w:ind w:firstLine="5460" w:firstLineChars="2600"/>
        <w:jc w:val="right"/>
        <w:rPr>
          <w:rFonts w:hint="default" w:cs="仿宋" w:asciiTheme="majorEastAsia" w:hAnsiTheme="majorEastAsia" w:eastAsiaTheme="majorEastAsia"/>
          <w:bCs/>
          <w:color w:val="000000"/>
          <w:kern w:val="0"/>
          <w:sz w:val="21"/>
          <w:szCs w:val="21"/>
          <w:lang w:val="en-US" w:eastAsia="zh-CN"/>
        </w:rPr>
      </w:pPr>
      <w:r>
        <w:rPr>
          <w:rFonts w:hint="eastAsia" w:cs="仿宋" w:asciiTheme="majorEastAsia" w:hAnsiTheme="majorEastAsia" w:eastAsiaTheme="majorEastAsia"/>
          <w:bCs/>
          <w:color w:val="000000"/>
          <w:kern w:val="0"/>
          <w:sz w:val="21"/>
          <w:szCs w:val="21"/>
          <w:lang w:val="en-US" w:eastAsia="zh-CN"/>
        </w:rPr>
        <w:t>至信</w:t>
      </w:r>
      <w:r>
        <w:rPr>
          <w:rFonts w:hint="default" w:cs="仿宋" w:asciiTheme="majorEastAsia" w:hAnsiTheme="majorEastAsia" w:eastAsiaTheme="majorEastAsia"/>
          <w:bCs/>
          <w:color w:val="000000"/>
          <w:kern w:val="0"/>
          <w:sz w:val="21"/>
          <w:szCs w:val="21"/>
          <w:lang w:val="en-US" w:eastAsia="zh-CN"/>
        </w:rPr>
        <w:t>1187</w:t>
      </w:r>
      <w:r>
        <w:rPr>
          <w:rFonts w:hint="eastAsia" w:cs="仿宋" w:asciiTheme="majorEastAsia" w:hAnsiTheme="majorEastAsia" w:eastAsiaTheme="majorEastAsia"/>
          <w:bCs/>
          <w:color w:val="000000"/>
          <w:kern w:val="0"/>
          <w:sz w:val="21"/>
          <w:szCs w:val="21"/>
          <w:lang w:val="en-US" w:eastAsia="zh-CN"/>
        </w:rPr>
        <w:t>号杭州樽源定向债投资集合资金信托计划监管专员</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cs="仿宋" w:asciiTheme="majorEastAsia" w:hAnsiTheme="majorEastAsia" w:eastAsiaTheme="majorEastAsia"/>
          <w:bCs/>
          <w:color w:val="000000"/>
          <w:kern w:val="0"/>
          <w:sz w:val="21"/>
          <w:szCs w:val="21"/>
          <w:lang w:val="en-US" w:eastAsia="zh-CN" w:bidi="ar-SA"/>
        </w:rPr>
      </w:pPr>
      <w:r>
        <w:rPr>
          <w:rFonts w:hint="eastAsia" w:asciiTheme="majorEastAsia" w:hAnsiTheme="majorEastAsia" w:eastAsiaTheme="majorEastAsia" w:cstheme="majorEastAsia"/>
          <w:b/>
          <w:sz w:val="36"/>
          <w:highlight w:val="none"/>
          <w:lang w:val="en-US" w:eastAsia="zh-CN"/>
        </w:rPr>
        <w:t xml:space="preserve">                               </w:t>
      </w:r>
      <w:r>
        <w:rPr>
          <w:rFonts w:hint="eastAsia" w:cs="仿宋" w:asciiTheme="majorEastAsia" w:hAnsiTheme="majorEastAsia" w:eastAsiaTheme="majorEastAsia"/>
          <w:bCs/>
          <w:color w:val="000000"/>
          <w:kern w:val="0"/>
          <w:sz w:val="21"/>
          <w:szCs w:val="21"/>
          <w:lang w:val="en-US" w:eastAsia="zh-CN" w:bidi="ar-SA"/>
        </w:rPr>
        <w:t>王林</w:t>
      </w:r>
    </w:p>
    <w:p>
      <w:pPr>
        <w:pStyle w:val="2"/>
        <w:jc w:val="center"/>
        <w:rPr>
          <w:rFonts w:hint="default"/>
          <w:lang w:val="en-US" w:eastAsia="zh-CN"/>
        </w:rPr>
      </w:pPr>
      <w:r>
        <w:rPr>
          <w:rFonts w:hint="eastAsia" w:cs="仿宋" w:asciiTheme="majorEastAsia" w:hAnsiTheme="majorEastAsia" w:eastAsiaTheme="majorEastAsia"/>
          <w:bCs/>
          <w:color w:val="000000"/>
          <w:kern w:val="0"/>
          <w:sz w:val="21"/>
          <w:szCs w:val="21"/>
          <w:lang w:val="en-US" w:eastAsia="zh-CN" w:bidi="ar-SA"/>
        </w:rPr>
        <w:t xml:space="preserve">                                                     2021年03月03日</w:t>
      </w:r>
    </w:p>
    <w:p>
      <w:pPr>
        <w:pStyle w:val="2"/>
        <w:rPr>
          <w:rFonts w:hint="eastAsia"/>
          <w:lang w:eastAsia="zh-CN"/>
        </w:rPr>
      </w:pPr>
    </w:p>
    <w:p>
      <w:pPr>
        <w:pStyle w:val="2"/>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D1D740"/>
    <w:multiLevelType w:val="singleLevel"/>
    <w:tmpl w:val="AFD1D740"/>
    <w:lvl w:ilvl="0" w:tentative="0">
      <w:start w:val="1"/>
      <w:numFmt w:val="decimal"/>
      <w:suff w:val="nothing"/>
      <w:lvlText w:val="%1、"/>
      <w:lvlJc w:val="left"/>
    </w:lvl>
  </w:abstractNum>
  <w:abstractNum w:abstractNumId="1">
    <w:nsid w:val="1D557B1B"/>
    <w:multiLevelType w:val="multilevel"/>
    <w:tmpl w:val="1D557B1B"/>
    <w:lvl w:ilvl="0" w:tentative="0">
      <w:start w:val="1"/>
      <w:numFmt w:val="chineseCountingThousand"/>
      <w:lvlText w:val="%1、"/>
      <w:lvlJc w:val="left"/>
      <w:pPr>
        <w:ind w:left="0" w:firstLine="0"/>
      </w:pPr>
      <w:rPr>
        <w:rFonts w:hint="eastAsia" w:ascii="Calibri" w:hAnsi="Calibri" w:cs="Calibri"/>
        <w:b/>
        <w:strike w:val="0"/>
        <w:dstrike w:val="0"/>
        <w:sz w:val="30"/>
      </w:rPr>
    </w:lvl>
    <w:lvl w:ilvl="1" w:tentative="0">
      <w:start w:val="1"/>
      <w:numFmt w:val="decimal"/>
      <w:pStyle w:val="7"/>
      <w:isLgl/>
      <w:lvlText w:val="%1.%2"/>
      <w:lvlJc w:val="left"/>
      <w:pPr>
        <w:ind w:left="0" w:firstLine="0"/>
      </w:pPr>
      <w:rPr>
        <w:rFonts w:hint="eastAsia" w:ascii="Calibri" w:hAnsi="Calibri" w:cs="Calibri"/>
        <w:b/>
        <w:color w:val="auto"/>
        <w:sz w:val="24"/>
      </w:rPr>
    </w:lvl>
    <w:lvl w:ilvl="2" w:tentative="0">
      <w:start w:val="1"/>
      <w:numFmt w:val="decimal"/>
      <w:lvlRestart w:val="1"/>
      <w:isLgl/>
      <w:lvlText w:val="%1.%2.%3"/>
      <w:lvlJc w:val="left"/>
      <w:pPr>
        <w:ind w:left="0" w:firstLine="0"/>
      </w:pPr>
      <w:rPr>
        <w:rFonts w:hint="eastAsia" w:ascii="Calibri" w:hAnsi="Calibri" w:cs="Calibri"/>
        <w:b/>
        <w:i w:val="0"/>
        <w:color w:val="000000" w:themeColor="text1"/>
        <w:sz w:val="24"/>
        <w14:textFill>
          <w14:solidFill>
            <w14:schemeClr w14:val="tx1"/>
          </w14:solidFill>
        </w14:textFill>
      </w:rPr>
    </w:lvl>
    <w:lvl w:ilvl="3" w:tentative="0">
      <w:start w:val="1"/>
      <w:numFmt w:val="decimal"/>
      <w:lvlRestart w:val="1"/>
      <w:isLgl/>
      <w:lvlText w:val="%1.%2.%3.%4"/>
      <w:lvlJc w:val="left"/>
      <w:pPr>
        <w:ind w:left="0" w:firstLine="0"/>
      </w:pPr>
      <w:rPr>
        <w:rFonts w:hint="eastAsia" w:ascii="Calibri" w:hAnsi="Calibri" w:cs="Calibri"/>
        <w:b/>
        <w:i w:val="0"/>
        <w:sz w:val="24"/>
      </w:rPr>
    </w:lvl>
    <w:lvl w:ilvl="4" w:tentative="0">
      <w:start w:val="1"/>
      <w:numFmt w:val="decimal"/>
      <w:lvlRestart w:val="1"/>
      <w:isLgl/>
      <w:lvlText w:val="(%5)"/>
      <w:lvlJc w:val="left"/>
      <w:pPr>
        <w:ind w:left="142" w:firstLine="0"/>
      </w:pPr>
      <w:rPr>
        <w:rFonts w:hint="eastAsia" w:ascii="Calibri" w:hAnsi="Calibri" w:cs="Calibri"/>
        <w:b/>
        <w:i w:val="0"/>
        <w:color w:val="auto"/>
        <w:sz w:val="24"/>
      </w:rPr>
    </w:lvl>
    <w:lvl w:ilvl="5" w:tentative="0">
      <w:start w:val="1"/>
      <w:numFmt w:val="lowerLetter"/>
      <w:lvlText w:val="(%6) "/>
      <w:lvlJc w:val="left"/>
      <w:pPr>
        <w:ind w:left="283" w:firstLine="0"/>
      </w:pPr>
      <w:rPr>
        <w:rFonts w:hint="eastAsia" w:ascii="Calibri" w:hAnsi="Calibri" w:cs="Calibri"/>
        <w:b/>
        <w:i w:val="0"/>
        <w:color w:val="auto"/>
        <w:sz w:val="24"/>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1E0B53F9"/>
    <w:multiLevelType w:val="multilevel"/>
    <w:tmpl w:val="1E0B53F9"/>
    <w:lvl w:ilvl="0" w:tentative="0">
      <w:start w:val="1"/>
      <w:numFmt w:val="chineseCountingThousand"/>
      <w:pStyle w:val="8"/>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B912F1"/>
    <w:rsid w:val="5E7B13EA"/>
    <w:rsid w:val="62DF6D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next w:val="4"/>
    <w:qFormat/>
    <w:uiPriority w:val="99"/>
    <w:pPr>
      <w:ind w:hanging="210"/>
    </w:pPr>
    <w:rPr>
      <w:rFonts w:ascii="幼圆" w:hAnsi="宋体" w:eastAsia="幼圆"/>
      <w:sz w:val="20"/>
      <w:szCs w:val="20"/>
    </w:rPr>
  </w:style>
  <w:style w:type="paragraph" w:styleId="4">
    <w:name w:val="envelope return"/>
    <w:basedOn w:val="1"/>
    <w:unhideWhenUsed/>
    <w:qFormat/>
    <w:uiPriority w:val="99"/>
    <w:pPr>
      <w:snapToGrid w:val="0"/>
    </w:pPr>
    <w:rPr>
      <w:rFonts w:ascii="Arial" w:hAnsi="Arial"/>
    </w:rPr>
  </w:style>
  <w:style w:type="paragraph" w:customStyle="1" w:styleId="7">
    <w:name w:val="HT_2级"/>
    <w:qFormat/>
    <w:uiPriority w:val="0"/>
    <w:pPr>
      <w:numPr>
        <w:ilvl w:val="1"/>
        <w:numId w:val="1"/>
      </w:numPr>
      <w:adjustRightInd w:val="0"/>
      <w:spacing w:line="336" w:lineRule="auto"/>
      <w:ind w:left="420" w:leftChars="200"/>
    </w:pPr>
    <w:rPr>
      <w:rFonts w:ascii="Calibri" w:hAnsi="Calibri" w:eastAsia="宋体" w:cs="Calibri"/>
      <w:sz w:val="24"/>
      <w:szCs w:val="24"/>
      <w:shd w:val="clear" w:color="auto" w:fill="FFFFFF" w:themeFill="background1"/>
      <w:lang w:val="en-US" w:eastAsia="zh-CN" w:bidi="ar-SA"/>
    </w:rPr>
  </w:style>
  <w:style w:type="paragraph" w:customStyle="1" w:styleId="8">
    <w:name w:val="11标题"/>
    <w:basedOn w:val="9"/>
    <w:qFormat/>
    <w:uiPriority w:val="0"/>
    <w:pPr>
      <w:numPr>
        <w:ilvl w:val="0"/>
        <w:numId w:val="2"/>
      </w:numPr>
      <w:spacing w:before="156" w:after="156" w:line="360" w:lineRule="auto"/>
      <w:ind w:firstLine="0" w:firstLineChars="0"/>
    </w:pPr>
    <w:rPr>
      <w:rFonts w:ascii="宋体" w:hAnsi="宋体"/>
      <w:b/>
      <w:szCs w:val="24"/>
    </w:rPr>
  </w:style>
  <w:style w:type="paragraph" w:styleId="9">
    <w:name w:val="List Paragraph"/>
    <w:basedOn w:val="1"/>
    <w:qFormat/>
    <w:uiPriority w:val="34"/>
    <w:pPr>
      <w:widowControl/>
      <w:spacing w:before="50" w:beforeLines="50" w:after="50" w:afterLines="50" w:line="400" w:lineRule="exact"/>
      <w:ind w:firstLine="420" w:firstLineChars="200"/>
    </w:pPr>
    <w:rPr>
      <w:rFonts w:ascii="Calibri" w:hAnsi="Calibri"/>
      <w:szCs w:val="22"/>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2021-03-03T07:33:00Z</dcterms:created>
  <dc:creator>A</dc:creator>
  <cp:lastModifiedBy>林</cp:lastModifiedBy>
  <dcterms:modified xsi:type="dcterms:W3CDTF">2021-03-03T08:41:34Z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2052-11.1.0.9929</vt:lpwstr>
  </property>
</Properties>
</file>