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53" w:rsidRDefault="003E3B53">
      <w:pPr>
        <w:jc w:val="center"/>
        <w:rPr>
          <w:rStyle w:val="font11"/>
          <w:rFonts w:ascii="Arial" w:hAnsi="Arial" w:cs="Arial" w:hint="default"/>
        </w:rPr>
      </w:pPr>
    </w:p>
    <w:p w:rsidR="005F55CD" w:rsidRDefault="005F55CD">
      <w:pPr>
        <w:jc w:val="center"/>
        <w:rPr>
          <w:rStyle w:val="font11"/>
          <w:rFonts w:ascii="Arial" w:hAnsi="Arial" w:cs="Arial" w:hint="default"/>
        </w:rPr>
      </w:pPr>
    </w:p>
    <w:p w:rsidR="005F55CD" w:rsidRDefault="005F55CD">
      <w:pPr>
        <w:jc w:val="center"/>
        <w:rPr>
          <w:rStyle w:val="font11"/>
          <w:rFonts w:ascii="Arial" w:hAnsi="Arial" w:cs="Arial" w:hint="default"/>
        </w:rPr>
      </w:pPr>
    </w:p>
    <w:p w:rsidR="005F55CD" w:rsidRDefault="005F55CD">
      <w:pPr>
        <w:jc w:val="center"/>
        <w:rPr>
          <w:rStyle w:val="font11"/>
          <w:rFonts w:ascii="Arial" w:hAnsi="Arial" w:cs="Arial"/>
        </w:rPr>
      </w:pPr>
    </w:p>
    <w:p w:rsidR="003E3B53" w:rsidRDefault="003E3B53">
      <w:pPr>
        <w:jc w:val="center"/>
        <w:rPr>
          <w:rStyle w:val="font11"/>
          <w:rFonts w:ascii="Arial" w:hAnsi="Arial" w:cs="Arial" w:hint="default"/>
        </w:rPr>
      </w:pPr>
    </w:p>
    <w:p w:rsidR="003E3B53" w:rsidRDefault="003E3B53">
      <w:pPr>
        <w:jc w:val="center"/>
        <w:rPr>
          <w:rStyle w:val="font11"/>
          <w:rFonts w:ascii="Arial" w:hAnsi="Arial" w:cs="Arial" w:hint="default"/>
        </w:rPr>
      </w:pPr>
    </w:p>
    <w:p w:rsidR="003E3B53" w:rsidRDefault="003E3B53">
      <w:pPr>
        <w:jc w:val="center"/>
        <w:rPr>
          <w:rStyle w:val="font11"/>
          <w:rFonts w:ascii="Arial" w:hAnsi="Arial" w:cs="Arial" w:hint="default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A36368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深圳</w:t>
      </w:r>
      <w:r>
        <w:rPr>
          <w:rFonts w:ascii="Arial" w:eastAsia="宋体" w:hAnsi="Arial" w:cs="Arial"/>
          <w:b/>
          <w:bCs/>
          <w:sz w:val="36"/>
          <w:szCs w:val="36"/>
        </w:rPr>
        <w:t>市</w:t>
      </w:r>
      <w:r>
        <w:rPr>
          <w:rFonts w:ascii="Arial" w:eastAsia="Arial Unicode MS" w:hAnsi="Arial" w:cs="Arial"/>
          <w:b/>
          <w:bCs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>
        <w:rPr>
          <w:rFonts w:ascii="Arial" w:eastAsia="宋体" w:hAnsi="Arial" w:cs="Arial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月房地产市场</w:t>
      </w:r>
    </w:p>
    <w:p w:rsidR="003E3B53" w:rsidRDefault="00A36368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分析报告</w:t>
      </w: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3E3B53" w:rsidRDefault="003E3B53">
      <w:pPr>
        <w:jc w:val="left"/>
        <w:rPr>
          <w:rFonts w:ascii="Arial" w:eastAsia="仿宋_GB2312" w:hAnsi="Arial" w:cs="Arial"/>
          <w:szCs w:val="21"/>
        </w:rPr>
      </w:pPr>
    </w:p>
    <w:p w:rsidR="003E3B53" w:rsidRDefault="00A36368">
      <w:pPr>
        <w:spacing w:line="48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委托方：中国对外经济贸易信托有限公司</w:t>
      </w:r>
    </w:p>
    <w:p w:rsidR="003E3B53" w:rsidRDefault="00A36368">
      <w:pPr>
        <w:spacing w:line="48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受托方：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北京康正宏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基房地产评估有限公司</w:t>
      </w:r>
      <w:r>
        <w:rPr>
          <w:rFonts w:ascii="宋体" w:eastAsia="宋体" w:hAnsi="宋体" w:cs="宋体" w:hint="eastAsia"/>
          <w:b/>
          <w:bCs/>
          <w:szCs w:val="21"/>
        </w:rPr>
        <w:tab/>
      </w:r>
    </w:p>
    <w:p w:rsidR="003E3B53" w:rsidRDefault="00A36368">
      <w:pPr>
        <w:spacing w:line="48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制作人：田苗苗</w:t>
      </w:r>
    </w:p>
    <w:p w:rsidR="003E3B53" w:rsidRDefault="00A36368">
      <w:pPr>
        <w:spacing w:line="48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制作日期：</w:t>
      </w:r>
      <w:r>
        <w:rPr>
          <w:rFonts w:ascii="Arial" w:eastAsia="Arial Unicode MS" w:hAnsi="Arial" w:cs="Arial"/>
          <w:b/>
          <w:bCs/>
          <w:szCs w:val="21"/>
        </w:rPr>
        <w:t>2019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>
        <w:rPr>
          <w:rFonts w:ascii="Arial" w:eastAsia="宋体" w:hAnsi="Arial" w:cs="Arial"/>
          <w:b/>
          <w:bCs/>
          <w:szCs w:val="21"/>
        </w:rPr>
        <w:t>3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>
        <w:rPr>
          <w:rFonts w:ascii="Arial" w:eastAsia="宋体" w:hAnsi="Arial" w:cs="Arial"/>
          <w:b/>
          <w:bCs/>
          <w:szCs w:val="21"/>
        </w:rPr>
        <w:t>10</w:t>
      </w:r>
      <w:r>
        <w:rPr>
          <w:rFonts w:ascii="宋体" w:eastAsia="宋体" w:hAnsi="宋体" w:cs="宋体" w:hint="eastAsia"/>
          <w:b/>
          <w:bCs/>
          <w:szCs w:val="21"/>
        </w:rPr>
        <w:t>日</w:t>
      </w:r>
    </w:p>
    <w:p w:rsidR="003E3B53" w:rsidRDefault="003E3B53">
      <w:pPr>
        <w:widowControl/>
        <w:jc w:val="left"/>
        <w:rPr>
          <w:rFonts w:ascii="Arial" w:eastAsia="仿宋_GB2312" w:hAnsi="Arial" w:cs="Arial"/>
          <w:sz w:val="28"/>
          <w:szCs w:val="28"/>
        </w:rPr>
        <w:sectPr w:rsidR="003E3B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1134" w:bottom="1134" w:left="1134" w:header="851" w:footer="850" w:gutter="340"/>
          <w:cols w:space="0"/>
          <w:titlePg/>
          <w:docGrid w:type="lines" w:linePitch="307"/>
        </w:sectPr>
      </w:pPr>
    </w:p>
    <w:sdt>
      <w:sdtPr>
        <w:rPr>
          <w:rFonts w:ascii="宋体" w:eastAsia="宋体" w:hAnsi="宋体" w:cs="宋体" w:hint="eastAsia"/>
          <w:b w:val="0"/>
          <w:bCs w:val="0"/>
          <w:color w:val="auto"/>
          <w:kern w:val="2"/>
          <w:lang w:val="zh-CN"/>
        </w:rPr>
        <w:id w:val="1537001427"/>
      </w:sdtPr>
      <w:sdtEndPr>
        <w:rPr>
          <w:rFonts w:ascii="Arial" w:eastAsia="仿宋_GB2312" w:hAnsi="Arial" w:cs="Arial"/>
          <w:sz w:val="24"/>
          <w:szCs w:val="24"/>
        </w:rPr>
      </w:sdtEndPr>
      <w:sdtContent>
        <w:p w:rsidR="003E3B53" w:rsidRDefault="00A36368">
          <w:pPr>
            <w:pStyle w:val="TOC1"/>
            <w:spacing w:before="0" w:line="360" w:lineRule="auto"/>
            <w:ind w:firstLineChars="45" w:firstLine="126"/>
            <w:jc w:val="center"/>
            <w:rPr>
              <w:rFonts w:ascii="宋体" w:eastAsia="宋体" w:hAnsi="宋体" w:cs="宋体"/>
              <w:color w:val="auto"/>
              <w:lang w:val="zh-CN"/>
            </w:rPr>
          </w:pPr>
          <w:r>
            <w:rPr>
              <w:rFonts w:ascii="宋体" w:eastAsia="宋体" w:hAnsi="宋体" w:cs="宋体" w:hint="eastAsia"/>
              <w:color w:val="auto"/>
              <w:lang w:val="zh-CN"/>
            </w:rPr>
            <w:t>目录</w:t>
          </w:r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r>
            <w:rPr>
              <w:rFonts w:ascii="Arial" w:eastAsia="仿宋_GB2312" w:hAnsi="Arial" w:cs="Arial"/>
              <w:sz w:val="24"/>
              <w:szCs w:val="24"/>
            </w:rPr>
            <w:fldChar w:fldCharType="begin"/>
          </w:r>
          <w:r>
            <w:rPr>
              <w:rFonts w:ascii="Arial" w:eastAsia="仿宋_GB2312" w:hAnsi="Arial" w:cs="Arial"/>
              <w:sz w:val="24"/>
              <w:szCs w:val="24"/>
            </w:rPr>
            <w:instrText xml:space="preserve"> TOC \o "1-3"</w:instrText>
          </w:r>
          <w:r>
            <w:rPr>
              <w:rFonts w:ascii="Arial" w:eastAsia="仿宋_GB2312" w:hAnsi="Arial" w:cs="Arial"/>
              <w:sz w:val="24"/>
              <w:szCs w:val="24"/>
            </w:rPr>
            <w:instrText xml:space="preserve"> \h \z \u </w:instrText>
          </w:r>
          <w:r>
            <w:rPr>
              <w:rFonts w:ascii="Arial" w:eastAsia="仿宋_GB2312" w:hAnsi="Arial" w:cs="Arial"/>
              <w:sz w:val="24"/>
              <w:szCs w:val="24"/>
            </w:rPr>
            <w:fldChar w:fldCharType="separate"/>
          </w:r>
          <w:hyperlink w:anchor="_Toc1210" w:history="1">
            <w:r>
              <w:rPr>
                <w:rFonts w:ascii="Arial" w:eastAsia="仿宋_GB2312" w:hAnsi="Arial" w:cs="Arial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土地市场</w:t>
            </w:r>
            <w:r>
              <w:tab/>
            </w:r>
            <w:r>
              <w:fldChar w:fldCharType="begin"/>
            </w:r>
            <w:r>
              <w:instrText xml:space="preserve"> PAGEREF _Toc1210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 w:rsidP="005F55CD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  <w:ind w:leftChars="0" w:left="0"/>
          </w:pPr>
          <w:hyperlink w:anchor="_Toc21955" w:history="1">
            <w:r>
              <w:rPr>
                <w:rFonts w:ascii="Arial" w:eastAsia="仿宋_GB2312" w:hAnsi="Arial" w:cs="Arial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商业地产市场</w:t>
            </w:r>
            <w:r>
              <w:tab/>
            </w:r>
            <w:r>
              <w:fldChar w:fldCharType="begin"/>
            </w:r>
            <w:r>
              <w:instrText xml:space="preserve"> PAGEREF _Toc21955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2699" w:history="1">
            <w:r>
              <w:rPr>
                <w:rFonts w:ascii="Arial" w:eastAsia="仿宋_GB2312" w:hAnsi="Arial" w:cs="Arial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szCs w:val="21"/>
              </w:rPr>
              <w:t>一手商业</w:t>
            </w:r>
            <w:r>
              <w:tab/>
            </w:r>
            <w:r>
              <w:fldChar w:fldCharType="begin"/>
            </w:r>
            <w:r>
              <w:instrText xml:space="preserve"> PAGEREF _Toc12699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23720" w:history="1">
            <w:r>
              <w:rPr>
                <w:rFonts w:ascii="Arial" w:eastAsia="仿宋_GB2312" w:hAnsi="Arial" w:cs="Arial"/>
                <w:szCs w:val="21"/>
              </w:rPr>
              <w:t>2.1.1</w:t>
            </w:r>
            <w:r>
              <w:rPr>
                <w:rFonts w:ascii="宋体" w:eastAsia="宋体" w:hAnsi="宋体" w:cs="宋体" w:hint="eastAsia"/>
                <w:szCs w:val="21"/>
              </w:rPr>
              <w:t>新增供应量情况</w:t>
            </w:r>
            <w:r>
              <w:tab/>
            </w:r>
            <w:r>
              <w:fldChar w:fldCharType="begin"/>
            </w:r>
            <w:r>
              <w:instrText xml:space="preserve"> PAGEREF _Toc23720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23924" w:history="1">
            <w:r>
              <w:rPr>
                <w:rFonts w:ascii="Arial" w:eastAsia="宋体" w:hAnsi="Arial" w:cs="宋体"/>
                <w:szCs w:val="21"/>
              </w:rPr>
              <w:t>2.1.2</w:t>
            </w:r>
            <w:r>
              <w:rPr>
                <w:rFonts w:ascii="Arial" w:eastAsia="宋体" w:hAnsi="Arial" w:cs="宋体"/>
                <w:szCs w:val="21"/>
              </w:rPr>
              <w:t>成交量情况</w:t>
            </w:r>
            <w:r>
              <w:tab/>
            </w:r>
            <w:r>
              <w:fldChar w:fldCharType="begin"/>
            </w:r>
            <w:r>
              <w:instrText xml:space="preserve"> PAGEREF _Toc23924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23585" w:history="1">
            <w:r>
              <w:rPr>
                <w:rFonts w:ascii="Arial" w:eastAsia="宋体" w:hAnsi="Arial" w:cs="宋体"/>
                <w:szCs w:val="21"/>
              </w:rPr>
              <w:t>2.2</w:t>
            </w:r>
            <w:r>
              <w:rPr>
                <w:rFonts w:ascii="Arial" w:eastAsia="宋体" w:hAnsi="Arial" w:cs="宋体"/>
                <w:szCs w:val="21"/>
              </w:rPr>
              <w:t>二手商业成交量情况</w:t>
            </w:r>
            <w:r>
              <w:tab/>
            </w:r>
            <w:r>
              <w:fldChar w:fldCharType="begin"/>
            </w:r>
            <w:r>
              <w:instrText xml:space="preserve"> PAGEREF _Toc23585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19117" w:history="1">
            <w:r>
              <w:rPr>
                <w:rFonts w:ascii="Arial" w:eastAsia="宋体" w:hAnsi="Arial" w:cs="宋体"/>
                <w:szCs w:val="24"/>
              </w:rPr>
              <w:t>3</w:t>
            </w:r>
            <w:r>
              <w:rPr>
                <w:rFonts w:ascii="Arial" w:eastAsia="宋体" w:hAnsi="Arial" w:cs="宋体" w:hint="eastAsia"/>
                <w:szCs w:val="24"/>
              </w:rPr>
              <w:t>住宅市场</w:t>
            </w:r>
            <w:r>
              <w:tab/>
            </w:r>
            <w:r>
              <w:fldChar w:fldCharType="begin"/>
            </w:r>
            <w:r>
              <w:instrText xml:space="preserve"> PAGEREF _Toc19117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3360" w:history="1">
            <w:r>
              <w:rPr>
                <w:rFonts w:ascii="Arial" w:eastAsia="宋体" w:hAnsi="Arial" w:cs="宋体"/>
                <w:szCs w:val="21"/>
              </w:rPr>
              <w:t xml:space="preserve">3.1 </w:t>
            </w:r>
            <w:r>
              <w:rPr>
                <w:rFonts w:ascii="Arial" w:eastAsia="宋体" w:hAnsi="Arial" w:cs="宋体"/>
                <w:szCs w:val="21"/>
              </w:rPr>
              <w:t>一手住宅</w:t>
            </w:r>
            <w:r>
              <w:tab/>
            </w:r>
            <w:r>
              <w:fldChar w:fldCharType="begin"/>
            </w:r>
            <w:r>
              <w:instrText xml:space="preserve"> PAGEREF _Toc13360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5581" w:history="1">
            <w:r>
              <w:rPr>
                <w:rFonts w:ascii="Arial" w:eastAsia="宋体" w:hAnsi="Arial" w:cs="宋体"/>
                <w:szCs w:val="21"/>
              </w:rPr>
              <w:t>3.1.1</w:t>
            </w:r>
            <w:r>
              <w:rPr>
                <w:rFonts w:ascii="Arial" w:eastAsia="宋体" w:hAnsi="Arial" w:cs="宋体"/>
                <w:szCs w:val="21"/>
              </w:rPr>
              <w:t>一手住宅供应量</w:t>
            </w:r>
            <w:r>
              <w:tab/>
            </w:r>
            <w:r>
              <w:fldChar w:fldCharType="begin"/>
            </w:r>
            <w:r>
              <w:instrText xml:space="preserve"> PAGEREF _Toc5581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6569" w:history="1">
            <w:r>
              <w:rPr>
                <w:rFonts w:ascii="Arial" w:eastAsia="宋体" w:hAnsi="Arial" w:cs="宋体" w:hint="eastAsia"/>
                <w:szCs w:val="21"/>
              </w:rPr>
              <w:t>3.1.</w:t>
            </w:r>
            <w:r>
              <w:rPr>
                <w:rFonts w:ascii="Arial" w:hAnsi="Arial" w:cs="宋体" w:hint="eastAsia"/>
                <w:szCs w:val="21"/>
              </w:rPr>
              <w:t>2</w:t>
            </w:r>
            <w:r>
              <w:rPr>
                <w:rFonts w:ascii="Arial" w:eastAsia="宋体" w:hAnsi="Arial" w:cs="宋体" w:hint="eastAsia"/>
                <w:szCs w:val="21"/>
              </w:rPr>
              <w:t>一手住宅成交价格</w:t>
            </w:r>
            <w:r>
              <w:tab/>
            </w:r>
            <w:r>
              <w:fldChar w:fldCharType="begin"/>
            </w:r>
            <w:r>
              <w:instrText xml:space="preserve"> PAGEREF _Toc16569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4639" w:history="1">
            <w:r>
              <w:rPr>
                <w:rFonts w:ascii="Arial" w:eastAsia="宋体" w:hAnsi="Arial" w:cs="宋体" w:hint="eastAsia"/>
                <w:szCs w:val="21"/>
              </w:rPr>
              <w:t>3.1.</w:t>
            </w:r>
            <w:r>
              <w:rPr>
                <w:rFonts w:ascii="Arial" w:eastAsia="宋体" w:hAnsi="Arial" w:cs="宋体" w:hint="eastAsia"/>
                <w:szCs w:val="21"/>
              </w:rPr>
              <w:t>3</w:t>
            </w:r>
            <w:r>
              <w:rPr>
                <w:rFonts w:ascii="Arial" w:eastAsia="宋体" w:hAnsi="Arial" w:cs="宋体" w:hint="eastAsia"/>
                <w:szCs w:val="21"/>
              </w:rPr>
              <w:t>一手住宅成交量</w:t>
            </w:r>
            <w:r>
              <w:tab/>
            </w:r>
            <w:r>
              <w:fldChar w:fldCharType="begin"/>
            </w:r>
            <w:r>
              <w:instrText xml:space="preserve"> PAGEREF _Toc4639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2093" w:history="1">
            <w:r>
              <w:rPr>
                <w:rFonts w:ascii="Arial" w:eastAsia="宋体" w:hAnsi="Arial" w:cs="宋体" w:hint="eastAsia"/>
                <w:szCs w:val="21"/>
              </w:rPr>
              <w:t>3.2</w:t>
            </w:r>
            <w:r>
              <w:rPr>
                <w:rFonts w:ascii="Arial" w:eastAsia="宋体" w:hAnsi="Arial" w:cs="宋体" w:hint="eastAsia"/>
                <w:szCs w:val="21"/>
              </w:rPr>
              <w:t>二手住宅</w:t>
            </w:r>
            <w:r>
              <w:tab/>
            </w:r>
            <w:r>
              <w:fldChar w:fldCharType="begin"/>
            </w:r>
            <w:r>
              <w:instrText xml:space="preserve"> PAGEREF _Toc12093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31633" w:history="1">
            <w:r>
              <w:rPr>
                <w:rFonts w:ascii="Arial" w:eastAsia="宋体" w:hAnsi="Arial" w:cs="宋体" w:hint="eastAsia"/>
                <w:szCs w:val="21"/>
              </w:rPr>
              <w:t>3.2.1</w:t>
            </w:r>
            <w:r>
              <w:rPr>
                <w:rFonts w:ascii="Arial" w:eastAsia="宋体" w:hAnsi="Arial" w:cs="宋体" w:hint="eastAsia"/>
                <w:szCs w:val="21"/>
              </w:rPr>
              <w:t>二手住宅挂牌价格</w:t>
            </w:r>
            <w:r>
              <w:tab/>
            </w:r>
            <w:r>
              <w:fldChar w:fldCharType="begin"/>
            </w:r>
            <w:r>
              <w:instrText xml:space="preserve"> PAGEREF _Toc31633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7674" w:history="1">
            <w:r>
              <w:rPr>
                <w:rFonts w:ascii="Arial" w:eastAsia="宋体" w:hAnsi="Arial" w:cs="宋体" w:hint="eastAsia"/>
                <w:szCs w:val="21"/>
              </w:rPr>
              <w:t>3.2.2</w:t>
            </w:r>
            <w:r>
              <w:rPr>
                <w:rFonts w:ascii="Arial" w:eastAsia="宋体" w:hAnsi="Arial" w:cs="宋体" w:hint="eastAsia"/>
                <w:szCs w:val="21"/>
              </w:rPr>
              <w:t>二手</w:t>
            </w:r>
            <w:r>
              <w:rPr>
                <w:rFonts w:ascii="Arial" w:hAnsi="Arial" w:cs="宋体" w:hint="eastAsia"/>
                <w:szCs w:val="21"/>
              </w:rPr>
              <w:t>商品房</w:t>
            </w:r>
            <w:r>
              <w:rPr>
                <w:rFonts w:ascii="Arial" w:eastAsia="宋体" w:hAnsi="Arial" w:cs="宋体" w:hint="eastAsia"/>
                <w:szCs w:val="21"/>
              </w:rPr>
              <w:t>成交量</w:t>
            </w:r>
            <w:r>
              <w:tab/>
            </w:r>
            <w:r>
              <w:fldChar w:fldCharType="begin"/>
            </w:r>
            <w:r>
              <w:instrText xml:space="preserve"> PAGEREF _Toc17674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E3B53" w:rsidRDefault="00A36368">
          <w:pPr>
            <w:pStyle w:val="20"/>
            <w:tabs>
              <w:tab w:val="clear" w:pos="8777"/>
              <w:tab w:val="right" w:leader="dot" w:pos="9638"/>
            </w:tabs>
            <w:spacing w:line="360" w:lineRule="auto"/>
          </w:pPr>
          <w:hyperlink w:anchor="_Toc14139" w:history="1">
            <w:r>
              <w:rPr>
                <w:rFonts w:ascii="Arial" w:eastAsia="宋体" w:hAnsi="Arial" w:cs="宋体" w:hint="eastAsia"/>
                <w:szCs w:val="21"/>
              </w:rPr>
              <w:t>3.2.3</w:t>
            </w:r>
            <w:r>
              <w:rPr>
                <w:rFonts w:ascii="Arial" w:eastAsia="宋体" w:hAnsi="Arial" w:cs="宋体" w:hint="eastAsia"/>
                <w:szCs w:val="21"/>
              </w:rPr>
              <w:t>二手住宅租金均价</w:t>
            </w:r>
            <w:r>
              <w:tab/>
            </w:r>
            <w:r>
              <w:fldChar w:fldCharType="begin"/>
            </w:r>
            <w:r>
              <w:instrText xml:space="preserve"> PAGEREF _Toc14139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20751" w:history="1">
            <w:r>
              <w:rPr>
                <w:rFonts w:ascii="Arial" w:eastAsia="宋体" w:hAnsi="Arial" w:cs="宋体" w:hint="eastAsia"/>
                <w:szCs w:val="24"/>
              </w:rPr>
              <w:t>4</w:t>
            </w:r>
            <w:r>
              <w:rPr>
                <w:rFonts w:ascii="Arial" w:eastAsia="宋体" w:hAnsi="Arial" w:cs="宋体" w:hint="eastAsia"/>
                <w:szCs w:val="24"/>
              </w:rPr>
              <w:t>小结</w:t>
            </w:r>
            <w:r>
              <w:tab/>
            </w:r>
            <w:r>
              <w:fldChar w:fldCharType="begin"/>
            </w:r>
            <w:r>
              <w:instrText xml:space="preserve"> PAGEREF _Toc20751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7530" w:history="1">
            <w:r>
              <w:rPr>
                <w:rFonts w:ascii="Arial" w:eastAsia="宋体" w:hAnsi="Arial" w:cs="宋体" w:hint="eastAsia"/>
                <w:szCs w:val="24"/>
              </w:rPr>
              <w:t>5</w:t>
            </w:r>
            <w:r>
              <w:rPr>
                <w:rFonts w:ascii="Arial" w:eastAsia="宋体" w:hAnsi="Arial" w:cs="宋体" w:hint="eastAsia"/>
                <w:szCs w:val="24"/>
              </w:rPr>
              <w:t>监管各项目所在区房地产市场情况</w:t>
            </w:r>
            <w:r>
              <w:tab/>
            </w:r>
            <w:r>
              <w:fldChar w:fldCharType="begin"/>
            </w:r>
            <w:r>
              <w:instrText xml:space="preserve"> PAGEREF _Toc7530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15809" w:history="1">
            <w:r>
              <w:rPr>
                <w:rFonts w:ascii="Arial" w:eastAsia="宋体" w:hAnsi="Arial" w:cs="宋体" w:hint="eastAsia"/>
                <w:szCs w:val="21"/>
              </w:rPr>
              <w:t>5.1</w:t>
            </w:r>
            <w:r>
              <w:rPr>
                <w:rFonts w:ascii="Arial" w:eastAsia="宋体" w:hAnsi="Arial" w:cs="宋体" w:hint="eastAsia"/>
                <w:szCs w:val="21"/>
              </w:rPr>
              <w:t>监管各项目所在区商业地产市场情况</w:t>
            </w:r>
            <w:r>
              <w:tab/>
            </w:r>
            <w:r>
              <w:fldChar w:fldCharType="begin"/>
            </w:r>
            <w:r>
              <w:instrText xml:space="preserve"> PAGEREF _Toc15809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5046" w:history="1">
            <w:r>
              <w:rPr>
                <w:rFonts w:ascii="Arial" w:eastAsia="宋体" w:hAnsi="Arial" w:cs="宋体" w:hint="eastAsia"/>
                <w:szCs w:val="21"/>
              </w:rPr>
              <w:t xml:space="preserve">5.2 </w:t>
            </w:r>
            <w:r>
              <w:rPr>
                <w:rFonts w:ascii="Arial" w:eastAsia="宋体" w:hAnsi="Arial" w:cs="宋体" w:hint="eastAsia"/>
                <w:szCs w:val="21"/>
              </w:rPr>
              <w:t>监管各项目所在区商品住宅市场情况</w:t>
            </w:r>
            <w:r>
              <w:tab/>
            </w:r>
            <w:r>
              <w:fldChar w:fldCharType="begin"/>
            </w:r>
            <w:r>
              <w:instrText xml:space="preserve"> PAGEREF _Toc5046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22367" w:history="1">
            <w:r>
              <w:rPr>
                <w:rFonts w:ascii="Arial" w:eastAsia="宋体" w:hAnsi="Arial" w:cs="宋体" w:hint="eastAsia"/>
                <w:szCs w:val="24"/>
              </w:rPr>
              <w:t>6</w:t>
            </w:r>
            <w:r>
              <w:rPr>
                <w:rFonts w:ascii="Arial" w:eastAsia="宋体" w:hAnsi="Arial" w:cs="宋体" w:hint="eastAsia"/>
                <w:szCs w:val="24"/>
              </w:rPr>
              <w:t>项目</w:t>
            </w:r>
            <w:r>
              <w:rPr>
                <w:rFonts w:ascii="Arial" w:hAnsi="Arial" w:cs="宋体" w:hint="eastAsia"/>
                <w:szCs w:val="24"/>
              </w:rPr>
              <w:t>移交及销</w:t>
            </w:r>
            <w:r>
              <w:rPr>
                <w:rFonts w:ascii="Arial" w:eastAsia="宋体" w:hAnsi="Arial" w:cs="宋体" w:hint="eastAsia"/>
                <w:szCs w:val="24"/>
              </w:rPr>
              <w:t>售情况</w:t>
            </w:r>
            <w:r>
              <w:tab/>
            </w:r>
            <w:r>
              <w:fldChar w:fldCharType="begin"/>
            </w:r>
            <w:r>
              <w:instrText xml:space="preserve"> PAGEREF _Toc22367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15482" w:history="1">
            <w:r>
              <w:rPr>
                <w:rFonts w:ascii="Arial" w:eastAsia="宋体" w:hAnsi="Arial" w:cs="宋体" w:hint="eastAsia"/>
                <w:szCs w:val="21"/>
              </w:rPr>
              <w:t>6.1</w:t>
            </w:r>
            <w:r>
              <w:rPr>
                <w:rFonts w:ascii="Arial" w:eastAsia="宋体" w:hAnsi="Arial" w:cs="宋体" w:hint="eastAsia"/>
                <w:szCs w:val="21"/>
              </w:rPr>
              <w:t>荣德国际</w:t>
            </w:r>
            <w:r>
              <w:tab/>
            </w:r>
            <w:r>
              <w:fldChar w:fldCharType="begin"/>
            </w:r>
            <w:r>
              <w:instrText xml:space="preserve"> PAGEREF _Toc15482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15061" w:history="1">
            <w:r>
              <w:rPr>
                <w:rFonts w:ascii="Arial" w:eastAsia="宋体" w:hAnsi="Arial" w:cs="宋体" w:hint="eastAsia"/>
                <w:szCs w:val="24"/>
              </w:rPr>
              <w:t>7</w:t>
            </w:r>
            <w:r>
              <w:rPr>
                <w:rFonts w:ascii="Arial" w:eastAsia="宋体" w:hAnsi="Arial" w:cs="宋体" w:hint="eastAsia"/>
                <w:szCs w:val="24"/>
              </w:rPr>
              <w:t>各项目现场</w:t>
            </w:r>
            <w:r>
              <w:tab/>
            </w:r>
            <w:r>
              <w:fldChar w:fldCharType="begin"/>
            </w:r>
            <w:r>
              <w:instrText xml:space="preserve"> PAGEREF _Toc15061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3E3B53" w:rsidRDefault="00A36368">
          <w:pPr>
            <w:pStyle w:val="10"/>
            <w:tabs>
              <w:tab w:val="right" w:leader="dot" w:pos="9638"/>
            </w:tabs>
            <w:spacing w:line="360" w:lineRule="auto"/>
          </w:pPr>
          <w:hyperlink w:anchor="_Toc15601" w:history="1">
            <w:r>
              <w:rPr>
                <w:rFonts w:ascii="Arial" w:eastAsia="宋体" w:hAnsi="Arial" w:cs="宋体" w:hint="eastAsia"/>
                <w:szCs w:val="21"/>
              </w:rPr>
              <w:t>7.1</w:t>
            </w:r>
            <w:r>
              <w:rPr>
                <w:rFonts w:ascii="Arial" w:eastAsia="宋体" w:hAnsi="Arial" w:cs="宋体" w:hint="eastAsia"/>
                <w:szCs w:val="21"/>
              </w:rPr>
              <w:t>荣德国际（</w:t>
            </w:r>
            <w:r>
              <w:rPr>
                <w:rFonts w:ascii="Arial" w:eastAsia="宋体" w:hAnsi="Arial" w:cs="宋体" w:hint="eastAsia"/>
                <w:szCs w:val="21"/>
              </w:rPr>
              <w:t>2019.</w:t>
            </w:r>
            <w:r>
              <w:rPr>
                <w:rFonts w:ascii="Arial" w:hAnsi="Arial" w:cs="宋体" w:hint="eastAsia"/>
                <w:szCs w:val="21"/>
              </w:rPr>
              <w:t>3</w:t>
            </w:r>
            <w:r>
              <w:rPr>
                <w:rFonts w:ascii="Arial" w:eastAsia="宋体" w:hAnsi="Arial" w:cs="宋体" w:hint="eastAsia"/>
                <w:szCs w:val="21"/>
              </w:rPr>
              <w:t>.1</w:t>
            </w:r>
            <w:r>
              <w:rPr>
                <w:rFonts w:ascii="Arial" w:hAnsi="Arial" w:cs="宋体" w:hint="eastAsia"/>
                <w:szCs w:val="21"/>
              </w:rPr>
              <w:t>0</w:t>
            </w:r>
            <w:r>
              <w:rPr>
                <w:rFonts w:ascii="Arial" w:eastAsia="宋体" w:hAnsi="Arial" w:cs="宋体" w:hint="eastAsia"/>
                <w:szCs w:val="21"/>
              </w:rPr>
              <w:t>）</w:t>
            </w:r>
            <w:r>
              <w:tab/>
            </w:r>
            <w:r>
              <w:fldChar w:fldCharType="begin"/>
            </w:r>
            <w:r>
              <w:instrText xml:space="preserve"> PAGEREF _Toc15601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3E3B53" w:rsidRDefault="00A36368">
          <w:pPr>
            <w:spacing w:line="360" w:lineRule="auto"/>
            <w:rPr>
              <w:rFonts w:ascii="Arial" w:eastAsia="仿宋_GB2312" w:hAnsi="Arial" w:cs="Arial"/>
              <w:bCs/>
              <w:szCs w:val="24"/>
              <w:lang w:val="zh-CN"/>
            </w:rPr>
          </w:pPr>
          <w:r>
            <w:rPr>
              <w:rFonts w:ascii="Arial" w:eastAsia="仿宋_GB2312" w:hAnsi="Arial" w:cs="Arial"/>
              <w:bCs/>
              <w:szCs w:val="24"/>
              <w:lang w:val="zh-CN"/>
            </w:rPr>
            <w:fldChar w:fldCharType="end"/>
          </w:r>
        </w:p>
        <w:p w:rsidR="003E3B53" w:rsidRDefault="003E3B53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3E3B53" w:rsidRDefault="003E3B53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3E3B53" w:rsidRDefault="003E3B53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3E3B53" w:rsidRDefault="00A36368">
          <w:pPr>
            <w:rPr>
              <w:rFonts w:ascii="Arial" w:eastAsia="仿宋_GB2312" w:hAnsi="Arial" w:cs="Arial"/>
            </w:rPr>
          </w:pPr>
        </w:p>
        <w:bookmarkStart w:id="0" w:name="_Toc471672057" w:displacedByCustomXml="next"/>
        <w:bookmarkStart w:id="1" w:name="_Toc32406" w:displacedByCustomXml="next"/>
        <w:bookmarkStart w:id="2" w:name="_Toc15445" w:displacedByCustomXml="next"/>
        <w:bookmarkStart w:id="3" w:name="_Toc10868" w:displacedByCustomXml="next"/>
      </w:sdtContent>
    </w:sdt>
    <w:p w:rsidR="003E3B53" w:rsidRDefault="00A36368">
      <w:pPr>
        <w:pStyle w:val="a9"/>
        <w:spacing w:before="300" w:after="300" w:line="360" w:lineRule="exact"/>
        <w:jc w:val="both"/>
        <w:rPr>
          <w:rFonts w:ascii="Arial" w:eastAsia="仿宋_GB2312" w:hAnsi="Arial" w:cs="Arial"/>
          <w:sz w:val="24"/>
          <w:szCs w:val="24"/>
        </w:rPr>
      </w:pPr>
      <w:bookmarkStart w:id="4" w:name="_Toc1210"/>
      <w:r>
        <w:rPr>
          <w:rFonts w:ascii="Arial" w:eastAsia="仿宋_GB2312" w:hAnsi="Arial" w:cs="Arial"/>
          <w:sz w:val="24"/>
          <w:szCs w:val="24"/>
        </w:rPr>
        <w:lastRenderedPageBreak/>
        <w:t>1</w:t>
      </w:r>
      <w:r>
        <w:rPr>
          <w:rFonts w:ascii="宋体" w:hAnsi="宋体" w:cs="宋体" w:hint="eastAsia"/>
          <w:sz w:val="24"/>
          <w:szCs w:val="24"/>
        </w:rPr>
        <w:t>土地市场</w:t>
      </w:r>
      <w:bookmarkEnd w:id="3"/>
      <w:bookmarkEnd w:id="2"/>
      <w:bookmarkEnd w:id="1"/>
      <w:bookmarkEnd w:id="4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000000"/>
          <w:sz w:val="21"/>
          <w:szCs w:val="21"/>
        </w:rPr>
      </w:pPr>
      <w:bookmarkStart w:id="5" w:name="_Toc8575"/>
      <w:bookmarkStart w:id="6" w:name="_Toc4784"/>
      <w:bookmarkStart w:id="7" w:name="_Toc16418"/>
      <w:bookmarkStart w:id="8" w:name="_Toc1359"/>
      <w:bookmarkStart w:id="9" w:name="_Toc20140"/>
      <w:bookmarkStart w:id="10" w:name="_Toc11175"/>
      <w:bookmarkStart w:id="11" w:name="_Toc1120"/>
      <w:bookmarkStart w:id="12" w:name="_Toc7083"/>
      <w:bookmarkStart w:id="13" w:name="_Toc24968"/>
      <w:bookmarkStart w:id="14" w:name="_Toc29750"/>
      <w:bookmarkStart w:id="15" w:name="_Toc19863"/>
      <w:bookmarkStart w:id="16" w:name="_Toc17303"/>
      <w:bookmarkStart w:id="17" w:name="_Toc22804"/>
      <w:bookmarkEnd w:id="0"/>
      <w:r>
        <w:rPr>
          <w:rFonts w:hint="eastAsia"/>
          <w:color w:val="000000"/>
          <w:sz w:val="21"/>
          <w:szCs w:val="21"/>
        </w:rPr>
        <w:t>根据深圳房地产信息网的监测，</w:t>
      </w:r>
      <w:r>
        <w:rPr>
          <w:rFonts w:hint="eastAsia"/>
          <w:color w:val="000000"/>
          <w:sz w:val="21"/>
          <w:szCs w:val="21"/>
        </w:rPr>
        <w:t>2019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月深圳</w:t>
      </w:r>
      <w:proofErr w:type="gramStart"/>
      <w:r>
        <w:rPr>
          <w:rFonts w:hint="eastAsia"/>
          <w:color w:val="000000"/>
          <w:sz w:val="21"/>
          <w:szCs w:val="21"/>
        </w:rPr>
        <w:t>无住宅</w:t>
      </w:r>
      <w:proofErr w:type="gramEnd"/>
      <w:r>
        <w:rPr>
          <w:rFonts w:hint="eastAsia"/>
          <w:color w:val="000000"/>
          <w:sz w:val="21"/>
          <w:szCs w:val="21"/>
        </w:rPr>
        <w:t>和商业性办公用地出让。</w:t>
      </w:r>
    </w:p>
    <w:p w:rsidR="003E3B53" w:rsidRDefault="00A36368">
      <w:pPr>
        <w:pStyle w:val="a7"/>
        <w:tabs>
          <w:tab w:val="center" w:pos="4393"/>
        </w:tabs>
        <w:spacing w:before="300" w:after="300" w:line="360" w:lineRule="exact"/>
        <w:jc w:val="both"/>
        <w:outlineLvl w:val="0"/>
        <w:rPr>
          <w:rFonts w:ascii="Arial" w:eastAsia="仿宋_GB2312" w:hAnsi="Arial" w:cs="Arial"/>
          <w:sz w:val="24"/>
          <w:szCs w:val="24"/>
        </w:rPr>
      </w:pPr>
      <w:bookmarkStart w:id="18" w:name="_Toc21955"/>
      <w:r>
        <w:rPr>
          <w:rFonts w:ascii="Arial" w:eastAsia="仿宋_GB2312" w:hAnsi="Arial" w:cs="Arial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商业地产</w:t>
      </w:r>
      <w:bookmarkEnd w:id="5"/>
      <w:bookmarkEnd w:id="6"/>
      <w:bookmarkEnd w:id="7"/>
      <w:bookmarkEnd w:id="8"/>
      <w:bookmarkEnd w:id="9"/>
      <w:r>
        <w:rPr>
          <w:rFonts w:ascii="宋体" w:hAnsi="宋体" w:cs="宋体" w:hint="eastAsia"/>
          <w:sz w:val="24"/>
          <w:szCs w:val="24"/>
        </w:rPr>
        <w:t>市场</w:t>
      </w:r>
      <w:bookmarkEnd w:id="10"/>
      <w:bookmarkEnd w:id="11"/>
      <w:bookmarkEnd w:id="12"/>
      <w:bookmarkEnd w:id="18"/>
    </w:p>
    <w:p w:rsidR="003E3B53" w:rsidRDefault="00A36368">
      <w:pPr>
        <w:pStyle w:val="a7"/>
        <w:spacing w:before="300" w:after="300" w:line="360" w:lineRule="exact"/>
        <w:jc w:val="both"/>
        <w:rPr>
          <w:rFonts w:ascii="Arial" w:eastAsia="仿宋_GB2312" w:hAnsi="Arial" w:cs="Arial"/>
          <w:sz w:val="21"/>
          <w:szCs w:val="21"/>
        </w:rPr>
      </w:pPr>
      <w:bookmarkStart w:id="19" w:name="_Toc30165"/>
      <w:bookmarkStart w:id="20" w:name="_Toc29283"/>
      <w:bookmarkStart w:id="21" w:name="_Toc29182"/>
      <w:bookmarkStart w:id="22" w:name="_Toc12699"/>
      <w:r>
        <w:rPr>
          <w:rFonts w:ascii="Arial" w:eastAsia="仿宋_GB2312" w:hAnsi="Arial" w:cs="Arial"/>
          <w:sz w:val="21"/>
          <w:szCs w:val="21"/>
        </w:rPr>
        <w:t>2.1</w:t>
      </w:r>
      <w:r>
        <w:rPr>
          <w:rFonts w:ascii="宋体" w:hAnsi="宋体" w:cs="宋体" w:hint="eastAsia"/>
          <w:sz w:val="21"/>
          <w:szCs w:val="21"/>
        </w:rPr>
        <w:t>一手商业</w:t>
      </w:r>
      <w:bookmarkEnd w:id="13"/>
      <w:bookmarkEnd w:id="14"/>
      <w:bookmarkEnd w:id="15"/>
      <w:bookmarkEnd w:id="16"/>
      <w:bookmarkEnd w:id="17"/>
      <w:bookmarkEnd w:id="19"/>
      <w:bookmarkEnd w:id="20"/>
      <w:bookmarkEnd w:id="21"/>
      <w:bookmarkEnd w:id="22"/>
    </w:p>
    <w:p w:rsidR="003E3B53" w:rsidRDefault="00A36368">
      <w:pPr>
        <w:pStyle w:val="a7"/>
        <w:spacing w:before="300" w:after="300" w:line="360" w:lineRule="exact"/>
        <w:jc w:val="both"/>
        <w:outlineLvl w:val="2"/>
        <w:rPr>
          <w:sz w:val="21"/>
          <w:szCs w:val="21"/>
        </w:rPr>
      </w:pPr>
      <w:bookmarkStart w:id="23" w:name="_Toc23704"/>
      <w:bookmarkStart w:id="24" w:name="_Toc471672058"/>
      <w:bookmarkStart w:id="25" w:name="_Toc30408"/>
      <w:bookmarkStart w:id="26" w:name="_Toc5215"/>
      <w:bookmarkStart w:id="27" w:name="_Toc26957"/>
      <w:bookmarkStart w:id="28" w:name="_Toc16916"/>
      <w:bookmarkStart w:id="29" w:name="_Toc2412"/>
      <w:bookmarkStart w:id="30" w:name="_Toc6159"/>
      <w:bookmarkStart w:id="31" w:name="_Toc19433"/>
      <w:bookmarkStart w:id="32" w:name="_Toc23720"/>
      <w:r>
        <w:rPr>
          <w:rFonts w:ascii="Arial" w:eastAsia="仿宋_GB2312" w:hAnsi="Arial" w:cs="Arial"/>
          <w:sz w:val="21"/>
          <w:szCs w:val="21"/>
        </w:rPr>
        <w:t>2.1.1</w:t>
      </w:r>
      <w:r>
        <w:rPr>
          <w:rFonts w:ascii="宋体" w:hAnsi="宋体" w:cs="宋体" w:hint="eastAsia"/>
          <w:sz w:val="21"/>
          <w:szCs w:val="21"/>
        </w:rPr>
        <w:t>新增供应量情况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kern w:val="0"/>
          <w:szCs w:val="21"/>
        </w:rPr>
      </w:pPr>
      <w:bookmarkStart w:id="33" w:name="_Toc3196"/>
      <w:bookmarkStart w:id="34" w:name="_Toc471672059"/>
      <w:bookmarkStart w:id="35" w:name="_Toc6290"/>
      <w:bookmarkStart w:id="36" w:name="_Toc117"/>
      <w:bookmarkStart w:id="37" w:name="_Toc29435"/>
      <w:bookmarkStart w:id="38" w:name="_Toc18339"/>
      <w:bookmarkStart w:id="39" w:name="_Toc24668"/>
      <w:bookmarkStart w:id="40" w:name="_Toc21691"/>
      <w:bookmarkStart w:id="41" w:name="_Toc31032"/>
      <w:r>
        <w:rPr>
          <w:rFonts w:ascii="Arial" w:eastAsia="宋体" w:hAnsi="Arial" w:cs="宋体" w:hint="eastAsia"/>
          <w:color w:val="000000"/>
          <w:kern w:val="0"/>
          <w:szCs w:val="21"/>
        </w:rPr>
        <w:t>2019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年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月深圳商业预售面积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2254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平方米，环比减少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98.4%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；商业预售套数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21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套，环比减少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98.8%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。</w:t>
      </w:r>
    </w:p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42" w:name="_Toc23924"/>
      <w:r>
        <w:rPr>
          <w:rFonts w:ascii="Arial" w:hAnsi="Arial" w:cs="宋体"/>
          <w:sz w:val="21"/>
          <w:szCs w:val="21"/>
        </w:rPr>
        <w:t>2.1.2</w:t>
      </w:r>
      <w:r>
        <w:rPr>
          <w:rFonts w:ascii="Arial" w:hAnsi="Arial" w:cs="宋体"/>
          <w:sz w:val="21"/>
          <w:szCs w:val="21"/>
        </w:rPr>
        <w:t>成交量情况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kern w:val="0"/>
          <w:szCs w:val="21"/>
        </w:rPr>
      </w:pPr>
      <w:r>
        <w:rPr>
          <w:rFonts w:ascii="Arial" w:eastAsia="宋体" w:hAnsi="Arial" w:cs="宋体" w:hint="eastAsia"/>
          <w:color w:val="000000"/>
          <w:kern w:val="0"/>
          <w:szCs w:val="21"/>
        </w:rPr>
        <w:t>2019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年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月深圳一手商业成交面积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15958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平方米，环比减少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35.0%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，同比增加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25.9%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；成交套数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319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套，环比减少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23.1%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，同比增加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79.2%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。位于前海的福城前海新纪元成交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1988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平方米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/35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套，是全市商业成交量最大的楼盘。</w:t>
      </w:r>
      <w:bookmarkStart w:id="43" w:name="_Toc471672060"/>
      <w:bookmarkStart w:id="44" w:name="_Toc961"/>
      <w:bookmarkStart w:id="45" w:name="_Toc5223"/>
      <w:bookmarkStart w:id="46" w:name="_Toc13840"/>
      <w:bookmarkStart w:id="47" w:name="_Toc17523"/>
      <w:bookmarkStart w:id="48" w:name="_Toc12189"/>
      <w:bookmarkStart w:id="49" w:name="_Toc8743"/>
      <w:bookmarkStart w:id="50" w:name="_Toc8713"/>
      <w:bookmarkStart w:id="51" w:name="_Toc6249"/>
    </w:p>
    <w:tbl>
      <w:tblPr>
        <w:tblW w:w="8700" w:type="dxa"/>
        <w:jc w:val="center"/>
        <w:tblInd w:w="4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942"/>
        <w:gridCol w:w="1619"/>
        <w:gridCol w:w="1958"/>
        <w:gridCol w:w="1394"/>
        <w:gridCol w:w="2070"/>
      </w:tblGrid>
      <w:tr w:rsidR="003E3B53">
        <w:trPr>
          <w:trHeight w:val="392"/>
          <w:jc w:val="center"/>
        </w:trPr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月深圳市各区</w:t>
            </w:r>
            <w:r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一手商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业</w:t>
            </w:r>
            <w:r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成交情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4"/>
                <w:szCs w:val="24"/>
              </w:rPr>
              <w:t>况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成交套数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成交面积（㎡）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成交均价（元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末可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售套数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末可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售面积（㎡）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2088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61973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2174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</w:t>
            </w:r>
            <w:bookmarkStart w:id="52" w:name="_GoBack"/>
            <w:bookmarkEnd w:id="52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7541 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1384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79470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102018 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1890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89974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274825 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67816 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6374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47094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8104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673743 </w:t>
            </w:r>
          </w:p>
        </w:tc>
      </w:tr>
      <w:tr w:rsidR="003E3B53">
        <w:trPr>
          <w:trHeight w:val="3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4223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33099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6487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437205 </w:t>
            </w:r>
          </w:p>
        </w:tc>
      </w:tr>
      <w:tr w:rsidR="003E3B53">
        <w:trPr>
          <w:trHeight w:val="420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15958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53223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20374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1763148 </w:t>
            </w:r>
          </w:p>
        </w:tc>
      </w:tr>
    </w:tbl>
    <w:p w:rsidR="003E3B53" w:rsidRDefault="00A36368">
      <w:pPr>
        <w:pStyle w:val="a7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53" w:name="_Toc23585"/>
      <w:r>
        <w:rPr>
          <w:rFonts w:ascii="Arial" w:hAnsi="Arial" w:cs="宋体"/>
          <w:sz w:val="21"/>
          <w:szCs w:val="21"/>
        </w:rPr>
        <w:t>2.2</w:t>
      </w:r>
      <w:r>
        <w:rPr>
          <w:rFonts w:ascii="Arial" w:hAnsi="Arial" w:cs="宋体"/>
          <w:sz w:val="21"/>
          <w:szCs w:val="21"/>
        </w:rPr>
        <w:t>二手商业</w:t>
      </w:r>
      <w:bookmarkEnd w:id="43"/>
      <w:r>
        <w:rPr>
          <w:rFonts w:ascii="Arial" w:hAnsi="Arial" w:cs="宋体"/>
          <w:sz w:val="21"/>
          <w:szCs w:val="21"/>
        </w:rPr>
        <w:t>成交量情况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3"/>
    </w:p>
    <w:p w:rsidR="003E3B53" w:rsidRDefault="00A36368">
      <w:pPr>
        <w:pStyle w:val="a7"/>
        <w:snapToGrid w:val="0"/>
        <w:spacing w:before="0" w:after="0" w:line="480" w:lineRule="auto"/>
        <w:ind w:firstLineChars="200" w:firstLine="420"/>
        <w:jc w:val="both"/>
        <w:outlineLvl w:val="9"/>
        <w:rPr>
          <w:rFonts w:ascii="Arial" w:hAnsi="Arial" w:cs="宋体"/>
          <w:b w:val="0"/>
          <w:bCs w:val="0"/>
          <w:color w:val="000000"/>
          <w:sz w:val="21"/>
          <w:szCs w:val="21"/>
        </w:rPr>
      </w:pPr>
      <w:bookmarkStart w:id="54" w:name="_Toc3440"/>
      <w:bookmarkStart w:id="55" w:name="_Toc32701"/>
      <w:bookmarkStart w:id="56" w:name="_Toc5735"/>
      <w:bookmarkStart w:id="57" w:name="_Toc18735"/>
      <w:bookmarkStart w:id="58" w:name="_Toc16462"/>
      <w:bookmarkStart w:id="59" w:name="_Toc2072"/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2019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年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月深圳二手商业成交面积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6812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82.2%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，同比减少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45.0%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；二手商业成交套数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117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套，环比减少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69.8%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，同比减少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43.2%</w:t>
      </w:r>
      <w:r>
        <w:rPr>
          <w:rFonts w:ascii="Arial" w:hAnsi="Arial" w:cs="宋体" w:hint="eastAsia"/>
          <w:b w:val="0"/>
          <w:bCs w:val="0"/>
          <w:color w:val="000000"/>
          <w:sz w:val="21"/>
          <w:szCs w:val="21"/>
        </w:rPr>
        <w:t>。</w:t>
      </w:r>
      <w:bookmarkEnd w:id="54"/>
      <w:bookmarkEnd w:id="55"/>
      <w:bookmarkEnd w:id="56"/>
      <w:bookmarkEnd w:id="57"/>
      <w:bookmarkEnd w:id="58"/>
      <w:bookmarkEnd w:id="59"/>
    </w:p>
    <w:p w:rsidR="003E3B53" w:rsidRDefault="003E3B53">
      <w:pPr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rPr>
          <w:rFonts w:ascii="Arial" w:eastAsia="宋体" w:hAnsi="Arial" w:cs="宋体"/>
          <w:color w:val="000000"/>
          <w:szCs w:val="21"/>
        </w:rPr>
      </w:pPr>
    </w:p>
    <w:tbl>
      <w:tblPr>
        <w:tblW w:w="7720" w:type="dxa"/>
        <w:jc w:val="center"/>
        <w:tblInd w:w="9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05"/>
        <w:gridCol w:w="3528"/>
      </w:tblGrid>
      <w:tr w:rsidR="003E3B53">
        <w:trPr>
          <w:trHeight w:val="415"/>
          <w:jc w:val="center"/>
        </w:trPr>
        <w:tc>
          <w:tcPr>
            <w:tcW w:w="7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月深圳市二手商业成交量情况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成交面积（㎡）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成交套数（套）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710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1743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1049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272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1339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21 </w:t>
            </w:r>
          </w:p>
        </w:tc>
      </w:tr>
      <w:tr w:rsidR="003E3B53">
        <w:trPr>
          <w:trHeight w:val="41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1698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30 </w:t>
            </w:r>
          </w:p>
        </w:tc>
      </w:tr>
      <w:tr w:rsidR="003E3B53">
        <w:trPr>
          <w:trHeight w:val="438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6812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117 </w:t>
            </w:r>
          </w:p>
        </w:tc>
      </w:tr>
    </w:tbl>
    <w:p w:rsidR="003E3B53" w:rsidRDefault="00A36368">
      <w:pPr>
        <w:pStyle w:val="a9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60" w:name="_Toc23231"/>
      <w:bookmarkStart w:id="61" w:name="_Toc29367"/>
      <w:bookmarkStart w:id="62" w:name="_Toc27448"/>
      <w:bookmarkStart w:id="63" w:name="_Toc19901"/>
      <w:bookmarkStart w:id="64" w:name="_Toc15200"/>
      <w:bookmarkStart w:id="65" w:name="_Toc16427"/>
      <w:bookmarkStart w:id="66" w:name="_Toc9064"/>
      <w:bookmarkStart w:id="67" w:name="_Toc26927"/>
      <w:bookmarkStart w:id="68" w:name="_Toc19117"/>
      <w:r>
        <w:rPr>
          <w:rFonts w:ascii="Arial" w:hAnsi="Arial" w:cs="宋体"/>
          <w:sz w:val="24"/>
          <w:szCs w:val="24"/>
        </w:rPr>
        <w:t>3</w:t>
      </w:r>
      <w:r>
        <w:rPr>
          <w:rFonts w:ascii="Arial" w:hAnsi="Arial" w:cs="宋体" w:hint="eastAsia"/>
          <w:sz w:val="24"/>
          <w:szCs w:val="24"/>
        </w:rPr>
        <w:t>住宅市场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3E3B53" w:rsidRDefault="00A36368">
      <w:pPr>
        <w:pStyle w:val="a7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69" w:name="_Toc21394"/>
      <w:bookmarkStart w:id="70" w:name="_Toc13842"/>
      <w:bookmarkStart w:id="71" w:name="_Toc4167"/>
      <w:bookmarkStart w:id="72" w:name="_Toc2267"/>
      <w:bookmarkStart w:id="73" w:name="_Toc32599"/>
      <w:bookmarkStart w:id="74" w:name="_Toc5520"/>
      <w:bookmarkStart w:id="75" w:name="_Toc25875"/>
      <w:bookmarkStart w:id="76" w:name="_Toc12164"/>
      <w:bookmarkStart w:id="77" w:name="_Toc13360"/>
      <w:r>
        <w:rPr>
          <w:rFonts w:ascii="Arial" w:hAnsi="Arial" w:cs="宋体"/>
          <w:sz w:val="21"/>
          <w:szCs w:val="21"/>
        </w:rPr>
        <w:t xml:space="preserve">3.1 </w:t>
      </w:r>
      <w:r>
        <w:rPr>
          <w:rFonts w:ascii="Arial" w:hAnsi="Arial" w:cs="宋体"/>
          <w:sz w:val="21"/>
          <w:szCs w:val="21"/>
        </w:rPr>
        <w:t>一手住宅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78" w:name="_Toc16962"/>
      <w:bookmarkStart w:id="79" w:name="_Toc10626"/>
      <w:bookmarkStart w:id="80" w:name="_Toc20881"/>
      <w:bookmarkStart w:id="81" w:name="_Toc3061"/>
      <w:bookmarkStart w:id="82" w:name="_Toc25814"/>
      <w:bookmarkStart w:id="83" w:name="_Toc14479"/>
      <w:bookmarkStart w:id="84" w:name="_Toc27052"/>
      <w:bookmarkStart w:id="85" w:name="_Toc16152"/>
      <w:bookmarkStart w:id="86" w:name="_Toc5581"/>
      <w:r>
        <w:rPr>
          <w:rFonts w:ascii="Arial" w:hAnsi="Arial" w:cs="宋体"/>
          <w:sz w:val="21"/>
          <w:szCs w:val="21"/>
        </w:rPr>
        <w:t>3.1.1</w:t>
      </w:r>
      <w:r>
        <w:rPr>
          <w:rFonts w:ascii="Arial" w:hAnsi="Arial" w:cs="宋体"/>
          <w:sz w:val="21"/>
          <w:szCs w:val="21"/>
        </w:rPr>
        <w:t>一手住宅供应量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2019</w:t>
      </w:r>
      <w:r>
        <w:rPr>
          <w:rFonts w:ascii="Arial" w:hAnsi="Arial" w:hint="eastAsia"/>
          <w:color w:val="000000"/>
          <w:sz w:val="21"/>
          <w:szCs w:val="21"/>
        </w:rPr>
        <w:t>年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月深圳全市</w:t>
      </w:r>
      <w:r>
        <w:rPr>
          <w:rFonts w:ascii="Arial" w:hAnsi="Arial" w:hint="eastAsia"/>
          <w:color w:val="000000"/>
          <w:sz w:val="21"/>
          <w:szCs w:val="21"/>
        </w:rPr>
        <w:t>1</w:t>
      </w:r>
      <w:r>
        <w:rPr>
          <w:rFonts w:ascii="Arial" w:hAnsi="Arial" w:hint="eastAsia"/>
          <w:color w:val="000000"/>
          <w:sz w:val="21"/>
          <w:szCs w:val="21"/>
        </w:rPr>
        <w:t>个项目取得住宅预售许可证，新房预售住宅面积</w:t>
      </w:r>
      <w:r>
        <w:rPr>
          <w:rFonts w:ascii="Arial" w:hAnsi="Arial" w:hint="eastAsia"/>
          <w:color w:val="000000"/>
          <w:sz w:val="21"/>
          <w:szCs w:val="21"/>
        </w:rPr>
        <w:t>15872</w:t>
      </w:r>
      <w:r>
        <w:rPr>
          <w:rFonts w:ascii="Arial" w:hAnsi="Arial" w:hint="eastAsia"/>
          <w:color w:val="000000"/>
          <w:sz w:val="21"/>
          <w:szCs w:val="21"/>
        </w:rPr>
        <w:t>平方米，环比减少</w:t>
      </w:r>
      <w:r>
        <w:rPr>
          <w:rFonts w:ascii="Arial" w:hAnsi="Arial" w:hint="eastAsia"/>
          <w:color w:val="000000"/>
          <w:sz w:val="21"/>
          <w:szCs w:val="21"/>
        </w:rPr>
        <w:t>95.2%</w:t>
      </w:r>
      <w:r>
        <w:rPr>
          <w:rFonts w:ascii="Arial" w:hAnsi="Arial" w:hint="eastAsia"/>
          <w:color w:val="000000"/>
          <w:sz w:val="21"/>
          <w:szCs w:val="21"/>
        </w:rPr>
        <w:t>，同比增加</w:t>
      </w:r>
      <w:r>
        <w:rPr>
          <w:rFonts w:ascii="Arial" w:hAnsi="Arial" w:hint="eastAsia"/>
          <w:color w:val="000000"/>
          <w:sz w:val="21"/>
          <w:szCs w:val="21"/>
        </w:rPr>
        <w:t>153.2%</w:t>
      </w:r>
      <w:r>
        <w:rPr>
          <w:rFonts w:ascii="Arial" w:hAnsi="Arial" w:hint="eastAsia"/>
          <w:color w:val="000000"/>
          <w:sz w:val="21"/>
          <w:szCs w:val="21"/>
        </w:rPr>
        <w:t>；预售住宅套数</w:t>
      </w:r>
      <w:r>
        <w:rPr>
          <w:rFonts w:ascii="Arial" w:hAnsi="Arial" w:hint="eastAsia"/>
          <w:color w:val="000000"/>
          <w:sz w:val="21"/>
          <w:szCs w:val="21"/>
        </w:rPr>
        <w:t>175</w:t>
      </w:r>
      <w:r>
        <w:rPr>
          <w:rFonts w:ascii="Arial" w:hAnsi="Arial" w:hint="eastAsia"/>
          <w:color w:val="000000"/>
          <w:sz w:val="21"/>
          <w:szCs w:val="21"/>
        </w:rPr>
        <w:t>套，环比减少</w:t>
      </w:r>
      <w:r>
        <w:rPr>
          <w:rFonts w:ascii="Arial" w:hAnsi="Arial" w:hint="eastAsia"/>
          <w:color w:val="000000"/>
          <w:sz w:val="21"/>
          <w:szCs w:val="21"/>
        </w:rPr>
        <w:t>95.5%</w:t>
      </w:r>
      <w:r>
        <w:rPr>
          <w:rFonts w:ascii="Arial" w:hAnsi="Arial" w:hint="eastAsia"/>
          <w:color w:val="000000"/>
          <w:sz w:val="21"/>
          <w:szCs w:val="21"/>
        </w:rPr>
        <w:t>；同比增加</w:t>
      </w:r>
      <w:r>
        <w:rPr>
          <w:rFonts w:ascii="Arial" w:hAnsi="Arial" w:hint="eastAsia"/>
          <w:color w:val="000000"/>
          <w:sz w:val="21"/>
          <w:szCs w:val="21"/>
        </w:rPr>
        <w:t>207.0%</w:t>
      </w:r>
      <w:r>
        <w:rPr>
          <w:rFonts w:ascii="Arial" w:hAnsi="Arial" w:hint="eastAsia"/>
          <w:color w:val="000000"/>
          <w:sz w:val="21"/>
          <w:szCs w:val="21"/>
        </w:rPr>
        <w:t>。</w:t>
      </w:r>
    </w:p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87" w:name="_Toc15753"/>
      <w:bookmarkStart w:id="88" w:name="_Toc21640"/>
      <w:bookmarkStart w:id="89" w:name="_Toc17265"/>
      <w:bookmarkStart w:id="90" w:name="_Toc30471"/>
      <w:bookmarkStart w:id="91" w:name="_Toc26150"/>
      <w:bookmarkStart w:id="92" w:name="_Toc2560"/>
      <w:bookmarkStart w:id="93" w:name="_Toc3798"/>
      <w:bookmarkStart w:id="94" w:name="_Toc2992"/>
      <w:bookmarkStart w:id="95" w:name="_Toc16569"/>
      <w:r>
        <w:rPr>
          <w:rFonts w:ascii="Arial" w:hAnsi="Arial" w:cs="宋体" w:hint="eastAsia"/>
          <w:sz w:val="21"/>
          <w:szCs w:val="21"/>
        </w:rPr>
        <w:t>3.1.</w:t>
      </w:r>
      <w:r>
        <w:rPr>
          <w:rFonts w:ascii="Arial" w:hAnsi="Arial" w:cs="宋体" w:hint="eastAsia"/>
          <w:sz w:val="21"/>
          <w:szCs w:val="21"/>
        </w:rPr>
        <w:t>2</w:t>
      </w:r>
      <w:r>
        <w:rPr>
          <w:rFonts w:ascii="Arial" w:hAnsi="Arial" w:cs="宋体" w:hint="eastAsia"/>
          <w:sz w:val="21"/>
          <w:szCs w:val="21"/>
        </w:rPr>
        <w:t>一手住宅成交价格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2019</w:t>
      </w:r>
      <w:r>
        <w:rPr>
          <w:rFonts w:ascii="Arial" w:hAnsi="Arial" w:hint="eastAsia"/>
          <w:color w:val="000000"/>
          <w:sz w:val="21"/>
          <w:szCs w:val="21"/>
        </w:rPr>
        <w:t>年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月，在限购限贷等多项调控举措的合力下，深圳房价平稳运行，</w:t>
      </w:r>
      <w:r>
        <w:rPr>
          <w:rFonts w:ascii="Arial" w:hAnsi="Arial" w:hint="eastAsia"/>
          <w:color w:val="000000"/>
          <w:sz w:val="21"/>
          <w:szCs w:val="21"/>
        </w:rPr>
        <w:t>2019</w:t>
      </w:r>
      <w:r>
        <w:rPr>
          <w:rFonts w:ascii="Arial" w:hAnsi="Arial" w:hint="eastAsia"/>
          <w:color w:val="000000"/>
          <w:sz w:val="21"/>
          <w:szCs w:val="21"/>
        </w:rPr>
        <w:t>年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月深圳新房住宅成交均价</w:t>
      </w:r>
      <w:r>
        <w:rPr>
          <w:rFonts w:ascii="Arial" w:hAnsi="Arial" w:hint="eastAsia"/>
          <w:color w:val="000000"/>
          <w:sz w:val="21"/>
          <w:szCs w:val="21"/>
        </w:rPr>
        <w:t>54232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㎡，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环比微涨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120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㎡，环比涨幅为</w:t>
      </w:r>
      <w:r>
        <w:rPr>
          <w:rFonts w:ascii="Arial" w:hAnsi="Arial" w:hint="eastAsia"/>
          <w:color w:val="000000"/>
          <w:sz w:val="21"/>
          <w:szCs w:val="21"/>
        </w:rPr>
        <w:t>0.2%</w:t>
      </w:r>
      <w:r>
        <w:rPr>
          <w:rFonts w:ascii="Arial" w:hAnsi="Arial" w:hint="eastAsia"/>
          <w:color w:val="000000"/>
          <w:sz w:val="21"/>
          <w:szCs w:val="21"/>
        </w:rPr>
        <w:t>。房价的稳定，为广大市民营造了良好的置业环境。</w:t>
      </w:r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 </w:t>
      </w:r>
      <w:r>
        <w:rPr>
          <w:rFonts w:ascii="Arial" w:hAnsi="Arial" w:hint="eastAsia"/>
          <w:color w:val="000000"/>
          <w:sz w:val="21"/>
          <w:szCs w:val="21"/>
        </w:rPr>
        <w:t>各行政区方面，</w:t>
      </w:r>
      <w:r>
        <w:rPr>
          <w:rFonts w:ascii="Arial" w:hAnsi="Arial" w:hint="eastAsia"/>
          <w:color w:val="000000"/>
          <w:sz w:val="21"/>
          <w:szCs w:val="21"/>
        </w:rPr>
        <w:t>南山区成交均价</w:t>
      </w:r>
      <w:r>
        <w:rPr>
          <w:rFonts w:ascii="Arial" w:hAnsi="Arial" w:hint="eastAsia"/>
          <w:color w:val="000000"/>
          <w:sz w:val="21"/>
          <w:szCs w:val="21"/>
        </w:rPr>
        <w:t>81376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㎡，环比微跌</w:t>
      </w:r>
      <w:r>
        <w:rPr>
          <w:rFonts w:ascii="Arial" w:hAnsi="Arial" w:hint="eastAsia"/>
          <w:color w:val="000000"/>
          <w:sz w:val="21"/>
          <w:szCs w:val="21"/>
        </w:rPr>
        <w:t>1.6%</w:t>
      </w:r>
      <w:r>
        <w:rPr>
          <w:rFonts w:ascii="Arial" w:hAnsi="Arial" w:hint="eastAsia"/>
          <w:color w:val="000000"/>
          <w:sz w:val="21"/>
          <w:szCs w:val="21"/>
        </w:rPr>
        <w:t>，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华润城是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南山区的价格贡献主力。宝安区成交均价</w:t>
      </w:r>
      <w:r>
        <w:rPr>
          <w:rFonts w:ascii="Arial" w:hAnsi="Arial" w:hint="eastAsia"/>
          <w:color w:val="000000"/>
          <w:sz w:val="21"/>
          <w:szCs w:val="21"/>
        </w:rPr>
        <w:t>49825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㎡，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环比微涨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2.5%</w:t>
      </w:r>
      <w:r>
        <w:rPr>
          <w:rFonts w:ascii="Arial" w:hAnsi="Arial" w:hint="eastAsia"/>
          <w:color w:val="000000"/>
          <w:sz w:val="21"/>
          <w:szCs w:val="21"/>
        </w:rPr>
        <w:t>，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勤诚达</w:t>
      </w:r>
      <w:r>
        <w:rPr>
          <w:rFonts w:ascii="Arial" w:hAnsi="Arial" w:hint="eastAsia"/>
          <w:color w:val="000000"/>
          <w:sz w:val="21"/>
          <w:szCs w:val="21"/>
        </w:rPr>
        <w:t>22</w:t>
      </w:r>
      <w:r>
        <w:rPr>
          <w:rFonts w:ascii="Arial" w:hAnsi="Arial" w:hint="eastAsia"/>
          <w:color w:val="000000"/>
          <w:sz w:val="21"/>
          <w:szCs w:val="21"/>
        </w:rPr>
        <w:t>世纪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、华丰前海湾、安宏基天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曜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广场、深国际万科和风轩等是宝安区的价格贡献主力。</w:t>
      </w:r>
    </w:p>
    <w:p w:rsidR="003E3B53" w:rsidRDefault="003E3B53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</w:p>
    <w:p w:rsidR="003E3B53" w:rsidRDefault="003E3B53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</w:p>
    <w:tbl>
      <w:tblPr>
        <w:tblpPr w:leftFromText="180" w:rightFromText="180" w:vertAnchor="text" w:horzAnchor="page" w:tblpXSpec="center" w:tblpY="132"/>
        <w:tblOverlap w:val="never"/>
        <w:tblW w:w="8576" w:type="dxa"/>
        <w:jc w:val="center"/>
        <w:tblInd w:w="4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219"/>
        <w:gridCol w:w="1809"/>
        <w:gridCol w:w="1260"/>
        <w:gridCol w:w="1566"/>
        <w:gridCol w:w="1400"/>
      </w:tblGrid>
      <w:tr w:rsidR="003E3B53">
        <w:trPr>
          <w:trHeight w:val="286"/>
          <w:jc w:val="center"/>
        </w:trPr>
        <w:tc>
          <w:tcPr>
            <w:tcW w:w="8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bookmarkStart w:id="96" w:name="_Toc9229"/>
            <w:bookmarkStart w:id="97" w:name="_Toc7769"/>
            <w:bookmarkStart w:id="98" w:name="_Toc31205"/>
            <w:bookmarkStart w:id="99" w:name="_Toc15527"/>
            <w:bookmarkStart w:id="100" w:name="_Toc29326"/>
            <w:bookmarkStart w:id="101" w:name="_Toc8253"/>
            <w:bookmarkStart w:id="102" w:name="_Toc5238"/>
            <w:bookmarkStart w:id="103" w:name="_Toc21234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月深圳各区一手住宅成交均价情况</w:t>
            </w:r>
          </w:p>
        </w:tc>
      </w:tr>
      <w:tr w:rsidR="003E3B53">
        <w:trPr>
          <w:trHeight w:val="67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月成交均价（元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月成交均价（元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月成交均价（元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 w:rsidR="003E3B53">
        <w:trPr>
          <w:trHeight w:val="28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71042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71220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-0.2%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76113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-6.7%</w:t>
            </w:r>
          </w:p>
        </w:tc>
      </w:tr>
      <w:tr w:rsidR="003E3B53">
        <w:trPr>
          <w:trHeight w:val="28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95207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96225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-1.1%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73933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28.8%</w:t>
            </w:r>
          </w:p>
        </w:tc>
      </w:tr>
      <w:tr w:rsidR="003E3B53">
        <w:trPr>
          <w:trHeight w:val="28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81376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82679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-1.6%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104068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-21.8%</w:t>
            </w:r>
          </w:p>
        </w:tc>
      </w:tr>
      <w:tr w:rsidR="003E3B53">
        <w:trPr>
          <w:trHeight w:val="32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47375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49037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-3.4%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3E3B53">
        <w:trPr>
          <w:trHeight w:val="28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49825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48593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2.5%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57136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-12.8%</w:t>
            </w:r>
          </w:p>
        </w:tc>
      </w:tr>
      <w:tr w:rsidR="003E3B53">
        <w:trPr>
          <w:trHeight w:val="286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39165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41414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-5.4%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39888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-1.8%</w:t>
            </w:r>
          </w:p>
        </w:tc>
      </w:tr>
      <w:tr w:rsidR="003E3B53">
        <w:trPr>
          <w:trHeight w:val="384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54232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54112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0.2%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54191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0.1%</w:t>
            </w:r>
          </w:p>
        </w:tc>
      </w:tr>
    </w:tbl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04" w:name="_Toc4639"/>
      <w:r>
        <w:rPr>
          <w:rFonts w:ascii="Arial" w:hAnsi="Arial" w:cs="宋体" w:hint="eastAsia"/>
          <w:sz w:val="21"/>
          <w:szCs w:val="21"/>
        </w:rPr>
        <w:t>3.1.</w:t>
      </w:r>
      <w:r>
        <w:rPr>
          <w:rFonts w:ascii="Arial" w:hAnsi="Arial" w:cs="宋体" w:hint="eastAsia"/>
          <w:sz w:val="21"/>
          <w:szCs w:val="21"/>
        </w:rPr>
        <w:t>3</w:t>
      </w:r>
      <w:r>
        <w:rPr>
          <w:rFonts w:ascii="Arial" w:hAnsi="Arial" w:cs="宋体" w:hint="eastAsia"/>
          <w:sz w:val="21"/>
          <w:szCs w:val="21"/>
        </w:rPr>
        <w:t>一手住宅成交量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3E3B53" w:rsidRDefault="00A36368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05" w:name="_Toc15872"/>
      <w:bookmarkStart w:id="106" w:name="_Toc11225"/>
      <w:bookmarkStart w:id="107" w:name="_Toc21239"/>
      <w:bookmarkStart w:id="108" w:name="_Toc8987"/>
      <w:bookmarkStart w:id="109" w:name="_Toc3494"/>
      <w:bookmarkStart w:id="110" w:name="_Toc3658"/>
      <w:bookmarkStart w:id="111" w:name="_Toc16111"/>
      <w:bookmarkStart w:id="112" w:name="_Toc32088"/>
      <w:bookmarkStart w:id="113" w:name="_Toc27496"/>
      <w:bookmarkStart w:id="114" w:name="_Toc30161"/>
      <w:bookmarkStart w:id="115" w:name="_Toc9334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在新春佳节假期的影响下，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3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日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-2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日连续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10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天深圳新房住宅零成交。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月新房成交量腰斩，仅成交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1279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套新房住宅，环比减少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48.8%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，成交面积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127517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49.4%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月成交数据好于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2018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年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月的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794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套。</w:t>
      </w:r>
      <w:bookmarkEnd w:id="105"/>
      <w:bookmarkEnd w:id="106"/>
      <w:bookmarkEnd w:id="107"/>
      <w:bookmarkEnd w:id="108"/>
    </w:p>
    <w:p w:rsidR="003E3B53" w:rsidRDefault="00A36368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16" w:name="_Toc18901"/>
      <w:bookmarkStart w:id="117" w:name="_Toc11687"/>
      <w:bookmarkStart w:id="118" w:name="_Toc21753"/>
      <w:bookmarkStart w:id="119" w:name="_Toc11660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 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各行政区方面，南山区成交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152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套新房住宅，环比减少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39.9%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，成交面积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18811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45.4%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，香山美</w:t>
      </w:r>
      <w:proofErr w:type="gramStart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墅</w:t>
      </w:r>
      <w:proofErr w:type="gramEnd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、华润城等是南山区的成交主力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。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宝安区成交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616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套新房住宅，环比减少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52.3%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，成交面积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60350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52.1%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，华强城、天汇城、星河天地等是宝安区的成交主力。龙岗区成交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405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套新房住宅，环比减少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49.3%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，成交面积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35844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49.6%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，碧</w:t>
      </w:r>
      <w:proofErr w:type="gramStart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桂园</w:t>
      </w:r>
      <w:proofErr w:type="gramEnd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凤凰国际公馆、远洋新天地、大族云峰、</w:t>
      </w:r>
      <w:proofErr w:type="gramStart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中骏四季</w:t>
      </w:r>
      <w:proofErr w:type="gramEnd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阳光等是龙岗区的成交主力。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tbl>
      <w:tblPr>
        <w:tblpPr w:leftFromText="180" w:rightFromText="180" w:vertAnchor="text" w:horzAnchor="page" w:tblpXSpec="center" w:tblpY="253"/>
        <w:tblOverlap w:val="never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035"/>
        <w:gridCol w:w="1590"/>
        <w:gridCol w:w="1320"/>
        <w:gridCol w:w="1800"/>
        <w:gridCol w:w="2220"/>
      </w:tblGrid>
      <w:tr w:rsidR="003E3B53">
        <w:trPr>
          <w:trHeight w:val="286"/>
          <w:jc w:val="center"/>
        </w:trPr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bookmarkStart w:id="120" w:name="_Toc18706"/>
            <w:bookmarkStart w:id="121" w:name="_Toc28763"/>
            <w:bookmarkStart w:id="122" w:name="_Toc22185"/>
            <w:bookmarkStart w:id="123" w:name="_Toc25433"/>
            <w:bookmarkStart w:id="124" w:name="_Toc26167"/>
            <w:bookmarkStart w:id="125" w:name="_Toc1740"/>
            <w:bookmarkStart w:id="126" w:name="_Toc25778"/>
            <w:bookmarkStart w:id="127" w:name="_Toc8463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月深圳市各区一手住宅成交情况</w:t>
            </w:r>
          </w:p>
        </w:tc>
      </w:tr>
      <w:tr w:rsidR="003E3B53">
        <w:trPr>
          <w:trHeight w:val="24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成交均价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末可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售套数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末可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售面积（㎡）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1765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71042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84268 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7096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95207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1285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135500 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18811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81376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152539 </w:t>
            </w:r>
          </w:p>
        </w:tc>
      </w:tr>
      <w:tr w:rsidR="003E3B53">
        <w:trPr>
          <w:trHeight w:val="9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3651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47375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120224 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60350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49825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11679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1227316 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35844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39165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15494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1458785 </w:t>
            </w:r>
          </w:p>
        </w:tc>
      </w:tr>
      <w:tr w:rsidR="003E3B53">
        <w:trPr>
          <w:trHeight w:val="28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1279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127516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54232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31740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3178633 </w:t>
            </w:r>
          </w:p>
        </w:tc>
      </w:tr>
    </w:tbl>
    <w:p w:rsidR="003E3B53" w:rsidRDefault="00A36368">
      <w:pPr>
        <w:pStyle w:val="a7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128" w:name="_Toc727"/>
      <w:bookmarkStart w:id="129" w:name="_Toc12093"/>
      <w:r>
        <w:rPr>
          <w:rFonts w:ascii="Arial" w:hAnsi="Arial" w:cs="宋体" w:hint="eastAsia"/>
          <w:sz w:val="21"/>
          <w:szCs w:val="21"/>
        </w:rPr>
        <w:lastRenderedPageBreak/>
        <w:t>3.2</w:t>
      </w:r>
      <w:r>
        <w:rPr>
          <w:rFonts w:ascii="Arial" w:hAnsi="Arial" w:cs="宋体" w:hint="eastAsia"/>
          <w:sz w:val="21"/>
          <w:szCs w:val="21"/>
        </w:rPr>
        <w:t>二手住宅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30" w:name="_Toc15069"/>
      <w:bookmarkStart w:id="131" w:name="_Toc32457"/>
      <w:bookmarkStart w:id="132" w:name="_Toc656"/>
      <w:bookmarkStart w:id="133" w:name="_Toc24115"/>
      <w:bookmarkStart w:id="134" w:name="_Toc32365"/>
      <w:bookmarkStart w:id="135" w:name="_Toc14339"/>
      <w:bookmarkStart w:id="136" w:name="_Toc19436"/>
      <w:bookmarkStart w:id="137" w:name="_Toc9772"/>
      <w:bookmarkStart w:id="138" w:name="_Toc9055"/>
      <w:bookmarkStart w:id="139" w:name="_Toc31633"/>
      <w:r>
        <w:rPr>
          <w:rFonts w:ascii="Arial" w:hAnsi="Arial" w:cs="宋体" w:hint="eastAsia"/>
          <w:sz w:val="21"/>
          <w:szCs w:val="21"/>
        </w:rPr>
        <w:t>3.2.1</w:t>
      </w:r>
      <w:proofErr w:type="gramStart"/>
      <w:r>
        <w:rPr>
          <w:rFonts w:ascii="Arial" w:hAnsi="Arial" w:cs="宋体" w:hint="eastAsia"/>
          <w:sz w:val="21"/>
          <w:szCs w:val="21"/>
        </w:rPr>
        <w:t>二手住宅</w:t>
      </w:r>
      <w:proofErr w:type="gramEnd"/>
      <w:r>
        <w:rPr>
          <w:rFonts w:ascii="Arial" w:hAnsi="Arial" w:cs="宋体" w:hint="eastAsia"/>
          <w:sz w:val="21"/>
          <w:szCs w:val="21"/>
        </w:rPr>
        <w:t>挂牌价格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2019</w:t>
      </w:r>
      <w:r>
        <w:rPr>
          <w:rFonts w:ascii="Arial" w:hAnsi="Arial" w:hint="eastAsia"/>
          <w:color w:val="000000"/>
          <w:sz w:val="21"/>
          <w:szCs w:val="21"/>
        </w:rPr>
        <w:t>年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月份深圳</w:t>
      </w:r>
      <w:proofErr w:type="gramStart"/>
      <w:r>
        <w:rPr>
          <w:rFonts w:ascii="Arial" w:hAnsi="Arial" w:hint="eastAsia"/>
          <w:color w:val="000000"/>
          <w:sz w:val="21"/>
          <w:szCs w:val="21"/>
        </w:rPr>
        <w:t>二手住宅</w:t>
      </w:r>
      <w:proofErr w:type="gramEnd"/>
      <w:r>
        <w:rPr>
          <w:rFonts w:ascii="Arial" w:hAnsi="Arial" w:hint="eastAsia"/>
          <w:color w:val="000000"/>
          <w:sz w:val="21"/>
          <w:szCs w:val="21"/>
        </w:rPr>
        <w:t>挂牌均价环比上涨</w:t>
      </w:r>
      <w:r>
        <w:rPr>
          <w:rFonts w:ascii="Arial" w:hAnsi="Arial" w:hint="eastAsia"/>
          <w:color w:val="000000"/>
          <w:sz w:val="21"/>
          <w:szCs w:val="21"/>
        </w:rPr>
        <w:t>3.2%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64219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1.3%</w:t>
      </w:r>
      <w:r>
        <w:rPr>
          <w:rFonts w:ascii="Arial" w:hAnsi="Arial" w:hint="eastAsia"/>
          <w:color w:val="000000"/>
          <w:sz w:val="21"/>
          <w:szCs w:val="21"/>
        </w:rPr>
        <w:t>。</w:t>
      </w:r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 </w:t>
      </w:r>
      <w:r>
        <w:rPr>
          <w:rFonts w:ascii="Arial" w:hAnsi="Arial" w:hint="eastAsia"/>
          <w:color w:val="000000"/>
          <w:sz w:val="21"/>
          <w:szCs w:val="21"/>
        </w:rPr>
        <w:t>各行政区方面，罗湖区挂牌均价环比下跌</w:t>
      </w:r>
      <w:r>
        <w:rPr>
          <w:rFonts w:ascii="Arial" w:hAnsi="Arial" w:hint="eastAsia"/>
          <w:color w:val="000000"/>
          <w:sz w:val="21"/>
          <w:szCs w:val="21"/>
        </w:rPr>
        <w:t>2.9%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54744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4.2%</w:t>
      </w:r>
      <w:r>
        <w:rPr>
          <w:rFonts w:ascii="Arial" w:hAnsi="Arial" w:hint="eastAsia"/>
          <w:color w:val="000000"/>
          <w:sz w:val="21"/>
          <w:szCs w:val="21"/>
        </w:rPr>
        <w:t>；南山区挂牌均价环比下跌</w:t>
      </w:r>
      <w:r>
        <w:rPr>
          <w:rFonts w:ascii="Arial" w:hAnsi="Arial" w:hint="eastAsia"/>
          <w:color w:val="000000"/>
          <w:sz w:val="21"/>
          <w:szCs w:val="21"/>
        </w:rPr>
        <w:t>0.6%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87115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15.5%</w:t>
      </w:r>
      <w:r>
        <w:rPr>
          <w:rFonts w:ascii="Arial" w:hAnsi="Arial" w:hint="eastAsia"/>
          <w:color w:val="000000"/>
          <w:sz w:val="21"/>
          <w:szCs w:val="21"/>
        </w:rPr>
        <w:t>；福田区挂牌均价环比上涨</w:t>
      </w:r>
      <w:r>
        <w:rPr>
          <w:rFonts w:ascii="Arial" w:hAnsi="Arial" w:hint="eastAsia"/>
          <w:color w:val="000000"/>
          <w:sz w:val="21"/>
          <w:szCs w:val="21"/>
        </w:rPr>
        <w:t>4.4%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83167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20.9%</w:t>
      </w:r>
      <w:r>
        <w:rPr>
          <w:rFonts w:ascii="Arial" w:hAnsi="Arial" w:hint="eastAsia"/>
          <w:color w:val="000000"/>
          <w:sz w:val="21"/>
          <w:szCs w:val="21"/>
        </w:rPr>
        <w:t>；盐田区挂牌均价环比上涨</w:t>
      </w:r>
      <w:r>
        <w:rPr>
          <w:rFonts w:ascii="Arial" w:hAnsi="Arial" w:hint="eastAsia"/>
          <w:color w:val="000000"/>
          <w:sz w:val="21"/>
          <w:szCs w:val="21"/>
        </w:rPr>
        <w:t>3.0%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51322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8.1%</w:t>
      </w:r>
      <w:r>
        <w:rPr>
          <w:rFonts w:ascii="Arial" w:hAnsi="Arial" w:hint="eastAsia"/>
          <w:color w:val="000000"/>
          <w:sz w:val="21"/>
          <w:szCs w:val="21"/>
        </w:rPr>
        <w:t>；</w:t>
      </w:r>
      <w:r>
        <w:rPr>
          <w:rFonts w:ascii="Arial" w:hAnsi="Arial" w:hint="eastAsia"/>
          <w:color w:val="000000"/>
          <w:sz w:val="21"/>
          <w:szCs w:val="21"/>
        </w:rPr>
        <w:t>龙岗区挂牌均价为</w:t>
      </w:r>
      <w:r>
        <w:rPr>
          <w:rFonts w:ascii="Arial" w:hAnsi="Arial" w:hint="eastAsia"/>
          <w:color w:val="000000"/>
          <w:sz w:val="21"/>
          <w:szCs w:val="21"/>
        </w:rPr>
        <w:t>44101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平方米，环比上涨</w:t>
      </w:r>
      <w:r>
        <w:rPr>
          <w:rFonts w:ascii="Arial" w:hAnsi="Arial" w:hint="eastAsia"/>
          <w:color w:val="000000"/>
          <w:sz w:val="21"/>
          <w:szCs w:val="21"/>
        </w:rPr>
        <w:t>4.4%</w:t>
      </w:r>
      <w:r>
        <w:rPr>
          <w:rFonts w:ascii="Arial" w:hAnsi="Arial" w:hint="eastAsia"/>
          <w:color w:val="000000"/>
          <w:sz w:val="21"/>
          <w:szCs w:val="21"/>
        </w:rPr>
        <w:t>，同比上涨</w:t>
      </w:r>
      <w:r>
        <w:rPr>
          <w:rFonts w:ascii="Arial" w:hAnsi="Arial" w:hint="eastAsia"/>
          <w:color w:val="000000"/>
          <w:sz w:val="21"/>
          <w:szCs w:val="21"/>
        </w:rPr>
        <w:t>1.5%</w:t>
      </w:r>
      <w:r>
        <w:rPr>
          <w:rFonts w:ascii="Arial" w:hAnsi="Arial" w:hint="eastAsia"/>
          <w:color w:val="000000"/>
          <w:sz w:val="21"/>
          <w:szCs w:val="21"/>
        </w:rPr>
        <w:t>；宝安区挂牌均价环比下跌</w:t>
      </w:r>
      <w:r>
        <w:rPr>
          <w:rFonts w:ascii="Arial" w:hAnsi="Arial" w:hint="eastAsia"/>
          <w:color w:val="000000"/>
          <w:sz w:val="21"/>
          <w:szCs w:val="21"/>
        </w:rPr>
        <w:t>1.7%</w:t>
      </w:r>
      <w:r>
        <w:rPr>
          <w:rFonts w:ascii="Arial" w:hAnsi="Arial" w:hint="eastAsia"/>
          <w:color w:val="000000"/>
          <w:sz w:val="21"/>
          <w:szCs w:val="21"/>
        </w:rPr>
        <w:t>，为</w:t>
      </w:r>
      <w:r>
        <w:rPr>
          <w:rFonts w:ascii="Arial" w:hAnsi="Arial" w:hint="eastAsia"/>
          <w:color w:val="000000"/>
          <w:sz w:val="21"/>
          <w:szCs w:val="21"/>
        </w:rPr>
        <w:t>55921</w:t>
      </w:r>
      <w:r>
        <w:rPr>
          <w:rFonts w:ascii="Arial" w:hAnsi="Arial" w:hint="eastAsia"/>
          <w:color w:val="000000"/>
          <w:sz w:val="21"/>
          <w:szCs w:val="21"/>
        </w:rPr>
        <w:t>元</w:t>
      </w:r>
      <w:r>
        <w:rPr>
          <w:rFonts w:ascii="Arial" w:hAnsi="Arial" w:hint="eastAsia"/>
          <w:color w:val="000000"/>
          <w:sz w:val="21"/>
          <w:szCs w:val="21"/>
        </w:rPr>
        <w:t>/</w:t>
      </w:r>
      <w:r>
        <w:rPr>
          <w:rFonts w:ascii="Arial" w:hAnsi="Arial" w:hint="eastAsia"/>
          <w:color w:val="000000"/>
          <w:sz w:val="21"/>
          <w:szCs w:val="21"/>
        </w:rPr>
        <w:t>平方米，同比上涨</w:t>
      </w:r>
      <w:r>
        <w:rPr>
          <w:rFonts w:ascii="Arial" w:hAnsi="Arial" w:hint="eastAsia"/>
          <w:color w:val="000000"/>
          <w:sz w:val="21"/>
          <w:szCs w:val="21"/>
        </w:rPr>
        <w:t>1.6%</w:t>
      </w:r>
      <w:r>
        <w:rPr>
          <w:rFonts w:ascii="Arial" w:hAnsi="Arial" w:hint="eastAsia"/>
          <w:color w:val="000000"/>
          <w:sz w:val="21"/>
          <w:szCs w:val="21"/>
        </w:rPr>
        <w:t>。</w:t>
      </w:r>
    </w:p>
    <w:tbl>
      <w:tblPr>
        <w:tblW w:w="87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260"/>
        <w:gridCol w:w="1800"/>
        <w:gridCol w:w="1628"/>
        <w:gridCol w:w="1586"/>
        <w:gridCol w:w="1437"/>
      </w:tblGrid>
      <w:tr w:rsidR="003E3B53">
        <w:trPr>
          <w:trHeight w:val="90"/>
          <w:jc w:val="center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bookmarkStart w:id="140" w:name="_Toc21783"/>
            <w:bookmarkStart w:id="141" w:name="_Toc2827"/>
            <w:bookmarkStart w:id="142" w:name="_Toc1148"/>
            <w:bookmarkStart w:id="143" w:name="_Toc16340"/>
            <w:bookmarkStart w:id="144" w:name="_Toc6810"/>
            <w:bookmarkStart w:id="145" w:name="_Toc14629"/>
            <w:bookmarkStart w:id="146" w:name="_Toc27738"/>
            <w:bookmarkStart w:id="147" w:name="_Toc1809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月深圳各区</w:t>
            </w:r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二手住宅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挂牌价格情况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月挂牌价格（元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月挂牌均价（元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月挂牌均价（元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54744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56362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-2.9%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52532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4.2%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83167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79673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4.4%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68767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20.9%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87115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87609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-0.6%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75450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15.5%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51322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49829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47492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8.1%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55921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56914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-1.7%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55060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1.6%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44101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42248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4.4%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43459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64219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62227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63404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1.3%</w:t>
            </w:r>
          </w:p>
        </w:tc>
      </w:tr>
    </w:tbl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48" w:name="_Toc4561"/>
      <w:bookmarkStart w:id="149" w:name="_Toc17674"/>
      <w:r>
        <w:rPr>
          <w:rFonts w:ascii="Arial" w:hAnsi="Arial" w:cs="宋体" w:hint="eastAsia"/>
          <w:sz w:val="21"/>
          <w:szCs w:val="21"/>
        </w:rPr>
        <w:t>3.2.2</w:t>
      </w:r>
      <w:r>
        <w:rPr>
          <w:rFonts w:ascii="Arial" w:hAnsi="Arial" w:cs="宋体" w:hint="eastAsia"/>
          <w:sz w:val="21"/>
          <w:szCs w:val="21"/>
        </w:rPr>
        <w:t>二手</w:t>
      </w:r>
      <w:r>
        <w:rPr>
          <w:rFonts w:ascii="Arial" w:hAnsi="Arial" w:cs="宋体" w:hint="eastAsia"/>
          <w:sz w:val="21"/>
          <w:szCs w:val="21"/>
        </w:rPr>
        <w:t>商品房</w:t>
      </w:r>
      <w:r>
        <w:rPr>
          <w:rFonts w:ascii="Arial" w:hAnsi="Arial" w:cs="宋体" w:hint="eastAsia"/>
          <w:sz w:val="21"/>
          <w:szCs w:val="21"/>
        </w:rPr>
        <w:t>成交量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3E3B53" w:rsidRDefault="00A36368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50" w:name="_Toc12103"/>
      <w:bookmarkStart w:id="151" w:name="_Toc32334"/>
      <w:bookmarkStart w:id="152" w:name="_Toc31980"/>
      <w:bookmarkStart w:id="153" w:name="_Toc11633"/>
      <w:bookmarkStart w:id="154" w:name="_Toc25684"/>
      <w:bookmarkStart w:id="155" w:name="_Toc16846"/>
      <w:bookmarkStart w:id="156" w:name="_Toc13617"/>
      <w:bookmarkStart w:id="157" w:name="_Toc27005"/>
      <w:bookmarkStart w:id="158" w:name="_Toc9609"/>
      <w:bookmarkStart w:id="159" w:name="_Toc28351"/>
      <w:bookmarkStart w:id="160" w:name="_Toc17544"/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春节长假效应叠加调控举措，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月深圳二手楼市成交量低位探底，仅成交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2209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套二手房，环比减少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50.8%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，成交面积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185421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平方米，环比减少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65.2%</w:t>
      </w:r>
      <w:r>
        <w:rPr>
          <w:rFonts w:ascii="Arial" w:hAnsi="Arial" w:cs="宋体" w:hint="eastAsia"/>
          <w:b w:val="0"/>
          <w:bCs w:val="0"/>
          <w:color w:val="000000"/>
          <w:kern w:val="0"/>
          <w:sz w:val="21"/>
          <w:szCs w:val="21"/>
        </w:rPr>
        <w:t>。</w:t>
      </w:r>
      <w:bookmarkEnd w:id="150"/>
      <w:bookmarkEnd w:id="151"/>
      <w:bookmarkEnd w:id="152"/>
      <w:bookmarkEnd w:id="153"/>
      <w:bookmarkEnd w:id="154"/>
      <w:bookmarkEnd w:id="155"/>
      <w:bookmarkEnd w:id="156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bookmarkStart w:id="161" w:name="_Toc5012"/>
      <w:bookmarkStart w:id="162" w:name="_Toc17049"/>
      <w:r>
        <w:rPr>
          <w:rFonts w:ascii="Arial" w:hAnsi="Arial" w:hint="eastAsia"/>
          <w:color w:val="000000"/>
          <w:sz w:val="21"/>
          <w:szCs w:val="21"/>
        </w:rPr>
        <w:t>各行政区方面，南山区成交</w:t>
      </w:r>
      <w:r>
        <w:rPr>
          <w:rFonts w:ascii="Arial" w:hAnsi="Arial" w:hint="eastAsia"/>
          <w:color w:val="000000"/>
          <w:sz w:val="21"/>
          <w:szCs w:val="21"/>
        </w:rPr>
        <w:t>398</w:t>
      </w:r>
      <w:r>
        <w:rPr>
          <w:rFonts w:ascii="Arial" w:hAnsi="Arial" w:hint="eastAsia"/>
          <w:color w:val="000000"/>
          <w:sz w:val="21"/>
          <w:szCs w:val="21"/>
        </w:rPr>
        <w:t>套二手房，环比减少</w:t>
      </w:r>
      <w:r>
        <w:rPr>
          <w:rFonts w:ascii="Arial" w:hAnsi="Arial" w:hint="eastAsia"/>
          <w:color w:val="000000"/>
          <w:sz w:val="21"/>
          <w:szCs w:val="21"/>
        </w:rPr>
        <w:t>43.9%</w:t>
      </w:r>
      <w:r>
        <w:rPr>
          <w:rFonts w:ascii="Arial" w:hAnsi="Arial" w:hint="eastAsia"/>
          <w:color w:val="000000"/>
          <w:sz w:val="21"/>
          <w:szCs w:val="21"/>
        </w:rPr>
        <w:t>，成交面积</w:t>
      </w:r>
      <w:r>
        <w:rPr>
          <w:rFonts w:ascii="Arial" w:hAnsi="Arial" w:hint="eastAsia"/>
          <w:color w:val="000000"/>
          <w:sz w:val="21"/>
          <w:szCs w:val="21"/>
        </w:rPr>
        <w:t>34197</w:t>
      </w:r>
      <w:r>
        <w:rPr>
          <w:rFonts w:ascii="Arial" w:hAnsi="Arial" w:hint="eastAsia"/>
          <w:color w:val="000000"/>
          <w:sz w:val="21"/>
          <w:szCs w:val="21"/>
        </w:rPr>
        <w:t>平方米，环比减少</w:t>
      </w:r>
      <w:r>
        <w:rPr>
          <w:rFonts w:ascii="Arial" w:hAnsi="Arial" w:hint="eastAsia"/>
          <w:color w:val="000000"/>
          <w:sz w:val="21"/>
          <w:szCs w:val="21"/>
        </w:rPr>
        <w:t>49.0%</w:t>
      </w:r>
      <w:r>
        <w:rPr>
          <w:rFonts w:ascii="Arial" w:hAnsi="Arial" w:hint="eastAsia"/>
          <w:color w:val="000000"/>
          <w:sz w:val="21"/>
          <w:szCs w:val="21"/>
        </w:rPr>
        <w:t>。</w:t>
      </w:r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宝安区成交</w:t>
      </w:r>
      <w:r>
        <w:rPr>
          <w:rFonts w:ascii="Arial" w:hAnsi="Arial" w:hint="eastAsia"/>
          <w:color w:val="000000"/>
          <w:sz w:val="21"/>
          <w:szCs w:val="21"/>
        </w:rPr>
        <w:t>458</w:t>
      </w:r>
      <w:r>
        <w:rPr>
          <w:rFonts w:ascii="Arial" w:hAnsi="Arial" w:hint="eastAsia"/>
          <w:color w:val="000000"/>
          <w:sz w:val="21"/>
          <w:szCs w:val="21"/>
        </w:rPr>
        <w:t>套二手房，环比减少</w:t>
      </w:r>
      <w:r>
        <w:rPr>
          <w:rFonts w:ascii="Arial" w:hAnsi="Arial" w:hint="eastAsia"/>
          <w:color w:val="000000"/>
          <w:sz w:val="21"/>
          <w:szCs w:val="21"/>
        </w:rPr>
        <w:t>47.1%</w:t>
      </w:r>
      <w:r>
        <w:rPr>
          <w:rFonts w:ascii="Arial" w:hAnsi="Arial" w:hint="eastAsia"/>
          <w:color w:val="000000"/>
          <w:sz w:val="21"/>
          <w:szCs w:val="21"/>
        </w:rPr>
        <w:t>，成交面积</w:t>
      </w:r>
      <w:r>
        <w:rPr>
          <w:rFonts w:ascii="Arial" w:hAnsi="Arial" w:hint="eastAsia"/>
          <w:color w:val="000000"/>
          <w:sz w:val="21"/>
          <w:szCs w:val="21"/>
        </w:rPr>
        <w:t>41203</w:t>
      </w:r>
      <w:r>
        <w:rPr>
          <w:rFonts w:ascii="Arial" w:hAnsi="Arial" w:hint="eastAsia"/>
          <w:color w:val="000000"/>
          <w:sz w:val="21"/>
          <w:szCs w:val="21"/>
        </w:rPr>
        <w:t>平方米，环比减少</w:t>
      </w:r>
      <w:r>
        <w:rPr>
          <w:rFonts w:ascii="Arial" w:hAnsi="Arial" w:hint="eastAsia"/>
          <w:color w:val="000000"/>
          <w:sz w:val="21"/>
          <w:szCs w:val="21"/>
        </w:rPr>
        <w:t>46.4%</w:t>
      </w:r>
      <w:r>
        <w:rPr>
          <w:rFonts w:ascii="Arial" w:hAnsi="Arial" w:hint="eastAsia"/>
          <w:color w:val="000000"/>
          <w:sz w:val="21"/>
          <w:szCs w:val="21"/>
        </w:rPr>
        <w:t>。</w:t>
      </w:r>
      <w:bookmarkEnd w:id="157"/>
      <w:bookmarkEnd w:id="158"/>
      <w:bookmarkEnd w:id="159"/>
      <w:bookmarkEnd w:id="160"/>
      <w:bookmarkEnd w:id="161"/>
      <w:bookmarkEnd w:id="162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（</w:t>
      </w:r>
      <w:r>
        <w:rPr>
          <w:rFonts w:ascii="Arial" w:hAnsi="Arial" w:hint="eastAsia"/>
          <w:color w:val="000000"/>
          <w:sz w:val="21"/>
          <w:szCs w:val="21"/>
        </w:rPr>
        <w:t>转下页</w:t>
      </w:r>
      <w:r>
        <w:rPr>
          <w:rFonts w:ascii="Arial" w:hAnsi="Arial" w:hint="eastAsia"/>
          <w:color w:val="000000"/>
          <w:sz w:val="21"/>
          <w:szCs w:val="21"/>
        </w:rPr>
        <w:t>）</w:t>
      </w:r>
    </w:p>
    <w:p w:rsidR="003E3B53" w:rsidRDefault="003E3B53">
      <w:pPr>
        <w:pStyle w:val="a8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/>
          <w:color w:val="000000"/>
          <w:sz w:val="21"/>
          <w:szCs w:val="21"/>
        </w:rPr>
      </w:pPr>
    </w:p>
    <w:p w:rsidR="003E3B53" w:rsidRDefault="003E3B53">
      <w:pPr>
        <w:pStyle w:val="a8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/>
          <w:color w:val="000000"/>
          <w:sz w:val="21"/>
          <w:szCs w:val="21"/>
        </w:rPr>
      </w:pPr>
    </w:p>
    <w:tbl>
      <w:tblPr>
        <w:tblW w:w="88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923"/>
        <w:gridCol w:w="1146"/>
        <w:gridCol w:w="1238"/>
        <w:gridCol w:w="1466"/>
        <w:gridCol w:w="1320"/>
        <w:gridCol w:w="1363"/>
      </w:tblGrid>
      <w:tr w:rsidR="003E3B53">
        <w:trPr>
          <w:trHeight w:val="286"/>
          <w:jc w:val="center"/>
        </w:trPr>
        <w:tc>
          <w:tcPr>
            <w:tcW w:w="8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月深圳市各区二手房成交量情况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365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-52.8%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-39.1%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25859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-60.9%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-37.7%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454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-49.0%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-36.5%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39115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-51.1%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-38.3%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398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-43.9%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-34.0%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34197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-49.0%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-66.3%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-55.0%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-29.6%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4047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-54.0%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-29.9%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458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-47.1%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-30.4%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41203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-46.4%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-32.3%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484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-57.5%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-39.4%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41000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-82.5%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-38.9%</w:t>
            </w:r>
          </w:p>
        </w:tc>
      </w:tr>
      <w:tr w:rsidR="003E3B53">
        <w:trPr>
          <w:trHeight w:val="286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2209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-50.8%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-35.9%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185421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-65.2%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-45.5%</w:t>
            </w:r>
          </w:p>
        </w:tc>
      </w:tr>
    </w:tbl>
    <w:p w:rsidR="003E3B53" w:rsidRDefault="00A36368">
      <w:pPr>
        <w:pStyle w:val="a7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63" w:name="_Toc26278"/>
      <w:bookmarkStart w:id="164" w:name="_Toc17535"/>
      <w:bookmarkStart w:id="165" w:name="_Toc2434"/>
      <w:bookmarkStart w:id="166" w:name="_Toc21361"/>
      <w:bookmarkStart w:id="167" w:name="_Toc16509"/>
      <w:bookmarkStart w:id="168" w:name="_Toc10304"/>
      <w:bookmarkStart w:id="169" w:name="_Toc22691"/>
      <w:bookmarkStart w:id="170" w:name="_Toc32698"/>
      <w:bookmarkStart w:id="171" w:name="_Toc8922"/>
      <w:bookmarkStart w:id="172" w:name="_Toc14139"/>
      <w:r>
        <w:rPr>
          <w:rFonts w:ascii="Arial" w:hAnsi="Arial" w:cs="宋体" w:hint="eastAsia"/>
          <w:sz w:val="21"/>
          <w:szCs w:val="21"/>
        </w:rPr>
        <w:t>3.2.3</w:t>
      </w:r>
      <w:proofErr w:type="gramStart"/>
      <w:r>
        <w:rPr>
          <w:rFonts w:ascii="Arial" w:hAnsi="Arial" w:cs="宋体" w:hint="eastAsia"/>
          <w:sz w:val="21"/>
          <w:szCs w:val="21"/>
        </w:rPr>
        <w:t>二手住宅</w:t>
      </w:r>
      <w:proofErr w:type="gramEnd"/>
      <w:r>
        <w:rPr>
          <w:rFonts w:ascii="Arial" w:hAnsi="Arial" w:cs="宋体" w:hint="eastAsia"/>
          <w:sz w:val="21"/>
          <w:szCs w:val="21"/>
        </w:rPr>
        <w:t>租金均价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 w:hint="eastAsia"/>
          <w:color w:val="000000"/>
          <w:szCs w:val="21"/>
        </w:rPr>
        <w:t>2019</w:t>
      </w:r>
      <w:r>
        <w:rPr>
          <w:rFonts w:ascii="Arial" w:eastAsia="宋体" w:hAnsi="Arial" w:cs="宋体" w:hint="eastAsia"/>
          <w:color w:val="000000"/>
          <w:szCs w:val="21"/>
        </w:rPr>
        <w:t>年</w:t>
      </w:r>
      <w:r>
        <w:rPr>
          <w:rFonts w:ascii="Arial" w:eastAsia="宋体" w:hAnsi="Arial" w:cs="宋体" w:hint="eastAsia"/>
          <w:color w:val="000000"/>
          <w:szCs w:val="21"/>
        </w:rPr>
        <w:t>2</w:t>
      </w:r>
      <w:r>
        <w:rPr>
          <w:rFonts w:ascii="Arial" w:eastAsia="宋体" w:hAnsi="Arial" w:cs="宋体" w:hint="eastAsia"/>
          <w:color w:val="000000"/>
          <w:szCs w:val="21"/>
        </w:rPr>
        <w:t>月份深圳的住宅租金为</w:t>
      </w:r>
      <w:r>
        <w:rPr>
          <w:rFonts w:ascii="Arial" w:eastAsia="宋体" w:hAnsi="Arial" w:cs="宋体" w:hint="eastAsia"/>
          <w:color w:val="000000"/>
          <w:szCs w:val="21"/>
        </w:rPr>
        <w:t>99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月，环比上月上涨</w:t>
      </w:r>
      <w:r>
        <w:rPr>
          <w:rFonts w:ascii="Arial" w:eastAsia="宋体" w:hAnsi="Arial" w:cs="宋体" w:hint="eastAsia"/>
          <w:color w:val="000000"/>
          <w:szCs w:val="21"/>
        </w:rPr>
        <w:t>6.5%</w:t>
      </w:r>
      <w:r>
        <w:rPr>
          <w:rFonts w:ascii="Arial" w:eastAsia="宋体" w:hAnsi="Arial" w:cs="宋体" w:hint="eastAsia"/>
          <w:color w:val="000000"/>
          <w:szCs w:val="21"/>
        </w:rPr>
        <w:t>，同比去年</w:t>
      </w:r>
      <w:r>
        <w:rPr>
          <w:rFonts w:ascii="Arial" w:eastAsia="宋体" w:hAnsi="Arial" w:cs="宋体" w:hint="eastAsia"/>
          <w:color w:val="000000"/>
          <w:szCs w:val="21"/>
        </w:rPr>
        <w:t>2</w:t>
      </w:r>
      <w:r>
        <w:rPr>
          <w:rFonts w:ascii="Arial" w:eastAsia="宋体" w:hAnsi="Arial" w:cs="宋体" w:hint="eastAsia"/>
          <w:color w:val="000000"/>
          <w:szCs w:val="21"/>
        </w:rPr>
        <w:t>月上涨</w:t>
      </w:r>
      <w:r>
        <w:rPr>
          <w:rFonts w:ascii="Arial" w:eastAsia="宋体" w:hAnsi="Arial" w:cs="宋体" w:hint="eastAsia"/>
          <w:color w:val="000000"/>
          <w:szCs w:val="21"/>
        </w:rPr>
        <w:t>17.9%</w:t>
      </w:r>
      <w:r>
        <w:rPr>
          <w:rFonts w:ascii="Arial" w:eastAsia="宋体" w:hAnsi="Arial" w:cs="宋体" w:hint="eastAsia"/>
          <w:color w:val="000000"/>
          <w:szCs w:val="21"/>
        </w:rPr>
        <w:t>。</w:t>
      </w:r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 w:hint="eastAsia"/>
          <w:color w:val="000000"/>
          <w:szCs w:val="21"/>
        </w:rPr>
        <w:t> </w:t>
      </w:r>
      <w:r>
        <w:rPr>
          <w:rFonts w:ascii="Arial" w:eastAsia="宋体" w:hAnsi="Arial" w:cs="宋体" w:hint="eastAsia"/>
          <w:color w:val="000000"/>
          <w:szCs w:val="21"/>
        </w:rPr>
        <w:t>各行政区方面，罗湖区租金均价为</w:t>
      </w:r>
      <w:r>
        <w:rPr>
          <w:rFonts w:ascii="Arial" w:eastAsia="宋体" w:hAnsi="Arial" w:cs="宋体" w:hint="eastAsia"/>
          <w:color w:val="000000"/>
          <w:szCs w:val="21"/>
        </w:rPr>
        <w:t>94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月，环比下跌</w:t>
      </w:r>
      <w:r>
        <w:rPr>
          <w:rFonts w:ascii="Arial" w:eastAsia="宋体" w:hAnsi="Arial" w:cs="宋体" w:hint="eastAsia"/>
          <w:color w:val="000000"/>
          <w:szCs w:val="21"/>
        </w:rPr>
        <w:t>1.1%</w:t>
      </w:r>
      <w:r>
        <w:rPr>
          <w:rFonts w:ascii="Arial" w:eastAsia="宋体" w:hAnsi="Arial" w:cs="宋体" w:hint="eastAsia"/>
          <w:color w:val="000000"/>
          <w:szCs w:val="21"/>
        </w:rPr>
        <w:t>，同比上涨</w:t>
      </w:r>
      <w:r>
        <w:rPr>
          <w:rFonts w:ascii="Arial" w:eastAsia="宋体" w:hAnsi="Arial" w:cs="宋体" w:hint="eastAsia"/>
          <w:color w:val="000000"/>
          <w:szCs w:val="21"/>
        </w:rPr>
        <w:t>25.3%</w:t>
      </w:r>
      <w:r>
        <w:rPr>
          <w:rFonts w:ascii="Arial" w:eastAsia="宋体" w:hAnsi="Arial" w:cs="宋体" w:hint="eastAsia"/>
          <w:color w:val="000000"/>
          <w:szCs w:val="21"/>
        </w:rPr>
        <w:t>；</w:t>
      </w:r>
      <w:r>
        <w:rPr>
          <w:rFonts w:ascii="Arial" w:eastAsia="宋体" w:hAnsi="Arial" w:cs="宋体" w:hint="eastAsia"/>
          <w:color w:val="000000"/>
          <w:szCs w:val="21"/>
        </w:rPr>
        <w:t>福田区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租金环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比上涨</w:t>
      </w:r>
      <w:r>
        <w:rPr>
          <w:rFonts w:ascii="Arial" w:eastAsia="宋体" w:hAnsi="Arial" w:cs="宋体" w:hint="eastAsia"/>
          <w:color w:val="000000"/>
          <w:szCs w:val="21"/>
        </w:rPr>
        <w:t>6.2%</w:t>
      </w:r>
      <w:r>
        <w:rPr>
          <w:rFonts w:ascii="Arial" w:eastAsia="宋体" w:hAnsi="Arial" w:cs="宋体" w:hint="eastAsia"/>
          <w:color w:val="000000"/>
          <w:szCs w:val="21"/>
        </w:rPr>
        <w:t>，为</w:t>
      </w:r>
      <w:r>
        <w:rPr>
          <w:rFonts w:ascii="Arial" w:eastAsia="宋体" w:hAnsi="Arial" w:cs="宋体" w:hint="eastAsia"/>
          <w:color w:val="000000"/>
          <w:szCs w:val="21"/>
        </w:rPr>
        <w:t>120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月，同比上涨</w:t>
      </w:r>
      <w:r>
        <w:rPr>
          <w:rFonts w:ascii="Arial" w:eastAsia="宋体" w:hAnsi="Arial" w:cs="宋体" w:hint="eastAsia"/>
          <w:color w:val="000000"/>
          <w:szCs w:val="21"/>
        </w:rPr>
        <w:t>27.7%</w:t>
      </w:r>
      <w:r>
        <w:rPr>
          <w:rFonts w:ascii="Arial" w:eastAsia="宋体" w:hAnsi="Arial" w:cs="宋体" w:hint="eastAsia"/>
          <w:color w:val="000000"/>
          <w:szCs w:val="21"/>
        </w:rPr>
        <w:t>；南山区租金均价环比上涨</w:t>
      </w:r>
      <w:r>
        <w:rPr>
          <w:rFonts w:ascii="Arial" w:eastAsia="宋体" w:hAnsi="Arial" w:cs="宋体" w:hint="eastAsia"/>
          <w:color w:val="000000"/>
          <w:szCs w:val="21"/>
        </w:rPr>
        <w:t>4.9%</w:t>
      </w:r>
      <w:r>
        <w:rPr>
          <w:rFonts w:ascii="Arial" w:eastAsia="宋体" w:hAnsi="Arial" w:cs="宋体" w:hint="eastAsia"/>
          <w:color w:val="000000"/>
          <w:szCs w:val="21"/>
        </w:rPr>
        <w:t>，为</w:t>
      </w:r>
      <w:r>
        <w:rPr>
          <w:rFonts w:ascii="Arial" w:eastAsia="宋体" w:hAnsi="Arial" w:cs="宋体" w:hint="eastAsia"/>
          <w:color w:val="000000"/>
          <w:szCs w:val="21"/>
        </w:rPr>
        <w:t>107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月，同比上涨</w:t>
      </w:r>
      <w:r>
        <w:rPr>
          <w:rFonts w:ascii="Arial" w:eastAsia="宋体" w:hAnsi="Arial" w:cs="宋体" w:hint="eastAsia"/>
          <w:color w:val="000000"/>
          <w:szCs w:val="21"/>
        </w:rPr>
        <w:t>1.9%</w:t>
      </w:r>
      <w:r>
        <w:rPr>
          <w:rFonts w:ascii="Arial" w:eastAsia="宋体" w:hAnsi="Arial" w:cs="宋体" w:hint="eastAsia"/>
          <w:color w:val="000000"/>
          <w:szCs w:val="21"/>
        </w:rPr>
        <w:t>；盐田区租金均价环比下跌</w:t>
      </w:r>
      <w:r>
        <w:rPr>
          <w:rFonts w:ascii="Arial" w:eastAsia="宋体" w:hAnsi="Arial" w:cs="宋体" w:hint="eastAsia"/>
          <w:color w:val="000000"/>
          <w:szCs w:val="21"/>
        </w:rPr>
        <w:t>2.0%</w:t>
      </w:r>
      <w:r>
        <w:rPr>
          <w:rFonts w:ascii="Arial" w:eastAsia="宋体" w:hAnsi="Arial" w:cs="宋体" w:hint="eastAsia"/>
          <w:color w:val="000000"/>
          <w:szCs w:val="21"/>
        </w:rPr>
        <w:t>，为</w:t>
      </w:r>
      <w:r>
        <w:rPr>
          <w:rFonts w:ascii="Arial" w:eastAsia="宋体" w:hAnsi="Arial" w:cs="宋体" w:hint="eastAsia"/>
          <w:color w:val="000000"/>
          <w:szCs w:val="21"/>
        </w:rPr>
        <w:t>49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月；宝安区租金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水平环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比上涨</w:t>
      </w:r>
      <w:r>
        <w:rPr>
          <w:rFonts w:ascii="Arial" w:eastAsia="宋体" w:hAnsi="Arial" w:cs="宋体" w:hint="eastAsia"/>
          <w:color w:val="000000"/>
          <w:szCs w:val="21"/>
        </w:rPr>
        <w:t>8.5%</w:t>
      </w:r>
      <w:r>
        <w:rPr>
          <w:rFonts w:ascii="Arial" w:eastAsia="宋体" w:hAnsi="Arial" w:cs="宋体" w:hint="eastAsia"/>
          <w:color w:val="000000"/>
          <w:szCs w:val="21"/>
        </w:rPr>
        <w:t>至</w:t>
      </w:r>
      <w:r>
        <w:rPr>
          <w:rFonts w:ascii="Arial" w:eastAsia="宋体" w:hAnsi="Arial" w:cs="宋体" w:hint="eastAsia"/>
          <w:color w:val="000000"/>
          <w:szCs w:val="21"/>
        </w:rPr>
        <w:t>77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月，同比上涨</w:t>
      </w:r>
      <w:r>
        <w:rPr>
          <w:rFonts w:ascii="Arial" w:eastAsia="宋体" w:hAnsi="Arial" w:cs="宋体" w:hint="eastAsia"/>
          <w:color w:val="000000"/>
          <w:szCs w:val="21"/>
        </w:rPr>
        <w:t>13.2%</w:t>
      </w:r>
      <w:r>
        <w:rPr>
          <w:rFonts w:ascii="Arial" w:eastAsia="宋体" w:hAnsi="Arial" w:cs="宋体" w:hint="eastAsia"/>
          <w:color w:val="000000"/>
          <w:szCs w:val="21"/>
        </w:rPr>
        <w:t>；</w:t>
      </w:r>
      <w:r>
        <w:rPr>
          <w:rFonts w:ascii="Arial" w:eastAsia="宋体" w:hAnsi="Arial" w:cs="宋体" w:hint="eastAsia"/>
          <w:color w:val="000000"/>
          <w:szCs w:val="21"/>
        </w:rPr>
        <w:t>龙岗区租金均价环比下跌</w:t>
      </w:r>
      <w:r>
        <w:rPr>
          <w:rFonts w:ascii="Arial" w:eastAsia="宋体" w:hAnsi="Arial" w:cs="宋体" w:hint="eastAsia"/>
          <w:color w:val="000000"/>
          <w:szCs w:val="21"/>
        </w:rPr>
        <w:t>2.0%</w:t>
      </w:r>
      <w:r>
        <w:rPr>
          <w:rFonts w:ascii="Arial" w:eastAsia="宋体" w:hAnsi="Arial" w:cs="宋体" w:hint="eastAsia"/>
          <w:color w:val="000000"/>
          <w:szCs w:val="21"/>
        </w:rPr>
        <w:t>，为</w:t>
      </w:r>
      <w:r>
        <w:rPr>
          <w:rFonts w:ascii="Arial" w:eastAsia="宋体" w:hAnsi="Arial" w:cs="宋体" w:hint="eastAsia"/>
          <w:color w:val="000000"/>
          <w:szCs w:val="21"/>
        </w:rPr>
        <w:t>50</w:t>
      </w:r>
      <w:r>
        <w:rPr>
          <w:rFonts w:ascii="Arial" w:eastAsia="宋体" w:hAnsi="Arial" w:cs="宋体" w:hint="eastAsia"/>
          <w:color w:val="000000"/>
          <w:szCs w:val="21"/>
        </w:rPr>
        <w:t>元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平方米</w:t>
      </w:r>
      <w:r>
        <w:rPr>
          <w:rFonts w:ascii="Arial" w:eastAsia="宋体" w:hAnsi="Arial" w:cs="宋体" w:hint="eastAsia"/>
          <w:color w:val="000000"/>
          <w:szCs w:val="21"/>
        </w:rPr>
        <w:t>/</w:t>
      </w:r>
      <w:r>
        <w:rPr>
          <w:rFonts w:ascii="Arial" w:eastAsia="宋体" w:hAnsi="Arial" w:cs="宋体" w:hint="eastAsia"/>
          <w:color w:val="000000"/>
          <w:szCs w:val="21"/>
        </w:rPr>
        <w:t>月，同比下跌</w:t>
      </w:r>
      <w:r>
        <w:rPr>
          <w:rFonts w:ascii="Arial" w:eastAsia="宋体" w:hAnsi="Arial" w:cs="宋体" w:hint="eastAsia"/>
          <w:color w:val="000000"/>
          <w:szCs w:val="21"/>
        </w:rPr>
        <w:t>13.8%</w:t>
      </w:r>
      <w:r>
        <w:rPr>
          <w:rFonts w:ascii="Arial" w:eastAsia="宋体" w:hAnsi="Arial" w:cs="宋体" w:hint="eastAsia"/>
          <w:color w:val="000000"/>
          <w:szCs w:val="21"/>
        </w:rPr>
        <w:t>。</w:t>
      </w:r>
    </w:p>
    <w:tbl>
      <w:tblPr>
        <w:tblW w:w="87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138"/>
        <w:gridCol w:w="1688"/>
        <w:gridCol w:w="1577"/>
        <w:gridCol w:w="1663"/>
        <w:gridCol w:w="1560"/>
      </w:tblGrid>
      <w:tr w:rsidR="003E3B53">
        <w:trPr>
          <w:trHeight w:val="286"/>
          <w:jc w:val="center"/>
        </w:trPr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月深圳各区</w:t>
            </w:r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二手住宅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租金均价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月租金均价（元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㎡·月）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月租金均价（元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㎡·月）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月租金均价（元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㎡·月）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25.3%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27.7%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4.9%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1.9%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-2.0%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0.0%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13.2%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-2.0%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-13.8%</w:t>
            </w:r>
          </w:p>
        </w:tc>
      </w:tr>
      <w:tr w:rsidR="003E3B53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17.9%</w:t>
            </w:r>
          </w:p>
        </w:tc>
      </w:tr>
    </w:tbl>
    <w:p w:rsidR="003E3B53" w:rsidRDefault="00A36368">
      <w:pPr>
        <w:pStyle w:val="a9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173" w:name="_Toc20751"/>
      <w:r>
        <w:rPr>
          <w:rFonts w:ascii="Arial" w:hAnsi="Arial" w:cs="宋体" w:hint="eastAsia"/>
          <w:sz w:val="24"/>
          <w:szCs w:val="24"/>
        </w:rPr>
        <w:t>4</w:t>
      </w:r>
      <w:r>
        <w:rPr>
          <w:rFonts w:ascii="Arial" w:hAnsi="Arial" w:cs="宋体" w:hint="eastAsia"/>
          <w:sz w:val="24"/>
          <w:szCs w:val="24"/>
        </w:rPr>
        <w:t>小结</w:t>
      </w:r>
      <w:bookmarkEnd w:id="173"/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hint="eastAsia"/>
          <w:color w:val="000000"/>
          <w:sz w:val="21"/>
          <w:szCs w:val="21"/>
        </w:rPr>
        <w:t>农历春节月份是深圳楼市传统的淡季，阖家欢聚的长假效应，导致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月份新房二手房成交量大幅下挫，</w:t>
      </w:r>
      <w:r>
        <w:rPr>
          <w:rFonts w:ascii="Arial" w:hAnsi="Arial" w:hint="eastAsia"/>
          <w:color w:val="000000"/>
          <w:sz w:val="21"/>
          <w:szCs w:val="21"/>
        </w:rPr>
        <w:t>2</w:t>
      </w:r>
      <w:r>
        <w:rPr>
          <w:rFonts w:ascii="Arial" w:hAnsi="Arial" w:hint="eastAsia"/>
          <w:color w:val="000000"/>
          <w:sz w:val="21"/>
          <w:szCs w:val="21"/>
        </w:rPr>
        <w:t>月深圳新房住宅成交量在</w:t>
      </w:r>
      <w:r>
        <w:rPr>
          <w:rFonts w:ascii="Arial" w:hAnsi="Arial" w:hint="eastAsia"/>
          <w:color w:val="000000"/>
          <w:sz w:val="21"/>
          <w:szCs w:val="21"/>
        </w:rPr>
        <w:t>1</w:t>
      </w:r>
      <w:r>
        <w:rPr>
          <w:rFonts w:ascii="Arial" w:hAnsi="Arial" w:hint="eastAsia"/>
          <w:color w:val="000000"/>
          <w:sz w:val="21"/>
          <w:szCs w:val="21"/>
        </w:rPr>
        <w:t>月</w:t>
      </w:r>
      <w:r>
        <w:rPr>
          <w:rFonts w:ascii="Arial" w:hAnsi="Arial" w:hint="eastAsia"/>
          <w:color w:val="000000"/>
          <w:sz w:val="21"/>
          <w:szCs w:val="21"/>
        </w:rPr>
        <w:t>2499</w:t>
      </w:r>
      <w:r>
        <w:rPr>
          <w:rFonts w:ascii="Arial" w:hAnsi="Arial" w:hint="eastAsia"/>
          <w:color w:val="000000"/>
          <w:sz w:val="21"/>
          <w:szCs w:val="21"/>
        </w:rPr>
        <w:t>套的基础上再次腰斩，仅为</w:t>
      </w:r>
      <w:r>
        <w:rPr>
          <w:rFonts w:ascii="Arial" w:hAnsi="Arial" w:hint="eastAsia"/>
          <w:color w:val="000000"/>
          <w:sz w:val="21"/>
          <w:szCs w:val="21"/>
        </w:rPr>
        <w:t>1279</w:t>
      </w:r>
      <w:r>
        <w:rPr>
          <w:rFonts w:ascii="Arial" w:hAnsi="Arial" w:hint="eastAsia"/>
          <w:color w:val="000000"/>
          <w:sz w:val="21"/>
          <w:szCs w:val="21"/>
        </w:rPr>
        <w:t>套。不过，从节后市场的表现看，</w:t>
      </w:r>
      <w:r>
        <w:rPr>
          <w:rFonts w:ascii="Arial" w:hAnsi="Arial" w:hint="eastAsia"/>
          <w:color w:val="000000"/>
          <w:sz w:val="21"/>
          <w:szCs w:val="21"/>
        </w:rPr>
        <w:lastRenderedPageBreak/>
        <w:t>新房市场售楼部看房人数大幅增加，签约量增加，二手房受交易减税的刺激，客户到访量也大幅增加，深圳楼市在三四月份有望迎来小阳春。</w:t>
      </w:r>
    </w:p>
    <w:p w:rsidR="003E3B53" w:rsidRDefault="00A36368">
      <w:pPr>
        <w:pStyle w:val="a8"/>
        <w:shd w:val="clear" w:color="auto" w:fill="FFFFFF"/>
        <w:spacing w:before="0" w:beforeAutospacing="0" w:after="0" w:afterAutospacing="0" w:line="480" w:lineRule="auto"/>
        <w:rPr>
          <w:rFonts w:ascii="Arial" w:hAnsi="Arial"/>
          <w:color w:val="000000"/>
          <w:sz w:val="21"/>
          <w:szCs w:val="21"/>
        </w:rPr>
        <w:sectPr w:rsidR="003E3B53">
          <w:footerReference w:type="default" r:id="rId16"/>
          <w:pgSz w:w="11906" w:h="16838"/>
          <w:pgMar w:top="1843" w:right="1134" w:bottom="1134" w:left="1134" w:header="851" w:footer="850" w:gutter="0"/>
          <w:pgNumType w:start="1"/>
          <w:cols w:space="425"/>
          <w:docGrid w:type="lines" w:linePitch="312"/>
        </w:sectPr>
      </w:pPr>
      <w:r>
        <w:rPr>
          <w:rFonts w:ascii="Arial" w:hAnsi="Arial" w:hint="eastAsia"/>
          <w:color w:val="000000"/>
          <w:sz w:val="21"/>
          <w:szCs w:val="21"/>
        </w:rPr>
        <w:t>（转下页）</w:t>
      </w:r>
    </w:p>
    <w:p w:rsidR="003E3B53" w:rsidRDefault="00A36368">
      <w:pPr>
        <w:pStyle w:val="a9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174" w:name="_Toc26918"/>
      <w:bookmarkStart w:id="175" w:name="_Toc30613"/>
      <w:bookmarkStart w:id="176" w:name="_Toc21825"/>
      <w:bookmarkStart w:id="177" w:name="_Toc26824"/>
      <w:bookmarkStart w:id="178" w:name="_Toc31617"/>
      <w:bookmarkStart w:id="179" w:name="_Toc15494"/>
      <w:bookmarkStart w:id="180" w:name="_Toc29289"/>
      <w:bookmarkStart w:id="181" w:name="_Toc20956"/>
      <w:bookmarkStart w:id="182" w:name="_Toc7530"/>
      <w:bookmarkStart w:id="183" w:name="_Toc471672065"/>
      <w:r>
        <w:rPr>
          <w:rFonts w:ascii="Arial" w:hAnsi="Arial" w:cs="宋体" w:hint="eastAsia"/>
          <w:sz w:val="24"/>
          <w:szCs w:val="24"/>
        </w:rPr>
        <w:lastRenderedPageBreak/>
        <w:t>5</w:t>
      </w:r>
      <w:r>
        <w:rPr>
          <w:rFonts w:ascii="Arial" w:hAnsi="Arial" w:cs="宋体" w:hint="eastAsia"/>
          <w:sz w:val="24"/>
          <w:szCs w:val="24"/>
        </w:rPr>
        <w:t>监管各项</w:t>
      </w:r>
      <w:proofErr w:type="gramStart"/>
      <w:r>
        <w:rPr>
          <w:rFonts w:ascii="Arial" w:hAnsi="Arial" w:cs="宋体" w:hint="eastAsia"/>
          <w:sz w:val="24"/>
          <w:szCs w:val="24"/>
        </w:rPr>
        <w:t>目所在</w:t>
      </w:r>
      <w:proofErr w:type="gramEnd"/>
      <w:r>
        <w:rPr>
          <w:rFonts w:ascii="Arial" w:hAnsi="Arial" w:cs="宋体" w:hint="eastAsia"/>
          <w:sz w:val="24"/>
          <w:szCs w:val="24"/>
        </w:rPr>
        <w:t>区房地产市场情况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3E3B53" w:rsidRDefault="00A36368">
      <w:pPr>
        <w:pStyle w:val="a9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184" w:name="_Toc10848"/>
      <w:bookmarkStart w:id="185" w:name="_Toc25094"/>
      <w:bookmarkStart w:id="186" w:name="_Toc11278"/>
      <w:bookmarkStart w:id="187" w:name="_Toc14542"/>
      <w:bookmarkStart w:id="188" w:name="_Toc21666"/>
      <w:bookmarkStart w:id="189" w:name="_Toc27740"/>
      <w:bookmarkStart w:id="190" w:name="_Toc1568"/>
      <w:bookmarkStart w:id="191" w:name="_Toc8451"/>
      <w:bookmarkStart w:id="192" w:name="_Toc15809"/>
      <w:r>
        <w:rPr>
          <w:rFonts w:ascii="Arial" w:hAnsi="Arial" w:cs="宋体" w:hint="eastAsia"/>
          <w:sz w:val="21"/>
          <w:szCs w:val="21"/>
        </w:rPr>
        <w:t>5.1</w:t>
      </w:r>
      <w:r>
        <w:rPr>
          <w:rFonts w:ascii="Arial" w:hAnsi="Arial" w:cs="宋体" w:hint="eastAsia"/>
          <w:sz w:val="21"/>
          <w:szCs w:val="21"/>
        </w:rPr>
        <w:t>监管各项</w:t>
      </w:r>
      <w:proofErr w:type="gramStart"/>
      <w:r>
        <w:rPr>
          <w:rFonts w:ascii="Arial" w:hAnsi="Arial" w:cs="宋体" w:hint="eastAsia"/>
          <w:sz w:val="21"/>
          <w:szCs w:val="21"/>
        </w:rPr>
        <w:t>目所在</w:t>
      </w:r>
      <w:proofErr w:type="gramEnd"/>
      <w:r>
        <w:rPr>
          <w:rFonts w:ascii="Arial" w:hAnsi="Arial" w:cs="宋体" w:hint="eastAsia"/>
          <w:sz w:val="21"/>
          <w:szCs w:val="21"/>
        </w:rPr>
        <w:t>区商业地产市场情况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tbl>
      <w:tblPr>
        <w:tblW w:w="13747" w:type="dxa"/>
        <w:jc w:val="center"/>
        <w:tblInd w:w="4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036"/>
        <w:gridCol w:w="1413"/>
        <w:gridCol w:w="1440"/>
        <w:gridCol w:w="1653"/>
        <w:gridCol w:w="1485"/>
        <w:gridCol w:w="1461"/>
        <w:gridCol w:w="1480"/>
        <w:gridCol w:w="1349"/>
        <w:gridCol w:w="1380"/>
      </w:tblGrid>
      <w:tr w:rsidR="003E3B53">
        <w:trPr>
          <w:trHeight w:val="361"/>
          <w:jc w:val="center"/>
        </w:trPr>
        <w:tc>
          <w:tcPr>
            <w:tcW w:w="13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Cs w:val="21"/>
              </w:rPr>
            </w:pPr>
            <w:bookmarkStart w:id="193" w:name="_Toc23280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月年深圳市商业地产各区市场情况</w:t>
            </w:r>
            <w:bookmarkEnd w:id="193"/>
          </w:p>
        </w:tc>
      </w:tr>
      <w:tr w:rsidR="003E3B53">
        <w:trPr>
          <w:trHeight w:val="361"/>
          <w:jc w:val="center"/>
        </w:trPr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4" w:name="_Toc31768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194"/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5" w:name="_Toc15830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一手商业</w:t>
            </w:r>
            <w:bookmarkEnd w:id="195"/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6" w:name="_Toc19440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二手商业</w:t>
            </w:r>
            <w:bookmarkEnd w:id="196"/>
          </w:p>
        </w:tc>
      </w:tr>
      <w:tr w:rsidR="003E3B53">
        <w:trPr>
          <w:trHeight w:val="361"/>
          <w:jc w:val="center"/>
        </w:trPr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7" w:name="_Toc7892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各区整体预售量</w:t>
            </w:r>
            <w:bookmarkEnd w:id="197"/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8" w:name="_Toc2301"/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盘情况</w:t>
            </w:r>
            <w:bookmarkEnd w:id="198"/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199" w:name="_Toc21174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199"/>
          </w:p>
        </w:tc>
      </w:tr>
      <w:tr w:rsidR="003E3B53">
        <w:trPr>
          <w:trHeight w:val="67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00" w:name="_Toc2787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200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01" w:name="_Toc22661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201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02" w:name="_Toc10901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202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3" w:name="_Toc27442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203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4" w:name="_Toc3553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204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5" w:name="_Toc7533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05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6" w:name="_Toc22636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06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7" w:name="_Toc14644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市场参考价（元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  <w:bookmarkEnd w:id="207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8" w:name="_Toc13696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08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9" w:name="_Toc10467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09"/>
          </w:p>
        </w:tc>
      </w:tr>
      <w:tr w:rsidR="003E3B53">
        <w:trPr>
          <w:trHeight w:val="66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bookmarkStart w:id="210" w:name="_Toc2392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荣德国际</w:t>
            </w:r>
            <w:bookmarkEnd w:id="210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bookmarkStart w:id="211" w:name="_Toc7631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龙岗区</w:t>
            </w:r>
            <w:bookmarkEnd w:id="211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2" w:name="_Toc1992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21</w:t>
            </w:r>
            <w:bookmarkEnd w:id="212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3" w:name="_Toc2229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2254</w:t>
            </w:r>
            <w:bookmarkEnd w:id="213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4" w:name="_Toc32183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金</w:t>
            </w:r>
            <w:proofErr w:type="gramStart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地龙城</w:t>
            </w:r>
            <w:proofErr w:type="gramEnd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中央</w:t>
            </w:r>
            <w:bookmarkEnd w:id="214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5" w:name="_Toc23158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33</w:t>
            </w:r>
            <w:bookmarkEnd w:id="215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6" w:name="_Toc19160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1836</w:t>
            </w:r>
            <w:bookmarkEnd w:id="216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7" w:name="_Toc30723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34</w:t>
            </w:r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000</w:t>
            </w:r>
            <w:bookmarkEnd w:id="217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8" w:name="_Toc3250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30</w:t>
            </w:r>
            <w:bookmarkEnd w:id="218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19" w:name="_Toc25195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1698</w:t>
            </w:r>
            <w:bookmarkEnd w:id="219"/>
          </w:p>
        </w:tc>
      </w:tr>
    </w:tbl>
    <w:p w:rsidR="003E3B53" w:rsidRDefault="00A36368">
      <w:pPr>
        <w:pStyle w:val="a9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20" w:name="_Toc13169"/>
      <w:bookmarkStart w:id="221" w:name="_Toc2123"/>
      <w:bookmarkStart w:id="222" w:name="_Toc25379"/>
      <w:bookmarkStart w:id="223" w:name="_Toc28713"/>
      <w:bookmarkStart w:id="224" w:name="_Toc19461"/>
      <w:bookmarkStart w:id="225" w:name="_Toc6264"/>
      <w:bookmarkStart w:id="226" w:name="_Toc10047"/>
      <w:bookmarkStart w:id="227" w:name="_Toc3153"/>
      <w:bookmarkStart w:id="228" w:name="_Toc5046"/>
      <w:r>
        <w:rPr>
          <w:rFonts w:ascii="Arial" w:hAnsi="Arial" w:cs="宋体" w:hint="eastAsia"/>
          <w:sz w:val="21"/>
          <w:szCs w:val="21"/>
        </w:rPr>
        <w:t xml:space="preserve">5.2 </w:t>
      </w:r>
      <w:r>
        <w:rPr>
          <w:rFonts w:ascii="Arial" w:hAnsi="Arial" w:cs="宋体" w:hint="eastAsia"/>
          <w:sz w:val="21"/>
          <w:szCs w:val="21"/>
        </w:rPr>
        <w:t>监管各项</w:t>
      </w:r>
      <w:proofErr w:type="gramStart"/>
      <w:r>
        <w:rPr>
          <w:rFonts w:ascii="Arial" w:hAnsi="Arial" w:cs="宋体" w:hint="eastAsia"/>
          <w:sz w:val="21"/>
          <w:szCs w:val="21"/>
        </w:rPr>
        <w:t>目所在</w:t>
      </w:r>
      <w:proofErr w:type="gramEnd"/>
      <w:r>
        <w:rPr>
          <w:rFonts w:ascii="Arial" w:hAnsi="Arial" w:cs="宋体" w:hint="eastAsia"/>
          <w:sz w:val="21"/>
          <w:szCs w:val="21"/>
        </w:rPr>
        <w:t>区商品住宅市场情况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3E3B53" w:rsidRDefault="003E3B53">
      <w:pPr>
        <w:widowControl/>
        <w:jc w:val="center"/>
        <w:outlineLvl w:val="1"/>
        <w:rPr>
          <w:rFonts w:ascii="Arial" w:eastAsia="宋体" w:hAnsi="Arial" w:cs="宋体"/>
          <w:color w:val="000000"/>
          <w:kern w:val="0"/>
          <w:szCs w:val="21"/>
        </w:rPr>
        <w:sectPr w:rsidR="003E3B53">
          <w:footerReference w:type="first" r:id="rId17"/>
          <w:pgSz w:w="16838" w:h="11906" w:orient="landscape"/>
          <w:pgMar w:top="1508" w:right="1134" w:bottom="1134" w:left="1134" w:header="851" w:footer="850" w:gutter="340"/>
          <w:cols w:space="0"/>
          <w:titlePg/>
          <w:docGrid w:linePitch="312"/>
        </w:sectPr>
      </w:pPr>
    </w:p>
    <w:tbl>
      <w:tblPr>
        <w:tblW w:w="13636" w:type="dxa"/>
        <w:jc w:val="center"/>
        <w:tblInd w:w="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789"/>
        <w:gridCol w:w="1429"/>
        <w:gridCol w:w="1459"/>
        <w:gridCol w:w="1625"/>
        <w:gridCol w:w="1485"/>
        <w:gridCol w:w="1504"/>
        <w:gridCol w:w="1676"/>
        <w:gridCol w:w="1358"/>
        <w:gridCol w:w="1372"/>
      </w:tblGrid>
      <w:tr w:rsidR="003E3B53">
        <w:trPr>
          <w:trHeight w:val="316"/>
          <w:jc w:val="center"/>
        </w:trPr>
        <w:tc>
          <w:tcPr>
            <w:tcW w:w="13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Cs w:val="21"/>
              </w:rPr>
            </w:pPr>
            <w:bookmarkStart w:id="229" w:name="_Toc23636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2019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4"/>
                <w:szCs w:val="24"/>
              </w:rPr>
              <w:t>月深圳市商品住宅各区市场情况</w:t>
            </w:r>
            <w:bookmarkEnd w:id="229"/>
          </w:p>
        </w:tc>
      </w:tr>
      <w:tr w:rsidR="003E3B53">
        <w:trPr>
          <w:trHeight w:val="316"/>
          <w:jc w:val="center"/>
        </w:trPr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0" w:name="_Toc14429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230"/>
          </w:p>
        </w:tc>
        <w:tc>
          <w:tcPr>
            <w:tcW w:w="9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1" w:name="_Toc24697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一手住宅</w:t>
            </w:r>
            <w:bookmarkEnd w:id="231"/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2" w:name="_Toc4973"/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二手住宅</w:t>
            </w:r>
            <w:bookmarkEnd w:id="232"/>
            <w:proofErr w:type="gramEnd"/>
          </w:p>
        </w:tc>
      </w:tr>
      <w:tr w:rsidR="003E3B53">
        <w:trPr>
          <w:trHeight w:val="316"/>
          <w:jc w:val="center"/>
        </w:trPr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3" w:name="_Toc6371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各区整体预售量</w:t>
            </w:r>
            <w:bookmarkEnd w:id="233"/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4" w:name="_Toc3326"/>
            <w:proofErr w:type="gramStart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盘情况</w:t>
            </w:r>
            <w:bookmarkEnd w:id="234"/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5" w:name="_Toc17638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235"/>
          </w:p>
        </w:tc>
      </w:tr>
      <w:tr w:rsidR="003E3B53">
        <w:trPr>
          <w:trHeight w:val="741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6" w:name="_Toc15217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236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7" w:name="_Toc11322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237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sz w:val="18"/>
                <w:szCs w:val="18"/>
              </w:rPr>
            </w:pPr>
            <w:bookmarkStart w:id="238" w:name="_Toc3858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238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39" w:name="_Toc28580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239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0" w:name="_Toc30867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240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1" w:name="_Toc19458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41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2" w:name="_Toc31850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42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3" w:name="_Toc19143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市场参考价（元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  <w:bookmarkEnd w:id="243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4" w:name="_Toc25061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44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5" w:name="_Toc29466"/>
            <w:r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45"/>
          </w:p>
        </w:tc>
      </w:tr>
      <w:tr w:rsidR="003E3B53">
        <w:trPr>
          <w:trHeight w:val="593"/>
          <w:jc w:val="center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bookmarkStart w:id="246" w:name="_Toc25662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荣德国际</w:t>
            </w:r>
            <w:bookmarkEnd w:id="246"/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  <w:bookmarkStart w:id="247" w:name="_Toc26940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龙岗区</w:t>
            </w:r>
            <w:bookmarkEnd w:id="247"/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48" w:name="_Toc1560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175</w:t>
            </w:r>
            <w:bookmarkEnd w:id="248"/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49" w:name="_Toc5606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15872</w:t>
            </w:r>
            <w:bookmarkEnd w:id="249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0" w:name="_Toc2308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远洋新天地</w:t>
            </w:r>
            <w:bookmarkEnd w:id="250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1" w:name="_Toc2686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39</w:t>
            </w:r>
            <w:bookmarkEnd w:id="251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2" w:name="_Toc28906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3478</w:t>
            </w:r>
            <w:bookmarkEnd w:id="252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3" w:name="_Toc23166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43000</w:t>
            </w:r>
            <w:bookmarkEnd w:id="253"/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4" w:name="_Toc15853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440</w:t>
            </w:r>
            <w:bookmarkEnd w:id="254"/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5" w:name="_Toc1293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38253</w:t>
            </w:r>
            <w:bookmarkEnd w:id="255"/>
          </w:p>
        </w:tc>
      </w:tr>
      <w:tr w:rsidR="003E3B53">
        <w:trPr>
          <w:trHeight w:val="632"/>
          <w:jc w:val="center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6" w:name="_Toc9623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大族云峰</w:t>
            </w:r>
            <w:bookmarkEnd w:id="256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7" w:name="_Toc17324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29</w:t>
            </w:r>
            <w:bookmarkEnd w:id="257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8" w:name="_Toc1540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3114</w:t>
            </w:r>
            <w:bookmarkEnd w:id="258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</w:pPr>
            <w:bookmarkStart w:id="259" w:name="_Toc22056"/>
            <w:r>
              <w:rPr>
                <w:rFonts w:ascii="Arial" w:eastAsia="宋体" w:hAnsi="Arial" w:cs="宋体" w:hint="eastAsia"/>
                <w:color w:val="000000"/>
                <w:kern w:val="0"/>
                <w:sz w:val="18"/>
                <w:szCs w:val="18"/>
              </w:rPr>
              <w:t>59000</w:t>
            </w:r>
            <w:bookmarkEnd w:id="259"/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宋体"/>
                <w:color w:val="000000"/>
                <w:sz w:val="18"/>
                <w:szCs w:val="18"/>
              </w:rPr>
            </w:pPr>
          </w:p>
        </w:tc>
      </w:tr>
    </w:tbl>
    <w:p w:rsidR="003E3B53" w:rsidRDefault="003E3B53">
      <w:pPr>
        <w:spacing w:line="480" w:lineRule="auto"/>
        <w:outlineLvl w:val="1"/>
        <w:rPr>
          <w:rFonts w:ascii="Arial" w:eastAsia="宋体" w:hAnsi="Arial" w:cs="宋体"/>
          <w:sz w:val="18"/>
          <w:szCs w:val="18"/>
        </w:rPr>
        <w:sectPr w:rsidR="003E3B53">
          <w:type w:val="continuous"/>
          <w:pgSz w:w="16838" w:h="11906" w:orient="landscape"/>
          <w:pgMar w:top="1418" w:right="1361" w:bottom="1701" w:left="1361" w:header="851" w:footer="992" w:gutter="0"/>
          <w:cols w:space="425"/>
          <w:titlePg/>
          <w:docGrid w:linePitch="312"/>
        </w:sectPr>
      </w:pPr>
    </w:p>
    <w:p w:rsidR="003E3B53" w:rsidRDefault="00A36368">
      <w:pPr>
        <w:pStyle w:val="a9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260" w:name="_Toc21866"/>
      <w:bookmarkStart w:id="261" w:name="_Toc22114"/>
      <w:bookmarkStart w:id="262" w:name="_Toc29366"/>
      <w:bookmarkStart w:id="263" w:name="_Toc3726"/>
      <w:bookmarkStart w:id="264" w:name="_Toc20830"/>
      <w:bookmarkStart w:id="265" w:name="_Toc20802"/>
      <w:bookmarkStart w:id="266" w:name="_Toc19172"/>
      <w:bookmarkStart w:id="267" w:name="_Toc28660"/>
      <w:bookmarkStart w:id="268" w:name="_Toc22367"/>
      <w:r>
        <w:rPr>
          <w:rFonts w:ascii="Arial" w:hAnsi="Arial" w:cs="宋体" w:hint="eastAsia"/>
          <w:sz w:val="24"/>
          <w:szCs w:val="24"/>
        </w:rPr>
        <w:lastRenderedPageBreak/>
        <w:t>6</w:t>
      </w:r>
      <w:r>
        <w:rPr>
          <w:rFonts w:ascii="Arial" w:hAnsi="Arial" w:cs="宋体" w:hint="eastAsia"/>
          <w:sz w:val="24"/>
          <w:szCs w:val="24"/>
        </w:rPr>
        <w:t>项目</w:t>
      </w:r>
      <w:r>
        <w:rPr>
          <w:rFonts w:ascii="Arial" w:hAnsi="Arial" w:cs="宋体" w:hint="eastAsia"/>
          <w:sz w:val="24"/>
          <w:szCs w:val="24"/>
        </w:rPr>
        <w:t>移交及销</w:t>
      </w:r>
      <w:r>
        <w:rPr>
          <w:rFonts w:ascii="Arial" w:hAnsi="Arial" w:cs="宋体" w:hint="eastAsia"/>
          <w:sz w:val="24"/>
          <w:szCs w:val="24"/>
        </w:rPr>
        <w:t>售情况</w:t>
      </w:r>
      <w:bookmarkStart w:id="269" w:name="_Toc16941"/>
      <w:bookmarkStart w:id="270" w:name="_Toc595"/>
      <w:bookmarkStart w:id="271" w:name="_Toc12722"/>
      <w:bookmarkStart w:id="272" w:name="_Toc26929"/>
      <w:bookmarkStart w:id="273" w:name="_Toc7848"/>
      <w:bookmarkStart w:id="274" w:name="_Toc13823"/>
      <w:bookmarkStart w:id="275" w:name="_Toc21851"/>
      <w:bookmarkStart w:id="276" w:name="_Toc12960"/>
      <w:bookmarkEnd w:id="183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:rsidR="003E3B53" w:rsidRDefault="00A36368">
      <w:pPr>
        <w:pStyle w:val="a9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77" w:name="_Toc15482"/>
      <w:r>
        <w:rPr>
          <w:rFonts w:ascii="Arial" w:hAnsi="Arial" w:cs="宋体" w:hint="eastAsia"/>
          <w:sz w:val="21"/>
          <w:szCs w:val="21"/>
        </w:rPr>
        <w:t>6.1</w:t>
      </w:r>
      <w:r>
        <w:rPr>
          <w:rFonts w:ascii="Arial" w:hAnsi="Arial" w:cs="宋体" w:hint="eastAsia"/>
          <w:sz w:val="21"/>
          <w:szCs w:val="21"/>
        </w:rPr>
        <w:t>荣德国际</w:t>
      </w:r>
      <w:bookmarkEnd w:id="269"/>
      <w:bookmarkEnd w:id="270"/>
      <w:bookmarkEnd w:id="271"/>
      <w:bookmarkEnd w:id="277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 w:hint="eastAsia"/>
          <w:color w:val="000000"/>
          <w:szCs w:val="21"/>
        </w:rPr>
        <w:t>2019</w:t>
      </w:r>
      <w:r>
        <w:rPr>
          <w:rFonts w:ascii="Arial" w:eastAsia="宋体" w:hAnsi="Arial" w:cs="宋体" w:hint="eastAsia"/>
          <w:color w:val="000000"/>
          <w:szCs w:val="21"/>
        </w:rPr>
        <w:t>年</w:t>
      </w:r>
      <w:r>
        <w:rPr>
          <w:rFonts w:ascii="Arial" w:eastAsia="宋体" w:hAnsi="Arial" w:cs="宋体" w:hint="eastAsia"/>
          <w:color w:val="000000"/>
          <w:szCs w:val="21"/>
        </w:rPr>
        <w:t>2</w:t>
      </w:r>
      <w:r>
        <w:rPr>
          <w:rFonts w:ascii="Arial" w:eastAsia="宋体" w:hAnsi="Arial" w:cs="宋体" w:hint="eastAsia"/>
          <w:color w:val="000000"/>
          <w:szCs w:val="21"/>
        </w:rPr>
        <w:t>月</w:t>
      </w:r>
      <w:r>
        <w:rPr>
          <w:rFonts w:ascii="Arial" w:eastAsia="宋体" w:hAnsi="Arial" w:cs="宋体" w:hint="eastAsia"/>
          <w:color w:val="000000"/>
          <w:szCs w:val="21"/>
        </w:rPr>
        <w:t>28</w:t>
      </w:r>
      <w:r>
        <w:rPr>
          <w:rFonts w:ascii="Arial" w:eastAsia="宋体" w:hAnsi="Arial" w:cs="宋体" w:hint="eastAsia"/>
          <w:color w:val="000000"/>
          <w:szCs w:val="21"/>
        </w:rPr>
        <w:t>日，中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创立业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于深圳农商行总行营业部办理开户，移交相关资料，详见交接清单。</w:t>
      </w:r>
    </w:p>
    <w:p w:rsidR="003E3B53" w:rsidRDefault="00A36368">
      <w:pPr>
        <w:spacing w:line="480" w:lineRule="auto"/>
        <w:jc w:val="center"/>
        <w:rPr>
          <w:rFonts w:ascii="Arial" w:eastAsia="宋体" w:hAnsi="Arial" w:cs="宋体"/>
          <w:color w:val="000000"/>
          <w:szCs w:val="21"/>
        </w:rPr>
      </w:pPr>
      <w:bookmarkStart w:id="278" w:name="_Toc20551"/>
      <w:r>
        <w:rPr>
          <w:rFonts w:ascii="Arial" w:eastAsia="宋体" w:hAnsi="Arial" w:cs="宋体"/>
          <w:noProof/>
          <w:color w:val="000000"/>
          <w:szCs w:val="21"/>
        </w:rPr>
        <w:drawing>
          <wp:inline distT="0" distB="0" distL="114300" distR="114300">
            <wp:extent cx="4145280" cy="4071620"/>
            <wp:effectExtent l="0" t="0" r="0" b="12700"/>
            <wp:docPr id="2" name="图片 2" descr="中创立业2.28农商行开户交接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创立业2.28农商行开户交接单"/>
                    <pic:cNvPicPr>
                      <a:picLocks noChangeAspect="1"/>
                    </pic:cNvPicPr>
                  </pic:nvPicPr>
                  <pic:blipFill>
                    <a:blip r:embed="rId18"/>
                    <a:srcRect b="26333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78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kern w:val="0"/>
          <w:szCs w:val="21"/>
        </w:rPr>
      </w:pPr>
      <w:r>
        <w:rPr>
          <w:rFonts w:ascii="Arial" w:eastAsia="宋体" w:hAnsi="Arial" w:cs="宋体" w:hint="eastAsia"/>
          <w:color w:val="000000"/>
          <w:szCs w:val="21"/>
        </w:rPr>
        <w:lastRenderedPageBreak/>
        <w:t>荣德国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际项目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于</w:t>
      </w:r>
      <w:r>
        <w:rPr>
          <w:rFonts w:ascii="Arial" w:eastAsia="宋体" w:hAnsi="Arial" w:cs="宋体" w:hint="eastAsia"/>
          <w:color w:val="000000"/>
          <w:szCs w:val="21"/>
        </w:rPr>
        <w:t>2018</w:t>
      </w:r>
      <w:r>
        <w:rPr>
          <w:rFonts w:ascii="Arial" w:eastAsia="宋体" w:hAnsi="Arial" w:cs="宋体" w:hint="eastAsia"/>
          <w:color w:val="000000"/>
          <w:szCs w:val="21"/>
        </w:rPr>
        <w:t>年</w:t>
      </w:r>
      <w:r>
        <w:rPr>
          <w:rFonts w:ascii="Arial" w:eastAsia="宋体" w:hAnsi="Arial" w:cs="宋体" w:hint="eastAsia"/>
          <w:color w:val="000000"/>
          <w:szCs w:val="21"/>
        </w:rPr>
        <w:t>7</w:t>
      </w:r>
      <w:r>
        <w:rPr>
          <w:rFonts w:ascii="Arial" w:eastAsia="宋体" w:hAnsi="Arial" w:cs="宋体" w:hint="eastAsia"/>
          <w:color w:val="000000"/>
          <w:szCs w:val="21"/>
        </w:rPr>
        <w:t>月</w:t>
      </w:r>
      <w:r>
        <w:rPr>
          <w:rFonts w:ascii="Arial" w:eastAsia="宋体" w:hAnsi="Arial" w:cs="宋体" w:hint="eastAsia"/>
          <w:color w:val="000000"/>
          <w:szCs w:val="21"/>
        </w:rPr>
        <w:t>28</w:t>
      </w:r>
      <w:r>
        <w:rPr>
          <w:rFonts w:ascii="Arial" w:eastAsia="宋体" w:hAnsi="Arial" w:cs="宋体" w:hint="eastAsia"/>
          <w:color w:val="000000"/>
          <w:szCs w:val="21"/>
        </w:rPr>
        <w:t>日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正式开盘，监管在售物业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137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套。截至到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2019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年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月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10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日，已交定金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48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套，签约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48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套，收齐房款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35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套，过户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35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套，核税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35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套，监管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17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套。签约合同金额共计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282499178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元，已收定金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50662386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元（含</w:t>
      </w:r>
      <w:proofErr w:type="gramStart"/>
      <w:r>
        <w:rPr>
          <w:rFonts w:ascii="Arial" w:eastAsia="宋体" w:hAnsi="Arial" w:cs="宋体" w:hint="eastAsia"/>
          <w:color w:val="000000"/>
          <w:kern w:val="0"/>
          <w:szCs w:val="21"/>
        </w:rPr>
        <w:t>挞</w:t>
      </w:r>
      <w:proofErr w:type="gramEnd"/>
      <w:r>
        <w:rPr>
          <w:rFonts w:ascii="Arial" w:eastAsia="宋体" w:hAnsi="Arial" w:cs="宋体" w:hint="eastAsia"/>
          <w:color w:val="000000"/>
          <w:kern w:val="0"/>
          <w:szCs w:val="21"/>
        </w:rPr>
        <w:t>定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126.4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万），未收齐定金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4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套。已收房款（不含定金）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166482875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元。总销售回款为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217145261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元。成交均价为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96318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元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/</w:t>
      </w:r>
      <w:r>
        <w:rPr>
          <w:rFonts w:ascii="Arial" w:eastAsia="宋体" w:hAnsi="Arial" w:cs="宋体" w:hint="eastAsia"/>
          <w:color w:val="000000"/>
          <w:kern w:val="0"/>
          <w:szCs w:val="21"/>
        </w:rPr>
        <w:t>㎡。</w:t>
      </w:r>
    </w:p>
    <w:tbl>
      <w:tblPr>
        <w:tblW w:w="14000" w:type="dxa"/>
        <w:jc w:val="center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26"/>
        <w:gridCol w:w="1871"/>
        <w:gridCol w:w="761"/>
        <w:gridCol w:w="800"/>
        <w:gridCol w:w="1910"/>
        <w:gridCol w:w="839"/>
        <w:gridCol w:w="903"/>
        <w:gridCol w:w="1935"/>
        <w:gridCol w:w="658"/>
        <w:gridCol w:w="839"/>
        <w:gridCol w:w="2013"/>
      </w:tblGrid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bookmarkStart w:id="279" w:name="_Toc10281"/>
            <w:bookmarkStart w:id="280" w:name="_Toc24185"/>
            <w:bookmarkStart w:id="281" w:name="_Toc28194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42.68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62.69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8.24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113.88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65.65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36.75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8.25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62.55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100.88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67.45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44.95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55.4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53.05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36.94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65.66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11.27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8.25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89.63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73.78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87.45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84.63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57.22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T249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54.91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89.66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164.96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40.41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8.4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58.59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155.35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10.20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61.57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10.29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8.24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EB35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13.32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11.17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76.33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105.81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T158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8.30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42.23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79.8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T159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152.35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8.6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10.29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53.43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101.93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56.67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84.1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lastRenderedPageBreak/>
              <w:t>房号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128.83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96.69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102.46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80.29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12.14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49.86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94.83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61.37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115.85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99.36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T271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58.79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9.4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38.1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T273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59.26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31.51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81.25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69.61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35.99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96.81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59.5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68.39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99.41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86.94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73.28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68.55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128.26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85.38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75.48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91.82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103.99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63.62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79.43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11.13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86.4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127.11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8.11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156.46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48.85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55.45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12.02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75.89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3E3B53">
        <w:trPr>
          <w:trHeight w:val="35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8.20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92.36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EB3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收齐房款</w:t>
            </w:r>
          </w:p>
        </w:tc>
      </w:tr>
      <w:tr w:rsidR="003E3B53">
        <w:trPr>
          <w:trHeight w:val="368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64.1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8.26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49.16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9.9</w:t>
            </w:r>
            <w:r>
              <w:rPr>
                <w:rStyle w:val="font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3E3B53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B53" w:rsidRDefault="00A36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</w:tr>
    </w:tbl>
    <w:p w:rsidR="003E3B53" w:rsidRDefault="003E3B53">
      <w:pPr>
        <w:spacing w:line="480" w:lineRule="auto"/>
        <w:outlineLvl w:val="1"/>
        <w:rPr>
          <w:rFonts w:ascii="Arial" w:eastAsia="宋体" w:hAnsi="Arial" w:cs="宋体"/>
          <w:szCs w:val="21"/>
        </w:rPr>
        <w:sectPr w:rsidR="003E3B53">
          <w:footerReference w:type="default" r:id="rId19"/>
          <w:pgSz w:w="16838" w:h="11906" w:orient="landscape"/>
          <w:pgMar w:top="1701" w:right="1361" w:bottom="1418" w:left="1361" w:header="851" w:footer="850" w:gutter="0"/>
          <w:cols w:space="0"/>
          <w:docGrid w:linePitch="312"/>
        </w:sectPr>
      </w:pPr>
    </w:p>
    <w:p w:rsidR="003E3B53" w:rsidRDefault="00A36368">
      <w:pPr>
        <w:pStyle w:val="a9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282" w:name="_Toc15061"/>
      <w:r>
        <w:rPr>
          <w:rFonts w:ascii="Arial" w:hAnsi="Arial" w:cs="宋体" w:hint="eastAsia"/>
          <w:sz w:val="24"/>
          <w:szCs w:val="24"/>
        </w:rPr>
        <w:lastRenderedPageBreak/>
        <w:t>7</w:t>
      </w:r>
      <w:r>
        <w:rPr>
          <w:rFonts w:ascii="Arial" w:hAnsi="Arial" w:cs="宋体" w:hint="eastAsia"/>
          <w:sz w:val="24"/>
          <w:szCs w:val="24"/>
        </w:rPr>
        <w:t>各项目现场</w:t>
      </w:r>
      <w:bookmarkEnd w:id="272"/>
      <w:bookmarkEnd w:id="273"/>
      <w:bookmarkEnd w:id="274"/>
      <w:bookmarkEnd w:id="275"/>
      <w:bookmarkEnd w:id="276"/>
      <w:bookmarkEnd w:id="279"/>
      <w:bookmarkEnd w:id="280"/>
      <w:bookmarkEnd w:id="281"/>
      <w:bookmarkEnd w:id="282"/>
    </w:p>
    <w:p w:rsidR="003E3B53" w:rsidRDefault="00A36368">
      <w:pPr>
        <w:pStyle w:val="a9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83" w:name="_Toc3017"/>
      <w:bookmarkStart w:id="284" w:name="_Toc1822"/>
      <w:bookmarkStart w:id="285" w:name="_Toc24563"/>
      <w:bookmarkStart w:id="286" w:name="_Toc24466"/>
      <w:bookmarkStart w:id="287" w:name="_Toc27755"/>
      <w:bookmarkStart w:id="288" w:name="_Toc10464"/>
      <w:bookmarkStart w:id="289" w:name="_Toc27569"/>
      <w:bookmarkStart w:id="290" w:name="_Toc31148"/>
      <w:bookmarkStart w:id="291" w:name="_Toc15601"/>
      <w:r>
        <w:rPr>
          <w:rFonts w:ascii="Arial" w:hAnsi="Arial" w:cs="宋体" w:hint="eastAsia"/>
          <w:sz w:val="21"/>
          <w:szCs w:val="21"/>
        </w:rPr>
        <w:t>7.1</w:t>
      </w:r>
      <w:r>
        <w:rPr>
          <w:rFonts w:ascii="Arial" w:hAnsi="Arial" w:cs="宋体" w:hint="eastAsia"/>
          <w:sz w:val="21"/>
          <w:szCs w:val="21"/>
        </w:rPr>
        <w:t>荣德国际（</w:t>
      </w:r>
      <w:r>
        <w:rPr>
          <w:rFonts w:ascii="Arial" w:hAnsi="Arial" w:cs="宋体" w:hint="eastAsia"/>
          <w:sz w:val="21"/>
          <w:szCs w:val="21"/>
        </w:rPr>
        <w:t>2019.</w:t>
      </w:r>
      <w:r>
        <w:rPr>
          <w:rFonts w:ascii="Arial" w:hAnsi="Arial" w:cs="宋体" w:hint="eastAsia"/>
          <w:sz w:val="21"/>
          <w:szCs w:val="21"/>
        </w:rPr>
        <w:t>3</w:t>
      </w:r>
      <w:r>
        <w:rPr>
          <w:rFonts w:ascii="Arial" w:hAnsi="Arial" w:cs="宋体" w:hint="eastAsia"/>
          <w:sz w:val="21"/>
          <w:szCs w:val="21"/>
        </w:rPr>
        <w:t>.1</w:t>
      </w:r>
      <w:r>
        <w:rPr>
          <w:rFonts w:ascii="Arial" w:hAnsi="Arial" w:cs="宋体" w:hint="eastAsia"/>
          <w:sz w:val="21"/>
          <w:szCs w:val="21"/>
        </w:rPr>
        <w:t>0</w:t>
      </w:r>
      <w:r>
        <w:rPr>
          <w:rFonts w:ascii="Arial" w:hAnsi="Arial" w:cs="宋体" w:hint="eastAsia"/>
          <w:sz w:val="21"/>
          <w:szCs w:val="21"/>
        </w:rPr>
        <w:t>）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:rsidR="003E3B53" w:rsidRDefault="00A36368">
      <w:pPr>
        <w:spacing w:line="480" w:lineRule="auto"/>
        <w:ind w:firstLineChars="200" w:firstLine="420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 w:hint="eastAsia"/>
          <w:color w:val="000000"/>
          <w:szCs w:val="21"/>
        </w:rPr>
        <w:t>荣德国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际位于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深圳市龙岗区龙岗大道与保康路交汇处北侧，监管物业总计</w:t>
      </w:r>
      <w:r>
        <w:rPr>
          <w:rFonts w:ascii="Arial" w:eastAsia="宋体" w:hAnsi="Arial" w:cs="宋体" w:hint="eastAsia"/>
          <w:color w:val="000000"/>
          <w:szCs w:val="21"/>
        </w:rPr>
        <w:t>137</w:t>
      </w:r>
      <w:r>
        <w:rPr>
          <w:rFonts w:ascii="Arial" w:eastAsia="宋体" w:hAnsi="Arial" w:cs="宋体" w:hint="eastAsia"/>
          <w:color w:val="000000"/>
          <w:szCs w:val="21"/>
        </w:rPr>
        <w:t>套。以下为荣德国</w:t>
      </w:r>
      <w:proofErr w:type="gramStart"/>
      <w:r>
        <w:rPr>
          <w:rFonts w:ascii="Arial" w:eastAsia="宋体" w:hAnsi="Arial" w:cs="宋体" w:hint="eastAsia"/>
          <w:color w:val="000000"/>
          <w:szCs w:val="21"/>
        </w:rPr>
        <w:t>际项目</w:t>
      </w:r>
      <w:proofErr w:type="gramEnd"/>
      <w:r>
        <w:rPr>
          <w:rFonts w:ascii="Arial" w:eastAsia="宋体" w:hAnsi="Arial" w:cs="宋体" w:hint="eastAsia"/>
          <w:color w:val="000000"/>
          <w:szCs w:val="21"/>
        </w:rPr>
        <w:t>现场情况。</w:t>
      </w:r>
    </w:p>
    <w:p w:rsidR="003E3B53" w:rsidRDefault="00A36368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.8pt;margin-top:5.9pt;width:3in;height:156pt;z-index:251657216;mso-width-relative:page;mso-height-relative:page" o:gfxdata="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wHPXAAAACAEAAA8AAAAAAAAAAQAgAAAAIgAAAGRycy9kb3ducmV2LnhtbFBLAQIUABQAAAAIAIdO&#10;4kC/uN3SJAIAAD4EAAAOAAAAAAAAAAEAIAAAACYBAABkcnMvZTJvRG9jLnhtbFBLBQYAAAAABgAG&#10;AFkBAAC8BQAAAAA=&#10;">
            <v:textbox>
              <w:txbxContent>
                <w:p w:rsidR="003E3B53" w:rsidRDefault="00A36368">
                  <w:r>
                    <w:rPr>
                      <w:rFonts w:ascii="Arial" w:eastAsia="仿宋_GB2312" w:hAnsi="Arial" w:cs="Arial" w:hint="eastAsia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2538095" cy="1903730"/>
                        <wp:effectExtent l="0" t="0" r="6985" b="1270"/>
                        <wp:docPr id="1" name="图片 1" descr="IMG_20190310_122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0190310_1222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8095" cy="1903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宋体" w:hAnsi="Arial" w:cs="宋体"/>
          <w:color w:val="000000"/>
          <w:szCs w:val="21"/>
        </w:rPr>
        <w:pict>
          <v:shape id="_x0000_s1026" type="#_x0000_t202" style="position:absolute;margin-left:233.7pt;margin-top:7pt;width:208.25pt;height:156pt;z-index:251656192;mso-width-relative:page;mso-height-relative:page" o:gfxdata="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aOcNkAAAAKAQAADwAAAAAAAAABACAAAAAiAAAAZHJzL2Rvd25yZXYueG1sUEsBAhQAFAAA&#10;AAgAh07iQG00UyUnAgAAPgQAAA4AAAAAAAAAAQAgAAAAKAEAAGRycy9lMm9Eb2MueG1sUEsFBgAA&#10;AAAGAAYAWQEAAMEFAAAAAA==&#10;">
            <v:textbox>
              <w:txbxContent>
                <w:p w:rsidR="003E3B53" w:rsidRDefault="00A36368">
                  <w:r>
                    <w:rPr>
                      <w:rFonts w:ascii="Arial" w:eastAsia="仿宋_GB2312" w:hAnsi="Arial" w:cs="Arial" w:hint="eastAsia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2459355" cy="1844675"/>
                        <wp:effectExtent l="0" t="0" r="9525" b="14605"/>
                        <wp:docPr id="4" name="图片 4" descr="IMG_20190310_122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20190310_1221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9355" cy="184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ind w:rightChars="-341" w:right="-716"/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A36368">
      <w:pPr>
        <w:numPr>
          <w:ilvl w:val="0"/>
          <w:numId w:val="1"/>
        </w:numPr>
        <w:jc w:val="left"/>
        <w:rPr>
          <w:rFonts w:ascii="Arial" w:eastAsia="宋体" w:hAnsi="Arial" w:cs="宋体"/>
          <w:color w:val="000000"/>
          <w:sz w:val="18"/>
          <w:szCs w:val="18"/>
        </w:rPr>
      </w:pPr>
      <w:r>
        <w:rPr>
          <w:rFonts w:ascii="Arial" w:eastAsia="宋体" w:hAnsi="Arial" w:cs="宋体" w:hint="eastAsia"/>
          <w:color w:val="000000"/>
          <w:sz w:val="18"/>
          <w:szCs w:val="18"/>
        </w:rPr>
        <w:t>荣德国际外观</w:t>
      </w:r>
      <w:r>
        <w:rPr>
          <w:rFonts w:ascii="Arial" w:eastAsia="宋体" w:hAnsi="Arial" w:cs="宋体" w:hint="eastAsia"/>
          <w:color w:val="000000"/>
          <w:sz w:val="18"/>
          <w:szCs w:val="18"/>
        </w:rPr>
        <w:t xml:space="preserve">  </w:t>
      </w:r>
      <w:r>
        <w:rPr>
          <w:rFonts w:ascii="Arial" w:eastAsia="宋体" w:hAnsi="Arial" w:cs="宋体" w:hint="eastAsia"/>
          <w:color w:val="000000"/>
          <w:sz w:val="18"/>
          <w:szCs w:val="18"/>
        </w:rPr>
        <w:t xml:space="preserve">                                     </w:t>
      </w:r>
      <w:r>
        <w:rPr>
          <w:rFonts w:ascii="Arial" w:eastAsia="宋体" w:hAnsi="Arial" w:cs="宋体" w:hint="eastAsia"/>
          <w:color w:val="000000"/>
          <w:sz w:val="18"/>
          <w:szCs w:val="18"/>
        </w:rPr>
        <w:t>2</w:t>
      </w:r>
      <w:r>
        <w:rPr>
          <w:rFonts w:ascii="Arial" w:eastAsia="宋体" w:hAnsi="Arial" w:cs="宋体" w:hint="eastAsia"/>
          <w:color w:val="000000"/>
          <w:sz w:val="18"/>
          <w:szCs w:val="18"/>
        </w:rPr>
        <w:t>、荣德国际一层商铺</w:t>
      </w: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A36368">
      <w:pPr>
        <w:jc w:val="left"/>
        <w:rPr>
          <w:rFonts w:ascii="Arial" w:eastAsia="宋体" w:hAnsi="Arial" w:cs="宋体"/>
          <w:color w:val="000000"/>
          <w:szCs w:val="21"/>
        </w:rPr>
      </w:pPr>
      <w:r>
        <w:rPr>
          <w:rFonts w:ascii="Arial" w:eastAsia="宋体" w:hAnsi="Arial" w:cs="宋体"/>
          <w:color w:val="000000"/>
          <w:szCs w:val="21"/>
        </w:rPr>
        <w:pict>
          <v:shape id="_x0000_s1028" type="#_x0000_t202" style="position:absolute;margin-left:235.95pt;margin-top:10.95pt;width:208.25pt;height:156pt;z-index:251659264;mso-width-relative:page;mso-height-relative:page" o:gfxdata="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RXd9kAAAAKAQAADwAAAAAAAAABACAAAAAiAAAAZHJzL2Rvd25yZXYueG1sUEsBAhQAFAAA&#10;AAgAh07iQHxazWgnAgAAPgQAAA4AAAAAAAAAAQAgAAAAKAEAAGRycy9lMm9Eb2MueG1sUEsFBgAA&#10;AAAGAAYAWQEAAMEFAAAAAA==&#10;">
            <v:textbox>
              <w:txbxContent>
                <w:p w:rsidR="003E3B53" w:rsidRDefault="00A36368">
                  <w:r>
                    <w:rPr>
                      <w:rFonts w:ascii="Arial" w:eastAsia="仿宋_GB2312" w:hAnsi="Arial" w:cs="Arial" w:hint="eastAsia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2463800" cy="1847850"/>
                        <wp:effectExtent l="0" t="0" r="5080" b="11430"/>
                        <wp:docPr id="5" name="图片 5" descr="IMG_20190310_122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IMG_20190310_1225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3800" cy="1847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宋体" w:hAnsi="Arial" w:cs="宋体"/>
          <w:color w:val="000000"/>
          <w:szCs w:val="21"/>
        </w:rPr>
        <w:pict>
          <v:shape id="_x0000_s1027" type="#_x0000_t202" style="position:absolute;margin-left:-2.55pt;margin-top:5.95pt;width:3in;height:156pt;z-index:251658240;mso-width-relative:page;mso-height-relative:page" o:gfxdata="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pWNtgAAAAIAQAADwAAAAAAAAABACAAAAAiAAAAZHJzL2Rvd25yZXYueG1sUEsBAhQAFAAAAAgA&#10;h07iQMwKDBslAgAAPgQAAA4AAAAAAAAAAQAgAAAAJwEAAGRycy9lMm9Eb2MueG1sUEsFBgAAAAAG&#10;AAYAWQEAAL4FAAAAAA==&#10;">
            <v:textbox>
              <w:txbxContent>
                <w:p w:rsidR="003E3B53" w:rsidRDefault="00A36368">
                  <w:r>
                    <w:rPr>
                      <w:rFonts w:ascii="Arial" w:eastAsia="仿宋_GB2312" w:hAnsi="Arial" w:cs="Arial" w:hint="eastAsia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2543175" cy="1853565"/>
                        <wp:effectExtent l="0" t="0" r="1905" b="5715"/>
                        <wp:docPr id="3" name="图片 3" descr="IMG_20190310_1225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190310_1225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3175" cy="1853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jc w:val="left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ind w:rightChars="-241" w:right="-506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rPr>
          <w:rFonts w:ascii="Arial" w:eastAsia="宋体" w:hAnsi="Arial" w:cs="宋体"/>
          <w:color w:val="000000"/>
          <w:szCs w:val="21"/>
        </w:rPr>
      </w:pPr>
    </w:p>
    <w:p w:rsidR="003E3B53" w:rsidRDefault="00A36368">
      <w:pPr>
        <w:rPr>
          <w:rFonts w:ascii="Arial" w:eastAsia="宋体" w:hAnsi="Arial" w:cs="宋体"/>
          <w:color w:val="000000"/>
          <w:sz w:val="18"/>
          <w:szCs w:val="18"/>
        </w:rPr>
      </w:pPr>
      <w:r>
        <w:rPr>
          <w:rFonts w:ascii="Arial" w:eastAsia="宋体" w:hAnsi="Arial" w:cs="宋体" w:hint="eastAsia"/>
          <w:color w:val="000000"/>
          <w:sz w:val="18"/>
          <w:szCs w:val="18"/>
        </w:rPr>
        <w:t>3</w:t>
      </w:r>
      <w:r>
        <w:rPr>
          <w:rFonts w:ascii="Arial" w:eastAsia="宋体" w:hAnsi="Arial" w:cs="宋体" w:hint="eastAsia"/>
          <w:color w:val="000000"/>
          <w:sz w:val="18"/>
          <w:szCs w:val="18"/>
        </w:rPr>
        <w:t>、荣德国际二层商铺</w:t>
      </w:r>
      <w:r>
        <w:rPr>
          <w:rFonts w:ascii="Arial" w:eastAsia="宋体" w:hAnsi="Arial" w:cs="宋体" w:hint="eastAsia"/>
          <w:color w:val="000000"/>
          <w:sz w:val="18"/>
          <w:szCs w:val="18"/>
        </w:rPr>
        <w:t xml:space="preserve">                                   </w:t>
      </w:r>
      <w:r>
        <w:rPr>
          <w:rFonts w:ascii="Arial" w:eastAsia="宋体" w:hAnsi="Arial" w:cs="宋体" w:hint="eastAsia"/>
          <w:color w:val="000000"/>
          <w:sz w:val="18"/>
          <w:szCs w:val="18"/>
        </w:rPr>
        <w:t>4</w:t>
      </w:r>
      <w:r>
        <w:rPr>
          <w:rFonts w:ascii="Arial" w:eastAsia="宋体" w:hAnsi="Arial" w:cs="宋体" w:hint="eastAsia"/>
          <w:color w:val="000000"/>
          <w:sz w:val="18"/>
          <w:szCs w:val="18"/>
        </w:rPr>
        <w:t>、荣德国际营销中心</w:t>
      </w:r>
    </w:p>
    <w:p w:rsidR="003E3B53" w:rsidRDefault="003E3B53">
      <w:pPr>
        <w:outlineLvl w:val="1"/>
        <w:rPr>
          <w:rFonts w:ascii="Arial" w:eastAsia="宋体" w:hAnsi="Arial" w:cs="宋体"/>
          <w:color w:val="000000"/>
          <w:szCs w:val="21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outlineLvl w:val="1"/>
        <w:rPr>
          <w:rFonts w:ascii="Arial" w:eastAsia="仿宋_GB2312" w:hAnsi="Arial" w:cs="Arial"/>
          <w:color w:val="000000"/>
          <w:sz w:val="24"/>
          <w:szCs w:val="24"/>
        </w:rPr>
      </w:pPr>
    </w:p>
    <w:p w:rsidR="003E3B53" w:rsidRDefault="003E3B53">
      <w:pPr>
        <w:rPr>
          <w:rFonts w:ascii="Arial" w:eastAsia="仿宋_GB2312" w:hAnsi="Arial" w:cs="Arial"/>
          <w:color w:val="000000"/>
          <w:sz w:val="18"/>
          <w:szCs w:val="18"/>
        </w:rPr>
      </w:pPr>
    </w:p>
    <w:sectPr w:rsidR="003E3B53">
      <w:pgSz w:w="11906" w:h="16838"/>
      <w:pgMar w:top="1361" w:right="1418" w:bottom="1361" w:left="1701" w:header="851" w:footer="85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68" w:rsidRDefault="00A36368">
      <w:r>
        <w:separator/>
      </w:r>
    </w:p>
  </w:endnote>
  <w:endnote w:type="continuationSeparator" w:id="0">
    <w:p w:rsidR="00A36368" w:rsidRDefault="00A3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53" w:rsidRDefault="003E3B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CD" w:rsidRDefault="005F55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CD" w:rsidRDefault="005F55C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45414742"/>
    </w:sdtPr>
    <w:sdtEndPr/>
    <w:sdtContent>
      <w:p w:rsidR="003E3B53" w:rsidRDefault="00A36368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5F55CD" w:rsidRPr="005F55CD">
          <w:rPr>
            <w:rFonts w:ascii="宋体" w:eastAsia="宋体" w:hAnsi="宋体" w:cs="宋体"/>
            <w:noProof/>
            <w:lang w:val="zh-CN"/>
          </w:rPr>
          <w:t>1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3E3B53" w:rsidRDefault="003E3B53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-1143044073"/>
    </w:sdtPr>
    <w:sdtEndPr/>
    <w:sdtContent>
      <w:p w:rsidR="003E3B53" w:rsidRDefault="00A36368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5F55CD" w:rsidRPr="005F55CD">
          <w:rPr>
            <w:rFonts w:ascii="宋体" w:eastAsia="宋体" w:hAnsi="宋体" w:cs="宋体"/>
            <w:noProof/>
            <w:lang w:val="zh-CN"/>
          </w:rPr>
          <w:t>8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3E3B53" w:rsidRDefault="003E3B53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1863479387"/>
    </w:sdtPr>
    <w:sdtEndPr/>
    <w:sdtContent>
      <w:p w:rsidR="003E3B53" w:rsidRDefault="00A36368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5F55CD" w:rsidRPr="005F55CD">
          <w:rPr>
            <w:rFonts w:ascii="宋体" w:eastAsia="宋体" w:hAnsi="宋体" w:cs="宋体"/>
            <w:noProof/>
            <w:lang w:val="zh-CN"/>
          </w:rPr>
          <w:t>12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3E3B53" w:rsidRDefault="003E3B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68" w:rsidRDefault="00A36368">
      <w:r>
        <w:separator/>
      </w:r>
    </w:p>
  </w:footnote>
  <w:footnote w:type="continuationSeparator" w:id="0">
    <w:p w:rsidR="00A36368" w:rsidRDefault="00A3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53" w:rsidRDefault="003E3B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53" w:rsidRDefault="00A36368">
    <w:pPr>
      <w:pStyle w:val="a6"/>
      <w:rPr>
        <w:rFonts w:ascii="宋体" w:eastAsia="宋体" w:hAnsi="宋体" w:cs="宋体"/>
      </w:rPr>
    </w:pPr>
    <w:r>
      <w:rPr>
        <w:rFonts w:ascii="宋体" w:eastAsia="Arial Unicode MS" w:hAnsi="宋体" w:cs="宋体" w:hint="eastAsia"/>
      </w:rPr>
      <w:t>2019</w:t>
    </w:r>
    <w:r>
      <w:rPr>
        <w:rFonts w:ascii="宋体" w:eastAsia="宋体" w:hAnsi="宋体" w:cs="宋体" w:hint="eastAsia"/>
      </w:rPr>
      <w:t>年</w:t>
    </w:r>
    <w:r>
      <w:rPr>
        <w:rFonts w:ascii="宋体" w:eastAsia="宋体" w:hAnsi="宋体" w:cs="宋体" w:hint="eastAsia"/>
      </w:rPr>
      <w:t>2</w:t>
    </w:r>
    <w:r>
      <w:rPr>
        <w:rFonts w:ascii="宋体" w:eastAsia="宋体" w:hAnsi="宋体" w:cs="宋体" w:hint="eastAsia"/>
      </w:rPr>
      <w:t>月深圳房地产市场分析报告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53" w:rsidRDefault="00A36368">
    <w:pPr>
      <w:pStyle w:val="a6"/>
    </w:pPr>
    <w:r>
      <w:rPr>
        <w:rFonts w:eastAsia="Arial Unicode MS" w:hint="eastAsia"/>
      </w:rPr>
      <w:t>2019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月深圳房地产市场分析报告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A1EE"/>
    <w:multiLevelType w:val="singleLevel"/>
    <w:tmpl w:val="5A7AA1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420"/>
  <w:drawingGridHorizontalSpacing w:val="105"/>
  <w:drawingGridVerticalSpacing w:val="15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56B"/>
    <w:rsid w:val="00001E15"/>
    <w:rsid w:val="00004007"/>
    <w:rsid w:val="00017529"/>
    <w:rsid w:val="00021844"/>
    <w:rsid w:val="00021F93"/>
    <w:rsid w:val="00023C8D"/>
    <w:rsid w:val="00030786"/>
    <w:rsid w:val="00033780"/>
    <w:rsid w:val="00035C4D"/>
    <w:rsid w:val="00037B19"/>
    <w:rsid w:val="00040964"/>
    <w:rsid w:val="00045DCF"/>
    <w:rsid w:val="00046419"/>
    <w:rsid w:val="00053B48"/>
    <w:rsid w:val="000608A7"/>
    <w:rsid w:val="00066371"/>
    <w:rsid w:val="00074A73"/>
    <w:rsid w:val="000759C4"/>
    <w:rsid w:val="000779F1"/>
    <w:rsid w:val="00081D25"/>
    <w:rsid w:val="00085D70"/>
    <w:rsid w:val="00087AE1"/>
    <w:rsid w:val="0009108C"/>
    <w:rsid w:val="00092930"/>
    <w:rsid w:val="000959F7"/>
    <w:rsid w:val="00097FFE"/>
    <w:rsid w:val="000A076B"/>
    <w:rsid w:val="000A25B0"/>
    <w:rsid w:val="000A43C2"/>
    <w:rsid w:val="000A5398"/>
    <w:rsid w:val="000A5712"/>
    <w:rsid w:val="000A6A19"/>
    <w:rsid w:val="000B125B"/>
    <w:rsid w:val="000B70C6"/>
    <w:rsid w:val="000C1703"/>
    <w:rsid w:val="000D14F7"/>
    <w:rsid w:val="000D7781"/>
    <w:rsid w:val="000E6A0E"/>
    <w:rsid w:val="000F28A4"/>
    <w:rsid w:val="000F4FA2"/>
    <w:rsid w:val="000F50ED"/>
    <w:rsid w:val="000F525F"/>
    <w:rsid w:val="000F5369"/>
    <w:rsid w:val="0010063B"/>
    <w:rsid w:val="00103A3D"/>
    <w:rsid w:val="00104101"/>
    <w:rsid w:val="001050EB"/>
    <w:rsid w:val="00110A3A"/>
    <w:rsid w:val="00112A7E"/>
    <w:rsid w:val="001210E3"/>
    <w:rsid w:val="00124A73"/>
    <w:rsid w:val="00126817"/>
    <w:rsid w:val="0013149C"/>
    <w:rsid w:val="00133868"/>
    <w:rsid w:val="00140672"/>
    <w:rsid w:val="00145AD0"/>
    <w:rsid w:val="001517B4"/>
    <w:rsid w:val="00153F0C"/>
    <w:rsid w:val="00155F40"/>
    <w:rsid w:val="00157541"/>
    <w:rsid w:val="00165E74"/>
    <w:rsid w:val="0016755D"/>
    <w:rsid w:val="00176362"/>
    <w:rsid w:val="00177D15"/>
    <w:rsid w:val="0018272F"/>
    <w:rsid w:val="00185168"/>
    <w:rsid w:val="001A5C6E"/>
    <w:rsid w:val="001A660A"/>
    <w:rsid w:val="001B352E"/>
    <w:rsid w:val="001C7E8E"/>
    <w:rsid w:val="001D5D82"/>
    <w:rsid w:val="001D73BC"/>
    <w:rsid w:val="001E20D7"/>
    <w:rsid w:val="001F3D51"/>
    <w:rsid w:val="001F43A4"/>
    <w:rsid w:val="002022E8"/>
    <w:rsid w:val="00203BC1"/>
    <w:rsid w:val="00207860"/>
    <w:rsid w:val="00214381"/>
    <w:rsid w:val="002160C3"/>
    <w:rsid w:val="00230E67"/>
    <w:rsid w:val="00231046"/>
    <w:rsid w:val="0023113C"/>
    <w:rsid w:val="00233642"/>
    <w:rsid w:val="002362CA"/>
    <w:rsid w:val="00242496"/>
    <w:rsid w:val="00250EFF"/>
    <w:rsid w:val="00257571"/>
    <w:rsid w:val="00261AEC"/>
    <w:rsid w:val="00265195"/>
    <w:rsid w:val="00265371"/>
    <w:rsid w:val="002706E5"/>
    <w:rsid w:val="002751B5"/>
    <w:rsid w:val="00283B85"/>
    <w:rsid w:val="0029163F"/>
    <w:rsid w:val="00292D3B"/>
    <w:rsid w:val="0029381F"/>
    <w:rsid w:val="002A1491"/>
    <w:rsid w:val="002A37E1"/>
    <w:rsid w:val="002A4E18"/>
    <w:rsid w:val="002A7483"/>
    <w:rsid w:val="002B0D2B"/>
    <w:rsid w:val="002C0239"/>
    <w:rsid w:val="002C14B4"/>
    <w:rsid w:val="002D27EA"/>
    <w:rsid w:val="002D428A"/>
    <w:rsid w:val="002E291B"/>
    <w:rsid w:val="002E5F93"/>
    <w:rsid w:val="002E64B5"/>
    <w:rsid w:val="002E7FCC"/>
    <w:rsid w:val="002F24C4"/>
    <w:rsid w:val="002F5A54"/>
    <w:rsid w:val="003027BC"/>
    <w:rsid w:val="00303000"/>
    <w:rsid w:val="0030746B"/>
    <w:rsid w:val="003075E5"/>
    <w:rsid w:val="0031058E"/>
    <w:rsid w:val="00310F89"/>
    <w:rsid w:val="003128D8"/>
    <w:rsid w:val="00315EA9"/>
    <w:rsid w:val="0032083D"/>
    <w:rsid w:val="00320E43"/>
    <w:rsid w:val="00321534"/>
    <w:rsid w:val="0032533A"/>
    <w:rsid w:val="003257B0"/>
    <w:rsid w:val="00325DCC"/>
    <w:rsid w:val="00330CBB"/>
    <w:rsid w:val="00334066"/>
    <w:rsid w:val="003442E1"/>
    <w:rsid w:val="00347AC1"/>
    <w:rsid w:val="003510A2"/>
    <w:rsid w:val="00355AB0"/>
    <w:rsid w:val="00365838"/>
    <w:rsid w:val="00367F41"/>
    <w:rsid w:val="00371777"/>
    <w:rsid w:val="0037269B"/>
    <w:rsid w:val="00376F18"/>
    <w:rsid w:val="003770D7"/>
    <w:rsid w:val="0038201D"/>
    <w:rsid w:val="00383F71"/>
    <w:rsid w:val="00384CD6"/>
    <w:rsid w:val="00387848"/>
    <w:rsid w:val="00391055"/>
    <w:rsid w:val="00394269"/>
    <w:rsid w:val="00394379"/>
    <w:rsid w:val="00394C2B"/>
    <w:rsid w:val="003954E7"/>
    <w:rsid w:val="003A0782"/>
    <w:rsid w:val="003A2633"/>
    <w:rsid w:val="003A3E74"/>
    <w:rsid w:val="003A56C0"/>
    <w:rsid w:val="003B1142"/>
    <w:rsid w:val="003B4B0B"/>
    <w:rsid w:val="003B54B2"/>
    <w:rsid w:val="003C1C50"/>
    <w:rsid w:val="003C26BB"/>
    <w:rsid w:val="003C2F26"/>
    <w:rsid w:val="003C3AEC"/>
    <w:rsid w:val="003D3A91"/>
    <w:rsid w:val="003E16F0"/>
    <w:rsid w:val="003E34B9"/>
    <w:rsid w:val="003E3B53"/>
    <w:rsid w:val="003E78AE"/>
    <w:rsid w:val="003F4156"/>
    <w:rsid w:val="003F43EB"/>
    <w:rsid w:val="00403F99"/>
    <w:rsid w:val="00405EA0"/>
    <w:rsid w:val="004073C6"/>
    <w:rsid w:val="00407582"/>
    <w:rsid w:val="00411CA9"/>
    <w:rsid w:val="00417318"/>
    <w:rsid w:val="00417A22"/>
    <w:rsid w:val="00423078"/>
    <w:rsid w:val="004236D6"/>
    <w:rsid w:val="00425426"/>
    <w:rsid w:val="004303A0"/>
    <w:rsid w:val="004304DC"/>
    <w:rsid w:val="00431F3F"/>
    <w:rsid w:val="00437A0E"/>
    <w:rsid w:val="00443FB0"/>
    <w:rsid w:val="00445C16"/>
    <w:rsid w:val="0044696E"/>
    <w:rsid w:val="0045194D"/>
    <w:rsid w:val="00451E6E"/>
    <w:rsid w:val="00452CAD"/>
    <w:rsid w:val="0045379F"/>
    <w:rsid w:val="00454F58"/>
    <w:rsid w:val="00461CAF"/>
    <w:rsid w:val="00462467"/>
    <w:rsid w:val="00465C00"/>
    <w:rsid w:val="0046699A"/>
    <w:rsid w:val="004669DC"/>
    <w:rsid w:val="004678C9"/>
    <w:rsid w:val="00472C23"/>
    <w:rsid w:val="00472C5A"/>
    <w:rsid w:val="004820EA"/>
    <w:rsid w:val="004859AB"/>
    <w:rsid w:val="004872F4"/>
    <w:rsid w:val="004910C9"/>
    <w:rsid w:val="0049359E"/>
    <w:rsid w:val="00493DDE"/>
    <w:rsid w:val="00494AEB"/>
    <w:rsid w:val="00496952"/>
    <w:rsid w:val="004A128E"/>
    <w:rsid w:val="004A71BD"/>
    <w:rsid w:val="004B060C"/>
    <w:rsid w:val="004B1A57"/>
    <w:rsid w:val="004B356E"/>
    <w:rsid w:val="004C1789"/>
    <w:rsid w:val="004C4212"/>
    <w:rsid w:val="004C5321"/>
    <w:rsid w:val="004C6C87"/>
    <w:rsid w:val="004D199C"/>
    <w:rsid w:val="004D1B05"/>
    <w:rsid w:val="004E237C"/>
    <w:rsid w:val="004E564C"/>
    <w:rsid w:val="004F07AA"/>
    <w:rsid w:val="004F0E0C"/>
    <w:rsid w:val="004F2331"/>
    <w:rsid w:val="004F3B28"/>
    <w:rsid w:val="004F6DFB"/>
    <w:rsid w:val="004F7714"/>
    <w:rsid w:val="004F79E9"/>
    <w:rsid w:val="00503F76"/>
    <w:rsid w:val="00505B60"/>
    <w:rsid w:val="00513CCF"/>
    <w:rsid w:val="00522D99"/>
    <w:rsid w:val="0052372E"/>
    <w:rsid w:val="00540D61"/>
    <w:rsid w:val="0054185B"/>
    <w:rsid w:val="00541FA6"/>
    <w:rsid w:val="00550C0E"/>
    <w:rsid w:val="00551876"/>
    <w:rsid w:val="00555F96"/>
    <w:rsid w:val="00557B34"/>
    <w:rsid w:val="00566A6E"/>
    <w:rsid w:val="0057224B"/>
    <w:rsid w:val="005723DE"/>
    <w:rsid w:val="005726E0"/>
    <w:rsid w:val="00575B0F"/>
    <w:rsid w:val="0057757E"/>
    <w:rsid w:val="00581EE4"/>
    <w:rsid w:val="0058420E"/>
    <w:rsid w:val="00584C46"/>
    <w:rsid w:val="0058527B"/>
    <w:rsid w:val="00587431"/>
    <w:rsid w:val="00592450"/>
    <w:rsid w:val="00596940"/>
    <w:rsid w:val="005A0A26"/>
    <w:rsid w:val="005A1565"/>
    <w:rsid w:val="005A1E3B"/>
    <w:rsid w:val="005A6C29"/>
    <w:rsid w:val="005B13D4"/>
    <w:rsid w:val="005B26A1"/>
    <w:rsid w:val="005B4A5A"/>
    <w:rsid w:val="005B6576"/>
    <w:rsid w:val="005B722D"/>
    <w:rsid w:val="005C1599"/>
    <w:rsid w:val="005C48AC"/>
    <w:rsid w:val="005C4B0D"/>
    <w:rsid w:val="005C5D1A"/>
    <w:rsid w:val="005D4CC5"/>
    <w:rsid w:val="005D59C8"/>
    <w:rsid w:val="005D6A4A"/>
    <w:rsid w:val="005E17A6"/>
    <w:rsid w:val="005E2E03"/>
    <w:rsid w:val="005E602F"/>
    <w:rsid w:val="005E7203"/>
    <w:rsid w:val="005F55CD"/>
    <w:rsid w:val="005F6C56"/>
    <w:rsid w:val="005F7CDD"/>
    <w:rsid w:val="00600724"/>
    <w:rsid w:val="00605673"/>
    <w:rsid w:val="00613B01"/>
    <w:rsid w:val="00625170"/>
    <w:rsid w:val="00630743"/>
    <w:rsid w:val="00630B19"/>
    <w:rsid w:val="00632CA1"/>
    <w:rsid w:val="00633BB4"/>
    <w:rsid w:val="0063726A"/>
    <w:rsid w:val="006441F4"/>
    <w:rsid w:val="0064475C"/>
    <w:rsid w:val="006465DA"/>
    <w:rsid w:val="00651B07"/>
    <w:rsid w:val="006542FB"/>
    <w:rsid w:val="006575C7"/>
    <w:rsid w:val="006645E5"/>
    <w:rsid w:val="006646CB"/>
    <w:rsid w:val="00665862"/>
    <w:rsid w:val="0066738E"/>
    <w:rsid w:val="00673791"/>
    <w:rsid w:val="00680E14"/>
    <w:rsid w:val="00685C5C"/>
    <w:rsid w:val="00687EC5"/>
    <w:rsid w:val="0069140F"/>
    <w:rsid w:val="0069260F"/>
    <w:rsid w:val="0069521C"/>
    <w:rsid w:val="006963D2"/>
    <w:rsid w:val="006A0DA1"/>
    <w:rsid w:val="006A2F96"/>
    <w:rsid w:val="006A2FC4"/>
    <w:rsid w:val="006B3948"/>
    <w:rsid w:val="006B5E02"/>
    <w:rsid w:val="006B717F"/>
    <w:rsid w:val="006C7552"/>
    <w:rsid w:val="006C7DF7"/>
    <w:rsid w:val="006D073D"/>
    <w:rsid w:val="006D0ED6"/>
    <w:rsid w:val="006D6FDA"/>
    <w:rsid w:val="006E0429"/>
    <w:rsid w:val="006E5BE3"/>
    <w:rsid w:val="006E6FBC"/>
    <w:rsid w:val="006F51BD"/>
    <w:rsid w:val="00703E48"/>
    <w:rsid w:val="007040B2"/>
    <w:rsid w:val="0070482B"/>
    <w:rsid w:val="007056ED"/>
    <w:rsid w:val="00705BCF"/>
    <w:rsid w:val="00705E20"/>
    <w:rsid w:val="007065E8"/>
    <w:rsid w:val="00717115"/>
    <w:rsid w:val="007176A2"/>
    <w:rsid w:val="00720DEA"/>
    <w:rsid w:val="007214FA"/>
    <w:rsid w:val="00721B3E"/>
    <w:rsid w:val="00723139"/>
    <w:rsid w:val="00723510"/>
    <w:rsid w:val="00726F3D"/>
    <w:rsid w:val="007320AC"/>
    <w:rsid w:val="00736DAB"/>
    <w:rsid w:val="00741DDE"/>
    <w:rsid w:val="0074264D"/>
    <w:rsid w:val="007439D9"/>
    <w:rsid w:val="00744F25"/>
    <w:rsid w:val="00746E0B"/>
    <w:rsid w:val="007470F5"/>
    <w:rsid w:val="00753E23"/>
    <w:rsid w:val="00755081"/>
    <w:rsid w:val="0075744F"/>
    <w:rsid w:val="007577C4"/>
    <w:rsid w:val="00760515"/>
    <w:rsid w:val="0076344D"/>
    <w:rsid w:val="007665E6"/>
    <w:rsid w:val="00767433"/>
    <w:rsid w:val="007719B7"/>
    <w:rsid w:val="00772688"/>
    <w:rsid w:val="00774B16"/>
    <w:rsid w:val="00776487"/>
    <w:rsid w:val="007813C5"/>
    <w:rsid w:val="00787580"/>
    <w:rsid w:val="00795ADD"/>
    <w:rsid w:val="00795D5C"/>
    <w:rsid w:val="007A1B12"/>
    <w:rsid w:val="007A6A85"/>
    <w:rsid w:val="007B0F94"/>
    <w:rsid w:val="007B1875"/>
    <w:rsid w:val="007B32BB"/>
    <w:rsid w:val="007B4374"/>
    <w:rsid w:val="007B6933"/>
    <w:rsid w:val="007B6938"/>
    <w:rsid w:val="007B7AEF"/>
    <w:rsid w:val="007C1354"/>
    <w:rsid w:val="007C33CA"/>
    <w:rsid w:val="007C3BE7"/>
    <w:rsid w:val="007D23CD"/>
    <w:rsid w:val="007D4371"/>
    <w:rsid w:val="007E3F7D"/>
    <w:rsid w:val="007E5071"/>
    <w:rsid w:val="007E690F"/>
    <w:rsid w:val="007F09D1"/>
    <w:rsid w:val="007F232A"/>
    <w:rsid w:val="00800F52"/>
    <w:rsid w:val="0080177C"/>
    <w:rsid w:val="00810CDF"/>
    <w:rsid w:val="00810D67"/>
    <w:rsid w:val="00821CBB"/>
    <w:rsid w:val="00822FF5"/>
    <w:rsid w:val="0082475F"/>
    <w:rsid w:val="008274AD"/>
    <w:rsid w:val="00831B3D"/>
    <w:rsid w:val="008343D8"/>
    <w:rsid w:val="00842C7B"/>
    <w:rsid w:val="00851BF5"/>
    <w:rsid w:val="00852BB7"/>
    <w:rsid w:val="008569B2"/>
    <w:rsid w:val="00857B14"/>
    <w:rsid w:val="00865A90"/>
    <w:rsid w:val="00870C2F"/>
    <w:rsid w:val="00872646"/>
    <w:rsid w:val="00873707"/>
    <w:rsid w:val="00885644"/>
    <w:rsid w:val="0088611B"/>
    <w:rsid w:val="008879AB"/>
    <w:rsid w:val="00893650"/>
    <w:rsid w:val="008937B8"/>
    <w:rsid w:val="008A12BE"/>
    <w:rsid w:val="008A5962"/>
    <w:rsid w:val="008A5C4D"/>
    <w:rsid w:val="008B318D"/>
    <w:rsid w:val="008B51A5"/>
    <w:rsid w:val="008B6631"/>
    <w:rsid w:val="008C079D"/>
    <w:rsid w:val="008D0399"/>
    <w:rsid w:val="008D21C5"/>
    <w:rsid w:val="008D6D9B"/>
    <w:rsid w:val="008E0DFD"/>
    <w:rsid w:val="008E3A17"/>
    <w:rsid w:val="008F2693"/>
    <w:rsid w:val="009001CE"/>
    <w:rsid w:val="0090027B"/>
    <w:rsid w:val="009036A0"/>
    <w:rsid w:val="00905B3B"/>
    <w:rsid w:val="00905BFF"/>
    <w:rsid w:val="00910D53"/>
    <w:rsid w:val="009125B1"/>
    <w:rsid w:val="00922B0F"/>
    <w:rsid w:val="009258C2"/>
    <w:rsid w:val="009317AC"/>
    <w:rsid w:val="0094427D"/>
    <w:rsid w:val="00946941"/>
    <w:rsid w:val="00947FFA"/>
    <w:rsid w:val="009540D2"/>
    <w:rsid w:val="00963A13"/>
    <w:rsid w:val="0097056F"/>
    <w:rsid w:val="00972935"/>
    <w:rsid w:val="00976940"/>
    <w:rsid w:val="00980714"/>
    <w:rsid w:val="00982B50"/>
    <w:rsid w:val="00985273"/>
    <w:rsid w:val="00994730"/>
    <w:rsid w:val="00995AA2"/>
    <w:rsid w:val="00996928"/>
    <w:rsid w:val="009A3F78"/>
    <w:rsid w:val="009A4EDA"/>
    <w:rsid w:val="009B0E14"/>
    <w:rsid w:val="009B391A"/>
    <w:rsid w:val="009B5E46"/>
    <w:rsid w:val="009B7834"/>
    <w:rsid w:val="009C38DE"/>
    <w:rsid w:val="009C439E"/>
    <w:rsid w:val="009D6351"/>
    <w:rsid w:val="009E08A0"/>
    <w:rsid w:val="009E39E0"/>
    <w:rsid w:val="009E4821"/>
    <w:rsid w:val="009E7D1A"/>
    <w:rsid w:val="009F1E0F"/>
    <w:rsid w:val="009F6187"/>
    <w:rsid w:val="00A00B70"/>
    <w:rsid w:val="00A019E6"/>
    <w:rsid w:val="00A02A0A"/>
    <w:rsid w:val="00A02B35"/>
    <w:rsid w:val="00A0451D"/>
    <w:rsid w:val="00A05BC5"/>
    <w:rsid w:val="00A10720"/>
    <w:rsid w:val="00A110CB"/>
    <w:rsid w:val="00A14A7A"/>
    <w:rsid w:val="00A15971"/>
    <w:rsid w:val="00A167AD"/>
    <w:rsid w:val="00A2018B"/>
    <w:rsid w:val="00A20CD8"/>
    <w:rsid w:val="00A24EC6"/>
    <w:rsid w:val="00A252D0"/>
    <w:rsid w:val="00A31D8C"/>
    <w:rsid w:val="00A3385C"/>
    <w:rsid w:val="00A33AD5"/>
    <w:rsid w:val="00A35015"/>
    <w:rsid w:val="00A35CAD"/>
    <w:rsid w:val="00A36368"/>
    <w:rsid w:val="00A43D12"/>
    <w:rsid w:val="00A513C1"/>
    <w:rsid w:val="00A5154F"/>
    <w:rsid w:val="00A517CC"/>
    <w:rsid w:val="00A52A9D"/>
    <w:rsid w:val="00A5461C"/>
    <w:rsid w:val="00A62184"/>
    <w:rsid w:val="00A6423C"/>
    <w:rsid w:val="00A66C06"/>
    <w:rsid w:val="00A70D52"/>
    <w:rsid w:val="00A774A0"/>
    <w:rsid w:val="00A80B0C"/>
    <w:rsid w:val="00A80E6D"/>
    <w:rsid w:val="00A825E7"/>
    <w:rsid w:val="00A82AE9"/>
    <w:rsid w:val="00A83C7A"/>
    <w:rsid w:val="00A87304"/>
    <w:rsid w:val="00A94597"/>
    <w:rsid w:val="00A95B58"/>
    <w:rsid w:val="00AA0B60"/>
    <w:rsid w:val="00AA763E"/>
    <w:rsid w:val="00AB06E0"/>
    <w:rsid w:val="00AB38E4"/>
    <w:rsid w:val="00AB56CB"/>
    <w:rsid w:val="00AC1C96"/>
    <w:rsid w:val="00AC1FC2"/>
    <w:rsid w:val="00AC2C71"/>
    <w:rsid w:val="00AC7648"/>
    <w:rsid w:val="00AD14FB"/>
    <w:rsid w:val="00AD206F"/>
    <w:rsid w:val="00AD5823"/>
    <w:rsid w:val="00AD717F"/>
    <w:rsid w:val="00AE04EB"/>
    <w:rsid w:val="00AE0F34"/>
    <w:rsid w:val="00AE3EE9"/>
    <w:rsid w:val="00AE5D1F"/>
    <w:rsid w:val="00AE6EDB"/>
    <w:rsid w:val="00AF097C"/>
    <w:rsid w:val="00AF1665"/>
    <w:rsid w:val="00AF18E9"/>
    <w:rsid w:val="00AF3B6D"/>
    <w:rsid w:val="00AF6979"/>
    <w:rsid w:val="00B1192A"/>
    <w:rsid w:val="00B11CD5"/>
    <w:rsid w:val="00B1208D"/>
    <w:rsid w:val="00B124AE"/>
    <w:rsid w:val="00B12D2F"/>
    <w:rsid w:val="00B13FC7"/>
    <w:rsid w:val="00B1583F"/>
    <w:rsid w:val="00B33A70"/>
    <w:rsid w:val="00B353E2"/>
    <w:rsid w:val="00B36761"/>
    <w:rsid w:val="00B37CA4"/>
    <w:rsid w:val="00B37CE8"/>
    <w:rsid w:val="00B46D67"/>
    <w:rsid w:val="00B56AE6"/>
    <w:rsid w:val="00B56E42"/>
    <w:rsid w:val="00B71BB6"/>
    <w:rsid w:val="00B74529"/>
    <w:rsid w:val="00B80804"/>
    <w:rsid w:val="00B84D91"/>
    <w:rsid w:val="00B92080"/>
    <w:rsid w:val="00B939C5"/>
    <w:rsid w:val="00B949C3"/>
    <w:rsid w:val="00BA784F"/>
    <w:rsid w:val="00BB0BDB"/>
    <w:rsid w:val="00BB1CD7"/>
    <w:rsid w:val="00BB2664"/>
    <w:rsid w:val="00BB3369"/>
    <w:rsid w:val="00BC0010"/>
    <w:rsid w:val="00BC3205"/>
    <w:rsid w:val="00BC3A5F"/>
    <w:rsid w:val="00BD24C2"/>
    <w:rsid w:val="00BD4816"/>
    <w:rsid w:val="00BD6DCE"/>
    <w:rsid w:val="00BD7843"/>
    <w:rsid w:val="00BE29C8"/>
    <w:rsid w:val="00BE3473"/>
    <w:rsid w:val="00BE3D01"/>
    <w:rsid w:val="00BE5EB2"/>
    <w:rsid w:val="00BF2056"/>
    <w:rsid w:val="00C03AE4"/>
    <w:rsid w:val="00C0780F"/>
    <w:rsid w:val="00C10F00"/>
    <w:rsid w:val="00C13D5F"/>
    <w:rsid w:val="00C21E2C"/>
    <w:rsid w:val="00C2201B"/>
    <w:rsid w:val="00C23055"/>
    <w:rsid w:val="00C25A9F"/>
    <w:rsid w:val="00C27EB5"/>
    <w:rsid w:val="00C35809"/>
    <w:rsid w:val="00C36A88"/>
    <w:rsid w:val="00C43E43"/>
    <w:rsid w:val="00C5271E"/>
    <w:rsid w:val="00C556E1"/>
    <w:rsid w:val="00C61F49"/>
    <w:rsid w:val="00C65FFB"/>
    <w:rsid w:val="00C70162"/>
    <w:rsid w:val="00C7201F"/>
    <w:rsid w:val="00C72B47"/>
    <w:rsid w:val="00C840DB"/>
    <w:rsid w:val="00C90654"/>
    <w:rsid w:val="00C96484"/>
    <w:rsid w:val="00C97197"/>
    <w:rsid w:val="00CA2851"/>
    <w:rsid w:val="00CB05F8"/>
    <w:rsid w:val="00CB7E5A"/>
    <w:rsid w:val="00CC1C02"/>
    <w:rsid w:val="00CD5713"/>
    <w:rsid w:val="00CD69AB"/>
    <w:rsid w:val="00CE677B"/>
    <w:rsid w:val="00CE7EB1"/>
    <w:rsid w:val="00CF791C"/>
    <w:rsid w:val="00D009C3"/>
    <w:rsid w:val="00D01891"/>
    <w:rsid w:val="00D02300"/>
    <w:rsid w:val="00D03629"/>
    <w:rsid w:val="00D04ECD"/>
    <w:rsid w:val="00D05C77"/>
    <w:rsid w:val="00D07F94"/>
    <w:rsid w:val="00D11A6E"/>
    <w:rsid w:val="00D17462"/>
    <w:rsid w:val="00D407AA"/>
    <w:rsid w:val="00D41DC0"/>
    <w:rsid w:val="00D4221E"/>
    <w:rsid w:val="00D43B1A"/>
    <w:rsid w:val="00D469BC"/>
    <w:rsid w:val="00D5053B"/>
    <w:rsid w:val="00D548BA"/>
    <w:rsid w:val="00D54EDC"/>
    <w:rsid w:val="00D60063"/>
    <w:rsid w:val="00D60DED"/>
    <w:rsid w:val="00D6176A"/>
    <w:rsid w:val="00D625B5"/>
    <w:rsid w:val="00D62D44"/>
    <w:rsid w:val="00D655D1"/>
    <w:rsid w:val="00D65DD6"/>
    <w:rsid w:val="00D710E0"/>
    <w:rsid w:val="00D71E95"/>
    <w:rsid w:val="00D726A1"/>
    <w:rsid w:val="00D847C7"/>
    <w:rsid w:val="00D86098"/>
    <w:rsid w:val="00D86617"/>
    <w:rsid w:val="00D935E3"/>
    <w:rsid w:val="00D93A80"/>
    <w:rsid w:val="00DA07EE"/>
    <w:rsid w:val="00DA16A9"/>
    <w:rsid w:val="00DA381C"/>
    <w:rsid w:val="00DA5800"/>
    <w:rsid w:val="00DA642B"/>
    <w:rsid w:val="00DA7BD5"/>
    <w:rsid w:val="00DB0A7E"/>
    <w:rsid w:val="00DB1108"/>
    <w:rsid w:val="00DB5CE4"/>
    <w:rsid w:val="00DB7CD8"/>
    <w:rsid w:val="00DB7FA6"/>
    <w:rsid w:val="00DC18B9"/>
    <w:rsid w:val="00DD20C7"/>
    <w:rsid w:val="00DE0EFC"/>
    <w:rsid w:val="00DE1333"/>
    <w:rsid w:val="00DF12C2"/>
    <w:rsid w:val="00DF188C"/>
    <w:rsid w:val="00DF4B87"/>
    <w:rsid w:val="00DF6BF9"/>
    <w:rsid w:val="00DF70B7"/>
    <w:rsid w:val="00DF755B"/>
    <w:rsid w:val="00E00451"/>
    <w:rsid w:val="00E04089"/>
    <w:rsid w:val="00E119EB"/>
    <w:rsid w:val="00E13032"/>
    <w:rsid w:val="00E13F68"/>
    <w:rsid w:val="00E16CC1"/>
    <w:rsid w:val="00E202ED"/>
    <w:rsid w:val="00E2211D"/>
    <w:rsid w:val="00E303A0"/>
    <w:rsid w:val="00E30961"/>
    <w:rsid w:val="00E3149A"/>
    <w:rsid w:val="00E355DE"/>
    <w:rsid w:val="00E36BC0"/>
    <w:rsid w:val="00E410EB"/>
    <w:rsid w:val="00E434E9"/>
    <w:rsid w:val="00E46F62"/>
    <w:rsid w:val="00E47E4F"/>
    <w:rsid w:val="00E5296C"/>
    <w:rsid w:val="00E54182"/>
    <w:rsid w:val="00E54EE9"/>
    <w:rsid w:val="00E554AB"/>
    <w:rsid w:val="00E556AF"/>
    <w:rsid w:val="00E67D18"/>
    <w:rsid w:val="00E70665"/>
    <w:rsid w:val="00E70D30"/>
    <w:rsid w:val="00E71935"/>
    <w:rsid w:val="00E73A0D"/>
    <w:rsid w:val="00E81AC6"/>
    <w:rsid w:val="00E82042"/>
    <w:rsid w:val="00E8264A"/>
    <w:rsid w:val="00E827C9"/>
    <w:rsid w:val="00E82D2B"/>
    <w:rsid w:val="00E85C3B"/>
    <w:rsid w:val="00E92654"/>
    <w:rsid w:val="00EA57DA"/>
    <w:rsid w:val="00EB30B2"/>
    <w:rsid w:val="00EB394F"/>
    <w:rsid w:val="00EB542A"/>
    <w:rsid w:val="00EB7A61"/>
    <w:rsid w:val="00EC0D21"/>
    <w:rsid w:val="00ED0E98"/>
    <w:rsid w:val="00ED239E"/>
    <w:rsid w:val="00ED35E9"/>
    <w:rsid w:val="00ED3D80"/>
    <w:rsid w:val="00ED7025"/>
    <w:rsid w:val="00EE0949"/>
    <w:rsid w:val="00EE0A3D"/>
    <w:rsid w:val="00EE4017"/>
    <w:rsid w:val="00EE455D"/>
    <w:rsid w:val="00EE5A77"/>
    <w:rsid w:val="00EF28F6"/>
    <w:rsid w:val="00EF2E0B"/>
    <w:rsid w:val="00F0091F"/>
    <w:rsid w:val="00F00D20"/>
    <w:rsid w:val="00F0129C"/>
    <w:rsid w:val="00F0142E"/>
    <w:rsid w:val="00F01970"/>
    <w:rsid w:val="00F0210C"/>
    <w:rsid w:val="00F0362B"/>
    <w:rsid w:val="00F043B2"/>
    <w:rsid w:val="00F04C24"/>
    <w:rsid w:val="00F1288A"/>
    <w:rsid w:val="00F1595F"/>
    <w:rsid w:val="00F173E5"/>
    <w:rsid w:val="00F2017A"/>
    <w:rsid w:val="00F20217"/>
    <w:rsid w:val="00F23F12"/>
    <w:rsid w:val="00F31E6C"/>
    <w:rsid w:val="00F35BEE"/>
    <w:rsid w:val="00F3672B"/>
    <w:rsid w:val="00F36873"/>
    <w:rsid w:val="00F423EE"/>
    <w:rsid w:val="00F51589"/>
    <w:rsid w:val="00F63A20"/>
    <w:rsid w:val="00F663F8"/>
    <w:rsid w:val="00F70608"/>
    <w:rsid w:val="00F727EC"/>
    <w:rsid w:val="00F75B1E"/>
    <w:rsid w:val="00F77AB3"/>
    <w:rsid w:val="00F85138"/>
    <w:rsid w:val="00F85AE0"/>
    <w:rsid w:val="00F86B09"/>
    <w:rsid w:val="00F86CAC"/>
    <w:rsid w:val="00F9088F"/>
    <w:rsid w:val="00F910D2"/>
    <w:rsid w:val="00F91F5A"/>
    <w:rsid w:val="00F95A6B"/>
    <w:rsid w:val="00F97141"/>
    <w:rsid w:val="00FA11FE"/>
    <w:rsid w:val="00FA361A"/>
    <w:rsid w:val="00FB32FA"/>
    <w:rsid w:val="00FB4C73"/>
    <w:rsid w:val="00FB556B"/>
    <w:rsid w:val="00FB70E8"/>
    <w:rsid w:val="00FC209F"/>
    <w:rsid w:val="00FC3A92"/>
    <w:rsid w:val="00FE0C34"/>
    <w:rsid w:val="00FF7004"/>
    <w:rsid w:val="01637336"/>
    <w:rsid w:val="01702219"/>
    <w:rsid w:val="0188370B"/>
    <w:rsid w:val="01973255"/>
    <w:rsid w:val="01BA07C3"/>
    <w:rsid w:val="01D2319B"/>
    <w:rsid w:val="01E837B9"/>
    <w:rsid w:val="02027247"/>
    <w:rsid w:val="02047FC6"/>
    <w:rsid w:val="02125C77"/>
    <w:rsid w:val="026C2434"/>
    <w:rsid w:val="02B03342"/>
    <w:rsid w:val="02E03679"/>
    <w:rsid w:val="02F82492"/>
    <w:rsid w:val="0321467C"/>
    <w:rsid w:val="032C53FD"/>
    <w:rsid w:val="033C198F"/>
    <w:rsid w:val="035332F4"/>
    <w:rsid w:val="03CB4907"/>
    <w:rsid w:val="03CE27DD"/>
    <w:rsid w:val="03E92861"/>
    <w:rsid w:val="04286019"/>
    <w:rsid w:val="04693D40"/>
    <w:rsid w:val="04730EDC"/>
    <w:rsid w:val="04945D79"/>
    <w:rsid w:val="049E4990"/>
    <w:rsid w:val="04A726BA"/>
    <w:rsid w:val="04B2569A"/>
    <w:rsid w:val="04C44743"/>
    <w:rsid w:val="055767CE"/>
    <w:rsid w:val="056E0023"/>
    <w:rsid w:val="058A5FB8"/>
    <w:rsid w:val="058F6A26"/>
    <w:rsid w:val="05B8411D"/>
    <w:rsid w:val="060E231F"/>
    <w:rsid w:val="06530499"/>
    <w:rsid w:val="06745704"/>
    <w:rsid w:val="06FB2BE4"/>
    <w:rsid w:val="07146D76"/>
    <w:rsid w:val="0738383B"/>
    <w:rsid w:val="075676EE"/>
    <w:rsid w:val="076A12D3"/>
    <w:rsid w:val="0776791C"/>
    <w:rsid w:val="0795180E"/>
    <w:rsid w:val="079B5037"/>
    <w:rsid w:val="07B25CC9"/>
    <w:rsid w:val="07C13026"/>
    <w:rsid w:val="07D113C8"/>
    <w:rsid w:val="07D24142"/>
    <w:rsid w:val="07D43F01"/>
    <w:rsid w:val="07E1030B"/>
    <w:rsid w:val="07E566F1"/>
    <w:rsid w:val="081B4196"/>
    <w:rsid w:val="087F3AC1"/>
    <w:rsid w:val="08936ABC"/>
    <w:rsid w:val="098564C5"/>
    <w:rsid w:val="09990307"/>
    <w:rsid w:val="09B4192B"/>
    <w:rsid w:val="09B75A67"/>
    <w:rsid w:val="09BE111C"/>
    <w:rsid w:val="09FB18E6"/>
    <w:rsid w:val="0A220D7A"/>
    <w:rsid w:val="0A631B1C"/>
    <w:rsid w:val="0A6674E8"/>
    <w:rsid w:val="0AD06E34"/>
    <w:rsid w:val="0AF10519"/>
    <w:rsid w:val="0B4E5D93"/>
    <w:rsid w:val="0B561225"/>
    <w:rsid w:val="0B6F5832"/>
    <w:rsid w:val="0BA21DC4"/>
    <w:rsid w:val="0BAA3252"/>
    <w:rsid w:val="0BB60C8C"/>
    <w:rsid w:val="0BE24C50"/>
    <w:rsid w:val="0BFF200A"/>
    <w:rsid w:val="0C10575B"/>
    <w:rsid w:val="0C2E7DF7"/>
    <w:rsid w:val="0C4B606F"/>
    <w:rsid w:val="0C765A3D"/>
    <w:rsid w:val="0CB155A9"/>
    <w:rsid w:val="0CE8001B"/>
    <w:rsid w:val="0CEC0914"/>
    <w:rsid w:val="0CFB62D6"/>
    <w:rsid w:val="0CFF2D47"/>
    <w:rsid w:val="0D4B3992"/>
    <w:rsid w:val="0D903306"/>
    <w:rsid w:val="0DCD019E"/>
    <w:rsid w:val="0DD12F36"/>
    <w:rsid w:val="0DD467BF"/>
    <w:rsid w:val="0E134EE0"/>
    <w:rsid w:val="0E85745F"/>
    <w:rsid w:val="0EC058F5"/>
    <w:rsid w:val="0F142EC4"/>
    <w:rsid w:val="0F206DD7"/>
    <w:rsid w:val="0F312BBD"/>
    <w:rsid w:val="0F4E226B"/>
    <w:rsid w:val="0FB728D3"/>
    <w:rsid w:val="0FE04101"/>
    <w:rsid w:val="10012C1C"/>
    <w:rsid w:val="100A1EAD"/>
    <w:rsid w:val="10410731"/>
    <w:rsid w:val="10AA130C"/>
    <w:rsid w:val="10B373CA"/>
    <w:rsid w:val="10D31F65"/>
    <w:rsid w:val="10F70520"/>
    <w:rsid w:val="1114068D"/>
    <w:rsid w:val="112D1040"/>
    <w:rsid w:val="11392F18"/>
    <w:rsid w:val="11394F44"/>
    <w:rsid w:val="11507DFB"/>
    <w:rsid w:val="117D3A0A"/>
    <w:rsid w:val="11812DA0"/>
    <w:rsid w:val="11D33AE2"/>
    <w:rsid w:val="11D82C4F"/>
    <w:rsid w:val="11DA3B79"/>
    <w:rsid w:val="121172FD"/>
    <w:rsid w:val="12175470"/>
    <w:rsid w:val="12492DC5"/>
    <w:rsid w:val="126652AF"/>
    <w:rsid w:val="126F6D55"/>
    <w:rsid w:val="128633B1"/>
    <w:rsid w:val="12CA3819"/>
    <w:rsid w:val="12F61668"/>
    <w:rsid w:val="131323D9"/>
    <w:rsid w:val="13202178"/>
    <w:rsid w:val="13425F39"/>
    <w:rsid w:val="137E5444"/>
    <w:rsid w:val="14930ABF"/>
    <w:rsid w:val="149B7195"/>
    <w:rsid w:val="14C8435D"/>
    <w:rsid w:val="152F3A6E"/>
    <w:rsid w:val="15883864"/>
    <w:rsid w:val="158B3A9B"/>
    <w:rsid w:val="165F2F55"/>
    <w:rsid w:val="16615B5F"/>
    <w:rsid w:val="16622E8B"/>
    <w:rsid w:val="16BE24E1"/>
    <w:rsid w:val="16E06A10"/>
    <w:rsid w:val="17094834"/>
    <w:rsid w:val="170C43BA"/>
    <w:rsid w:val="172D07FC"/>
    <w:rsid w:val="173137B8"/>
    <w:rsid w:val="17484305"/>
    <w:rsid w:val="175571AC"/>
    <w:rsid w:val="17876B8C"/>
    <w:rsid w:val="17C87B60"/>
    <w:rsid w:val="17DD1D5F"/>
    <w:rsid w:val="17DF3A6C"/>
    <w:rsid w:val="17E57CA3"/>
    <w:rsid w:val="18382A79"/>
    <w:rsid w:val="18783A9C"/>
    <w:rsid w:val="19000DE0"/>
    <w:rsid w:val="191C7CC2"/>
    <w:rsid w:val="19442C37"/>
    <w:rsid w:val="19447C5D"/>
    <w:rsid w:val="19727504"/>
    <w:rsid w:val="19771DED"/>
    <w:rsid w:val="19D773C2"/>
    <w:rsid w:val="19E32C91"/>
    <w:rsid w:val="1A453831"/>
    <w:rsid w:val="1A7C4A8C"/>
    <w:rsid w:val="1A957B23"/>
    <w:rsid w:val="1AB23E4B"/>
    <w:rsid w:val="1AD92EA9"/>
    <w:rsid w:val="1B0D1875"/>
    <w:rsid w:val="1B100E3D"/>
    <w:rsid w:val="1B8B5A28"/>
    <w:rsid w:val="1BCF6759"/>
    <w:rsid w:val="1BD64BD1"/>
    <w:rsid w:val="1C072E17"/>
    <w:rsid w:val="1C0B20F9"/>
    <w:rsid w:val="1C3736FF"/>
    <w:rsid w:val="1C4E1C73"/>
    <w:rsid w:val="1C5D531E"/>
    <w:rsid w:val="1C8F59AE"/>
    <w:rsid w:val="1CA65A26"/>
    <w:rsid w:val="1CAE0E7E"/>
    <w:rsid w:val="1CDC7057"/>
    <w:rsid w:val="1D0E0E63"/>
    <w:rsid w:val="1D8C481D"/>
    <w:rsid w:val="1DF95F0E"/>
    <w:rsid w:val="1E197F8A"/>
    <w:rsid w:val="1E361DD4"/>
    <w:rsid w:val="1E4C45A8"/>
    <w:rsid w:val="1E511961"/>
    <w:rsid w:val="1E766C50"/>
    <w:rsid w:val="1E7D58A1"/>
    <w:rsid w:val="1EB86AFB"/>
    <w:rsid w:val="1EC54B6C"/>
    <w:rsid w:val="1F0576AC"/>
    <w:rsid w:val="1F284217"/>
    <w:rsid w:val="1F342AF2"/>
    <w:rsid w:val="1F4909AD"/>
    <w:rsid w:val="1F9A4DC7"/>
    <w:rsid w:val="1FEB2863"/>
    <w:rsid w:val="20156197"/>
    <w:rsid w:val="201D6916"/>
    <w:rsid w:val="20257E00"/>
    <w:rsid w:val="203E1933"/>
    <w:rsid w:val="209C03B7"/>
    <w:rsid w:val="20B669EA"/>
    <w:rsid w:val="20BA0E0E"/>
    <w:rsid w:val="20EF6FEA"/>
    <w:rsid w:val="21476595"/>
    <w:rsid w:val="215227B6"/>
    <w:rsid w:val="21576E52"/>
    <w:rsid w:val="215B5912"/>
    <w:rsid w:val="21726703"/>
    <w:rsid w:val="219971A2"/>
    <w:rsid w:val="21B91895"/>
    <w:rsid w:val="228A1F02"/>
    <w:rsid w:val="229A2498"/>
    <w:rsid w:val="22A325A0"/>
    <w:rsid w:val="22C0171A"/>
    <w:rsid w:val="22D375EA"/>
    <w:rsid w:val="23282182"/>
    <w:rsid w:val="2335411A"/>
    <w:rsid w:val="234F673D"/>
    <w:rsid w:val="235A6ABC"/>
    <w:rsid w:val="2363483E"/>
    <w:rsid w:val="23B66582"/>
    <w:rsid w:val="23BE3E73"/>
    <w:rsid w:val="23DA27F8"/>
    <w:rsid w:val="249512EA"/>
    <w:rsid w:val="24B26BF3"/>
    <w:rsid w:val="24E4355E"/>
    <w:rsid w:val="25073CF1"/>
    <w:rsid w:val="251F4CB8"/>
    <w:rsid w:val="252E1CAD"/>
    <w:rsid w:val="254365C3"/>
    <w:rsid w:val="25515B91"/>
    <w:rsid w:val="25740171"/>
    <w:rsid w:val="257E4B40"/>
    <w:rsid w:val="25A95844"/>
    <w:rsid w:val="26166DD0"/>
    <w:rsid w:val="263A615A"/>
    <w:rsid w:val="26444A69"/>
    <w:rsid w:val="26774747"/>
    <w:rsid w:val="267F0692"/>
    <w:rsid w:val="271211D0"/>
    <w:rsid w:val="272C6EFA"/>
    <w:rsid w:val="274600B5"/>
    <w:rsid w:val="27621564"/>
    <w:rsid w:val="276E4F22"/>
    <w:rsid w:val="279149AF"/>
    <w:rsid w:val="27A17B8E"/>
    <w:rsid w:val="27AA5C75"/>
    <w:rsid w:val="27E76D1E"/>
    <w:rsid w:val="281E4B95"/>
    <w:rsid w:val="282102BB"/>
    <w:rsid w:val="288E7BF8"/>
    <w:rsid w:val="28A27BDA"/>
    <w:rsid w:val="28B95261"/>
    <w:rsid w:val="28F748A7"/>
    <w:rsid w:val="290C14D5"/>
    <w:rsid w:val="29284EE9"/>
    <w:rsid w:val="293A0E01"/>
    <w:rsid w:val="29742EFB"/>
    <w:rsid w:val="29D2731D"/>
    <w:rsid w:val="29EE604C"/>
    <w:rsid w:val="29F65AC6"/>
    <w:rsid w:val="2A0E54BC"/>
    <w:rsid w:val="2A24080A"/>
    <w:rsid w:val="2A2D0C68"/>
    <w:rsid w:val="2A30030B"/>
    <w:rsid w:val="2A8E4902"/>
    <w:rsid w:val="2A9905E0"/>
    <w:rsid w:val="2AAC61D5"/>
    <w:rsid w:val="2AD9553F"/>
    <w:rsid w:val="2B251298"/>
    <w:rsid w:val="2B5846E5"/>
    <w:rsid w:val="2B5D4B58"/>
    <w:rsid w:val="2B792875"/>
    <w:rsid w:val="2B7E61E2"/>
    <w:rsid w:val="2BE33768"/>
    <w:rsid w:val="2BFE226A"/>
    <w:rsid w:val="2C0F40F0"/>
    <w:rsid w:val="2C194034"/>
    <w:rsid w:val="2C5B74F0"/>
    <w:rsid w:val="2C740427"/>
    <w:rsid w:val="2C8A7E06"/>
    <w:rsid w:val="2CBB19F6"/>
    <w:rsid w:val="2D5D6721"/>
    <w:rsid w:val="2D687F60"/>
    <w:rsid w:val="2D9B3D4E"/>
    <w:rsid w:val="2DA2729C"/>
    <w:rsid w:val="2E0F70EE"/>
    <w:rsid w:val="2EA55494"/>
    <w:rsid w:val="2EB13BEB"/>
    <w:rsid w:val="2F213A23"/>
    <w:rsid w:val="2F22442B"/>
    <w:rsid w:val="2F2F3970"/>
    <w:rsid w:val="2F8C5675"/>
    <w:rsid w:val="2F8D02D0"/>
    <w:rsid w:val="2F9A713B"/>
    <w:rsid w:val="2FAA5B1D"/>
    <w:rsid w:val="302E4855"/>
    <w:rsid w:val="30424E17"/>
    <w:rsid w:val="312A3083"/>
    <w:rsid w:val="313D3F4D"/>
    <w:rsid w:val="314C0485"/>
    <w:rsid w:val="3162336A"/>
    <w:rsid w:val="31650E8D"/>
    <w:rsid w:val="31D76780"/>
    <w:rsid w:val="320952C5"/>
    <w:rsid w:val="32140FB8"/>
    <w:rsid w:val="321C282A"/>
    <w:rsid w:val="322476E7"/>
    <w:rsid w:val="32340188"/>
    <w:rsid w:val="3284228C"/>
    <w:rsid w:val="32DB6B81"/>
    <w:rsid w:val="335524AB"/>
    <w:rsid w:val="33C76865"/>
    <w:rsid w:val="33D9282D"/>
    <w:rsid w:val="33F77B7F"/>
    <w:rsid w:val="34213042"/>
    <w:rsid w:val="346D680B"/>
    <w:rsid w:val="3472016A"/>
    <w:rsid w:val="347A0FCE"/>
    <w:rsid w:val="34885670"/>
    <w:rsid w:val="34AD1E04"/>
    <w:rsid w:val="34D94A5D"/>
    <w:rsid w:val="34DC116B"/>
    <w:rsid w:val="35264AAD"/>
    <w:rsid w:val="352F64E3"/>
    <w:rsid w:val="35486389"/>
    <w:rsid w:val="355136DD"/>
    <w:rsid w:val="355F195B"/>
    <w:rsid w:val="35B64B30"/>
    <w:rsid w:val="363035D8"/>
    <w:rsid w:val="36A33EE7"/>
    <w:rsid w:val="37055DEC"/>
    <w:rsid w:val="37144D44"/>
    <w:rsid w:val="37620AA8"/>
    <w:rsid w:val="37875B64"/>
    <w:rsid w:val="37A61C31"/>
    <w:rsid w:val="37EB1FC1"/>
    <w:rsid w:val="37FE256F"/>
    <w:rsid w:val="38114515"/>
    <w:rsid w:val="38176A98"/>
    <w:rsid w:val="38212C2C"/>
    <w:rsid w:val="382D618B"/>
    <w:rsid w:val="384952F8"/>
    <w:rsid w:val="388D30E6"/>
    <w:rsid w:val="38B22A40"/>
    <w:rsid w:val="38D13BA9"/>
    <w:rsid w:val="38FD7751"/>
    <w:rsid w:val="3916767C"/>
    <w:rsid w:val="39681F76"/>
    <w:rsid w:val="398C5387"/>
    <w:rsid w:val="398E4941"/>
    <w:rsid w:val="3990642B"/>
    <w:rsid w:val="39D82739"/>
    <w:rsid w:val="3A216242"/>
    <w:rsid w:val="3A7129BF"/>
    <w:rsid w:val="3A8A4EE8"/>
    <w:rsid w:val="3A8C3B94"/>
    <w:rsid w:val="3A9B1EBD"/>
    <w:rsid w:val="3AE0014A"/>
    <w:rsid w:val="3B016997"/>
    <w:rsid w:val="3B061495"/>
    <w:rsid w:val="3B1178F7"/>
    <w:rsid w:val="3B294A01"/>
    <w:rsid w:val="3BB45ACC"/>
    <w:rsid w:val="3BB7518A"/>
    <w:rsid w:val="3C1B7B2F"/>
    <w:rsid w:val="3C68495E"/>
    <w:rsid w:val="3C950735"/>
    <w:rsid w:val="3CC36059"/>
    <w:rsid w:val="3CD63D2E"/>
    <w:rsid w:val="3CDD386C"/>
    <w:rsid w:val="3D2C52D3"/>
    <w:rsid w:val="3D637060"/>
    <w:rsid w:val="3DAD4F99"/>
    <w:rsid w:val="3DCB4961"/>
    <w:rsid w:val="3DE911E7"/>
    <w:rsid w:val="3DF16204"/>
    <w:rsid w:val="3E2E0D0A"/>
    <w:rsid w:val="3E3D6E40"/>
    <w:rsid w:val="3E4F0249"/>
    <w:rsid w:val="3EB367C3"/>
    <w:rsid w:val="3EBE2A3D"/>
    <w:rsid w:val="3EC70A0D"/>
    <w:rsid w:val="3ED10583"/>
    <w:rsid w:val="3EE95E0E"/>
    <w:rsid w:val="3EFE204E"/>
    <w:rsid w:val="3F0242B9"/>
    <w:rsid w:val="3F155B48"/>
    <w:rsid w:val="3F19567C"/>
    <w:rsid w:val="3FC82CA2"/>
    <w:rsid w:val="3FD566ED"/>
    <w:rsid w:val="3FD91EE9"/>
    <w:rsid w:val="3FF22639"/>
    <w:rsid w:val="403B77BA"/>
    <w:rsid w:val="404519F4"/>
    <w:rsid w:val="40534B32"/>
    <w:rsid w:val="405E7457"/>
    <w:rsid w:val="406E3825"/>
    <w:rsid w:val="409F5740"/>
    <w:rsid w:val="40DF59A3"/>
    <w:rsid w:val="40F70402"/>
    <w:rsid w:val="410269FA"/>
    <w:rsid w:val="41363908"/>
    <w:rsid w:val="4183334F"/>
    <w:rsid w:val="41AA3C10"/>
    <w:rsid w:val="41EA5389"/>
    <w:rsid w:val="41EF2475"/>
    <w:rsid w:val="41F221F3"/>
    <w:rsid w:val="42536A52"/>
    <w:rsid w:val="42582ED3"/>
    <w:rsid w:val="42665FD5"/>
    <w:rsid w:val="427F13B5"/>
    <w:rsid w:val="42AC3528"/>
    <w:rsid w:val="42B974D7"/>
    <w:rsid w:val="42D80C50"/>
    <w:rsid w:val="42D85951"/>
    <w:rsid w:val="42D93D37"/>
    <w:rsid w:val="42F35B66"/>
    <w:rsid w:val="432B22AF"/>
    <w:rsid w:val="43AE1EED"/>
    <w:rsid w:val="44015F79"/>
    <w:rsid w:val="444D606A"/>
    <w:rsid w:val="44FC793D"/>
    <w:rsid w:val="452A7386"/>
    <w:rsid w:val="45626970"/>
    <w:rsid w:val="456E628E"/>
    <w:rsid w:val="457621C1"/>
    <w:rsid w:val="459E17EE"/>
    <w:rsid w:val="45AE3DBF"/>
    <w:rsid w:val="45DE3B58"/>
    <w:rsid w:val="45DF628B"/>
    <w:rsid w:val="45E705D3"/>
    <w:rsid w:val="46930969"/>
    <w:rsid w:val="46966465"/>
    <w:rsid w:val="46CF1E56"/>
    <w:rsid w:val="46D95391"/>
    <w:rsid w:val="46E73EE6"/>
    <w:rsid w:val="47117A8E"/>
    <w:rsid w:val="471D2EC2"/>
    <w:rsid w:val="4741271D"/>
    <w:rsid w:val="4749616D"/>
    <w:rsid w:val="478726E8"/>
    <w:rsid w:val="479F6F9F"/>
    <w:rsid w:val="47A44725"/>
    <w:rsid w:val="47BE33D2"/>
    <w:rsid w:val="47E40E8C"/>
    <w:rsid w:val="47F06381"/>
    <w:rsid w:val="48024CBE"/>
    <w:rsid w:val="481C0D72"/>
    <w:rsid w:val="48335D86"/>
    <w:rsid w:val="484C1551"/>
    <w:rsid w:val="487B2DC6"/>
    <w:rsid w:val="489348A9"/>
    <w:rsid w:val="48AF42A8"/>
    <w:rsid w:val="48C01B4E"/>
    <w:rsid w:val="48C72D71"/>
    <w:rsid w:val="48D61EDE"/>
    <w:rsid w:val="491F46AE"/>
    <w:rsid w:val="49542D21"/>
    <w:rsid w:val="495D6E6D"/>
    <w:rsid w:val="497D25AC"/>
    <w:rsid w:val="498737FA"/>
    <w:rsid w:val="49AB6B4F"/>
    <w:rsid w:val="49C12E62"/>
    <w:rsid w:val="49E01C7A"/>
    <w:rsid w:val="4A144FE4"/>
    <w:rsid w:val="4A4C737D"/>
    <w:rsid w:val="4A5B6553"/>
    <w:rsid w:val="4A7D2F50"/>
    <w:rsid w:val="4A936040"/>
    <w:rsid w:val="4A9A0C67"/>
    <w:rsid w:val="4AA31209"/>
    <w:rsid w:val="4AA7414A"/>
    <w:rsid w:val="4AFA0A94"/>
    <w:rsid w:val="4B223A22"/>
    <w:rsid w:val="4B2E217E"/>
    <w:rsid w:val="4B5F5DE0"/>
    <w:rsid w:val="4C4B24E5"/>
    <w:rsid w:val="4CA50676"/>
    <w:rsid w:val="4CC846BE"/>
    <w:rsid w:val="4CD779FA"/>
    <w:rsid w:val="4D110DCF"/>
    <w:rsid w:val="4D165722"/>
    <w:rsid w:val="4D4756EB"/>
    <w:rsid w:val="4D9838E8"/>
    <w:rsid w:val="4DAE330F"/>
    <w:rsid w:val="4DB8107C"/>
    <w:rsid w:val="4DD913EE"/>
    <w:rsid w:val="4DE9439A"/>
    <w:rsid w:val="4E1B3553"/>
    <w:rsid w:val="4E86021C"/>
    <w:rsid w:val="4E863E6C"/>
    <w:rsid w:val="4E9C41B3"/>
    <w:rsid w:val="4EA22AA7"/>
    <w:rsid w:val="4EB42AA7"/>
    <w:rsid w:val="4EF21275"/>
    <w:rsid w:val="4F2928CC"/>
    <w:rsid w:val="4F40015A"/>
    <w:rsid w:val="4F7C5746"/>
    <w:rsid w:val="4FAD7F86"/>
    <w:rsid w:val="4FFC2571"/>
    <w:rsid w:val="500A6275"/>
    <w:rsid w:val="50131406"/>
    <w:rsid w:val="5060101D"/>
    <w:rsid w:val="50670F83"/>
    <w:rsid w:val="507A2151"/>
    <w:rsid w:val="50CA6BA5"/>
    <w:rsid w:val="50F27372"/>
    <w:rsid w:val="50FF3F7A"/>
    <w:rsid w:val="51491828"/>
    <w:rsid w:val="51893DE3"/>
    <w:rsid w:val="51927098"/>
    <w:rsid w:val="51A34190"/>
    <w:rsid w:val="51AD78FC"/>
    <w:rsid w:val="521B70F0"/>
    <w:rsid w:val="52362D92"/>
    <w:rsid w:val="526625EA"/>
    <w:rsid w:val="5273362A"/>
    <w:rsid w:val="527E4BBE"/>
    <w:rsid w:val="52AD3AAE"/>
    <w:rsid w:val="52C227B4"/>
    <w:rsid w:val="52D324DC"/>
    <w:rsid w:val="52E8266A"/>
    <w:rsid w:val="53464F39"/>
    <w:rsid w:val="534C02A3"/>
    <w:rsid w:val="53537DDB"/>
    <w:rsid w:val="535A50F6"/>
    <w:rsid w:val="537204E3"/>
    <w:rsid w:val="538B155F"/>
    <w:rsid w:val="53C27B7A"/>
    <w:rsid w:val="53C27D26"/>
    <w:rsid w:val="53D96190"/>
    <w:rsid w:val="53FB7DCD"/>
    <w:rsid w:val="547A18DD"/>
    <w:rsid w:val="548545AB"/>
    <w:rsid w:val="54A348C1"/>
    <w:rsid w:val="54AA6AA6"/>
    <w:rsid w:val="54B7130E"/>
    <w:rsid w:val="54E82258"/>
    <w:rsid w:val="555F1CF4"/>
    <w:rsid w:val="558668CE"/>
    <w:rsid w:val="558E650A"/>
    <w:rsid w:val="559A331D"/>
    <w:rsid w:val="559F0C2E"/>
    <w:rsid w:val="55E1257C"/>
    <w:rsid w:val="55E5421C"/>
    <w:rsid w:val="55EB0635"/>
    <w:rsid w:val="561A7EDE"/>
    <w:rsid w:val="56405511"/>
    <w:rsid w:val="5646777B"/>
    <w:rsid w:val="565046FF"/>
    <w:rsid w:val="56642BAC"/>
    <w:rsid w:val="567419F9"/>
    <w:rsid w:val="567B3181"/>
    <w:rsid w:val="56870D1E"/>
    <w:rsid w:val="569A0B43"/>
    <w:rsid w:val="56C72BEB"/>
    <w:rsid w:val="56C914F1"/>
    <w:rsid w:val="56DE3D35"/>
    <w:rsid w:val="57190430"/>
    <w:rsid w:val="57435D4C"/>
    <w:rsid w:val="57E069F8"/>
    <w:rsid w:val="57E21700"/>
    <w:rsid w:val="58164A7E"/>
    <w:rsid w:val="581D1A9C"/>
    <w:rsid w:val="58295827"/>
    <w:rsid w:val="584939D5"/>
    <w:rsid w:val="58747E21"/>
    <w:rsid w:val="587F602D"/>
    <w:rsid w:val="58BA470E"/>
    <w:rsid w:val="58BB2153"/>
    <w:rsid w:val="58FD784A"/>
    <w:rsid w:val="5910719A"/>
    <w:rsid w:val="5953093B"/>
    <w:rsid w:val="596B38AD"/>
    <w:rsid w:val="59B54074"/>
    <w:rsid w:val="59DB2557"/>
    <w:rsid w:val="59FE56BA"/>
    <w:rsid w:val="5A01525E"/>
    <w:rsid w:val="5A151055"/>
    <w:rsid w:val="5A276659"/>
    <w:rsid w:val="5AA275D5"/>
    <w:rsid w:val="5AA64A6A"/>
    <w:rsid w:val="5ABD319F"/>
    <w:rsid w:val="5AC7057E"/>
    <w:rsid w:val="5AD7244A"/>
    <w:rsid w:val="5AF73D03"/>
    <w:rsid w:val="5AFE5C67"/>
    <w:rsid w:val="5B2D2AAC"/>
    <w:rsid w:val="5B765A56"/>
    <w:rsid w:val="5B7B108E"/>
    <w:rsid w:val="5BBA6F25"/>
    <w:rsid w:val="5C1263A8"/>
    <w:rsid w:val="5C287AE8"/>
    <w:rsid w:val="5C496AE4"/>
    <w:rsid w:val="5C4F6534"/>
    <w:rsid w:val="5C512C64"/>
    <w:rsid w:val="5C655CAC"/>
    <w:rsid w:val="5C687008"/>
    <w:rsid w:val="5CA05DED"/>
    <w:rsid w:val="5CC72E23"/>
    <w:rsid w:val="5CFB13F4"/>
    <w:rsid w:val="5D733B40"/>
    <w:rsid w:val="5D867D07"/>
    <w:rsid w:val="5DAD4D15"/>
    <w:rsid w:val="5DB10102"/>
    <w:rsid w:val="5DC84207"/>
    <w:rsid w:val="5DFA2C09"/>
    <w:rsid w:val="5E084853"/>
    <w:rsid w:val="5E0C0561"/>
    <w:rsid w:val="5E6660B4"/>
    <w:rsid w:val="5E724809"/>
    <w:rsid w:val="5EA318BB"/>
    <w:rsid w:val="5EB919BC"/>
    <w:rsid w:val="5F0A17A4"/>
    <w:rsid w:val="5F0E6F9C"/>
    <w:rsid w:val="5F274012"/>
    <w:rsid w:val="5F2A4678"/>
    <w:rsid w:val="5F7E519A"/>
    <w:rsid w:val="5F8121E4"/>
    <w:rsid w:val="5FD57209"/>
    <w:rsid w:val="60600C02"/>
    <w:rsid w:val="60A43ACF"/>
    <w:rsid w:val="60AA2612"/>
    <w:rsid w:val="60B62979"/>
    <w:rsid w:val="613B2A01"/>
    <w:rsid w:val="616D1E38"/>
    <w:rsid w:val="61777217"/>
    <w:rsid w:val="61835763"/>
    <w:rsid w:val="61B71590"/>
    <w:rsid w:val="61C26D81"/>
    <w:rsid w:val="61C462E6"/>
    <w:rsid w:val="622810CD"/>
    <w:rsid w:val="623761B2"/>
    <w:rsid w:val="62AF2663"/>
    <w:rsid w:val="62B5604F"/>
    <w:rsid w:val="62B659FB"/>
    <w:rsid w:val="62CB7138"/>
    <w:rsid w:val="62CC4579"/>
    <w:rsid w:val="62ED34C8"/>
    <w:rsid w:val="62FD4D31"/>
    <w:rsid w:val="63020ADE"/>
    <w:rsid w:val="6359304D"/>
    <w:rsid w:val="63711BE0"/>
    <w:rsid w:val="637C33A0"/>
    <w:rsid w:val="63AE256E"/>
    <w:rsid w:val="63BE6DAE"/>
    <w:rsid w:val="648C6761"/>
    <w:rsid w:val="65016E3E"/>
    <w:rsid w:val="65042827"/>
    <w:rsid w:val="65201226"/>
    <w:rsid w:val="65321952"/>
    <w:rsid w:val="65342BDB"/>
    <w:rsid w:val="654A12AB"/>
    <w:rsid w:val="65560AFB"/>
    <w:rsid w:val="656D26F9"/>
    <w:rsid w:val="657C6043"/>
    <w:rsid w:val="65997B37"/>
    <w:rsid w:val="65D2694D"/>
    <w:rsid w:val="65F50695"/>
    <w:rsid w:val="664F632B"/>
    <w:rsid w:val="6655364F"/>
    <w:rsid w:val="66687950"/>
    <w:rsid w:val="669850BA"/>
    <w:rsid w:val="66C948BD"/>
    <w:rsid w:val="66DF246F"/>
    <w:rsid w:val="66E24212"/>
    <w:rsid w:val="67187246"/>
    <w:rsid w:val="674D418C"/>
    <w:rsid w:val="67614826"/>
    <w:rsid w:val="677B701F"/>
    <w:rsid w:val="677F61E7"/>
    <w:rsid w:val="6783674A"/>
    <w:rsid w:val="678A66BB"/>
    <w:rsid w:val="678F5A2B"/>
    <w:rsid w:val="67B9634F"/>
    <w:rsid w:val="67C139C8"/>
    <w:rsid w:val="681C431E"/>
    <w:rsid w:val="685777AA"/>
    <w:rsid w:val="686728E2"/>
    <w:rsid w:val="686B1C6E"/>
    <w:rsid w:val="68706CE3"/>
    <w:rsid w:val="68A510D1"/>
    <w:rsid w:val="68DF5F31"/>
    <w:rsid w:val="690F5611"/>
    <w:rsid w:val="694C3EE3"/>
    <w:rsid w:val="697C4036"/>
    <w:rsid w:val="69C340AC"/>
    <w:rsid w:val="69CE0395"/>
    <w:rsid w:val="69DB17C3"/>
    <w:rsid w:val="6A36116C"/>
    <w:rsid w:val="6A5128CF"/>
    <w:rsid w:val="6A762012"/>
    <w:rsid w:val="6A7C29AE"/>
    <w:rsid w:val="6AC04991"/>
    <w:rsid w:val="6AC61C14"/>
    <w:rsid w:val="6AD90274"/>
    <w:rsid w:val="6ADC7AC8"/>
    <w:rsid w:val="6B3142F6"/>
    <w:rsid w:val="6B315CAE"/>
    <w:rsid w:val="6BD77619"/>
    <w:rsid w:val="6BFE6E5A"/>
    <w:rsid w:val="6C3259B8"/>
    <w:rsid w:val="6C372A81"/>
    <w:rsid w:val="6C415144"/>
    <w:rsid w:val="6C510960"/>
    <w:rsid w:val="6C904595"/>
    <w:rsid w:val="6CA938E8"/>
    <w:rsid w:val="6CB00B6F"/>
    <w:rsid w:val="6CBA24AC"/>
    <w:rsid w:val="6CC94BDC"/>
    <w:rsid w:val="6CDA1EAA"/>
    <w:rsid w:val="6CEB5CCA"/>
    <w:rsid w:val="6D023DE4"/>
    <w:rsid w:val="6DA94AE7"/>
    <w:rsid w:val="6E066305"/>
    <w:rsid w:val="6E0B1542"/>
    <w:rsid w:val="6E577F32"/>
    <w:rsid w:val="6E61500A"/>
    <w:rsid w:val="6ECD633A"/>
    <w:rsid w:val="6EEF7489"/>
    <w:rsid w:val="6F1A6723"/>
    <w:rsid w:val="6F2C6859"/>
    <w:rsid w:val="6F5A3F64"/>
    <w:rsid w:val="6FB668E8"/>
    <w:rsid w:val="6FDA44D5"/>
    <w:rsid w:val="6FE524FF"/>
    <w:rsid w:val="6FF428B3"/>
    <w:rsid w:val="70073875"/>
    <w:rsid w:val="702856B1"/>
    <w:rsid w:val="70AE46C1"/>
    <w:rsid w:val="70E168DE"/>
    <w:rsid w:val="70FA58F7"/>
    <w:rsid w:val="712A4BD5"/>
    <w:rsid w:val="712A7D9B"/>
    <w:rsid w:val="717A09E9"/>
    <w:rsid w:val="71843537"/>
    <w:rsid w:val="71A80581"/>
    <w:rsid w:val="71C72EBE"/>
    <w:rsid w:val="71DD7374"/>
    <w:rsid w:val="7212550F"/>
    <w:rsid w:val="72BE14FC"/>
    <w:rsid w:val="72C63781"/>
    <w:rsid w:val="72CF1493"/>
    <w:rsid w:val="72F41758"/>
    <w:rsid w:val="73110B04"/>
    <w:rsid w:val="734A7A2B"/>
    <w:rsid w:val="73887D69"/>
    <w:rsid w:val="73AA551E"/>
    <w:rsid w:val="73AB1B3D"/>
    <w:rsid w:val="73AB431C"/>
    <w:rsid w:val="73C05F76"/>
    <w:rsid w:val="73D91851"/>
    <w:rsid w:val="73E307B0"/>
    <w:rsid w:val="74124205"/>
    <w:rsid w:val="742C108C"/>
    <w:rsid w:val="74643813"/>
    <w:rsid w:val="74D70E47"/>
    <w:rsid w:val="755135AD"/>
    <w:rsid w:val="75854798"/>
    <w:rsid w:val="759D377A"/>
    <w:rsid w:val="75A9704E"/>
    <w:rsid w:val="75BE2C6F"/>
    <w:rsid w:val="75DF0AD2"/>
    <w:rsid w:val="75FC517D"/>
    <w:rsid w:val="7621447C"/>
    <w:rsid w:val="76CD5599"/>
    <w:rsid w:val="76D73FBA"/>
    <w:rsid w:val="770E16E1"/>
    <w:rsid w:val="77401000"/>
    <w:rsid w:val="774D4601"/>
    <w:rsid w:val="7752574D"/>
    <w:rsid w:val="775F2B5E"/>
    <w:rsid w:val="7770366D"/>
    <w:rsid w:val="779E2B8C"/>
    <w:rsid w:val="77C85557"/>
    <w:rsid w:val="77DC2A4C"/>
    <w:rsid w:val="783038F0"/>
    <w:rsid w:val="78382468"/>
    <w:rsid w:val="78444B4F"/>
    <w:rsid w:val="78552B70"/>
    <w:rsid w:val="7870010D"/>
    <w:rsid w:val="789C454F"/>
    <w:rsid w:val="78C86322"/>
    <w:rsid w:val="78CA109D"/>
    <w:rsid w:val="78DD1C3C"/>
    <w:rsid w:val="78EF1405"/>
    <w:rsid w:val="78F06BB9"/>
    <w:rsid w:val="790959B1"/>
    <w:rsid w:val="791D21AB"/>
    <w:rsid w:val="7928078B"/>
    <w:rsid w:val="79452150"/>
    <w:rsid w:val="79576862"/>
    <w:rsid w:val="79C600D6"/>
    <w:rsid w:val="79FD50E9"/>
    <w:rsid w:val="7A1029D3"/>
    <w:rsid w:val="7A11075C"/>
    <w:rsid w:val="7A1B55FF"/>
    <w:rsid w:val="7A29090E"/>
    <w:rsid w:val="7A581CEA"/>
    <w:rsid w:val="7AE13708"/>
    <w:rsid w:val="7AFB07B3"/>
    <w:rsid w:val="7B0042D1"/>
    <w:rsid w:val="7B241204"/>
    <w:rsid w:val="7B9E138A"/>
    <w:rsid w:val="7BCD57DD"/>
    <w:rsid w:val="7BF73C9F"/>
    <w:rsid w:val="7C0A77DF"/>
    <w:rsid w:val="7C0F40A6"/>
    <w:rsid w:val="7C4779CC"/>
    <w:rsid w:val="7CA90653"/>
    <w:rsid w:val="7CAC5B85"/>
    <w:rsid w:val="7CB23800"/>
    <w:rsid w:val="7CDB3FFD"/>
    <w:rsid w:val="7CE7479B"/>
    <w:rsid w:val="7D1110AF"/>
    <w:rsid w:val="7D720200"/>
    <w:rsid w:val="7D9207BC"/>
    <w:rsid w:val="7D9E314F"/>
    <w:rsid w:val="7DC07812"/>
    <w:rsid w:val="7DD26954"/>
    <w:rsid w:val="7DDA318A"/>
    <w:rsid w:val="7DE04807"/>
    <w:rsid w:val="7E0E180B"/>
    <w:rsid w:val="7E1A1F3D"/>
    <w:rsid w:val="7E1E01F2"/>
    <w:rsid w:val="7E20282B"/>
    <w:rsid w:val="7E3C68B7"/>
    <w:rsid w:val="7F1F7E4E"/>
    <w:rsid w:val="7F231997"/>
    <w:rsid w:val="7F434F9E"/>
    <w:rsid w:val="7F442187"/>
    <w:rsid w:val="7F5E3871"/>
    <w:rsid w:val="7F9E2807"/>
    <w:rsid w:val="7FA42FE1"/>
    <w:rsid w:val="7FBA656D"/>
    <w:rsid w:val="7FC1747C"/>
    <w:rsid w:val="7FCE1CDD"/>
    <w:rsid w:val="7FCE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777"/>
      </w:tabs>
      <w:spacing w:line="280" w:lineRule="exact"/>
      <w:ind w:leftChars="400" w:left="84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777"/>
      </w:tabs>
      <w:spacing w:line="400" w:lineRule="exact"/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5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无间隔1"/>
    <w:link w:val="Char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1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13">
    <w:name w:val="样式1"/>
    <w:basedOn w:val="10"/>
    <w:qFormat/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z-1">
    <w:name w:val="z-窗体底端1"/>
    <w:basedOn w:val="a"/>
    <w:next w:val="a"/>
    <w:link w:val="z-Char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底端 Char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Char0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顶端 Char"/>
    <w:basedOn w:val="a0"/>
    <w:link w:val="z-10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1.jpeg"/><Relationship Id="rId3" Type="http://schemas.openxmlformats.org/officeDocument/2006/relationships/numbering" Target="numbering.xml"/><Relationship Id="rId21" Type="http://schemas.openxmlformats.org/officeDocument/2006/relationships/image" Target="media/image3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0283C-5512-4F77-BB12-3AAC1764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1317</Words>
  <Characters>7513</Characters>
  <Application>Microsoft Office Word</Application>
  <DocSecurity>0</DocSecurity>
  <Lines>62</Lines>
  <Paragraphs>17</Paragraphs>
  <ScaleCrop>false</ScaleCrop>
  <Company>中化集团（ljian）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yfeifeihello</dc:creator>
  <cp:lastModifiedBy>dell</cp:lastModifiedBy>
  <cp:revision>44</cp:revision>
  <cp:lastPrinted>2018-10-22T08:16:00Z</cp:lastPrinted>
  <dcterms:created xsi:type="dcterms:W3CDTF">2018-04-17T22:40:00Z</dcterms:created>
  <dcterms:modified xsi:type="dcterms:W3CDTF">2019-03-11T06:35:00Z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