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220" w:firstLineChars="61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Theme="majorEastAsia" w:hAnsiTheme="majorEastAsia" w:eastAsiaTheme="majorEastAsia" w:cstheme="majorEastAsia"/>
          <w:b/>
          <w:sz w:val="36"/>
        </w:rPr>
      </w:pPr>
      <w:r>
        <w:rPr>
          <w:rFonts w:ascii="Arial" w:hAnsi="Arial" w:cs="Arial" w:eastAsiaTheme="majorEastAsia"/>
          <w:b/>
          <w:sz w:val="36"/>
        </w:rPr>
        <w:t>2020</w:t>
      </w:r>
      <w:r>
        <w:rPr>
          <w:rFonts w:hint="eastAsia" w:asciiTheme="majorEastAsia" w:hAnsiTheme="majorEastAsia" w:eastAsiaTheme="majorEastAsia" w:cstheme="majorEastAsia"/>
          <w:b/>
          <w:sz w:val="36"/>
        </w:rPr>
        <w:t>年中诚信托恒康</w:t>
      </w:r>
      <w:r>
        <w:rPr>
          <w:rFonts w:ascii="Arial" w:hAnsi="Arial" w:cs="Arial" w:eastAsiaTheme="majorEastAsia"/>
          <w:b/>
          <w:sz w:val="36"/>
        </w:rPr>
        <w:t>1</w:t>
      </w:r>
      <w:r>
        <w:rPr>
          <w:rFonts w:hint="eastAsia" w:asciiTheme="majorEastAsia" w:hAnsiTheme="majorEastAsia" w:eastAsiaTheme="majorEastAsia" w:cstheme="majorEastAsia"/>
          <w:b/>
          <w:sz w:val="36"/>
        </w:rPr>
        <w:t>号集合资金信托计划</w:t>
      </w:r>
    </w:p>
    <w:p>
      <w:pPr>
        <w:spacing w:line="480" w:lineRule="auto"/>
        <w:jc w:val="center"/>
        <w:rPr>
          <w:rFonts w:asciiTheme="majorEastAsia" w:hAnsiTheme="majorEastAsia" w:eastAsiaTheme="majorEastAsia" w:cstheme="majorEastAsia"/>
          <w:b/>
          <w:sz w:val="36"/>
        </w:rPr>
      </w:pPr>
      <w:r>
        <w:rPr>
          <w:rFonts w:ascii="Arial" w:hAnsi="Arial" w:cs="Arial" w:eastAsiaTheme="majorEastAsia"/>
          <w:b/>
          <w:sz w:val="36"/>
        </w:rPr>
        <w:t>2020</w:t>
      </w:r>
      <w:r>
        <w:rPr>
          <w:rFonts w:hint="eastAsia" w:asciiTheme="majorEastAsia" w:hAnsiTheme="majorEastAsia" w:eastAsiaTheme="majorEastAsia" w:cstheme="majorEastAsia"/>
          <w:b/>
          <w:sz w:val="36"/>
        </w:rPr>
        <w:t>年</w:t>
      </w:r>
      <w:r>
        <w:rPr>
          <w:rFonts w:hint="eastAsia" w:ascii="Arial" w:hAnsi="Arial" w:cs="Arial" w:eastAsiaTheme="majorEastAsia"/>
          <w:b/>
          <w:sz w:val="36"/>
        </w:rPr>
        <w:t>7</w:t>
      </w:r>
      <w:r>
        <w:rPr>
          <w:rFonts w:hint="eastAsia" w:asciiTheme="majorEastAsia" w:hAnsiTheme="majorEastAsia" w:eastAsiaTheme="majorEastAsia" w:cstheme="majorEastAsia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  <w:r>
        <w:rPr>
          <w:rFonts w:hint="eastAsia" w:ascii="Arial" w:hAnsi="Arial"/>
          <w:b/>
          <w:color w:val="000000"/>
          <w:sz w:val="24"/>
        </w:rPr>
        <w:t xml:space="preserve"> </w:t>
      </w: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Theme="minorEastAsia" w:hAnsiTheme="minorEastAsia" w:eastAsiaTheme="minorEastAsia" w:cstheme="minorEastAsia"/>
          <w:b/>
          <w:color w:val="000000"/>
          <w:szCs w:val="21"/>
        </w:rPr>
      </w:pPr>
    </w:p>
    <w:p>
      <w:pPr>
        <w:spacing w:line="480" w:lineRule="auto"/>
        <w:jc w:val="left"/>
        <w:rPr>
          <w:rFonts w:asciiTheme="minorEastAsia" w:hAnsiTheme="minorEastAsia" w:eastAsiaTheme="minorEastAsia" w:cstheme="minorEastAsia"/>
          <w:b/>
          <w:color w:val="00000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Cs w:val="21"/>
        </w:rPr>
        <w:t>项目名称：中诚信托-重庆北碚项目</w:t>
      </w:r>
    </w:p>
    <w:p>
      <w:pPr>
        <w:spacing w:line="480" w:lineRule="auto"/>
        <w:jc w:val="left"/>
        <w:rPr>
          <w:rFonts w:asciiTheme="minorEastAsia" w:hAnsiTheme="minorEastAsia" w:eastAsiaTheme="minorEastAsia" w:cstheme="minorEastAsia"/>
          <w:b/>
          <w:color w:val="00000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Cs w:val="21"/>
        </w:rPr>
        <w:t>委 托 方：中诚信托有限责任公司</w:t>
      </w:r>
    </w:p>
    <w:p>
      <w:pPr>
        <w:spacing w:line="480" w:lineRule="auto"/>
        <w:jc w:val="left"/>
        <w:rPr>
          <w:rFonts w:asciiTheme="minorEastAsia" w:hAnsiTheme="minorEastAsia" w:eastAsiaTheme="minorEastAsia" w:cstheme="minorEastAsia"/>
          <w:b/>
          <w:color w:val="00000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Cs w:val="21"/>
        </w:rPr>
        <w:t>受 托 方：北京康信君安资产管理有限公司</w:t>
      </w:r>
    </w:p>
    <w:p>
      <w:pPr>
        <w:spacing w:line="480" w:lineRule="auto"/>
        <w:jc w:val="left"/>
        <w:rPr>
          <w:rFonts w:asciiTheme="minorEastAsia" w:hAnsiTheme="minorEastAsia" w:eastAsiaTheme="minorEastAsia" w:cstheme="minorEastAsia"/>
          <w:b/>
          <w:color w:val="00000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Cs w:val="21"/>
        </w:rPr>
        <w:t>监管人员：何艳秋</w:t>
      </w:r>
    </w:p>
    <w:p>
      <w:pPr>
        <w:spacing w:line="480" w:lineRule="auto"/>
        <w:jc w:val="left"/>
        <w:rPr>
          <w:rFonts w:asciiTheme="minorEastAsia" w:hAnsiTheme="minorEastAsia" w:eastAsiaTheme="minorEastAsia" w:cstheme="minorEastAsia"/>
          <w:b/>
          <w:color w:val="000000"/>
          <w:szCs w:val="21"/>
        </w:rPr>
        <w:sectPr>
          <w:headerReference r:id="rId3" w:type="default"/>
          <w:pgSz w:w="11906" w:h="16838"/>
          <w:pgMar w:top="1843" w:right="1134" w:bottom="1134" w:left="1134" w:header="851" w:footer="992" w:gutter="340"/>
          <w:pgNumType w:start="1"/>
          <w:cols w:space="0" w:num="1"/>
          <w:docGrid w:type="lines" w:linePitch="315" w:charSpace="0"/>
        </w:sectPr>
      </w:pPr>
      <w:r>
        <w:rPr>
          <w:rFonts w:hint="eastAsia" w:asciiTheme="minorEastAsia" w:hAnsiTheme="minorEastAsia" w:eastAsiaTheme="minorEastAsia" w:cstheme="minorEastAsia"/>
          <w:b/>
          <w:color w:val="000000"/>
          <w:szCs w:val="21"/>
        </w:rPr>
        <w:t>日期：二〇二〇年八月六日</w:t>
      </w:r>
    </w:p>
    <w:sdt>
      <w:sdtPr>
        <w:rPr>
          <w:rFonts w:ascii="宋体" w:hAnsi="宋体"/>
        </w:rPr>
        <w:id w:val="147455247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b/>
          <w:bCs/>
          <w:kern w:val="44"/>
          <w:sz w:val="24"/>
        </w:rPr>
      </w:sdtEndPr>
      <w:sdtContent>
        <w:p>
          <w:pPr>
            <w:spacing w:line="360" w:lineRule="auto"/>
            <w:jc w:val="center"/>
          </w:pPr>
          <w:r>
            <w:rPr>
              <w:rFonts w:ascii="宋体" w:hAnsi="宋体"/>
              <w:b/>
              <w:bCs/>
              <w:sz w:val="28"/>
              <w:szCs w:val="36"/>
            </w:rPr>
            <w:t>目录</w:t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 w:val="28"/>
              <w:szCs w:val="28"/>
            </w:rPr>
            <w:instrText xml:space="preserve">TOC \o "1-2" \h \u </w:instrText>
          </w:r>
          <w:r>
            <w:rPr>
              <w:rFonts w:hint="eastAsia" w:ascii="宋体" w:hAnsi="宋体" w:cs="宋体"/>
              <w:bCs/>
              <w:kern w:val="44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_Toc14859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ascii="Arial" w:hAnsi="Arial" w:cs="Arial" w:eastAsiaTheme="majorEastAsia"/>
            </w:rPr>
            <w:t>1</w:t>
          </w:r>
          <w:r>
            <w:rPr>
              <w:rFonts w:hint="eastAsia" w:ascii="Arial" w:hAnsi="Arial" w:cs="Arial" w:eastAsiaTheme="majorEastAsia"/>
            </w:rPr>
            <w:t>、</w:t>
          </w:r>
          <w:r>
            <w:rPr>
              <w:rFonts w:hint="eastAsia" w:asciiTheme="majorEastAsia" w:hAnsiTheme="majorEastAsia" w:eastAsiaTheme="majorEastAsia" w:cstheme="majorEastAsia"/>
            </w:rPr>
            <w:t>项目基本情况</w:t>
          </w:r>
          <w:r>
            <w:tab/>
          </w:r>
          <w:r>
            <w:fldChar w:fldCharType="begin"/>
          </w:r>
          <w:r>
            <w:instrText xml:space="preserve"> PAGEREF _Toc14859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_Toc873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ascii="Arial" w:hAnsi="Arial" w:cs="Arial" w:eastAsiaTheme="majorEastAsia"/>
              <w:szCs w:val="22"/>
            </w:rPr>
            <w:t>2</w:t>
          </w:r>
          <w:r>
            <w:rPr>
              <w:rFonts w:hint="eastAsia" w:ascii="Arial" w:hAnsi="Arial" w:cs="Arial" w:eastAsiaTheme="majorEastAsia"/>
              <w:szCs w:val="22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Cs w:val="22"/>
            </w:rPr>
            <w:t>重大事件披露</w:t>
          </w:r>
          <w:r>
            <w:tab/>
          </w:r>
          <w:r>
            <w:fldChar w:fldCharType="begin"/>
          </w:r>
          <w:r>
            <w:instrText xml:space="preserve"> PAGEREF _Toc873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_Toc31570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ascii="Arial" w:hAnsi="Arial" w:cs="Arial" w:eastAsiaTheme="majorEastAsia"/>
              <w:szCs w:val="22"/>
            </w:rPr>
            <w:t>3</w:t>
          </w:r>
          <w:r>
            <w:rPr>
              <w:rFonts w:hint="eastAsia" w:ascii="Arial" w:hAnsi="Arial" w:cs="Arial" w:eastAsiaTheme="majorEastAsia"/>
              <w:szCs w:val="22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Cs w:val="22"/>
            </w:rPr>
            <w:t>项目五证办理及施工进度情况</w:t>
          </w:r>
          <w:r>
            <w:tab/>
          </w:r>
          <w:r>
            <w:fldChar w:fldCharType="begin"/>
          </w:r>
          <w:r>
            <w:instrText xml:space="preserve"> PAGEREF _Toc31570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_Toc5434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cs="Arial" w:eastAsiaTheme="majorEastAsia"/>
              <w:szCs w:val="24"/>
            </w:rPr>
            <w:t>3.1</w:t>
          </w:r>
          <w:r>
            <w:rPr>
              <w:rFonts w:hint="eastAsia" w:cs="Arial" w:eastAsiaTheme="majorEastAsia"/>
              <w:szCs w:val="24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t>项目五证办理情况</w:t>
          </w:r>
          <w:r>
            <w:tab/>
          </w:r>
          <w:r>
            <w:fldChar w:fldCharType="begin"/>
          </w:r>
          <w:r>
            <w:instrText xml:space="preserve"> PAGEREF _Toc5434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_Toc2436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cs="Arial" w:eastAsiaTheme="majorEastAsia"/>
              <w:szCs w:val="24"/>
            </w:rPr>
            <w:t>3.2</w:t>
          </w:r>
          <w:r>
            <w:rPr>
              <w:rFonts w:hint="eastAsia" w:cs="Arial" w:eastAsiaTheme="majorEastAsia"/>
              <w:szCs w:val="24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t>项目进度情况</w:t>
          </w:r>
          <w:r>
            <w:tab/>
          </w:r>
          <w:r>
            <w:fldChar w:fldCharType="begin"/>
          </w:r>
          <w:r>
            <w:instrText xml:space="preserve"> PAGEREF _Toc2436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_Toc20946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cs="Arial" w:eastAsiaTheme="majorEastAsia"/>
              <w:szCs w:val="24"/>
            </w:rPr>
            <w:t>3.3</w:t>
          </w:r>
          <w:r>
            <w:rPr>
              <w:rFonts w:hint="eastAsia" w:cs="Arial" w:eastAsiaTheme="majorEastAsia"/>
              <w:szCs w:val="24"/>
            </w:rPr>
            <w:t>、</w:t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t>项目现场施工照片</w:t>
          </w:r>
          <w:r>
            <w:tab/>
          </w:r>
          <w:r>
            <w:fldChar w:fldCharType="begin"/>
          </w:r>
          <w:r>
            <w:instrText xml:space="preserve"> PAGEREF _Toc20946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_Toc2002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cs="Arial" w:eastAsiaTheme="majorEastAsia"/>
              <w:szCs w:val="24"/>
            </w:rPr>
            <w:t>3.4、</w:t>
          </w:r>
          <w:r>
            <w:rPr>
              <w:rFonts w:hint="eastAsia" w:cs="Arial" w:eastAsiaTheme="majorEastAsia"/>
              <w:szCs w:val="24"/>
            </w:rPr>
            <w:t>8</w:t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t>月工程施工进度计划</w:t>
          </w:r>
          <w:r>
            <w:tab/>
          </w:r>
          <w:r>
            <w:fldChar w:fldCharType="begin"/>
          </w:r>
          <w:r>
            <w:instrText xml:space="preserve"> PAGEREF _Toc2002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_Toc32199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ascii="Arial" w:hAnsi="Arial" w:cs="Arial" w:eastAsiaTheme="majorEastAsia"/>
            </w:rPr>
            <w:t>4</w:t>
          </w:r>
          <w:r>
            <w:rPr>
              <w:rFonts w:hint="eastAsia" w:ascii="Arial" w:hAnsi="Arial" w:cs="Arial" w:eastAsiaTheme="majorEastAsia"/>
            </w:rPr>
            <w:t>、</w:t>
          </w:r>
          <w:r>
            <w:rPr>
              <w:rFonts w:hint="eastAsia" w:asciiTheme="majorEastAsia" w:hAnsiTheme="majorEastAsia" w:eastAsiaTheme="majorEastAsia" w:cstheme="majorEastAsia"/>
            </w:rPr>
            <w:t>印鉴使用情况</w:t>
          </w:r>
          <w:r>
            <w:tab/>
          </w:r>
          <w:r>
            <w:fldChar w:fldCharType="begin"/>
          </w:r>
          <w:r>
            <w:instrText xml:space="preserve"> PAGEREF _Toc32199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_Toc17917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ascii="Arial" w:hAnsi="Arial" w:cs="Arial" w:eastAsiaTheme="majorEastAsia"/>
            </w:rPr>
            <w:t>5</w:t>
          </w:r>
          <w:r>
            <w:rPr>
              <w:rFonts w:hint="eastAsia" w:ascii="Arial" w:hAnsi="Arial" w:cs="Arial" w:eastAsiaTheme="majorEastAsia"/>
            </w:rPr>
            <w:t>、</w:t>
          </w:r>
          <w:r>
            <w:rPr>
              <w:rFonts w:hint="eastAsia" w:asciiTheme="majorEastAsia" w:hAnsiTheme="majorEastAsia" w:eastAsiaTheme="majorEastAsia" w:cstheme="majorEastAsia"/>
            </w:rPr>
            <w:t>合同签订情况</w:t>
          </w:r>
          <w:r>
            <w:tab/>
          </w:r>
          <w:r>
            <w:fldChar w:fldCharType="begin"/>
          </w:r>
          <w:r>
            <w:instrText xml:space="preserve"> PAGEREF _Toc17917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_Toc22861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ascii="Arial" w:hAnsi="Arial" w:cs="Arial" w:eastAsiaTheme="majorEastAsia"/>
            </w:rPr>
            <w:t>6</w:t>
          </w:r>
          <w:r>
            <w:rPr>
              <w:rFonts w:hint="eastAsia" w:ascii="Arial" w:hAnsi="Arial" w:cs="Arial" w:eastAsiaTheme="majorEastAsia"/>
            </w:rPr>
            <w:t>、</w:t>
          </w:r>
          <w:r>
            <w:rPr>
              <w:rFonts w:hint="eastAsia" w:asciiTheme="majorEastAsia" w:hAnsiTheme="majorEastAsia" w:eastAsiaTheme="majorEastAsia" w:cstheme="majorEastAsia"/>
            </w:rPr>
            <w:t>项目销售情况</w:t>
          </w:r>
          <w:r>
            <w:tab/>
          </w:r>
          <w:r>
            <w:fldChar w:fldCharType="begin"/>
          </w:r>
          <w:r>
            <w:instrText xml:space="preserve"> PAGEREF _Toc22861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_Toc23799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ascii="Arial" w:hAnsi="Arial" w:cs="Arial" w:eastAsiaTheme="majorEastAsia"/>
            </w:rPr>
            <w:t>7</w:t>
          </w:r>
          <w:r>
            <w:rPr>
              <w:rFonts w:hint="eastAsia" w:ascii="Arial" w:hAnsi="Arial" w:cs="Arial" w:eastAsiaTheme="majorEastAsia"/>
            </w:rPr>
            <w:t>、</w:t>
          </w:r>
          <w:r>
            <w:rPr>
              <w:rFonts w:hint="eastAsia" w:asciiTheme="majorEastAsia" w:hAnsiTheme="majorEastAsia" w:eastAsiaTheme="majorEastAsia" w:cstheme="majorEastAsia"/>
            </w:rPr>
            <w:t>资金情况</w:t>
          </w:r>
          <w:r>
            <w:tab/>
          </w:r>
          <w:r>
            <w:fldChar w:fldCharType="begin"/>
          </w:r>
          <w:r>
            <w:instrText xml:space="preserve"> PAGEREF _Toc23799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_Toc21720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cs="Arial" w:eastAsiaTheme="majorEastAsia"/>
            </w:rPr>
            <w:t>7.1</w:t>
          </w:r>
          <w:r>
            <w:rPr>
              <w:rFonts w:hint="eastAsia" w:cs="Arial" w:eastAsiaTheme="majorEastAsia"/>
            </w:rPr>
            <w:t>、</w:t>
          </w:r>
          <w:r>
            <w:rPr>
              <w:rFonts w:hint="eastAsia" w:asciiTheme="majorEastAsia" w:hAnsiTheme="majorEastAsia" w:eastAsiaTheme="majorEastAsia" w:cstheme="majorEastAsia"/>
            </w:rPr>
            <w:t>资金流出情况</w:t>
          </w:r>
          <w:r>
            <w:tab/>
          </w:r>
          <w:r>
            <w:fldChar w:fldCharType="begin"/>
          </w:r>
          <w:r>
            <w:instrText xml:space="preserve"> PAGEREF _Toc21720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_Toc29065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eastAsia="宋体" w:cs="Arial"/>
              <w:szCs w:val="24"/>
            </w:rPr>
            <w:t>7.2</w:t>
          </w:r>
          <w:r>
            <w:rPr>
              <w:rFonts w:hint="eastAsia" w:eastAsia="宋体" w:cs="Arial"/>
              <w:szCs w:val="24"/>
            </w:rPr>
            <w:t>、</w:t>
          </w:r>
          <w:r>
            <w:rPr>
              <w:rFonts w:hint="eastAsia" w:ascii="宋体" w:hAnsi="宋体" w:eastAsia="宋体" w:cs="宋体"/>
              <w:szCs w:val="24"/>
            </w:rPr>
            <w:t>资金流入情况</w:t>
          </w:r>
          <w:r>
            <w:tab/>
          </w:r>
          <w:r>
            <w:fldChar w:fldCharType="begin"/>
          </w:r>
          <w:r>
            <w:instrText xml:space="preserve"> PAGEREF _Toc29065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_Toc10152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cs="Arial"/>
              <w:szCs w:val="24"/>
            </w:rPr>
            <w:t>7.3、</w:t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t>资金结算</w:t>
          </w:r>
          <w:r>
            <w:tab/>
          </w:r>
          <w:r>
            <w:fldChar w:fldCharType="begin"/>
          </w:r>
          <w:r>
            <w:instrText xml:space="preserve"> PAGEREF _Toc10152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_Toc21797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cs="Arial"/>
              <w:szCs w:val="24"/>
            </w:rPr>
            <w:t>7.4、</w:t>
          </w:r>
          <w:r>
            <w:rPr>
              <w:rFonts w:hint="eastAsia" w:asciiTheme="majorEastAsia" w:hAnsiTheme="majorEastAsia" w:eastAsiaTheme="majorEastAsia" w:cstheme="majorEastAsia"/>
              <w:szCs w:val="24"/>
            </w:rPr>
            <w:t>负债情况</w:t>
          </w:r>
          <w:r>
            <w:tab/>
          </w:r>
          <w:r>
            <w:fldChar w:fldCharType="begin"/>
          </w:r>
          <w:r>
            <w:instrText xml:space="preserve"> PAGEREF _Toc21797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_Toc16338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ascii="Arial" w:hAnsi="Arial" w:cs="Arial" w:eastAsiaTheme="majorEastAsia"/>
            </w:rPr>
            <w:t>8</w:t>
          </w:r>
          <w:r>
            <w:rPr>
              <w:rFonts w:hint="eastAsia" w:ascii="Arial" w:hAnsi="Arial" w:cs="Arial" w:eastAsiaTheme="majorEastAsia"/>
            </w:rPr>
            <w:t>、</w:t>
          </w:r>
          <w:r>
            <w:rPr>
              <w:rFonts w:hint="eastAsia" w:asciiTheme="majorEastAsia" w:hAnsiTheme="majorEastAsia" w:eastAsiaTheme="majorEastAsia" w:cstheme="majorEastAsia"/>
            </w:rPr>
            <w:t>月度监管总结及建议</w:t>
          </w:r>
          <w:r>
            <w:tab/>
          </w:r>
          <w:r>
            <w:fldChar w:fldCharType="begin"/>
          </w:r>
          <w:r>
            <w:instrText xml:space="preserve"> PAGEREF _Toc16338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begin"/>
          </w:r>
          <w:r>
            <w:rPr>
              <w:rFonts w:hint="eastAsia" w:ascii="宋体" w:hAnsi="宋体" w:cs="宋体"/>
              <w:bCs/>
              <w:kern w:val="44"/>
              <w:szCs w:val="28"/>
            </w:rPr>
            <w:instrText xml:space="preserve"> HYPERLINK \l _Toc15949 </w:instrText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separate"/>
          </w:r>
          <w:r>
            <w:rPr>
              <w:rFonts w:hint="eastAsia" w:eastAsia="宋体"/>
            </w:rPr>
            <w:t>附件</w:t>
          </w:r>
          <w:r>
            <w:tab/>
          </w:r>
          <w:r>
            <w:fldChar w:fldCharType="begin"/>
          </w:r>
          <w:r>
            <w:instrText xml:space="preserve"> PAGEREF _Toc15949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  <w:p>
          <w:pPr>
            <w:spacing w:line="360" w:lineRule="auto"/>
            <w:rPr>
              <w:rFonts w:asciiTheme="minorEastAsia" w:hAnsiTheme="minorEastAsia" w:eastAsiaTheme="minorEastAsia" w:cstheme="minorEastAsia"/>
              <w:bCs/>
              <w:kern w:val="44"/>
              <w:sz w:val="24"/>
            </w:rPr>
          </w:pPr>
          <w:r>
            <w:rPr>
              <w:rFonts w:hint="eastAsia" w:ascii="宋体" w:hAnsi="宋体" w:cs="宋体"/>
              <w:bCs/>
              <w:kern w:val="44"/>
              <w:szCs w:val="28"/>
            </w:rPr>
            <w:fldChar w:fldCharType="end"/>
          </w:r>
        </w:p>
      </w:sdtContent>
    </w:sdt>
    <w:p>
      <w:pPr>
        <w:spacing w:line="480" w:lineRule="auto"/>
        <w:ind w:left="-199" w:leftChars="-95" w:firstLine="480" w:firstLineChars="200"/>
        <w:rPr>
          <w:rFonts w:asciiTheme="minorEastAsia" w:hAnsiTheme="minorEastAsia" w:eastAsiaTheme="minorEastAsia" w:cstheme="minorEastAsia"/>
          <w:bCs/>
          <w:kern w:val="44"/>
          <w:sz w:val="24"/>
        </w:rPr>
        <w:sectPr>
          <w:footerReference r:id="rId4" w:type="default"/>
          <w:pgSz w:w="11906" w:h="16838"/>
          <w:pgMar w:top="1843" w:right="1134" w:bottom="1134" w:left="1134" w:header="851" w:footer="992" w:gutter="340"/>
          <w:pgNumType w:start="1"/>
          <w:cols w:space="0" w:num="1"/>
          <w:docGrid w:type="lines" w:linePitch="315" w:charSpace="0"/>
        </w:sect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·项目公司：重庆市恒隆健康产业有限公司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·中诚信托：中诚信托有限责任公司</w:t>
      </w:r>
    </w:p>
    <w:p>
      <w:pPr>
        <w:spacing w:line="480" w:lineRule="auto"/>
        <w:ind w:firstLine="420" w:firstLineChars="200"/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spacing w:before="300" w:after="300" w:line="360" w:lineRule="exact"/>
        <w:jc w:val="left"/>
        <w:outlineLvl w:val="0"/>
        <w:rPr>
          <w:rStyle w:val="24"/>
          <w:rFonts w:asciiTheme="majorEastAsia" w:hAnsiTheme="majorEastAsia" w:eastAsiaTheme="majorEastAsia" w:cstheme="majorEastAsia"/>
          <w:sz w:val="24"/>
        </w:rPr>
      </w:pPr>
      <w:bookmarkStart w:id="0" w:name="_Toc12630"/>
      <w:bookmarkStart w:id="1" w:name="_Toc15481"/>
      <w:bookmarkStart w:id="2" w:name="_Toc14859"/>
      <w:bookmarkStart w:id="3" w:name="_Toc10778"/>
      <w:bookmarkStart w:id="4" w:name="_Toc3311"/>
      <w:bookmarkStart w:id="5" w:name="_Toc17789"/>
      <w:r>
        <w:rPr>
          <w:rStyle w:val="24"/>
          <w:rFonts w:ascii="Arial" w:hAnsi="Arial" w:cs="Arial" w:eastAsiaTheme="majorEastAsia"/>
          <w:sz w:val="24"/>
        </w:rPr>
        <w:t>1</w:t>
      </w:r>
      <w:r>
        <w:rPr>
          <w:rStyle w:val="24"/>
          <w:rFonts w:hint="eastAsia" w:ascii="Arial" w:hAnsi="Arial" w:cs="Arial" w:eastAsiaTheme="majorEastAsia"/>
          <w:sz w:val="24"/>
        </w:rPr>
        <w:t>、</w:t>
      </w:r>
      <w:r>
        <w:rPr>
          <w:rStyle w:val="24"/>
          <w:rFonts w:hint="eastAsia" w:asciiTheme="majorEastAsia" w:hAnsiTheme="majorEastAsia" w:eastAsiaTheme="majorEastAsia" w:cstheme="majorEastAsia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</w:p>
    <w:p>
      <w:pPr>
        <w:spacing w:line="480" w:lineRule="auto"/>
        <w:ind w:firstLine="420" w:firstLineChars="200"/>
        <w:rPr>
          <w:rFonts w:asciiTheme="minorEastAsia" w:hAnsiTheme="minorEastAsia" w:eastAsiaTheme="minorEastAsia" w:cstheme="minorEastAsia"/>
          <w:bCs/>
          <w:kern w:val="44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标的项目为项目公司建设的恒大健康集团重庆北碚养生谷项目，位于重庆市北碚区，四至: 东至温泉大道东段、南至璧北河、西至规划道路、北至规划道路。标的项目总占地面积</w:t>
      </w:r>
      <w:r>
        <w:rPr>
          <w:rFonts w:ascii="Arial" w:hAnsi="Arial" w:cs="Arial" w:eastAsiaTheme="minorEastAsia"/>
          <w:bCs/>
          <w:kern w:val="44"/>
          <w:szCs w:val="21"/>
        </w:rPr>
        <w:t>474051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平方米，</w:t>
      </w:r>
      <w:r>
        <w:rPr>
          <w:rFonts w:ascii="Arial" w:hAnsi="Arial" w:cs="Arial" w:eastAsiaTheme="minorEastAsia"/>
          <w:bCs/>
          <w:kern w:val="44"/>
          <w:szCs w:val="21"/>
        </w:rPr>
        <w:t>711.07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亩，规划建筑面积</w:t>
      </w:r>
      <w:r>
        <w:rPr>
          <w:rFonts w:ascii="Arial" w:hAnsi="Arial" w:cs="Arial" w:eastAsiaTheme="minorEastAsia"/>
          <w:bCs/>
          <w:kern w:val="44"/>
          <w:szCs w:val="21"/>
        </w:rPr>
        <w:t>593058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平方米，建设内容主要为高层住宅、洋房等，可售住宅</w:t>
      </w:r>
      <w:r>
        <w:rPr>
          <w:rFonts w:ascii="Arial" w:hAnsi="Arial" w:cs="Arial" w:eastAsiaTheme="minorEastAsia"/>
          <w:bCs/>
          <w:kern w:val="44"/>
          <w:szCs w:val="21"/>
        </w:rPr>
        <w:t>345114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平方米，可售车位</w:t>
      </w:r>
      <w:r>
        <w:rPr>
          <w:rFonts w:ascii="Arial" w:hAnsi="Arial" w:cs="Arial" w:eastAsiaTheme="minorEastAsia"/>
          <w:bCs/>
          <w:kern w:val="44"/>
          <w:szCs w:val="21"/>
        </w:rPr>
        <w:t>4351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个。</w:t>
      </w:r>
      <w:bookmarkStart w:id="6" w:name="_Toc28560"/>
    </w:p>
    <w:p>
      <w:pPr>
        <w:spacing w:line="48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899150" cy="4074795"/>
            <wp:effectExtent l="0" t="0" r="13970" b="9525"/>
            <wp:docPr id="6" name="图片 6" descr="项目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项目效果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3795" w:firstLineChars="180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项目效果图</w:t>
      </w:r>
    </w:p>
    <w:p>
      <w:pPr>
        <w:spacing w:line="480" w:lineRule="auto"/>
        <w:ind w:firstLine="3795" w:firstLineChars="1800"/>
        <w:rPr>
          <w:b/>
          <w:bCs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项目主要户型为</w:t>
      </w:r>
      <w:r>
        <w:rPr>
          <w:rFonts w:ascii="Arial" w:hAnsi="Arial" w:cs="Arial" w:eastAsiaTheme="minorEastAsia"/>
          <w:bCs/>
          <w:kern w:val="44"/>
          <w:szCs w:val="21"/>
        </w:rPr>
        <w:t>70-170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平米区间的户型，主要为两室一卫、三室一卫、三室两卫、四房两卫、四房三卫的户型结构。具体分布如下：</w:t>
      </w:r>
    </w:p>
    <w:tbl>
      <w:tblPr>
        <w:tblStyle w:val="12"/>
        <w:tblpPr w:leftFromText="180" w:rightFromText="180" w:vertAnchor="text" w:horzAnchor="page" w:tblpX="1589" w:tblpY="76"/>
        <w:tblOverlap w:val="never"/>
        <w:tblW w:w="928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1687"/>
        <w:gridCol w:w="2210"/>
        <w:gridCol w:w="40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928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361" w:firstLineChars="20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kern w:val="0"/>
                <w:sz w:val="18"/>
                <w:szCs w:val="18"/>
              </w:rPr>
              <w:t>住宅户型分布表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房型</w:t>
            </w:r>
          </w:p>
        </w:tc>
        <w:tc>
          <w:tcPr>
            <w:tcW w:w="16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面积区间(㎡)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套数（套）</w:t>
            </w:r>
          </w:p>
        </w:tc>
        <w:tc>
          <w:tcPr>
            <w:tcW w:w="405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套数比例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二室一卫</w:t>
            </w:r>
          </w:p>
        </w:tc>
        <w:tc>
          <w:tcPr>
            <w:tcW w:w="16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70-90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待定</w:t>
            </w:r>
          </w:p>
        </w:tc>
        <w:tc>
          <w:tcPr>
            <w:tcW w:w="405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三室一卫</w:t>
            </w:r>
          </w:p>
        </w:tc>
        <w:tc>
          <w:tcPr>
            <w:tcW w:w="16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90-110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待定</w:t>
            </w:r>
          </w:p>
        </w:tc>
        <w:tc>
          <w:tcPr>
            <w:tcW w:w="405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三房二卫</w:t>
            </w:r>
          </w:p>
        </w:tc>
        <w:tc>
          <w:tcPr>
            <w:tcW w:w="16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110-130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待定</w:t>
            </w:r>
          </w:p>
        </w:tc>
        <w:tc>
          <w:tcPr>
            <w:tcW w:w="405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四房两卫</w:t>
            </w:r>
          </w:p>
        </w:tc>
        <w:tc>
          <w:tcPr>
            <w:tcW w:w="16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130-140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待定</w:t>
            </w:r>
          </w:p>
        </w:tc>
        <w:tc>
          <w:tcPr>
            <w:tcW w:w="405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四房三卫</w:t>
            </w:r>
          </w:p>
        </w:tc>
        <w:tc>
          <w:tcPr>
            <w:tcW w:w="16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150-170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待定</w:t>
            </w:r>
          </w:p>
        </w:tc>
        <w:tc>
          <w:tcPr>
            <w:tcW w:w="405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合计</w:t>
            </w:r>
          </w:p>
        </w:tc>
        <w:tc>
          <w:tcPr>
            <w:tcW w:w="1687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360" w:firstLineChars="20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360" w:firstLineChars="20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100%</w:t>
            </w:r>
          </w:p>
        </w:tc>
      </w:tr>
    </w:tbl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Theme="minorEastAsia" w:hAnsiTheme="minorEastAsia" w:eastAsiaTheme="minorEastAsia" w:cstheme="minorEastAsia"/>
          <w:bCs/>
          <w:kern w:val="44"/>
          <w:szCs w:val="21"/>
          <w:lang w:val="zh-CN"/>
        </w:rPr>
      </w:pP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本项目分三期开发，建设期</w:t>
      </w:r>
      <w:r>
        <w:rPr>
          <w:rFonts w:ascii="Arial" w:hAnsi="Arial" w:cs="Arial" w:eastAsiaTheme="minorEastAsia"/>
          <w:bCs/>
          <w:kern w:val="44"/>
          <w:szCs w:val="21"/>
        </w:rPr>
        <w:t>36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个月，销售期</w:t>
      </w:r>
      <w:r>
        <w:rPr>
          <w:rFonts w:ascii="Arial" w:hAnsi="Arial" w:cs="Arial" w:eastAsiaTheme="minorEastAsia"/>
          <w:bCs/>
          <w:kern w:val="44"/>
          <w:szCs w:val="21"/>
        </w:rPr>
        <w:t>24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个月，项目计算期按</w:t>
      </w:r>
      <w:r>
        <w:rPr>
          <w:rFonts w:ascii="Arial" w:hAnsi="Arial" w:cs="Arial" w:eastAsiaTheme="minorEastAsia"/>
          <w:bCs/>
          <w:kern w:val="44"/>
          <w:szCs w:val="21"/>
        </w:rPr>
        <w:t>36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个月计算。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  <w:lang w:val="zh-CN"/>
        </w:rPr>
        <w:t>据市场分析，按市场吸纳能力及公司开发能力、资金筹措的可能性，本项目工程开发建设进度计划安排如下表：</w:t>
      </w:r>
    </w:p>
    <w:tbl>
      <w:tblPr>
        <w:tblStyle w:val="13"/>
        <w:tblW w:w="93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2"/>
        <w:gridCol w:w="3231"/>
        <w:gridCol w:w="3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2372" w:type="dxa"/>
          </w:tcPr>
          <w:p>
            <w:pPr>
              <w:jc w:val="center"/>
              <w:rPr>
                <w:rFonts w:ascii="宋体" w:hAnsi="宋体" w:cs="宋体"/>
                <w:b/>
                <w:kern w:val="44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kern w:val="44"/>
                <w:sz w:val="18"/>
                <w:szCs w:val="18"/>
              </w:rPr>
              <w:t>序号时期</w:t>
            </w:r>
          </w:p>
        </w:tc>
        <w:tc>
          <w:tcPr>
            <w:tcW w:w="3231" w:type="dxa"/>
          </w:tcPr>
          <w:p>
            <w:pPr>
              <w:jc w:val="center"/>
              <w:rPr>
                <w:rFonts w:ascii="宋体" w:hAnsi="宋体" w:cs="宋体"/>
                <w:b/>
                <w:kern w:val="44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kern w:val="44"/>
                <w:sz w:val="18"/>
                <w:szCs w:val="18"/>
              </w:rPr>
              <w:t>计划完成时间</w:t>
            </w:r>
          </w:p>
        </w:tc>
        <w:tc>
          <w:tcPr>
            <w:tcW w:w="3761" w:type="dxa"/>
          </w:tcPr>
          <w:p>
            <w:pPr>
              <w:jc w:val="center"/>
              <w:rPr>
                <w:rFonts w:ascii="宋体" w:hAnsi="宋体" w:cs="宋体"/>
                <w:b/>
                <w:kern w:val="44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kern w:val="44"/>
                <w:sz w:val="18"/>
                <w:szCs w:val="18"/>
              </w:rPr>
              <w:t>进度计划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372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1-筹建期</w:t>
            </w:r>
          </w:p>
        </w:tc>
        <w:tc>
          <w:tcPr>
            <w:tcW w:w="323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zh-CN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2018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年</w:t>
            </w: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月前</w:t>
            </w:r>
          </w:p>
        </w:tc>
        <w:tc>
          <w:tcPr>
            <w:tcW w:w="3761" w:type="dxa"/>
            <w:vAlign w:val="center"/>
          </w:tcPr>
          <w:p>
            <w:pPr>
              <w:jc w:val="left"/>
              <w:rPr>
                <w:rFonts w:ascii="Arial" w:hAnsi="Arial" w:cs="Arial"/>
                <w:bCs/>
                <w:sz w:val="18"/>
                <w:szCs w:val="18"/>
                <w:lang w:val="zh-CN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完成土地证照各项手续办理、人员配备上岗、项目规划、设计、开工、总规上报批复。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2372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2-工程期</w:t>
            </w:r>
          </w:p>
        </w:tc>
        <w:tc>
          <w:tcPr>
            <w:tcW w:w="323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zh-CN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2018年10月-2022年10月</w:t>
            </w:r>
          </w:p>
        </w:tc>
        <w:tc>
          <w:tcPr>
            <w:tcW w:w="376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项目开工、建设、竣工支付。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372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3-销售期</w:t>
            </w:r>
          </w:p>
        </w:tc>
        <w:tc>
          <w:tcPr>
            <w:tcW w:w="323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2020年10月-2022年10月</w:t>
            </w:r>
          </w:p>
        </w:tc>
        <w:tc>
          <w:tcPr>
            <w:tcW w:w="3761" w:type="dxa"/>
          </w:tcPr>
          <w:p>
            <w:pPr>
              <w:jc w:val="left"/>
              <w:rPr>
                <w:rFonts w:ascii="Arial" w:hAnsi="Arial" w:cs="Arial"/>
                <w:bCs/>
                <w:sz w:val="18"/>
                <w:szCs w:val="18"/>
                <w:lang w:val="zh-CN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恒大健康集团重庆养生谷项目首期预计2020年10月开始销售,2022年10月销售完毕。</w:t>
            </w:r>
          </w:p>
        </w:tc>
      </w:tr>
    </w:tbl>
    <w:p>
      <w:pPr>
        <w:spacing w:before="300" w:after="300" w:line="360" w:lineRule="exact"/>
        <w:jc w:val="left"/>
        <w:outlineLvl w:val="0"/>
        <w:rPr>
          <w:rStyle w:val="24"/>
          <w:rFonts w:asciiTheme="majorEastAsia" w:hAnsiTheme="majorEastAsia" w:eastAsiaTheme="majorEastAsia" w:cstheme="majorEastAsia"/>
          <w:sz w:val="24"/>
          <w:szCs w:val="22"/>
        </w:rPr>
      </w:pPr>
      <w:bookmarkStart w:id="7" w:name="_Toc10074"/>
      <w:bookmarkStart w:id="8" w:name="_Toc13642"/>
      <w:bookmarkStart w:id="9" w:name="_Toc16505"/>
      <w:bookmarkStart w:id="10" w:name="_Toc11480"/>
      <w:bookmarkStart w:id="11" w:name="_Toc873"/>
      <w:r>
        <w:rPr>
          <w:rStyle w:val="24"/>
          <w:rFonts w:ascii="Arial" w:hAnsi="Arial" w:cs="Arial" w:eastAsiaTheme="majorEastAsia"/>
          <w:sz w:val="24"/>
          <w:szCs w:val="22"/>
        </w:rPr>
        <w:t>2</w:t>
      </w:r>
      <w:r>
        <w:rPr>
          <w:rStyle w:val="24"/>
          <w:rFonts w:hint="eastAsia" w:ascii="Arial" w:hAnsi="Arial" w:cs="Arial" w:eastAsiaTheme="majorEastAsia"/>
          <w:sz w:val="24"/>
          <w:szCs w:val="22"/>
        </w:rPr>
        <w:t>、</w:t>
      </w:r>
      <w:r>
        <w:rPr>
          <w:rStyle w:val="24"/>
          <w:rFonts w:hint="eastAsia" w:asciiTheme="majorEastAsia" w:hAnsiTheme="majorEastAsia" w:eastAsiaTheme="majorEastAsia" w:cstheme="majorEastAsia"/>
          <w:sz w:val="24"/>
          <w:szCs w:val="22"/>
        </w:rPr>
        <w:t>重大事件披露</w:t>
      </w:r>
      <w:bookmarkEnd w:id="6"/>
      <w:bookmarkEnd w:id="7"/>
      <w:bookmarkEnd w:id="8"/>
      <w:bookmarkEnd w:id="9"/>
      <w:bookmarkEnd w:id="10"/>
      <w:bookmarkEnd w:id="11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bookmarkStart w:id="12" w:name="_Toc13237"/>
      <w:bookmarkStart w:id="13" w:name="_Toc10978"/>
      <w:bookmarkStart w:id="14" w:name="_Toc2683"/>
      <w:r>
        <w:rPr>
          <w:rFonts w:ascii="Arial" w:hAnsi="Arial" w:cs="Arial" w:eastAsiaTheme="minorEastAsia"/>
          <w:bCs/>
          <w:kern w:val="44"/>
          <w:szCs w:val="21"/>
        </w:rPr>
        <w:t>1</w:t>
      </w:r>
      <w:r>
        <w:rPr>
          <w:rFonts w:hint="eastAsia" w:ascii="Arial" w:hAnsi="Arial" w:cs="Arial" w:eastAsiaTheme="minorEastAsia"/>
          <w:bCs/>
          <w:kern w:val="44"/>
          <w:szCs w:val="21"/>
        </w:rPr>
        <w:t>、</w:t>
      </w:r>
      <w:r>
        <w:rPr>
          <w:rFonts w:ascii="Arial" w:hAnsi="Arial" w:cs="Arial" w:eastAsiaTheme="minorEastAsia"/>
          <w:bCs/>
          <w:kern w:val="44"/>
          <w:szCs w:val="21"/>
        </w:rPr>
        <w:t>2020</w:t>
      </w:r>
      <w:r>
        <w:rPr>
          <w:rFonts w:hint="eastAsia" w:ascii="Arial" w:hAnsi="Arial" w:cs="Arial" w:eastAsiaTheme="minorEastAsia"/>
          <w:bCs/>
          <w:kern w:val="44"/>
          <w:szCs w:val="21"/>
        </w:rPr>
        <w:t>年7月1日</w:t>
      </w:r>
      <w:bookmarkEnd w:id="12"/>
      <w:bookmarkEnd w:id="13"/>
      <w:bookmarkEnd w:id="14"/>
      <w:bookmarkStart w:id="15" w:name="_Toc23969"/>
      <w:r>
        <w:rPr>
          <w:rFonts w:hint="eastAsia" w:ascii="Arial" w:hAnsi="Arial" w:cs="Arial" w:eastAsiaTheme="minorEastAsia"/>
          <w:bCs/>
          <w:kern w:val="44"/>
          <w:szCs w:val="21"/>
        </w:rPr>
        <w:t>，项目公司法人离职，预计将于8月进行法人变更。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hint="eastAsia" w:ascii="Arial" w:hAnsi="Arial" w:cs="Arial" w:eastAsiaTheme="minorEastAsia"/>
          <w:bCs/>
          <w:kern w:val="44"/>
          <w:szCs w:val="21"/>
        </w:rPr>
        <w:t>2、2020年7月24日，项目公司内部口头通知（暂未发布任何书面文件）重庆北碚项目实行缓建，具体开盘时间将后延。</w:t>
      </w:r>
    </w:p>
    <w:p>
      <w:pPr>
        <w:spacing w:before="300" w:after="300" w:line="360" w:lineRule="exact"/>
        <w:jc w:val="left"/>
        <w:outlineLvl w:val="0"/>
        <w:rPr>
          <w:rStyle w:val="24"/>
          <w:rFonts w:asciiTheme="majorEastAsia" w:hAnsiTheme="majorEastAsia" w:eastAsiaTheme="majorEastAsia" w:cstheme="majorEastAsia"/>
          <w:sz w:val="24"/>
          <w:szCs w:val="22"/>
        </w:rPr>
      </w:pPr>
      <w:bookmarkStart w:id="16" w:name="_Toc8398"/>
      <w:bookmarkStart w:id="17" w:name="_Toc30728"/>
      <w:bookmarkStart w:id="18" w:name="_Toc23668"/>
      <w:bookmarkStart w:id="19" w:name="_Toc30453"/>
      <w:bookmarkStart w:id="20" w:name="_Toc31570"/>
      <w:r>
        <w:rPr>
          <w:rStyle w:val="24"/>
          <w:rFonts w:ascii="Arial" w:hAnsi="Arial" w:cs="Arial" w:eastAsiaTheme="majorEastAsia"/>
          <w:sz w:val="24"/>
          <w:szCs w:val="22"/>
        </w:rPr>
        <w:t>3</w:t>
      </w:r>
      <w:r>
        <w:rPr>
          <w:rStyle w:val="24"/>
          <w:rFonts w:hint="eastAsia" w:ascii="Arial" w:hAnsi="Arial" w:cs="Arial" w:eastAsiaTheme="majorEastAsia"/>
          <w:sz w:val="24"/>
          <w:szCs w:val="22"/>
        </w:rPr>
        <w:t>、</w:t>
      </w:r>
      <w:r>
        <w:rPr>
          <w:rStyle w:val="24"/>
          <w:rFonts w:hint="eastAsia" w:asciiTheme="majorEastAsia" w:hAnsiTheme="majorEastAsia" w:eastAsiaTheme="majorEastAsia" w:cstheme="majorEastAsia"/>
          <w:sz w:val="24"/>
          <w:szCs w:val="22"/>
        </w:rPr>
        <w:t>项目五证办理及施工进度情况</w:t>
      </w:r>
      <w:bookmarkEnd w:id="15"/>
      <w:bookmarkEnd w:id="16"/>
      <w:bookmarkEnd w:id="17"/>
      <w:bookmarkEnd w:id="18"/>
      <w:bookmarkEnd w:id="19"/>
      <w:bookmarkEnd w:id="20"/>
    </w:p>
    <w:p>
      <w:pPr>
        <w:pStyle w:val="3"/>
        <w:rPr>
          <w:rFonts w:asciiTheme="majorEastAsia" w:hAnsiTheme="majorEastAsia" w:eastAsiaTheme="majorEastAsia" w:cstheme="majorEastAsia"/>
          <w:sz w:val="24"/>
          <w:szCs w:val="24"/>
        </w:rPr>
      </w:pPr>
      <w:bookmarkStart w:id="21" w:name="_Toc535580023"/>
      <w:bookmarkStart w:id="22" w:name="_Toc37668493"/>
      <w:bookmarkStart w:id="23" w:name="_Toc535570750"/>
      <w:bookmarkStart w:id="24" w:name="_Toc535580091"/>
      <w:bookmarkStart w:id="25" w:name="_Toc532281657"/>
      <w:bookmarkStart w:id="26" w:name="_Toc30300"/>
      <w:bookmarkStart w:id="27" w:name="_Toc535508636"/>
      <w:bookmarkStart w:id="28" w:name="_Toc26564"/>
      <w:bookmarkStart w:id="29" w:name="_Toc15121"/>
      <w:bookmarkStart w:id="30" w:name="_Toc30910"/>
      <w:bookmarkStart w:id="31" w:name="_Toc18659"/>
      <w:bookmarkStart w:id="32" w:name="_Toc5434"/>
      <w:r>
        <w:rPr>
          <w:rFonts w:cs="Arial" w:eastAsiaTheme="majorEastAsia"/>
          <w:sz w:val="24"/>
          <w:szCs w:val="24"/>
        </w:rPr>
        <w:t>3.1</w:t>
      </w:r>
      <w:r>
        <w:rPr>
          <w:rFonts w:hint="eastAsia" w:cs="Arial" w:eastAsiaTheme="majorEastAsia"/>
          <w:sz w:val="24"/>
          <w:szCs w:val="24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项目五证办理情况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hint="eastAsia" w:ascii="Arial" w:hAnsi="Arial" w:cs="Arial" w:eastAsiaTheme="minorEastAsia"/>
          <w:bCs/>
          <w:kern w:val="44"/>
          <w:szCs w:val="21"/>
        </w:rPr>
        <w:t>标的项目为13个地块（603亩+108亩），其中108亩地块不属于监管范围，603亩地块因项目公司五证申办资料尚在整理中，截止2020年7月31日，尚未取得，预计最晚于2020年9月份取得。</w:t>
      </w:r>
    </w:p>
    <w:tbl>
      <w:tblPr>
        <w:tblStyle w:val="12"/>
        <w:tblW w:w="93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3"/>
        <w:gridCol w:w="3495"/>
        <w:gridCol w:w="34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szCs w:val="18"/>
              </w:rPr>
              <w:t>五证</w:t>
            </w:r>
          </w:p>
        </w:tc>
        <w:tc>
          <w:tcPr>
            <w:tcW w:w="34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sz w:val="18"/>
                <w:szCs w:val="18"/>
              </w:rPr>
              <w:t>考核取得时间</w:t>
            </w:r>
          </w:p>
        </w:tc>
        <w:tc>
          <w:tcPr>
            <w:tcW w:w="3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sz w:val="18"/>
                <w:szCs w:val="18"/>
              </w:rPr>
              <w:t>实际进度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  <w:jc w:val="center"/>
        </w:trPr>
        <w:tc>
          <w:tcPr>
            <w:tcW w:w="23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-</w:t>
            </w:r>
          </w:p>
        </w:tc>
        <w:tc>
          <w:tcPr>
            <w:tcW w:w="3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未取得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23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-</w:t>
            </w:r>
          </w:p>
        </w:tc>
        <w:tc>
          <w:tcPr>
            <w:tcW w:w="3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未取得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23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-</w:t>
            </w:r>
          </w:p>
        </w:tc>
        <w:tc>
          <w:tcPr>
            <w:tcW w:w="3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未取得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3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-</w:t>
            </w:r>
          </w:p>
        </w:tc>
        <w:tc>
          <w:tcPr>
            <w:tcW w:w="3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未取得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  <w:jc w:val="center"/>
        </w:trPr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34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-</w:t>
            </w:r>
          </w:p>
        </w:tc>
        <w:tc>
          <w:tcPr>
            <w:tcW w:w="3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未取得</w:t>
            </w:r>
          </w:p>
        </w:tc>
      </w:tr>
    </w:tbl>
    <w:p>
      <w:pPr>
        <w:pStyle w:val="3"/>
        <w:spacing w:before="300" w:after="300" w:line="360" w:lineRule="exact"/>
        <w:rPr>
          <w:rFonts w:asciiTheme="majorEastAsia" w:hAnsiTheme="majorEastAsia" w:eastAsiaTheme="majorEastAsia" w:cstheme="majorEastAsia"/>
          <w:sz w:val="24"/>
          <w:szCs w:val="24"/>
        </w:rPr>
      </w:pPr>
      <w:bookmarkStart w:id="33" w:name="_Toc535580092"/>
      <w:bookmarkStart w:id="34" w:name="_Toc27618"/>
      <w:bookmarkStart w:id="35" w:name="_Toc535570751"/>
      <w:bookmarkStart w:id="36" w:name="_Toc535580024"/>
      <w:bookmarkStart w:id="37" w:name="_Toc37668494"/>
      <w:bookmarkStart w:id="38" w:name="_Toc535508637"/>
      <w:bookmarkStart w:id="39" w:name="_Toc532281658"/>
      <w:bookmarkStart w:id="40" w:name="_Toc9247"/>
      <w:bookmarkStart w:id="41" w:name="_Toc19231"/>
      <w:bookmarkStart w:id="42" w:name="_Toc23200"/>
      <w:bookmarkStart w:id="43" w:name="_Toc20410"/>
      <w:bookmarkStart w:id="44" w:name="_Toc2436"/>
      <w:r>
        <w:rPr>
          <w:rFonts w:cs="Arial" w:eastAsiaTheme="majorEastAsia"/>
          <w:sz w:val="24"/>
          <w:szCs w:val="24"/>
        </w:rPr>
        <w:t>3.2</w:t>
      </w:r>
      <w:bookmarkEnd w:id="33"/>
      <w:bookmarkEnd w:id="34"/>
      <w:bookmarkEnd w:id="35"/>
      <w:bookmarkEnd w:id="36"/>
      <w:bookmarkEnd w:id="37"/>
      <w:bookmarkEnd w:id="38"/>
      <w:bookmarkEnd w:id="39"/>
      <w:r>
        <w:rPr>
          <w:rFonts w:hint="eastAsia" w:cs="Arial" w:eastAsiaTheme="majorEastAsia"/>
          <w:sz w:val="24"/>
          <w:szCs w:val="24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项目进度情况</w:t>
      </w:r>
      <w:bookmarkEnd w:id="40"/>
      <w:bookmarkEnd w:id="41"/>
      <w:bookmarkEnd w:id="42"/>
      <w:bookmarkEnd w:id="43"/>
      <w:bookmarkEnd w:id="44"/>
    </w:p>
    <w:p>
      <w:pPr>
        <w:spacing w:before="315" w:beforeLines="100"/>
        <w:jc w:val="center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标的项目</w:t>
      </w:r>
      <w:r>
        <w:rPr>
          <w:rFonts w:ascii="Arial" w:hAnsi="Arial" w:cs="Arial"/>
          <w:b/>
          <w:bCs/>
          <w:sz w:val="24"/>
        </w:rPr>
        <w:t>2020</w:t>
      </w:r>
      <w:r>
        <w:rPr>
          <w:rFonts w:hint="eastAsia" w:ascii="宋体" w:hAnsi="宋体" w:cs="宋体"/>
          <w:b/>
          <w:bCs/>
          <w:sz w:val="24"/>
        </w:rPr>
        <w:t>年</w:t>
      </w:r>
      <w:r>
        <w:rPr>
          <w:rFonts w:ascii="Arial" w:hAnsi="Arial" w:cs="Arial"/>
          <w:b/>
          <w:bCs/>
          <w:sz w:val="24"/>
        </w:rPr>
        <w:t>0</w:t>
      </w:r>
      <w:r>
        <w:rPr>
          <w:rFonts w:hint="eastAsia" w:ascii="Arial" w:hAnsi="Arial" w:cs="Arial"/>
          <w:b/>
          <w:bCs/>
          <w:sz w:val="24"/>
        </w:rPr>
        <w:t>7</w:t>
      </w:r>
      <w:r>
        <w:rPr>
          <w:rFonts w:hint="eastAsia" w:ascii="宋体" w:hAnsi="宋体" w:cs="宋体"/>
          <w:b/>
          <w:bCs/>
          <w:sz w:val="24"/>
        </w:rPr>
        <w:t>月施工进度表</w:t>
      </w:r>
    </w:p>
    <w:tbl>
      <w:tblPr>
        <w:tblStyle w:val="12"/>
        <w:tblW w:w="487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3"/>
        <w:gridCol w:w="948"/>
        <w:gridCol w:w="7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  <w:tblHeader/>
          <w:jc w:val="center"/>
        </w:trPr>
        <w:tc>
          <w:tcPr>
            <w:tcW w:w="331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sz w:val="18"/>
                <w:szCs w:val="18"/>
              </w:rPr>
              <w:t>工作内容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sz w:val="18"/>
                <w:szCs w:val="18"/>
              </w:rPr>
              <w:t>本月进度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销售中心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1、土建：屋面挂瓦完成，机房外墙漆完成90%；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2、内装：完成（收尾整改）；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3、外装：完成。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康益园、颐养园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13#地块：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3#楼（膳食房1F）：斜屋面挂瓦完成，外墙石材完成，铝单板安装完成90%，内装吊顶完成，墙面腻子完成，窗户玻璃安装完成；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4#楼（红酒屋1F）：斜屋面挂瓦完成，天花墙面完成，地砖完成，外装石材安装完成，外装铝单板安装完成80%，窗户玻璃安装完成；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5#楼（医学美容中心2F）：屋面挂瓦完成,一层内装吊顶龙骨安装完成，封板完成，结构加固完成，外装石材完成，铝单板完成60%；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6#楼（国术馆1F）：斜屋面挂瓦完成，内装吊顶龙骨完成，外墙石材完成、结构加固完成；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7#楼（养生spa1F）：斜屋面挂瓦完成，吊顶封板完成，外墙石材完成；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8#楼（国医馆2F）：斜屋面挂瓦完成，天花墙面完成，地砖完成，外装石材完成；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9#楼（台球馆1F）：斜屋面挂瓦完成，室内吊顶封板完成，内墙腻子完成，外墙石材完成，铝单板安装完成，外架拆除完成；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10#楼（体感运动馆1F）：斜屋面挂瓦完成，吊顶封板完成，天花墙面腻子完成；外墙石材完成；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11#楼（羽毛球馆1F）：斜屋面浇筑完成，斜屋面找平施工完成，屋面防水施工完成；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12#楼（名茶馆2F）：斜屋面挂瓦完成，一二层天花墙面完成，一二层地砖完成，外装石材安装完成，铝单板完成90%；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13#楼（瑜伽馆2F）：斜屋面挂瓦完成，地砖完成，一二层天花墙面完成，外墙石材完成，铝单板完成90%；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14#楼（禅思堂2F）：斜屋面挂瓦完成，室内一层内装吊顶封板、腻子完成，地砖完成，二层吊完成，外墙石材完成铝单板完成90%；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15#楼（养心堂2F）：斜屋面挂瓦完成，天花墙面完成，外墙石材完成，铝单板完成80%，一二层地砖完成；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16#楼（乒乓球馆1F）：屋面挂瓦完成,外墙石材龙骨完成，外墙石材完成，室内吊顶封板完成，天花墙面完成；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17#楼（门球馆1F）：斜屋面结构浇筑完成，内架拆除完成，屋面防水完成，砌体施工完成，内墙抹灰施工，外墙保温施工，屋面挂瓦施工；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18#楼（健身中心-1/2F）：一层结构浇筑完成，二层结构施工。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5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长乐园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（1）12#地块：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1#楼（岁月剧场1F）斜屋面贴瓦完成，构造柱完成，砌体完成，内抹灰完成，地面刚性层完成，外抹灰完成、保温完成；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2#楼（棋牌俱乐部2F）斜屋面刚性层完成，挂瓦完成50%，一层砌体完成，构造柱完成，二层砌体完成；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3#楼（宠物俱乐部2F）斜屋面挂瓦完成，一层砌体完成，二层砌体完成，构造柱完成；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4#楼（老年学堂2F）斜屋面贴瓦完成；一层砌体完成，二层砌体完成，构造柱完成，外抹灰完成20%；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5#楼（阳光图书馆2F）斜屋面挂瓦完成，一层砌体完成，构造柱完成，二层砌体完成，内抹灰完成，外抹灰完成，保温完成，外装龙骨完成50%；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6#楼（园艺屋1F）斜屋面挂瓦完成，砌体砌筑完成，内外抹灰完成，地面刚性层完成，外保温完成，外装龙骨完成；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7#楼（博物馆2F）斜屋面贴瓦完成，一层砌体砌筑完成，构造柱完成，二层砌体完成，内抹灰完成50%，外装龙骨完成80%。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（2）14#地块：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1#楼（摄影荟2F）斜屋面挂瓦完成，一层、二层内外批荡完成，外保温完成，龙骨完成，石材完成75%，内装吊顶完成、腻子、地砖完成； 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2#楼（舞美社2F）斜屋面挂瓦完成，一层、二层砌体完成，内外批荡完成，外保温完成，龙骨完成，内装吊顶完成，腻子、地砖完成；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3#楼（曲苑社1F）斜屋面挂瓦完成，内墙抹灰完成，内装吊顶施工，外抹灰完成，外墙保温完成，龙骨完成；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4#楼（手艺坊2F）斜屋面挂瓦完成，内装吊顶完成，地砖完成50%，外装龙骨完成，石材完成；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5#楼（国学馆1F）斜屋面挂瓦完成，内装吊顶完成、腻子完成，地砖完成90%，外装龙骨完成，石材完成，铝板完成；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6#楼（歌咏荟2F）斜屋面挂瓦完成，一层、二层砌体完成，内外批荡完成，吊顶完成25%，外墙保温完成，龙骨完成55%。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商业街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17#地块：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2#楼（2F）二层支模架完成，模板完成60%；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3#楼（1F）斜屋面挂瓦完成，一层砌体完成，构造柱完成，内外抹灰完成，保温完成，外装龙骨完成30%；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4#楼（1F）斜屋面支模架完成，模板完成，钢筋完成，一层砌体完成55%；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5#楼（2F）斜屋面挂瓦完成，外装完成97%，内装拆墙完成80%；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6#楼（1F）斜屋面挂瓦完成，砌体完成，构造柱完成，内抹灰完成，外保温完成，外装龙骨安装完成、石材完成85%；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7#楼（2F）斜屋面挂瓦完成，外装完成97%，内装拆墙完成；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8#楼（2F）斜屋面挂瓦完成，一层砌体完成，二层砌体完成，二层内抹灰完成，一层内抹灰完成60%，外墙保温完成，外墙龙骨完成80%。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样板房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5个户型样板房内外装整体完成。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5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展示区园林园建及河沟桥梁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1、A17新增展示区：园林园建完成36%，运动中心园林园建完成97%. 两大园园林园建完成16%；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2、河沟桥梁：2号桥1号桥台垫石关模完成100%，0号桥台垫石关模完成100%，铺设箱梁底板完成85%，展示区沥青道路铺设水稳完成100%，安装雨水篦子完成20%；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、截污干管进度：排水管2020年7月12号已进场，7月13号出施工图电子版；7月14号开挖中式温泉馆外管沟（40米）；7月15号场地平整及管井定位；7月19号管沟开挖W10～W15，累计约150米；7月21号双壁波纹管安装70米，井安装6个；7月22号双壁波纹管安装累计190米，管沟开挖累计370米，井安装累计7个；7月24号已安装双壁波纹管210米，管沟回填累计210米；7月27号已安装双壁波纹管240米，管沟回填累计240米；7月28号双壁波纹管累计安装330米，管沟开挖及回填330米，管井安装13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6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A5地块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1#（6F/-1F）：结构封顶；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2#（6F/-1F）：结构封顶；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3#（6F/-1F）：基坑开挖完成100％；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4#（6F/-2F）：基坑开挖完成100％；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5#（6F/-2F）：负一层底板钢筋绑扎完成；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6#（6F/-1F）：一层结构钢筋完成30％（1个单元受负二层地下室影响）；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7#（6F/-1F）：二层结构模板完成40％；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8#（4F/-1F）：结构封顶。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3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A6地块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1#楼（6F/-2F）：一层结构钢筋完成50％；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2#楼（6F/-1F）：负一层结构模板完成100％；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3#楼（6F/-1F）：负一层结构钢筋完成80％；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4#楼（6F/-1F）：四层结构模板完成60％；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5#楼（6F/-1F）：四层结构模板完成50％；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6#楼（6F/-1F）：三层结构钢筋完成80％；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7#楼（6F/-1F）：三层结构钢筋完成30％；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8#楼（6F/-1F）：负一层钢筋绑扎完成80％；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9#楼（6F/-2F）：一层结构钢筋完成100％。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2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A9地块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1#（6F/-1F）：坡屋面结构钢筋完成80%；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2#（6F/-2F）：相邻车库挡墙防水保护砖完成；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3#（6F/-2F）：二层支模架完成50%；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4#（6F/-2F）：负二层挡墙钢筋绑扎完成80%；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5#（6F/-2F）：二层模板完成80%；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6#（4F/-2F）：二层结构模板完成90%；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7#（4F/-1F）：四层结构钢筋完成；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8#（6F/-1F）：四层结构支模架完成；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9#（6F/-1F）：二层（3、4单元）浇筑完成，（1、2单元）负一层钢筋完成；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10#（6F/-1F）：坡屋面结构模板完成50%；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11#（6F/-1F）：六层结构钢筋完成80%；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12#（6F/-1F）：三层结构支模架完成。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4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A10地块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1#楼（6F/-1F）六层结构完成；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2#楼（6F/-2F）六层结构完成；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3#楼（6F/-2F）五层结构模板完成；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4#楼（6F/-1F）六层结构完成；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5#楼（6F/-2F）三层结构完成；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6#楼（6F/-1F）天然基础开挖完成（作为施工通道未施工）；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7#楼（6F/-1F）五层结构完成；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8#楼（6F/-1F）三层模板完成；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9#楼（6F/-1F）四层结构完成；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10#楼（6F/-1F）五层支模架完成。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A23地块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1#楼（3F/-1F）：基础底板结构完成；</w:t>
            </w:r>
          </w:p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2#楼（3F/-1F）：负一层地库模板安装完成，钢筋绑扎完成。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A24地块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1#楼（5F/-1F）、2#楼（5F/-1F）、3#楼（4F/-1F）、4#楼（4F/-1F）、5#楼（4F/-1F）、6#楼（5F/-1F）、7#楼（5F/-1F）、8#楼（5F/-1F）、9#楼（5F/-1F）已封顶。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331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11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A25地块</w:t>
            </w:r>
          </w:p>
        </w:tc>
        <w:tc>
          <w:tcPr>
            <w:tcW w:w="4156" w:type="pct"/>
            <w:shd w:val="clear" w:color="auto" w:fill="auto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1#楼（5F/-2F）：1#楼二单元、2#楼（5F/-1F）、3#楼（4F/-1F）、4#楼（4F/-1F）、5#楼（5F/-1F）、6#楼（5F/-1F）已封顶； 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25-1#楼一单元地库外部分底板结构完成。</w:t>
            </w:r>
          </w:p>
        </w:tc>
      </w:tr>
    </w:tbl>
    <w:p>
      <w:pPr>
        <w:pStyle w:val="3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bookmarkStart w:id="45" w:name="_Toc31176"/>
      <w:bookmarkStart w:id="46" w:name="_Toc24230"/>
      <w:bookmarkStart w:id="47" w:name="_Toc14957"/>
      <w:bookmarkStart w:id="48" w:name="_Toc23808"/>
      <w:bookmarkStart w:id="49" w:name="_Toc20946"/>
      <w:r>
        <w:rPr>
          <w:rFonts w:cs="Arial" w:eastAsiaTheme="majorEastAsia"/>
          <w:sz w:val="24"/>
          <w:szCs w:val="24"/>
        </w:rPr>
        <w:t>3.3</w:t>
      </w:r>
      <w:r>
        <w:rPr>
          <w:rFonts w:hint="eastAsia" w:cs="Arial" w:eastAsiaTheme="majorEastAsia"/>
          <w:sz w:val="24"/>
          <w:szCs w:val="24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项目现场施工照片</w:t>
      </w:r>
      <w:bookmarkEnd w:id="45"/>
      <w:bookmarkEnd w:id="46"/>
      <w:bookmarkEnd w:id="47"/>
      <w:bookmarkEnd w:id="48"/>
      <w:bookmarkEnd w:id="49"/>
    </w:p>
    <w:p>
      <w:pPr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drawing>
          <wp:inline distT="0" distB="0" distL="114935" distR="114935">
            <wp:extent cx="2721610" cy="1793875"/>
            <wp:effectExtent l="0" t="0" r="2540" b="15875"/>
            <wp:docPr id="1" name="图片 1" descr="A5地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地块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793875"/>
            <wp:effectExtent l="0" t="0" r="2540" b="15875"/>
            <wp:docPr id="4" name="图片 4" descr="A6地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地块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65" w:firstLineChars="700"/>
        <w:jc w:val="left"/>
        <w:textAlignment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</w:t>
      </w:r>
      <w:r>
        <w:rPr>
          <w:rFonts w:hint="eastAsia"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>A</w:t>
      </w:r>
      <w:r>
        <w:rPr>
          <w:rFonts w:hint="eastAsia" w:ascii="Arial" w:hAnsi="Arial" w:cs="Arial"/>
          <w:b/>
          <w:bCs/>
          <w:sz w:val="18"/>
          <w:szCs w:val="18"/>
        </w:rPr>
        <w:t>0</w:t>
      </w:r>
      <w:r>
        <w:rPr>
          <w:rFonts w:ascii="Arial" w:hAnsi="Arial" w:cs="Arial"/>
          <w:b/>
          <w:bCs/>
          <w:sz w:val="18"/>
          <w:szCs w:val="18"/>
        </w:rPr>
        <w:t>5</w:t>
      </w:r>
      <w:r>
        <w:rPr>
          <w:rFonts w:hint="eastAsia" w:ascii="宋体" w:hAnsi="宋体" w:cs="宋体"/>
          <w:b/>
          <w:bCs/>
          <w:sz w:val="18"/>
          <w:szCs w:val="18"/>
        </w:rPr>
        <w:t xml:space="preserve">地块施工现状                                       </w:t>
      </w:r>
      <w:r>
        <w:rPr>
          <w:rFonts w:hint="eastAsia" w:ascii="Arial" w:hAnsi="Arial" w:cs="Arial"/>
          <w:b/>
          <w:bCs/>
          <w:sz w:val="18"/>
          <w:szCs w:val="18"/>
        </w:rPr>
        <w:t>2.A06地块施工现状</w:t>
      </w:r>
    </w:p>
    <w:p>
      <w:pPr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79600"/>
            <wp:effectExtent l="0" t="0" r="2540" b="6350"/>
            <wp:docPr id="5" name="图片 5" descr="A9地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地块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50390"/>
            <wp:effectExtent l="0" t="0" r="2540" b="16510"/>
            <wp:docPr id="7" name="图片 7" descr="A10地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0地块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65" w:firstLineChars="700"/>
        <w:jc w:val="left"/>
        <w:textAlignment w:val="center"/>
        <w:rPr>
          <w:rFonts w:ascii="Arial" w:hAnsi="Arial" w:cs="Arial"/>
          <w:b/>
          <w:bCs/>
          <w:sz w:val="18"/>
          <w:szCs w:val="18"/>
        </w:rPr>
      </w:pPr>
      <w:r>
        <w:rPr>
          <w:rFonts w:hint="eastAsia" w:ascii="Arial" w:hAnsi="Arial" w:cs="Arial"/>
          <w:b/>
          <w:bCs/>
          <w:sz w:val="18"/>
          <w:szCs w:val="18"/>
        </w:rPr>
        <w:t>3.A09地块施工现状                                       4.A10地块施工现状</w:t>
      </w:r>
    </w:p>
    <w:p>
      <w:pPr>
        <w:rPr>
          <w:rFonts w:asciiTheme="majorEastAsia" w:hAnsiTheme="majorEastAsia" w:eastAsiaTheme="majorEastAsia" w:cstheme="majorEastAsia"/>
          <w:sz w:val="24"/>
        </w:rPr>
      </w:pP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737360"/>
            <wp:effectExtent l="0" t="0" r="2540" b="15240"/>
            <wp:docPr id="26" name="图片 26" descr="长乐园-A12地块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长乐园-A12地块1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745615"/>
            <wp:effectExtent l="0" t="0" r="2540" b="6985"/>
            <wp:docPr id="8" name="图片 8" descr="A13地块-两大园（康益园，颐养园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3地块-两大园（康益园，颐养园）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 w:ascii="Arial" w:hAnsi="Arial" w:cs="Arial"/>
          <w:b/>
          <w:bCs/>
          <w:sz w:val="18"/>
          <w:szCs w:val="18"/>
        </w:rPr>
        <w:t xml:space="preserve">          5.A12地块长乐园施工图                                    6.A13地块施工现状</w:t>
      </w:r>
      <w:r>
        <w:rPr>
          <w:rFonts w:hint="eastAsia" w:ascii="宋体" w:hAnsi="宋体" w:cs="宋体"/>
          <w:b/>
          <w:bCs/>
          <w:sz w:val="18"/>
          <w:szCs w:val="18"/>
        </w:rPr>
        <w:t xml:space="preserve">  </w:t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98650"/>
            <wp:effectExtent l="0" t="0" r="2540" b="6350"/>
            <wp:docPr id="10" name="图片 10" descr="A13地块人工湖及样板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13地块人工湖及样板间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89125"/>
            <wp:effectExtent l="0" t="0" r="2540" b="15875"/>
            <wp:docPr id="14" name="图片 14" descr="A13地块销售中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13地块销售中心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84" w:firstLineChars="600"/>
        <w:jc w:val="left"/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 w:ascii="Arial" w:hAnsi="Arial" w:cs="Arial"/>
          <w:b/>
          <w:bCs/>
          <w:sz w:val="18"/>
          <w:szCs w:val="18"/>
        </w:rPr>
        <w:t xml:space="preserve">7.A13地块人工湖施工现状                           </w:t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</w:t>
      </w:r>
      <w:r>
        <w:rPr>
          <w:rFonts w:hint="eastAsia" w:ascii="Arial" w:hAnsi="Arial" w:cs="Arial"/>
          <w:b/>
          <w:bCs/>
          <w:sz w:val="18"/>
          <w:szCs w:val="18"/>
        </w:rPr>
        <w:t>8.A13地块销售中心施工现状</w:t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98015"/>
            <wp:effectExtent l="0" t="0" r="2540" b="6985"/>
            <wp:docPr id="12" name="图片 12" descr="A13地块样板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13地块样板间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98015"/>
            <wp:effectExtent l="0" t="0" r="2540" b="6985"/>
            <wp:docPr id="18" name="图片 18" descr="A13地块运动中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13地块运动中心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 w:firstLineChars="500"/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hint="eastAsia" w:ascii="宋体" w:hAnsi="宋体" w:cs="宋体"/>
          <w:b/>
          <w:bCs/>
          <w:sz w:val="18"/>
          <w:szCs w:val="18"/>
        </w:rPr>
        <w:t xml:space="preserve"> </w:t>
      </w:r>
      <w:r>
        <w:rPr>
          <w:rFonts w:hint="eastAsia" w:ascii="Arial" w:hAnsi="Arial" w:cs="Arial"/>
          <w:b/>
          <w:bCs/>
          <w:sz w:val="18"/>
          <w:szCs w:val="18"/>
        </w:rPr>
        <w:t>9.A13地块样板间施工现状                              10.A13地块运动中心施工现状</w:t>
      </w:r>
    </w:p>
    <w:p>
      <w:pPr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50390"/>
            <wp:effectExtent l="0" t="0" r="2540" b="16510"/>
            <wp:docPr id="29" name="图片 29" descr="长乐园-A14地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长乐园-A14地块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32610"/>
            <wp:effectExtent l="0" t="0" r="2540" b="15240"/>
            <wp:docPr id="30" name="图片 30" descr="A17地块坡地公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17地块坡地公园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 w:firstLineChars="500"/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hint="eastAsia" w:ascii="Arial" w:hAnsi="Arial" w:cs="Arial"/>
          <w:b/>
          <w:bCs/>
          <w:sz w:val="18"/>
          <w:szCs w:val="18"/>
        </w:rPr>
        <w:t>11.A14地块长乐园施工现状                               12.A17地块坡地公园施工现状</w:t>
      </w:r>
      <w:r>
        <w:rPr>
          <w:rFonts w:hint="eastAsia" w:ascii="宋体" w:hAnsi="宋体" w:cs="宋体"/>
          <w:b/>
          <w:bCs/>
          <w:sz w:val="18"/>
          <w:szCs w:val="18"/>
        </w:rPr>
        <w:t xml:space="preserve"> </w:t>
      </w:r>
    </w:p>
    <w:p>
      <w:pPr>
        <w:rPr>
          <w:rFonts w:asciiTheme="majorEastAsia" w:hAnsiTheme="majorEastAsia" w:eastAsiaTheme="majorEastAsia" w:cstheme="majorEastAsia"/>
          <w:sz w:val="24"/>
        </w:rPr>
      </w:pP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51660"/>
            <wp:effectExtent l="0" t="0" r="2540" b="15240"/>
            <wp:docPr id="36" name="图片 36" descr="A17地块商业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17地块商业街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1879600"/>
            <wp:effectExtent l="0" t="0" r="2540" b="6350"/>
            <wp:docPr id="34" name="图片 34" descr="河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河沟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                             </w:t>
      </w:r>
    </w:p>
    <w:p>
      <w:pPr>
        <w:ind w:firstLine="1446" w:firstLineChars="800"/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hint="eastAsia" w:ascii="Arial" w:hAnsi="Arial" w:cs="Arial"/>
          <w:b/>
          <w:bCs/>
          <w:sz w:val="18"/>
          <w:szCs w:val="18"/>
        </w:rPr>
        <w:t xml:space="preserve">13.A17地块商业街施工现状 </w:t>
      </w:r>
      <w:r>
        <w:rPr>
          <w:rFonts w:hint="eastAsia" w:ascii="宋体" w:hAnsi="宋体" w:cs="宋体"/>
          <w:b/>
          <w:bCs/>
          <w:sz w:val="18"/>
          <w:szCs w:val="18"/>
        </w:rPr>
        <w:t xml:space="preserve">                             </w:t>
      </w:r>
      <w:r>
        <w:rPr>
          <w:rFonts w:hint="eastAsia" w:ascii="Arial" w:hAnsi="Arial" w:cs="Arial"/>
          <w:b/>
          <w:bCs/>
          <w:sz w:val="18"/>
          <w:szCs w:val="18"/>
        </w:rPr>
        <w:t>14.河沟施工现状</w:t>
      </w:r>
    </w:p>
    <w:p>
      <w:pPr>
        <w:rPr>
          <w:rFonts w:asciiTheme="majorEastAsia" w:hAnsiTheme="majorEastAsia" w:eastAsiaTheme="majorEastAsia" w:cstheme="majorEastAsia"/>
          <w:sz w:val="24"/>
        </w:rPr>
      </w:pP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2040890"/>
            <wp:effectExtent l="0" t="0" r="6350" b="1270"/>
            <wp:docPr id="19" name="图片 19" descr="A22地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22地块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2040890"/>
            <wp:effectExtent l="0" t="0" r="6350" b="1270"/>
            <wp:docPr id="20" name="图片 20" descr="A23地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23地块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46" w:firstLineChars="800"/>
        <w:jc w:val="left"/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 w:ascii="Arial" w:hAnsi="Arial" w:cs="Arial"/>
          <w:b/>
          <w:bCs/>
          <w:sz w:val="18"/>
          <w:szCs w:val="18"/>
        </w:rPr>
        <w:t xml:space="preserve">15.A22地块施工现状    </w:t>
      </w:r>
      <w:r>
        <w:rPr>
          <w:rFonts w:hint="eastAsia" w:ascii="宋体" w:hAnsi="宋体" w:cs="宋体"/>
          <w:b/>
          <w:bCs/>
          <w:sz w:val="18"/>
          <w:szCs w:val="18"/>
        </w:rPr>
        <w:t xml:space="preserve">                              </w:t>
      </w:r>
      <w:r>
        <w:rPr>
          <w:rFonts w:hint="eastAsia" w:ascii="Arial" w:hAnsi="Arial" w:cs="Arial"/>
          <w:b/>
          <w:bCs/>
          <w:sz w:val="18"/>
          <w:szCs w:val="18"/>
        </w:rPr>
        <w:t xml:space="preserve"> 16.A23地块施工现状</w:t>
      </w:r>
    </w:p>
    <w:p>
      <w:pPr>
        <w:rPr>
          <w:rFonts w:asciiTheme="majorEastAsia" w:hAnsiTheme="majorEastAsia" w:eastAsiaTheme="majorEastAsia" w:cstheme="majorEastAsia"/>
          <w:sz w:val="24"/>
        </w:rPr>
      </w:pP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2040890"/>
            <wp:effectExtent l="0" t="0" r="6350" b="1270"/>
            <wp:docPr id="23" name="图片 23" descr="A24地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24地块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</w:rPr>
        <w:t xml:space="preserve">     </w:t>
      </w:r>
      <w:r>
        <w:rPr>
          <w:rFonts w:asciiTheme="majorEastAsia" w:hAnsiTheme="majorEastAsia" w:eastAsiaTheme="majorEastAsia" w:cstheme="majorEastAsia"/>
          <w:sz w:val="24"/>
        </w:rPr>
        <w:drawing>
          <wp:inline distT="0" distB="0" distL="114300" distR="114300">
            <wp:extent cx="2721610" cy="2040890"/>
            <wp:effectExtent l="0" t="0" r="6350" b="1270"/>
            <wp:docPr id="24" name="图片 24" descr="A25地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25地块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46" w:firstLineChars="800"/>
        <w:jc w:val="left"/>
        <w:rPr>
          <w:rFonts w:ascii="宋体" w:hAnsi="宋体" w:cs="宋体"/>
          <w:b/>
          <w:bCs/>
          <w:sz w:val="18"/>
          <w:szCs w:val="18"/>
        </w:rPr>
      </w:pPr>
      <w:r>
        <w:rPr>
          <w:rFonts w:hint="eastAsia" w:ascii="Arial" w:hAnsi="Arial" w:cs="Arial"/>
          <w:b/>
          <w:bCs/>
          <w:sz w:val="18"/>
          <w:szCs w:val="18"/>
        </w:rPr>
        <w:t>17.A24地块施工现状</w:t>
      </w:r>
      <w:r>
        <w:rPr>
          <w:rFonts w:hint="eastAsia" w:ascii="宋体" w:hAnsi="宋体" w:cs="宋体"/>
          <w:b/>
          <w:bCs/>
          <w:sz w:val="18"/>
          <w:szCs w:val="18"/>
        </w:rPr>
        <w:t xml:space="preserve">                                  </w:t>
      </w:r>
      <w:r>
        <w:rPr>
          <w:rFonts w:hint="eastAsia" w:ascii="Arial" w:hAnsi="Arial" w:cs="Arial"/>
          <w:b/>
          <w:bCs/>
          <w:sz w:val="18"/>
          <w:szCs w:val="18"/>
        </w:rPr>
        <w:t xml:space="preserve"> 18.A25地块施工现状</w:t>
      </w:r>
      <w:r>
        <w:rPr>
          <w:rFonts w:hint="eastAsia" w:ascii="宋体" w:hAnsi="宋体" w:cs="宋体"/>
          <w:b/>
          <w:bCs/>
          <w:sz w:val="18"/>
          <w:szCs w:val="18"/>
        </w:rPr>
        <w:t xml:space="preserve">                                </w:t>
      </w:r>
    </w:p>
    <w:p>
      <w:pPr>
        <w:outlineLvl w:val="9"/>
        <w:rPr>
          <w:rFonts w:cs="Arial" w:eastAsiaTheme="majorEastAsia"/>
          <w:b w:val="0"/>
          <w:bCs w:val="0"/>
          <w:sz w:val="21"/>
          <w:szCs w:val="21"/>
        </w:rPr>
      </w:pPr>
      <w:bookmarkStart w:id="50" w:name="_Toc23888"/>
      <w:bookmarkStart w:id="51" w:name="_Toc11115"/>
      <w:bookmarkStart w:id="52" w:name="_Toc19867"/>
      <w:bookmarkStart w:id="53" w:name="_Toc18626"/>
      <w:r>
        <w:rPr>
          <w:rFonts w:hint="eastAsia" w:cs="Arial" w:eastAsiaTheme="majorEastAsia"/>
          <w:sz w:val="21"/>
          <w:szCs w:val="21"/>
        </w:rPr>
        <w:t>备注</w:t>
      </w:r>
      <w:r>
        <w:rPr>
          <w:rFonts w:hint="eastAsia" w:cs="Arial" w:eastAsiaTheme="majorEastAsia"/>
          <w:b w:val="0"/>
          <w:bCs w:val="0"/>
          <w:sz w:val="21"/>
          <w:szCs w:val="21"/>
        </w:rPr>
        <w:t>：以上施工现状图均为2020年7月31日拍摄。</w:t>
      </w:r>
      <w:bookmarkEnd w:id="50"/>
      <w:bookmarkEnd w:id="51"/>
      <w:bookmarkEnd w:id="52"/>
      <w:bookmarkEnd w:id="53"/>
    </w:p>
    <w:p>
      <w:pPr>
        <w:pStyle w:val="3"/>
        <w:rPr>
          <w:rFonts w:asciiTheme="majorEastAsia" w:hAnsiTheme="majorEastAsia" w:eastAsiaTheme="majorEastAsia" w:cstheme="majorEastAsia"/>
          <w:sz w:val="24"/>
          <w:szCs w:val="24"/>
        </w:rPr>
      </w:pPr>
      <w:bookmarkStart w:id="54" w:name="_Toc14110"/>
      <w:bookmarkStart w:id="55" w:name="_Toc30654"/>
      <w:bookmarkStart w:id="56" w:name="_Toc29572"/>
      <w:bookmarkStart w:id="57" w:name="_Toc8177"/>
      <w:bookmarkStart w:id="58" w:name="_Toc2002"/>
      <w:r>
        <w:rPr>
          <w:rFonts w:cs="Arial" w:eastAsiaTheme="majorEastAsia"/>
          <w:sz w:val="24"/>
          <w:szCs w:val="24"/>
        </w:rPr>
        <w:t>3.4、</w:t>
      </w:r>
      <w:r>
        <w:rPr>
          <w:rFonts w:hint="eastAsia" w:cs="Arial" w:eastAsiaTheme="majorEastAsia"/>
          <w:sz w:val="24"/>
          <w:szCs w:val="24"/>
        </w:rPr>
        <w:t>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月工程施工进度计划</w:t>
      </w:r>
      <w:bookmarkEnd w:id="54"/>
      <w:bookmarkEnd w:id="55"/>
      <w:bookmarkEnd w:id="56"/>
      <w:bookmarkEnd w:id="57"/>
      <w:bookmarkEnd w:id="58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因项目公司决定对项目进行缓建，内部无计划考核，故8月未制定施工计划。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ajorEastAsia"/>
          <w:color w:val="000000"/>
          <w:sz w:val="24"/>
        </w:rPr>
      </w:pPr>
      <w:bookmarkStart w:id="59" w:name="_Toc3374"/>
      <w:bookmarkStart w:id="60" w:name="_Toc37668496"/>
      <w:bookmarkStart w:id="61" w:name="_Toc18100"/>
      <w:bookmarkStart w:id="62" w:name="_Toc24785"/>
      <w:bookmarkStart w:id="63" w:name="_Toc15837"/>
      <w:bookmarkStart w:id="64" w:name="_Toc2931"/>
      <w:bookmarkStart w:id="65" w:name="_Toc32199"/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Theme="majorEastAsia" w:hAnsiTheme="majorEastAsia" w:eastAsiaTheme="majorEastAsia" w:cstheme="majorEastAsia"/>
          <w:color w:val="000000"/>
          <w:sz w:val="24"/>
        </w:rPr>
      </w:pPr>
      <w:r>
        <w:rPr>
          <w:rFonts w:ascii="Arial" w:hAnsi="Arial" w:cs="Arial" w:eastAsiaTheme="majorEastAsia"/>
          <w:color w:val="000000"/>
          <w:sz w:val="24"/>
        </w:rPr>
        <w:t>4</w:t>
      </w:r>
      <w:r>
        <w:rPr>
          <w:rFonts w:hint="eastAsia" w:ascii="Arial" w:hAnsi="Arial" w:cs="Arial" w:eastAsiaTheme="majorEastAsia"/>
          <w:color w:val="000000"/>
          <w:sz w:val="24"/>
        </w:rPr>
        <w:t>、</w:t>
      </w:r>
      <w:r>
        <w:rPr>
          <w:rFonts w:hint="eastAsia" w:asciiTheme="majorEastAsia" w:hAnsiTheme="majorEastAsia" w:eastAsiaTheme="majorEastAsia" w:cstheme="majorEastAsia"/>
          <w:color w:val="000000"/>
          <w:sz w:val="24"/>
        </w:rPr>
        <w:t>印鉴使用情况</w:t>
      </w:r>
      <w:bookmarkEnd w:id="59"/>
      <w:bookmarkEnd w:id="60"/>
      <w:bookmarkEnd w:id="61"/>
      <w:bookmarkEnd w:id="62"/>
      <w:bookmarkEnd w:id="63"/>
      <w:bookmarkEnd w:id="64"/>
      <w:bookmarkEnd w:id="6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对于印章的使用，项目公司人员按照监管协议规定，履行印章使用流程，填写印章使用登记表，康信君安监管人员了解用印事由，根据相应权限审核用印并同时登记电子版和纸质台账，使用情况详见下表：</w:t>
      </w:r>
    </w:p>
    <w:p>
      <w:pPr>
        <w:spacing w:before="315" w:beforeLines="100"/>
        <w:ind w:firstLine="482" w:firstLineChars="200"/>
        <w:jc w:val="center"/>
        <w:rPr>
          <w:rFonts w:ascii="Arial" w:hAnsi="Arial" w:cs="Arial"/>
          <w:b/>
          <w:kern w:val="44"/>
          <w:szCs w:val="21"/>
        </w:rPr>
      </w:pPr>
      <w:r>
        <w:rPr>
          <w:rFonts w:hint="eastAsia" w:ascii="宋体" w:hAnsi="宋体" w:cs="宋体"/>
          <w:b/>
          <w:kern w:val="44"/>
          <w:sz w:val="24"/>
        </w:rPr>
        <w:t>项目公司</w:t>
      </w:r>
      <w:r>
        <w:rPr>
          <w:rFonts w:ascii="Arial" w:hAnsi="Arial" w:cs="Arial"/>
          <w:b/>
          <w:kern w:val="44"/>
          <w:sz w:val="24"/>
        </w:rPr>
        <w:t>2020</w:t>
      </w:r>
      <w:r>
        <w:rPr>
          <w:rFonts w:hint="eastAsia" w:ascii="宋体" w:hAnsi="宋体" w:cs="宋体"/>
          <w:b/>
          <w:kern w:val="44"/>
          <w:sz w:val="24"/>
        </w:rPr>
        <w:t>年7月印鉴使用情况</w:t>
      </w:r>
    </w:p>
    <w:tbl>
      <w:tblPr>
        <w:tblStyle w:val="12"/>
        <w:tblW w:w="891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0"/>
        <w:gridCol w:w="791"/>
        <w:gridCol w:w="3532"/>
        <w:gridCol w:w="350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tblHeader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  <w:t>章名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  <w:t>用印事由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  <w:t>用印文件及份数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处理车辆渝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D12914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前期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次违章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证明-处理前期车辆违章（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经办人身份证（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重庆市恒隆健康产业有限公司营业执照复印件（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2020/7/01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用于员工宿舍租赁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王永良、吴启容房屋租赁合同（4份）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2020/7/01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财务章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招商银行3/4/5月对账单回执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银企余额对账单回执（3份）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解除与恒大地产集团重庆有限公司签订的《租赁合同》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《租赁合同》解除协议（4份）（2020/6/30所盖文件内容有异，所以重盖）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用于申报603亩地块的临电增容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客户用电报装申请书（1份）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授权委托书（1份）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关于高压新装客户用电设备需一次性投运告知书（1份）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用电设备清单（一份）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重庆市恒隆健康产业有限公司法定代表人身份证复印件（1份）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营业执照复印件（1份）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经办人（黄先亮）身份证复印件（1份）、603亩地块成交确认书（1份）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恒大健康小镇项目备案证明（1份）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一般纳税人认定书（1份）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用于报装正式用电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情况说明（1份）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招商银行3/4/5月对账单回执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银企余额对账单回执（3份）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员工按揭贷款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收入证明（甘霖）（3份）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重庆恒大养生谷（北碚项目）销售围蔽工程施工合同用印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重庆恒大养生谷（北碚项目）销售围蔽工程施工合同（4份）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2020/7/03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沟通管委会调整道路施工方案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关于恳请道路施工方案改变强夯控制距离的函（2份）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2020/7/03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提供给中国电信公司重庆北碚分公司作为专票开具凭证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重庆市恒隆健康产业有限公司开户信息证明（2份）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重庆市恒隆健康产业有限公司营业执照（2份）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2020/7/03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财务章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中国农业发展银行对账单回执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中国农业发展银行对账单（2份）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2020/7/07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委托会计事务所出具验资报告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验资业务约定书（截至2020/5/19）（2份）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验资业务约定书（截至2019/6/18）（2份）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2020/7/07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办理108亩施工证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危大工程判定表2223（3份）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危大工程判定表2425（3份）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2020/7/07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打印企业征信报告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企业法定代表人授权委托书（1份）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营业执照正本复印件（1份）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经办人身份证复印件（1份）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2020/7/08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办理渝D12914的ETC业务需要资料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单位授权委托书-渝D12914（2份）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经办人身份证（2份）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营业执照复印件（2份）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法人身份证（2份）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ETC业务申请表（4份）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ETC业务服务协议（4份）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渝D12914行驶证（2份）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2020/7/08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重庆恒隆6月公积金汇缴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重庆恒隆住房公积金汇（补）缴书-6月（1份）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2020/7/08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用于营销中心电梯办理特种设备登记许可证;用于日保单位进场通知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变更说明（2份）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日保单位进场工程通知单（2份）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2020/7/09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办理108亩项目资本金存入申请资料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市重点项目证明截图（1份）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项目资本金存入申请表24、25（2份）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建设用地规划许可证（恒大国际温泉旅游健康城项目）复印件（3份）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重庆市企业投资项目备案证（恒大国际温泉旅游健康城项目）（3份）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建设项目规划管理报建审查复函（2020）0035号（3份）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国有建设用地土地使用权出让合同（恒大国际温泉旅游健康城项目）（3份）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2020/7/09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用于传唱广告与恒隆合同纠纷一案举证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重庆恒大健康城网推工作举证（2份）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重庆恒大养生谷网推工作举证（2份）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2020/7/09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办理108亩施工证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重庆市房地产开发项目资本金托管协议书（G2-102、G3-1002地块）（3份）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重庆市房地产开发项目资本金托管协议书（G1-403、G1-203地块）（3份）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2020/7/09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供电局整理账户，申请不退还预存电费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对供电局，不退还预存电费的《申请》（1份）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2020/7/09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用于开具人防易地建设费缴费单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建设工程规划许可证（建字第500109201900018号）（1份）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建设工程规划许可证（建字第500109201900019号）（1份）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建设工程技术经济指标计算书（G1-2/03地块）（1份）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建设工程技术经济指标计算书（G1-4/03地块）（1份）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北碚区恒大国际温泉旅游健康小镇项目投资合作协议复印件（1份）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2020/7/09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用于办理项目资本金报建手续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重庆人人民政府办公厅关于做好2020 年市级重大项目实施有关工作的通知（渝府办发[2020]21号）（2份）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用于办理宽带及电话业务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介绍信（1份）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营业执照副本复印件（1份）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办理配套费缓缴手续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身份证明书（4份）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城市建设配套费缓缴协议书（4份）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营业执照（副本）复印件（2份）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法人身份证复印件（2份）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向北碚网推公司发送开工函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工作启动函（1份）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重庆市恒大养生谷（北碚项目）商铺租赁合同用印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重庆市恒大养生谷（北碚项目）商铺租赁合同（王夕才、李鹏飞、邓素红、倪燕琼、陈建琼、张豪、杨灿、万旭贵，各4份）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《重庆恒大健康小镇和重庆恒大养生谷年度网络推服务合同》补充协议用印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《重庆恒大健康小镇和重庆恒大养生谷年度网络推服务合同》补充协议（4份）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重庆恒大养生谷（北碚项目）JK（CQ）-QT1SA-1户型A1单元简欧轻奢风格临时样板房软装工程施工合同用印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重庆恒大养生谷（北碚项目）JK（CQ）-QT1SA-1户型A1单元简欧轻奢风格临时样板房软装工程施工合同（4份）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重庆恒大养生谷（北碚项目）JK（CQ）-QT1SA-1户型F1单元遇见江南风格临时样板房软装工程施工合同（4份）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重庆恒大养生谷（北碚项目）JK（CQ）-S46-2-A1户型水墨东方风格临时样板房软装工程施工合同（4份）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委托广告公司对重庆恒大养生谷项目进行年度全案广告策划代理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重庆恒大养生谷北碚项目2020～2021年度全案广告策划代理合同（4份）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2020/7/14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住房公积金提取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住房公积金提取申请（2份）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2020/7/14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财务章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银行电子商业汇票业务办理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电子商业汇票业务办理申请表（30份）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2020/7/15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用于办理A6、A10、A13、A17、A18工规证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建设项目规划管理报建申请表（6份）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法定代表人授权委托书及法定代表人证证书（6份）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营业执照副本（6份）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经办人身份证（6份）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2020/7/15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办理24/25地块施工证手续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建筑工程明细表（1份）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2020/7/17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用于展厅沙盘制作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重庆恒大养生谷展厅沙盘制作开工令（1份）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用于员工评职称（欧阳勇）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营业执照复印件（2份）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采购医药，供应商作为首营企业建档资料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重庆市恒隆健康产业有限公司营业执照副本（1份）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2020/7/21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项目资本金使用申请手续；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完善质量报监纸质手续。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项目资本金使用申请表（2份）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情况说明（2份）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监理合同备案变更表（5份）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2020/7/21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重庆恒大养生谷（北碚项目）A-09地块园建工程施工合同用印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重庆恒大养生谷（北碚项目）A-09地块园建工程施工合同（4份）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2020/7/21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重庆恒大养生谷（北碚项目）旱式喷泉工程施工合同用印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重庆恒大养生谷（北碚项目）旱式喷泉工程施工合同（4份）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办理工伤认定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情况说明（刘巍立）（2份）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财务章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银行电子商业汇票业务办理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电子商业汇票业务办理申请表（15份）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恒大健康产业集团有限公司向中航信托申请7亿元信托贷款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《补充协议》（6份）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2020/7/22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年度采购合同补充协议用印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恒大健康集团西部公司重庆区域2019-2020礼品年度采购合同（重庆和讯礼品有限公司）（4份）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恒大健康集团西部公司重庆区域2019-2020礼品年度采购合同（重庆汇邦汉和文化产业有限公司）（4份）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恒大健康集团西部公司重庆区域2019-2020礼品年度采购合同（重庆君交商贸有限公司）（4份）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2020/7/23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用于销售公示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业主临时管理规约（3份）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2020/7/23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用于员工宿舍租赁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李天敏房屋租赁合同（4份）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2020/7/23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重庆恒大养生谷（北碚项目）6月物业案场物资购销合同用印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重庆恒大养生谷（北碚项目）6月物业案场物资购销合同用印（4份）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2020/7/23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重庆恒大养生谷（北碚项目）销售展示区室外水上游乐设施采购合同用印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重庆恒大养生谷（北碚项目）销售展示区室外水上游乐设施采购合同（4份）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2020/7/23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重庆恒大养生谷（北碚项目）展示区域日常保洁服务合同用印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重庆恒大养生谷（北碚项目）展示区域日常保洁服务合同（4份）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2020/7/24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月恒隆公积金汇缴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重庆恒隆住房公积金汇（补）缴书-7月（1份）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2020/7/24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办理108亩项目资本金使用申请资料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项目资本金使用申请表（2份）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2020/7/27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现场防止水土流失措施，交水利局备查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现场沉砂池照片（1份）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2020/7/27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用于办理门牌号对照表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房屋建筑门楼号对照表（G1-203地块）（2份）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房屋建筑门楼号对照表（G1-403地块）（2份）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2020/7/28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用于配合市规资局执法大队对项目执法调查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重庆市恒隆健康产业有限公司营业执照副本复印件（1份）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重庆市恒隆健康产业有限公司法定代表人身份证复印件（1份）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法定代表人身份证明（1份）、单位授权委托书（1份）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经办人（黄先亮）身份证复印件（1份）、603亩成交确认书（1份）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2020/7/28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用于配合市规资局执法大队对项目执法调查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重庆市恒隆健康产业有限公司营业执照副本（1份）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重庆市恒隆健康产业有限公司法定代表人身份证复印件（1份）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法定代表人身份证明（1份）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单位授权委托书（1份）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经办人（黄先亮）身份证复印件（1份）、603亩成交确认书（1份）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2020/7/30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用于办理108亩项目资本金使用申请资料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项目资本金使用申请表（2份）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2020/7/30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用于北碚项目代建道路更改名称的情况说明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重庆恒大养生谷（北碚项目）关于更改市政道路项目名称的情况说明（2份）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2020/7/31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用于中诚信托验资审计后补用印资料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设立验资事项声明书-首次（2份）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设立验资事项声明书-第二次（2份）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2020/7/31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用于中诚信托北碚项目融资验资审计后补用印资料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重庆恒隆2500万、2450万实收资本转入银行回单、记账凭证、辅助明细账（2份）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  <w:jc w:val="center"/>
        </w:trPr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2020/7/31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用于会议纪要确认</w:t>
            </w:r>
          </w:p>
        </w:tc>
        <w:tc>
          <w:tcPr>
            <w:tcW w:w="3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22#23#正负零下图纸会审记录2020年5月22日（4份）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泵送混凝土专项施工方案（4份）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模板方案（4份）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验收会议纪要（22/23地块）（12份）</w:t>
            </w:r>
          </w:p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验收会议纪要（24/25地块）（40份）</w:t>
            </w:r>
          </w:p>
        </w:tc>
      </w:tr>
    </w:tbl>
    <w:p>
      <w:pPr>
        <w:spacing w:before="315" w:beforeLines="100"/>
        <w:jc w:val="center"/>
        <w:rPr>
          <w:rFonts w:ascii="Arial" w:hAnsi="Arial" w:cs="Arial"/>
          <w:b/>
          <w:color w:val="000000"/>
          <w:sz w:val="24"/>
        </w:rPr>
      </w:pPr>
    </w:p>
    <w:p>
      <w:pPr>
        <w:spacing w:before="315" w:beforeLines="100"/>
        <w:jc w:val="center"/>
        <w:rPr>
          <w:rFonts w:ascii="宋体" w:hAnsi="宋体" w:cs="宋体"/>
          <w:b/>
          <w:kern w:val="44"/>
          <w:sz w:val="24"/>
        </w:rPr>
      </w:pP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hint="eastAsia" w:ascii="宋体" w:hAnsi="宋体" w:cs="宋体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0</w:t>
      </w:r>
      <w:r>
        <w:rPr>
          <w:rFonts w:hint="eastAsia" w:ascii="Arial" w:hAnsi="Arial" w:cs="Arial"/>
          <w:b/>
          <w:color w:val="000000"/>
          <w:sz w:val="24"/>
        </w:rPr>
        <w:t>7</w:t>
      </w:r>
      <w:r>
        <w:rPr>
          <w:rFonts w:hint="eastAsia" w:ascii="宋体" w:hAnsi="宋体" w:cs="宋体"/>
          <w:b/>
          <w:color w:val="000000"/>
          <w:sz w:val="24"/>
        </w:rPr>
        <w:t>月印章/证照外出使用情况表</w:t>
      </w:r>
    </w:p>
    <w:tbl>
      <w:tblPr>
        <w:tblStyle w:val="12"/>
        <w:tblW w:w="892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1468"/>
        <w:gridCol w:w="1732"/>
        <w:gridCol w:w="1568"/>
        <w:gridCol w:w="1282"/>
        <w:gridCol w:w="18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  <w:jc w:val="center"/>
        </w:trPr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14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印鉴/证照名称</w:t>
            </w:r>
          </w:p>
        </w:tc>
        <w:tc>
          <w:tcPr>
            <w:tcW w:w="17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12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8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监印/证人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2020/7/6</w:t>
            </w:r>
          </w:p>
        </w:tc>
        <w:tc>
          <w:tcPr>
            <w:tcW w:w="14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营业执照（正本）</w:t>
            </w:r>
          </w:p>
        </w:tc>
        <w:tc>
          <w:tcPr>
            <w:tcW w:w="17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打印企业征信报告</w:t>
            </w: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中国人民银行（重庆营业管理部）</w:t>
            </w:r>
          </w:p>
        </w:tc>
        <w:tc>
          <w:tcPr>
            <w:tcW w:w="12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王茜</w:t>
            </w:r>
          </w:p>
        </w:tc>
        <w:tc>
          <w:tcPr>
            <w:tcW w:w="18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何艳秋、孙蓉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2020/7/9</w:t>
            </w:r>
          </w:p>
        </w:tc>
        <w:tc>
          <w:tcPr>
            <w:tcW w:w="14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营业执照（正副本）、开户许可证、财务章、法人章、公章</w:t>
            </w:r>
          </w:p>
        </w:tc>
        <w:tc>
          <w:tcPr>
            <w:tcW w:w="17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108亩地资本金监管银行开户</w:t>
            </w: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中国农业银行（北碚支行）</w:t>
            </w:r>
          </w:p>
        </w:tc>
        <w:tc>
          <w:tcPr>
            <w:tcW w:w="12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李琪露</w:t>
            </w:r>
          </w:p>
        </w:tc>
        <w:tc>
          <w:tcPr>
            <w:tcW w:w="18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何艳秋、孙蓉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2020/7/9</w:t>
            </w:r>
          </w:p>
        </w:tc>
        <w:tc>
          <w:tcPr>
            <w:tcW w:w="14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营业执照（副本）</w:t>
            </w:r>
          </w:p>
        </w:tc>
        <w:tc>
          <w:tcPr>
            <w:tcW w:w="17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城市建设配套费缓缴</w:t>
            </w: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重庆市建委</w:t>
            </w:r>
          </w:p>
        </w:tc>
        <w:tc>
          <w:tcPr>
            <w:tcW w:w="12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李琪露</w:t>
            </w:r>
          </w:p>
        </w:tc>
        <w:tc>
          <w:tcPr>
            <w:tcW w:w="18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何艳秋、孙蓉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Theme="majorEastAsia" w:hAnsiTheme="majorEastAsia" w:eastAsiaTheme="majorEastAsia" w:cstheme="majorEastAsia"/>
          <w:color w:val="000000"/>
          <w:sz w:val="24"/>
        </w:rPr>
      </w:pPr>
      <w:bookmarkStart w:id="66" w:name="_Toc37668497"/>
      <w:bookmarkStart w:id="67" w:name="_Toc532281661"/>
      <w:bookmarkStart w:id="68" w:name="_Toc22811"/>
      <w:bookmarkStart w:id="69" w:name="_Toc535580027"/>
      <w:bookmarkStart w:id="70" w:name="_Toc535570754"/>
      <w:bookmarkStart w:id="71" w:name="_Toc535580095"/>
      <w:bookmarkStart w:id="72" w:name="_Toc535508640"/>
      <w:bookmarkStart w:id="73" w:name="_Toc607"/>
      <w:bookmarkStart w:id="74" w:name="_Toc18848"/>
      <w:bookmarkStart w:id="75" w:name="_Toc23366"/>
      <w:bookmarkStart w:id="76" w:name="_Toc29805"/>
      <w:bookmarkStart w:id="77" w:name="_Toc17917"/>
      <w:r>
        <w:rPr>
          <w:rFonts w:ascii="Arial" w:hAnsi="Arial" w:cs="Arial" w:eastAsiaTheme="majorEastAsia"/>
          <w:color w:val="000000"/>
          <w:sz w:val="24"/>
        </w:rPr>
        <w:t>5</w:t>
      </w:r>
      <w:r>
        <w:rPr>
          <w:rFonts w:hint="eastAsia" w:ascii="Arial" w:hAnsi="Arial" w:cs="Arial" w:eastAsiaTheme="majorEastAsia"/>
          <w:color w:val="000000"/>
          <w:sz w:val="24"/>
        </w:rPr>
        <w:t>、</w:t>
      </w:r>
      <w:r>
        <w:rPr>
          <w:rFonts w:hint="eastAsia" w:asciiTheme="majorEastAsia" w:hAnsiTheme="majorEastAsia" w:eastAsiaTheme="majorEastAsia" w:cstheme="majorEastAsia"/>
          <w:color w:val="000000"/>
          <w:sz w:val="24"/>
        </w:rPr>
        <w:t>合同签订情况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>
      <w:pPr>
        <w:spacing w:line="480" w:lineRule="auto"/>
        <w:ind w:firstLine="420" w:firstLineChars="200"/>
        <w:rPr>
          <w:rFonts w:ascii="Arial" w:hAnsi="Arial" w:cs="Arial"/>
          <w:b/>
          <w:bCs/>
          <w:sz w:val="24"/>
          <w:szCs w:val="32"/>
        </w:rPr>
      </w:pP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项目公司</w:t>
      </w:r>
      <w:r>
        <w:rPr>
          <w:rFonts w:ascii="Arial" w:hAnsi="Arial" w:cs="Arial" w:eastAsiaTheme="minorEastAsia"/>
          <w:bCs/>
          <w:kern w:val="44"/>
          <w:szCs w:val="21"/>
        </w:rPr>
        <w:t>2020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年</w:t>
      </w:r>
      <w:r>
        <w:rPr>
          <w:rFonts w:hint="eastAsia" w:ascii="Arial" w:hAnsi="Arial" w:cs="Arial" w:eastAsiaTheme="minorEastAsia"/>
          <w:bCs/>
          <w:kern w:val="44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月份共签订合同</w:t>
      </w:r>
      <w:r>
        <w:rPr>
          <w:rFonts w:ascii="Arial" w:hAnsi="Arial" w:cs="Arial" w:eastAsiaTheme="minorEastAsia"/>
          <w:bCs/>
          <w:kern w:val="44"/>
          <w:szCs w:val="21"/>
        </w:rPr>
        <w:t>22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份，详见合同</w:t>
      </w:r>
      <w:bookmarkStart w:id="78" w:name="_Hlk40046665"/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签订情况</w:t>
      </w:r>
      <w:bookmarkEnd w:id="78"/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表：</w:t>
      </w:r>
    </w:p>
    <w:p>
      <w:pPr>
        <w:spacing w:before="315" w:beforeLines="100"/>
        <w:ind w:firstLine="482" w:firstLineChars="200"/>
        <w:jc w:val="center"/>
      </w:pPr>
      <w:r>
        <w:rPr>
          <w:rFonts w:ascii="Arial" w:hAnsi="Arial" w:cs="Arial"/>
          <w:b/>
          <w:bCs/>
          <w:sz w:val="24"/>
          <w:szCs w:val="32"/>
        </w:rPr>
        <w:t>2020</w:t>
      </w:r>
      <w:r>
        <w:rPr>
          <w:rFonts w:hint="eastAsia"/>
          <w:b/>
          <w:bCs/>
          <w:sz w:val="24"/>
          <w:szCs w:val="32"/>
        </w:rPr>
        <w:t>年7月合同签订情况</w:t>
      </w:r>
    </w:p>
    <w:tbl>
      <w:tblPr>
        <w:tblStyle w:val="12"/>
        <w:tblW w:w="4834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1033"/>
        <w:gridCol w:w="1454"/>
        <w:gridCol w:w="1980"/>
        <w:gridCol w:w="2640"/>
        <w:gridCol w:w="13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tblHeader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79" w:name="_Toc31845"/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ind w:left="-1800" w:leftChars="-857" w:firstLine="1626" w:firstLineChars="90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ind w:left="-1800" w:leftChars="-857" w:firstLine="1626" w:firstLineChars="90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合同名称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ind w:left="-1800" w:leftChars="-857" w:firstLine="1626" w:firstLineChars="90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合同主要内容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ind w:left="-1800" w:leftChars="-857" w:firstLine="1626" w:firstLineChars="90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 xml:space="preserve">   合同金额（元）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2020/7/01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王永良、吴启容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房屋租赁合同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用于员工宿舍租赁（房东：王永良、吴启容，地址：北碚区澄江镇温霞路5号2幢2单元6-3，租赁期限1年，2020.7.1-2021.6.30）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23,400.00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2020/7/02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重庆两滨建筑工程有限公司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重庆恒大养生谷（北碚项目）销售围蔽工程施工合同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承包人在承包范围内以包工 包料、包机械、包工期、包质量、包安全文明施工、包协调各类外部关系、包验 收合格、包市场风险、包税金、包利润、管理费、规费的形式承包本项目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1,597,545.03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2020/7/07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四川中衡安信会计事务所有限公司乐山分所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验资业务约定书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甲方委托乙方对甲方截至2019年06月18日止注册资本的实收情况进行审验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2020/7/07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四川中衡安信会计事务所有限公司乐山分所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验资业务约定书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甲方委托乙方对甲方截至2020年05月19日止注册资本的实收情况进行审验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王夕才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重庆恒大养生谷（北碚项目）商铺租赁合同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甲方将位于重庆市北碚区澄江镇温霞路重庆恒大养生谷商业街B7-1-1~3商铺出租给乙方使用。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李鹏飞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重庆恒大养生谷（北碚项目）商铺租赁合同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甲方将位于重庆北碚区澄江镇温霞路重庆恒大养生谷商业街B5-1-10~12商铺出租给乙方使用。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邓素红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重庆恒大养生谷（北碚项目）商铺租赁合同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甲方将位于重庆市北碚区澄江镇温霞路重庆恒大养生谷商业街B5-1-6~9商铺出租给乙方使用。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倪燕琼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重庆恒大养生谷（北碚项目）商铺租赁合同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甲方将位于 重庆市北碚区澄江镇温霞路重庆恒大养生谷商业街B7-1-6~7商铺出租给乙方使用。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陈建琼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重庆恒大养生谷（北碚项目）商铺租赁合同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甲方将位于 重庆市北碚区澄江镇温霞路重庆恒大养生谷商业街B7-1-4~5商铺出租给乙方使用。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张豪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重庆恒大养生谷（北碚项目）商铺租赁合同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甲方将位于 重庆市北碚区澄江镇温霞路重庆恒大养生谷商业街B5-1-4~5 商铺出租给乙方使用。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杨灿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重庆恒大养生谷（北碚项目）商铺租赁合同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甲方将位于 重庆市北碚区澄江镇温霞路重庆恒大养生谷商业街B5-1-3商铺出租给乙方使用。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万旭贵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重庆恒大养生谷（北碚项目）商铺租赁合同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甲方将位于重庆市北碚区澄江镇温霞路重庆恒大养生谷商业街B5-1-1~2 商铺出租给乙方使用。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成都和声品牌策划有限公司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重庆恒大养生谷（北碚项目）2020～2021 年度 全案广告策划代理合同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甲方委托乙方为重庆恒大养生谷（北碚项目）2020-2021年度全案广告策划代理公司，在合同期内完成甲方委托的代理工作内容。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972,000.00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深圳市百搭园装饰设计工程有限公司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重庆恒大养生谷（北碚项目）JK（CQ）-S46-2-A1 户 型水墨东方风格临时样板房软装工程施工合同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乙方负责重庆恒大养生谷（北碚项目）JK（CQ）-S46-2-A1 户型水墨东方风格临时样板房软装方案的设计，按甲方最终确认的年度中标软装风格方案，结合样板房现场装饰效果进行装饰物料配置、物流配送、现场布置及安装等工作。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259,778.40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深圳市百搭园装饰设计工程有限公司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重庆恒大养生谷（北碚项目）JK（CQ） -QT1sa-1 户型 F1 单元遇见江南风格临时样板房软装工程施工合同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乙方负责重庆恒大养生谷（北碚项目）JK（CQ）-QT1sa-1 户型 F1 单元遇见江南风格临时 样板房软装方案的设计，按甲方最终确认的年度中标软装风格方案，结合样板房现场装饰效果 进行装饰物料配置、物流配送、现场布置及安装等工作。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265,736.72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深圳市百搭园装饰设计工程有限公司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重庆恒大养生谷（北碚项目）JK（CQ） -QT1sa-1 户型 A1 单元简欧轻奢风格临时样板房软装 工程施工合同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乙方负责重庆恒大养生谷（北碚项目）JK（CQ）-QT1sa-1 户型 A1 单元简欧轻奢风格临时 样板房软装方案的设计，按甲方最终确认的年度中标软装风格方案，结合样板房现场装饰效果 进行装饰物料配置、物流配送、现场布置及安装等工作。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278,103.20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2020/7/21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浙江中景市政园林建设有限公司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重庆恒大养生谷（北碚项目）A-09地块园建工程施工合同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乙方负责重庆恒大养生谷（北碚项目）A-09地块园建工程的施工图及相关的补充图、设计变更等所涵盖的园建施工内容，以及甲方指定的零星园建工程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980,000.00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2020/7/21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河南大木新能源科技有限公司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重庆恒大养生谷（北碚项目）旱式喷泉工程施工合同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乙方负责重庆恒大养生谷（北碚项目）旱式喷泉工程包括图纸设计、设备材料供应、工程施工、系统调试、工程验收等全部内容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2,361,212.50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李天敏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房屋租赁合同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甲方出租房屋给乙方，位于重庆市北碚区澄江镇澄江路334号6-2，建筑面积共87.62平方米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19,200.00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重庆万博酒店用品有限公司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重庆恒大养生谷（北碚项目）6月物业案场物资购销合同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甲方向乙方购买6月物业案场物资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333,142.00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浙江飞友康体设备有限公司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重庆恒大养生谷（北碚项目）销售展示区室外水上游乐设施采购合同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甲方向乙方购买水上游乐设施事宜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2,128,500.00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5" w:hRule="atLeast"/>
          <w:jc w:val="center"/>
        </w:trPr>
        <w:tc>
          <w:tcPr>
            <w:tcW w:w="32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57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80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重庆市宝鸿环卫服务有限公司</w:t>
            </w:r>
          </w:p>
        </w:tc>
        <w:tc>
          <w:tcPr>
            <w:tcW w:w="109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重庆恒大养生谷（北碚项目）展示区域日常保洁服务合同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乙方按合同约定负责很气恒大养生谷（北碚项目）展示区域的日常保洁工作，展示营销中心建筑面积约4613.3平方米，临时样板间面积约354.54平方米，保洁区域总面积约53292.4平方米。</w:t>
            </w:r>
          </w:p>
        </w:tc>
        <w:tc>
          <w:tcPr>
            <w:tcW w:w="73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1,573,880.00 </w:t>
            </w:r>
          </w:p>
        </w:tc>
      </w:tr>
      <w:bookmarkEnd w:id="79"/>
    </w:tbl>
    <w:p>
      <w:pPr>
        <w:pStyle w:val="2"/>
        <w:keepNext w:val="0"/>
        <w:keepLines w:val="0"/>
        <w:spacing w:before="300" w:after="300" w:line="360" w:lineRule="exact"/>
        <w:rPr>
          <w:rFonts w:asciiTheme="majorEastAsia" w:hAnsiTheme="majorEastAsia" w:eastAsiaTheme="majorEastAsia" w:cstheme="majorEastAsia"/>
          <w:color w:val="000000"/>
          <w:sz w:val="24"/>
        </w:rPr>
      </w:pPr>
      <w:bookmarkStart w:id="80" w:name="_Toc31470"/>
      <w:bookmarkStart w:id="81" w:name="_Toc15267"/>
      <w:bookmarkStart w:id="82" w:name="_Toc22861"/>
      <w:bookmarkStart w:id="83" w:name="_Toc14480"/>
      <w:bookmarkStart w:id="84" w:name="_Toc3020"/>
      <w:bookmarkStart w:id="85" w:name="_Toc37668498"/>
      <w:bookmarkStart w:id="86" w:name="_Toc27316"/>
      <w:r>
        <w:rPr>
          <w:rFonts w:ascii="Arial" w:hAnsi="Arial" w:cs="Arial" w:eastAsiaTheme="majorEastAsia"/>
          <w:color w:val="000000"/>
          <w:sz w:val="24"/>
        </w:rPr>
        <w:t>6</w:t>
      </w:r>
      <w:r>
        <w:rPr>
          <w:rFonts w:hint="eastAsia" w:ascii="Arial" w:hAnsi="Arial" w:cs="Arial" w:eastAsiaTheme="majorEastAsia"/>
          <w:color w:val="000000"/>
          <w:sz w:val="24"/>
        </w:rPr>
        <w:t>、</w:t>
      </w:r>
      <w:r>
        <w:rPr>
          <w:rFonts w:hint="eastAsia" w:asciiTheme="majorEastAsia" w:hAnsiTheme="majorEastAsia" w:eastAsiaTheme="majorEastAsia" w:cstheme="majorEastAsia"/>
          <w:color w:val="000000"/>
          <w:sz w:val="24"/>
        </w:rPr>
        <w:t>项目销售情况</w:t>
      </w:r>
      <w:bookmarkEnd w:id="80"/>
      <w:bookmarkEnd w:id="81"/>
      <w:bookmarkEnd w:id="82"/>
      <w:bookmarkEnd w:id="83"/>
      <w:bookmarkEnd w:id="84"/>
      <w:bookmarkEnd w:id="85"/>
      <w:bookmarkEnd w:id="86"/>
    </w:p>
    <w:p>
      <w:pPr>
        <w:spacing w:line="480" w:lineRule="auto"/>
        <w:ind w:firstLine="420" w:firstLineChars="200"/>
        <w:rPr>
          <w:rFonts w:ascii="Arial" w:hAnsi="Arial"/>
          <w:color w:val="000000"/>
          <w:sz w:val="24"/>
        </w:rPr>
      </w:pPr>
      <w:r>
        <w:rPr>
          <w:rFonts w:hint="eastAsia" w:ascii="Arial" w:hAnsi="Arial" w:cs="Arial"/>
          <w:bCs/>
          <w:kern w:val="44"/>
          <w:szCs w:val="21"/>
        </w:rPr>
        <w:t>标的项目还未开始销售，暂无销售数据。</w:t>
      </w:r>
      <w:bookmarkStart w:id="87" w:name="_Toc532281663"/>
      <w:bookmarkStart w:id="88" w:name="_Toc535570756"/>
      <w:bookmarkStart w:id="89" w:name="_Toc535580029"/>
      <w:bookmarkStart w:id="90" w:name="_Toc535508642"/>
      <w:bookmarkStart w:id="91" w:name="_Toc37668499"/>
      <w:bookmarkStart w:id="92" w:name="_Toc535580097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 w:eastAsiaTheme="majorEastAsia"/>
          <w:color w:val="000000"/>
          <w:sz w:val="24"/>
        </w:rPr>
      </w:pPr>
      <w:bookmarkStart w:id="93" w:name="_Toc722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 w:eastAsiaTheme="majorEastAsia"/>
          <w:color w:val="000000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Theme="majorEastAsia" w:hAnsiTheme="majorEastAsia" w:eastAsiaTheme="majorEastAsia" w:cstheme="majorEastAsia"/>
          <w:color w:val="000000"/>
          <w:sz w:val="24"/>
        </w:rPr>
      </w:pPr>
      <w:bookmarkStart w:id="94" w:name="_Toc5965"/>
      <w:bookmarkStart w:id="95" w:name="_Toc9971"/>
      <w:bookmarkStart w:id="96" w:name="_Toc23799"/>
      <w:bookmarkStart w:id="97" w:name="_Toc28505"/>
      <w:bookmarkStart w:id="98" w:name="_Toc1832"/>
      <w:r>
        <w:rPr>
          <w:rFonts w:ascii="Arial" w:hAnsi="Arial" w:cs="Arial" w:eastAsiaTheme="majorEastAsia"/>
          <w:color w:val="000000"/>
          <w:sz w:val="24"/>
        </w:rPr>
        <w:t>7</w:t>
      </w:r>
      <w:r>
        <w:rPr>
          <w:rFonts w:hint="eastAsia" w:ascii="Arial" w:hAnsi="Arial" w:cs="Arial" w:eastAsiaTheme="majorEastAsia"/>
          <w:color w:val="000000"/>
          <w:sz w:val="24"/>
        </w:rPr>
        <w:t>、</w:t>
      </w:r>
      <w:r>
        <w:rPr>
          <w:rFonts w:hint="eastAsia" w:asciiTheme="majorEastAsia" w:hAnsiTheme="majorEastAsia" w:eastAsiaTheme="majorEastAsia" w:cstheme="majorEastAsia"/>
          <w:color w:val="000000"/>
          <w:sz w:val="24"/>
        </w:rPr>
        <w:t>资金</w:t>
      </w:r>
      <w:bookmarkEnd w:id="87"/>
      <w:r>
        <w:rPr>
          <w:rFonts w:hint="eastAsia" w:asciiTheme="majorEastAsia" w:hAnsiTheme="majorEastAsia" w:eastAsiaTheme="majorEastAsia" w:cstheme="majorEastAsia"/>
          <w:color w:val="000000"/>
          <w:sz w:val="24"/>
        </w:rPr>
        <w:t>情况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>
      <w:pPr>
        <w:pStyle w:val="3"/>
        <w:keepNext w:val="0"/>
        <w:keepLines w:val="0"/>
        <w:spacing w:before="300" w:after="300" w:line="360" w:lineRule="exact"/>
        <w:rPr>
          <w:rFonts w:asciiTheme="majorEastAsia" w:hAnsiTheme="majorEastAsia" w:eastAsiaTheme="majorEastAsia" w:cstheme="majorEastAsia"/>
          <w:color w:val="000000"/>
          <w:sz w:val="24"/>
        </w:rPr>
      </w:pPr>
      <w:bookmarkStart w:id="99" w:name="_Toc535580098"/>
      <w:bookmarkStart w:id="100" w:name="_Toc535570757"/>
      <w:bookmarkStart w:id="101" w:name="_Toc535580030"/>
      <w:bookmarkStart w:id="102" w:name="_Toc535508643"/>
      <w:bookmarkStart w:id="103" w:name="_Toc37668500"/>
      <w:bookmarkStart w:id="104" w:name="_Toc16727"/>
      <w:bookmarkStart w:id="105" w:name="_Toc10072"/>
      <w:bookmarkStart w:id="106" w:name="_Toc284"/>
      <w:bookmarkStart w:id="107" w:name="_Toc23864"/>
      <w:bookmarkStart w:id="108" w:name="_Toc5625"/>
      <w:bookmarkStart w:id="109" w:name="_Toc21720"/>
      <w:r>
        <w:rPr>
          <w:rFonts w:cs="Arial" w:eastAsiaTheme="majorEastAsia"/>
          <w:color w:val="000000"/>
          <w:sz w:val="24"/>
        </w:rPr>
        <w:t>7.1</w:t>
      </w:r>
      <w:r>
        <w:rPr>
          <w:rFonts w:hint="eastAsia" w:cs="Arial" w:eastAsiaTheme="majorEastAsia"/>
          <w:color w:val="000000"/>
          <w:sz w:val="24"/>
        </w:rPr>
        <w:t>、</w:t>
      </w:r>
      <w:r>
        <w:rPr>
          <w:rFonts w:hint="eastAsia" w:asciiTheme="majorEastAsia" w:hAnsiTheme="majorEastAsia" w:eastAsiaTheme="majorEastAsia" w:cstheme="majorEastAsia"/>
          <w:color w:val="000000"/>
          <w:sz w:val="24"/>
        </w:rPr>
        <w:t>资金流出情况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>
      <w:pPr>
        <w:spacing w:line="480" w:lineRule="auto"/>
        <w:ind w:firstLine="420" w:firstLineChars="200"/>
        <w:rPr>
          <w:rFonts w:asciiTheme="minorEastAsia" w:hAnsiTheme="minorEastAsia" w:eastAsiaTheme="minorEastAsia" w:cstheme="minorEastAsia"/>
          <w:bCs/>
          <w:kern w:val="44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截至</w:t>
      </w:r>
      <w:r>
        <w:rPr>
          <w:rFonts w:ascii="Arial" w:hAnsi="Arial" w:cs="Arial" w:eastAsiaTheme="minorEastAsia"/>
          <w:bCs/>
          <w:kern w:val="44"/>
          <w:szCs w:val="21"/>
        </w:rPr>
        <w:t>2020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年</w:t>
      </w:r>
      <w:r>
        <w:rPr>
          <w:rFonts w:hint="eastAsia" w:ascii="Arial" w:hAnsi="Arial" w:cs="Arial" w:eastAsiaTheme="minorEastAsia"/>
          <w:bCs/>
          <w:kern w:val="44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月</w:t>
      </w:r>
      <w:r>
        <w:rPr>
          <w:rFonts w:ascii="Arial" w:hAnsi="Arial" w:cs="Arial" w:eastAsiaTheme="minorEastAsia"/>
          <w:bCs/>
          <w:kern w:val="44"/>
          <w:szCs w:val="21"/>
        </w:rPr>
        <w:t>3</w:t>
      </w:r>
      <w:r>
        <w:rPr>
          <w:rFonts w:hint="eastAsia" w:ascii="Arial" w:hAnsi="Arial" w:cs="Arial" w:eastAsiaTheme="minorEastAsia"/>
          <w:bCs/>
          <w:kern w:val="44"/>
          <w:szCs w:val="21"/>
        </w:rPr>
        <w:t>1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日项目公司资金流出总额共计</w:t>
      </w:r>
      <w:r>
        <w:rPr>
          <w:rFonts w:ascii="Arial" w:hAnsi="Arial" w:cs="Arial" w:eastAsiaTheme="minorEastAsia"/>
          <w:bCs/>
          <w:kern w:val="44"/>
          <w:szCs w:val="21"/>
        </w:rPr>
        <w:t>163,335,63</w:t>
      </w:r>
      <w:r>
        <w:rPr>
          <w:rFonts w:hint="eastAsia" w:ascii="Arial" w:hAnsi="Arial" w:cs="Arial" w:eastAsiaTheme="minorEastAsia"/>
          <w:bCs/>
          <w:kern w:val="44"/>
          <w:szCs w:val="21"/>
        </w:rPr>
        <w:t>2</w:t>
      </w:r>
      <w:r>
        <w:rPr>
          <w:rFonts w:ascii="Arial" w:hAnsi="Arial" w:cs="Arial" w:eastAsiaTheme="minorEastAsia"/>
          <w:bCs/>
          <w:kern w:val="44"/>
          <w:szCs w:val="21"/>
        </w:rPr>
        <w:t>.76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元，其中中国农业银行出款共计</w:t>
      </w:r>
      <w:r>
        <w:rPr>
          <w:rFonts w:hint="eastAsia" w:ascii="Arial" w:hAnsi="Arial" w:cs="Arial" w:eastAsiaTheme="minorEastAsia"/>
          <w:bCs/>
          <w:kern w:val="44"/>
          <w:szCs w:val="21"/>
        </w:rPr>
        <w:t>162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800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189.68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元，盛京银行出款共计</w:t>
      </w:r>
      <w:r>
        <w:rPr>
          <w:rFonts w:hint="eastAsia" w:ascii="Arial" w:hAnsi="Arial" w:cs="Arial" w:eastAsiaTheme="minorEastAsia"/>
          <w:bCs/>
          <w:kern w:val="44"/>
          <w:szCs w:val="21"/>
        </w:rPr>
        <w:t>535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433.08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元，中国工商银行北碚支行出款</w:t>
      </w:r>
      <w:r>
        <w:rPr>
          <w:rFonts w:ascii="Arial" w:hAnsi="Arial" w:cs="Arial" w:eastAsiaTheme="minorEastAsia"/>
          <w:bCs/>
          <w:kern w:val="44"/>
          <w:szCs w:val="21"/>
        </w:rPr>
        <w:t>10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元。</w:t>
      </w:r>
      <w:r>
        <w:rPr>
          <w:rFonts w:ascii="Arial" w:hAnsi="Arial" w:cs="Arial" w:eastAsiaTheme="minorEastAsia"/>
          <w:bCs/>
          <w:kern w:val="44"/>
          <w:szCs w:val="21"/>
        </w:rPr>
        <w:t>2020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年</w:t>
      </w:r>
      <w:r>
        <w:rPr>
          <w:rFonts w:ascii="Arial" w:hAnsi="Arial" w:cs="Arial" w:eastAsiaTheme="minorEastAsia"/>
          <w:bCs/>
          <w:kern w:val="44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月内，资金流出总额为</w:t>
      </w:r>
      <w:r>
        <w:rPr>
          <w:rFonts w:ascii="Arial" w:hAnsi="Arial" w:cs="Arial" w:eastAsiaTheme="minorEastAsia"/>
          <w:bCs/>
          <w:kern w:val="44"/>
          <w:szCs w:val="21"/>
        </w:rPr>
        <w:t>52,950,603.79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元，中国农业银行出款共计</w:t>
      </w:r>
      <w:r>
        <w:rPr>
          <w:rFonts w:ascii="Arial" w:hAnsi="Arial" w:cs="Arial" w:eastAsiaTheme="minorEastAsia"/>
          <w:bCs/>
          <w:kern w:val="44"/>
          <w:szCs w:val="21"/>
        </w:rPr>
        <w:t>52,528,843.08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元，盛京银行出款共计</w:t>
      </w:r>
      <w:r>
        <w:rPr>
          <w:rFonts w:ascii="Arial" w:hAnsi="Arial" w:cs="Arial" w:eastAsiaTheme="minorEastAsia"/>
          <w:bCs/>
          <w:kern w:val="44"/>
          <w:szCs w:val="21"/>
        </w:rPr>
        <w:t>421,760.71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元。</w:t>
      </w:r>
    </w:p>
    <w:p>
      <w:pPr>
        <w:spacing w:before="315" w:beforeLines="100"/>
        <w:jc w:val="center"/>
        <w:rPr>
          <w:b/>
          <w:bCs/>
          <w:sz w:val="24"/>
          <w:szCs w:val="32"/>
        </w:rPr>
      </w:pPr>
      <w:bookmarkStart w:id="110" w:name="_Toc27251"/>
      <w:r>
        <w:rPr>
          <w:rFonts w:ascii="Arial" w:hAnsi="Arial" w:cs="Arial"/>
          <w:b/>
          <w:bCs/>
          <w:sz w:val="24"/>
          <w:szCs w:val="32"/>
        </w:rPr>
        <w:t>2020</w:t>
      </w:r>
      <w:r>
        <w:rPr>
          <w:rFonts w:hint="eastAsia"/>
          <w:b/>
          <w:bCs/>
          <w:sz w:val="24"/>
          <w:szCs w:val="32"/>
        </w:rPr>
        <w:t>年</w:t>
      </w:r>
      <w:r>
        <w:rPr>
          <w:rFonts w:ascii="Arial" w:hAnsi="Arial" w:cs="Arial"/>
          <w:b/>
          <w:bCs/>
          <w:sz w:val="24"/>
          <w:szCs w:val="32"/>
        </w:rPr>
        <w:t>7</w:t>
      </w:r>
      <w:r>
        <w:rPr>
          <w:rFonts w:hint="eastAsia"/>
          <w:b/>
          <w:bCs/>
          <w:sz w:val="24"/>
          <w:szCs w:val="32"/>
        </w:rPr>
        <w:t>月资金流出情况表</w:t>
      </w:r>
      <w:bookmarkEnd w:id="110"/>
      <w:r>
        <w:rPr>
          <w:rFonts w:hint="eastAsia"/>
          <w:b/>
          <w:bCs/>
          <w:sz w:val="24"/>
          <w:szCs w:val="32"/>
        </w:rPr>
        <w:t>；</w:t>
      </w:r>
    </w:p>
    <w:tbl>
      <w:tblPr>
        <w:tblStyle w:val="12"/>
        <w:tblW w:w="9085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0"/>
        <w:gridCol w:w="1091"/>
        <w:gridCol w:w="1850"/>
        <w:gridCol w:w="1395"/>
        <w:gridCol w:w="1515"/>
        <w:gridCol w:w="260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  <w:tblHeader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序号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日期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收款方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付款银行账户名称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恒隆员工（共计29人）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员工工资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119,928.09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盛京银行（03-38010102000016812）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重庆市住房公积金管理中心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6月住房公积金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157,202.00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成都智唯易才人力资源顾问有限公司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劳务派遣员工社保费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75,749.23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国家金库重庆市北碚区支库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实时扣税请求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6,012.93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重庆市北碚区财政局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未批先建罚款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国网重庆市电力公司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电费预存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杨诗雨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员工宿舍房租及押金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14,790.00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何畅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员工宿舍房租及押金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20,970.00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王茂鑫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员工报销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1,872.04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顺丰速运重庆有限公司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恒大中心32楼办公室5月顺丰快递费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1,034.00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重庆市恒隆健康产业有限公司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108亩项目资本金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重庆市恒隆健康产业有限公司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108亩项目资本金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7,400,000.00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重庆市恒隆健康产业有限公司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108亩项目资本金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甘霖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21,430.00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刘星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392.00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中国电信股份有限公司渝北分公司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用于支付北碚工程板房、工地和恒大中心2020年6月份电信费用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3,062.00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重庆天纪佳城建筑工程有限责任公司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1,750,000.00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重庆天纪佳城建筑工程有限责任公司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重庆天纪佳城建筑工程有限责任公司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重庆天纪佳城建筑工程有限责任公司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重庆天纪佳城建筑工程有限责任公司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重庆晨曙科技有限公司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办公物资采购款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7,513.00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北部新区高新园长湖汽车修理厂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车辆维保费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2,243.00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广州世恒信息科技有限公司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防火墙款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6,211.52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重庆市两江公证处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公证费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56,500.00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恒隆员工（共计29人）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员工工资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301,832.62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盛京银行（03-38010102000016812）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国家金库重庆市北碚区支库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税费</w:t>
            </w: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　　　　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116,347.92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成都智唯易才人力资源顾问有限公司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6月劳务派遣工资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749,545.69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广州恒隆设备材料有限公司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1,639,339.17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重庆市住房公积金管理中心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7月公积金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149,772.00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中建欣立建设发展集团股份有限公司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5,000,000.00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53.79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中建欣立建设发展集团股份有限公司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中建欣立建设发展集团股份有限公司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中建欣立建设发展集团股份有限公司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292,913.90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中建欣立建设发展集团股份有限公司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付本账户2020年企业网银年服务费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重庆市恒盈健康产业有限公司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6,900,000.00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国家金库重庆市北碚区支库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银行自动扣缴个税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60,323.62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顺丰速运重庆有限公司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恒大中心办公室6月顺丰快递费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重庆南江建设工程有限公司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商业汇票到期无条件付款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5,580,000.00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重庆学鼎商贸有限公司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洁具预付款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4,890.00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重庆领远商贸有限公司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办公物资采购款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11,040.30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甘霖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22,601.00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重庆沃普建筑材料有限公司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窗帘款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7,000.00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四川青田家具实业有限公司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办公家具款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19,584.97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6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51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14.00 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中国农业银行（31-090101040014794）</w:t>
            </w:r>
          </w:p>
        </w:tc>
      </w:tr>
    </w:tbl>
    <w:p>
      <w:pPr>
        <w:pStyle w:val="3"/>
        <w:spacing w:before="300" w:after="300" w:line="360" w:lineRule="exact"/>
        <w:jc w:val="left"/>
        <w:rPr>
          <w:rFonts w:ascii="宋体" w:hAnsi="宋体" w:eastAsia="宋体" w:cs="宋体"/>
          <w:sz w:val="24"/>
          <w:szCs w:val="24"/>
        </w:rPr>
      </w:pPr>
      <w:bookmarkStart w:id="111" w:name="_Toc29065"/>
      <w:bookmarkStart w:id="112" w:name="_Toc13384"/>
      <w:bookmarkStart w:id="113" w:name="_Toc14711"/>
      <w:bookmarkStart w:id="114" w:name="_Toc535508644"/>
      <w:bookmarkStart w:id="115" w:name="_Toc9899"/>
      <w:bookmarkStart w:id="116" w:name="_Toc17522"/>
      <w:bookmarkStart w:id="117" w:name="_Toc535580031"/>
      <w:bookmarkStart w:id="118" w:name="_Toc535570758"/>
      <w:bookmarkStart w:id="119" w:name="_Toc37668501"/>
      <w:bookmarkStart w:id="120" w:name="_Toc7895"/>
      <w:bookmarkStart w:id="121" w:name="_Toc535580099"/>
      <w:r>
        <w:rPr>
          <w:rFonts w:eastAsia="宋体" w:cs="Arial"/>
          <w:sz w:val="24"/>
          <w:szCs w:val="24"/>
        </w:rPr>
        <w:t>7.2</w:t>
      </w:r>
      <w:r>
        <w:rPr>
          <w:rFonts w:hint="eastAsia" w:eastAsia="宋体" w:cs="Arial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资金流入情况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pStyle w:val="4"/>
        <w:spacing w:before="300" w:after="300" w:line="360" w:lineRule="exact"/>
        <w:jc w:val="left"/>
        <w:rPr>
          <w:rFonts w:ascii="宋体" w:hAnsi="宋体" w:cs="宋体"/>
          <w:bCs/>
          <w:sz w:val="24"/>
        </w:rPr>
      </w:pPr>
      <w:r>
        <w:rPr>
          <w:rFonts w:ascii="Arial" w:hAnsi="Arial" w:cs="Arial"/>
          <w:bCs/>
          <w:sz w:val="24"/>
        </w:rPr>
        <w:t>7.2.1</w:t>
      </w:r>
      <w:r>
        <w:rPr>
          <w:rFonts w:hint="eastAsia" w:ascii="Arial" w:hAnsi="Arial" w:cs="Arial"/>
          <w:bCs/>
          <w:sz w:val="24"/>
        </w:rPr>
        <w:t>、</w:t>
      </w:r>
      <w:r>
        <w:rPr>
          <w:rFonts w:hint="eastAsia" w:asciiTheme="majorEastAsia" w:hAnsiTheme="majorEastAsia" w:eastAsiaTheme="majorEastAsia" w:cstheme="majorEastAsia"/>
          <w:bCs/>
          <w:sz w:val="24"/>
        </w:rPr>
        <w:t>销售回款流入</w:t>
      </w:r>
    </w:p>
    <w:p>
      <w:pPr>
        <w:spacing w:before="300" w:after="300" w:line="48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尚未开始销售，暂无销售回款资金流入。</w:t>
      </w:r>
    </w:p>
    <w:p>
      <w:pPr>
        <w:pStyle w:val="4"/>
        <w:spacing w:before="300" w:after="300" w:line="360" w:lineRule="exact"/>
        <w:jc w:val="left"/>
        <w:rPr>
          <w:rFonts w:asciiTheme="majorEastAsia" w:hAnsiTheme="majorEastAsia" w:eastAsiaTheme="majorEastAsia" w:cstheme="majorEastAsia"/>
          <w:bCs/>
          <w:sz w:val="24"/>
        </w:rPr>
      </w:pPr>
      <w:r>
        <w:rPr>
          <w:rFonts w:ascii="Arial" w:hAnsi="Arial" w:cs="Arial"/>
          <w:bCs/>
          <w:sz w:val="24"/>
        </w:rPr>
        <w:t>7.2.2</w:t>
      </w:r>
      <w:r>
        <w:rPr>
          <w:rFonts w:hint="eastAsia" w:ascii="Arial" w:hAnsi="Arial" w:cs="Arial"/>
          <w:bCs/>
          <w:sz w:val="24"/>
        </w:rPr>
        <w:t>、</w:t>
      </w:r>
      <w:r>
        <w:rPr>
          <w:rFonts w:hint="eastAsia" w:asciiTheme="majorEastAsia" w:hAnsiTheme="majorEastAsia" w:eastAsiaTheme="majorEastAsia" w:cstheme="majorEastAsia"/>
          <w:bCs/>
          <w:sz w:val="24"/>
        </w:rPr>
        <w:t>其他资金流入</w:t>
      </w:r>
    </w:p>
    <w:p>
      <w:pPr>
        <w:spacing w:line="480" w:lineRule="auto"/>
        <w:ind w:firstLine="420" w:firstLineChars="200"/>
        <w:rPr>
          <w:rFonts w:asciiTheme="minorEastAsia" w:hAnsiTheme="minorEastAsia" w:eastAsiaTheme="minorEastAsia" w:cstheme="minorEastAsia"/>
          <w:bCs/>
          <w:kern w:val="44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截至</w:t>
      </w:r>
      <w:r>
        <w:rPr>
          <w:rFonts w:ascii="Arial" w:hAnsi="Arial" w:cs="Arial" w:eastAsiaTheme="minorEastAsia"/>
          <w:bCs/>
          <w:kern w:val="44"/>
          <w:szCs w:val="21"/>
        </w:rPr>
        <w:t>2020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年</w:t>
      </w:r>
      <w:r>
        <w:rPr>
          <w:rFonts w:ascii="Arial" w:hAnsi="Arial" w:cs="Arial" w:eastAsiaTheme="minorEastAsia"/>
          <w:bCs/>
          <w:kern w:val="44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月</w:t>
      </w:r>
      <w:r>
        <w:rPr>
          <w:rFonts w:ascii="Arial" w:hAnsi="Arial" w:cs="Arial" w:eastAsiaTheme="minorEastAsia"/>
          <w:bCs/>
          <w:kern w:val="44"/>
          <w:szCs w:val="21"/>
        </w:rPr>
        <w:t>31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日，项目公司资金流入总额共计</w:t>
      </w:r>
      <w:r>
        <w:rPr>
          <w:rFonts w:hint="eastAsia" w:ascii="Arial" w:hAnsi="Arial" w:cs="Arial" w:eastAsiaTheme="minorEastAsia"/>
          <w:bCs/>
          <w:kern w:val="44"/>
          <w:szCs w:val="21"/>
        </w:rPr>
        <w:t>133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465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614.6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元，其中中国农业银行收款共计</w:t>
      </w:r>
      <w:r>
        <w:rPr>
          <w:rFonts w:hint="eastAsia" w:ascii="Arial" w:hAnsi="Arial" w:cs="Arial" w:eastAsiaTheme="minorEastAsia"/>
          <w:bCs/>
          <w:kern w:val="44"/>
          <w:szCs w:val="21"/>
        </w:rPr>
        <w:t>132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915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594.81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元，盛京银行收款共计</w:t>
      </w:r>
      <w:r>
        <w:rPr>
          <w:rFonts w:hint="eastAsia" w:ascii="Arial" w:hAnsi="Arial" w:cs="Arial" w:eastAsiaTheme="minorEastAsia"/>
          <w:bCs/>
          <w:kern w:val="44"/>
          <w:szCs w:val="21"/>
        </w:rPr>
        <w:t>550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017.18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元，中国工商银行北碚支行收款共计</w:t>
      </w:r>
      <w:r>
        <w:rPr>
          <w:rFonts w:ascii="Arial" w:hAnsi="Arial" w:cs="Arial" w:eastAsiaTheme="minorEastAsia"/>
          <w:bCs/>
          <w:kern w:val="44"/>
          <w:szCs w:val="21"/>
        </w:rPr>
        <w:t>2.61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元。</w:t>
      </w:r>
      <w:r>
        <w:rPr>
          <w:rFonts w:ascii="Arial" w:hAnsi="Arial" w:cs="Arial" w:eastAsiaTheme="minorEastAsia"/>
          <w:bCs/>
          <w:kern w:val="44"/>
          <w:szCs w:val="21"/>
        </w:rPr>
        <w:t>2020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年</w:t>
      </w:r>
      <w:r>
        <w:rPr>
          <w:rFonts w:ascii="Arial" w:hAnsi="Arial" w:cs="Arial" w:eastAsiaTheme="minorEastAsia"/>
          <w:bCs/>
          <w:kern w:val="44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月内，资金流入总额共计</w:t>
      </w:r>
      <w:r>
        <w:rPr>
          <w:rFonts w:ascii="Arial" w:hAnsi="Arial" w:cs="Arial" w:eastAsiaTheme="minorEastAsia"/>
          <w:bCs/>
          <w:kern w:val="44"/>
          <w:szCs w:val="21"/>
        </w:rPr>
        <w:t>53,742,322.34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元，其中中国农业银行</w:t>
      </w:r>
      <w:r>
        <w:rPr>
          <w:rFonts w:ascii="Arial" w:hAnsi="Arial" w:cs="Arial" w:eastAsiaTheme="minorEastAsia"/>
          <w:bCs/>
          <w:kern w:val="44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月收款共计</w:t>
      </w:r>
      <w:r>
        <w:rPr>
          <w:rFonts w:ascii="Arial" w:hAnsi="Arial" w:cs="Arial" w:eastAsiaTheme="minorEastAsia"/>
          <w:bCs/>
          <w:kern w:val="44"/>
          <w:szCs w:val="21"/>
        </w:rPr>
        <w:t>53,542,322.34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元，盛京银行</w:t>
      </w:r>
      <w:r>
        <w:rPr>
          <w:rFonts w:ascii="Arial" w:hAnsi="Arial" w:cs="Arial" w:eastAsiaTheme="minorEastAsia"/>
          <w:bCs/>
          <w:kern w:val="44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月收款共计</w:t>
      </w:r>
      <w:r>
        <w:rPr>
          <w:rFonts w:ascii="Arial" w:hAnsi="Arial" w:cs="Arial" w:eastAsiaTheme="minorEastAsia"/>
          <w:bCs/>
          <w:kern w:val="44"/>
          <w:szCs w:val="21"/>
        </w:rPr>
        <w:t>200,000.00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元。</w:t>
      </w:r>
    </w:p>
    <w:p>
      <w:pPr>
        <w:spacing w:before="315" w:beforeLines="100"/>
        <w:jc w:val="center"/>
        <w:rPr>
          <w:rFonts w:ascii="宋体" w:hAnsi="宋体" w:cs="宋体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2020</w:t>
      </w:r>
      <w:r>
        <w:rPr>
          <w:rFonts w:hint="eastAsia" w:ascii="宋体" w:hAnsi="宋体" w:cs="宋体"/>
          <w:b/>
          <w:bCs/>
          <w:sz w:val="24"/>
        </w:rPr>
        <w:t>年</w:t>
      </w:r>
      <w:r>
        <w:rPr>
          <w:rFonts w:ascii="Arial" w:hAnsi="Arial" w:cs="Arial"/>
          <w:b/>
          <w:bCs/>
          <w:sz w:val="24"/>
        </w:rPr>
        <w:t>7</w:t>
      </w:r>
      <w:r>
        <w:rPr>
          <w:rFonts w:hint="eastAsia" w:ascii="宋体" w:hAnsi="宋体" w:cs="宋体"/>
          <w:b/>
          <w:bCs/>
          <w:sz w:val="24"/>
        </w:rPr>
        <w:t>月项目公司资金流入情况表</w:t>
      </w:r>
    </w:p>
    <w:tbl>
      <w:tblPr>
        <w:tblStyle w:val="12"/>
        <w:tblW w:w="9078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6"/>
        <w:gridCol w:w="1077"/>
        <w:gridCol w:w="1296"/>
        <w:gridCol w:w="1282"/>
        <w:gridCol w:w="1377"/>
        <w:gridCol w:w="34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  <w:tblHeader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bookmarkStart w:id="122" w:name="_Toc535580032"/>
            <w:bookmarkStart w:id="123" w:name="_Toc535570759"/>
            <w:bookmarkStart w:id="124" w:name="_Toc535508645"/>
            <w:bookmarkStart w:id="125" w:name="_Toc29212"/>
            <w:bookmarkStart w:id="126" w:name="_Toc37668502"/>
            <w:bookmarkStart w:id="127" w:name="_Toc535580100"/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收款时间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付款方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收款行账户名称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2020/7/03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260,000.00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2020/7/09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重庆市北碚区医疗保障局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17,315.84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2020/7/12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杨小艳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北碚养生谷+柠檬工坊+保证金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2020/7/12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杨小艳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北碚养生谷+加红加青重庆小面+保证金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2020/7/14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10,000,000.00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2020/7/14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7,400,000.00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2020/7/14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10,000,000.00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2020/7/14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2,500,000.00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5,190,000.00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2020/7/20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盛京银行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（03-38010102000016812）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2020/7/20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2020/7/20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2020/7/20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2020/7/20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刘君丽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转存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3,300.00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2020/7/21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泛华永泰建设（集团）有限公司重庆分公司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重庆恒大养生谷销售展示区临时道路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2020/7/22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1,600,000.00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2020/7/28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6,500,000.00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2020/7/29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恒大旅游集团有限公司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7月社保公积金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1,706.50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6,770,000.00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62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2020/7/31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重庆市恒盈健康产业有限公司</w:t>
            </w:r>
          </w:p>
        </w:tc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（31-090101040014794）</w:t>
            </w:r>
          </w:p>
        </w:tc>
      </w:tr>
    </w:tbl>
    <w:p>
      <w:pPr>
        <w:pStyle w:val="3"/>
        <w:spacing w:before="300" w:after="300" w:line="360" w:lineRule="exact"/>
        <w:rPr>
          <w:sz w:val="24"/>
          <w:szCs w:val="24"/>
        </w:rPr>
      </w:pPr>
      <w:bookmarkStart w:id="128" w:name="_Toc5849"/>
      <w:bookmarkStart w:id="129" w:name="_Toc28136"/>
      <w:bookmarkStart w:id="130" w:name="_Toc12419"/>
      <w:bookmarkStart w:id="131" w:name="_Toc2387"/>
      <w:bookmarkStart w:id="132" w:name="_Toc10152"/>
      <w:r>
        <w:rPr>
          <w:rFonts w:cs="Arial"/>
          <w:sz w:val="24"/>
          <w:szCs w:val="24"/>
        </w:rPr>
        <w:t>7.3、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资金结算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>
      <w:pPr>
        <w:spacing w:before="300" w:after="300" w:line="360" w:lineRule="exact"/>
        <w:outlineLvl w:val="2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ascii="Arial" w:hAnsi="Arial" w:cs="Arial" w:eastAsiaTheme="minorEastAsia"/>
          <w:b/>
          <w:bCs/>
          <w:sz w:val="24"/>
        </w:rPr>
        <w:t>7.3.1、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</w:rPr>
        <w:t>各账户余额</w:t>
      </w:r>
    </w:p>
    <w:p>
      <w:pPr>
        <w:spacing w:line="480" w:lineRule="auto"/>
        <w:ind w:firstLine="420" w:firstLineChars="200"/>
        <w:rPr>
          <w:rFonts w:asciiTheme="minorEastAsia" w:hAnsiTheme="minorEastAsia" w:eastAsiaTheme="minorEastAsia" w:cstheme="minorEastAsia"/>
          <w:bCs/>
          <w:kern w:val="44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截止</w:t>
      </w:r>
      <w:r>
        <w:rPr>
          <w:rFonts w:ascii="Arial" w:hAnsi="Arial" w:cs="Arial" w:eastAsiaTheme="minorEastAsia"/>
          <w:bCs/>
          <w:kern w:val="44"/>
          <w:szCs w:val="21"/>
        </w:rPr>
        <w:t>2020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年</w:t>
      </w:r>
      <w:r>
        <w:rPr>
          <w:rFonts w:hint="eastAsia" w:ascii="Arial" w:hAnsi="Arial" w:cs="Arial" w:eastAsiaTheme="minorEastAsia"/>
          <w:bCs/>
          <w:kern w:val="44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月</w:t>
      </w:r>
      <w:r>
        <w:rPr>
          <w:rFonts w:ascii="Arial" w:hAnsi="Arial" w:cs="Arial" w:eastAsiaTheme="minorEastAsia"/>
          <w:bCs/>
          <w:kern w:val="44"/>
          <w:szCs w:val="21"/>
        </w:rPr>
        <w:t>3</w:t>
      </w:r>
      <w:r>
        <w:rPr>
          <w:rFonts w:hint="eastAsia" w:ascii="Arial" w:hAnsi="Arial" w:cs="Arial" w:eastAsiaTheme="minorEastAsia"/>
          <w:bCs/>
          <w:kern w:val="44"/>
          <w:szCs w:val="21"/>
        </w:rPr>
        <w:t>1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日，项目公司各资金账户余额总计</w:t>
      </w:r>
      <w:r>
        <w:rPr>
          <w:rFonts w:ascii="Arial" w:hAnsi="Arial" w:cs="Arial" w:eastAsiaTheme="minorEastAsia"/>
          <w:bCs/>
          <w:kern w:val="44"/>
          <w:szCs w:val="21"/>
        </w:rPr>
        <w:t>161,291.51</w:t>
      </w:r>
      <w:r>
        <w:rPr>
          <w:rFonts w:hint="eastAsia" w:asciiTheme="minorEastAsia" w:hAnsiTheme="minorEastAsia" w:eastAsiaTheme="minorEastAsia" w:cstheme="minorEastAsia"/>
          <w:bCs/>
          <w:kern w:val="44"/>
          <w:szCs w:val="21"/>
        </w:rPr>
        <w:t>元，各账户余额见下表。</w:t>
      </w:r>
    </w:p>
    <w:p>
      <w:pPr>
        <w:spacing w:before="315" w:beforeLines="100"/>
        <w:jc w:val="center"/>
        <w:rPr>
          <w:rFonts w:ascii="Arial" w:hAnsi="Arial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4"/>
        </w:rPr>
        <w:t>截止</w:t>
      </w:r>
      <w:r>
        <w:rPr>
          <w:rFonts w:ascii="Arial" w:hAnsi="Arial" w:cs="Arial" w:eastAsiaTheme="minorEastAsia"/>
          <w:b/>
          <w:color w:val="000000"/>
          <w:sz w:val="24"/>
        </w:rPr>
        <w:t>2020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24"/>
        </w:rPr>
        <w:t>年</w:t>
      </w:r>
      <w:r>
        <w:rPr>
          <w:rFonts w:ascii="Arial" w:hAnsi="Arial" w:cs="Arial" w:eastAsiaTheme="minorEastAsia"/>
          <w:b/>
          <w:color w:val="000000"/>
          <w:sz w:val="24"/>
        </w:rPr>
        <w:t>7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24"/>
        </w:rPr>
        <w:t>月</w:t>
      </w:r>
      <w:r>
        <w:rPr>
          <w:rFonts w:ascii="Arial" w:hAnsi="Arial" w:cs="Arial" w:eastAsiaTheme="minorEastAsia"/>
          <w:b/>
          <w:color w:val="000000"/>
          <w:sz w:val="24"/>
        </w:rPr>
        <w:t>3</w:t>
      </w:r>
      <w:r>
        <w:rPr>
          <w:rFonts w:hint="eastAsia" w:ascii="Arial" w:hAnsi="Arial" w:cs="Arial" w:eastAsiaTheme="minorEastAsia"/>
          <w:b/>
          <w:color w:val="000000"/>
          <w:sz w:val="24"/>
        </w:rPr>
        <w:t>1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24"/>
        </w:rPr>
        <w:t>日各银行账户余额表</w:t>
      </w:r>
    </w:p>
    <w:tbl>
      <w:tblPr>
        <w:tblStyle w:val="12"/>
        <w:tblW w:w="91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2373"/>
        <w:gridCol w:w="2673"/>
        <w:gridCol w:w="34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" w:hRule="atLeast"/>
          <w:tblHeader/>
          <w:jc w:val="center"/>
        </w:trPr>
        <w:tc>
          <w:tcPr>
            <w:tcW w:w="62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23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34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3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</w:tc>
        <w:tc>
          <w:tcPr>
            <w:tcW w:w="26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31090101040014794</w:t>
            </w:r>
          </w:p>
        </w:tc>
        <w:tc>
          <w:tcPr>
            <w:tcW w:w="343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223.97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" w:hRule="atLeast"/>
          <w:jc w:val="center"/>
        </w:trPr>
        <w:tc>
          <w:tcPr>
            <w:tcW w:w="62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3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</w:p>
        </w:tc>
        <w:tc>
          <w:tcPr>
            <w:tcW w:w="26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3100028019200079977</w:t>
            </w:r>
          </w:p>
        </w:tc>
        <w:tc>
          <w:tcPr>
            <w:tcW w:w="343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402.99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62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3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浦东发展银行</w:t>
            </w:r>
          </w:p>
        </w:tc>
        <w:tc>
          <w:tcPr>
            <w:tcW w:w="26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83180078801300000304</w:t>
            </w:r>
          </w:p>
        </w:tc>
        <w:tc>
          <w:tcPr>
            <w:tcW w:w="343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" w:hRule="atLeast"/>
          <w:jc w:val="center"/>
        </w:trPr>
        <w:tc>
          <w:tcPr>
            <w:tcW w:w="62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3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中国农业发展银行</w:t>
            </w:r>
          </w:p>
        </w:tc>
        <w:tc>
          <w:tcPr>
            <w:tcW w:w="26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20350010900100000169331</w:t>
            </w:r>
          </w:p>
        </w:tc>
        <w:tc>
          <w:tcPr>
            <w:tcW w:w="343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  <w:jc w:val="center"/>
        </w:trPr>
        <w:tc>
          <w:tcPr>
            <w:tcW w:w="62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3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盛京银行</w:t>
            </w:r>
          </w:p>
        </w:tc>
        <w:tc>
          <w:tcPr>
            <w:tcW w:w="26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0338010102000016812</w:t>
            </w:r>
          </w:p>
        </w:tc>
        <w:tc>
          <w:tcPr>
            <w:tcW w:w="343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664.55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" w:hRule="atLeast"/>
          <w:jc w:val="center"/>
        </w:trPr>
        <w:tc>
          <w:tcPr>
            <w:tcW w:w="62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3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</w:p>
        </w:tc>
        <w:tc>
          <w:tcPr>
            <w:tcW w:w="26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3100001119100024211</w:t>
            </w:r>
          </w:p>
        </w:tc>
        <w:tc>
          <w:tcPr>
            <w:tcW w:w="343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3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招商银行</w:t>
            </w:r>
          </w:p>
        </w:tc>
        <w:tc>
          <w:tcPr>
            <w:tcW w:w="26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791908714410902</w:t>
            </w:r>
          </w:p>
        </w:tc>
        <w:tc>
          <w:tcPr>
            <w:tcW w:w="343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3001" w:type="dxa"/>
            <w:gridSpan w:val="2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总    计</w:t>
            </w:r>
          </w:p>
        </w:tc>
        <w:tc>
          <w:tcPr>
            <w:tcW w:w="267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343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bookmarkStart w:id="161" w:name="_GoBack"/>
            <w:bookmarkEnd w:id="161"/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291.51</w:t>
            </w:r>
          </w:p>
        </w:tc>
      </w:tr>
    </w:tbl>
    <w:p>
      <w:pPr>
        <w:pStyle w:val="3"/>
        <w:spacing w:before="300" w:after="300" w:line="360" w:lineRule="exact"/>
        <w:jc w:val="left"/>
        <w:rPr>
          <w:sz w:val="24"/>
          <w:szCs w:val="24"/>
        </w:rPr>
      </w:pPr>
      <w:bookmarkStart w:id="133" w:name="_Toc21797"/>
      <w:bookmarkStart w:id="134" w:name="_Toc15740"/>
      <w:bookmarkStart w:id="135" w:name="_Toc19767"/>
      <w:bookmarkStart w:id="136" w:name="_Toc22309"/>
      <w:bookmarkStart w:id="137" w:name="_Toc31348"/>
      <w:r>
        <w:rPr>
          <w:rFonts w:cs="Arial"/>
          <w:sz w:val="24"/>
          <w:szCs w:val="24"/>
        </w:rPr>
        <w:t>7.4、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负债情况</w:t>
      </w:r>
      <w:bookmarkEnd w:id="133"/>
      <w:bookmarkEnd w:id="134"/>
      <w:bookmarkEnd w:id="135"/>
      <w:bookmarkEnd w:id="136"/>
      <w:bookmarkEnd w:id="137"/>
    </w:p>
    <w:p>
      <w:pPr>
        <w:spacing w:line="48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截止</w:t>
      </w:r>
      <w:r>
        <w:rPr>
          <w:rFonts w:ascii="Arial" w:hAnsi="Arial" w:cs="Arial" w:eastAsiaTheme="minorEastAsia"/>
          <w:szCs w:val="21"/>
        </w:rPr>
        <w:t>2020</w:t>
      </w:r>
      <w:r>
        <w:rPr>
          <w:rFonts w:hint="eastAsia" w:asciiTheme="minorEastAsia" w:hAnsiTheme="minorEastAsia" w:eastAsiaTheme="minorEastAsia" w:cstheme="minorEastAsia"/>
          <w:szCs w:val="21"/>
        </w:rPr>
        <w:t>年</w:t>
      </w:r>
      <w:r>
        <w:rPr>
          <w:rFonts w:ascii="Arial" w:hAnsi="Arial" w:cs="Arial" w:eastAsiaTheme="minorEastAsia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szCs w:val="21"/>
        </w:rPr>
        <w:t>月</w:t>
      </w:r>
      <w:r>
        <w:rPr>
          <w:rFonts w:ascii="Arial" w:hAnsi="Arial" w:cs="Arial" w:eastAsiaTheme="minorEastAsia"/>
          <w:szCs w:val="21"/>
        </w:rPr>
        <w:t>31</w:t>
      </w:r>
      <w:r>
        <w:rPr>
          <w:rFonts w:hint="eastAsia" w:asciiTheme="minorEastAsia" w:hAnsiTheme="minorEastAsia" w:eastAsiaTheme="minorEastAsia" w:cstheme="minorEastAsia"/>
          <w:szCs w:val="21"/>
        </w:rPr>
        <w:t>日，项目公司共发生</w:t>
      </w:r>
      <w:r>
        <w:rPr>
          <w:rFonts w:hint="eastAsia" w:ascii="Arial" w:hAnsi="Arial" w:cs="Arial" w:eastAsiaTheme="minorEastAsia"/>
          <w:szCs w:val="21"/>
        </w:rPr>
        <w:t>32笔</w:t>
      </w:r>
      <w:r>
        <w:rPr>
          <w:rFonts w:hint="eastAsia" w:asciiTheme="minorEastAsia" w:hAnsiTheme="minorEastAsia" w:eastAsiaTheme="minorEastAsia" w:cstheme="minorEastAsia"/>
          <w:szCs w:val="21"/>
        </w:rPr>
        <w:t>商业承兑汇票，共计</w:t>
      </w:r>
      <w:r>
        <w:rPr>
          <w:rFonts w:hint="eastAsia" w:ascii="Arial" w:hAnsi="Arial" w:cs="Arial" w:eastAsiaTheme="minorEastAsia"/>
          <w:bCs/>
          <w:kern w:val="44"/>
          <w:szCs w:val="21"/>
        </w:rPr>
        <w:t>101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987</w:t>
      </w:r>
      <w:r>
        <w:rPr>
          <w:rFonts w:ascii="Arial" w:hAnsi="Arial" w:cs="Arial" w:eastAsiaTheme="minorEastAsia"/>
          <w:bCs/>
          <w:kern w:val="44"/>
          <w:szCs w:val="21"/>
        </w:rPr>
        <w:t>,</w:t>
      </w:r>
      <w:r>
        <w:rPr>
          <w:rFonts w:hint="eastAsia" w:ascii="Arial" w:hAnsi="Arial" w:cs="Arial" w:eastAsiaTheme="minorEastAsia"/>
          <w:bCs/>
          <w:kern w:val="44"/>
          <w:szCs w:val="21"/>
        </w:rPr>
        <w:t>352.77</w:t>
      </w:r>
      <w:r>
        <w:rPr>
          <w:rFonts w:hint="eastAsia" w:asciiTheme="minorEastAsia" w:hAnsiTheme="minorEastAsia" w:eastAsiaTheme="minorEastAsia" w:cstheme="minorEastAsia"/>
          <w:szCs w:val="21"/>
        </w:rPr>
        <w:t>元。其中</w:t>
      </w:r>
      <w:r>
        <w:rPr>
          <w:rFonts w:ascii="Arial" w:hAnsi="Arial" w:cs="Arial" w:eastAsiaTheme="minorEastAsia"/>
          <w:szCs w:val="21"/>
        </w:rPr>
        <w:t>2020</w:t>
      </w:r>
      <w:r>
        <w:rPr>
          <w:rFonts w:hint="eastAsia" w:asciiTheme="minorEastAsia" w:hAnsiTheme="minorEastAsia" w:eastAsiaTheme="minorEastAsia" w:cstheme="minorEastAsia"/>
          <w:szCs w:val="21"/>
        </w:rPr>
        <w:t>年</w:t>
      </w:r>
      <w:r>
        <w:rPr>
          <w:rFonts w:ascii="Arial" w:hAnsi="Arial" w:cs="Arial" w:eastAsiaTheme="minorEastAsia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szCs w:val="21"/>
        </w:rPr>
        <w:t>月内发生</w:t>
      </w:r>
      <w:r>
        <w:rPr>
          <w:rFonts w:ascii="Arial" w:hAnsi="Arial" w:cs="Arial" w:eastAsiaTheme="minorEastAsia"/>
          <w:szCs w:val="21"/>
        </w:rPr>
        <w:t>19</w:t>
      </w:r>
      <w:r>
        <w:rPr>
          <w:rFonts w:hint="eastAsia" w:ascii="Arial" w:hAnsi="Arial" w:cs="Arial" w:eastAsiaTheme="minorEastAsia"/>
          <w:szCs w:val="21"/>
        </w:rPr>
        <w:t>笔</w:t>
      </w:r>
      <w:r>
        <w:rPr>
          <w:rFonts w:hint="eastAsia" w:asciiTheme="minorEastAsia" w:hAnsiTheme="minorEastAsia" w:eastAsiaTheme="minorEastAsia" w:cstheme="minorEastAsia"/>
          <w:szCs w:val="21"/>
        </w:rPr>
        <w:t>商业承兑汇票，共计</w:t>
      </w:r>
      <w:r>
        <w:rPr>
          <w:rFonts w:hint="eastAsia" w:ascii="Arial" w:hAnsi="Arial" w:cs="Arial" w:eastAsiaTheme="minorEastAsia"/>
          <w:szCs w:val="21"/>
        </w:rPr>
        <w:t>83</w:t>
      </w:r>
      <w:r>
        <w:rPr>
          <w:rFonts w:ascii="Arial" w:hAnsi="Arial" w:cs="Arial" w:eastAsiaTheme="minorEastAsia"/>
          <w:szCs w:val="21"/>
        </w:rPr>
        <w:t>,</w:t>
      </w:r>
      <w:r>
        <w:rPr>
          <w:rFonts w:hint="eastAsia" w:ascii="Arial" w:hAnsi="Arial" w:cs="Arial" w:eastAsiaTheme="minorEastAsia"/>
          <w:szCs w:val="21"/>
        </w:rPr>
        <w:t>636</w:t>
      </w:r>
      <w:r>
        <w:rPr>
          <w:rFonts w:ascii="Arial" w:hAnsi="Arial" w:cs="Arial" w:eastAsiaTheme="minorEastAsia"/>
          <w:szCs w:val="21"/>
        </w:rPr>
        <w:t>,</w:t>
      </w:r>
      <w:r>
        <w:rPr>
          <w:rFonts w:hint="eastAsia" w:ascii="Arial" w:hAnsi="Arial" w:cs="Arial" w:eastAsiaTheme="minorEastAsia"/>
          <w:szCs w:val="21"/>
        </w:rPr>
        <w:t>455.44</w:t>
      </w:r>
      <w:r>
        <w:rPr>
          <w:rFonts w:hint="eastAsia" w:asciiTheme="minorEastAsia" w:hAnsiTheme="minorEastAsia" w:eastAsiaTheme="minorEastAsia" w:cstheme="minorEastAsia"/>
          <w:szCs w:val="21"/>
        </w:rPr>
        <w:t>元详见下表：</w:t>
      </w:r>
    </w:p>
    <w:p>
      <w:pPr>
        <w:spacing w:before="315" w:beforeLines="100"/>
        <w:ind w:firstLine="482" w:firstLineChars="200"/>
        <w:jc w:val="center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2020年7月应付账款情况表  </w:t>
      </w:r>
      <w:r>
        <w:rPr>
          <w:rFonts w:asciiTheme="minorEastAsia" w:hAnsiTheme="minorEastAsia" w:eastAsiaTheme="minorEastAsia" w:cstheme="minorEastAsia"/>
          <w:szCs w:val="21"/>
        </w:rPr>
        <w:t xml:space="preserve"> </w:t>
      </w:r>
      <w:r>
        <w:rPr>
          <w:rFonts w:asciiTheme="minorEastAsia" w:hAnsiTheme="minorEastAsia" w:eastAsiaTheme="minorEastAsia" w:cstheme="minorEastAsia"/>
          <w:b/>
          <w:bCs/>
          <w:szCs w:val="21"/>
        </w:rPr>
        <w:t>单位：元</w:t>
      </w:r>
    </w:p>
    <w:tbl>
      <w:tblPr>
        <w:tblStyle w:val="12"/>
        <w:tblW w:w="9097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2"/>
        <w:gridCol w:w="941"/>
        <w:gridCol w:w="2987"/>
        <w:gridCol w:w="1256"/>
        <w:gridCol w:w="1743"/>
        <w:gridCol w:w="154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tblHeader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出票时间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辽宁东林瑞那斯股份有限公司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2,000,000.00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江苏省建筑工程集团有限公司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10,594,505.53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浙江中景市政园林建设有限公司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215,717.17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四川易园园林集团有限公司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821,010.56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四川易园园林集团有限公司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139,537.03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深圳瑞和建筑装饰股份有限公司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江苏省苏中建设集团股份有限公司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596,831.01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西安市建总工程集团有限公司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18,233,022.67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重庆澄江建设工程有限公司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2,146,521.10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深圳瑞和建筑装饰股份有限公司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500,000.00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深圳广田集团股份有限公司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727,363.23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青岛海尔家居集成股份有限公司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263,647.11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深圳市长远建筑工程有限公司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3,000,000.00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辽宁东林瑞那斯股份有限公司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2,000,000.00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中建欣立建设发展集团股份有限公司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1,437,340.88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中建欣立建设发展集团股份有限公司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6,000,000.00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河南金达电器有限公司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357,864.15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重庆钢铁集团建设工程有限公司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159,675.00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2020/7/22</w:t>
            </w: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重庆南江建设工程有限公司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33,443,420.00 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商承（一年期）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455.44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>
      <w:pPr>
        <w:pStyle w:val="2"/>
        <w:spacing w:before="360" w:after="360" w:line="360" w:lineRule="exact"/>
        <w:rPr>
          <w:rFonts w:asciiTheme="majorEastAsia" w:hAnsiTheme="majorEastAsia" w:eastAsiaTheme="majorEastAsia" w:cstheme="majorEastAsia"/>
          <w:sz w:val="24"/>
        </w:rPr>
      </w:pPr>
      <w:bookmarkStart w:id="138" w:name="_Toc16896"/>
      <w:bookmarkStart w:id="139" w:name="_Toc16338"/>
      <w:bookmarkStart w:id="140" w:name="_Toc27270"/>
      <w:bookmarkStart w:id="141" w:name="_Toc30561"/>
      <w:bookmarkStart w:id="142" w:name="_Toc32144"/>
      <w:bookmarkStart w:id="143" w:name="_Toc532281664"/>
      <w:bookmarkStart w:id="144" w:name="_Toc37668503"/>
      <w:bookmarkStart w:id="145" w:name="_Toc32370"/>
      <w:bookmarkStart w:id="146" w:name="_Toc535570760"/>
      <w:bookmarkStart w:id="147" w:name="_Toc535580101"/>
      <w:bookmarkStart w:id="148" w:name="_Toc535580033"/>
      <w:bookmarkStart w:id="149" w:name="_Toc535508646"/>
      <w:r>
        <w:rPr>
          <w:rFonts w:ascii="Arial" w:hAnsi="Arial" w:cs="Arial" w:eastAsiaTheme="majorEastAsia"/>
          <w:sz w:val="24"/>
        </w:rPr>
        <w:t>8</w:t>
      </w:r>
      <w:r>
        <w:rPr>
          <w:rFonts w:hint="eastAsia" w:ascii="Arial" w:hAnsi="Arial" w:cs="Arial" w:eastAsiaTheme="majorEastAsia"/>
          <w:sz w:val="24"/>
        </w:rPr>
        <w:t>、</w:t>
      </w:r>
      <w:r>
        <w:rPr>
          <w:rFonts w:hint="eastAsia" w:asciiTheme="majorEastAsia" w:hAnsiTheme="majorEastAsia" w:eastAsiaTheme="majorEastAsia" w:cstheme="majorEastAsia"/>
          <w:sz w:val="24"/>
        </w:rPr>
        <w:t>月度监管总结及建议</w:t>
      </w:r>
      <w:bookmarkEnd w:id="138"/>
      <w:bookmarkEnd w:id="139"/>
      <w:bookmarkEnd w:id="140"/>
      <w:bookmarkEnd w:id="141"/>
      <w:bookmarkEnd w:id="142"/>
    </w:p>
    <w:p>
      <w:pPr>
        <w:spacing w:line="48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我公司在</w:t>
      </w:r>
      <w:r>
        <w:rPr>
          <w:rFonts w:ascii="Arial" w:hAnsi="Arial" w:cs="Arial" w:eastAsiaTheme="minorEastAsia"/>
          <w:szCs w:val="21"/>
        </w:rPr>
        <w:t>2020</w:t>
      </w:r>
      <w:r>
        <w:rPr>
          <w:rFonts w:hint="eastAsia" w:asciiTheme="minorEastAsia" w:hAnsiTheme="minorEastAsia" w:eastAsiaTheme="minorEastAsia" w:cstheme="minorEastAsia"/>
          <w:szCs w:val="21"/>
        </w:rPr>
        <w:t>年</w:t>
      </w:r>
      <w:r>
        <w:rPr>
          <w:rFonts w:ascii="Arial" w:hAnsi="Arial" w:cs="Arial" w:eastAsiaTheme="minorEastAsia"/>
          <w:szCs w:val="21"/>
        </w:rPr>
        <w:t>7</w:t>
      </w:r>
      <w:r>
        <w:rPr>
          <w:rFonts w:hint="eastAsia" w:asciiTheme="minorEastAsia" w:hAnsiTheme="minorEastAsia" w:eastAsiaTheme="minorEastAsia" w:cstheme="minorEastAsia"/>
          <w:szCs w:val="21"/>
        </w:rPr>
        <w:t>月份对重庆恒隆健康项目监管期间内，所监管的标的项目在成本、项目合同、工程进度、印鉴使用、资金收付等方面未发现不规范现象，后续我司将继续在以上几个方面加强审核与监管。</w:t>
      </w:r>
    </w:p>
    <w:p>
      <w:pPr>
        <w:spacing w:line="48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建议：办理</w:t>
      </w:r>
      <w:r>
        <w:rPr>
          <w:rFonts w:hint="eastAsia" w:ascii="Arial" w:hAnsi="Arial" w:cs="Arial" w:eastAsiaTheme="minorEastAsia"/>
          <w:szCs w:val="21"/>
        </w:rPr>
        <w:t>603</w:t>
      </w:r>
      <w:r>
        <w:rPr>
          <w:rFonts w:hint="eastAsia" w:asciiTheme="minorEastAsia" w:hAnsiTheme="minorEastAsia" w:eastAsiaTheme="minorEastAsia" w:cstheme="minorEastAsia"/>
          <w:szCs w:val="21"/>
        </w:rPr>
        <w:t>亩地块五证的资料早日整理齐全上报重庆市相关职能部门，缩短五证办理时间，预防类似</w:t>
      </w:r>
      <w:r>
        <w:rPr>
          <w:rFonts w:ascii="Arial" w:hAnsi="Arial" w:cs="Arial" w:eastAsiaTheme="minorEastAsia"/>
          <w:szCs w:val="21"/>
        </w:rPr>
        <w:t>108</w:t>
      </w:r>
      <w:r>
        <w:rPr>
          <w:rFonts w:hint="eastAsia" w:asciiTheme="minorEastAsia" w:hAnsiTheme="minorEastAsia" w:eastAsiaTheme="minorEastAsia" w:cstheme="minorEastAsia"/>
          <w:szCs w:val="21"/>
        </w:rPr>
        <w:t>亩地块“未批先建”情况在</w:t>
      </w:r>
      <w:r>
        <w:rPr>
          <w:rFonts w:ascii="Arial" w:hAnsi="Arial" w:cs="Arial" w:eastAsiaTheme="minorEastAsia"/>
          <w:szCs w:val="21"/>
        </w:rPr>
        <w:t>603</w:t>
      </w:r>
      <w:r>
        <w:rPr>
          <w:rFonts w:hint="eastAsia" w:asciiTheme="minorEastAsia" w:hAnsiTheme="minorEastAsia" w:eastAsiaTheme="minorEastAsia" w:cstheme="minorEastAsia"/>
          <w:szCs w:val="21"/>
        </w:rPr>
        <w:t>亩地块发生。</w:t>
      </w:r>
    </w:p>
    <w:p>
      <w:pPr>
        <w:spacing w:line="48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综上所述，本月度监管工作正常，项目公司积极配合；除项目进度及五证办理进度外，本项目其他情况进展较为正常。</w:t>
      </w:r>
    </w:p>
    <w:p>
      <w:pPr>
        <w:tabs>
          <w:tab w:val="left" w:pos="426"/>
        </w:tabs>
        <w:spacing w:line="480" w:lineRule="auto"/>
        <w:ind w:firstLine="411" w:firstLineChars="196"/>
        <w:jc w:val="right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北京</w:t>
      </w:r>
      <w:r>
        <w:rPr>
          <w:rFonts w:hint="eastAsia" w:ascii="Arial" w:hAnsi="Arial" w:cs="Arial"/>
          <w:bCs/>
          <w:szCs w:val="21"/>
        </w:rPr>
        <w:t>康信君安资产管理</w:t>
      </w:r>
      <w:r>
        <w:rPr>
          <w:rFonts w:ascii="Arial" w:hAnsi="Arial" w:cs="Arial"/>
          <w:bCs/>
          <w:szCs w:val="21"/>
        </w:rPr>
        <w:t>有限公司</w:t>
      </w:r>
    </w:p>
    <w:p>
      <w:pPr>
        <w:tabs>
          <w:tab w:val="left" w:pos="426"/>
        </w:tabs>
        <w:spacing w:line="480" w:lineRule="auto"/>
        <w:ind w:firstLine="411" w:firstLineChars="196"/>
        <w:jc w:val="right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驻场监管：</w:t>
      </w:r>
      <w:r>
        <w:rPr>
          <w:rFonts w:hint="eastAsia" w:ascii="Arial" w:hAnsi="Arial" w:cs="Arial"/>
          <w:bCs/>
          <w:szCs w:val="21"/>
        </w:rPr>
        <w:t>何艳秋</w:t>
      </w:r>
    </w:p>
    <w:p>
      <w:pPr>
        <w:spacing w:line="480" w:lineRule="auto"/>
      </w:pP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bCs/>
          <w:szCs w:val="21"/>
        </w:rPr>
        <w:t xml:space="preserve"> </w:t>
      </w:r>
      <w:r>
        <w:rPr>
          <w:rFonts w:hint="eastAsia" w:ascii="Arial" w:hAnsi="Arial" w:cs="Arial"/>
          <w:bCs/>
          <w:szCs w:val="21"/>
        </w:rPr>
        <w:t xml:space="preserve">                                                             </w:t>
      </w:r>
      <w:r>
        <w:rPr>
          <w:rFonts w:ascii="Arial" w:hAnsi="Arial" w:cs="Arial"/>
          <w:bCs/>
          <w:szCs w:val="21"/>
        </w:rPr>
        <w:t xml:space="preserve"> </w:t>
      </w:r>
      <w:r>
        <w:rPr>
          <w:rFonts w:hint="eastAsia" w:ascii="Arial" w:hAnsi="Arial" w:cs="Arial"/>
          <w:bCs/>
          <w:szCs w:val="21"/>
        </w:rPr>
        <w:t xml:space="preserve"> </w:t>
      </w:r>
      <w:r>
        <w:rPr>
          <w:rFonts w:ascii="Arial" w:hAnsi="Arial" w:cs="Arial"/>
          <w:bCs/>
          <w:szCs w:val="21"/>
        </w:rPr>
        <w:t>2020年</w:t>
      </w:r>
      <w:r>
        <w:rPr>
          <w:rFonts w:hint="eastAsia" w:ascii="Arial" w:hAnsi="Arial" w:cs="Arial"/>
          <w:bCs/>
          <w:szCs w:val="21"/>
        </w:rPr>
        <w:t>8</w:t>
      </w:r>
      <w:r>
        <w:rPr>
          <w:rFonts w:ascii="Arial" w:hAnsi="Arial" w:cs="Arial"/>
          <w:bCs/>
          <w:szCs w:val="21"/>
        </w:rPr>
        <w:t>月</w:t>
      </w:r>
      <w:r>
        <w:rPr>
          <w:rFonts w:hint="eastAsia" w:ascii="Arial" w:hAnsi="Arial" w:cs="Arial"/>
          <w:bCs/>
          <w:szCs w:val="21"/>
        </w:rPr>
        <w:t>6</w:t>
      </w:r>
      <w:r>
        <w:rPr>
          <w:rFonts w:ascii="Arial" w:hAnsi="Arial" w:cs="Arial"/>
          <w:bCs/>
          <w:szCs w:val="21"/>
        </w:rPr>
        <w:t>日于重庆</w:t>
      </w:r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  <w:bookmarkStart w:id="150" w:name="_Toc15949"/>
      <w:bookmarkStart w:id="151" w:name="_Toc1110"/>
      <w:bookmarkStart w:id="152" w:name="_Toc20905"/>
      <w:bookmarkStart w:id="153" w:name="_Toc24391"/>
      <w:bookmarkStart w:id="154" w:name="_Toc8396"/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r>
        <w:rPr>
          <w:rFonts w:hint="eastAsia" w:eastAsia="宋体"/>
          <w:sz w:val="24"/>
        </w:rPr>
        <w:t>附件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>
      <w:pPr>
        <w:pStyle w:val="4"/>
        <w:keepNext w:val="0"/>
        <w:keepLines w:val="0"/>
        <w:spacing w:before="300" w:after="300" w:line="360" w:lineRule="exact"/>
        <w:rPr>
          <w:sz w:val="24"/>
        </w:rPr>
      </w:pPr>
      <w:bookmarkStart w:id="155" w:name="_Toc37668504"/>
      <w:bookmarkStart w:id="156" w:name="_Toc10928"/>
      <w:bookmarkStart w:id="157" w:name="_Toc535580034"/>
      <w:bookmarkStart w:id="158" w:name="_Toc535570761"/>
      <w:bookmarkStart w:id="159" w:name="_Toc535580102"/>
      <w:bookmarkStart w:id="160" w:name="_Toc535508647"/>
      <w:r>
        <w:rPr>
          <w:rFonts w:hint="eastAsia"/>
          <w:sz w:val="24"/>
        </w:rPr>
        <w:t>银行对账单</w:t>
      </w:r>
      <w:bookmarkEnd w:id="155"/>
      <w:bookmarkEnd w:id="156"/>
      <w:bookmarkEnd w:id="157"/>
      <w:bookmarkEnd w:id="158"/>
      <w:bookmarkEnd w:id="159"/>
      <w:bookmarkEnd w:id="160"/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盛京银行        单位：元</w:t>
      </w: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Arial" w:hAnsi="Aria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19050</wp:posOffset>
            </wp:positionV>
            <wp:extent cx="6221730" cy="2329815"/>
            <wp:effectExtent l="0" t="0" r="7620" b="13335"/>
            <wp:wrapNone/>
            <wp:docPr id="28" name="图片 28" descr="盛京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盛京银行"/>
                    <pic:cNvPicPr>
                      <a:picLocks noChangeAspect="1"/>
                    </pic:cNvPicPr>
                  </pic:nvPicPr>
                  <pic:blipFill>
                    <a:blip r:embed="rId26"/>
                    <a:srcRect b="21306"/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中国工商银行(北碚支行)        单位：元</w:t>
      </w: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4445</wp:posOffset>
            </wp:positionV>
            <wp:extent cx="6271895" cy="2162175"/>
            <wp:effectExtent l="0" t="0" r="14605" b="9525"/>
            <wp:wrapNone/>
            <wp:docPr id="22" name="图片 22" descr="工行北碚支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工行北碚支行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Arial" w:hAnsi="Arial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409575</wp:posOffset>
            </wp:positionV>
            <wp:extent cx="6291580" cy="2505710"/>
            <wp:effectExtent l="0" t="0" r="13970" b="8890"/>
            <wp:wrapNone/>
            <wp:docPr id="21" name="图片 21" descr="农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农行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kern w:val="0"/>
          <w:sz w:val="24"/>
        </w:rPr>
        <w:t>中国农业银行        单位：元</w:t>
      </w:r>
    </w:p>
    <w:sectPr>
      <w:footerReference r:id="rId5" w:type="default"/>
      <w:pgSz w:w="11906" w:h="16838"/>
      <w:pgMar w:top="1843" w:right="1134" w:bottom="1134" w:left="1134" w:header="851" w:footer="992" w:gutter="340"/>
      <w:pgNumType w:start="1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2920365</wp:posOffset>
              </wp:positionH>
              <wp:positionV relativeFrom="paragraph">
                <wp:posOffset>635</wp:posOffset>
              </wp:positionV>
              <wp:extent cx="15113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07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29.95pt;margin-top:0.05pt;height:144pt;width:11.9pt;mso-position-horizontal-relative:margin;z-index:251658240;mso-width-relative:page;mso-height-relative:page;" filled="f" stroked="f" coordsize="21600,21600" o:gfxdata="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8Kd1tcAAAAI&#10;AQAADwAAAAAAAAABACAAAAAiAAAAZHJzL2Rvd25yZXYueG1sUEsBAhQAFAAAAAgAh07iQLGRz9Yd&#10;AgAAGAQAAA4AAAAAAAAAAQAgAAAAJgEAAGRycy9lMm9Eb2MueG1sUEsFBgAAAAAGAAYAWQEAALUF&#10;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宋体" w:hAnsi="宋体" w:cs="宋体"/>
      </w:rPr>
    </w:pPr>
    <w:r>
      <w:rPr>
        <w:rFonts w:ascii="Arial" w:hAnsi="Arial" w:cs="Arial"/>
      </w:rPr>
      <w:t>2020</w:t>
    </w:r>
    <w:r>
      <w:rPr>
        <w:rFonts w:hint="eastAsia" w:ascii="宋体" w:hAnsi="宋体" w:cs="宋体"/>
      </w:rPr>
      <w:t>年7月监管报告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HorizontalSpacing w:val="210"/>
  <w:drawingGridVerticalSpacing w:val="16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890D92"/>
    <w:rsid w:val="00083A5A"/>
    <w:rsid w:val="00093479"/>
    <w:rsid w:val="000B5635"/>
    <w:rsid w:val="001659B0"/>
    <w:rsid w:val="0021184D"/>
    <w:rsid w:val="00261677"/>
    <w:rsid w:val="003732BD"/>
    <w:rsid w:val="00374DA6"/>
    <w:rsid w:val="003E1015"/>
    <w:rsid w:val="004943FA"/>
    <w:rsid w:val="004A45D1"/>
    <w:rsid w:val="00532027"/>
    <w:rsid w:val="005A11B6"/>
    <w:rsid w:val="007829BB"/>
    <w:rsid w:val="007A7CD9"/>
    <w:rsid w:val="008008EE"/>
    <w:rsid w:val="00865361"/>
    <w:rsid w:val="00995910"/>
    <w:rsid w:val="009977D7"/>
    <w:rsid w:val="009D4B3D"/>
    <w:rsid w:val="00A47622"/>
    <w:rsid w:val="00B91E7B"/>
    <w:rsid w:val="00BA7AA0"/>
    <w:rsid w:val="00D5098B"/>
    <w:rsid w:val="00DB291D"/>
    <w:rsid w:val="00E02446"/>
    <w:rsid w:val="00E36D8F"/>
    <w:rsid w:val="00F01CC8"/>
    <w:rsid w:val="00F84996"/>
    <w:rsid w:val="010C29A7"/>
    <w:rsid w:val="013A307E"/>
    <w:rsid w:val="017E2C47"/>
    <w:rsid w:val="01C55987"/>
    <w:rsid w:val="01CF1B37"/>
    <w:rsid w:val="01EA0C34"/>
    <w:rsid w:val="02166EE5"/>
    <w:rsid w:val="02315DC3"/>
    <w:rsid w:val="02320A19"/>
    <w:rsid w:val="023D6C9F"/>
    <w:rsid w:val="028C2894"/>
    <w:rsid w:val="033C6DB3"/>
    <w:rsid w:val="033D0563"/>
    <w:rsid w:val="03651A4A"/>
    <w:rsid w:val="038A7BB8"/>
    <w:rsid w:val="03BB72FE"/>
    <w:rsid w:val="03EE26F0"/>
    <w:rsid w:val="040D6C9F"/>
    <w:rsid w:val="04B53012"/>
    <w:rsid w:val="04E802A8"/>
    <w:rsid w:val="05196AE4"/>
    <w:rsid w:val="05220598"/>
    <w:rsid w:val="053A20DF"/>
    <w:rsid w:val="055929F4"/>
    <w:rsid w:val="05CA0C00"/>
    <w:rsid w:val="05E8030B"/>
    <w:rsid w:val="05E92E76"/>
    <w:rsid w:val="06201681"/>
    <w:rsid w:val="062F2AAE"/>
    <w:rsid w:val="06585EAC"/>
    <w:rsid w:val="06836B60"/>
    <w:rsid w:val="06910C29"/>
    <w:rsid w:val="071E1D6F"/>
    <w:rsid w:val="0757704E"/>
    <w:rsid w:val="0794671E"/>
    <w:rsid w:val="07A22AA6"/>
    <w:rsid w:val="083629A3"/>
    <w:rsid w:val="083E09FA"/>
    <w:rsid w:val="08700A4B"/>
    <w:rsid w:val="087C47C5"/>
    <w:rsid w:val="08BF2BA6"/>
    <w:rsid w:val="09361F12"/>
    <w:rsid w:val="093C61C7"/>
    <w:rsid w:val="0942735D"/>
    <w:rsid w:val="09A874B1"/>
    <w:rsid w:val="0A7E5073"/>
    <w:rsid w:val="0A91709D"/>
    <w:rsid w:val="0AB645C8"/>
    <w:rsid w:val="0ABE3C5A"/>
    <w:rsid w:val="0AD31D1E"/>
    <w:rsid w:val="0AF805D9"/>
    <w:rsid w:val="0B102C80"/>
    <w:rsid w:val="0B14356C"/>
    <w:rsid w:val="0B286806"/>
    <w:rsid w:val="0B8C4513"/>
    <w:rsid w:val="0C6849D6"/>
    <w:rsid w:val="0D1D61EF"/>
    <w:rsid w:val="0D444E00"/>
    <w:rsid w:val="0D616C53"/>
    <w:rsid w:val="0DA0292C"/>
    <w:rsid w:val="0DAD1026"/>
    <w:rsid w:val="0E4906FC"/>
    <w:rsid w:val="0E522C8D"/>
    <w:rsid w:val="0E567032"/>
    <w:rsid w:val="0E657E1B"/>
    <w:rsid w:val="0EEA6CDA"/>
    <w:rsid w:val="0F734B82"/>
    <w:rsid w:val="0FD43490"/>
    <w:rsid w:val="10175421"/>
    <w:rsid w:val="10362475"/>
    <w:rsid w:val="10A558D4"/>
    <w:rsid w:val="10DC52FA"/>
    <w:rsid w:val="11535CBA"/>
    <w:rsid w:val="11552E27"/>
    <w:rsid w:val="119679B0"/>
    <w:rsid w:val="1218589A"/>
    <w:rsid w:val="129D3BF6"/>
    <w:rsid w:val="12A15873"/>
    <w:rsid w:val="12B76584"/>
    <w:rsid w:val="12CA48F8"/>
    <w:rsid w:val="12CF7E9E"/>
    <w:rsid w:val="14783ECD"/>
    <w:rsid w:val="147F0BD5"/>
    <w:rsid w:val="14962013"/>
    <w:rsid w:val="14E51EBF"/>
    <w:rsid w:val="15104FD3"/>
    <w:rsid w:val="15122FBD"/>
    <w:rsid w:val="15155EEC"/>
    <w:rsid w:val="15CD59F3"/>
    <w:rsid w:val="15D70172"/>
    <w:rsid w:val="15E741AC"/>
    <w:rsid w:val="16192252"/>
    <w:rsid w:val="16440B30"/>
    <w:rsid w:val="165D3BC9"/>
    <w:rsid w:val="16B27BA2"/>
    <w:rsid w:val="16DC505C"/>
    <w:rsid w:val="16DD16E0"/>
    <w:rsid w:val="16EE0DC7"/>
    <w:rsid w:val="1710132E"/>
    <w:rsid w:val="171113A8"/>
    <w:rsid w:val="172F67DB"/>
    <w:rsid w:val="174E0008"/>
    <w:rsid w:val="17AD10D5"/>
    <w:rsid w:val="17E950BE"/>
    <w:rsid w:val="18F1277D"/>
    <w:rsid w:val="18FF4DE2"/>
    <w:rsid w:val="19821213"/>
    <w:rsid w:val="1A150276"/>
    <w:rsid w:val="1A1764EA"/>
    <w:rsid w:val="1A352297"/>
    <w:rsid w:val="1A7D331F"/>
    <w:rsid w:val="1AC7425F"/>
    <w:rsid w:val="1ADB45D0"/>
    <w:rsid w:val="1B093958"/>
    <w:rsid w:val="1B230206"/>
    <w:rsid w:val="1B2D1265"/>
    <w:rsid w:val="1B511BE1"/>
    <w:rsid w:val="1B6263A2"/>
    <w:rsid w:val="1B821905"/>
    <w:rsid w:val="1B9705C1"/>
    <w:rsid w:val="1BE63143"/>
    <w:rsid w:val="1C5036B8"/>
    <w:rsid w:val="1C5D2E8D"/>
    <w:rsid w:val="1C913EC9"/>
    <w:rsid w:val="1CB353D0"/>
    <w:rsid w:val="1CB36EF1"/>
    <w:rsid w:val="1CDA4C10"/>
    <w:rsid w:val="1CF7229F"/>
    <w:rsid w:val="1D26100F"/>
    <w:rsid w:val="1D5664D9"/>
    <w:rsid w:val="1D97682D"/>
    <w:rsid w:val="1E246271"/>
    <w:rsid w:val="1E362BDF"/>
    <w:rsid w:val="1E3F3C23"/>
    <w:rsid w:val="1E4710E4"/>
    <w:rsid w:val="1E6A2573"/>
    <w:rsid w:val="1EE1256C"/>
    <w:rsid w:val="1F217C45"/>
    <w:rsid w:val="1F491095"/>
    <w:rsid w:val="1F8C30CF"/>
    <w:rsid w:val="1FA001D4"/>
    <w:rsid w:val="1FF13C52"/>
    <w:rsid w:val="200F7A30"/>
    <w:rsid w:val="2020222B"/>
    <w:rsid w:val="20C11509"/>
    <w:rsid w:val="20D7736E"/>
    <w:rsid w:val="20F42F4A"/>
    <w:rsid w:val="21B74056"/>
    <w:rsid w:val="21C86277"/>
    <w:rsid w:val="21E918BD"/>
    <w:rsid w:val="21FE4897"/>
    <w:rsid w:val="22A01DEE"/>
    <w:rsid w:val="22A66EBA"/>
    <w:rsid w:val="22AB78C8"/>
    <w:rsid w:val="22BD71A3"/>
    <w:rsid w:val="22BE66AF"/>
    <w:rsid w:val="2366253B"/>
    <w:rsid w:val="23A4762F"/>
    <w:rsid w:val="23C66452"/>
    <w:rsid w:val="23C81640"/>
    <w:rsid w:val="23CD6011"/>
    <w:rsid w:val="24253466"/>
    <w:rsid w:val="24877E13"/>
    <w:rsid w:val="24940F3E"/>
    <w:rsid w:val="24BC2899"/>
    <w:rsid w:val="252C0867"/>
    <w:rsid w:val="255E4F9C"/>
    <w:rsid w:val="2587337B"/>
    <w:rsid w:val="25BF4477"/>
    <w:rsid w:val="25E1304A"/>
    <w:rsid w:val="25FE5909"/>
    <w:rsid w:val="26331672"/>
    <w:rsid w:val="263A7F07"/>
    <w:rsid w:val="265F470B"/>
    <w:rsid w:val="26D6241A"/>
    <w:rsid w:val="272261BA"/>
    <w:rsid w:val="27FA0B5F"/>
    <w:rsid w:val="281A0CFC"/>
    <w:rsid w:val="29630369"/>
    <w:rsid w:val="298A0811"/>
    <w:rsid w:val="29974216"/>
    <w:rsid w:val="29E85065"/>
    <w:rsid w:val="29EC3E5F"/>
    <w:rsid w:val="2AAA1765"/>
    <w:rsid w:val="2AAC4A91"/>
    <w:rsid w:val="2AEB3CCA"/>
    <w:rsid w:val="2AEF3CDD"/>
    <w:rsid w:val="2B674A9B"/>
    <w:rsid w:val="2BD02DC0"/>
    <w:rsid w:val="2C055CC8"/>
    <w:rsid w:val="2CD402CF"/>
    <w:rsid w:val="2CE90260"/>
    <w:rsid w:val="2CFB2DBA"/>
    <w:rsid w:val="2D551F66"/>
    <w:rsid w:val="2D8E05DB"/>
    <w:rsid w:val="2DC10904"/>
    <w:rsid w:val="2DD10D8A"/>
    <w:rsid w:val="2E052C34"/>
    <w:rsid w:val="2E665E90"/>
    <w:rsid w:val="2EA913F6"/>
    <w:rsid w:val="2EFA6722"/>
    <w:rsid w:val="2F0D0257"/>
    <w:rsid w:val="2F1D07AD"/>
    <w:rsid w:val="2F260B27"/>
    <w:rsid w:val="2F3653E9"/>
    <w:rsid w:val="2F955AA0"/>
    <w:rsid w:val="2FA35503"/>
    <w:rsid w:val="2FE328B0"/>
    <w:rsid w:val="30400D46"/>
    <w:rsid w:val="305672F0"/>
    <w:rsid w:val="305829B3"/>
    <w:rsid w:val="30632575"/>
    <w:rsid w:val="30707B05"/>
    <w:rsid w:val="30E459C5"/>
    <w:rsid w:val="30F7674E"/>
    <w:rsid w:val="30F9223D"/>
    <w:rsid w:val="31826D41"/>
    <w:rsid w:val="320E28CA"/>
    <w:rsid w:val="323D3A27"/>
    <w:rsid w:val="32634148"/>
    <w:rsid w:val="32A51025"/>
    <w:rsid w:val="32BF1556"/>
    <w:rsid w:val="32D525B4"/>
    <w:rsid w:val="330777A6"/>
    <w:rsid w:val="334F7BCF"/>
    <w:rsid w:val="337323D5"/>
    <w:rsid w:val="33F873D0"/>
    <w:rsid w:val="34392581"/>
    <w:rsid w:val="34605068"/>
    <w:rsid w:val="34E80493"/>
    <w:rsid w:val="34FB1BBD"/>
    <w:rsid w:val="34FD6485"/>
    <w:rsid w:val="35121199"/>
    <w:rsid w:val="353A0D3B"/>
    <w:rsid w:val="35CC22FE"/>
    <w:rsid w:val="35E61DAA"/>
    <w:rsid w:val="35EA531E"/>
    <w:rsid w:val="360C4478"/>
    <w:rsid w:val="36351C0A"/>
    <w:rsid w:val="36380B94"/>
    <w:rsid w:val="363C4175"/>
    <w:rsid w:val="36406931"/>
    <w:rsid w:val="366E0277"/>
    <w:rsid w:val="37535CD6"/>
    <w:rsid w:val="37D83C1B"/>
    <w:rsid w:val="37EB2F6C"/>
    <w:rsid w:val="387F1BA7"/>
    <w:rsid w:val="390724AF"/>
    <w:rsid w:val="39383609"/>
    <w:rsid w:val="398F5612"/>
    <w:rsid w:val="39DD71EF"/>
    <w:rsid w:val="3A6363AA"/>
    <w:rsid w:val="3A7F32E6"/>
    <w:rsid w:val="3B521897"/>
    <w:rsid w:val="3BBB7350"/>
    <w:rsid w:val="3BDF7A46"/>
    <w:rsid w:val="3BEE417D"/>
    <w:rsid w:val="3C36744D"/>
    <w:rsid w:val="3C5549F3"/>
    <w:rsid w:val="3C6719E7"/>
    <w:rsid w:val="3D857261"/>
    <w:rsid w:val="3DAF5B3C"/>
    <w:rsid w:val="3DB10B43"/>
    <w:rsid w:val="3DD02385"/>
    <w:rsid w:val="3DD817B8"/>
    <w:rsid w:val="3E222D73"/>
    <w:rsid w:val="3ED40526"/>
    <w:rsid w:val="3ED94E49"/>
    <w:rsid w:val="3F40184C"/>
    <w:rsid w:val="3FB051C6"/>
    <w:rsid w:val="3FBB575D"/>
    <w:rsid w:val="3FDC17EC"/>
    <w:rsid w:val="40477CDF"/>
    <w:rsid w:val="40902A29"/>
    <w:rsid w:val="40A40676"/>
    <w:rsid w:val="40C30487"/>
    <w:rsid w:val="40C65C85"/>
    <w:rsid w:val="40D36BB3"/>
    <w:rsid w:val="41100D3D"/>
    <w:rsid w:val="41472DBE"/>
    <w:rsid w:val="417A7B3F"/>
    <w:rsid w:val="42314DB0"/>
    <w:rsid w:val="42521640"/>
    <w:rsid w:val="42E63350"/>
    <w:rsid w:val="43353F64"/>
    <w:rsid w:val="439D3C31"/>
    <w:rsid w:val="43D07772"/>
    <w:rsid w:val="43DC054A"/>
    <w:rsid w:val="43E81DCF"/>
    <w:rsid w:val="43FB252A"/>
    <w:rsid w:val="44903884"/>
    <w:rsid w:val="44BA6043"/>
    <w:rsid w:val="454D1AF8"/>
    <w:rsid w:val="45534B2C"/>
    <w:rsid w:val="45F12590"/>
    <w:rsid w:val="45FC4CEC"/>
    <w:rsid w:val="46333F7E"/>
    <w:rsid w:val="46581CAF"/>
    <w:rsid w:val="46603549"/>
    <w:rsid w:val="46660698"/>
    <w:rsid w:val="46BC7CB0"/>
    <w:rsid w:val="470D17B1"/>
    <w:rsid w:val="470E4C45"/>
    <w:rsid w:val="47241FF3"/>
    <w:rsid w:val="47BF2DC2"/>
    <w:rsid w:val="47C4478F"/>
    <w:rsid w:val="47DE106E"/>
    <w:rsid w:val="48745D8C"/>
    <w:rsid w:val="48890D92"/>
    <w:rsid w:val="48971346"/>
    <w:rsid w:val="4897390F"/>
    <w:rsid w:val="489D03DE"/>
    <w:rsid w:val="48A93D4A"/>
    <w:rsid w:val="48AE23F1"/>
    <w:rsid w:val="48B16F13"/>
    <w:rsid w:val="48DC7F20"/>
    <w:rsid w:val="495922EE"/>
    <w:rsid w:val="49A73F0E"/>
    <w:rsid w:val="49E25AA9"/>
    <w:rsid w:val="4A105FFF"/>
    <w:rsid w:val="4A4366BA"/>
    <w:rsid w:val="4AB54C8F"/>
    <w:rsid w:val="4ABA4C7D"/>
    <w:rsid w:val="4ACF3AC2"/>
    <w:rsid w:val="4B070AE2"/>
    <w:rsid w:val="4B1470B2"/>
    <w:rsid w:val="4B4549E0"/>
    <w:rsid w:val="4B9D5A2D"/>
    <w:rsid w:val="4C011845"/>
    <w:rsid w:val="4C120893"/>
    <w:rsid w:val="4C576F62"/>
    <w:rsid w:val="4CA85A8C"/>
    <w:rsid w:val="4CBD741F"/>
    <w:rsid w:val="4CD81A15"/>
    <w:rsid w:val="4CFF0FA9"/>
    <w:rsid w:val="4D912EE1"/>
    <w:rsid w:val="4DC02368"/>
    <w:rsid w:val="4DC4420C"/>
    <w:rsid w:val="4E5B7865"/>
    <w:rsid w:val="4E844596"/>
    <w:rsid w:val="4EB773CB"/>
    <w:rsid w:val="4EDD5208"/>
    <w:rsid w:val="4F124E4E"/>
    <w:rsid w:val="4F675497"/>
    <w:rsid w:val="4F7870C7"/>
    <w:rsid w:val="4F7D34CB"/>
    <w:rsid w:val="4F9746D4"/>
    <w:rsid w:val="503E302E"/>
    <w:rsid w:val="50464620"/>
    <w:rsid w:val="504A5719"/>
    <w:rsid w:val="509953FA"/>
    <w:rsid w:val="511D4A3B"/>
    <w:rsid w:val="515A18E7"/>
    <w:rsid w:val="51AF1CA5"/>
    <w:rsid w:val="527823BA"/>
    <w:rsid w:val="52847E60"/>
    <w:rsid w:val="53126824"/>
    <w:rsid w:val="532B0A96"/>
    <w:rsid w:val="53A85C2F"/>
    <w:rsid w:val="53D55C19"/>
    <w:rsid w:val="53D64FBC"/>
    <w:rsid w:val="53E16732"/>
    <w:rsid w:val="53FC193A"/>
    <w:rsid w:val="54063B34"/>
    <w:rsid w:val="543B005B"/>
    <w:rsid w:val="546A0527"/>
    <w:rsid w:val="547E5EFE"/>
    <w:rsid w:val="54972C59"/>
    <w:rsid w:val="54F61DD6"/>
    <w:rsid w:val="54FB15F8"/>
    <w:rsid w:val="55376399"/>
    <w:rsid w:val="554C6397"/>
    <w:rsid w:val="554C6FD0"/>
    <w:rsid w:val="556E4017"/>
    <w:rsid w:val="55F67F33"/>
    <w:rsid w:val="56285A2C"/>
    <w:rsid w:val="56840263"/>
    <w:rsid w:val="57074657"/>
    <w:rsid w:val="57913C91"/>
    <w:rsid w:val="57932768"/>
    <w:rsid w:val="57BB4CCE"/>
    <w:rsid w:val="5814572D"/>
    <w:rsid w:val="582112FA"/>
    <w:rsid w:val="583478BD"/>
    <w:rsid w:val="586220E4"/>
    <w:rsid w:val="58D042A8"/>
    <w:rsid w:val="58DB479F"/>
    <w:rsid w:val="590A07A8"/>
    <w:rsid w:val="599928A8"/>
    <w:rsid w:val="599C2499"/>
    <w:rsid w:val="5A0064C5"/>
    <w:rsid w:val="5A2967DE"/>
    <w:rsid w:val="5AAA5F2F"/>
    <w:rsid w:val="5B66359B"/>
    <w:rsid w:val="5BB51C5E"/>
    <w:rsid w:val="5C1062BD"/>
    <w:rsid w:val="5C545DD6"/>
    <w:rsid w:val="5C5736B5"/>
    <w:rsid w:val="5C790D79"/>
    <w:rsid w:val="5CAE745A"/>
    <w:rsid w:val="5CB668AA"/>
    <w:rsid w:val="5CBF6742"/>
    <w:rsid w:val="5CC25760"/>
    <w:rsid w:val="5CD31D5D"/>
    <w:rsid w:val="5D0E012C"/>
    <w:rsid w:val="5D197A04"/>
    <w:rsid w:val="5D820EAB"/>
    <w:rsid w:val="5D866949"/>
    <w:rsid w:val="5E034C6A"/>
    <w:rsid w:val="5E4D4914"/>
    <w:rsid w:val="5E513A11"/>
    <w:rsid w:val="5EB4410A"/>
    <w:rsid w:val="5EB6332B"/>
    <w:rsid w:val="5F413254"/>
    <w:rsid w:val="5F48111D"/>
    <w:rsid w:val="5F542BDA"/>
    <w:rsid w:val="5F8D4DD5"/>
    <w:rsid w:val="5FAE1DFB"/>
    <w:rsid w:val="5FD91DC4"/>
    <w:rsid w:val="603E1175"/>
    <w:rsid w:val="605909FC"/>
    <w:rsid w:val="60645724"/>
    <w:rsid w:val="609A227F"/>
    <w:rsid w:val="60B5622F"/>
    <w:rsid w:val="6160734D"/>
    <w:rsid w:val="621653FF"/>
    <w:rsid w:val="6221354F"/>
    <w:rsid w:val="626E165E"/>
    <w:rsid w:val="629570DD"/>
    <w:rsid w:val="62A51D42"/>
    <w:rsid w:val="62CC4C09"/>
    <w:rsid w:val="63023035"/>
    <w:rsid w:val="63236FCB"/>
    <w:rsid w:val="63313733"/>
    <w:rsid w:val="635C1823"/>
    <w:rsid w:val="63D65F21"/>
    <w:rsid w:val="63EB43E7"/>
    <w:rsid w:val="63EC2743"/>
    <w:rsid w:val="642D4CAA"/>
    <w:rsid w:val="643967C2"/>
    <w:rsid w:val="64935A44"/>
    <w:rsid w:val="6494069E"/>
    <w:rsid w:val="64F951FF"/>
    <w:rsid w:val="65002607"/>
    <w:rsid w:val="65D612F9"/>
    <w:rsid w:val="65DA0542"/>
    <w:rsid w:val="65F50BAE"/>
    <w:rsid w:val="65FF427C"/>
    <w:rsid w:val="66201E86"/>
    <w:rsid w:val="66331A67"/>
    <w:rsid w:val="667C0BBD"/>
    <w:rsid w:val="66B334A0"/>
    <w:rsid w:val="66BC35E5"/>
    <w:rsid w:val="67157540"/>
    <w:rsid w:val="672F48E2"/>
    <w:rsid w:val="67630D20"/>
    <w:rsid w:val="67AE0E7A"/>
    <w:rsid w:val="67ED5E50"/>
    <w:rsid w:val="67F37BE8"/>
    <w:rsid w:val="68784875"/>
    <w:rsid w:val="68853E97"/>
    <w:rsid w:val="68880596"/>
    <w:rsid w:val="689E6B3C"/>
    <w:rsid w:val="68BC77D1"/>
    <w:rsid w:val="68CC231E"/>
    <w:rsid w:val="690276BC"/>
    <w:rsid w:val="696E297A"/>
    <w:rsid w:val="696F5637"/>
    <w:rsid w:val="69762E36"/>
    <w:rsid w:val="6A081A42"/>
    <w:rsid w:val="6A1C6D62"/>
    <w:rsid w:val="6A5A647F"/>
    <w:rsid w:val="6ACF4367"/>
    <w:rsid w:val="6AD24527"/>
    <w:rsid w:val="6AD61432"/>
    <w:rsid w:val="6B014E7A"/>
    <w:rsid w:val="6BD419A2"/>
    <w:rsid w:val="6BE713B7"/>
    <w:rsid w:val="6D551685"/>
    <w:rsid w:val="6D5A254D"/>
    <w:rsid w:val="6D5E2AE8"/>
    <w:rsid w:val="6D8F189F"/>
    <w:rsid w:val="6D953E53"/>
    <w:rsid w:val="6D962DD9"/>
    <w:rsid w:val="6DB64F7C"/>
    <w:rsid w:val="6DD43BBB"/>
    <w:rsid w:val="6E0148B3"/>
    <w:rsid w:val="6E031251"/>
    <w:rsid w:val="6E4142B1"/>
    <w:rsid w:val="6E593129"/>
    <w:rsid w:val="6EDB6B60"/>
    <w:rsid w:val="6EEB1E9B"/>
    <w:rsid w:val="6F54325B"/>
    <w:rsid w:val="6F963D08"/>
    <w:rsid w:val="6FFF3E93"/>
    <w:rsid w:val="702E0C02"/>
    <w:rsid w:val="704E6133"/>
    <w:rsid w:val="70614264"/>
    <w:rsid w:val="70B11F8C"/>
    <w:rsid w:val="70C76292"/>
    <w:rsid w:val="71CC3BC2"/>
    <w:rsid w:val="72B82F6D"/>
    <w:rsid w:val="731B7E5F"/>
    <w:rsid w:val="734635D6"/>
    <w:rsid w:val="73494B3A"/>
    <w:rsid w:val="74143D54"/>
    <w:rsid w:val="7498630D"/>
    <w:rsid w:val="753B1A05"/>
    <w:rsid w:val="75427B8A"/>
    <w:rsid w:val="755128AA"/>
    <w:rsid w:val="75625F61"/>
    <w:rsid w:val="75704CD3"/>
    <w:rsid w:val="75861A03"/>
    <w:rsid w:val="76673B0F"/>
    <w:rsid w:val="769726D0"/>
    <w:rsid w:val="76E75C5E"/>
    <w:rsid w:val="77514124"/>
    <w:rsid w:val="77540B09"/>
    <w:rsid w:val="777A0AA5"/>
    <w:rsid w:val="77CB5187"/>
    <w:rsid w:val="77F5032A"/>
    <w:rsid w:val="77FD0D00"/>
    <w:rsid w:val="782A3BA2"/>
    <w:rsid w:val="78415982"/>
    <w:rsid w:val="78AD5C8F"/>
    <w:rsid w:val="78C4617B"/>
    <w:rsid w:val="78FB7897"/>
    <w:rsid w:val="795530FC"/>
    <w:rsid w:val="796B4C93"/>
    <w:rsid w:val="79A00B5F"/>
    <w:rsid w:val="79AC762A"/>
    <w:rsid w:val="79B26F55"/>
    <w:rsid w:val="79F733E6"/>
    <w:rsid w:val="7A5B0298"/>
    <w:rsid w:val="7A650814"/>
    <w:rsid w:val="7BDF1E78"/>
    <w:rsid w:val="7C115B2E"/>
    <w:rsid w:val="7C147B79"/>
    <w:rsid w:val="7C9E2421"/>
    <w:rsid w:val="7CB610BD"/>
    <w:rsid w:val="7CC72A7D"/>
    <w:rsid w:val="7CCE3A54"/>
    <w:rsid w:val="7CF10754"/>
    <w:rsid w:val="7CFB58AB"/>
    <w:rsid w:val="7D4010FC"/>
    <w:rsid w:val="7D806D24"/>
    <w:rsid w:val="7DB82310"/>
    <w:rsid w:val="7E416EFE"/>
    <w:rsid w:val="7E9477C2"/>
    <w:rsid w:val="7EA778EC"/>
    <w:rsid w:val="7EB019B8"/>
    <w:rsid w:val="7EBC3552"/>
    <w:rsid w:val="7F0A0AED"/>
    <w:rsid w:val="7F5F47E1"/>
    <w:rsid w:val="7FE4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43"/>
    <w:qFormat/>
    <w:uiPriority w:val="0"/>
    <w:pPr>
      <w:jc w:val="left"/>
    </w:pPr>
  </w:style>
  <w:style w:type="paragraph" w:styleId="6">
    <w:name w:val="Balloon Text"/>
    <w:basedOn w:val="1"/>
    <w:link w:val="42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annotation subject"/>
    <w:basedOn w:val="5"/>
    <w:next w:val="5"/>
    <w:link w:val="44"/>
    <w:qFormat/>
    <w:uiPriority w:val="0"/>
    <w:rPr>
      <w:b/>
      <w:bCs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333333"/>
      <w:u w:val="none"/>
    </w:rPr>
  </w:style>
  <w:style w:type="character" w:styleId="17">
    <w:name w:val="Emphasis"/>
    <w:basedOn w:val="14"/>
    <w:qFormat/>
    <w:uiPriority w:val="0"/>
  </w:style>
  <w:style w:type="character" w:styleId="18">
    <w:name w:val="HTML Definition"/>
    <w:basedOn w:val="14"/>
    <w:qFormat/>
    <w:uiPriority w:val="0"/>
    <w:rPr>
      <w:i/>
      <w:color w:val="CC0000"/>
    </w:rPr>
  </w:style>
  <w:style w:type="character" w:styleId="19">
    <w:name w:val="Hyperlink"/>
    <w:basedOn w:val="14"/>
    <w:qFormat/>
    <w:uiPriority w:val="0"/>
    <w:rPr>
      <w:color w:val="333333"/>
      <w:u w:val="none"/>
    </w:rPr>
  </w:style>
  <w:style w:type="character" w:styleId="20">
    <w:name w:val="HTML Code"/>
    <w:basedOn w:val="14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21">
    <w:name w:val="annotation reference"/>
    <w:basedOn w:val="14"/>
    <w:qFormat/>
    <w:uiPriority w:val="0"/>
    <w:rPr>
      <w:sz w:val="21"/>
      <w:szCs w:val="21"/>
    </w:rPr>
  </w:style>
  <w:style w:type="character" w:styleId="22">
    <w:name w:val="HTML Keyboard"/>
    <w:basedOn w:val="14"/>
    <w:qFormat/>
    <w:uiPriority w:val="0"/>
    <w:rPr>
      <w:rFonts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23">
    <w:name w:val="HTML Sample"/>
    <w:basedOn w:val="14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24">
    <w:name w:val="标题 1 字符"/>
    <w:link w:val="2"/>
    <w:qFormat/>
    <w:uiPriority w:val="0"/>
    <w:rPr>
      <w:b/>
      <w:kern w:val="44"/>
      <w:sz w:val="44"/>
    </w:rPr>
  </w:style>
  <w:style w:type="character" w:customStyle="1" w:styleId="25">
    <w:name w:val="font2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6">
    <w:name w:val="font01"/>
    <w:basedOn w:val="14"/>
    <w:qFormat/>
    <w:uiPriority w:val="0"/>
    <w:rPr>
      <w:rFonts w:hint="eastAsia" w:ascii="宋体" w:hAnsi="宋体" w:eastAsia="宋体" w:cs="宋体"/>
      <w:color w:val="0C0C0C"/>
      <w:sz w:val="20"/>
      <w:szCs w:val="20"/>
      <w:u w:val="none"/>
    </w:rPr>
  </w:style>
  <w:style w:type="character" w:customStyle="1" w:styleId="27">
    <w:name w:val="font1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8">
    <w:name w:val="jedateymchok"/>
    <w:basedOn w:val="14"/>
    <w:qFormat/>
    <w:uiPriority w:val="0"/>
    <w:rPr>
      <w:color w:val="FFFFFF"/>
      <w:sz w:val="18"/>
      <w:szCs w:val="18"/>
      <w:shd w:val="clear" w:color="auto" w:fill="D91600"/>
    </w:rPr>
  </w:style>
  <w:style w:type="character" w:customStyle="1" w:styleId="29">
    <w:name w:val="first-child"/>
    <w:basedOn w:val="14"/>
    <w:qFormat/>
    <w:uiPriority w:val="0"/>
  </w:style>
  <w:style w:type="character" w:customStyle="1" w:styleId="30">
    <w:name w:val="jedateymchle"/>
    <w:basedOn w:val="14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1">
    <w:name w:val="fl"/>
    <w:basedOn w:val="14"/>
    <w:qFormat/>
    <w:uiPriority w:val="0"/>
  </w:style>
  <w:style w:type="character" w:customStyle="1" w:styleId="32">
    <w:name w:val="jedateymchri"/>
    <w:basedOn w:val="14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3">
    <w:name w:val="jedateymchri1"/>
    <w:basedOn w:val="14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4">
    <w:name w:val="jedateymchri2"/>
    <w:basedOn w:val="14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5">
    <w:name w:val="jedateymchri3"/>
    <w:basedOn w:val="14"/>
    <w:qFormat/>
    <w:uiPriority w:val="0"/>
    <w:rPr>
      <w:color w:val="1F547E"/>
      <w:sz w:val="24"/>
      <w:szCs w:val="24"/>
      <w:shd w:val="clear" w:color="auto" w:fill="ECF4FB"/>
    </w:rPr>
  </w:style>
  <w:style w:type="character" w:customStyle="1" w:styleId="36">
    <w:name w:val="layui-layer-tabnow"/>
    <w:basedOn w:val="14"/>
    <w:qFormat/>
    <w:uiPriority w:val="0"/>
    <w:rPr>
      <w:bdr w:val="single" w:color="CCCCCC" w:sz="6" w:space="0"/>
      <w:shd w:val="clear" w:color="auto" w:fill="FFFFFF"/>
    </w:rPr>
  </w:style>
  <w:style w:type="character" w:customStyle="1" w:styleId="37">
    <w:name w:val="icon-cry"/>
    <w:basedOn w:val="14"/>
    <w:qFormat/>
    <w:uiPriority w:val="0"/>
  </w:style>
  <w:style w:type="character" w:customStyle="1" w:styleId="38">
    <w:name w:val="nav-icon22"/>
    <w:basedOn w:val="14"/>
    <w:qFormat/>
    <w:uiPriority w:val="0"/>
  </w:style>
  <w:style w:type="character" w:customStyle="1" w:styleId="39">
    <w:name w:val="list-item-name"/>
    <w:basedOn w:val="14"/>
    <w:qFormat/>
    <w:uiPriority w:val="0"/>
    <w:rPr>
      <w:color w:val="333333"/>
      <w:sz w:val="24"/>
      <w:szCs w:val="24"/>
    </w:rPr>
  </w:style>
  <w:style w:type="paragraph" w:customStyle="1" w:styleId="4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42">
    <w:name w:val="批注框文本 字符"/>
    <w:basedOn w:val="14"/>
    <w:link w:val="6"/>
    <w:qFormat/>
    <w:uiPriority w:val="0"/>
    <w:rPr>
      <w:kern w:val="2"/>
      <w:sz w:val="18"/>
      <w:szCs w:val="18"/>
    </w:rPr>
  </w:style>
  <w:style w:type="character" w:customStyle="1" w:styleId="43">
    <w:name w:val="批注文字 字符"/>
    <w:basedOn w:val="14"/>
    <w:link w:val="5"/>
    <w:qFormat/>
    <w:uiPriority w:val="0"/>
    <w:rPr>
      <w:kern w:val="2"/>
      <w:sz w:val="21"/>
      <w:szCs w:val="24"/>
    </w:rPr>
  </w:style>
  <w:style w:type="character" w:customStyle="1" w:styleId="44">
    <w:name w:val="批注主题 字符"/>
    <w:basedOn w:val="43"/>
    <w:link w:val="11"/>
    <w:qFormat/>
    <w:uiPriority w:val="0"/>
    <w:rPr>
      <w:b/>
      <w:bCs/>
      <w:kern w:val="2"/>
      <w:sz w:val="21"/>
      <w:szCs w:val="24"/>
    </w:rPr>
  </w:style>
  <w:style w:type="character" w:customStyle="1" w:styleId="45">
    <w:name w:val="font3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6">
    <w:name w:val="font4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3279</Words>
  <Characters>18695</Characters>
  <Lines>155</Lines>
  <Paragraphs>43</Paragraphs>
  <TotalTime>13</TotalTime>
  <ScaleCrop>false</ScaleCrop>
  <LinksUpToDate>false</LinksUpToDate>
  <CharactersWithSpaces>21931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2020-04-23T02:25:00Z</dcterms:created>
  <dc:creator>刘涛</dc:creator>
  <cp:lastModifiedBy>Administrator</cp:lastModifiedBy>
  <cp:lastPrinted>2020-07-22T09:25:00Z</cp:lastPrinted>
  <dcterms:modified xsi:type="dcterms:W3CDTF">2020-08-10T03:56:02Z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