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220" w:firstLineChars="61"/>
        <w:jc w:val="center"/>
        <w:rPr>
          <w:rFonts w:ascii="Arial" w:hAnsi="Arial" w:cs="Arial"/>
          <w:b/>
          <w:sz w:val="36"/>
        </w:rPr>
      </w:pPr>
    </w:p>
    <w:p>
      <w:pPr>
        <w:tabs>
          <w:tab w:val="left" w:pos="6722"/>
        </w:tabs>
        <w:spacing w:line="480" w:lineRule="auto"/>
        <w:jc w:val="left"/>
        <w:rPr>
          <w:rFonts w:ascii="Arial" w:hAnsi="Arial" w:cs="Arial"/>
          <w:b/>
          <w:sz w:val="36"/>
        </w:rPr>
      </w:pPr>
      <w:r>
        <w:rPr>
          <w:rFonts w:hint="eastAsia" w:ascii="Arial" w:hAnsi="Arial" w:cs="Arial"/>
          <w:b/>
          <w:sz w:val="36"/>
        </w:rPr>
        <w:tab/>
      </w: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Theme="majorEastAsia" w:hAnsiTheme="majorEastAsia" w:eastAsiaTheme="majorEastAsia" w:cstheme="majorEastAsia"/>
          <w:b/>
          <w:sz w:val="36"/>
        </w:rPr>
      </w:pPr>
      <w:r>
        <w:rPr>
          <w:rFonts w:ascii="Arial" w:hAnsi="Arial" w:cs="Arial" w:eastAsiaTheme="majorEastAsia"/>
          <w:b/>
          <w:sz w:val="36"/>
        </w:rPr>
        <w:t>2020</w:t>
      </w:r>
      <w:r>
        <w:rPr>
          <w:rFonts w:hint="eastAsia" w:asciiTheme="majorEastAsia" w:hAnsiTheme="majorEastAsia" w:eastAsiaTheme="majorEastAsia" w:cstheme="majorEastAsia"/>
          <w:b/>
          <w:sz w:val="36"/>
        </w:rPr>
        <w:t>年中诚信托恒康</w:t>
      </w:r>
      <w:r>
        <w:rPr>
          <w:rFonts w:ascii="Arial" w:hAnsi="Arial" w:cs="Arial" w:eastAsiaTheme="majorEastAsia"/>
          <w:b/>
          <w:sz w:val="36"/>
        </w:rPr>
        <w:t>1</w:t>
      </w:r>
      <w:r>
        <w:rPr>
          <w:rFonts w:hint="eastAsia" w:asciiTheme="majorEastAsia" w:hAnsiTheme="majorEastAsia" w:eastAsiaTheme="majorEastAsia" w:cstheme="majorEastAsia"/>
          <w:b/>
          <w:sz w:val="36"/>
        </w:rPr>
        <w:t>号集合资金信托计划</w:t>
      </w:r>
    </w:p>
    <w:p>
      <w:pPr>
        <w:spacing w:line="480" w:lineRule="auto"/>
        <w:jc w:val="center"/>
        <w:rPr>
          <w:rFonts w:asciiTheme="majorEastAsia" w:hAnsiTheme="majorEastAsia" w:eastAsiaTheme="majorEastAsia" w:cstheme="majorEastAsia"/>
          <w:b/>
          <w:sz w:val="36"/>
        </w:rPr>
      </w:pPr>
      <w:r>
        <w:rPr>
          <w:rFonts w:ascii="Arial" w:hAnsi="Arial" w:cs="Arial" w:eastAsiaTheme="majorEastAsia"/>
          <w:b/>
          <w:sz w:val="36"/>
        </w:rPr>
        <w:t>2020</w:t>
      </w:r>
      <w:r>
        <w:rPr>
          <w:rFonts w:hint="eastAsia" w:asciiTheme="majorEastAsia" w:hAnsiTheme="majorEastAsia" w:eastAsiaTheme="majorEastAsia" w:cstheme="majorEastAsia"/>
          <w:b/>
          <w:sz w:val="36"/>
        </w:rPr>
        <w:t>年</w:t>
      </w:r>
      <w:r>
        <w:rPr>
          <w:rFonts w:ascii="Arial" w:hAnsi="Arial" w:cs="Arial" w:eastAsiaTheme="majorEastAsia"/>
          <w:b/>
          <w:sz w:val="36"/>
        </w:rPr>
        <w:t>9</w:t>
      </w:r>
      <w:r>
        <w:rPr>
          <w:rFonts w:hint="eastAsia" w:asciiTheme="majorEastAsia" w:hAnsiTheme="majorEastAsia" w:eastAsiaTheme="majorEastAsia" w:cstheme="majorEastAsia"/>
          <w:b/>
          <w:sz w:val="36"/>
        </w:rPr>
        <w:t>月监管报告</w:t>
      </w: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项目名称：中诚信托-重庆北碚项目</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委 托 方：中诚信托有限责任公司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受 托 方：北京康信君安资产管理有限公司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监管人员：何艳秋</w:t>
      </w:r>
    </w:p>
    <w:p>
      <w:pPr>
        <w:spacing w:line="480" w:lineRule="auto"/>
        <w:jc w:val="left"/>
        <w:rPr>
          <w:rFonts w:asciiTheme="minorEastAsia" w:hAnsiTheme="minorEastAsia" w:eastAsiaTheme="minorEastAsia" w:cstheme="minorEastAsia"/>
          <w:b/>
          <w:color w:val="000000"/>
          <w:szCs w:val="21"/>
        </w:rPr>
        <w:sectPr>
          <w:headerReference r:id="rId3" w:type="default"/>
          <w:pgSz w:w="11906" w:h="16838"/>
          <w:pgMar w:top="1843" w:right="1134" w:bottom="1134" w:left="1134" w:header="851" w:footer="992" w:gutter="340"/>
          <w:pgNumType w:start="1"/>
          <w:cols w:space="0" w:num="1"/>
          <w:docGrid w:type="lines" w:linePitch="315" w:charSpace="0"/>
        </w:sectPr>
      </w:pPr>
      <w:r>
        <w:rPr>
          <w:rFonts w:hint="eastAsia" w:asciiTheme="minorEastAsia" w:hAnsiTheme="minorEastAsia" w:eastAsiaTheme="minorEastAsia" w:cstheme="minorEastAsia"/>
          <w:b/>
          <w:color w:val="000000"/>
          <w:szCs w:val="21"/>
        </w:rPr>
        <w:t>日期：二〇二〇年十月九日</w:t>
      </w:r>
    </w:p>
    <w:sdt>
      <w:sdtPr>
        <w:rPr>
          <w:rFonts w:ascii="宋体" w:hAnsi="宋体"/>
        </w:rPr>
        <w:id w:val="147455247"/>
        <w:docPartObj>
          <w:docPartGallery w:val="Table of Contents"/>
          <w:docPartUnique/>
        </w:docPartObj>
      </w:sdtPr>
      <w:sdtEndPr>
        <w:rPr>
          <w:rFonts w:hint="eastAsia" w:asciiTheme="minorEastAsia" w:hAnsiTheme="minorEastAsia" w:eastAsiaTheme="minorEastAsia" w:cstheme="minorEastAsia"/>
          <w:b/>
          <w:bCs/>
          <w:kern w:val="44"/>
          <w:sz w:val="24"/>
        </w:rPr>
      </w:sdtEndPr>
      <w:sdtContent>
        <w:p>
          <w:pPr>
            <w:spacing w:line="360" w:lineRule="auto"/>
            <w:jc w:val="center"/>
          </w:pPr>
          <w:r>
            <w:rPr>
              <w:rFonts w:ascii="宋体" w:hAnsi="宋体"/>
              <w:b/>
              <w:bCs/>
              <w:sz w:val="28"/>
              <w:szCs w:val="36"/>
            </w:rPr>
            <w:t>目录</w:t>
          </w:r>
        </w:p>
        <w:p>
          <w:pPr>
            <w:pStyle w:val="9"/>
            <w:tabs>
              <w:tab w:val="right" w:leader="dot" w:pos="9298"/>
            </w:tabs>
            <w:spacing w:line="360" w:lineRule="auto"/>
          </w:pPr>
          <w:r>
            <w:rPr>
              <w:rFonts w:hint="eastAsia" w:ascii="宋体" w:hAnsi="宋体" w:cs="宋体"/>
              <w:bCs/>
              <w:kern w:val="44"/>
              <w:sz w:val="28"/>
              <w:szCs w:val="28"/>
            </w:rPr>
            <w:fldChar w:fldCharType="begin"/>
          </w:r>
          <w:r>
            <w:rPr>
              <w:rFonts w:hint="eastAsia" w:ascii="宋体" w:hAnsi="宋体" w:cs="宋体"/>
              <w:bCs/>
              <w:kern w:val="44"/>
              <w:sz w:val="28"/>
              <w:szCs w:val="28"/>
            </w:rPr>
            <w:instrText xml:space="preserve">TOC \o "1-2" \h \u </w:instrText>
          </w:r>
          <w:r>
            <w:rPr>
              <w:rFonts w:hint="eastAsia" w:ascii="宋体" w:hAnsi="宋体" w:cs="宋体"/>
              <w:bCs/>
              <w:kern w:val="44"/>
              <w:sz w:val="28"/>
              <w:szCs w:val="28"/>
            </w:rPr>
            <w:fldChar w:fldCharType="separate"/>
          </w:r>
          <w:r>
            <w:fldChar w:fldCharType="begin"/>
          </w:r>
          <w:r>
            <w:instrText xml:space="preserve"> HYPERLINK \l "_Toc16767" </w:instrText>
          </w:r>
          <w:r>
            <w:fldChar w:fldCharType="separate"/>
          </w:r>
          <w:r>
            <w:rPr>
              <w:rFonts w:ascii="Arial" w:hAnsi="Arial" w:cs="Arial"/>
            </w:rPr>
            <w:t>1</w:t>
          </w:r>
          <w:r>
            <w:rPr>
              <w:rFonts w:hint="eastAsia" w:ascii="宋体" w:hAnsi="宋体" w:cs="宋体"/>
            </w:rPr>
            <w:t>、项目基本情况</w:t>
          </w:r>
          <w:r>
            <w:tab/>
          </w:r>
          <w:r>
            <w:rPr>
              <w:rFonts w:ascii="Arial" w:hAnsi="Arial" w:cs="Arial"/>
            </w:rPr>
            <w:fldChar w:fldCharType="begin"/>
          </w:r>
          <w:r>
            <w:rPr>
              <w:rFonts w:ascii="Arial" w:hAnsi="Arial" w:cs="Arial"/>
            </w:rPr>
            <w:instrText xml:space="preserve"> PAGEREF _Toc16767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"_Toc5552" </w:instrText>
          </w:r>
          <w:r>
            <w:fldChar w:fldCharType="separate"/>
          </w:r>
          <w:r>
            <w:rPr>
              <w:rFonts w:ascii="Arial" w:hAnsi="Arial" w:cs="Arial" w:eastAsiaTheme="majorEastAsia"/>
            </w:rPr>
            <w:t>2</w:t>
          </w:r>
          <w:r>
            <w:rPr>
              <w:rFonts w:hint="eastAsia" w:asciiTheme="majorEastAsia" w:hAnsiTheme="majorEastAsia" w:eastAsiaTheme="majorEastAsia" w:cstheme="majorEastAsia"/>
            </w:rPr>
            <w:t>、重大事件披露</w:t>
          </w:r>
          <w:r>
            <w:tab/>
          </w:r>
          <w:r>
            <w:rPr>
              <w:rFonts w:ascii="Arial" w:hAnsi="Arial" w:cs="Arial"/>
            </w:rPr>
            <w:fldChar w:fldCharType="begin"/>
          </w:r>
          <w:r>
            <w:rPr>
              <w:rFonts w:ascii="Arial" w:hAnsi="Arial" w:cs="Arial"/>
            </w:rPr>
            <w:instrText xml:space="preserve"> PAGEREF _Toc5552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"_Toc5779" </w:instrText>
          </w:r>
          <w:r>
            <w:fldChar w:fldCharType="separate"/>
          </w:r>
          <w:r>
            <w:rPr>
              <w:rFonts w:ascii="Arial" w:hAnsi="Arial" w:cs="Arial" w:eastAsiaTheme="majorEastAsia"/>
              <w:szCs w:val="22"/>
            </w:rPr>
            <w:t>3</w:t>
          </w:r>
          <w:r>
            <w:rPr>
              <w:rFonts w:hint="eastAsia" w:ascii="Arial" w:hAnsi="Arial" w:cs="Arial" w:eastAsiaTheme="majorEastAsia"/>
              <w:szCs w:val="22"/>
            </w:rPr>
            <w:t>、</w:t>
          </w:r>
          <w:r>
            <w:rPr>
              <w:rFonts w:hint="eastAsia" w:asciiTheme="majorEastAsia" w:hAnsiTheme="majorEastAsia" w:eastAsiaTheme="majorEastAsia" w:cstheme="majorEastAsia"/>
              <w:szCs w:val="22"/>
            </w:rPr>
            <w:t>项目五证办理及施工进度情况</w:t>
          </w:r>
          <w:r>
            <w:tab/>
          </w:r>
          <w:r>
            <w:rPr>
              <w:rFonts w:ascii="Arial" w:hAnsi="Arial" w:cs="Arial"/>
            </w:rPr>
            <w:fldChar w:fldCharType="begin"/>
          </w:r>
          <w:r>
            <w:rPr>
              <w:rFonts w:ascii="Arial" w:hAnsi="Arial" w:cs="Arial"/>
            </w:rPr>
            <w:instrText xml:space="preserve"> PAGEREF _Toc5779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"_Toc26932" </w:instrText>
          </w:r>
          <w:r>
            <w:fldChar w:fldCharType="separate"/>
          </w:r>
          <w:r>
            <w:rPr>
              <w:rFonts w:ascii="Arial" w:hAnsi="Arial" w:cs="Arial" w:eastAsiaTheme="majorEastAsia"/>
            </w:rPr>
            <w:t>3.1</w:t>
          </w:r>
          <w:r>
            <w:rPr>
              <w:rFonts w:hint="eastAsia" w:cs="Arial" w:eastAsiaTheme="majorEastAsia"/>
            </w:rPr>
            <w:t>、</w:t>
          </w:r>
          <w:r>
            <w:rPr>
              <w:rFonts w:hint="eastAsia" w:asciiTheme="majorEastAsia" w:hAnsiTheme="majorEastAsia" w:eastAsiaTheme="majorEastAsia" w:cstheme="majorEastAsia"/>
            </w:rPr>
            <w:t>项目五证办理情况</w:t>
          </w:r>
          <w:r>
            <w:tab/>
          </w:r>
          <w:r>
            <w:rPr>
              <w:rFonts w:ascii="Arial" w:hAnsi="Arial" w:cs="Arial"/>
            </w:rPr>
            <w:fldChar w:fldCharType="begin"/>
          </w:r>
          <w:r>
            <w:rPr>
              <w:rFonts w:ascii="Arial" w:hAnsi="Arial" w:cs="Arial"/>
            </w:rPr>
            <w:instrText xml:space="preserve"> PAGEREF _Toc26932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s>
            <w:spacing w:line="360" w:lineRule="auto"/>
            <w:jc w:val="center"/>
          </w:pPr>
          <w:r>
            <w:fldChar w:fldCharType="begin"/>
          </w:r>
          <w:r>
            <w:instrText xml:space="preserve"> HYPERLINK \l "_Toc18532" </w:instrText>
          </w:r>
          <w:r>
            <w:fldChar w:fldCharType="separate"/>
          </w:r>
          <w:r>
            <w:rPr>
              <w:rFonts w:ascii="Arial" w:hAnsi="Arial" w:cs="Arial" w:eastAsiaTheme="majorEastAsia"/>
            </w:rPr>
            <w:t>3.2</w:t>
          </w:r>
          <w:r>
            <w:rPr>
              <w:rFonts w:hint="eastAsia" w:cs="Arial" w:eastAsiaTheme="majorEastAsia"/>
            </w:rPr>
            <w:t>、</w:t>
          </w:r>
          <w:r>
            <w:rPr>
              <w:rFonts w:hint="eastAsia" w:asciiTheme="majorEastAsia" w:hAnsiTheme="majorEastAsia" w:eastAsiaTheme="majorEastAsia" w:cstheme="majorEastAsia"/>
            </w:rPr>
            <w:t>项目进度情况</w:t>
          </w:r>
          <w:r>
            <w:tab/>
          </w:r>
          <w:r>
            <w:rPr>
              <w:rFonts w:ascii="Arial" w:hAnsi="Arial" w:cs="Arial"/>
            </w:rPr>
            <w:fldChar w:fldCharType="begin"/>
          </w:r>
          <w:r>
            <w:rPr>
              <w:rFonts w:ascii="Arial" w:hAnsi="Arial" w:cs="Arial"/>
            </w:rPr>
            <w:instrText xml:space="preserve"> PAGEREF _Toc18532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"_Toc24774" </w:instrText>
          </w:r>
          <w:r>
            <w:fldChar w:fldCharType="separate"/>
          </w:r>
          <w:r>
            <w:rPr>
              <w:rFonts w:ascii="Arial" w:hAnsi="Arial" w:cs="Arial" w:eastAsiaTheme="majorEastAsia"/>
            </w:rPr>
            <w:t>3.3</w:t>
          </w:r>
          <w:r>
            <w:rPr>
              <w:rFonts w:hint="eastAsia" w:cs="Arial" w:eastAsiaTheme="majorEastAsia"/>
            </w:rPr>
            <w:t>、</w:t>
          </w:r>
          <w:r>
            <w:rPr>
              <w:rFonts w:hint="eastAsia" w:asciiTheme="majorEastAsia" w:hAnsiTheme="majorEastAsia" w:eastAsiaTheme="majorEastAsia" w:cstheme="majorEastAsia"/>
            </w:rPr>
            <w:t>项目现场施工照片</w:t>
          </w:r>
          <w:r>
            <w:tab/>
          </w:r>
          <w:r>
            <w:rPr>
              <w:rFonts w:ascii="Arial" w:hAnsi="Arial" w:cs="Arial"/>
            </w:rPr>
            <w:fldChar w:fldCharType="begin"/>
          </w:r>
          <w:r>
            <w:rPr>
              <w:rFonts w:ascii="Arial" w:hAnsi="Arial" w:cs="Arial"/>
            </w:rPr>
            <w:instrText xml:space="preserve"> PAGEREF _Toc24774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"_Toc1086" </w:instrText>
          </w:r>
          <w:r>
            <w:fldChar w:fldCharType="separate"/>
          </w:r>
          <w:r>
            <w:rPr>
              <w:rFonts w:ascii="Arial" w:hAnsi="Arial" w:cs="Arial" w:eastAsiaTheme="majorEastAsia"/>
            </w:rPr>
            <w:t>3.4</w:t>
          </w:r>
          <w:r>
            <w:rPr>
              <w:rFonts w:cs="Arial" w:eastAsiaTheme="majorEastAsia"/>
            </w:rPr>
            <w:t>、</w:t>
          </w:r>
          <w:r>
            <w:rPr>
              <w:rFonts w:ascii="Arial" w:hAnsi="Arial" w:cs="Arial" w:eastAsiaTheme="majorEastAsia"/>
            </w:rPr>
            <w:t>9</w:t>
          </w:r>
          <w:r>
            <w:rPr>
              <w:rFonts w:hint="eastAsia" w:asciiTheme="majorEastAsia" w:hAnsiTheme="majorEastAsia" w:eastAsiaTheme="majorEastAsia" w:cstheme="majorEastAsia"/>
            </w:rPr>
            <w:t>月工程施工进度计划</w:t>
          </w:r>
          <w:r>
            <w:tab/>
          </w:r>
          <w:r>
            <w:rPr>
              <w:rFonts w:ascii="Arial" w:hAnsi="Arial" w:cs="Arial"/>
            </w:rPr>
            <w:fldChar w:fldCharType="begin"/>
          </w:r>
          <w:r>
            <w:rPr>
              <w:rFonts w:ascii="Arial" w:hAnsi="Arial" w:cs="Arial"/>
            </w:rPr>
            <w:instrText xml:space="preserve"> PAGEREF _Toc1086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"_Toc26798" </w:instrText>
          </w:r>
          <w:r>
            <w:fldChar w:fldCharType="separate"/>
          </w:r>
          <w:r>
            <w:rPr>
              <w:rFonts w:ascii="Arial" w:hAnsi="Arial" w:cs="Arial" w:eastAsiaTheme="majorEastAsia"/>
            </w:rPr>
            <w:t>4</w:t>
          </w:r>
          <w:r>
            <w:rPr>
              <w:rFonts w:hint="eastAsia" w:ascii="Arial" w:hAnsi="Arial" w:cs="Arial" w:eastAsiaTheme="majorEastAsia"/>
            </w:rPr>
            <w:t>、</w:t>
          </w:r>
          <w:r>
            <w:rPr>
              <w:rFonts w:hint="eastAsia" w:asciiTheme="majorEastAsia" w:hAnsiTheme="majorEastAsia" w:eastAsiaTheme="majorEastAsia" w:cstheme="majorEastAsia"/>
            </w:rPr>
            <w:t>印鉴使用情况</w:t>
          </w:r>
          <w:r>
            <w:tab/>
          </w:r>
          <w:r>
            <w:rPr>
              <w:rFonts w:ascii="Arial" w:hAnsi="Arial" w:cs="Arial"/>
            </w:rPr>
            <w:fldChar w:fldCharType="begin"/>
          </w:r>
          <w:r>
            <w:rPr>
              <w:rFonts w:ascii="Arial" w:hAnsi="Arial" w:cs="Arial"/>
            </w:rPr>
            <w:instrText xml:space="preserve"> PAGEREF _Toc26798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"_Toc20679" </w:instrText>
          </w:r>
          <w:r>
            <w:fldChar w:fldCharType="separate"/>
          </w:r>
          <w:r>
            <w:rPr>
              <w:rFonts w:ascii="Arial" w:hAnsi="Arial" w:cs="Arial" w:eastAsiaTheme="majorEastAsia"/>
            </w:rPr>
            <w:t>5</w:t>
          </w:r>
          <w:r>
            <w:rPr>
              <w:rFonts w:hint="eastAsia" w:ascii="Arial" w:hAnsi="Arial" w:cs="Arial" w:eastAsiaTheme="majorEastAsia"/>
            </w:rPr>
            <w:t>、</w:t>
          </w:r>
          <w:r>
            <w:rPr>
              <w:rFonts w:hint="eastAsia" w:asciiTheme="majorEastAsia" w:hAnsiTheme="majorEastAsia" w:eastAsiaTheme="majorEastAsia" w:cstheme="majorEastAsia"/>
            </w:rPr>
            <w:t>合同签订情况</w:t>
          </w:r>
          <w:r>
            <w:tab/>
          </w:r>
          <w:r>
            <w:rPr>
              <w:rFonts w:ascii="Arial" w:hAnsi="Arial" w:cs="Arial"/>
            </w:rPr>
            <w:fldChar w:fldCharType="begin"/>
          </w:r>
          <w:r>
            <w:rPr>
              <w:rFonts w:ascii="Arial" w:hAnsi="Arial" w:cs="Arial"/>
            </w:rPr>
            <w:instrText xml:space="preserve"> PAGEREF _Toc20679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"_Toc4721" </w:instrText>
          </w:r>
          <w:r>
            <w:fldChar w:fldCharType="separate"/>
          </w:r>
          <w:r>
            <w:rPr>
              <w:rFonts w:ascii="Arial" w:hAnsi="Arial" w:cs="Arial" w:eastAsiaTheme="majorEastAsia"/>
            </w:rPr>
            <w:t>6</w:t>
          </w:r>
          <w:r>
            <w:rPr>
              <w:rFonts w:hint="eastAsia" w:ascii="Arial" w:hAnsi="Arial" w:cs="Arial" w:eastAsiaTheme="majorEastAsia"/>
            </w:rPr>
            <w:t>、</w:t>
          </w:r>
          <w:r>
            <w:rPr>
              <w:rFonts w:hint="eastAsia" w:asciiTheme="majorEastAsia" w:hAnsiTheme="majorEastAsia" w:eastAsiaTheme="majorEastAsia" w:cstheme="majorEastAsia"/>
            </w:rPr>
            <w:t>项目销售情况</w:t>
          </w:r>
          <w:r>
            <w:tab/>
          </w:r>
          <w:r>
            <w:rPr>
              <w:rFonts w:ascii="Arial" w:hAnsi="Arial" w:cs="Arial"/>
            </w:rPr>
            <w:fldChar w:fldCharType="begin"/>
          </w:r>
          <w:r>
            <w:rPr>
              <w:rFonts w:ascii="Arial" w:hAnsi="Arial" w:cs="Arial"/>
            </w:rPr>
            <w:instrText xml:space="preserve"> PAGEREF _Toc4721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"_Toc28932" </w:instrText>
          </w:r>
          <w:r>
            <w:fldChar w:fldCharType="separate"/>
          </w:r>
          <w:r>
            <w:rPr>
              <w:rFonts w:ascii="Arial" w:hAnsi="Arial" w:cs="Arial" w:eastAsiaTheme="majorEastAsia"/>
            </w:rPr>
            <w:t>7</w:t>
          </w:r>
          <w:r>
            <w:rPr>
              <w:rFonts w:hint="eastAsia" w:ascii="Arial" w:hAnsi="Arial" w:cs="Arial" w:eastAsiaTheme="majorEastAsia"/>
            </w:rPr>
            <w:t>、</w:t>
          </w:r>
          <w:r>
            <w:rPr>
              <w:rFonts w:hint="eastAsia" w:asciiTheme="majorEastAsia" w:hAnsiTheme="majorEastAsia" w:eastAsiaTheme="majorEastAsia" w:cstheme="majorEastAsia"/>
            </w:rPr>
            <w:t>资金情况</w:t>
          </w:r>
          <w:r>
            <w:tab/>
          </w:r>
          <w:r>
            <w:rPr>
              <w:rFonts w:ascii="Arial" w:hAnsi="Arial" w:cs="Arial"/>
            </w:rPr>
            <w:fldChar w:fldCharType="begin"/>
          </w:r>
          <w:r>
            <w:rPr>
              <w:rFonts w:ascii="Arial" w:hAnsi="Arial" w:cs="Arial"/>
            </w:rPr>
            <w:instrText xml:space="preserve"> PAGEREF _Toc28932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"_Toc30285" </w:instrText>
          </w:r>
          <w:r>
            <w:fldChar w:fldCharType="separate"/>
          </w:r>
          <w:r>
            <w:rPr>
              <w:rFonts w:ascii="Arial" w:hAnsi="Arial" w:cs="Arial" w:eastAsiaTheme="majorEastAsia"/>
            </w:rPr>
            <w:t>7.1</w:t>
          </w:r>
          <w:r>
            <w:rPr>
              <w:rFonts w:hint="eastAsia" w:cs="Arial" w:eastAsiaTheme="majorEastAsia"/>
            </w:rPr>
            <w:t>、</w:t>
          </w:r>
          <w:r>
            <w:rPr>
              <w:rFonts w:hint="eastAsia" w:asciiTheme="majorEastAsia" w:hAnsiTheme="majorEastAsia" w:eastAsiaTheme="majorEastAsia" w:cstheme="majorEastAsia"/>
            </w:rPr>
            <w:t>资金流出情况</w:t>
          </w:r>
          <w:r>
            <w:tab/>
          </w:r>
          <w:r>
            <w:rPr>
              <w:rFonts w:ascii="Arial" w:hAnsi="Arial" w:cs="Arial"/>
            </w:rPr>
            <w:fldChar w:fldCharType="begin"/>
          </w:r>
          <w:r>
            <w:rPr>
              <w:rFonts w:ascii="Arial" w:hAnsi="Arial" w:cs="Arial"/>
            </w:rPr>
            <w:instrText xml:space="preserve"> PAGEREF _Toc30285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"_Toc8281" </w:instrText>
          </w:r>
          <w:r>
            <w:fldChar w:fldCharType="separate"/>
          </w:r>
          <w:r>
            <w:rPr>
              <w:rFonts w:ascii="Arial" w:hAnsi="Arial" w:cs="Arial"/>
            </w:rPr>
            <w:t>7.2</w:t>
          </w:r>
          <w:r>
            <w:rPr>
              <w:rFonts w:hint="eastAsia" w:cs="Arial"/>
            </w:rPr>
            <w:t>、</w:t>
          </w:r>
          <w:r>
            <w:rPr>
              <w:rFonts w:hint="eastAsia" w:ascii="宋体" w:hAnsi="宋体" w:cs="宋体"/>
            </w:rPr>
            <w:t>资金流入情况</w:t>
          </w:r>
          <w:r>
            <w:tab/>
          </w:r>
          <w:r>
            <w:rPr>
              <w:rFonts w:ascii="Arial" w:hAnsi="Arial" w:cs="Arial"/>
            </w:rPr>
            <w:fldChar w:fldCharType="begin"/>
          </w:r>
          <w:r>
            <w:rPr>
              <w:rFonts w:ascii="Arial" w:hAnsi="Arial" w:cs="Arial"/>
            </w:rPr>
            <w:instrText xml:space="preserve"> PAGEREF _Toc8281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"_Toc23979" </w:instrText>
          </w:r>
          <w:r>
            <w:fldChar w:fldCharType="separate"/>
          </w:r>
          <w:r>
            <w:rPr>
              <w:rFonts w:ascii="Arial" w:hAnsi="Arial" w:cs="Arial"/>
            </w:rPr>
            <w:t>7.3、</w:t>
          </w:r>
          <w:r>
            <w:rPr>
              <w:rFonts w:hint="eastAsia" w:asciiTheme="majorEastAsia" w:hAnsiTheme="majorEastAsia" w:eastAsiaTheme="majorEastAsia" w:cstheme="majorEastAsia"/>
            </w:rPr>
            <w:t>资金结算</w:t>
          </w:r>
          <w:r>
            <w:tab/>
          </w:r>
          <w:r>
            <w:rPr>
              <w:rFonts w:ascii="Arial" w:hAnsi="Arial" w:cs="Arial"/>
            </w:rPr>
            <w:fldChar w:fldCharType="begin"/>
          </w:r>
          <w:r>
            <w:rPr>
              <w:rFonts w:ascii="Arial" w:hAnsi="Arial" w:cs="Arial"/>
            </w:rPr>
            <w:instrText xml:space="preserve"> PAGEREF _Toc23979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"_Toc30659" </w:instrText>
          </w:r>
          <w:r>
            <w:fldChar w:fldCharType="separate"/>
          </w:r>
          <w:r>
            <w:rPr>
              <w:rFonts w:ascii="Arial" w:hAnsi="Arial" w:cs="Arial"/>
            </w:rPr>
            <w:t>7.4</w:t>
          </w:r>
          <w:r>
            <w:rPr>
              <w:rFonts w:cs="Arial"/>
            </w:rPr>
            <w:t>、</w:t>
          </w:r>
          <w:r>
            <w:rPr>
              <w:rFonts w:hint="eastAsia" w:asciiTheme="majorEastAsia" w:hAnsiTheme="majorEastAsia" w:eastAsiaTheme="majorEastAsia" w:cstheme="majorEastAsia"/>
            </w:rPr>
            <w:t>负债情况</w:t>
          </w:r>
          <w:r>
            <w:tab/>
          </w:r>
          <w:r>
            <w:rPr>
              <w:rFonts w:ascii="Arial" w:hAnsi="Arial" w:cs="Arial"/>
            </w:rPr>
            <w:fldChar w:fldCharType="begin"/>
          </w:r>
          <w:r>
            <w:rPr>
              <w:rFonts w:ascii="Arial" w:hAnsi="Arial" w:cs="Arial"/>
            </w:rPr>
            <w:instrText xml:space="preserve"> PAGEREF _Toc30659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"_Toc26114" </w:instrText>
          </w:r>
          <w:r>
            <w:fldChar w:fldCharType="separate"/>
          </w:r>
          <w:r>
            <w:rPr>
              <w:rFonts w:ascii="Arial" w:hAnsi="Arial" w:cs="Arial" w:eastAsiaTheme="majorEastAsia"/>
            </w:rPr>
            <w:t>8</w:t>
          </w:r>
          <w:r>
            <w:rPr>
              <w:rFonts w:hint="eastAsia" w:ascii="Arial" w:hAnsi="Arial" w:cs="Arial" w:eastAsiaTheme="majorEastAsia"/>
            </w:rPr>
            <w:t>、</w:t>
          </w:r>
          <w:r>
            <w:rPr>
              <w:rFonts w:hint="eastAsia" w:asciiTheme="majorEastAsia" w:hAnsiTheme="majorEastAsia" w:eastAsiaTheme="majorEastAsia" w:cstheme="majorEastAsia"/>
            </w:rPr>
            <w:t>月度监管总结及建议</w:t>
          </w:r>
          <w:r>
            <w:tab/>
          </w:r>
          <w:r>
            <w:rPr>
              <w:rFonts w:ascii="Arial" w:hAnsi="Arial" w:cs="Arial"/>
            </w:rPr>
            <w:fldChar w:fldCharType="begin"/>
          </w:r>
          <w:r>
            <w:rPr>
              <w:rFonts w:ascii="Arial" w:hAnsi="Arial" w:cs="Arial"/>
            </w:rPr>
            <w:instrText xml:space="preserve"> PAGEREF _Toc26114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"_Toc3482" </w:instrText>
          </w:r>
          <w:r>
            <w:fldChar w:fldCharType="separate"/>
          </w:r>
          <w:r>
            <w:rPr>
              <w:rFonts w:hint="eastAsia"/>
            </w:rPr>
            <w:t>附件</w:t>
          </w:r>
          <w:r>
            <w:tab/>
          </w:r>
          <w:r>
            <w:rPr>
              <w:rFonts w:ascii="Arial" w:hAnsi="Arial" w:cs="Arial"/>
            </w:rPr>
            <w:fldChar w:fldCharType="begin"/>
          </w:r>
          <w:r>
            <w:rPr>
              <w:rFonts w:ascii="Arial" w:hAnsi="Arial" w:cs="Arial"/>
            </w:rPr>
            <w:instrText xml:space="preserve"> PAGEREF _Toc3482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spacing w:line="360" w:lineRule="auto"/>
            <w:rPr>
              <w:rFonts w:asciiTheme="minorEastAsia" w:hAnsiTheme="minorEastAsia" w:eastAsiaTheme="minorEastAsia" w:cstheme="minorEastAsia"/>
              <w:bCs/>
              <w:kern w:val="44"/>
              <w:sz w:val="24"/>
            </w:rPr>
          </w:pPr>
          <w:r>
            <w:rPr>
              <w:rFonts w:hint="eastAsia" w:ascii="宋体" w:hAnsi="宋体" w:cs="宋体"/>
              <w:bCs/>
              <w:kern w:val="44"/>
              <w:szCs w:val="28"/>
            </w:rPr>
            <w:fldChar w:fldCharType="end"/>
          </w:r>
        </w:p>
      </w:sdtContent>
    </w:sdt>
    <w:p>
      <w:pPr>
        <w:spacing w:line="480" w:lineRule="auto"/>
        <w:ind w:left="-199" w:leftChars="-95" w:firstLine="480" w:firstLineChars="200"/>
        <w:rPr>
          <w:rFonts w:asciiTheme="minorEastAsia" w:hAnsiTheme="minorEastAsia" w:eastAsiaTheme="minorEastAsia" w:cstheme="minorEastAsia"/>
          <w:bCs/>
          <w:kern w:val="44"/>
          <w:sz w:val="24"/>
        </w:rPr>
        <w:sectPr>
          <w:footerReference r:id="rId4" w:type="default"/>
          <w:pgSz w:w="11906" w:h="16838"/>
          <w:pgMar w:top="1843" w:right="1134" w:bottom="1134" w:left="1134" w:header="851" w:footer="992" w:gutter="340"/>
          <w:pgNumType w:start="1"/>
          <w:cols w:space="0" w:num="1"/>
          <w:docGrid w:type="lines" w:linePitch="315" w:charSpace="0"/>
        </w:sectPr>
      </w:pPr>
    </w:p>
    <w:p>
      <w:pPr>
        <w:spacing w:line="480" w:lineRule="auto"/>
        <w:ind w:firstLine="420" w:firstLineChars="200"/>
        <w:rPr>
          <w:rFonts w:ascii="Arial" w:hAnsi="Arial" w:cs="Arial"/>
          <w:bCs/>
          <w:kern w:val="44"/>
          <w:szCs w:val="21"/>
        </w:rPr>
      </w:pPr>
      <w:r>
        <w:rPr>
          <w:rFonts w:hint="eastAsia"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hint="eastAsia" w:ascii="Arial" w:hAnsi="Arial" w:cs="Arial"/>
          <w:bCs/>
          <w:kern w:val="44"/>
          <w:szCs w:val="21"/>
        </w:rPr>
        <w:t>·项目公司：重庆市恒隆健康产业有限公司</w:t>
      </w:r>
    </w:p>
    <w:p>
      <w:pPr>
        <w:spacing w:line="480" w:lineRule="auto"/>
        <w:ind w:firstLine="420" w:firstLineChars="200"/>
        <w:rPr>
          <w:rFonts w:ascii="Arial" w:hAnsi="Arial" w:cs="Arial"/>
          <w:bCs/>
          <w:kern w:val="44"/>
          <w:szCs w:val="21"/>
        </w:rPr>
      </w:pPr>
      <w:r>
        <w:rPr>
          <w:rFonts w:hint="eastAsia" w:ascii="Arial" w:hAnsi="Arial" w:cs="Arial"/>
          <w:bCs/>
          <w:kern w:val="44"/>
          <w:szCs w:val="21"/>
        </w:rPr>
        <w:t>·中诚信托：中诚信托有限责任公司</w:t>
      </w:r>
    </w:p>
    <w:p>
      <w:pPr>
        <w:spacing w:line="480" w:lineRule="auto"/>
        <w:ind w:firstLine="420" w:firstLineChars="200"/>
        <w:rPr>
          <w:rFonts w:asciiTheme="majorEastAsia" w:hAnsiTheme="majorEastAsia" w:eastAsiaTheme="majorEastAsia" w:cstheme="majorEastAsia"/>
          <w:sz w:val="24"/>
        </w:rPr>
      </w:pPr>
      <w:r>
        <w:rPr>
          <w:rFonts w:hint="eastAsia" w:ascii="Arial" w:hAnsi="Arial" w:cs="Arial"/>
          <w:bCs/>
          <w:kern w:val="44"/>
          <w:szCs w:val="21"/>
        </w:rPr>
        <w:t>·康信君安：北京康信君安资产管理有限公司</w:t>
      </w:r>
    </w:p>
    <w:p>
      <w:pPr>
        <w:pStyle w:val="2"/>
        <w:spacing w:before="300" w:after="300" w:line="360" w:lineRule="exact"/>
        <w:rPr>
          <w:rFonts w:ascii="宋体" w:hAnsi="宋体" w:cs="宋体"/>
          <w:sz w:val="24"/>
        </w:rPr>
      </w:pPr>
      <w:bookmarkStart w:id="0" w:name="_Toc23810"/>
      <w:bookmarkStart w:id="1" w:name="_Toc15481"/>
      <w:bookmarkStart w:id="2" w:name="_Toc16767"/>
      <w:bookmarkStart w:id="3" w:name="_Toc17789"/>
      <w:bookmarkStart w:id="4" w:name="_Toc10778"/>
      <w:bookmarkStart w:id="5" w:name="_Toc3311"/>
      <w:bookmarkStart w:id="6" w:name="_Toc12630"/>
      <w:r>
        <w:rPr>
          <w:rFonts w:ascii="Arial" w:hAnsi="Arial" w:cs="Arial"/>
          <w:sz w:val="24"/>
        </w:rPr>
        <w:t>1</w:t>
      </w:r>
      <w:r>
        <w:rPr>
          <w:rFonts w:hint="eastAsia" w:ascii="宋体" w:hAnsi="宋体" w:cs="宋体"/>
          <w:sz w:val="24"/>
        </w:rPr>
        <w:t>、项目基本情况</w:t>
      </w:r>
      <w:bookmarkEnd w:id="0"/>
      <w:bookmarkEnd w:id="1"/>
      <w:bookmarkEnd w:id="2"/>
      <w:bookmarkEnd w:id="3"/>
      <w:bookmarkEnd w:id="4"/>
      <w:bookmarkEnd w:id="5"/>
      <w:bookmarkEnd w:id="6"/>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标的项目为项目公司建设的恒大健康集团重庆北碚养生谷项目，位于重庆市北碚区，四至: 东至温泉大道东段、南至璧北河、西至规划道路、北至规划道路。标的项目总占地面积</w:t>
      </w:r>
      <w:r>
        <w:rPr>
          <w:rFonts w:ascii="Arial" w:hAnsi="Arial" w:cs="Arial" w:eastAsiaTheme="minorEastAsia"/>
          <w:bCs/>
          <w:kern w:val="44"/>
          <w:szCs w:val="21"/>
        </w:rPr>
        <w:t>474051</w:t>
      </w:r>
      <w:r>
        <w:rPr>
          <w:rFonts w:hint="eastAsia" w:asciiTheme="minorEastAsia" w:hAnsiTheme="minorEastAsia" w:eastAsiaTheme="minorEastAsia" w:cstheme="minorEastAsia"/>
          <w:bCs/>
          <w:kern w:val="44"/>
          <w:szCs w:val="21"/>
        </w:rPr>
        <w:t>平方米，</w:t>
      </w:r>
      <w:r>
        <w:rPr>
          <w:rFonts w:ascii="Arial" w:hAnsi="Arial" w:cs="Arial" w:eastAsiaTheme="minorEastAsia"/>
          <w:bCs/>
          <w:kern w:val="44"/>
          <w:szCs w:val="21"/>
        </w:rPr>
        <w:t>711.07</w:t>
      </w:r>
      <w:r>
        <w:rPr>
          <w:rFonts w:hint="eastAsia" w:asciiTheme="minorEastAsia" w:hAnsiTheme="minorEastAsia" w:eastAsiaTheme="minorEastAsia" w:cstheme="minorEastAsia"/>
          <w:bCs/>
          <w:kern w:val="44"/>
          <w:szCs w:val="21"/>
        </w:rPr>
        <w:t>亩，规划建筑面积</w:t>
      </w:r>
      <w:r>
        <w:rPr>
          <w:rFonts w:ascii="Arial" w:hAnsi="Arial" w:cs="Arial" w:eastAsiaTheme="minorEastAsia"/>
          <w:bCs/>
          <w:kern w:val="44"/>
          <w:szCs w:val="21"/>
        </w:rPr>
        <w:t>593058</w:t>
      </w:r>
      <w:r>
        <w:rPr>
          <w:rFonts w:hint="eastAsia" w:asciiTheme="minorEastAsia" w:hAnsiTheme="minorEastAsia" w:eastAsiaTheme="minorEastAsia" w:cstheme="minorEastAsia"/>
          <w:bCs/>
          <w:kern w:val="44"/>
          <w:szCs w:val="21"/>
        </w:rPr>
        <w:t>平方米，建设内容主要为高层住宅、洋房等，可售住宅</w:t>
      </w:r>
      <w:r>
        <w:rPr>
          <w:rFonts w:ascii="Arial" w:hAnsi="Arial" w:cs="Arial" w:eastAsiaTheme="minorEastAsia"/>
          <w:bCs/>
          <w:kern w:val="44"/>
          <w:szCs w:val="21"/>
        </w:rPr>
        <w:t>345114</w:t>
      </w:r>
      <w:r>
        <w:rPr>
          <w:rFonts w:hint="eastAsia" w:asciiTheme="minorEastAsia" w:hAnsiTheme="minorEastAsia" w:eastAsiaTheme="minorEastAsia" w:cstheme="minorEastAsia"/>
          <w:bCs/>
          <w:kern w:val="44"/>
          <w:szCs w:val="21"/>
        </w:rPr>
        <w:t>平方米，可售车位</w:t>
      </w:r>
      <w:r>
        <w:rPr>
          <w:rFonts w:ascii="Arial" w:hAnsi="Arial" w:cs="Arial" w:eastAsiaTheme="minorEastAsia"/>
          <w:bCs/>
          <w:kern w:val="44"/>
          <w:szCs w:val="21"/>
        </w:rPr>
        <w:t>4351</w:t>
      </w:r>
      <w:r>
        <w:rPr>
          <w:rFonts w:hint="eastAsia" w:asciiTheme="minorEastAsia" w:hAnsiTheme="minorEastAsia" w:eastAsiaTheme="minorEastAsia" w:cstheme="minorEastAsia"/>
          <w:bCs/>
          <w:kern w:val="44"/>
          <w:szCs w:val="21"/>
        </w:rPr>
        <w:t>个。</w:t>
      </w:r>
      <w:bookmarkStart w:id="7" w:name="_Toc28560"/>
    </w:p>
    <w:p>
      <w:pPr>
        <w:spacing w:line="480" w:lineRule="auto"/>
        <w:rPr>
          <w:rFonts w:ascii="宋体" w:hAnsi="宋体" w:cs="宋体"/>
        </w:rPr>
      </w:pPr>
      <w:r>
        <w:rPr>
          <w:rFonts w:hint="eastAsia" w:ascii="宋体" w:hAnsi="宋体" w:cs="宋体"/>
        </w:rPr>
        <w:drawing>
          <wp:inline distT="0" distB="0" distL="114300" distR="114300">
            <wp:extent cx="5899150" cy="4074795"/>
            <wp:effectExtent l="0" t="0" r="13970" b="9525"/>
            <wp:docPr id="6" name="图片 6" descr="项目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效果图"/>
                    <pic:cNvPicPr>
                      <a:picLocks noChangeAspect="1"/>
                    </pic:cNvPicPr>
                  </pic:nvPicPr>
                  <pic:blipFill>
                    <a:blip r:embed="rId7"/>
                    <a:stretch>
                      <a:fillRect/>
                    </a:stretch>
                  </pic:blipFill>
                  <pic:spPr>
                    <a:xfrm>
                      <a:off x="0" y="0"/>
                      <a:ext cx="5899150" cy="4074795"/>
                    </a:xfrm>
                    <a:prstGeom prst="rect">
                      <a:avLst/>
                    </a:prstGeom>
                  </pic:spPr>
                </pic:pic>
              </a:graphicData>
            </a:graphic>
          </wp:inline>
        </w:drawing>
      </w:r>
    </w:p>
    <w:p>
      <w:pPr>
        <w:spacing w:line="480" w:lineRule="auto"/>
        <w:ind w:firstLine="4006" w:firstLineChars="1900"/>
        <w:rPr>
          <w:b/>
          <w:bCs/>
          <w:szCs w:val="21"/>
        </w:rPr>
      </w:pPr>
      <w:r>
        <w:rPr>
          <w:rFonts w:hint="eastAsia"/>
          <w:b/>
          <w:bCs/>
          <w:szCs w:val="21"/>
        </w:rPr>
        <w:t>项目效果图</w:t>
      </w: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Arial" w:hAnsi="Arial" w:cs="Arial"/>
          <w:bCs/>
          <w:kern w:val="44"/>
          <w:szCs w:val="21"/>
        </w:rPr>
      </w:pPr>
      <w:r>
        <w:rPr>
          <w:rFonts w:hint="eastAsia" w:asciiTheme="minorEastAsia" w:hAnsiTheme="minorEastAsia" w:eastAsiaTheme="minorEastAsia" w:cstheme="minorEastAsia"/>
          <w:bCs/>
          <w:kern w:val="44"/>
          <w:szCs w:val="21"/>
        </w:rPr>
        <w:t>项目主要户型为</w:t>
      </w:r>
      <w:r>
        <w:rPr>
          <w:rFonts w:ascii="Arial" w:hAnsi="Arial" w:cs="Arial" w:eastAsiaTheme="minorEastAsia"/>
          <w:bCs/>
          <w:kern w:val="44"/>
          <w:szCs w:val="21"/>
        </w:rPr>
        <w:t>70-170</w:t>
      </w:r>
      <w:r>
        <w:rPr>
          <w:rFonts w:hint="eastAsia" w:asciiTheme="minorEastAsia" w:hAnsiTheme="minorEastAsia" w:eastAsiaTheme="minorEastAsia" w:cstheme="minorEastAsia"/>
          <w:bCs/>
          <w:kern w:val="44"/>
          <w:szCs w:val="21"/>
        </w:rPr>
        <w:t>平米区间的户型，主要为两室一卫、三室一卫、三室两卫、四房两卫、四房三卫的户型结构。具体分布如下：</w:t>
      </w:r>
    </w:p>
    <w:tbl>
      <w:tblPr>
        <w:tblStyle w:val="12"/>
        <w:tblW w:w="9287" w:type="dxa"/>
        <w:jc w:val="center"/>
        <w:tblLayout w:type="fixed"/>
        <w:tblCellMar>
          <w:top w:w="0" w:type="dxa"/>
          <w:left w:w="108" w:type="dxa"/>
          <w:bottom w:w="0" w:type="dxa"/>
          <w:right w:w="108" w:type="dxa"/>
        </w:tblCellMar>
      </w:tblPr>
      <w:tblGrid>
        <w:gridCol w:w="1340"/>
        <w:gridCol w:w="1687"/>
        <w:gridCol w:w="2210"/>
        <w:gridCol w:w="4050"/>
      </w:tblGrid>
      <w:tr>
        <w:tblPrEx>
          <w:tblCellMar>
            <w:top w:w="0" w:type="dxa"/>
            <w:left w:w="108" w:type="dxa"/>
            <w:bottom w:w="0" w:type="dxa"/>
            <w:right w:w="108" w:type="dxa"/>
          </w:tblCellMar>
        </w:tblPrEx>
        <w:trPr>
          <w:trHeight w:val="175" w:hRule="atLeast"/>
          <w:jc w:val="center"/>
        </w:trPr>
        <w:tc>
          <w:tcPr>
            <w:tcW w:w="9287"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ind w:firstLine="361" w:firstLineChars="200"/>
              <w:jc w:val="center"/>
              <w:rPr>
                <w:rFonts w:ascii="仿宋" w:hAnsi="仿宋" w:eastAsia="仿宋" w:cs="宋体"/>
                <w:b/>
                <w:bCs/>
                <w:kern w:val="0"/>
                <w:sz w:val="24"/>
              </w:rPr>
            </w:pPr>
            <w:r>
              <w:rPr>
                <w:rFonts w:hint="eastAsia" w:asciiTheme="majorEastAsia" w:hAnsiTheme="majorEastAsia" w:eastAsiaTheme="majorEastAsia" w:cstheme="majorEastAsia"/>
                <w:b/>
                <w:bCs/>
                <w:kern w:val="0"/>
                <w:sz w:val="18"/>
                <w:szCs w:val="18"/>
              </w:rPr>
              <w:t>住宅户型分布表</w:t>
            </w:r>
          </w:p>
        </w:tc>
      </w:tr>
      <w:tr>
        <w:tblPrEx>
          <w:tblCellMar>
            <w:top w:w="0" w:type="dxa"/>
            <w:left w:w="108" w:type="dxa"/>
            <w:bottom w:w="0" w:type="dxa"/>
            <w:right w:w="108" w:type="dxa"/>
          </w:tblCellMar>
        </w:tblPrEx>
        <w:trPr>
          <w:trHeight w:val="167" w:hRule="atLeast"/>
          <w:jc w:val="center"/>
        </w:trPr>
        <w:tc>
          <w:tcPr>
            <w:tcW w:w="134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房型</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面积区间(㎡)</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套数（套）</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套数比例</w:t>
            </w:r>
          </w:p>
        </w:tc>
      </w:tr>
      <w:tr>
        <w:tblPrEx>
          <w:tblCellMar>
            <w:top w:w="0" w:type="dxa"/>
            <w:left w:w="108" w:type="dxa"/>
            <w:bottom w:w="0" w:type="dxa"/>
            <w:right w:w="108" w:type="dxa"/>
          </w:tblCellMar>
        </w:tblPrEx>
        <w:trPr>
          <w:trHeight w:val="210"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二室一卫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70-90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63"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三室一卫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90-110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90"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三房二卫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110-130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09"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四房两卫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130-140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35"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四房三卫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150-170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39" w:hRule="atLeast"/>
          <w:jc w:val="center"/>
        </w:trPr>
        <w:tc>
          <w:tcPr>
            <w:tcW w:w="1340" w:type="dxa"/>
            <w:tcBorders>
              <w:top w:val="nil"/>
              <w:left w:val="single" w:color="auto" w:sz="8" w:space="0"/>
              <w:bottom w:val="single" w:color="auto" w:sz="8"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1687" w:type="dxa"/>
            <w:tcBorders>
              <w:top w:val="nil"/>
              <w:left w:val="nil"/>
              <w:bottom w:val="single" w:color="auto" w:sz="8" w:space="0"/>
              <w:right w:val="single" w:color="auto" w:sz="4" w:space="0"/>
            </w:tcBorders>
            <w:shd w:val="clear" w:color="auto" w:fill="auto"/>
            <w:noWrap/>
            <w:vAlign w:val="center"/>
          </w:tcPr>
          <w:p>
            <w:pPr>
              <w:widowControl/>
              <w:ind w:firstLine="360" w:firstLineChars="200"/>
              <w:jc w:val="center"/>
              <w:rPr>
                <w:rFonts w:ascii="宋体" w:hAnsi="宋体" w:cs="宋体"/>
                <w:kern w:val="0"/>
                <w:sz w:val="18"/>
                <w:szCs w:val="18"/>
              </w:rPr>
            </w:pPr>
          </w:p>
        </w:tc>
        <w:tc>
          <w:tcPr>
            <w:tcW w:w="2210" w:type="dxa"/>
            <w:tcBorders>
              <w:top w:val="nil"/>
              <w:left w:val="nil"/>
              <w:bottom w:val="single" w:color="auto" w:sz="8" w:space="0"/>
              <w:right w:val="single" w:color="auto" w:sz="4" w:space="0"/>
            </w:tcBorders>
            <w:shd w:val="clear" w:color="auto" w:fill="auto"/>
            <w:noWrap/>
            <w:vAlign w:val="center"/>
          </w:tcPr>
          <w:p>
            <w:pPr>
              <w:widowControl/>
              <w:ind w:firstLine="360" w:firstLineChars="200"/>
              <w:jc w:val="center"/>
              <w:rPr>
                <w:rFonts w:ascii="宋体" w:hAnsi="宋体" w:cs="宋体"/>
                <w:kern w:val="0"/>
                <w:sz w:val="18"/>
                <w:szCs w:val="18"/>
              </w:rPr>
            </w:pPr>
          </w:p>
        </w:tc>
        <w:tc>
          <w:tcPr>
            <w:tcW w:w="4050"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ascii="Arial" w:hAnsi="Arial" w:cs="Arial"/>
                <w:kern w:val="0"/>
                <w:sz w:val="18"/>
                <w:szCs w:val="18"/>
              </w:rPr>
              <w:t>100%</w:t>
            </w:r>
          </w:p>
        </w:tc>
      </w:tr>
    </w:tbl>
    <w:p>
      <w:pPr>
        <w:ind w:firstLine="420" w:firstLineChars="200"/>
        <w:rPr>
          <w:rFonts w:ascii="Arial" w:hAnsi="Arial" w:cs="Arial"/>
          <w:bCs/>
          <w:kern w:val="44"/>
          <w:szCs w:val="21"/>
        </w:rPr>
      </w:pPr>
    </w:p>
    <w:p>
      <w:pPr>
        <w:spacing w:before="300" w:after="300" w:line="360" w:lineRule="exact"/>
        <w:jc w:val="left"/>
        <w:outlineLvl w:val="0"/>
        <w:rPr>
          <w:rStyle w:val="24"/>
          <w:rFonts w:asciiTheme="majorEastAsia" w:hAnsiTheme="majorEastAsia" w:eastAsiaTheme="majorEastAsia" w:cstheme="majorEastAsia"/>
          <w:sz w:val="24"/>
        </w:rPr>
      </w:pPr>
      <w:bookmarkStart w:id="8" w:name="_Toc13642"/>
      <w:bookmarkStart w:id="9" w:name="_Toc31455"/>
      <w:bookmarkStart w:id="10" w:name="_Toc11480"/>
      <w:bookmarkStart w:id="11" w:name="_Toc16505"/>
      <w:bookmarkStart w:id="12" w:name="_Toc10074"/>
      <w:bookmarkStart w:id="13" w:name="_Toc5552"/>
      <w:r>
        <w:rPr>
          <w:rStyle w:val="24"/>
          <w:rFonts w:ascii="Arial" w:hAnsi="Arial" w:cs="Arial" w:eastAsiaTheme="majorEastAsia"/>
          <w:sz w:val="24"/>
        </w:rPr>
        <w:t>2</w:t>
      </w:r>
      <w:r>
        <w:rPr>
          <w:rStyle w:val="24"/>
          <w:rFonts w:hint="eastAsia" w:asciiTheme="majorEastAsia" w:hAnsiTheme="majorEastAsia" w:eastAsiaTheme="majorEastAsia" w:cstheme="majorEastAsia"/>
          <w:sz w:val="24"/>
        </w:rPr>
        <w:t>、重大事件披露</w:t>
      </w:r>
      <w:bookmarkEnd w:id="7"/>
      <w:bookmarkEnd w:id="8"/>
      <w:bookmarkEnd w:id="9"/>
      <w:bookmarkEnd w:id="10"/>
      <w:bookmarkEnd w:id="11"/>
      <w:bookmarkEnd w:id="12"/>
      <w:bookmarkEnd w:id="13"/>
    </w:p>
    <w:p>
      <w:pPr>
        <w:spacing w:line="480" w:lineRule="auto"/>
        <w:ind w:firstLine="420" w:firstLineChars="200"/>
        <w:rPr>
          <w:rFonts w:ascii="Arial" w:hAnsi="Arial" w:cs="Arial" w:eastAsiaTheme="minorEastAsia"/>
          <w:bCs/>
          <w:kern w:val="44"/>
          <w:szCs w:val="21"/>
        </w:rPr>
      </w:pPr>
      <w:bookmarkStart w:id="14" w:name="_Toc10978"/>
      <w:bookmarkStart w:id="15" w:name="_Toc13237"/>
      <w:bookmarkStart w:id="16" w:name="_Toc2683"/>
      <w:r>
        <w:rPr>
          <w:rFonts w:ascii="Arial" w:hAnsi="Arial" w:cs="Arial" w:eastAsiaTheme="minorEastAsia"/>
          <w:bCs/>
          <w:kern w:val="44"/>
          <w:szCs w:val="21"/>
        </w:rPr>
        <w:t>1</w:t>
      </w:r>
      <w:r>
        <w:rPr>
          <w:rFonts w:hint="eastAsia" w:ascii="Arial" w:hAnsi="Arial" w:cs="Arial" w:eastAsiaTheme="minorEastAsia"/>
          <w:bCs/>
          <w:kern w:val="44"/>
          <w:szCs w:val="21"/>
        </w:rPr>
        <w:t>、</w:t>
      </w:r>
      <w:bookmarkEnd w:id="14"/>
      <w:bookmarkEnd w:id="15"/>
      <w:bookmarkEnd w:id="16"/>
      <w:bookmarkStart w:id="17" w:name="_Toc23969"/>
      <w:r>
        <w:rPr>
          <w:rFonts w:hint="eastAsia" w:ascii="Arial" w:hAnsi="Arial" w:cs="Arial" w:eastAsiaTheme="minorEastAsia"/>
          <w:bCs/>
          <w:kern w:val="44"/>
          <w:szCs w:val="21"/>
        </w:rPr>
        <w:t>项目公司于2020年8月28日进行法人变更，由原法人华伟变更为杨丰波，新法人章于2020年9月4日实现共管，共管资料清单详见附件。</w:t>
      </w:r>
    </w:p>
    <w:p>
      <w:pPr>
        <w:spacing w:line="500" w:lineRule="exact"/>
        <w:ind w:firstLine="420" w:firstLineChars="200"/>
        <w:rPr>
          <w:rFonts w:ascii="Arial" w:hAnsi="Arial" w:cs="Arial" w:eastAsiaTheme="minorEastAsia"/>
          <w:bCs/>
          <w:kern w:val="44"/>
          <w:szCs w:val="21"/>
        </w:rPr>
      </w:pPr>
      <w:r>
        <w:rPr>
          <w:rFonts w:ascii="Arial" w:hAnsi="Arial" w:cs="Arial" w:eastAsiaTheme="minorEastAsia"/>
          <w:bCs/>
          <w:kern w:val="44"/>
          <w:szCs w:val="21"/>
        </w:rPr>
        <w:t>2、</w:t>
      </w:r>
      <w:r>
        <w:rPr>
          <w:rFonts w:hint="eastAsia" w:ascii="Arial" w:hAnsi="Arial" w:cs="Arial" w:eastAsiaTheme="minorEastAsia"/>
          <w:bCs/>
          <w:kern w:val="44"/>
          <w:szCs w:val="21"/>
        </w:rPr>
        <w:t>2020年9月10日实现新营业执照的共管，共管资料清单详见附件。</w:t>
      </w:r>
    </w:p>
    <w:p>
      <w:pPr>
        <w:numPr>
          <w:ilvl w:val="0"/>
          <w:numId w:val="1"/>
        </w:numPr>
        <w:spacing w:line="500" w:lineRule="exact"/>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项目公司于2020年9月12日内部通知项目复工（内部口头通知，暂无任何书面文件），计划于2020年12月开盘。</w:t>
      </w:r>
    </w:p>
    <w:p>
      <w:pPr>
        <w:numPr>
          <w:ilvl w:val="0"/>
          <w:numId w:val="1"/>
        </w:numPr>
        <w:spacing w:line="500" w:lineRule="exact"/>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2020年9月24日项目公司的原会计人员王茂鑫离职，会计人员变更为冯含。</w:t>
      </w:r>
    </w:p>
    <w:p>
      <w:pPr>
        <w:numPr>
          <w:ilvl w:val="0"/>
          <w:numId w:val="1"/>
        </w:numPr>
        <w:spacing w:line="500" w:lineRule="exact"/>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经标的项目公司与中诚信托商议后，于2020年9月28日进行了考核时点的变更，由原考核时间：2020年8月12日前抵押物项目应取得全部《国有土地使用证》并办理完毕抵押地块或置换地块的抵押，变更为2021年3月12日，其余考核时间不变，新考核时间表详见3.1-项目五证办理情况。</w:t>
      </w:r>
    </w:p>
    <w:p>
      <w:pPr>
        <w:spacing w:before="300" w:after="300" w:line="360" w:lineRule="exact"/>
        <w:jc w:val="left"/>
        <w:outlineLvl w:val="0"/>
        <w:rPr>
          <w:rStyle w:val="24"/>
          <w:rFonts w:asciiTheme="majorEastAsia" w:hAnsiTheme="majorEastAsia" w:eastAsiaTheme="majorEastAsia" w:cstheme="majorEastAsia"/>
          <w:sz w:val="24"/>
          <w:szCs w:val="22"/>
        </w:rPr>
      </w:pPr>
      <w:bookmarkStart w:id="18" w:name="_Toc5779"/>
      <w:bookmarkStart w:id="19" w:name="_Toc23668"/>
      <w:bookmarkStart w:id="20" w:name="_Toc30453"/>
      <w:bookmarkStart w:id="21" w:name="_Toc8173"/>
      <w:bookmarkStart w:id="22" w:name="_Toc30728"/>
      <w:bookmarkStart w:id="23" w:name="_Toc8398"/>
      <w:r>
        <w:rPr>
          <w:rStyle w:val="24"/>
          <w:rFonts w:ascii="Arial" w:hAnsi="Arial" w:cs="Arial" w:eastAsiaTheme="majorEastAsia"/>
          <w:sz w:val="24"/>
          <w:szCs w:val="22"/>
        </w:rPr>
        <w:t>3</w:t>
      </w:r>
      <w:r>
        <w:rPr>
          <w:rStyle w:val="24"/>
          <w:rFonts w:hint="eastAsia" w:ascii="Arial" w:hAnsi="Arial" w:cs="Arial" w:eastAsiaTheme="majorEastAsia"/>
          <w:sz w:val="24"/>
          <w:szCs w:val="22"/>
        </w:rPr>
        <w:t>、</w:t>
      </w:r>
      <w:r>
        <w:rPr>
          <w:rStyle w:val="24"/>
          <w:rFonts w:hint="eastAsia" w:asciiTheme="majorEastAsia" w:hAnsiTheme="majorEastAsia" w:eastAsiaTheme="majorEastAsia" w:cstheme="majorEastAsia"/>
          <w:sz w:val="24"/>
          <w:szCs w:val="22"/>
        </w:rPr>
        <w:t>项目五证办理及施工进度情况</w:t>
      </w:r>
      <w:bookmarkEnd w:id="17"/>
      <w:bookmarkEnd w:id="18"/>
      <w:bookmarkEnd w:id="19"/>
      <w:bookmarkEnd w:id="20"/>
      <w:bookmarkEnd w:id="21"/>
      <w:bookmarkEnd w:id="22"/>
      <w:bookmarkEnd w:id="23"/>
    </w:p>
    <w:p>
      <w:pPr>
        <w:pStyle w:val="3"/>
        <w:spacing w:before="300" w:after="300" w:line="360" w:lineRule="exact"/>
        <w:rPr>
          <w:rFonts w:asciiTheme="majorEastAsia" w:hAnsiTheme="majorEastAsia" w:eastAsiaTheme="majorEastAsia" w:cstheme="majorEastAsia"/>
          <w:sz w:val="24"/>
          <w:szCs w:val="24"/>
        </w:rPr>
      </w:pPr>
      <w:bookmarkStart w:id="24" w:name="_Toc535580023"/>
      <w:bookmarkStart w:id="25" w:name="_Toc26932"/>
      <w:bookmarkStart w:id="26" w:name="_Toc18659"/>
      <w:bookmarkStart w:id="27" w:name="_Toc532281657"/>
      <w:bookmarkStart w:id="28" w:name="_Toc26564"/>
      <w:bookmarkStart w:id="29" w:name="_Toc30300"/>
      <w:bookmarkStart w:id="30" w:name="_Toc30910"/>
      <w:bookmarkStart w:id="31" w:name="_Toc535580091"/>
      <w:bookmarkStart w:id="32" w:name="_Toc16964"/>
      <w:bookmarkStart w:id="33" w:name="_Toc535570750"/>
      <w:bookmarkStart w:id="34" w:name="_Toc37668493"/>
      <w:bookmarkStart w:id="35" w:name="_Toc535508636"/>
      <w:bookmarkStart w:id="36" w:name="_Toc15121"/>
      <w:r>
        <w:rPr>
          <w:rFonts w:cs="Arial" w:eastAsiaTheme="majorEastAsia"/>
          <w:sz w:val="24"/>
          <w:szCs w:val="24"/>
        </w:rPr>
        <w:t>3.1</w:t>
      </w:r>
      <w:r>
        <w:rPr>
          <w:rFonts w:hint="eastAsia" w:cs="Arial" w:eastAsiaTheme="majorEastAsia"/>
          <w:sz w:val="24"/>
          <w:szCs w:val="24"/>
        </w:rPr>
        <w:t>、</w:t>
      </w:r>
      <w:r>
        <w:rPr>
          <w:rFonts w:hint="eastAsia" w:asciiTheme="majorEastAsia" w:hAnsiTheme="majorEastAsia" w:eastAsiaTheme="majorEastAsia" w:cstheme="majorEastAsia"/>
          <w:sz w:val="24"/>
          <w:szCs w:val="24"/>
        </w:rPr>
        <w:t>项目五证办理情况</w:t>
      </w:r>
      <w:bookmarkEnd w:id="24"/>
      <w:bookmarkEnd w:id="25"/>
      <w:bookmarkEnd w:id="26"/>
      <w:bookmarkEnd w:id="27"/>
      <w:bookmarkEnd w:id="28"/>
      <w:bookmarkEnd w:id="29"/>
      <w:bookmarkEnd w:id="30"/>
      <w:bookmarkEnd w:id="31"/>
      <w:bookmarkEnd w:id="32"/>
      <w:bookmarkEnd w:id="33"/>
      <w:bookmarkEnd w:id="34"/>
      <w:bookmarkEnd w:id="35"/>
      <w:bookmarkEnd w:id="36"/>
    </w:p>
    <w:p>
      <w:pPr>
        <w:spacing w:after="315" w:afterLines="100"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标的项目为13个地块（603亩+108亩），其中108亩地块不属于监管范围，603亩地块因项目公司五证处于办理过程中，截至2020年9月30日，尚未取得。</w:t>
      </w:r>
    </w:p>
    <w:p>
      <w:pPr>
        <w:spacing w:after="315" w:afterLines="100" w:line="480" w:lineRule="auto"/>
        <w:ind w:firstLine="420" w:firstLineChars="200"/>
        <w:rPr>
          <w:rFonts w:ascii="Arial" w:hAnsi="Arial" w:cs="Arial" w:eastAsiaTheme="minorEastAsia"/>
          <w:bCs/>
          <w:kern w:val="44"/>
          <w:szCs w:val="21"/>
        </w:rPr>
      </w:pPr>
    </w:p>
    <w:tbl>
      <w:tblPr>
        <w:tblStyle w:val="12"/>
        <w:tblW w:w="9326" w:type="dxa"/>
        <w:jc w:val="center"/>
        <w:tblLayout w:type="fixed"/>
        <w:tblCellMar>
          <w:top w:w="0" w:type="dxa"/>
          <w:left w:w="108" w:type="dxa"/>
          <w:bottom w:w="0" w:type="dxa"/>
          <w:right w:w="108" w:type="dxa"/>
        </w:tblCellMar>
      </w:tblPr>
      <w:tblGrid>
        <w:gridCol w:w="2333"/>
        <w:gridCol w:w="3495"/>
        <w:gridCol w:w="3498"/>
      </w:tblGrid>
      <w:tr>
        <w:tblPrEx>
          <w:tblCellMar>
            <w:top w:w="0" w:type="dxa"/>
            <w:left w:w="108" w:type="dxa"/>
            <w:bottom w:w="0" w:type="dxa"/>
            <w:right w:w="108" w:type="dxa"/>
          </w:tblCellMar>
        </w:tblPrEx>
        <w:trPr>
          <w:trHeight w:val="315"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18"/>
              </w:rPr>
            </w:pPr>
            <w:r>
              <w:rPr>
                <w:rFonts w:hint="eastAsia" w:ascii="宋体" w:hAnsi="宋体" w:cs="宋体"/>
                <w:b/>
                <w:color w:val="000000"/>
                <w:szCs w:val="18"/>
              </w:rPr>
              <w:t>五证</w:t>
            </w:r>
          </w:p>
        </w:tc>
        <w:tc>
          <w:tcPr>
            <w:tcW w:w="3495" w:type="dxa"/>
            <w:tcBorders>
              <w:top w:val="single" w:color="auto" w:sz="4" w:space="0"/>
              <w:left w:val="nil"/>
              <w:bottom w:val="single" w:color="auto" w:sz="4" w:space="0"/>
              <w:right w:val="single" w:color="auto" w:sz="4" w:space="0"/>
            </w:tcBorders>
            <w:noWrap/>
            <w:vAlign w:val="center"/>
          </w:tcPr>
          <w:p>
            <w:pPr>
              <w:jc w:val="center"/>
              <w:rPr>
                <w:rFonts w:ascii="宋体" w:hAnsi="宋体" w:cs="宋体"/>
                <w:b/>
                <w:color w:val="000000"/>
                <w:sz w:val="18"/>
                <w:szCs w:val="18"/>
              </w:rPr>
            </w:pPr>
            <w:r>
              <w:rPr>
                <w:rFonts w:hint="eastAsia" w:ascii="宋体" w:hAnsi="宋体" w:cs="宋体"/>
                <w:b/>
                <w:color w:val="000000"/>
                <w:sz w:val="18"/>
                <w:szCs w:val="18"/>
              </w:rPr>
              <w:t>考核取得时间</w:t>
            </w:r>
          </w:p>
        </w:tc>
        <w:tc>
          <w:tcPr>
            <w:tcW w:w="3498" w:type="dxa"/>
            <w:tcBorders>
              <w:top w:val="single" w:color="auto" w:sz="4" w:space="0"/>
              <w:left w:val="nil"/>
              <w:bottom w:val="single" w:color="auto" w:sz="4" w:space="0"/>
              <w:right w:val="single" w:color="auto"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实际进度</w:t>
            </w:r>
          </w:p>
        </w:tc>
      </w:tr>
      <w:tr>
        <w:tblPrEx>
          <w:tblCellMar>
            <w:top w:w="0" w:type="dxa"/>
            <w:left w:w="108" w:type="dxa"/>
            <w:bottom w:w="0" w:type="dxa"/>
            <w:right w:w="108" w:type="dxa"/>
          </w:tblCellMar>
        </w:tblPrEx>
        <w:trPr>
          <w:trHeight w:val="185"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不动产权证书</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2021-03-12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53"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建设用地规划许可证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宋体" w:hAnsi="宋体" w:cs="宋体"/>
                <w:color w:val="000000"/>
                <w:sz w:val="18"/>
                <w:szCs w:val="18"/>
              </w:rPr>
              <w:t>无考核时点</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67"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建设工程规划许可证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2020-12-12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40"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建筑工程施工许可证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2021-02-12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185"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预售许可证</w:t>
            </w:r>
          </w:p>
        </w:tc>
        <w:tc>
          <w:tcPr>
            <w:tcW w:w="3495" w:type="dxa"/>
            <w:tcBorders>
              <w:top w:val="single" w:color="auto" w:sz="4" w:space="0"/>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2021-04-12</w:t>
            </w:r>
          </w:p>
        </w:tc>
        <w:tc>
          <w:tcPr>
            <w:tcW w:w="349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bl>
    <w:p>
      <w:pPr>
        <w:pStyle w:val="3"/>
        <w:spacing w:before="300" w:after="300" w:line="360" w:lineRule="exact"/>
        <w:rPr>
          <w:rFonts w:asciiTheme="majorEastAsia" w:hAnsiTheme="majorEastAsia" w:eastAsiaTheme="majorEastAsia" w:cstheme="majorEastAsia"/>
          <w:sz w:val="24"/>
          <w:szCs w:val="24"/>
        </w:rPr>
      </w:pPr>
      <w:bookmarkStart w:id="37" w:name="_Toc532281658"/>
      <w:bookmarkStart w:id="38" w:name="_Toc535580024"/>
      <w:bookmarkStart w:id="39" w:name="_Toc535580092"/>
      <w:bookmarkStart w:id="40" w:name="_Toc535508637"/>
      <w:bookmarkStart w:id="41" w:name="_Toc27618"/>
      <w:bookmarkStart w:id="42" w:name="_Toc37668494"/>
      <w:bookmarkStart w:id="43" w:name="_Toc535570751"/>
      <w:bookmarkStart w:id="44" w:name="_Toc19231"/>
      <w:bookmarkStart w:id="45" w:name="_Toc20410"/>
      <w:bookmarkStart w:id="46" w:name="_Toc23200"/>
      <w:bookmarkStart w:id="47" w:name="_Toc18532"/>
      <w:bookmarkStart w:id="48" w:name="_Toc9247"/>
      <w:bookmarkStart w:id="49" w:name="_Toc15976"/>
      <w:r>
        <w:rPr>
          <w:rFonts w:cs="Arial" w:eastAsiaTheme="majorEastAsia"/>
          <w:sz w:val="24"/>
          <w:szCs w:val="24"/>
        </w:rPr>
        <w:t>3.2</w:t>
      </w:r>
      <w:bookmarkEnd w:id="37"/>
      <w:bookmarkEnd w:id="38"/>
      <w:bookmarkEnd w:id="39"/>
      <w:bookmarkEnd w:id="40"/>
      <w:bookmarkEnd w:id="41"/>
      <w:bookmarkEnd w:id="42"/>
      <w:bookmarkEnd w:id="43"/>
      <w:r>
        <w:rPr>
          <w:rFonts w:hint="eastAsia" w:cs="Arial" w:eastAsiaTheme="majorEastAsia"/>
          <w:sz w:val="24"/>
          <w:szCs w:val="24"/>
        </w:rPr>
        <w:t>、</w:t>
      </w:r>
      <w:r>
        <w:rPr>
          <w:rFonts w:hint="eastAsia" w:asciiTheme="majorEastAsia" w:hAnsiTheme="majorEastAsia" w:eastAsiaTheme="majorEastAsia" w:cstheme="majorEastAsia"/>
          <w:sz w:val="24"/>
          <w:szCs w:val="24"/>
        </w:rPr>
        <w:t>项目进度情况</w:t>
      </w:r>
      <w:bookmarkEnd w:id="44"/>
      <w:bookmarkEnd w:id="45"/>
      <w:bookmarkEnd w:id="46"/>
      <w:bookmarkEnd w:id="47"/>
      <w:bookmarkEnd w:id="48"/>
      <w:bookmarkEnd w:id="49"/>
    </w:p>
    <w:p>
      <w:pPr>
        <w:spacing w:before="315" w:beforeLines="100"/>
        <w:jc w:val="center"/>
        <w:rPr>
          <w:rFonts w:ascii="宋体" w:hAnsi="宋体" w:cs="宋体"/>
          <w:b/>
          <w:bCs/>
          <w:sz w:val="24"/>
        </w:rPr>
      </w:pPr>
      <w:r>
        <w:rPr>
          <w:rFonts w:hint="eastAsia" w:ascii="宋体" w:hAnsi="宋体" w:cs="宋体"/>
          <w:b/>
          <w:bCs/>
          <w:sz w:val="24"/>
        </w:rPr>
        <w:t>标的项目</w:t>
      </w:r>
      <w:r>
        <w:rPr>
          <w:rFonts w:ascii="Arial" w:hAnsi="Arial" w:cs="Arial"/>
          <w:b/>
          <w:bCs/>
          <w:sz w:val="24"/>
        </w:rPr>
        <w:t>2020</w:t>
      </w:r>
      <w:r>
        <w:rPr>
          <w:rFonts w:hint="eastAsia" w:ascii="宋体" w:hAnsi="宋体" w:cs="宋体"/>
          <w:b/>
          <w:bCs/>
          <w:sz w:val="24"/>
        </w:rPr>
        <w:t>年</w:t>
      </w:r>
      <w:r>
        <w:rPr>
          <w:rFonts w:ascii="Arial" w:hAnsi="Arial" w:cs="Arial"/>
          <w:b/>
          <w:bCs/>
          <w:sz w:val="24"/>
        </w:rPr>
        <w:t>0</w:t>
      </w:r>
      <w:r>
        <w:rPr>
          <w:rFonts w:hint="eastAsia" w:ascii="Arial" w:hAnsi="Arial" w:cs="Arial"/>
          <w:b/>
          <w:bCs/>
          <w:sz w:val="24"/>
        </w:rPr>
        <w:t>9</w:t>
      </w:r>
      <w:r>
        <w:rPr>
          <w:rFonts w:hint="eastAsia" w:ascii="宋体" w:hAnsi="宋体" w:cs="宋体"/>
          <w:b/>
          <w:bCs/>
          <w:sz w:val="24"/>
        </w:rPr>
        <w:t>月施工进度表</w:t>
      </w:r>
    </w:p>
    <w:tbl>
      <w:tblPr>
        <w:tblStyle w:val="12"/>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111"/>
        <w:gridCol w:w="7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blHeader/>
          <w:jc w:val="center"/>
        </w:trPr>
        <w:tc>
          <w:tcPr>
            <w:tcW w:w="329" w:type="pct"/>
            <w:shd w:val="clear" w:color="auto" w:fill="auto"/>
            <w:vAlign w:val="center"/>
          </w:tcPr>
          <w:p>
            <w:pPr>
              <w:jc w:val="center"/>
              <w:rPr>
                <w:rFonts w:ascii="宋体" w:hAnsi="宋体" w:cs="宋体"/>
                <w:b/>
                <w:color w:val="000000"/>
                <w:sz w:val="18"/>
                <w:szCs w:val="18"/>
              </w:rPr>
            </w:pPr>
            <w:r>
              <w:rPr>
                <w:rFonts w:hint="eastAsia" w:ascii="宋体" w:hAnsi="宋体" w:cs="宋体"/>
                <w:b/>
                <w:color w:val="000000"/>
                <w:sz w:val="18"/>
                <w:szCs w:val="18"/>
              </w:rPr>
              <w:t>序号</w:t>
            </w:r>
          </w:p>
        </w:tc>
        <w:tc>
          <w:tcPr>
            <w:tcW w:w="599" w:type="pct"/>
            <w:shd w:val="clear" w:color="auto" w:fill="auto"/>
            <w:vAlign w:val="center"/>
          </w:tcPr>
          <w:p>
            <w:pPr>
              <w:rPr>
                <w:rFonts w:ascii="宋体" w:hAnsi="宋体" w:cs="宋体"/>
                <w:b/>
                <w:color w:val="000000"/>
                <w:sz w:val="18"/>
                <w:szCs w:val="18"/>
              </w:rPr>
            </w:pPr>
            <w:r>
              <w:rPr>
                <w:rFonts w:hint="eastAsia" w:ascii="宋体" w:hAnsi="宋体" w:cs="宋体"/>
                <w:b/>
                <w:color w:val="000000"/>
                <w:sz w:val="18"/>
                <w:szCs w:val="18"/>
              </w:rPr>
              <w:t>工作内容</w:t>
            </w:r>
          </w:p>
        </w:tc>
        <w:tc>
          <w:tcPr>
            <w:tcW w:w="4071" w:type="pct"/>
            <w:shd w:val="clear" w:color="auto" w:fill="auto"/>
            <w:vAlign w:val="center"/>
          </w:tcPr>
          <w:p>
            <w:pPr>
              <w:jc w:val="center"/>
              <w:rPr>
                <w:rFonts w:ascii="宋体" w:hAnsi="宋体" w:cs="宋体"/>
                <w:b/>
                <w:color w:val="000000"/>
                <w:sz w:val="18"/>
                <w:szCs w:val="18"/>
              </w:rPr>
            </w:pPr>
            <w:r>
              <w:rPr>
                <w:rFonts w:hint="eastAsia" w:ascii="宋体" w:hAnsi="宋体" w:cs="宋体"/>
                <w:b/>
                <w:color w:val="000000"/>
                <w:sz w:val="18"/>
                <w:szCs w:val="18"/>
              </w:rPr>
              <w:t>本月进度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599" w:type="pct"/>
            <w:shd w:val="clear" w:color="auto" w:fill="auto"/>
            <w:vAlign w:val="center"/>
          </w:tcPr>
          <w:p>
            <w:pPr>
              <w:rPr>
                <w:rFonts w:ascii="Arial" w:hAnsi="Arial" w:cs="Arial"/>
                <w:color w:val="000000"/>
                <w:sz w:val="18"/>
                <w:szCs w:val="18"/>
              </w:rPr>
            </w:pPr>
            <w:r>
              <w:rPr>
                <w:rFonts w:hint="eastAsia" w:ascii="Arial" w:hAnsi="Arial" w:cs="Arial"/>
                <w:color w:val="000000"/>
                <w:sz w:val="18"/>
                <w:szCs w:val="18"/>
              </w:rPr>
              <w:t>销售中心</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装修已完成。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599" w:type="pct"/>
            <w:shd w:val="clear" w:color="auto" w:fill="auto"/>
            <w:vAlign w:val="center"/>
          </w:tcPr>
          <w:p>
            <w:pPr>
              <w:rPr>
                <w:rFonts w:ascii="Arial" w:hAnsi="Arial" w:cs="Arial"/>
                <w:color w:val="000000"/>
                <w:sz w:val="18"/>
                <w:szCs w:val="18"/>
              </w:rPr>
            </w:pPr>
            <w:r>
              <w:rPr>
                <w:rFonts w:hint="eastAsia" w:ascii="Arial" w:hAnsi="Arial" w:cs="Arial"/>
                <w:color w:val="000000"/>
                <w:sz w:val="18"/>
                <w:szCs w:val="18"/>
              </w:rPr>
              <w:t>运动中心、商业街、实体样板房、临时样板房、临时停车场</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运动中心完成，园林园建收尾；</w:t>
            </w:r>
          </w:p>
          <w:p>
            <w:pPr>
              <w:jc w:val="left"/>
              <w:rPr>
                <w:rFonts w:ascii="Arial" w:hAnsi="Arial" w:cs="Arial"/>
                <w:color w:val="000000"/>
                <w:sz w:val="18"/>
                <w:szCs w:val="18"/>
              </w:rPr>
            </w:pPr>
            <w:r>
              <w:rPr>
                <w:rFonts w:hint="eastAsia" w:ascii="Arial" w:hAnsi="Arial" w:cs="Arial"/>
                <w:color w:val="000000"/>
                <w:sz w:val="18"/>
                <w:szCs w:val="18"/>
              </w:rPr>
              <w:t>商业街2栋外装完成，综合管网施工中，3栋外立面施工，2栋屋面、砌体施工；</w:t>
            </w:r>
          </w:p>
          <w:p>
            <w:pPr>
              <w:jc w:val="left"/>
              <w:rPr>
                <w:rFonts w:ascii="Arial" w:hAnsi="Arial" w:cs="Arial"/>
                <w:color w:val="000000"/>
                <w:sz w:val="18"/>
                <w:szCs w:val="18"/>
              </w:rPr>
            </w:pPr>
            <w:r>
              <w:rPr>
                <w:rFonts w:hint="eastAsia" w:ascii="Arial" w:hAnsi="Arial" w:cs="Arial"/>
                <w:color w:val="000000"/>
                <w:sz w:val="18"/>
                <w:szCs w:val="18"/>
              </w:rPr>
              <w:t>实体样板房1栋坡屋面施工，1栋4层钢筋施工（顶层），1栋五层钢筋施工；</w:t>
            </w:r>
          </w:p>
          <w:p>
            <w:pPr>
              <w:jc w:val="left"/>
              <w:rPr>
                <w:rFonts w:ascii="Arial" w:hAnsi="Arial" w:cs="Arial"/>
                <w:color w:val="000000"/>
                <w:sz w:val="18"/>
                <w:szCs w:val="18"/>
              </w:rPr>
            </w:pPr>
            <w:r>
              <w:rPr>
                <w:rFonts w:hint="eastAsia" w:ascii="Arial" w:hAnsi="Arial" w:cs="Arial"/>
                <w:color w:val="000000"/>
                <w:sz w:val="18"/>
                <w:szCs w:val="18"/>
              </w:rPr>
              <w:t>临时样板房完成，园林园建收尾；</w:t>
            </w:r>
          </w:p>
          <w:p>
            <w:pPr>
              <w:jc w:val="left"/>
              <w:rPr>
                <w:rFonts w:ascii="Arial" w:hAnsi="Arial" w:cs="Arial"/>
                <w:color w:val="000000"/>
                <w:sz w:val="18"/>
                <w:szCs w:val="18"/>
              </w:rPr>
            </w:pPr>
            <w:r>
              <w:rPr>
                <w:rFonts w:hint="eastAsia" w:ascii="Arial" w:hAnsi="Arial" w:cs="Arial"/>
                <w:color w:val="000000"/>
                <w:sz w:val="18"/>
                <w:szCs w:val="18"/>
              </w:rPr>
              <w:t>临时停车场完成。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599"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康益园、颐养园、长乐园、河沟、道路、桥梁</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两大园内外装施工，其中5栋外装完成（3/4/8/9/10号），5栋室外管网完成（3/4/5/6/7号），7栋外装完成95%及以上（5/6/7/12/13/14/15/16号）</w:t>
            </w:r>
            <w:r>
              <w:rPr>
                <w:rFonts w:hint="eastAsia" w:ascii="Arial" w:hAnsi="Arial" w:cs="Arial"/>
                <w:color w:val="000000"/>
                <w:sz w:val="18"/>
                <w:szCs w:val="18"/>
                <w:lang w:eastAsia="zh-CN"/>
              </w:rPr>
              <w:t>，</w:t>
            </w:r>
            <w:r>
              <w:rPr>
                <w:rFonts w:hint="eastAsia" w:ascii="Arial" w:hAnsi="Arial" w:cs="Arial"/>
                <w:color w:val="000000"/>
                <w:sz w:val="18"/>
                <w:szCs w:val="18"/>
              </w:rPr>
              <w:t>9月24日起开始强拆外架，9月底可拆完外架（健身中心、羽毛球馆、门球馆除外）；</w:t>
            </w:r>
          </w:p>
          <w:p>
            <w:pPr>
              <w:jc w:val="left"/>
              <w:rPr>
                <w:rFonts w:ascii="Arial" w:hAnsi="Arial" w:cs="Arial"/>
                <w:color w:val="000000"/>
                <w:sz w:val="18"/>
                <w:szCs w:val="18"/>
              </w:rPr>
            </w:pPr>
            <w:r>
              <w:rPr>
                <w:rFonts w:hint="eastAsia" w:ascii="Arial" w:hAnsi="Arial" w:cs="Arial"/>
                <w:color w:val="000000"/>
                <w:sz w:val="18"/>
                <w:szCs w:val="18"/>
              </w:rPr>
              <w:t>长乐园13栋内外装施工；</w:t>
            </w:r>
          </w:p>
          <w:p>
            <w:pPr>
              <w:jc w:val="left"/>
              <w:rPr>
                <w:rFonts w:ascii="Arial" w:hAnsi="Arial" w:cs="Arial"/>
                <w:color w:val="000000"/>
                <w:sz w:val="18"/>
                <w:szCs w:val="18"/>
              </w:rPr>
            </w:pPr>
            <w:r>
              <w:rPr>
                <w:rFonts w:hint="eastAsia" w:ascii="Arial" w:hAnsi="Arial" w:cs="Arial"/>
                <w:color w:val="000000"/>
                <w:sz w:val="18"/>
                <w:szCs w:val="18"/>
              </w:rPr>
              <w:t>河道：南岸K0+900-K0+1052段埋石砼基础完成；</w:t>
            </w:r>
          </w:p>
          <w:p>
            <w:pPr>
              <w:jc w:val="left"/>
              <w:rPr>
                <w:rFonts w:ascii="Arial" w:hAnsi="Arial" w:cs="Arial"/>
                <w:color w:val="000000"/>
                <w:sz w:val="18"/>
                <w:szCs w:val="18"/>
              </w:rPr>
            </w:pPr>
            <w:r>
              <w:rPr>
                <w:rFonts w:hint="eastAsia" w:ascii="Arial" w:hAnsi="Arial" w:cs="Arial"/>
                <w:color w:val="000000"/>
                <w:sz w:val="18"/>
                <w:szCs w:val="18"/>
              </w:rPr>
              <w:t>H1道路、Z3道今日平完注浆场地；</w:t>
            </w:r>
          </w:p>
          <w:p>
            <w:pPr>
              <w:jc w:val="left"/>
              <w:rPr>
                <w:rFonts w:ascii="Arial" w:hAnsi="Arial" w:cs="Arial"/>
                <w:color w:val="000000"/>
                <w:sz w:val="18"/>
                <w:szCs w:val="18"/>
              </w:rPr>
            </w:pPr>
            <w:r>
              <w:rPr>
                <w:rFonts w:hint="eastAsia" w:ascii="Arial" w:hAnsi="Arial" w:cs="Arial"/>
                <w:color w:val="000000"/>
                <w:sz w:val="18"/>
                <w:szCs w:val="18"/>
              </w:rPr>
              <w:t>2号桥箱梁顶板钢筋绑扎完成60%。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599"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A5地块</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1#（6F/-1F）：斜屋面模板完成40％，砌体未施工；</w:t>
            </w:r>
          </w:p>
          <w:p>
            <w:pPr>
              <w:jc w:val="left"/>
              <w:rPr>
                <w:rFonts w:ascii="Arial" w:hAnsi="Arial" w:cs="Arial"/>
                <w:color w:val="000000"/>
                <w:sz w:val="18"/>
                <w:szCs w:val="18"/>
              </w:rPr>
            </w:pPr>
            <w:r>
              <w:rPr>
                <w:rFonts w:hint="eastAsia" w:ascii="Arial" w:hAnsi="Arial" w:cs="Arial"/>
                <w:color w:val="000000"/>
                <w:sz w:val="18"/>
                <w:szCs w:val="18"/>
              </w:rPr>
              <w:t>2#（6F/-1F）：结构封顶，砌体未施工；</w:t>
            </w:r>
          </w:p>
          <w:p>
            <w:pPr>
              <w:jc w:val="left"/>
              <w:rPr>
                <w:rFonts w:ascii="Arial" w:hAnsi="Arial" w:cs="Arial"/>
                <w:color w:val="000000"/>
                <w:sz w:val="18"/>
                <w:szCs w:val="18"/>
              </w:rPr>
            </w:pPr>
            <w:r>
              <w:rPr>
                <w:rFonts w:hint="eastAsia" w:ascii="Arial" w:hAnsi="Arial" w:cs="Arial"/>
                <w:color w:val="000000"/>
                <w:sz w:val="18"/>
                <w:szCs w:val="18"/>
              </w:rPr>
              <w:t>3#（6F/-1F）：负二层结构钢筋完成80％；</w:t>
            </w:r>
          </w:p>
          <w:p>
            <w:pPr>
              <w:jc w:val="left"/>
              <w:rPr>
                <w:rFonts w:ascii="Arial" w:hAnsi="Arial" w:cs="Arial"/>
                <w:color w:val="000000"/>
                <w:sz w:val="18"/>
                <w:szCs w:val="18"/>
              </w:rPr>
            </w:pPr>
            <w:r>
              <w:rPr>
                <w:rFonts w:hint="eastAsia" w:ascii="Arial" w:hAnsi="Arial" w:cs="Arial"/>
                <w:color w:val="000000"/>
                <w:sz w:val="18"/>
                <w:szCs w:val="18"/>
              </w:rPr>
              <w:t>4#（6F/-2F）：天然基础浇筑完成100％；</w:t>
            </w:r>
          </w:p>
          <w:p>
            <w:pPr>
              <w:jc w:val="left"/>
              <w:rPr>
                <w:rFonts w:ascii="Arial" w:hAnsi="Arial" w:cs="Arial"/>
                <w:color w:val="000000"/>
                <w:sz w:val="18"/>
                <w:szCs w:val="18"/>
              </w:rPr>
            </w:pPr>
            <w:r>
              <w:rPr>
                <w:rFonts w:hint="eastAsia" w:ascii="Arial" w:hAnsi="Arial" w:cs="Arial"/>
                <w:color w:val="000000"/>
                <w:sz w:val="18"/>
                <w:szCs w:val="18"/>
              </w:rPr>
              <w:t>5#（6F/-2F）：负一层底板钢筋绑扎完成；</w:t>
            </w:r>
          </w:p>
          <w:p>
            <w:pPr>
              <w:jc w:val="left"/>
              <w:rPr>
                <w:rFonts w:ascii="Arial" w:hAnsi="Arial" w:cs="Arial"/>
                <w:color w:val="000000"/>
                <w:sz w:val="18"/>
                <w:szCs w:val="18"/>
              </w:rPr>
            </w:pPr>
            <w:r>
              <w:rPr>
                <w:rFonts w:hint="eastAsia" w:ascii="Arial" w:hAnsi="Arial" w:cs="Arial"/>
                <w:color w:val="000000"/>
                <w:sz w:val="18"/>
                <w:szCs w:val="18"/>
              </w:rPr>
              <w:t>6#（6F/-1F）：二层结构模板完成100％（1个单元受负二层地下室影响）；</w:t>
            </w:r>
          </w:p>
          <w:p>
            <w:pPr>
              <w:jc w:val="left"/>
              <w:rPr>
                <w:rFonts w:ascii="Arial" w:hAnsi="Arial" w:cs="Arial"/>
                <w:color w:val="000000"/>
                <w:sz w:val="18"/>
                <w:szCs w:val="18"/>
              </w:rPr>
            </w:pPr>
            <w:r>
              <w:rPr>
                <w:rFonts w:hint="eastAsia" w:ascii="Arial" w:hAnsi="Arial" w:cs="Arial"/>
                <w:color w:val="000000"/>
                <w:sz w:val="18"/>
                <w:szCs w:val="18"/>
              </w:rPr>
              <w:t>7#（6F/-1F）：三层结构钢筋绑扎完成50％；</w:t>
            </w:r>
          </w:p>
          <w:p>
            <w:pPr>
              <w:jc w:val="left"/>
              <w:rPr>
                <w:rFonts w:ascii="Arial" w:hAnsi="Arial" w:cs="Arial"/>
                <w:color w:val="000000"/>
                <w:sz w:val="18"/>
                <w:szCs w:val="18"/>
              </w:rPr>
            </w:pPr>
            <w:r>
              <w:rPr>
                <w:rFonts w:hint="eastAsia" w:ascii="Arial" w:hAnsi="Arial" w:cs="Arial"/>
                <w:color w:val="000000"/>
                <w:sz w:val="18"/>
                <w:szCs w:val="18"/>
              </w:rPr>
              <w:t>8#（4F/-1F）：结构封顶，砌体未施工。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599"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A6地块</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1#楼（6F/-2F）：一层结构钢筋完成100％；</w:t>
            </w:r>
          </w:p>
          <w:p>
            <w:pPr>
              <w:jc w:val="left"/>
              <w:rPr>
                <w:rFonts w:ascii="Arial" w:hAnsi="Arial" w:cs="Arial"/>
                <w:color w:val="000000"/>
                <w:sz w:val="18"/>
                <w:szCs w:val="18"/>
              </w:rPr>
            </w:pPr>
            <w:r>
              <w:rPr>
                <w:rFonts w:hint="eastAsia" w:ascii="Arial" w:hAnsi="Arial" w:cs="Arial"/>
                <w:color w:val="000000"/>
                <w:sz w:val="18"/>
                <w:szCs w:val="18"/>
              </w:rPr>
              <w:t>2#楼（6F/-1F）：负一层结构钢筋完成50％；</w:t>
            </w:r>
          </w:p>
          <w:p>
            <w:pPr>
              <w:jc w:val="left"/>
              <w:rPr>
                <w:rFonts w:ascii="Arial" w:hAnsi="Arial" w:cs="Arial"/>
                <w:color w:val="000000"/>
                <w:sz w:val="18"/>
                <w:szCs w:val="18"/>
              </w:rPr>
            </w:pPr>
            <w:r>
              <w:rPr>
                <w:rFonts w:hint="eastAsia" w:ascii="Arial" w:hAnsi="Arial" w:cs="Arial"/>
                <w:color w:val="000000"/>
                <w:sz w:val="18"/>
                <w:szCs w:val="18"/>
              </w:rPr>
              <w:t>3#楼（6F/-1F）：负一层结构钢筋完成80％；</w:t>
            </w:r>
          </w:p>
          <w:p>
            <w:pPr>
              <w:jc w:val="left"/>
              <w:rPr>
                <w:rFonts w:ascii="Arial" w:hAnsi="Arial" w:cs="Arial"/>
                <w:color w:val="000000"/>
                <w:sz w:val="18"/>
                <w:szCs w:val="18"/>
              </w:rPr>
            </w:pPr>
            <w:r>
              <w:rPr>
                <w:rFonts w:hint="eastAsia" w:ascii="Arial" w:hAnsi="Arial" w:cs="Arial"/>
                <w:color w:val="000000"/>
                <w:sz w:val="18"/>
                <w:szCs w:val="18"/>
              </w:rPr>
              <w:t>4#楼（6F/-1F）：四层结构浇筑完成；</w:t>
            </w:r>
          </w:p>
          <w:p>
            <w:pPr>
              <w:jc w:val="left"/>
              <w:rPr>
                <w:rFonts w:ascii="Arial" w:hAnsi="Arial" w:cs="Arial"/>
                <w:color w:val="000000"/>
                <w:sz w:val="18"/>
                <w:szCs w:val="18"/>
              </w:rPr>
            </w:pPr>
            <w:r>
              <w:rPr>
                <w:rFonts w:hint="eastAsia" w:ascii="Arial" w:hAnsi="Arial" w:cs="Arial"/>
                <w:color w:val="000000"/>
                <w:sz w:val="18"/>
                <w:szCs w:val="18"/>
              </w:rPr>
              <w:t>5#楼（6F/-1F）：五层结构浇支模架搭设完成100％；</w:t>
            </w:r>
          </w:p>
          <w:p>
            <w:pPr>
              <w:jc w:val="left"/>
              <w:rPr>
                <w:rFonts w:ascii="Arial" w:hAnsi="Arial" w:cs="Arial"/>
                <w:color w:val="000000"/>
                <w:sz w:val="18"/>
                <w:szCs w:val="18"/>
              </w:rPr>
            </w:pPr>
            <w:r>
              <w:rPr>
                <w:rFonts w:hint="eastAsia" w:ascii="Arial" w:hAnsi="Arial" w:cs="Arial"/>
                <w:color w:val="000000"/>
                <w:sz w:val="18"/>
                <w:szCs w:val="18"/>
              </w:rPr>
              <w:t>6#楼（6F/-1F）：四层结构支模架搭设完成50％；</w:t>
            </w:r>
          </w:p>
          <w:p>
            <w:pPr>
              <w:jc w:val="left"/>
              <w:rPr>
                <w:rFonts w:ascii="Arial" w:hAnsi="Arial" w:cs="Arial"/>
                <w:color w:val="000000"/>
                <w:sz w:val="18"/>
                <w:szCs w:val="18"/>
              </w:rPr>
            </w:pPr>
            <w:r>
              <w:rPr>
                <w:rFonts w:hint="eastAsia" w:ascii="Arial" w:hAnsi="Arial" w:cs="Arial"/>
                <w:color w:val="000000"/>
                <w:sz w:val="18"/>
                <w:szCs w:val="18"/>
              </w:rPr>
              <w:t>7#楼（6F/-1F）：三层结构浇筑完成；</w:t>
            </w:r>
          </w:p>
          <w:p>
            <w:pPr>
              <w:jc w:val="left"/>
              <w:rPr>
                <w:rFonts w:ascii="Arial" w:hAnsi="Arial" w:cs="Arial"/>
                <w:color w:val="000000"/>
                <w:sz w:val="18"/>
                <w:szCs w:val="18"/>
              </w:rPr>
            </w:pPr>
            <w:r>
              <w:rPr>
                <w:rFonts w:hint="eastAsia" w:ascii="Arial" w:hAnsi="Arial" w:cs="Arial"/>
                <w:color w:val="000000"/>
                <w:sz w:val="18"/>
                <w:szCs w:val="18"/>
              </w:rPr>
              <w:t>8#楼（6F/-1F）：负一层钢筋绑扎完成；</w:t>
            </w:r>
          </w:p>
          <w:p>
            <w:pPr>
              <w:jc w:val="left"/>
              <w:rPr>
                <w:rFonts w:ascii="Arial" w:hAnsi="Arial" w:cs="Arial"/>
                <w:color w:val="000000"/>
                <w:sz w:val="18"/>
                <w:szCs w:val="18"/>
              </w:rPr>
            </w:pPr>
            <w:r>
              <w:rPr>
                <w:rFonts w:hint="eastAsia" w:ascii="Arial" w:hAnsi="Arial" w:cs="Arial"/>
                <w:color w:val="000000"/>
                <w:sz w:val="18"/>
                <w:szCs w:val="18"/>
              </w:rPr>
              <w:t>9#楼（6F/-2F）：二层支模架搭设完成。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599"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A9地块</w:t>
            </w:r>
          </w:p>
        </w:tc>
        <w:tc>
          <w:tcPr>
            <w:tcW w:w="4071" w:type="pct"/>
            <w:shd w:val="clear" w:color="auto" w:fill="auto"/>
            <w:vAlign w:val="center"/>
          </w:tcPr>
          <w:p>
            <w:pPr>
              <w:jc w:val="left"/>
              <w:rPr>
                <w:rFonts w:ascii="Arial" w:hAnsi="Arial" w:cs="Arial"/>
                <w:color w:val="000000"/>
                <w:sz w:val="18"/>
                <w:szCs w:val="18"/>
              </w:rPr>
            </w:pPr>
            <w:r>
              <w:rPr>
                <w:rFonts w:ascii="Arial" w:hAnsi="Arial" w:cs="Arial"/>
                <w:color w:val="000000"/>
                <w:sz w:val="18"/>
                <w:szCs w:val="18"/>
              </w:rPr>
              <w:t>1#（6F/-1F）</w:t>
            </w:r>
            <w:r>
              <w:rPr>
                <w:rFonts w:hint="eastAsia" w:ascii="Arial" w:hAnsi="Arial" w:cs="Arial"/>
                <w:color w:val="000000"/>
                <w:sz w:val="18"/>
                <w:szCs w:val="18"/>
              </w:rPr>
              <w:t>：坡屋面结构浇筑完成；二层砌体完成50%；</w:t>
            </w:r>
          </w:p>
          <w:p>
            <w:pPr>
              <w:jc w:val="left"/>
              <w:rPr>
                <w:rFonts w:ascii="Arial" w:hAnsi="Arial" w:cs="Arial"/>
                <w:color w:val="000000"/>
                <w:sz w:val="18"/>
                <w:szCs w:val="18"/>
              </w:rPr>
            </w:pPr>
            <w:r>
              <w:rPr>
                <w:rFonts w:hint="eastAsia" w:ascii="Arial" w:hAnsi="Arial" w:cs="Arial"/>
                <w:color w:val="000000"/>
                <w:sz w:val="18"/>
                <w:szCs w:val="18"/>
              </w:rPr>
              <w:t>2#（6F/-2F）：基础底板钢筋完成80%；</w:t>
            </w:r>
          </w:p>
          <w:p>
            <w:pPr>
              <w:jc w:val="left"/>
              <w:rPr>
                <w:rFonts w:ascii="Arial" w:hAnsi="Arial" w:cs="Arial"/>
                <w:color w:val="000000"/>
                <w:sz w:val="18"/>
                <w:szCs w:val="18"/>
              </w:rPr>
            </w:pPr>
            <w:r>
              <w:rPr>
                <w:rFonts w:hint="eastAsia" w:ascii="Arial" w:hAnsi="Arial" w:cs="Arial"/>
                <w:color w:val="000000"/>
                <w:sz w:val="18"/>
                <w:szCs w:val="18"/>
              </w:rPr>
              <w:t>3#（6F/-2F）：五层钢筋完成30%；</w:t>
            </w:r>
          </w:p>
          <w:p>
            <w:pPr>
              <w:jc w:val="left"/>
              <w:rPr>
                <w:rFonts w:ascii="Arial" w:hAnsi="Arial" w:cs="Arial"/>
                <w:color w:val="000000"/>
                <w:sz w:val="18"/>
                <w:szCs w:val="18"/>
              </w:rPr>
            </w:pPr>
            <w:r>
              <w:rPr>
                <w:rFonts w:hint="eastAsia" w:ascii="Arial" w:hAnsi="Arial" w:cs="Arial"/>
                <w:color w:val="000000"/>
                <w:sz w:val="18"/>
                <w:szCs w:val="18"/>
              </w:rPr>
              <w:t>4#（6F/-2F）：负二层回填土完成；</w:t>
            </w:r>
          </w:p>
          <w:p>
            <w:pPr>
              <w:jc w:val="left"/>
              <w:rPr>
                <w:rFonts w:ascii="Arial" w:hAnsi="Arial" w:cs="Arial"/>
                <w:color w:val="000000"/>
                <w:sz w:val="18"/>
                <w:szCs w:val="18"/>
              </w:rPr>
            </w:pPr>
            <w:r>
              <w:rPr>
                <w:rFonts w:hint="eastAsia" w:ascii="Arial" w:hAnsi="Arial" w:cs="Arial"/>
                <w:color w:val="000000"/>
                <w:sz w:val="18"/>
                <w:szCs w:val="18"/>
              </w:rPr>
              <w:t>5#（6F/-2F）：坡屋面模板安装完成30%；</w:t>
            </w:r>
          </w:p>
          <w:p>
            <w:pPr>
              <w:jc w:val="left"/>
              <w:rPr>
                <w:rFonts w:ascii="Arial" w:hAnsi="Arial" w:cs="Arial"/>
                <w:color w:val="000000"/>
                <w:sz w:val="18"/>
                <w:szCs w:val="18"/>
              </w:rPr>
            </w:pPr>
            <w:r>
              <w:rPr>
                <w:rFonts w:hint="eastAsia" w:ascii="Arial" w:hAnsi="Arial" w:cs="Arial"/>
                <w:color w:val="000000"/>
                <w:sz w:val="18"/>
                <w:szCs w:val="18"/>
              </w:rPr>
              <w:t>6#（4F/-2F）：四层钢筋完成60%；</w:t>
            </w:r>
          </w:p>
          <w:p>
            <w:pPr>
              <w:jc w:val="left"/>
              <w:rPr>
                <w:rFonts w:ascii="Arial" w:hAnsi="Arial" w:cs="Arial"/>
                <w:color w:val="000000"/>
                <w:sz w:val="18"/>
                <w:szCs w:val="18"/>
              </w:rPr>
            </w:pPr>
            <w:r>
              <w:rPr>
                <w:rFonts w:hint="eastAsia" w:ascii="Arial" w:hAnsi="Arial" w:cs="Arial"/>
                <w:color w:val="000000"/>
                <w:sz w:val="18"/>
                <w:szCs w:val="18"/>
              </w:rPr>
              <w:t>7#（4F/-1F</w:t>
            </w:r>
            <w:r>
              <w:rPr>
                <w:rFonts w:ascii="Arial" w:hAnsi="Arial" w:cs="Arial"/>
                <w:color w:val="000000"/>
                <w:sz w:val="18"/>
                <w:szCs w:val="18"/>
              </w:rPr>
              <w:t>）</w:t>
            </w:r>
            <w:r>
              <w:rPr>
                <w:rFonts w:hint="eastAsia" w:ascii="Arial" w:hAnsi="Arial" w:cs="Arial"/>
                <w:color w:val="000000"/>
                <w:sz w:val="18"/>
                <w:szCs w:val="18"/>
              </w:rPr>
              <w:t>：结构封顶；</w:t>
            </w:r>
          </w:p>
          <w:p>
            <w:pPr>
              <w:jc w:val="left"/>
              <w:rPr>
                <w:rFonts w:ascii="Arial" w:hAnsi="Arial" w:cs="Arial"/>
                <w:color w:val="000000"/>
                <w:sz w:val="18"/>
                <w:szCs w:val="18"/>
              </w:rPr>
            </w:pPr>
            <w:r>
              <w:rPr>
                <w:rFonts w:hint="eastAsia" w:ascii="Arial" w:hAnsi="Arial" w:cs="Arial"/>
                <w:color w:val="000000"/>
                <w:sz w:val="18"/>
                <w:szCs w:val="18"/>
              </w:rPr>
              <w:t>8#（6F/-1F）：五层结构模板完成；</w:t>
            </w:r>
          </w:p>
          <w:p>
            <w:pPr>
              <w:jc w:val="left"/>
              <w:rPr>
                <w:rFonts w:ascii="Arial" w:hAnsi="Arial" w:cs="Arial"/>
                <w:color w:val="000000"/>
                <w:sz w:val="18"/>
                <w:szCs w:val="18"/>
              </w:rPr>
            </w:pPr>
            <w:r>
              <w:rPr>
                <w:rFonts w:hint="eastAsia" w:ascii="Arial" w:hAnsi="Arial" w:cs="Arial"/>
                <w:color w:val="000000"/>
                <w:sz w:val="18"/>
                <w:szCs w:val="18"/>
              </w:rPr>
              <w:t>9#（6F/-1F）：（3、4单元）五层模板完成50%；（1、2单元）二层模板完成；</w:t>
            </w:r>
          </w:p>
          <w:p>
            <w:pPr>
              <w:jc w:val="left"/>
              <w:rPr>
                <w:rFonts w:ascii="Arial" w:hAnsi="Arial" w:cs="Arial"/>
                <w:color w:val="000000"/>
                <w:sz w:val="18"/>
                <w:szCs w:val="18"/>
              </w:rPr>
            </w:pPr>
            <w:r>
              <w:rPr>
                <w:rFonts w:hint="eastAsia" w:ascii="Arial" w:hAnsi="Arial" w:cs="Arial"/>
                <w:color w:val="000000"/>
                <w:sz w:val="18"/>
                <w:szCs w:val="18"/>
              </w:rPr>
              <w:t>10#（6F/-1F）：坡屋面结构钢筋完成90%，1～3层构造柱钢筋完成；</w:t>
            </w:r>
          </w:p>
          <w:p>
            <w:pPr>
              <w:jc w:val="left"/>
              <w:rPr>
                <w:rFonts w:ascii="Arial" w:hAnsi="Arial" w:cs="Arial"/>
                <w:color w:val="000000"/>
                <w:sz w:val="18"/>
                <w:szCs w:val="18"/>
              </w:rPr>
            </w:pPr>
            <w:r>
              <w:rPr>
                <w:rFonts w:hint="eastAsia" w:ascii="Arial" w:hAnsi="Arial" w:cs="Arial"/>
                <w:color w:val="000000"/>
                <w:sz w:val="18"/>
                <w:szCs w:val="18"/>
              </w:rPr>
              <w:t>11#（6F/-1F）：坡屋面模板完成80%，砌体未施工；</w:t>
            </w:r>
          </w:p>
          <w:p>
            <w:pPr>
              <w:jc w:val="left"/>
              <w:rPr>
                <w:rFonts w:ascii="Arial" w:hAnsi="Arial" w:cs="Arial"/>
                <w:color w:val="000000"/>
                <w:sz w:val="18"/>
                <w:szCs w:val="18"/>
              </w:rPr>
            </w:pPr>
            <w:r>
              <w:rPr>
                <w:rFonts w:hint="eastAsia" w:ascii="Arial" w:hAnsi="Arial" w:cs="Arial"/>
                <w:color w:val="000000"/>
                <w:sz w:val="18"/>
                <w:szCs w:val="18"/>
              </w:rPr>
              <w:t>12#（6F/-1F）：六层结构钢筋完成50%。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329"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599"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A10地块</w:t>
            </w:r>
          </w:p>
        </w:tc>
        <w:tc>
          <w:tcPr>
            <w:tcW w:w="4071"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1#楼（6F/-1F）六层结构完成，三层砌体一单元完成；</w:t>
            </w:r>
          </w:p>
          <w:p>
            <w:pPr>
              <w:jc w:val="left"/>
              <w:rPr>
                <w:rFonts w:ascii="Arial" w:hAnsi="Arial" w:cs="Arial"/>
                <w:color w:val="000000"/>
                <w:sz w:val="18"/>
                <w:szCs w:val="18"/>
              </w:rPr>
            </w:pPr>
            <w:r>
              <w:rPr>
                <w:rFonts w:hint="eastAsia" w:ascii="Arial" w:hAnsi="Arial" w:cs="Arial"/>
                <w:color w:val="000000"/>
                <w:sz w:val="18"/>
                <w:szCs w:val="18"/>
              </w:rPr>
              <w:t>2#楼（6F/-2F）六层结构完成，砌体未施工；</w:t>
            </w:r>
          </w:p>
          <w:p>
            <w:pPr>
              <w:jc w:val="left"/>
              <w:rPr>
                <w:rFonts w:ascii="Arial" w:hAnsi="Arial" w:cs="Arial"/>
                <w:color w:val="000000"/>
                <w:sz w:val="18"/>
                <w:szCs w:val="18"/>
              </w:rPr>
            </w:pPr>
            <w:r>
              <w:rPr>
                <w:rFonts w:hint="eastAsia" w:ascii="Arial" w:hAnsi="Arial" w:cs="Arial"/>
                <w:color w:val="000000"/>
                <w:sz w:val="18"/>
                <w:szCs w:val="18"/>
              </w:rPr>
              <w:t>3#楼（6F/-2F）六层结构完成；</w:t>
            </w:r>
          </w:p>
          <w:p>
            <w:pPr>
              <w:jc w:val="left"/>
              <w:rPr>
                <w:rFonts w:ascii="Arial" w:hAnsi="Arial" w:cs="Arial"/>
                <w:color w:val="000000"/>
                <w:sz w:val="18"/>
                <w:szCs w:val="18"/>
              </w:rPr>
            </w:pPr>
            <w:r>
              <w:rPr>
                <w:rFonts w:hint="eastAsia" w:ascii="Arial" w:hAnsi="Arial" w:cs="Arial"/>
                <w:color w:val="000000"/>
                <w:sz w:val="18"/>
                <w:szCs w:val="18"/>
              </w:rPr>
              <w:t>4#楼（6F/-1F）六层结构完成，砌体未施工；</w:t>
            </w:r>
          </w:p>
          <w:p>
            <w:pPr>
              <w:jc w:val="left"/>
              <w:rPr>
                <w:rFonts w:ascii="Arial" w:hAnsi="Arial" w:cs="Arial"/>
                <w:color w:val="000000"/>
                <w:sz w:val="18"/>
                <w:szCs w:val="18"/>
              </w:rPr>
            </w:pPr>
            <w:r>
              <w:rPr>
                <w:rFonts w:hint="eastAsia" w:ascii="Arial" w:hAnsi="Arial" w:cs="Arial"/>
                <w:color w:val="000000"/>
                <w:sz w:val="18"/>
                <w:szCs w:val="18"/>
              </w:rPr>
              <w:t>5#楼（6F/-2F）六层结构完成；</w:t>
            </w:r>
          </w:p>
          <w:p>
            <w:pPr>
              <w:jc w:val="left"/>
              <w:rPr>
                <w:rFonts w:ascii="Arial" w:hAnsi="Arial" w:cs="Arial"/>
                <w:color w:val="000000"/>
                <w:sz w:val="18"/>
                <w:szCs w:val="18"/>
              </w:rPr>
            </w:pPr>
            <w:r>
              <w:rPr>
                <w:rFonts w:hint="eastAsia" w:ascii="Arial" w:hAnsi="Arial" w:cs="Arial"/>
                <w:color w:val="000000"/>
                <w:sz w:val="18"/>
                <w:szCs w:val="18"/>
              </w:rPr>
              <w:t>6#楼（6F/-1F）基础承台钢筋完成；</w:t>
            </w:r>
          </w:p>
          <w:p>
            <w:pPr>
              <w:jc w:val="left"/>
              <w:rPr>
                <w:rFonts w:ascii="Arial" w:hAnsi="Arial" w:cs="Arial"/>
                <w:color w:val="000000"/>
                <w:sz w:val="18"/>
                <w:szCs w:val="18"/>
              </w:rPr>
            </w:pPr>
            <w:r>
              <w:rPr>
                <w:rFonts w:hint="eastAsia" w:ascii="Arial" w:hAnsi="Arial" w:cs="Arial"/>
                <w:color w:val="000000"/>
                <w:sz w:val="18"/>
                <w:szCs w:val="18"/>
              </w:rPr>
              <w:t>7#楼（6F/-1F）1、2单元六层结构完成，3单元一层结构完成；</w:t>
            </w:r>
          </w:p>
          <w:p>
            <w:pPr>
              <w:jc w:val="left"/>
              <w:rPr>
                <w:rFonts w:ascii="Arial" w:hAnsi="Arial" w:cs="Arial"/>
                <w:color w:val="000000"/>
                <w:sz w:val="18"/>
                <w:szCs w:val="18"/>
              </w:rPr>
            </w:pPr>
            <w:r>
              <w:rPr>
                <w:rFonts w:hint="eastAsia" w:ascii="Arial" w:hAnsi="Arial" w:cs="Arial"/>
                <w:color w:val="000000"/>
                <w:sz w:val="18"/>
                <w:szCs w:val="18"/>
              </w:rPr>
              <w:t>8#楼（6F/-1F）四层支模架完成；</w:t>
            </w:r>
          </w:p>
          <w:p>
            <w:pPr>
              <w:jc w:val="left"/>
              <w:rPr>
                <w:rFonts w:ascii="Arial" w:hAnsi="Arial" w:cs="Arial"/>
                <w:color w:val="000000"/>
                <w:sz w:val="18"/>
                <w:szCs w:val="18"/>
              </w:rPr>
            </w:pPr>
            <w:r>
              <w:rPr>
                <w:rFonts w:hint="eastAsia" w:ascii="Arial" w:hAnsi="Arial" w:cs="Arial"/>
                <w:color w:val="000000"/>
                <w:sz w:val="18"/>
                <w:szCs w:val="18"/>
              </w:rPr>
              <w:t>9#楼（6F/-1F）六层结构完成；</w:t>
            </w:r>
          </w:p>
          <w:p>
            <w:pPr>
              <w:jc w:val="left"/>
              <w:rPr>
                <w:rFonts w:ascii="Arial" w:hAnsi="Arial" w:cs="Arial"/>
                <w:color w:val="000000"/>
                <w:sz w:val="18"/>
                <w:szCs w:val="18"/>
              </w:rPr>
            </w:pPr>
            <w:r>
              <w:rPr>
                <w:rFonts w:hint="eastAsia" w:ascii="Arial" w:hAnsi="Arial" w:cs="Arial"/>
                <w:color w:val="000000"/>
                <w:sz w:val="18"/>
                <w:szCs w:val="18"/>
              </w:rPr>
              <w:t>10#楼（6F/-1F）六层结构完成。</w:t>
            </w:r>
          </w:p>
        </w:tc>
      </w:tr>
    </w:tbl>
    <w:p>
      <w:pPr>
        <w:pStyle w:val="3"/>
        <w:spacing w:before="300" w:after="300" w:line="360" w:lineRule="exact"/>
        <w:jc w:val="left"/>
      </w:pPr>
      <w:bookmarkStart w:id="50" w:name="_Toc6513"/>
      <w:bookmarkStart w:id="51" w:name="_Toc31176"/>
      <w:bookmarkStart w:id="52" w:name="_Toc24230"/>
      <w:bookmarkStart w:id="53" w:name="_Toc23808"/>
      <w:bookmarkStart w:id="54" w:name="_Toc14957"/>
      <w:bookmarkStart w:id="55" w:name="_Toc24774"/>
      <w:r>
        <w:rPr>
          <w:rFonts w:cs="Arial" w:eastAsiaTheme="majorEastAsia"/>
          <w:sz w:val="24"/>
          <w:szCs w:val="24"/>
        </w:rPr>
        <w:t>3.3</w:t>
      </w:r>
      <w:r>
        <w:rPr>
          <w:rFonts w:hint="eastAsia" w:cs="Arial" w:eastAsiaTheme="majorEastAsia"/>
          <w:sz w:val="24"/>
          <w:szCs w:val="24"/>
        </w:rPr>
        <w:t>、</w:t>
      </w:r>
      <w:r>
        <w:rPr>
          <w:rFonts w:hint="eastAsia" w:asciiTheme="majorEastAsia" w:hAnsiTheme="majorEastAsia" w:eastAsiaTheme="majorEastAsia" w:cstheme="majorEastAsia"/>
          <w:sz w:val="24"/>
          <w:szCs w:val="24"/>
        </w:rPr>
        <w:t>项目现场施工照片</w:t>
      </w:r>
      <w:bookmarkEnd w:id="50"/>
      <w:bookmarkEnd w:id="51"/>
      <w:bookmarkEnd w:id="52"/>
      <w:bookmarkEnd w:id="53"/>
      <w:bookmarkEnd w:id="54"/>
      <w:bookmarkEnd w:id="55"/>
      <w:r>
        <w:rPr>
          <w:rFonts w:hint="eastAsia" w:asciiTheme="majorEastAsia" w:hAnsiTheme="majorEastAsia" w:eastAsiaTheme="majorEastAsia" w:cstheme="majorEastAsia"/>
          <w:sz w:val="24"/>
        </w:rPr>
        <w:t xml:space="preserve"> </w:t>
      </w:r>
    </w:p>
    <w:p>
      <w:pPr>
        <w:rPr>
          <w:rFonts w:eastAsiaTheme="majorEastAsia"/>
        </w:rPr>
      </w:pPr>
      <w:r>
        <w:rPr>
          <w:rFonts w:hint="eastAsia" w:eastAsiaTheme="majorEastAsia"/>
        </w:rPr>
        <w:drawing>
          <wp:inline distT="0" distB="0" distL="114300" distR="114300">
            <wp:extent cx="2721610" cy="2002155"/>
            <wp:effectExtent l="0" t="0" r="2540" b="17145"/>
            <wp:docPr id="14" name="图片 14" descr="5地块"/>
            <wp:cNvGraphicFramePr/>
            <a:graphic xmlns:a="http://schemas.openxmlformats.org/drawingml/2006/main">
              <a:graphicData uri="http://schemas.openxmlformats.org/drawingml/2006/picture">
                <pic:pic xmlns:pic="http://schemas.openxmlformats.org/drawingml/2006/picture">
                  <pic:nvPicPr>
                    <pic:cNvPr id="14" name="图片 14" descr="5地块"/>
                    <pic:cNvPicPr/>
                  </pic:nvPicPr>
                  <pic:blipFill>
                    <a:blip r:embed="rId8"/>
                    <a:stretch>
                      <a:fillRect/>
                    </a:stretch>
                  </pic:blipFill>
                  <pic:spPr>
                    <a:xfrm>
                      <a:off x="0" y="0"/>
                      <a:ext cx="2721610" cy="2002155"/>
                    </a:xfrm>
                    <a:prstGeom prst="rect">
                      <a:avLst/>
                    </a:prstGeom>
                  </pic:spPr>
                </pic:pic>
              </a:graphicData>
            </a:graphic>
          </wp:inline>
        </w:drawing>
      </w:r>
      <w:r>
        <w:rPr>
          <w:rFonts w:hint="eastAsia" w:eastAsiaTheme="majorEastAsia"/>
        </w:rPr>
        <w:t xml:space="preserve">      </w:t>
      </w:r>
      <w:r>
        <w:rPr>
          <w:rFonts w:eastAsiaTheme="majorEastAsia"/>
        </w:rPr>
        <w:drawing>
          <wp:inline distT="0" distB="0" distL="114300" distR="114300">
            <wp:extent cx="2721610" cy="2011045"/>
            <wp:effectExtent l="0" t="0" r="2540" b="8255"/>
            <wp:docPr id="16" name="图片 16" descr="6地块"/>
            <wp:cNvGraphicFramePr/>
            <a:graphic xmlns:a="http://schemas.openxmlformats.org/drawingml/2006/main">
              <a:graphicData uri="http://schemas.openxmlformats.org/drawingml/2006/picture">
                <pic:pic xmlns:pic="http://schemas.openxmlformats.org/drawingml/2006/picture">
                  <pic:nvPicPr>
                    <pic:cNvPr id="16" name="图片 16" descr="6地块"/>
                    <pic:cNvPicPr/>
                  </pic:nvPicPr>
                  <pic:blipFill>
                    <a:blip r:embed="rId9"/>
                    <a:stretch>
                      <a:fillRect/>
                    </a:stretch>
                  </pic:blipFill>
                  <pic:spPr>
                    <a:xfrm>
                      <a:off x="0" y="0"/>
                      <a:ext cx="2721610" cy="2011045"/>
                    </a:xfrm>
                    <a:prstGeom prst="rect">
                      <a:avLst/>
                    </a:prstGeom>
                  </pic:spPr>
                </pic:pic>
              </a:graphicData>
            </a:graphic>
          </wp:inline>
        </w:drawing>
      </w:r>
    </w:p>
    <w:p>
      <w:pPr>
        <w:ind w:firstLine="1080" w:firstLineChars="600"/>
        <w:rPr>
          <w:rFonts w:asciiTheme="minorEastAsia" w:hAnsiTheme="minorEastAsia" w:eastAsiaTheme="minorEastAsia" w:cstheme="minorEastAsia"/>
          <w:b/>
          <w:bCs/>
          <w:sz w:val="18"/>
          <w:szCs w:val="18"/>
        </w:rPr>
      </w:pPr>
      <w:r>
        <w:rPr>
          <w:rFonts w:ascii="Arial" w:hAnsi="Arial" w:cs="Arial"/>
          <w:sz w:val="18"/>
          <w:szCs w:val="18"/>
        </w:rPr>
        <w:t xml:space="preserve"> </w:t>
      </w:r>
      <w:r>
        <w:rPr>
          <w:rFonts w:ascii="Arial" w:hAnsi="Arial" w:cs="Arial" w:eastAsiaTheme="minorEastAsia"/>
          <w:b/>
          <w:bCs/>
          <w:sz w:val="18"/>
          <w:szCs w:val="18"/>
        </w:rPr>
        <w:t>1.A05</w:t>
      </w:r>
      <w:r>
        <w:rPr>
          <w:rFonts w:hint="eastAsia" w:asciiTheme="minorEastAsia" w:hAnsiTheme="minorEastAsia" w:eastAsiaTheme="minorEastAsia" w:cstheme="minorEastAsia"/>
          <w:b/>
          <w:bCs/>
          <w:sz w:val="18"/>
          <w:szCs w:val="18"/>
        </w:rPr>
        <w:t xml:space="preserve">地块施工现状 </w:t>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rPr>
        <w:t xml:space="preserve"> </w:t>
      </w:r>
      <w:r>
        <w:rPr>
          <w:rFonts w:ascii="Arial" w:hAnsi="Arial" w:cs="Arial" w:eastAsiaTheme="minorEastAsia"/>
          <w:b/>
          <w:bCs/>
          <w:sz w:val="18"/>
          <w:szCs w:val="18"/>
        </w:rPr>
        <w:t>2.A06</w:t>
      </w:r>
      <w:r>
        <w:rPr>
          <w:rFonts w:hint="eastAsia" w:asciiTheme="minorEastAsia" w:hAnsiTheme="minorEastAsia" w:eastAsiaTheme="minorEastAsia" w:cstheme="minorEastAsia"/>
          <w:b/>
          <w:bCs/>
          <w:sz w:val="18"/>
          <w:szCs w:val="18"/>
        </w:rPr>
        <w:t>地块施工现状</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17" name="图片 17" descr="9地块"/>
            <wp:cNvGraphicFramePr/>
            <a:graphic xmlns:a="http://schemas.openxmlformats.org/drawingml/2006/main">
              <a:graphicData uri="http://schemas.openxmlformats.org/drawingml/2006/picture">
                <pic:pic xmlns:pic="http://schemas.openxmlformats.org/drawingml/2006/picture">
                  <pic:nvPicPr>
                    <pic:cNvPr id="17" name="图片 17" descr="9地块"/>
                    <pic:cNvPicPr/>
                  </pic:nvPicPr>
                  <pic:blipFill>
                    <a:blip r:embed="rId10"/>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18" name="图片 18" descr="10地块"/>
            <wp:cNvGraphicFramePr/>
            <a:graphic xmlns:a="http://schemas.openxmlformats.org/drawingml/2006/main">
              <a:graphicData uri="http://schemas.openxmlformats.org/drawingml/2006/picture">
                <pic:pic xmlns:pic="http://schemas.openxmlformats.org/drawingml/2006/picture">
                  <pic:nvPicPr>
                    <pic:cNvPr id="18" name="图片 18" descr="10地块"/>
                    <pic:cNvPicPr/>
                  </pic:nvPicPr>
                  <pic:blipFill>
                    <a:blip r:embed="rId11"/>
                    <a:stretch>
                      <a:fillRect/>
                    </a:stretch>
                  </pic:blipFill>
                  <pic:spPr>
                    <a:xfrm>
                      <a:off x="0" y="0"/>
                      <a:ext cx="2721610" cy="1792605"/>
                    </a:xfrm>
                    <a:prstGeom prst="rect">
                      <a:avLst/>
                    </a:prstGeom>
                  </pic:spPr>
                </pic:pic>
              </a:graphicData>
            </a:graphic>
          </wp:inline>
        </w:drawing>
      </w:r>
    </w:p>
    <w:p>
      <w:pPr>
        <w:ind w:firstLine="1265" w:firstLineChars="700"/>
        <w:jc w:val="left"/>
        <w:textAlignment w:val="center"/>
        <w:rPr>
          <w:rFonts w:ascii="Arial" w:hAnsi="Arial" w:cs="Arial"/>
          <w:b/>
          <w:bCs/>
          <w:sz w:val="18"/>
          <w:szCs w:val="18"/>
        </w:rPr>
      </w:pPr>
      <w:r>
        <w:rPr>
          <w:rFonts w:hint="eastAsia" w:ascii="Arial" w:hAnsi="Arial" w:cs="Arial"/>
          <w:b/>
          <w:bCs/>
          <w:sz w:val="18"/>
          <w:szCs w:val="18"/>
        </w:rPr>
        <w:t>3.A09地块施工现状                                       4.A10地块施工现状</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19" name="图片 19" descr="2号桥"/>
            <wp:cNvGraphicFramePr/>
            <a:graphic xmlns:a="http://schemas.openxmlformats.org/drawingml/2006/main">
              <a:graphicData uri="http://schemas.openxmlformats.org/drawingml/2006/picture">
                <pic:pic xmlns:pic="http://schemas.openxmlformats.org/drawingml/2006/picture">
                  <pic:nvPicPr>
                    <pic:cNvPr id="19" name="图片 19" descr="2号桥"/>
                    <pic:cNvPicPr/>
                  </pic:nvPicPr>
                  <pic:blipFill>
                    <a:blip r:embed="rId12"/>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6" name="图片 26" descr="人工湖"/>
            <wp:cNvGraphicFramePr/>
            <a:graphic xmlns:a="http://schemas.openxmlformats.org/drawingml/2006/main">
              <a:graphicData uri="http://schemas.openxmlformats.org/drawingml/2006/picture">
                <pic:pic xmlns:pic="http://schemas.openxmlformats.org/drawingml/2006/picture">
                  <pic:nvPicPr>
                    <pic:cNvPr id="26" name="图片 26" descr="人工湖"/>
                    <pic:cNvPicPr/>
                  </pic:nvPicPr>
                  <pic:blipFill>
                    <a:blip r:embed="rId13"/>
                    <a:stretch>
                      <a:fillRect/>
                    </a:stretch>
                  </pic:blipFill>
                  <pic:spPr>
                    <a:xfrm>
                      <a:off x="0" y="0"/>
                      <a:ext cx="2721610" cy="1792605"/>
                    </a:xfrm>
                    <a:prstGeom prst="rect">
                      <a:avLst/>
                    </a:prstGeom>
                  </pic:spPr>
                </pic:pic>
              </a:graphicData>
            </a:graphic>
          </wp:inline>
        </w:drawing>
      </w:r>
    </w:p>
    <w:p>
      <w:pPr>
        <w:jc w:val="left"/>
        <w:rPr>
          <w:rFonts w:asciiTheme="majorEastAsia" w:hAnsiTheme="majorEastAsia" w:eastAsiaTheme="majorEastAsia" w:cstheme="majorEastAsia"/>
          <w:sz w:val="24"/>
        </w:rPr>
      </w:pPr>
      <w:r>
        <w:rPr>
          <w:rFonts w:hint="eastAsia" w:ascii="Arial" w:hAnsi="Arial" w:cs="Arial"/>
          <w:b/>
          <w:bCs/>
          <w:sz w:val="18"/>
          <w:szCs w:val="18"/>
        </w:rPr>
        <w:t xml:space="preserve">                 5.2号桥施工现状                                      6.人工湖施工现状</w:t>
      </w:r>
      <w:r>
        <w:rPr>
          <w:rFonts w:hint="eastAsia" w:ascii="宋体" w:hAnsi="宋体" w:cs="宋体"/>
          <w:b/>
          <w:bCs/>
          <w:sz w:val="18"/>
          <w:szCs w:val="18"/>
        </w:rPr>
        <w:t xml:space="preserve">  </w:t>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7" name="图片 27" descr="展示区"/>
            <wp:cNvGraphicFramePr/>
            <a:graphic xmlns:a="http://schemas.openxmlformats.org/drawingml/2006/main">
              <a:graphicData uri="http://schemas.openxmlformats.org/drawingml/2006/picture">
                <pic:pic xmlns:pic="http://schemas.openxmlformats.org/drawingml/2006/picture">
                  <pic:nvPicPr>
                    <pic:cNvPr id="27" name="图片 27" descr="展示区"/>
                    <pic:cNvPicPr/>
                  </pic:nvPicPr>
                  <pic:blipFill>
                    <a:blip r:embed="rId14"/>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0" name="图片 20" descr="河沟"/>
            <wp:cNvGraphicFramePr/>
            <a:graphic xmlns:a="http://schemas.openxmlformats.org/drawingml/2006/main">
              <a:graphicData uri="http://schemas.openxmlformats.org/drawingml/2006/picture">
                <pic:pic xmlns:pic="http://schemas.openxmlformats.org/drawingml/2006/picture">
                  <pic:nvPicPr>
                    <pic:cNvPr id="20" name="图片 20" descr="河沟"/>
                    <pic:cNvPicPr/>
                  </pic:nvPicPr>
                  <pic:blipFill>
                    <a:blip r:embed="rId15"/>
                    <a:stretch>
                      <a:fillRect/>
                    </a:stretch>
                  </pic:blipFill>
                  <pic:spPr>
                    <a:xfrm>
                      <a:off x="0" y="0"/>
                      <a:ext cx="2721610" cy="1792605"/>
                    </a:xfrm>
                    <a:prstGeom prst="rect">
                      <a:avLst/>
                    </a:prstGeom>
                  </pic:spPr>
                </pic:pic>
              </a:graphicData>
            </a:graphic>
          </wp:inline>
        </w:drawing>
      </w:r>
    </w:p>
    <w:p>
      <w:pPr>
        <w:jc w:val="center"/>
        <w:rPr>
          <w:rFonts w:asciiTheme="majorEastAsia" w:hAnsiTheme="majorEastAsia" w:eastAsiaTheme="majorEastAsia" w:cstheme="majorEastAsia"/>
          <w:sz w:val="24"/>
        </w:rPr>
      </w:pPr>
      <w:r>
        <w:rPr>
          <w:rFonts w:hint="eastAsia" w:ascii="Arial" w:hAnsi="Arial" w:cs="Arial"/>
          <w:b/>
          <w:bCs/>
          <w:sz w:val="18"/>
          <w:szCs w:val="18"/>
        </w:rPr>
        <w:t xml:space="preserve">7.展示区施工现状                            </w:t>
      </w:r>
      <w:r>
        <w:rPr>
          <w:rFonts w:hint="eastAsia" w:asciiTheme="majorEastAsia" w:hAnsiTheme="majorEastAsia" w:eastAsiaTheme="majorEastAsia" w:cstheme="majorEastAsia"/>
          <w:sz w:val="24"/>
        </w:rPr>
        <w:t xml:space="preserve">         </w:t>
      </w:r>
      <w:r>
        <w:rPr>
          <w:rFonts w:hint="eastAsia" w:ascii="Arial" w:hAnsi="Arial" w:cs="Arial"/>
          <w:b/>
          <w:bCs/>
          <w:sz w:val="18"/>
          <w:szCs w:val="18"/>
        </w:rPr>
        <w:t>8.河道施工现状</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1" name="图片 21" descr="两大园-康益园、颐养园"/>
            <wp:cNvGraphicFramePr/>
            <a:graphic xmlns:a="http://schemas.openxmlformats.org/drawingml/2006/main">
              <a:graphicData uri="http://schemas.openxmlformats.org/drawingml/2006/picture">
                <pic:pic xmlns:pic="http://schemas.openxmlformats.org/drawingml/2006/picture">
                  <pic:nvPicPr>
                    <pic:cNvPr id="21" name="图片 21" descr="两大园-康益园、颐养园"/>
                    <pic:cNvPicPr/>
                  </pic:nvPicPr>
                  <pic:blipFill>
                    <a:blip r:embed="rId16"/>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2" name="图片 22" descr="样板房"/>
            <wp:cNvGraphicFramePr/>
            <a:graphic xmlns:a="http://schemas.openxmlformats.org/drawingml/2006/main">
              <a:graphicData uri="http://schemas.openxmlformats.org/drawingml/2006/picture">
                <pic:pic xmlns:pic="http://schemas.openxmlformats.org/drawingml/2006/picture">
                  <pic:nvPicPr>
                    <pic:cNvPr id="22" name="图片 22" descr="样板房"/>
                    <pic:cNvPicPr/>
                  </pic:nvPicPr>
                  <pic:blipFill>
                    <a:blip r:embed="rId17"/>
                    <a:stretch>
                      <a:fillRect/>
                    </a:stretch>
                  </pic:blipFill>
                  <pic:spPr>
                    <a:xfrm>
                      <a:off x="0" y="0"/>
                      <a:ext cx="2721610" cy="1792605"/>
                    </a:xfrm>
                    <a:prstGeom prst="rect">
                      <a:avLst/>
                    </a:prstGeom>
                  </pic:spPr>
                </pic:pic>
              </a:graphicData>
            </a:graphic>
          </wp:inline>
        </w:drawing>
      </w:r>
    </w:p>
    <w:p>
      <w:pPr>
        <w:ind w:firstLine="1446" w:firstLineChars="800"/>
        <w:jc w:val="left"/>
        <w:rPr>
          <w:rFonts w:ascii="Arial" w:hAnsi="Arial" w:cs="Arial"/>
          <w:b/>
          <w:bCs/>
          <w:sz w:val="18"/>
          <w:szCs w:val="18"/>
        </w:rPr>
      </w:pPr>
      <w:r>
        <w:rPr>
          <w:rFonts w:hint="eastAsia" w:ascii="宋体" w:hAnsi="宋体" w:cs="宋体"/>
          <w:b/>
          <w:bCs/>
          <w:sz w:val="18"/>
          <w:szCs w:val="18"/>
        </w:rPr>
        <w:t xml:space="preserve"> </w:t>
      </w:r>
      <w:r>
        <w:rPr>
          <w:rFonts w:hint="eastAsia" w:ascii="Arial" w:hAnsi="Arial" w:cs="Arial"/>
          <w:b/>
          <w:bCs/>
          <w:sz w:val="18"/>
          <w:szCs w:val="18"/>
        </w:rPr>
        <w:t>9.两大园施工现状                                  10.样板房施工现状</w:t>
      </w:r>
    </w:p>
    <w:p>
      <w:pPr>
        <w:jc w:val="left"/>
        <w:rPr>
          <w:rFonts w:ascii="Arial" w:hAnsi="Arial" w:cs="Arial" w:eastAsiaTheme="majorEastAsia"/>
          <w:b/>
          <w:bCs/>
          <w:sz w:val="18"/>
          <w:szCs w:val="18"/>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23" name="图片 23" descr="商业街"/>
            <wp:cNvGraphicFramePr/>
            <a:graphic xmlns:a="http://schemas.openxmlformats.org/drawingml/2006/main">
              <a:graphicData uri="http://schemas.openxmlformats.org/drawingml/2006/picture">
                <pic:pic xmlns:pic="http://schemas.openxmlformats.org/drawingml/2006/picture">
                  <pic:nvPicPr>
                    <pic:cNvPr id="23" name="图片 23" descr="商业街"/>
                    <pic:cNvPicPr/>
                  </pic:nvPicPr>
                  <pic:blipFill>
                    <a:blip r:embed="rId18"/>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Arial" w:hAnsi="Arial" w:cs="Arial" w:eastAsiaTheme="majorEastAsia"/>
          <w:b/>
          <w:bCs/>
          <w:sz w:val="18"/>
          <w:szCs w:val="18"/>
        </w:rPr>
        <w:drawing>
          <wp:inline distT="0" distB="0" distL="114300" distR="114300">
            <wp:extent cx="2721610" cy="1792605"/>
            <wp:effectExtent l="0" t="0" r="6350" b="5715"/>
            <wp:docPr id="28" name="图片 28" descr="中冶修建的桥"/>
            <wp:cNvGraphicFramePr/>
            <a:graphic xmlns:a="http://schemas.openxmlformats.org/drawingml/2006/main">
              <a:graphicData uri="http://schemas.openxmlformats.org/drawingml/2006/picture">
                <pic:pic xmlns:pic="http://schemas.openxmlformats.org/drawingml/2006/picture">
                  <pic:nvPicPr>
                    <pic:cNvPr id="28" name="图片 28" descr="中冶修建的桥"/>
                    <pic:cNvPicPr/>
                  </pic:nvPicPr>
                  <pic:blipFill>
                    <a:blip r:embed="rId19"/>
                    <a:stretch>
                      <a:fillRect/>
                    </a:stretch>
                  </pic:blipFill>
                  <pic:spPr>
                    <a:xfrm>
                      <a:off x="0" y="0"/>
                      <a:ext cx="2721610" cy="1792605"/>
                    </a:xfrm>
                    <a:prstGeom prst="rect">
                      <a:avLst/>
                    </a:prstGeom>
                  </pic:spPr>
                </pic:pic>
              </a:graphicData>
            </a:graphic>
          </wp:inline>
        </w:drawing>
      </w:r>
    </w:p>
    <w:p>
      <w:pPr>
        <w:ind w:firstLine="1446" w:firstLineChars="800"/>
        <w:jc w:val="left"/>
        <w:rPr>
          <w:rFonts w:ascii="Arial" w:hAnsi="Arial" w:cs="Arial"/>
          <w:b/>
          <w:bCs/>
          <w:sz w:val="18"/>
          <w:szCs w:val="18"/>
        </w:rPr>
      </w:pPr>
      <w:r>
        <w:rPr>
          <w:rFonts w:hint="eastAsia" w:ascii="Arial" w:hAnsi="Arial" w:cs="Arial"/>
          <w:b/>
          <w:bCs/>
          <w:sz w:val="18"/>
          <w:szCs w:val="18"/>
        </w:rPr>
        <w:t>11.商业街施工现状                                   12.中治修建的桥施工现状</w:t>
      </w:r>
      <w:r>
        <w:rPr>
          <w:rFonts w:hint="eastAsia" w:ascii="宋体" w:hAnsi="宋体" w:cs="宋体"/>
          <w:b/>
          <w:bCs/>
          <w:sz w:val="18"/>
          <w:szCs w:val="18"/>
        </w:rPr>
        <w:t xml:space="preserve"> </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24" name="图片 24" descr="销售中心"/>
            <wp:cNvGraphicFramePr/>
            <a:graphic xmlns:a="http://schemas.openxmlformats.org/drawingml/2006/main">
              <a:graphicData uri="http://schemas.openxmlformats.org/drawingml/2006/picture">
                <pic:pic xmlns:pic="http://schemas.openxmlformats.org/drawingml/2006/picture">
                  <pic:nvPicPr>
                    <pic:cNvPr id="24" name="图片 24" descr="销售中心"/>
                    <pic:cNvPicPr/>
                  </pic:nvPicPr>
                  <pic:blipFill>
                    <a:blip r:embed="rId20"/>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30" name="图片 30" descr="项目全貌"/>
            <wp:cNvGraphicFramePr/>
            <a:graphic xmlns:a="http://schemas.openxmlformats.org/drawingml/2006/main">
              <a:graphicData uri="http://schemas.openxmlformats.org/drawingml/2006/picture">
                <pic:pic xmlns:pic="http://schemas.openxmlformats.org/drawingml/2006/picture">
                  <pic:nvPicPr>
                    <pic:cNvPr id="30" name="图片 30" descr="项目全貌"/>
                    <pic:cNvPicPr/>
                  </pic:nvPicPr>
                  <pic:blipFill>
                    <a:blip r:embed="rId21"/>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p>
    <w:p>
      <w:pPr>
        <w:ind w:firstLine="1446" w:firstLineChars="800"/>
        <w:jc w:val="left"/>
        <w:rPr>
          <w:rFonts w:asciiTheme="majorEastAsia" w:hAnsiTheme="majorEastAsia" w:eastAsiaTheme="majorEastAsia" w:cstheme="majorEastAsia"/>
          <w:sz w:val="24"/>
        </w:rPr>
      </w:pPr>
      <w:r>
        <w:rPr>
          <w:rFonts w:hint="eastAsia" w:ascii="Arial" w:hAnsi="Arial" w:cs="Arial"/>
          <w:b/>
          <w:bCs/>
          <w:sz w:val="18"/>
          <w:szCs w:val="18"/>
        </w:rPr>
        <w:t xml:space="preserve">13.售楼部施工现状 </w:t>
      </w:r>
      <w:r>
        <w:rPr>
          <w:rFonts w:hint="eastAsia" w:ascii="宋体" w:hAnsi="宋体" w:cs="宋体"/>
          <w:b/>
          <w:bCs/>
          <w:sz w:val="18"/>
          <w:szCs w:val="18"/>
        </w:rPr>
        <w:t xml:space="preserve">                                    </w:t>
      </w:r>
      <w:r>
        <w:rPr>
          <w:rFonts w:hint="eastAsia" w:ascii="Arial" w:hAnsi="Arial" w:cs="Arial"/>
          <w:b/>
          <w:bCs/>
          <w:sz w:val="18"/>
          <w:szCs w:val="18"/>
        </w:rPr>
        <w:t>14.全景施工现状</w:t>
      </w:r>
    </w:p>
    <w:p>
      <w:pPr>
        <w:ind w:firstLine="1920" w:firstLineChars="800"/>
        <w:jc w:val="left"/>
        <w:rPr>
          <w:rFonts w:ascii="宋体" w:hAnsi="宋体" w:cs="宋体"/>
          <w:b/>
          <w:bCs/>
          <w:sz w:val="18"/>
          <w:szCs w:val="18"/>
        </w:rPr>
      </w:pPr>
      <w:r>
        <w:rPr>
          <w:rFonts w:hint="eastAsia" w:asciiTheme="majorEastAsia" w:hAnsiTheme="majorEastAsia" w:eastAsiaTheme="majorEastAsia" w:cstheme="majorEastAsia"/>
          <w:sz w:val="24"/>
        </w:rPr>
        <w:t xml:space="preserve">     </w:t>
      </w:r>
      <w:r>
        <w:rPr>
          <w:rFonts w:hint="eastAsia" w:ascii="宋体" w:hAnsi="宋体" w:cs="宋体"/>
          <w:b/>
          <w:bCs/>
          <w:sz w:val="18"/>
          <w:szCs w:val="18"/>
        </w:rPr>
        <w:t xml:space="preserve">                             </w:t>
      </w:r>
    </w:p>
    <w:p>
      <w:pPr>
        <w:rPr>
          <w:rFonts w:cs="Arial" w:eastAsiaTheme="majorEastAsia"/>
          <w:szCs w:val="21"/>
        </w:rPr>
      </w:pPr>
      <w:bookmarkStart w:id="56" w:name="_Toc11115"/>
      <w:bookmarkStart w:id="57" w:name="_Toc18626"/>
      <w:bookmarkStart w:id="58" w:name="_Toc19867"/>
      <w:bookmarkStart w:id="59" w:name="_Toc23888"/>
      <w:r>
        <w:rPr>
          <w:rFonts w:hint="eastAsia" w:cs="Arial" w:eastAsiaTheme="majorEastAsia"/>
          <w:szCs w:val="21"/>
        </w:rPr>
        <w:t>备注：以上施工现状图均为</w:t>
      </w:r>
      <w:r>
        <w:rPr>
          <w:rFonts w:ascii="Arial" w:hAnsi="Arial" w:cs="Arial" w:eastAsiaTheme="majorEastAsia"/>
          <w:szCs w:val="21"/>
        </w:rPr>
        <w:t>2020</w:t>
      </w:r>
      <w:r>
        <w:rPr>
          <w:rFonts w:hint="eastAsia" w:cs="Arial" w:eastAsiaTheme="majorEastAsia"/>
          <w:szCs w:val="21"/>
        </w:rPr>
        <w:t>年</w:t>
      </w:r>
      <w:r>
        <w:rPr>
          <w:rFonts w:ascii="Arial" w:hAnsi="Arial" w:cs="Arial" w:eastAsiaTheme="majorEastAsia"/>
          <w:szCs w:val="21"/>
        </w:rPr>
        <w:t>9</w:t>
      </w:r>
      <w:r>
        <w:rPr>
          <w:rFonts w:hint="eastAsia" w:cs="Arial" w:eastAsiaTheme="majorEastAsia"/>
          <w:szCs w:val="21"/>
        </w:rPr>
        <w:t>月</w:t>
      </w:r>
      <w:r>
        <w:rPr>
          <w:rFonts w:ascii="Arial" w:hAnsi="Arial" w:cs="Arial" w:eastAsiaTheme="majorEastAsia"/>
          <w:szCs w:val="21"/>
        </w:rPr>
        <w:t>3</w:t>
      </w:r>
      <w:r>
        <w:rPr>
          <w:rFonts w:hint="eastAsia" w:ascii="Arial" w:hAnsi="Arial" w:cs="Arial" w:eastAsiaTheme="majorEastAsia"/>
          <w:szCs w:val="21"/>
        </w:rPr>
        <w:t>0</w:t>
      </w:r>
      <w:r>
        <w:rPr>
          <w:rFonts w:hint="eastAsia" w:cs="Arial" w:eastAsiaTheme="majorEastAsia"/>
          <w:szCs w:val="21"/>
        </w:rPr>
        <w:t>日拍摄。</w:t>
      </w:r>
      <w:bookmarkEnd w:id="56"/>
      <w:bookmarkEnd w:id="57"/>
      <w:bookmarkEnd w:id="58"/>
      <w:bookmarkEnd w:id="59"/>
    </w:p>
    <w:p>
      <w:pPr>
        <w:pStyle w:val="3"/>
        <w:spacing w:before="300" w:after="300" w:line="360" w:lineRule="exact"/>
        <w:rPr>
          <w:rFonts w:asciiTheme="majorEastAsia" w:hAnsiTheme="majorEastAsia" w:eastAsiaTheme="majorEastAsia" w:cstheme="majorEastAsia"/>
          <w:sz w:val="24"/>
          <w:szCs w:val="24"/>
        </w:rPr>
      </w:pPr>
      <w:bookmarkStart w:id="60" w:name="_Toc29572"/>
      <w:bookmarkStart w:id="61" w:name="_Toc30654"/>
      <w:bookmarkStart w:id="62" w:name="_Toc1086"/>
      <w:bookmarkStart w:id="63" w:name="_Toc8177"/>
      <w:bookmarkStart w:id="64" w:name="_Toc14110"/>
      <w:bookmarkStart w:id="65" w:name="_Toc28458"/>
      <w:r>
        <w:rPr>
          <w:rFonts w:cs="Arial" w:eastAsiaTheme="majorEastAsia"/>
          <w:sz w:val="24"/>
          <w:szCs w:val="24"/>
        </w:rPr>
        <w:t>3.4、</w:t>
      </w:r>
      <w:r>
        <w:rPr>
          <w:rFonts w:hint="eastAsia" w:cs="Arial" w:eastAsiaTheme="majorEastAsia"/>
          <w:sz w:val="24"/>
          <w:szCs w:val="24"/>
        </w:rPr>
        <w:t>10</w:t>
      </w:r>
      <w:r>
        <w:rPr>
          <w:rFonts w:hint="eastAsia" w:asciiTheme="majorEastAsia" w:hAnsiTheme="majorEastAsia" w:eastAsiaTheme="majorEastAsia" w:cstheme="majorEastAsia"/>
          <w:sz w:val="24"/>
          <w:szCs w:val="24"/>
        </w:rPr>
        <w:t>月工程施工进度计划</w:t>
      </w:r>
      <w:bookmarkEnd w:id="60"/>
      <w:bookmarkEnd w:id="61"/>
      <w:bookmarkEnd w:id="62"/>
      <w:bookmarkEnd w:id="63"/>
      <w:bookmarkEnd w:id="64"/>
      <w:bookmarkEnd w:id="65"/>
    </w:p>
    <w:tbl>
      <w:tblPr>
        <w:tblStyle w:val="12"/>
        <w:tblW w:w="8880" w:type="dxa"/>
        <w:tblInd w:w="224" w:type="dxa"/>
        <w:tblLayout w:type="autofit"/>
        <w:tblCellMar>
          <w:top w:w="0" w:type="dxa"/>
          <w:left w:w="0" w:type="dxa"/>
          <w:bottom w:w="0" w:type="dxa"/>
          <w:right w:w="0" w:type="dxa"/>
        </w:tblCellMar>
      </w:tblPr>
      <w:tblGrid>
        <w:gridCol w:w="931"/>
        <w:gridCol w:w="5639"/>
        <w:gridCol w:w="2310"/>
      </w:tblGrid>
      <w:tr>
        <w:tblPrEx>
          <w:tblCellMar>
            <w:top w:w="0" w:type="dxa"/>
            <w:left w:w="0" w:type="dxa"/>
            <w:bottom w:w="0" w:type="dxa"/>
            <w:right w:w="0" w:type="dxa"/>
          </w:tblCellMar>
        </w:tblPrEx>
        <w:trPr>
          <w:trHeight w:val="302"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b/>
                <w:color w:val="000000"/>
                <w:sz w:val="18"/>
                <w:szCs w:val="18"/>
              </w:rPr>
            </w:pPr>
            <w:r>
              <w:rPr>
                <w:rFonts w:hint="eastAsia" w:ascii="宋体" w:hAnsi="宋体" w:cs="宋体"/>
                <w:b/>
                <w:color w:val="000000"/>
                <w:sz w:val="18"/>
                <w:szCs w:val="18"/>
              </w:rPr>
              <w:t>序号</w:t>
            </w:r>
          </w:p>
        </w:tc>
        <w:tc>
          <w:tcPr>
            <w:tcW w:w="56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b/>
                <w:color w:val="000000"/>
                <w:sz w:val="18"/>
                <w:szCs w:val="18"/>
              </w:rPr>
            </w:pPr>
            <w:r>
              <w:rPr>
                <w:rFonts w:hint="eastAsia" w:ascii="宋体" w:hAnsi="宋体" w:cs="宋体"/>
                <w:b/>
                <w:color w:val="000000"/>
                <w:sz w:val="18"/>
                <w:szCs w:val="18"/>
              </w:rPr>
              <w:t>工作计划</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b/>
                <w:color w:val="000000"/>
                <w:sz w:val="18"/>
                <w:szCs w:val="18"/>
              </w:rPr>
            </w:pPr>
            <w:r>
              <w:rPr>
                <w:rFonts w:hint="eastAsia" w:ascii="宋体" w:hAnsi="宋体" w:cs="宋体"/>
                <w:b/>
                <w:color w:val="000000"/>
                <w:sz w:val="18"/>
                <w:szCs w:val="18"/>
              </w:rPr>
              <w:t>时间目标</w:t>
            </w:r>
          </w:p>
        </w:tc>
      </w:tr>
      <w:tr>
        <w:tblPrEx>
          <w:tblCellMar>
            <w:top w:w="0" w:type="dxa"/>
            <w:left w:w="0" w:type="dxa"/>
            <w:bottom w:w="0" w:type="dxa"/>
            <w:right w:w="0" w:type="dxa"/>
          </w:tblCellMar>
        </w:tblPrEx>
        <w:trPr>
          <w:trHeight w:val="28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01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长乐园外装完成70%</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5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02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康益园、颐养园（健身中心、羽毛球馆除外)14个单体内外装完成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0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03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康益园、颐养园园林园建完成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5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04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展示区挡墙美化打造完成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6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05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商业街展示区域园林园建完成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7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06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M3道路基层施工完成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7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07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河道南岸景观完成50%</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0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08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儿童活动区大树种植完成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32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09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实体样板房3、5号楼之间负二层地下室顶板完成，</w:t>
            </w:r>
          </w:p>
          <w:p>
            <w:pPr>
              <w:jc w:val="center"/>
              <w:rPr>
                <w:rFonts w:ascii="Arial" w:hAnsi="Arial" w:cs="Arial"/>
                <w:color w:val="000000"/>
                <w:sz w:val="18"/>
                <w:szCs w:val="18"/>
              </w:rPr>
            </w:pPr>
            <w:r>
              <w:rPr>
                <w:rFonts w:hint="eastAsia" w:ascii="Arial" w:hAnsi="Arial" w:cs="Arial"/>
                <w:color w:val="000000"/>
                <w:sz w:val="18"/>
                <w:szCs w:val="18"/>
              </w:rPr>
              <w:t>4、6号楼之间地库完成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9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10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实体样板房A9地块3#（6F/-2F)：结构封顶，砌体完成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6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11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实体样板房A9地块5#（6F/-2F)：结构封顶，内外墙抹灰完成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8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12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实体样板房A9地块6#（4F/-2F)：结构封顶，内外墙抹灰完成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3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13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2号桥沥青面层摊铺完成，人行道预制板安装完成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3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14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A5地块:3#（6F/-2F)：负一层结构待浇筑</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2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15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A5地块:4#（6F/-2F)：负一层结构模板完成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96"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16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A5地块:5#（6F/-2F)：二层支模架搭设完成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90"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17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A5地块：6#（6F/-1F)：六层支模架搭设完成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90"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18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A5地块：7#（6F/-1F)：结构封顶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7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19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A6地块：1#（6F/-2F)：六层支模架搭设完成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2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20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A6地块：2#（6F/-1F)：三层支模架搭设完成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8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21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A6地块：3#（6F/-1F)：三层支模架搭设完成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9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22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A6地块：4#（6F/-1F)：结构封顶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3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23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A6地块：5#（6F/-1F)：结构封顶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6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24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A6地块：6#（6F/-1F)：结构封顶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90"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25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A6地块：7#（6F/-1F)：结构封顶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1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26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A6地块：8#（6F/-1F）：三层支模架搭设完成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1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27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A6地块：9#（6F/-2F）：六层支模架搭设完成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2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28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A9地块：2#（6F/-1F)：二层结构完成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0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29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A9地块：5#（6F/-2F)：结构封顶，内外墙抹灰完成</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9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30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A9地块：8#（6F/-1F)：结构封顶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79"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31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A9地块：9#（6F/-1F)：结构封顶</w:t>
            </w:r>
          </w:p>
        </w:tc>
        <w:tc>
          <w:tcPr>
            <w:tcW w:w="23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13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32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A10地块：6#（6F/-1F)：2、3单元地下室底板完成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2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33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A10地块：7#（6F/-1F)：3单元五层结构完成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r>
        <w:tblPrEx>
          <w:tblCellMar>
            <w:top w:w="0" w:type="dxa"/>
            <w:left w:w="0" w:type="dxa"/>
            <w:bottom w:w="0" w:type="dxa"/>
            <w:right w:w="0" w:type="dxa"/>
          </w:tblCellMar>
        </w:tblPrEx>
        <w:trPr>
          <w:trHeight w:val="234" w:hRule="atLeast"/>
        </w:trPr>
        <w:tc>
          <w:tcPr>
            <w:tcW w:w="9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 xml:space="preserve">34 </w:t>
            </w:r>
          </w:p>
        </w:tc>
        <w:tc>
          <w:tcPr>
            <w:tcW w:w="563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A10地块：8#（6F/-1F)：六层结构模板完成</w:t>
            </w:r>
          </w:p>
        </w:tc>
        <w:tc>
          <w:tcPr>
            <w:tcW w:w="231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10月31日</w:t>
            </w:r>
          </w:p>
        </w:tc>
      </w:tr>
    </w:tbl>
    <w:p>
      <w:pPr>
        <w:pStyle w:val="2"/>
        <w:keepNext w:val="0"/>
        <w:keepLines w:val="0"/>
        <w:spacing w:before="300" w:after="300" w:line="360" w:lineRule="exact"/>
        <w:jc w:val="left"/>
        <w:rPr>
          <w:rFonts w:asciiTheme="majorEastAsia" w:hAnsiTheme="majorEastAsia" w:eastAsiaTheme="majorEastAsia" w:cstheme="majorEastAsia"/>
          <w:color w:val="000000"/>
          <w:sz w:val="24"/>
        </w:rPr>
      </w:pPr>
      <w:bookmarkStart w:id="66" w:name="_Toc26798"/>
      <w:bookmarkStart w:id="67" w:name="_Toc15837"/>
      <w:bookmarkStart w:id="68" w:name="_Toc2931"/>
      <w:bookmarkStart w:id="69" w:name="_Toc31216"/>
      <w:bookmarkStart w:id="70" w:name="_Toc3374"/>
      <w:bookmarkStart w:id="71" w:name="_Toc18100"/>
      <w:bookmarkStart w:id="72" w:name="_Toc24785"/>
      <w:bookmarkStart w:id="73" w:name="_Toc37668496"/>
      <w:r>
        <w:rPr>
          <w:rFonts w:ascii="Arial" w:hAnsi="Arial" w:cs="Arial" w:eastAsiaTheme="majorEastAsia"/>
          <w:color w:val="000000"/>
          <w:sz w:val="24"/>
        </w:rPr>
        <w:t>4</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印鉴使用情况</w:t>
      </w:r>
      <w:bookmarkEnd w:id="66"/>
      <w:bookmarkEnd w:id="67"/>
      <w:bookmarkEnd w:id="68"/>
      <w:bookmarkEnd w:id="69"/>
      <w:bookmarkEnd w:id="70"/>
      <w:bookmarkEnd w:id="71"/>
      <w:bookmarkEnd w:id="72"/>
      <w:bookmarkEnd w:id="73"/>
    </w:p>
    <w:p>
      <w:pPr>
        <w:spacing w:line="480" w:lineRule="auto"/>
        <w:ind w:firstLine="420"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对于印章的使用，项目公司人员按照监管协议规定，履行印章使用流程，填写印章使用登记表，康信君安监管人员了解用印事由，根据相应权限审核用印并同时登记电子版和纸质台账，使用情况详见下表：</w:t>
      </w:r>
    </w:p>
    <w:p>
      <w:pPr>
        <w:spacing w:before="315" w:beforeLines="100"/>
        <w:ind w:firstLine="482" w:firstLineChars="200"/>
        <w:jc w:val="center"/>
        <w:rPr>
          <w:rFonts w:ascii="Arial" w:hAnsi="Arial" w:cs="Arial"/>
          <w:b/>
          <w:kern w:val="44"/>
          <w:szCs w:val="21"/>
        </w:rPr>
      </w:pPr>
      <w:r>
        <w:rPr>
          <w:rFonts w:hint="eastAsia" w:ascii="宋体" w:hAnsi="宋体" w:cs="宋体"/>
          <w:b/>
          <w:kern w:val="44"/>
          <w:sz w:val="24"/>
        </w:rPr>
        <w:t>项目公司</w:t>
      </w:r>
      <w:r>
        <w:rPr>
          <w:rFonts w:ascii="Arial" w:hAnsi="Arial" w:cs="Arial"/>
          <w:b/>
          <w:kern w:val="44"/>
          <w:sz w:val="24"/>
        </w:rPr>
        <w:t>2020</w:t>
      </w:r>
      <w:r>
        <w:rPr>
          <w:rFonts w:hint="eastAsia" w:ascii="宋体" w:hAnsi="宋体" w:cs="宋体"/>
          <w:b/>
          <w:kern w:val="44"/>
          <w:sz w:val="24"/>
        </w:rPr>
        <w:t>年9月印鉴使用情况</w:t>
      </w:r>
    </w:p>
    <w:tbl>
      <w:tblPr>
        <w:tblStyle w:val="12"/>
        <w:tblW w:w="8915" w:type="dxa"/>
        <w:jc w:val="center"/>
        <w:tblLayout w:type="fixed"/>
        <w:tblCellMar>
          <w:top w:w="0" w:type="dxa"/>
          <w:left w:w="0" w:type="dxa"/>
          <w:bottom w:w="0" w:type="dxa"/>
          <w:right w:w="0" w:type="dxa"/>
        </w:tblCellMar>
      </w:tblPr>
      <w:tblGrid>
        <w:gridCol w:w="1090"/>
        <w:gridCol w:w="791"/>
        <w:gridCol w:w="2475"/>
        <w:gridCol w:w="4559"/>
      </w:tblGrid>
      <w:tr>
        <w:tblPrEx>
          <w:tblCellMar>
            <w:top w:w="0" w:type="dxa"/>
            <w:left w:w="0" w:type="dxa"/>
            <w:bottom w:w="0" w:type="dxa"/>
            <w:right w:w="0" w:type="dxa"/>
          </w:tblCellMar>
        </w:tblPrEx>
        <w:trPr>
          <w:trHeight w:val="184" w:hRule="atLeast"/>
          <w:tblHeader/>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用印日期</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章名</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用印事由</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用印文件及份数</w:t>
            </w:r>
          </w:p>
        </w:tc>
      </w:tr>
      <w:tr>
        <w:tblPrEx>
          <w:tblCellMar>
            <w:top w:w="0" w:type="dxa"/>
            <w:left w:w="0" w:type="dxa"/>
            <w:bottom w:w="0" w:type="dxa"/>
            <w:right w:w="0" w:type="dxa"/>
          </w:tblCellMar>
        </w:tblPrEx>
        <w:trPr>
          <w:trHeight w:val="81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2020/9/01</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申请停止质监站检查</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方案报审</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企业质量行为评价停止申请表22、23#地块（4份）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企业质量行为评价停止申请表24、25#地块（4份）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基础砖胎模施工方案（4份）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基础施工方案（4份）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屋面瓦施工方案（4份）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工程测量方案（4份）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混凝土工程施工方案（4份）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施工扬尘控制方案及应急预案（4份）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地下车库防水施工方案（4份）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钢筋工程施工方案（4份）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安全文明施工专项施工方案（4份）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安全应急救援预案（4份）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落地式脚手架夹（4份）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临时用水方案（4份）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地块施组设计（4份）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砌体方案夹流程（4份）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检验批划分方案（4份）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卸料平台施工方案（4份）</w:t>
            </w:r>
          </w:p>
        </w:tc>
      </w:tr>
      <w:tr>
        <w:tblPrEx>
          <w:tblCellMar>
            <w:top w:w="0" w:type="dxa"/>
            <w:left w:w="0" w:type="dxa"/>
            <w:bottom w:w="0" w:type="dxa"/>
            <w:right w:w="0" w:type="dxa"/>
          </w:tblCellMar>
        </w:tblPrEx>
        <w:trPr>
          <w:trHeight w:val="39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2020/9/04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用于24、25地块人防背书</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授权委托书（1份）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经办人身份证（1份）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重庆市建设项目防控地下室易地建设审批意见通知书（108亩）（1份）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非税收一般缴款书（防空地下室易地建设费）（1份）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建设工程规划许可证（恒大国际温泉旅游健康城G1-2/03地块）（1份）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建设工程规划许可证（恒大国际温泉旅游健康城G1-4/03地块）（1份）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建筑工程施工许可证（恒大国际温泉旅游健康城G1-4/03、G1-2/03地块）（1份）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重庆市恒隆健康产业有限公司营业执照副本（1份）</w:t>
            </w:r>
          </w:p>
        </w:tc>
      </w:tr>
      <w:tr>
        <w:tblPrEx>
          <w:tblCellMar>
            <w:top w:w="0" w:type="dxa"/>
            <w:left w:w="0" w:type="dxa"/>
            <w:bottom w:w="0" w:type="dxa"/>
            <w:right w:w="0" w:type="dxa"/>
          </w:tblCellMar>
        </w:tblPrEx>
        <w:trPr>
          <w:trHeight w:val="20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2020/9/09</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Arial" w:hAnsi="Arial" w:eastAsia="宋体" w:cs="Arial"/>
                <w:color w:val="000000"/>
                <w:kern w:val="0"/>
                <w:sz w:val="20"/>
                <w:szCs w:val="20"/>
                <w:lang w:eastAsia="zh-CN" w:bidi="ar"/>
              </w:rPr>
            </w:pPr>
            <w:r>
              <w:rPr>
                <w:rFonts w:hint="eastAsia" w:ascii="Arial" w:hAnsi="Arial" w:cs="Arial"/>
                <w:color w:val="000000"/>
                <w:kern w:val="0"/>
                <w:sz w:val="20"/>
                <w:szCs w:val="20"/>
                <w:lang w:bidi="ar"/>
              </w:rPr>
              <w:t>用于加快推</w:t>
            </w:r>
            <w:r>
              <w:rPr>
                <w:rFonts w:hint="eastAsia" w:ascii="Arial" w:hAnsi="Arial" w:cs="Arial"/>
                <w:color w:val="000000"/>
                <w:kern w:val="0"/>
                <w:sz w:val="20"/>
                <w:szCs w:val="20"/>
                <w:lang w:eastAsia="zh-CN" w:bidi="ar"/>
              </w:rPr>
              <w:t>进</w:t>
            </w:r>
            <w:bookmarkStart w:id="178" w:name="_GoBack"/>
            <w:bookmarkEnd w:id="178"/>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H1、Z3道路建设</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关于尽快实施H1、Z3道路的函(2份）</w:t>
            </w:r>
          </w:p>
        </w:tc>
      </w:tr>
      <w:tr>
        <w:tblPrEx>
          <w:tblCellMar>
            <w:top w:w="0" w:type="dxa"/>
            <w:left w:w="0" w:type="dxa"/>
            <w:bottom w:w="0" w:type="dxa"/>
            <w:right w:w="0" w:type="dxa"/>
          </w:tblCellMar>
        </w:tblPrEx>
        <w:trPr>
          <w:trHeight w:val="35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2020/9/09</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用于《重庆恒大健康小镇运动中心（售楼中心）、康益园、颐养园 、长乐园中央空调及通风安装工程施工合同》补充协议（一）</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《重庆恒大健康小镇运动中心（售楼中心）、康益园、颐养园 、长乐园中央空调及通风安装工程施工合同》补充协议（一）（4份）</w:t>
            </w:r>
          </w:p>
        </w:tc>
      </w:tr>
      <w:tr>
        <w:tblPrEx>
          <w:tblCellMar>
            <w:top w:w="0" w:type="dxa"/>
            <w:left w:w="0" w:type="dxa"/>
            <w:bottom w:w="0" w:type="dxa"/>
            <w:right w:w="0" w:type="dxa"/>
          </w:tblCellMar>
        </w:tblPrEx>
        <w:trPr>
          <w:trHeight w:val="23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2020/9/09</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用于签订与云南中兴赶工奖支付框架协议</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赶工奖支付框架协议（4份）</w:t>
            </w:r>
          </w:p>
        </w:tc>
      </w:tr>
      <w:tr>
        <w:tblPrEx>
          <w:tblCellMar>
            <w:top w:w="0" w:type="dxa"/>
            <w:left w:w="0" w:type="dxa"/>
            <w:bottom w:w="0" w:type="dxa"/>
            <w:right w:w="0" w:type="dxa"/>
          </w:tblCellMar>
        </w:tblPrEx>
        <w:trPr>
          <w:trHeight w:val="3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2020/9/10</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用于108亩申请中止施工</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建设工程中止施工申请书（2份）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2020/9/10</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用于员工按揭贷款</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收入证明（黄胡平）（4份）</w:t>
            </w:r>
          </w:p>
        </w:tc>
      </w:tr>
      <w:tr>
        <w:tblPrEx>
          <w:tblCellMar>
            <w:top w:w="0" w:type="dxa"/>
            <w:left w:w="0" w:type="dxa"/>
            <w:bottom w:w="0" w:type="dxa"/>
            <w:right w:w="0" w:type="dxa"/>
          </w:tblCellMar>
        </w:tblPrEx>
        <w:trPr>
          <w:trHeight w:val="17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2020/9/10</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用于报建委</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企业现场行为评价停止申请表（4份）</w:t>
            </w:r>
          </w:p>
        </w:tc>
      </w:tr>
      <w:tr>
        <w:tblPrEx>
          <w:tblCellMar>
            <w:top w:w="0" w:type="dxa"/>
            <w:left w:w="0" w:type="dxa"/>
            <w:bottom w:w="0" w:type="dxa"/>
            <w:right w:w="0" w:type="dxa"/>
          </w:tblCellMar>
        </w:tblPrEx>
        <w:trPr>
          <w:trHeight w:val="36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2020/9/11</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用于签订于青岛海尔家居集成股份有限公司的赶工奖支付框架协议</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赶工奖支付框架协议（4份）</w:t>
            </w:r>
          </w:p>
        </w:tc>
      </w:tr>
      <w:tr>
        <w:tblPrEx>
          <w:tblCellMar>
            <w:top w:w="0" w:type="dxa"/>
            <w:left w:w="0" w:type="dxa"/>
            <w:bottom w:w="0" w:type="dxa"/>
            <w:right w:w="0" w:type="dxa"/>
          </w:tblCellMar>
        </w:tblPrEx>
        <w:trPr>
          <w:trHeight w:val="3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2020/9/11</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用于签订重庆北碚项目中诚信托融资法律咨询业务</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法律服务委托合同（8份）</w:t>
            </w:r>
          </w:p>
        </w:tc>
      </w:tr>
      <w:tr>
        <w:tblPrEx>
          <w:tblCellMar>
            <w:top w:w="0" w:type="dxa"/>
            <w:left w:w="0" w:type="dxa"/>
            <w:bottom w:w="0" w:type="dxa"/>
            <w:right w:w="0" w:type="dxa"/>
          </w:tblCellMar>
        </w:tblPrEx>
        <w:trPr>
          <w:trHeight w:val="41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用于申请恒大健康小镇项目土地款滞纳金减免</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关于恒大健康小镇项目土地款滞纳金减免的申请（2份）</w:t>
            </w:r>
          </w:p>
        </w:tc>
      </w:tr>
      <w:tr>
        <w:tblPrEx>
          <w:tblCellMar>
            <w:top w:w="0" w:type="dxa"/>
            <w:left w:w="0" w:type="dxa"/>
            <w:bottom w:w="0" w:type="dxa"/>
            <w:right w:w="0" w:type="dxa"/>
          </w:tblCellMar>
        </w:tblPrEx>
        <w:trPr>
          <w:trHeight w:val="26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2020/9/16</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用于办理施工图图审</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关于重庆恒大健康小镇项目施工图审查事宜的申请（3份）</w:t>
            </w:r>
          </w:p>
        </w:tc>
      </w:tr>
      <w:tr>
        <w:tblPrEx>
          <w:tblCellMar>
            <w:top w:w="0" w:type="dxa"/>
            <w:left w:w="0" w:type="dxa"/>
            <w:bottom w:w="0" w:type="dxa"/>
            <w:right w:w="0" w:type="dxa"/>
          </w:tblCellMar>
        </w:tblPrEx>
        <w:trPr>
          <w:trHeight w:val="39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2020/9/17</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用于中诚信托融资贷后资料</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重庆市恒隆健康产业有限公司2020年9月预算(1份)</w:t>
            </w:r>
          </w:p>
        </w:tc>
      </w:tr>
      <w:tr>
        <w:tblPrEx>
          <w:tblCellMar>
            <w:top w:w="0" w:type="dxa"/>
            <w:left w:w="0" w:type="dxa"/>
            <w:bottom w:w="0" w:type="dxa"/>
            <w:right w:w="0" w:type="dxa"/>
          </w:tblCellMar>
        </w:tblPrEx>
        <w:trPr>
          <w:trHeight w:val="60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2020/9/17</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用于重庆恒大养生谷（北碚项目）瓷砖采购合同</w:t>
            </w:r>
          </w:p>
        </w:tc>
        <w:tc>
          <w:tcPr>
            <w:tcW w:w="45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重庆恒大养生谷（北碚项目）瓷砖采购合同（4份）</w:t>
            </w:r>
          </w:p>
        </w:tc>
      </w:tr>
      <w:tr>
        <w:tblPrEx>
          <w:tblCellMar>
            <w:top w:w="0" w:type="dxa"/>
            <w:left w:w="0" w:type="dxa"/>
            <w:bottom w:w="0" w:type="dxa"/>
            <w:right w:w="0" w:type="dxa"/>
          </w:tblCellMar>
        </w:tblPrEx>
        <w:trPr>
          <w:trHeight w:val="41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用于重庆恒大养生谷（北碚项目）四大园铁艺栏杆购销合同</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重庆恒大养生谷（北碚项目）</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四大园铁艺栏杆购销合同(4份)</w:t>
            </w:r>
          </w:p>
        </w:tc>
      </w:tr>
      <w:tr>
        <w:tblPrEx>
          <w:tblCellMar>
            <w:top w:w="0" w:type="dxa"/>
            <w:left w:w="0" w:type="dxa"/>
            <w:bottom w:w="0" w:type="dxa"/>
            <w:right w:w="0" w:type="dxa"/>
          </w:tblCellMar>
        </w:tblPrEx>
        <w:trPr>
          <w:trHeight w:val="44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2020/9/17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用于法人变更登记</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杨丰波身份证（1份）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变更税务登记表（2份）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营业执照（1份）</w:t>
            </w:r>
          </w:p>
        </w:tc>
      </w:tr>
      <w:tr>
        <w:tblPrEx>
          <w:tblCellMar>
            <w:top w:w="0" w:type="dxa"/>
            <w:left w:w="0" w:type="dxa"/>
            <w:bottom w:w="0" w:type="dxa"/>
            <w:right w:w="0" w:type="dxa"/>
          </w:tblCellMar>
        </w:tblPrEx>
        <w:trPr>
          <w:trHeight w:val="141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2020/9/21</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用于办理恒隆公司开发资质证书法人变更事宜</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关于房地产开发资质证书变更法定代表人的申请（2份）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房地产开发企业信用信息审核表（2份）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变更后企业法定代表人履历表（2份）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恒隆公司董事会决议、股东决定（2份）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营业执照副本（恒隆公司）（2份）</w:t>
            </w:r>
          </w:p>
        </w:tc>
      </w:tr>
      <w:tr>
        <w:tblPrEx>
          <w:tblCellMar>
            <w:top w:w="0" w:type="dxa"/>
            <w:left w:w="0" w:type="dxa"/>
            <w:bottom w:w="0" w:type="dxa"/>
            <w:right w:w="0" w:type="dxa"/>
          </w:tblCellMar>
        </w:tblPrEx>
        <w:trPr>
          <w:trHeight w:val="1093"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2020/9/22</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用于开具重庆恒隆公积金合规证明</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重庆恒隆公积金合规证明介绍信（2份）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重庆恒隆公积金合规证明申请函（2份）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重庆恒隆社保合规证明申请单（2份）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重庆市恒隆健康产业有限公司营业执照副本复印件（2份）</w:t>
            </w:r>
          </w:p>
        </w:tc>
      </w:tr>
      <w:tr>
        <w:tblPrEx>
          <w:tblCellMar>
            <w:top w:w="0" w:type="dxa"/>
            <w:left w:w="0" w:type="dxa"/>
            <w:bottom w:w="0" w:type="dxa"/>
            <w:right w:w="0" w:type="dxa"/>
          </w:tblCellMar>
        </w:tblPrEx>
        <w:trPr>
          <w:trHeight w:val="38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2020/9/22</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用于中诚信托融资贷后资料</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重庆市恒隆健康产业有限公司2020年9月预算(1份)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用于员工报考</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收入证明（陈坤）（3份）</w:t>
            </w:r>
          </w:p>
        </w:tc>
      </w:tr>
      <w:tr>
        <w:tblPrEx>
          <w:tblCellMar>
            <w:top w:w="0" w:type="dxa"/>
            <w:left w:w="0" w:type="dxa"/>
            <w:bottom w:w="0" w:type="dxa"/>
            <w:right w:w="0" w:type="dxa"/>
          </w:tblCellMar>
        </w:tblPrEx>
        <w:trPr>
          <w:trHeight w:val="53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用于恒隆公司光纤办停</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恒隆营业执照副本（2份）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电信授权书-停用（2份）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经办人身份证复印件（2份）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用于渝D12914车辆购买保险需要资料</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机动车保险投保单-交强险（1份）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车险“投保人缴费实名认证”客户授权声明书（2份）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机动车保险投保单-综合险（1份）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投保人声明（1份）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重庆市恒隆健康产业有限公司营业执照（1份）</w:t>
            </w:r>
          </w:p>
        </w:tc>
      </w:tr>
      <w:tr>
        <w:tblPrEx>
          <w:tblCellMar>
            <w:top w:w="0" w:type="dxa"/>
            <w:left w:w="0" w:type="dxa"/>
            <w:bottom w:w="0" w:type="dxa"/>
            <w:right w:w="0" w:type="dxa"/>
          </w:tblCellMar>
        </w:tblPrEx>
        <w:trPr>
          <w:trHeight w:val="63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用于申请按9月1日以前国家和地方标准规定执行审图</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关于重庆恒大健康小镇项目施工图设计执行标准的请示（3份）</w:t>
            </w:r>
          </w:p>
        </w:tc>
      </w:tr>
      <w:tr>
        <w:tblPrEx>
          <w:tblCellMar>
            <w:top w:w="0" w:type="dxa"/>
            <w:left w:w="0" w:type="dxa"/>
            <w:bottom w:w="0" w:type="dxa"/>
            <w:right w:w="0" w:type="dxa"/>
          </w:tblCellMar>
        </w:tblPrEx>
        <w:trPr>
          <w:trHeight w:val="56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用于对施工单位发函</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关于北碚恒大健康小镇项目工程进度滞后的函件（2份）</w:t>
            </w:r>
          </w:p>
        </w:tc>
      </w:tr>
      <w:tr>
        <w:tblPrEx>
          <w:tblCellMar>
            <w:top w:w="0" w:type="dxa"/>
            <w:left w:w="0" w:type="dxa"/>
            <w:bottom w:w="0" w:type="dxa"/>
            <w:right w:w="0" w:type="dxa"/>
          </w:tblCellMar>
        </w:tblPrEx>
        <w:trPr>
          <w:trHeight w:val="30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2020/9/25</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法人章</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用于健康930审计</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282重庆恒隆询证函（1份）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283重庆恒隆询证函（1份）</w:t>
            </w:r>
          </w:p>
        </w:tc>
      </w:tr>
      <w:tr>
        <w:tblPrEx>
          <w:tblCellMar>
            <w:top w:w="0" w:type="dxa"/>
            <w:left w:w="0" w:type="dxa"/>
            <w:bottom w:w="0" w:type="dxa"/>
            <w:right w:w="0" w:type="dxa"/>
          </w:tblCellMar>
        </w:tblPrEx>
        <w:trPr>
          <w:trHeight w:val="9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用于健康930审计</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395-重庆恒隆询证函（</w:t>
            </w:r>
            <w:r>
              <w:rPr>
                <w:rFonts w:hint="eastAsia" w:ascii="Arial" w:hAnsi="Arial" w:cs="Arial"/>
                <w:color w:val="000000"/>
                <w:kern w:val="0"/>
                <w:sz w:val="20"/>
                <w:szCs w:val="20"/>
                <w:lang w:val="en-US" w:eastAsia="zh-CN" w:bidi="ar"/>
              </w:rPr>
              <w:t>2</w:t>
            </w:r>
            <w:r>
              <w:rPr>
                <w:rFonts w:hint="eastAsia" w:ascii="Arial" w:hAnsi="Arial" w:cs="Arial"/>
                <w:color w:val="000000"/>
                <w:kern w:val="0"/>
                <w:sz w:val="20"/>
                <w:szCs w:val="20"/>
                <w:lang w:bidi="ar"/>
              </w:rPr>
              <w:t>份）</w:t>
            </w:r>
          </w:p>
        </w:tc>
      </w:tr>
      <w:tr>
        <w:tblPrEx>
          <w:tblCellMar>
            <w:top w:w="0" w:type="dxa"/>
            <w:left w:w="0" w:type="dxa"/>
            <w:bottom w:w="0" w:type="dxa"/>
            <w:right w:w="0" w:type="dxa"/>
          </w:tblCellMar>
        </w:tblPrEx>
        <w:trPr>
          <w:trHeight w:val="9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2020/9/28</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用于北碚项目市政道路桥梁工程取得水利局洪评批复，已沟通设计部、工程部负责人，同意河沟方案按照水利局及专家意见调整</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关于恒大健康小镇王家沟河段综合治理工程调整施工方案的情况说明(1份)</w:t>
            </w:r>
          </w:p>
        </w:tc>
      </w:tr>
      <w:tr>
        <w:tblPrEx>
          <w:tblCellMar>
            <w:top w:w="0" w:type="dxa"/>
            <w:left w:w="0" w:type="dxa"/>
            <w:bottom w:w="0" w:type="dxa"/>
            <w:right w:w="0" w:type="dxa"/>
          </w:tblCellMar>
        </w:tblPrEx>
        <w:trPr>
          <w:trHeight w:val="9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2020/9/28</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用于重庆恒大养生谷（北碚项目）颐养园瑜伽馆高温瑜伽设备工程施工合同</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重庆恒大养生谷（北碚项目）颐养园瑜伽馆高温瑜伽设备工程施工合同（4份）</w:t>
            </w:r>
          </w:p>
        </w:tc>
      </w:tr>
      <w:tr>
        <w:tblPrEx>
          <w:tblCellMar>
            <w:top w:w="0" w:type="dxa"/>
            <w:left w:w="0" w:type="dxa"/>
            <w:bottom w:w="0" w:type="dxa"/>
            <w:right w:w="0" w:type="dxa"/>
          </w:tblCellMar>
        </w:tblPrEx>
        <w:trPr>
          <w:trHeight w:val="9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2020/9/29</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用于调档及开具信用报告</w:t>
            </w:r>
          </w:p>
        </w:tc>
        <w:tc>
          <w:tcPr>
            <w:tcW w:w="4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介绍信（2份）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薛妍妍身份证（2份）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营业执照复印件（2份）</w:t>
            </w:r>
          </w:p>
        </w:tc>
      </w:tr>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74" w:name="_Toc13437"/>
      <w:bookmarkStart w:id="75" w:name="_Toc37668497"/>
      <w:bookmarkStart w:id="76" w:name="_Toc18848"/>
      <w:bookmarkStart w:id="77" w:name="_Toc535508640"/>
      <w:bookmarkStart w:id="78" w:name="_Toc535580027"/>
      <w:bookmarkStart w:id="79" w:name="_Toc535570754"/>
      <w:bookmarkStart w:id="80" w:name="_Toc23366"/>
      <w:bookmarkStart w:id="81" w:name="_Toc29805"/>
      <w:bookmarkStart w:id="82" w:name="_Toc535580095"/>
      <w:bookmarkStart w:id="83" w:name="_Toc532281661"/>
      <w:bookmarkStart w:id="84" w:name="_Toc607"/>
      <w:bookmarkStart w:id="85" w:name="_Toc22811"/>
      <w:bookmarkStart w:id="86" w:name="_Toc20679"/>
      <w:r>
        <w:rPr>
          <w:rFonts w:ascii="Arial" w:hAnsi="Arial" w:cs="Arial" w:eastAsiaTheme="majorEastAsia"/>
          <w:color w:val="000000"/>
          <w:sz w:val="24"/>
        </w:rPr>
        <w:t>5</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合同签订情况</w:t>
      </w:r>
      <w:bookmarkEnd w:id="74"/>
      <w:bookmarkEnd w:id="75"/>
      <w:bookmarkEnd w:id="76"/>
      <w:bookmarkEnd w:id="77"/>
      <w:bookmarkEnd w:id="78"/>
      <w:bookmarkEnd w:id="79"/>
      <w:bookmarkEnd w:id="80"/>
      <w:bookmarkEnd w:id="81"/>
      <w:bookmarkEnd w:id="82"/>
      <w:bookmarkEnd w:id="83"/>
      <w:bookmarkEnd w:id="84"/>
      <w:bookmarkEnd w:id="85"/>
      <w:bookmarkEnd w:id="86"/>
    </w:p>
    <w:p>
      <w:pPr>
        <w:spacing w:line="480" w:lineRule="auto"/>
        <w:ind w:firstLine="420" w:firstLineChars="200"/>
        <w:rPr>
          <w:rFonts w:ascii="Arial" w:hAnsi="Arial" w:cs="Arial"/>
          <w:b/>
          <w:bCs/>
          <w:sz w:val="24"/>
          <w:szCs w:val="32"/>
        </w:rPr>
      </w:pPr>
      <w:r>
        <w:rPr>
          <w:rFonts w:hint="eastAsia" w:asciiTheme="minorEastAsia" w:hAnsiTheme="minorEastAsia" w:eastAsiaTheme="minorEastAsia" w:cstheme="minorEastAsia"/>
          <w:bCs/>
          <w:kern w:val="44"/>
          <w:szCs w:val="21"/>
        </w:rPr>
        <w:t>项目公司</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9</w:t>
      </w:r>
      <w:r>
        <w:rPr>
          <w:rFonts w:hint="eastAsia" w:asciiTheme="minorEastAsia" w:hAnsiTheme="minorEastAsia" w:eastAsiaTheme="minorEastAsia" w:cstheme="minorEastAsia"/>
          <w:bCs/>
          <w:kern w:val="44"/>
          <w:szCs w:val="21"/>
        </w:rPr>
        <w:t>月份共签订合同</w:t>
      </w:r>
      <w:r>
        <w:rPr>
          <w:rFonts w:ascii="Arial" w:hAnsi="Arial" w:cs="Arial" w:eastAsiaTheme="minorEastAsia"/>
          <w:bCs/>
          <w:kern w:val="44"/>
          <w:szCs w:val="21"/>
        </w:rPr>
        <w:t>6</w:t>
      </w:r>
      <w:r>
        <w:rPr>
          <w:rFonts w:hint="eastAsia" w:asciiTheme="minorEastAsia" w:hAnsiTheme="minorEastAsia" w:eastAsiaTheme="minorEastAsia" w:cstheme="minorEastAsia"/>
          <w:bCs/>
          <w:kern w:val="44"/>
          <w:szCs w:val="21"/>
        </w:rPr>
        <w:t>份，详见合同</w:t>
      </w:r>
      <w:bookmarkStart w:id="87" w:name="_Hlk40046665"/>
      <w:r>
        <w:rPr>
          <w:rFonts w:hint="eastAsia" w:asciiTheme="minorEastAsia" w:hAnsiTheme="minorEastAsia" w:eastAsiaTheme="minorEastAsia" w:cstheme="minorEastAsia"/>
          <w:bCs/>
          <w:kern w:val="44"/>
          <w:szCs w:val="21"/>
        </w:rPr>
        <w:t>签订情况</w:t>
      </w:r>
      <w:bookmarkEnd w:id="87"/>
      <w:r>
        <w:rPr>
          <w:rFonts w:hint="eastAsia" w:asciiTheme="minorEastAsia" w:hAnsiTheme="minorEastAsia" w:eastAsiaTheme="minorEastAsia" w:cstheme="minorEastAsia"/>
          <w:bCs/>
          <w:kern w:val="44"/>
          <w:szCs w:val="21"/>
        </w:rPr>
        <w:t>表：</w:t>
      </w:r>
    </w:p>
    <w:p>
      <w:pPr>
        <w:spacing w:before="315" w:beforeLines="100"/>
        <w:ind w:firstLine="482" w:firstLineChars="200"/>
        <w:jc w:val="center"/>
      </w:pPr>
      <w:r>
        <w:rPr>
          <w:rFonts w:ascii="Arial" w:hAnsi="Arial" w:cs="Arial"/>
          <w:b/>
          <w:bCs/>
          <w:sz w:val="24"/>
          <w:szCs w:val="32"/>
        </w:rPr>
        <w:t>2020</w:t>
      </w:r>
      <w:r>
        <w:rPr>
          <w:rFonts w:hint="eastAsia"/>
          <w:b/>
          <w:bCs/>
          <w:sz w:val="24"/>
          <w:szCs w:val="32"/>
        </w:rPr>
        <w:t>年9月合同签订情况</w:t>
      </w:r>
    </w:p>
    <w:tbl>
      <w:tblPr>
        <w:tblStyle w:val="12"/>
        <w:tblW w:w="483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032"/>
        <w:gridCol w:w="1454"/>
        <w:gridCol w:w="1981"/>
        <w:gridCol w:w="2638"/>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324"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b/>
                <w:bCs/>
                <w:color w:val="000000"/>
                <w:kern w:val="0"/>
                <w:sz w:val="18"/>
                <w:szCs w:val="18"/>
              </w:rPr>
            </w:pPr>
            <w:bookmarkStart w:id="88" w:name="_Toc31845"/>
            <w:r>
              <w:rPr>
                <w:rFonts w:hint="eastAsia" w:ascii="宋体" w:hAnsi="宋体" w:cs="宋体"/>
                <w:b/>
                <w:bCs/>
                <w:color w:val="000000"/>
                <w:kern w:val="0"/>
                <w:sz w:val="18"/>
                <w:szCs w:val="18"/>
              </w:rPr>
              <w:t>序号</w:t>
            </w:r>
          </w:p>
        </w:tc>
        <w:tc>
          <w:tcPr>
            <w:tcW w:w="57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用印日期</w:t>
            </w:r>
          </w:p>
        </w:tc>
        <w:tc>
          <w:tcPr>
            <w:tcW w:w="80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对方单位</w:t>
            </w:r>
          </w:p>
        </w:tc>
        <w:tc>
          <w:tcPr>
            <w:tcW w:w="1098"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合同名称</w:t>
            </w:r>
          </w:p>
        </w:tc>
        <w:tc>
          <w:tcPr>
            <w:tcW w:w="1462"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合同主要内容</w:t>
            </w:r>
          </w:p>
        </w:tc>
        <w:tc>
          <w:tcPr>
            <w:tcW w:w="73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2020/9/09</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青岛海尔中央空调工程有限公司</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《重庆恒大健康小镇运动中心（售楼中心）、康益园、颐养园、长乐园中央空调及通风安装工程施工合同》补充协议（一）</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因原合同暂无最终确认的施工图纸，待图纸完善后，再根据图纸编制工程量清单，核准工程造价后以补充协议的形式调整合同造价。</w:t>
            </w:r>
          </w:p>
        </w:tc>
        <w:tc>
          <w:tcPr>
            <w:tcW w:w="735" w:type="pct"/>
            <w:tcBorders>
              <w:tl2br w:val="nil"/>
              <w:tr2bl w:val="nil"/>
            </w:tcBorders>
            <w:shd w:val="clear" w:color="auto" w:fill="auto"/>
            <w:tcMar>
              <w:top w:w="15" w:type="dxa"/>
              <w:left w:w="15" w:type="dxa"/>
              <w:right w:w="15" w:type="dxa"/>
            </w:tcMar>
            <w:vAlign w:val="center"/>
          </w:tcPr>
          <w:p>
            <w:pPr>
              <w:widowControl/>
              <w:jc w:val="lef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原合同基础上增加839,487.10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2020/9/09</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云南中兴建筑工程有限公司</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赶工奖支付框架协议</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若乙方承接的甲方及其关联公司所发包工程在合同开工日期至合同完工日期的施工进度达到甲方设定的目标进度，甲方同意支付乙方赶工奖，具体赶工奖金额以双方核对确认的金额。</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2020/9/11</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上海市锦天城（深圳）律师事务所</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法律服务委托合同</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乙方就甲方“2020年中诚信托恒康1号集合资金信托计划”项目项下保证合同签署事宜进行现场见证并出具律师见证书。</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2020/9/11</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青岛海尔家居集成股份有限公司</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赶工奖支付框架协议</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若乙方承接的甲方及其关联公司所发包工程在合同开工日期至合同完工日期的施工进度达到甲方设定的目标进度，甲方同意支付乙方赶工奖，具体赶工奖金额以双方核对确认的金额。</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广州市穗宏建筑材料有限公司</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重庆恒大养生谷（北碚项目）瓷砖采购合同</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甲方向乙方购买瓷砖</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100,001.65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长沙市王老五铁艺制品有限公司</w:t>
            </w:r>
          </w:p>
        </w:tc>
        <w:tc>
          <w:tcPr>
            <w:tcW w:w="1098"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重庆恒大养生谷（北碚项目）四大园铁艺栏杆购销合同</w:t>
            </w:r>
          </w:p>
        </w:tc>
        <w:tc>
          <w:tcPr>
            <w:tcW w:w="146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甲方向乙方购买铁艺栏杆</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414,606.97 </w:t>
            </w:r>
          </w:p>
        </w:tc>
      </w:tr>
      <w:bookmarkEnd w:id="88"/>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89" w:name="_Toc4721"/>
      <w:bookmarkStart w:id="90" w:name="_Toc3020"/>
      <w:bookmarkStart w:id="91" w:name="_Toc14373"/>
      <w:bookmarkStart w:id="92" w:name="_Toc27316"/>
      <w:bookmarkStart w:id="93" w:name="_Toc15267"/>
      <w:bookmarkStart w:id="94" w:name="_Toc37668498"/>
      <w:bookmarkStart w:id="95" w:name="_Toc31470"/>
      <w:bookmarkStart w:id="96" w:name="_Toc14480"/>
      <w:r>
        <w:rPr>
          <w:rFonts w:ascii="Arial" w:hAnsi="Arial" w:cs="Arial" w:eastAsiaTheme="majorEastAsia"/>
          <w:color w:val="000000"/>
          <w:sz w:val="24"/>
        </w:rPr>
        <w:t>6</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项目销售情况</w:t>
      </w:r>
      <w:bookmarkEnd w:id="89"/>
      <w:bookmarkEnd w:id="90"/>
      <w:bookmarkEnd w:id="91"/>
      <w:bookmarkEnd w:id="92"/>
      <w:bookmarkEnd w:id="93"/>
      <w:bookmarkEnd w:id="94"/>
      <w:bookmarkEnd w:id="95"/>
      <w:bookmarkEnd w:id="96"/>
    </w:p>
    <w:p>
      <w:pPr>
        <w:spacing w:line="480" w:lineRule="auto"/>
        <w:ind w:firstLine="420" w:firstLineChars="200"/>
        <w:rPr>
          <w:rFonts w:ascii="Arial" w:hAnsi="Arial"/>
          <w:color w:val="000000"/>
          <w:sz w:val="24"/>
        </w:rPr>
      </w:pPr>
      <w:r>
        <w:rPr>
          <w:rFonts w:hint="eastAsia" w:ascii="Arial" w:hAnsi="Arial" w:cs="Arial"/>
          <w:bCs/>
          <w:kern w:val="44"/>
          <w:szCs w:val="21"/>
        </w:rPr>
        <w:t>标的项目还未开始销售，9月无销售数据。</w:t>
      </w:r>
      <w:bookmarkStart w:id="97" w:name="_Toc532281663"/>
      <w:bookmarkStart w:id="98" w:name="_Toc535508642"/>
      <w:bookmarkStart w:id="99" w:name="_Toc535570756"/>
      <w:bookmarkStart w:id="100" w:name="_Toc37668499"/>
      <w:bookmarkStart w:id="101" w:name="_Toc535580097"/>
      <w:bookmarkStart w:id="102" w:name="_Toc535580029"/>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103" w:name="_Toc1832"/>
      <w:bookmarkStart w:id="104" w:name="_Toc28505"/>
      <w:bookmarkStart w:id="105" w:name="_Toc5965"/>
      <w:bookmarkStart w:id="106" w:name="_Toc7229"/>
      <w:bookmarkStart w:id="107" w:name="_Toc9971"/>
      <w:bookmarkStart w:id="108" w:name="_Toc1903"/>
      <w:bookmarkStart w:id="109" w:name="_Toc28932"/>
      <w:r>
        <w:rPr>
          <w:rFonts w:ascii="Arial" w:hAnsi="Arial" w:cs="Arial" w:eastAsiaTheme="majorEastAsia"/>
          <w:color w:val="000000"/>
          <w:sz w:val="24"/>
        </w:rPr>
        <w:t>7</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资金</w:t>
      </w:r>
      <w:bookmarkEnd w:id="97"/>
      <w:r>
        <w:rPr>
          <w:rFonts w:hint="eastAsia" w:asciiTheme="majorEastAsia" w:hAnsiTheme="majorEastAsia" w:eastAsiaTheme="majorEastAsia" w:cstheme="majorEastAsia"/>
          <w:color w:val="000000"/>
          <w:sz w:val="24"/>
        </w:rPr>
        <w:t>情况</w:t>
      </w:r>
      <w:bookmarkEnd w:id="98"/>
      <w:bookmarkEnd w:id="99"/>
      <w:bookmarkEnd w:id="100"/>
      <w:bookmarkEnd w:id="101"/>
      <w:bookmarkEnd w:id="102"/>
      <w:bookmarkEnd w:id="103"/>
      <w:bookmarkEnd w:id="104"/>
      <w:bookmarkEnd w:id="105"/>
      <w:bookmarkEnd w:id="106"/>
      <w:bookmarkEnd w:id="107"/>
      <w:bookmarkEnd w:id="108"/>
      <w:bookmarkEnd w:id="109"/>
    </w:p>
    <w:p>
      <w:pPr>
        <w:pStyle w:val="3"/>
        <w:keepNext w:val="0"/>
        <w:keepLines w:val="0"/>
        <w:spacing w:before="300" w:after="300" w:line="360" w:lineRule="exact"/>
        <w:rPr>
          <w:rFonts w:asciiTheme="majorEastAsia" w:hAnsiTheme="majorEastAsia" w:eastAsiaTheme="majorEastAsia" w:cstheme="majorEastAsia"/>
          <w:color w:val="000000"/>
          <w:sz w:val="24"/>
          <w:highlight w:val="yellow"/>
        </w:rPr>
      </w:pPr>
      <w:bookmarkStart w:id="110" w:name="_Toc28219"/>
      <w:bookmarkStart w:id="111" w:name="_Toc5625"/>
      <w:bookmarkStart w:id="112" w:name="_Toc535580098"/>
      <w:bookmarkStart w:id="113" w:name="_Toc37668500"/>
      <w:bookmarkStart w:id="114" w:name="_Toc284"/>
      <w:bookmarkStart w:id="115" w:name="_Toc30285"/>
      <w:bookmarkStart w:id="116" w:name="_Toc10072"/>
      <w:bookmarkStart w:id="117" w:name="_Toc535580030"/>
      <w:bookmarkStart w:id="118" w:name="_Toc23864"/>
      <w:bookmarkStart w:id="119" w:name="_Toc16727"/>
      <w:bookmarkStart w:id="120" w:name="_Toc535508643"/>
      <w:bookmarkStart w:id="121" w:name="_Toc535570757"/>
      <w:r>
        <w:rPr>
          <w:rFonts w:cs="Arial" w:eastAsiaTheme="majorEastAsia"/>
          <w:color w:val="000000"/>
          <w:sz w:val="24"/>
        </w:rPr>
        <w:t>7.1</w:t>
      </w:r>
      <w:r>
        <w:rPr>
          <w:rFonts w:hint="eastAsia" w:cs="Arial" w:eastAsiaTheme="majorEastAsia"/>
          <w:color w:val="000000"/>
          <w:sz w:val="24"/>
        </w:rPr>
        <w:t>、</w:t>
      </w:r>
      <w:r>
        <w:rPr>
          <w:rFonts w:hint="eastAsia" w:asciiTheme="majorEastAsia" w:hAnsiTheme="majorEastAsia" w:eastAsiaTheme="majorEastAsia" w:cstheme="majorEastAsia"/>
          <w:color w:val="000000"/>
          <w:sz w:val="24"/>
        </w:rPr>
        <w:t>资金流出情况</w:t>
      </w:r>
      <w:bookmarkEnd w:id="110"/>
      <w:bookmarkEnd w:id="111"/>
      <w:bookmarkEnd w:id="112"/>
      <w:bookmarkEnd w:id="113"/>
      <w:bookmarkEnd w:id="114"/>
      <w:bookmarkEnd w:id="115"/>
      <w:bookmarkEnd w:id="116"/>
      <w:bookmarkEnd w:id="117"/>
      <w:bookmarkEnd w:id="118"/>
      <w:bookmarkEnd w:id="119"/>
      <w:bookmarkEnd w:id="120"/>
      <w:bookmarkEnd w:id="121"/>
    </w:p>
    <w:p>
      <w:pPr>
        <w:spacing w:line="480" w:lineRule="auto"/>
        <w:ind w:firstLine="420" w:firstLineChars="200"/>
        <w:rPr>
          <w:rFonts w:asciiTheme="minorEastAsia" w:hAnsiTheme="minorEastAsia" w:eastAsiaTheme="minorEastAsia" w:cstheme="minorEastAsia"/>
          <w:bCs/>
          <w:kern w:val="44"/>
          <w:szCs w:val="21"/>
        </w:rPr>
      </w:pP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9</w:t>
      </w:r>
      <w:r>
        <w:rPr>
          <w:rFonts w:hint="eastAsia" w:asciiTheme="minorEastAsia" w:hAnsiTheme="minorEastAsia" w:eastAsiaTheme="minorEastAsia" w:cstheme="minorEastAsia"/>
          <w:bCs/>
          <w:kern w:val="44"/>
          <w:szCs w:val="21"/>
        </w:rPr>
        <w:t>月内，项目公司资金流出总额为</w:t>
      </w:r>
      <w:r>
        <w:rPr>
          <w:rFonts w:ascii="Arial" w:hAnsi="Arial" w:cs="Arial" w:eastAsiaTheme="minorEastAsia"/>
          <w:bCs/>
          <w:kern w:val="44"/>
          <w:szCs w:val="21"/>
        </w:rPr>
        <w:t>10,568,481.09</w:t>
      </w:r>
      <w:r>
        <w:rPr>
          <w:rFonts w:hint="eastAsia" w:asciiTheme="minorEastAsia" w:hAnsiTheme="minorEastAsia" w:eastAsiaTheme="minorEastAsia" w:cstheme="minorEastAsia"/>
          <w:bCs/>
          <w:kern w:val="44"/>
          <w:szCs w:val="21"/>
        </w:rPr>
        <w:t>元，其中中国农业银行出款共计</w:t>
      </w:r>
      <w:r>
        <w:rPr>
          <w:rFonts w:ascii="Arial" w:hAnsi="Arial" w:cs="Arial" w:eastAsiaTheme="minorEastAsia"/>
          <w:bCs/>
          <w:kern w:val="44"/>
          <w:szCs w:val="21"/>
        </w:rPr>
        <w:t>10,196,886.65</w:t>
      </w:r>
      <w:r>
        <w:rPr>
          <w:rFonts w:hint="eastAsia" w:asciiTheme="minorEastAsia" w:hAnsiTheme="minorEastAsia" w:eastAsiaTheme="minorEastAsia" w:cstheme="minorEastAsia"/>
          <w:bCs/>
          <w:kern w:val="44"/>
          <w:szCs w:val="21"/>
        </w:rPr>
        <w:t>元，盛京银行出款共计</w:t>
      </w:r>
      <w:r>
        <w:rPr>
          <w:rFonts w:hint="eastAsia" w:ascii="Arial" w:hAnsi="Arial" w:cs="Arial" w:eastAsiaTheme="minorEastAsia"/>
          <w:bCs/>
          <w:kern w:val="44"/>
          <w:szCs w:val="21"/>
        </w:rPr>
        <w:t>371</w:t>
      </w:r>
      <w:r>
        <w:rPr>
          <w:rFonts w:ascii="Arial" w:hAnsi="Arial" w:cs="Arial" w:eastAsiaTheme="minorEastAsia"/>
          <w:bCs/>
          <w:kern w:val="44"/>
          <w:szCs w:val="21"/>
        </w:rPr>
        <w:t>,</w:t>
      </w:r>
      <w:r>
        <w:rPr>
          <w:rFonts w:hint="eastAsia" w:ascii="Arial" w:hAnsi="Arial" w:cs="Arial" w:eastAsiaTheme="minorEastAsia"/>
          <w:bCs/>
          <w:kern w:val="44"/>
          <w:szCs w:val="21"/>
        </w:rPr>
        <w:t>594.44</w:t>
      </w:r>
      <w:r>
        <w:rPr>
          <w:rFonts w:hint="eastAsia" w:asciiTheme="minorEastAsia" w:hAnsiTheme="minorEastAsia" w:eastAsiaTheme="minorEastAsia" w:cstheme="minorEastAsia"/>
          <w:bCs/>
          <w:kern w:val="44"/>
          <w:szCs w:val="21"/>
        </w:rPr>
        <w:t>元。</w:t>
      </w:r>
    </w:p>
    <w:p>
      <w:pPr>
        <w:spacing w:before="315" w:beforeLines="100"/>
        <w:jc w:val="center"/>
        <w:rPr>
          <w:b/>
          <w:bCs/>
          <w:sz w:val="24"/>
          <w:szCs w:val="32"/>
        </w:rPr>
      </w:pPr>
      <w:bookmarkStart w:id="122" w:name="_Toc27251"/>
      <w:r>
        <w:rPr>
          <w:rFonts w:ascii="Arial" w:hAnsi="Arial" w:cs="Arial"/>
          <w:b/>
          <w:bCs/>
          <w:sz w:val="24"/>
          <w:szCs w:val="32"/>
        </w:rPr>
        <w:t>2020</w:t>
      </w:r>
      <w:r>
        <w:rPr>
          <w:rFonts w:hint="eastAsia"/>
          <w:b/>
          <w:bCs/>
          <w:sz w:val="24"/>
          <w:szCs w:val="32"/>
        </w:rPr>
        <w:t>年</w:t>
      </w:r>
      <w:r>
        <w:rPr>
          <w:rFonts w:ascii="Arial" w:hAnsi="Arial" w:cs="Arial"/>
          <w:b/>
          <w:bCs/>
          <w:sz w:val="24"/>
          <w:szCs w:val="32"/>
        </w:rPr>
        <w:t>9</w:t>
      </w:r>
      <w:r>
        <w:rPr>
          <w:rFonts w:hint="eastAsia"/>
          <w:b/>
          <w:bCs/>
          <w:sz w:val="24"/>
          <w:szCs w:val="32"/>
        </w:rPr>
        <w:t>月中国农业银行资金流出情况表</w:t>
      </w:r>
      <w:bookmarkEnd w:id="122"/>
      <w:r>
        <w:rPr>
          <w:rFonts w:hint="eastAsia"/>
          <w:b/>
          <w:bCs/>
          <w:sz w:val="24"/>
          <w:szCs w:val="32"/>
        </w:rPr>
        <w:t>:</w:t>
      </w:r>
    </w:p>
    <w:tbl>
      <w:tblPr>
        <w:tblStyle w:val="12"/>
        <w:tblW w:w="90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6"/>
        <w:gridCol w:w="930"/>
        <w:gridCol w:w="2235"/>
        <w:gridCol w:w="1545"/>
        <w:gridCol w:w="1245"/>
        <w:gridCol w:w="26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rPr>
              <w:t>序号</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日期</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收款方</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24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付款银行账户名称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国家金库重庆市北碚区支库</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7,032.88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重庆市碚江水务有限公司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北碚项目水费预存</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重庆电力恒隆健康产业有限公司电费专户</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北碚项目电费预存</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2020/9/07</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重庆澄江建设工程有限公司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5,590,221.69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2020/9/08</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短信费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中国电信股份有限公司渝北分公司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8月电信费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3,082.00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中国电信股份有限公司渝北分公司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7月电信费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3,082.10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苟海</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电梯检测费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750.00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安盛天平财产保险股份有限公司重庆分公司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车辆保险费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6,518.57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9.00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安盛天平财产保险股份有限公司重庆分公司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车辆保险费</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退回重付</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6,518.57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成都智唯易才人力资源顾问有限公司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劳务派遣员工工资及社保费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771,495.38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2020/9/16</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中国有色金属长沙勘察设计研究院有限公司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458,547.11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广州恒隆设备材料有限公司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材料款</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626,399.42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中建欣立建设发展集团股份有限公司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国家金库重庆市北碚区支库</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172,933.46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重庆市住房公积金管理中心</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员工8月公积金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138,922.00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重庆澄江建设工程有限公司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重庆澄江建设工程有限公司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25</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盛隆电气集团电力工程有限公司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2020/9/22</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盛隆电气集团电力工程有限公司</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商票到期承兑</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311,291.47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 w:hRule="atLeast"/>
          <w:jc w:val="center"/>
        </w:trPr>
        <w:tc>
          <w:tcPr>
            <w:tcW w:w="5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w:t>
            </w:r>
          </w:p>
        </w:tc>
        <w:tc>
          <w:tcPr>
            <w:tcW w:w="9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2020/9/24</w:t>
            </w:r>
          </w:p>
        </w:tc>
        <w:tc>
          <w:tcPr>
            <w:tcW w:w="22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54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24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bl>
    <w:p>
      <w:pPr>
        <w:spacing w:before="315" w:beforeLines="100"/>
        <w:jc w:val="center"/>
        <w:rPr>
          <w:rFonts w:ascii="Arial" w:hAnsi="Arial" w:cs="Arial"/>
          <w:b/>
          <w:bCs/>
          <w:sz w:val="24"/>
          <w:szCs w:val="32"/>
        </w:rPr>
      </w:pPr>
      <w:bookmarkStart w:id="123" w:name="_Toc535570758"/>
      <w:bookmarkStart w:id="124" w:name="_Toc9899"/>
      <w:bookmarkStart w:id="125" w:name="_Toc17522"/>
      <w:bookmarkStart w:id="126" w:name="_Toc535508644"/>
      <w:bookmarkStart w:id="127" w:name="_Toc535580031"/>
      <w:bookmarkStart w:id="128" w:name="_Toc14711"/>
      <w:bookmarkStart w:id="129" w:name="_Toc7895"/>
      <w:bookmarkStart w:id="130" w:name="_Toc13384"/>
      <w:bookmarkStart w:id="131" w:name="_Toc37668501"/>
      <w:bookmarkStart w:id="132" w:name="_Toc535580099"/>
    </w:p>
    <w:p>
      <w:pPr>
        <w:spacing w:before="315" w:beforeLines="100"/>
        <w:jc w:val="center"/>
        <w:rPr>
          <w:rFonts w:ascii="Arial" w:hAnsi="Arial" w:cs="Arial"/>
          <w:b/>
          <w:bCs/>
          <w:sz w:val="24"/>
          <w:szCs w:val="32"/>
        </w:rPr>
      </w:pPr>
    </w:p>
    <w:p>
      <w:pPr>
        <w:spacing w:before="315" w:beforeLines="100"/>
        <w:jc w:val="center"/>
        <w:rPr>
          <w:rFonts w:cs="Arial"/>
          <w:sz w:val="24"/>
        </w:rPr>
      </w:pPr>
      <w:r>
        <w:rPr>
          <w:rFonts w:ascii="Arial" w:hAnsi="Arial" w:cs="Arial"/>
          <w:b/>
          <w:bCs/>
          <w:sz w:val="24"/>
          <w:szCs w:val="32"/>
        </w:rPr>
        <w:t>2020</w:t>
      </w:r>
      <w:r>
        <w:rPr>
          <w:rFonts w:hint="eastAsia"/>
          <w:b/>
          <w:bCs/>
          <w:sz w:val="24"/>
          <w:szCs w:val="32"/>
        </w:rPr>
        <w:t>年</w:t>
      </w:r>
      <w:r>
        <w:rPr>
          <w:rFonts w:ascii="Arial" w:hAnsi="Arial" w:cs="Arial"/>
          <w:b/>
          <w:bCs/>
          <w:sz w:val="24"/>
          <w:szCs w:val="32"/>
        </w:rPr>
        <w:t>9</w:t>
      </w:r>
      <w:r>
        <w:rPr>
          <w:rFonts w:hint="eastAsia"/>
          <w:b/>
          <w:bCs/>
          <w:sz w:val="24"/>
          <w:szCs w:val="32"/>
        </w:rPr>
        <w:t>月盛京银行资金流出情况表:</w:t>
      </w:r>
    </w:p>
    <w:tbl>
      <w:tblPr>
        <w:tblStyle w:val="12"/>
        <w:tblW w:w="90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91"/>
        <w:gridCol w:w="1850"/>
        <w:gridCol w:w="1395"/>
        <w:gridCol w:w="1515"/>
        <w:gridCol w:w="26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rPr>
              <w:t>序号</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日期</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收款方</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51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付款银行账户名称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恒隆员工（共计26人）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92,513.91</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恒隆员工（共计26人）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191,158.15</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2020/9/30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恒隆员工（共计26人）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87,922.38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盛京银行（03-38010102000016812）</w:t>
            </w:r>
          </w:p>
        </w:tc>
      </w:tr>
    </w:tbl>
    <w:p>
      <w:pPr>
        <w:pStyle w:val="3"/>
        <w:spacing w:before="300" w:after="300" w:line="360" w:lineRule="exact"/>
        <w:jc w:val="left"/>
        <w:rPr>
          <w:rFonts w:ascii="宋体" w:hAnsi="宋体" w:eastAsia="宋体" w:cs="宋体"/>
          <w:sz w:val="24"/>
          <w:szCs w:val="24"/>
        </w:rPr>
      </w:pPr>
      <w:bookmarkStart w:id="133" w:name="_Toc8281"/>
      <w:bookmarkStart w:id="134" w:name="_Toc20874"/>
      <w:r>
        <w:rPr>
          <w:rFonts w:eastAsia="宋体" w:cs="Arial"/>
          <w:sz w:val="24"/>
          <w:szCs w:val="24"/>
        </w:rPr>
        <w:t>7.2</w:t>
      </w:r>
      <w:r>
        <w:rPr>
          <w:rFonts w:hint="eastAsia" w:eastAsia="宋体" w:cs="Arial"/>
          <w:sz w:val="24"/>
          <w:szCs w:val="24"/>
        </w:rPr>
        <w:t>、</w:t>
      </w:r>
      <w:r>
        <w:rPr>
          <w:rFonts w:hint="eastAsia" w:ascii="宋体" w:hAnsi="宋体" w:eastAsia="宋体" w:cs="宋体"/>
          <w:sz w:val="24"/>
          <w:szCs w:val="24"/>
        </w:rPr>
        <w:t>资金流入情况</w:t>
      </w:r>
      <w:bookmarkEnd w:id="123"/>
      <w:bookmarkEnd w:id="124"/>
      <w:bookmarkEnd w:id="125"/>
      <w:bookmarkEnd w:id="126"/>
      <w:bookmarkEnd w:id="127"/>
      <w:bookmarkEnd w:id="128"/>
      <w:bookmarkEnd w:id="129"/>
      <w:bookmarkEnd w:id="130"/>
      <w:bookmarkEnd w:id="131"/>
      <w:bookmarkEnd w:id="132"/>
      <w:bookmarkEnd w:id="133"/>
      <w:bookmarkEnd w:id="134"/>
      <w:r>
        <w:rPr>
          <w:rFonts w:hint="eastAsia" w:ascii="宋体" w:hAnsi="宋体" w:eastAsia="宋体" w:cs="宋体"/>
          <w:sz w:val="24"/>
          <w:szCs w:val="24"/>
        </w:rPr>
        <w:t xml:space="preserve"> </w:t>
      </w:r>
    </w:p>
    <w:p>
      <w:pPr>
        <w:pStyle w:val="4"/>
        <w:spacing w:before="300" w:after="300" w:line="360" w:lineRule="exact"/>
        <w:jc w:val="left"/>
        <w:rPr>
          <w:rFonts w:ascii="宋体" w:hAnsi="宋体" w:cs="宋体"/>
          <w:bCs/>
          <w:sz w:val="24"/>
        </w:rPr>
      </w:pPr>
      <w:r>
        <w:rPr>
          <w:rFonts w:ascii="Arial" w:hAnsi="Arial" w:cs="Arial"/>
          <w:bCs/>
          <w:sz w:val="24"/>
        </w:rPr>
        <w:t>7.2.1</w:t>
      </w:r>
      <w:r>
        <w:rPr>
          <w:rFonts w:hint="eastAsia" w:ascii="Arial" w:hAnsi="Arial" w:cs="Arial"/>
          <w:bCs/>
          <w:sz w:val="24"/>
        </w:rPr>
        <w:t>、</w:t>
      </w:r>
      <w:r>
        <w:rPr>
          <w:rFonts w:hint="eastAsia" w:asciiTheme="majorEastAsia" w:hAnsiTheme="majorEastAsia" w:eastAsiaTheme="majorEastAsia" w:cstheme="majorEastAsia"/>
          <w:bCs/>
          <w:sz w:val="24"/>
        </w:rPr>
        <w:t>销售回款流入</w:t>
      </w:r>
    </w:p>
    <w:p>
      <w:pPr>
        <w:spacing w:before="300" w:after="300"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尚未开始销售，暂无销售回款资金流入。</w:t>
      </w:r>
    </w:p>
    <w:p>
      <w:pPr>
        <w:pStyle w:val="4"/>
        <w:spacing w:before="300" w:after="300" w:line="360" w:lineRule="exact"/>
        <w:jc w:val="left"/>
        <w:rPr>
          <w:rFonts w:asciiTheme="majorEastAsia" w:hAnsiTheme="majorEastAsia" w:eastAsiaTheme="majorEastAsia" w:cstheme="majorEastAsia"/>
          <w:bCs/>
          <w:sz w:val="24"/>
        </w:rPr>
      </w:pPr>
      <w:r>
        <w:rPr>
          <w:rFonts w:ascii="Arial" w:hAnsi="Arial" w:cs="Arial"/>
          <w:bCs/>
          <w:sz w:val="24"/>
        </w:rPr>
        <w:t>7.2.2</w:t>
      </w:r>
      <w:r>
        <w:rPr>
          <w:rFonts w:hint="eastAsia" w:ascii="Arial" w:hAnsi="Arial" w:cs="Arial"/>
          <w:bCs/>
          <w:sz w:val="24"/>
        </w:rPr>
        <w:t>、</w:t>
      </w:r>
      <w:r>
        <w:rPr>
          <w:rFonts w:hint="eastAsia" w:asciiTheme="majorEastAsia" w:hAnsiTheme="majorEastAsia" w:eastAsiaTheme="majorEastAsia" w:cstheme="majorEastAsia"/>
          <w:bCs/>
          <w:sz w:val="24"/>
        </w:rPr>
        <w:t>其他资金流入</w:t>
      </w:r>
    </w:p>
    <w:p>
      <w:pPr>
        <w:spacing w:line="480" w:lineRule="auto"/>
        <w:ind w:firstLine="420" w:firstLineChars="200"/>
        <w:rPr>
          <w:rFonts w:asciiTheme="minorEastAsia" w:hAnsiTheme="minorEastAsia" w:eastAsiaTheme="minorEastAsia" w:cstheme="minorEastAsia"/>
          <w:bCs/>
          <w:kern w:val="44"/>
          <w:szCs w:val="21"/>
        </w:rPr>
      </w:pP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9</w:t>
      </w:r>
      <w:r>
        <w:rPr>
          <w:rFonts w:hint="eastAsia" w:asciiTheme="minorEastAsia" w:hAnsiTheme="minorEastAsia" w:eastAsiaTheme="minorEastAsia" w:cstheme="minorEastAsia"/>
          <w:bCs/>
          <w:kern w:val="44"/>
          <w:szCs w:val="21"/>
        </w:rPr>
        <w:t>月内，项目公司资金流入总额共计</w:t>
      </w:r>
      <w:r>
        <w:rPr>
          <w:rFonts w:ascii="Arial" w:hAnsi="Arial" w:cs="Arial" w:eastAsiaTheme="minorEastAsia"/>
          <w:bCs/>
          <w:kern w:val="44"/>
          <w:szCs w:val="21"/>
        </w:rPr>
        <w:t>10,923,226.55</w:t>
      </w:r>
      <w:r>
        <w:rPr>
          <w:rFonts w:hint="eastAsia" w:asciiTheme="minorEastAsia" w:hAnsiTheme="minorEastAsia" w:eastAsiaTheme="minorEastAsia" w:cstheme="minorEastAsia"/>
          <w:bCs/>
          <w:kern w:val="44"/>
          <w:szCs w:val="21"/>
        </w:rPr>
        <w:t>元，其中中国农业银行收款共计</w:t>
      </w:r>
      <w:r>
        <w:rPr>
          <w:rFonts w:hint="eastAsia" w:ascii="Arial" w:hAnsi="Arial" w:cs="Arial" w:eastAsiaTheme="minorEastAsia"/>
          <w:bCs/>
          <w:kern w:val="44"/>
          <w:szCs w:val="21"/>
        </w:rPr>
        <w:t>10</w:t>
      </w:r>
      <w:r>
        <w:rPr>
          <w:rFonts w:ascii="Arial" w:hAnsi="Arial" w:cs="Arial" w:eastAsiaTheme="minorEastAsia"/>
          <w:bCs/>
          <w:kern w:val="44"/>
          <w:szCs w:val="21"/>
        </w:rPr>
        <w:t>,</w:t>
      </w:r>
      <w:r>
        <w:rPr>
          <w:rFonts w:hint="eastAsia" w:ascii="Arial" w:hAnsi="Arial" w:cs="Arial" w:eastAsiaTheme="minorEastAsia"/>
          <w:bCs/>
          <w:kern w:val="44"/>
          <w:szCs w:val="21"/>
        </w:rPr>
        <w:t>533</w:t>
      </w:r>
      <w:r>
        <w:rPr>
          <w:rFonts w:ascii="Arial" w:hAnsi="Arial" w:cs="Arial" w:eastAsiaTheme="minorEastAsia"/>
          <w:bCs/>
          <w:kern w:val="44"/>
          <w:szCs w:val="21"/>
        </w:rPr>
        <w:t>,</w:t>
      </w:r>
      <w:r>
        <w:rPr>
          <w:rFonts w:hint="eastAsia" w:ascii="Arial" w:hAnsi="Arial" w:cs="Arial" w:eastAsiaTheme="minorEastAsia"/>
          <w:bCs/>
          <w:kern w:val="44"/>
          <w:szCs w:val="21"/>
        </w:rPr>
        <w:t>149.48</w:t>
      </w:r>
      <w:r>
        <w:rPr>
          <w:rFonts w:hint="eastAsia" w:asciiTheme="minorEastAsia" w:hAnsiTheme="minorEastAsia" w:eastAsiaTheme="minorEastAsia" w:cstheme="minorEastAsia"/>
          <w:bCs/>
          <w:kern w:val="44"/>
          <w:szCs w:val="21"/>
        </w:rPr>
        <w:t>元，盛京银行收款共计</w:t>
      </w:r>
      <w:r>
        <w:rPr>
          <w:rFonts w:hint="eastAsia" w:ascii="Arial" w:hAnsi="Arial" w:cs="Arial" w:eastAsiaTheme="minorEastAsia"/>
          <w:bCs/>
          <w:kern w:val="44"/>
          <w:szCs w:val="21"/>
        </w:rPr>
        <w:t>390</w:t>
      </w:r>
      <w:r>
        <w:rPr>
          <w:rFonts w:ascii="Arial" w:hAnsi="Arial" w:cs="Arial" w:eastAsiaTheme="minorEastAsia"/>
          <w:bCs/>
          <w:kern w:val="44"/>
          <w:szCs w:val="21"/>
        </w:rPr>
        <w:t>,</w:t>
      </w:r>
      <w:r>
        <w:rPr>
          <w:rFonts w:hint="eastAsia" w:ascii="Arial" w:hAnsi="Arial" w:cs="Arial" w:eastAsiaTheme="minorEastAsia"/>
          <w:bCs/>
          <w:kern w:val="44"/>
          <w:szCs w:val="21"/>
        </w:rPr>
        <w:t>074.46</w:t>
      </w:r>
      <w:r>
        <w:rPr>
          <w:rFonts w:hint="eastAsia" w:asciiTheme="minorEastAsia" w:hAnsiTheme="minorEastAsia" w:eastAsiaTheme="minorEastAsia" w:cstheme="minorEastAsia"/>
          <w:bCs/>
          <w:kern w:val="44"/>
          <w:szCs w:val="21"/>
        </w:rPr>
        <w:t>元,中国工商银行北碚支行收款共计</w:t>
      </w:r>
      <w:r>
        <w:rPr>
          <w:rFonts w:ascii="Arial" w:hAnsi="Arial" w:cs="Arial" w:eastAsiaTheme="minorEastAsia"/>
          <w:bCs/>
          <w:kern w:val="44"/>
          <w:szCs w:val="21"/>
        </w:rPr>
        <w:t>2.61</w:t>
      </w:r>
      <w:r>
        <w:rPr>
          <w:rFonts w:hint="eastAsia" w:asciiTheme="minorEastAsia" w:hAnsiTheme="minorEastAsia" w:eastAsiaTheme="minorEastAsia" w:cstheme="minorEastAsia"/>
          <w:bCs/>
          <w:kern w:val="44"/>
          <w:szCs w:val="21"/>
        </w:rPr>
        <w:t>元。</w:t>
      </w:r>
    </w:p>
    <w:p>
      <w:pPr>
        <w:spacing w:before="315" w:beforeLines="100"/>
        <w:jc w:val="center"/>
        <w:rPr>
          <w:rFonts w:ascii="宋体" w:hAnsi="宋体" w:cs="宋体"/>
          <w:b/>
          <w:bCs/>
          <w:sz w:val="24"/>
        </w:rPr>
      </w:pPr>
      <w:r>
        <w:rPr>
          <w:rFonts w:ascii="Arial" w:hAnsi="Arial" w:cs="Arial"/>
          <w:b/>
          <w:bCs/>
          <w:sz w:val="24"/>
        </w:rPr>
        <w:t>2020</w:t>
      </w:r>
      <w:r>
        <w:rPr>
          <w:rFonts w:hint="eastAsia" w:ascii="宋体" w:hAnsi="宋体" w:cs="宋体"/>
          <w:b/>
          <w:bCs/>
          <w:sz w:val="24"/>
        </w:rPr>
        <w:t>年</w:t>
      </w:r>
      <w:r>
        <w:rPr>
          <w:rFonts w:ascii="Arial" w:hAnsi="Arial" w:cs="Arial"/>
          <w:b/>
          <w:bCs/>
          <w:sz w:val="24"/>
        </w:rPr>
        <w:t>9</w:t>
      </w:r>
      <w:r>
        <w:rPr>
          <w:rFonts w:hint="eastAsia" w:ascii="宋体" w:hAnsi="宋体" w:cs="宋体"/>
          <w:b/>
          <w:bCs/>
          <w:sz w:val="24"/>
        </w:rPr>
        <w:t>月项目公司中国农业银行资金流入情况表:</w:t>
      </w:r>
    </w:p>
    <w:tbl>
      <w:tblPr>
        <w:tblStyle w:val="12"/>
        <w:tblW w:w="90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7"/>
        <w:gridCol w:w="1005"/>
        <w:gridCol w:w="1696"/>
        <w:gridCol w:w="1349"/>
        <w:gridCol w:w="1155"/>
        <w:gridCol w:w="33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53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bookmarkStart w:id="135" w:name="_Toc37668502"/>
            <w:bookmarkStart w:id="136" w:name="_Toc535508645"/>
            <w:bookmarkStart w:id="137" w:name="_Toc535580100"/>
            <w:bookmarkStart w:id="138" w:name="_Toc535570759"/>
            <w:bookmarkStart w:id="139" w:name="_Toc29212"/>
            <w:bookmarkStart w:id="140" w:name="_Toc535580032"/>
            <w:r>
              <w:rPr>
                <w:rFonts w:hint="eastAsia" w:asciiTheme="minorEastAsia" w:hAnsiTheme="minorEastAsia" w:eastAsiaTheme="minorEastAsia" w:cstheme="minorEastAsia"/>
                <w:b/>
                <w:bCs/>
                <w:color w:val="000000"/>
                <w:kern w:val="0"/>
                <w:sz w:val="18"/>
                <w:szCs w:val="18"/>
                <w:lang w:bidi="ar"/>
              </w:rPr>
              <w:t>序号</w:t>
            </w:r>
          </w:p>
        </w:tc>
        <w:tc>
          <w:tcPr>
            <w:tcW w:w="1005"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收款时间</w:t>
            </w:r>
          </w:p>
        </w:tc>
        <w:tc>
          <w:tcPr>
            <w:tcW w:w="1696"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付款方</w:t>
            </w:r>
          </w:p>
        </w:tc>
        <w:tc>
          <w:tcPr>
            <w:tcW w:w="1349"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155"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3336"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2020/9/03</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6,000,000.00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400,000.00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2020/9/10</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陈炳霖</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刘南淑宿舍押金</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3,500.00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2020/9/14</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重庆市北碚区医疗保障局</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医保退回</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510.00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安盛天平财产保险股份有限公司重庆分公司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汇款退回</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6,518.57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2020/9/15</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800,000.00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2020/9/17</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2,800,000.00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320,000.00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农业银行</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银行结息</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3,572.06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2020/9/25</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眉山德泽旅游开发有限公司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社保公积金往来款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9,103.50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2020/9/25</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云南御行中天房地产开发有限公司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社保公积金往来款</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19,945.35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2020/9/27</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四川易园园林集团有限公司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重庆恒大养生谷（北碚项目）M3路A13段市政道路工程-投标保证金</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53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w:t>
            </w:r>
          </w:p>
        </w:tc>
        <w:tc>
          <w:tcPr>
            <w:tcW w:w="100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2020/9/27</w:t>
            </w:r>
          </w:p>
        </w:tc>
        <w:tc>
          <w:tcPr>
            <w:tcW w:w="16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泛华永泰建设（集团）有限公司重庆分公司</w:t>
            </w:r>
          </w:p>
        </w:tc>
        <w:tc>
          <w:tcPr>
            <w:tcW w:w="1349"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重庆恒大养生谷（北碚项目）M3路A13段市政道路工程</w:t>
            </w:r>
          </w:p>
        </w:tc>
        <w:tc>
          <w:tcPr>
            <w:tcW w:w="115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10,000.00 </w:t>
            </w:r>
          </w:p>
        </w:tc>
        <w:tc>
          <w:tcPr>
            <w:tcW w:w="333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bl>
    <w:p>
      <w:pPr>
        <w:spacing w:before="315" w:beforeLines="100"/>
        <w:jc w:val="center"/>
        <w:rPr>
          <w:rFonts w:ascii="宋体" w:hAnsi="宋体" w:cs="宋体"/>
          <w:b/>
          <w:bCs/>
          <w:sz w:val="24"/>
        </w:rPr>
      </w:pPr>
      <w:bookmarkStart w:id="141" w:name="_Toc28136"/>
      <w:bookmarkStart w:id="142" w:name="_Toc2387"/>
      <w:bookmarkStart w:id="143" w:name="_Toc12419"/>
      <w:bookmarkStart w:id="144" w:name="_Toc5849"/>
      <w:r>
        <w:rPr>
          <w:rFonts w:ascii="Arial" w:hAnsi="Arial" w:cs="Arial"/>
          <w:b/>
          <w:bCs/>
          <w:sz w:val="24"/>
        </w:rPr>
        <w:t>2020</w:t>
      </w:r>
      <w:r>
        <w:rPr>
          <w:rFonts w:hint="eastAsia" w:ascii="宋体" w:hAnsi="宋体" w:cs="宋体"/>
          <w:b/>
          <w:bCs/>
          <w:sz w:val="24"/>
        </w:rPr>
        <w:t>年</w:t>
      </w:r>
      <w:r>
        <w:rPr>
          <w:rFonts w:ascii="Arial" w:hAnsi="Arial" w:cs="Arial"/>
          <w:b/>
          <w:bCs/>
          <w:sz w:val="24"/>
        </w:rPr>
        <w:t>9</w:t>
      </w:r>
      <w:r>
        <w:rPr>
          <w:rFonts w:hint="eastAsia" w:ascii="宋体" w:hAnsi="宋体" w:cs="宋体"/>
          <w:b/>
          <w:bCs/>
          <w:sz w:val="24"/>
        </w:rPr>
        <w:t>月项目公司盛京银行资金流入情况表:</w:t>
      </w:r>
    </w:p>
    <w:tbl>
      <w:tblPr>
        <w:tblStyle w:val="12"/>
        <w:tblW w:w="90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1077"/>
        <w:gridCol w:w="1296"/>
        <w:gridCol w:w="1282"/>
        <w:gridCol w:w="1377"/>
        <w:gridCol w:w="3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收款时间</w:t>
            </w:r>
          </w:p>
        </w:tc>
        <w:tc>
          <w:tcPr>
            <w:tcW w:w="1296"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付款方</w:t>
            </w:r>
          </w:p>
        </w:tc>
        <w:tc>
          <w:tcPr>
            <w:tcW w:w="1282"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3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3420"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2020/9/04</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100,000.00</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2020/9/18</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200,000.00</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bidi="ar"/>
              </w:rPr>
              <w:t>盛京银行</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银行结息</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74.46</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2020/9/30</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90,000.00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bl>
    <w:p>
      <w:pPr>
        <w:spacing w:before="315" w:beforeLines="100"/>
        <w:jc w:val="center"/>
        <w:rPr>
          <w:rFonts w:ascii="宋体" w:hAnsi="宋体" w:cs="宋体"/>
          <w:b/>
          <w:bCs/>
          <w:sz w:val="24"/>
        </w:rPr>
      </w:pPr>
      <w:bookmarkStart w:id="145" w:name="_Toc24436"/>
      <w:bookmarkStart w:id="146" w:name="_Toc23979"/>
      <w:r>
        <w:rPr>
          <w:rFonts w:ascii="Arial" w:hAnsi="Arial" w:cs="Arial"/>
          <w:b/>
          <w:bCs/>
          <w:sz w:val="24"/>
        </w:rPr>
        <w:t>2020</w:t>
      </w:r>
      <w:r>
        <w:rPr>
          <w:rFonts w:hint="eastAsia" w:ascii="宋体" w:hAnsi="宋体" w:cs="宋体"/>
          <w:b/>
          <w:bCs/>
          <w:sz w:val="24"/>
        </w:rPr>
        <w:t>年</w:t>
      </w:r>
      <w:r>
        <w:rPr>
          <w:rFonts w:ascii="Arial" w:hAnsi="Arial" w:cs="Arial"/>
          <w:b/>
          <w:bCs/>
          <w:sz w:val="24"/>
        </w:rPr>
        <w:t>9</w:t>
      </w:r>
      <w:r>
        <w:rPr>
          <w:rFonts w:hint="eastAsia" w:ascii="宋体" w:hAnsi="宋体" w:cs="宋体"/>
          <w:b/>
          <w:bCs/>
          <w:sz w:val="24"/>
        </w:rPr>
        <w:t>月项目公司工商银行资金流入情况表:</w:t>
      </w:r>
    </w:p>
    <w:tbl>
      <w:tblPr>
        <w:tblStyle w:val="12"/>
        <w:tblW w:w="90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1077"/>
        <w:gridCol w:w="1296"/>
        <w:gridCol w:w="1282"/>
        <w:gridCol w:w="1377"/>
        <w:gridCol w:w="3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收款时间</w:t>
            </w:r>
          </w:p>
        </w:tc>
        <w:tc>
          <w:tcPr>
            <w:tcW w:w="1296"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付款方</w:t>
            </w:r>
          </w:p>
        </w:tc>
        <w:tc>
          <w:tcPr>
            <w:tcW w:w="1282"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3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3420"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2020/9/21</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工商银行</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银行结息</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2.61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中国工商银行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（31-00028019200079977）</w:t>
            </w:r>
          </w:p>
        </w:tc>
      </w:tr>
    </w:tbl>
    <w:p>
      <w:pPr>
        <w:pStyle w:val="3"/>
        <w:spacing w:before="300" w:after="300" w:line="360" w:lineRule="exact"/>
        <w:rPr>
          <w:sz w:val="24"/>
          <w:szCs w:val="24"/>
        </w:rPr>
      </w:pPr>
      <w:r>
        <w:rPr>
          <w:rFonts w:cs="Arial"/>
          <w:sz w:val="24"/>
          <w:szCs w:val="24"/>
        </w:rPr>
        <w:t>7.3、</w:t>
      </w:r>
      <w:r>
        <w:rPr>
          <w:rFonts w:hint="eastAsia" w:asciiTheme="majorEastAsia" w:hAnsiTheme="majorEastAsia" w:eastAsiaTheme="majorEastAsia" w:cstheme="majorEastAsia"/>
          <w:sz w:val="24"/>
          <w:szCs w:val="24"/>
        </w:rPr>
        <w:t>资金结算</w:t>
      </w:r>
      <w:bookmarkEnd w:id="135"/>
      <w:bookmarkEnd w:id="136"/>
      <w:bookmarkEnd w:id="137"/>
      <w:bookmarkEnd w:id="138"/>
      <w:bookmarkEnd w:id="139"/>
      <w:bookmarkEnd w:id="140"/>
      <w:bookmarkEnd w:id="141"/>
      <w:bookmarkEnd w:id="142"/>
      <w:bookmarkEnd w:id="143"/>
      <w:bookmarkEnd w:id="144"/>
      <w:bookmarkEnd w:id="145"/>
      <w:bookmarkEnd w:id="146"/>
    </w:p>
    <w:p>
      <w:pPr>
        <w:pStyle w:val="4"/>
        <w:spacing w:before="300" w:after="300" w:line="360" w:lineRule="exact"/>
        <w:rPr>
          <w:rFonts w:asciiTheme="majorEastAsia" w:hAnsiTheme="majorEastAsia" w:eastAsiaTheme="majorEastAsia" w:cstheme="majorEastAsia"/>
          <w:sz w:val="24"/>
        </w:rPr>
      </w:pPr>
      <w:r>
        <w:rPr>
          <w:rFonts w:ascii="Arial" w:hAnsi="Arial" w:cs="Arial" w:eastAsiaTheme="majorEastAsia"/>
          <w:sz w:val="24"/>
        </w:rPr>
        <w:t>7.3.1、</w:t>
      </w:r>
      <w:r>
        <w:rPr>
          <w:rFonts w:hint="eastAsia" w:asciiTheme="majorEastAsia" w:hAnsiTheme="majorEastAsia" w:eastAsiaTheme="majorEastAsia" w:cstheme="majorEastAsia"/>
          <w:sz w:val="24"/>
        </w:rPr>
        <w:t>各账户余额</w:t>
      </w:r>
    </w:p>
    <w:p>
      <w:pPr>
        <w:spacing w:line="480" w:lineRule="auto"/>
        <w:ind w:firstLine="420"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Cs/>
          <w:kern w:val="44"/>
          <w:szCs w:val="21"/>
        </w:rPr>
        <w:t>截至</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9</w:t>
      </w:r>
      <w:r>
        <w:rPr>
          <w:rFonts w:hint="eastAsia" w:asciiTheme="minorEastAsia" w:hAnsiTheme="minorEastAsia" w:eastAsiaTheme="minorEastAsia" w:cstheme="minorEastAsia"/>
          <w:bCs/>
          <w:kern w:val="44"/>
          <w:szCs w:val="21"/>
        </w:rPr>
        <w:t>月</w:t>
      </w:r>
      <w:r>
        <w:rPr>
          <w:rFonts w:ascii="Arial" w:hAnsi="Arial" w:cs="Arial" w:eastAsiaTheme="minorEastAsia"/>
          <w:bCs/>
          <w:kern w:val="44"/>
          <w:szCs w:val="21"/>
        </w:rPr>
        <w:t>30</w:t>
      </w:r>
      <w:r>
        <w:rPr>
          <w:rFonts w:hint="eastAsia" w:asciiTheme="minorEastAsia" w:hAnsiTheme="minorEastAsia" w:eastAsiaTheme="minorEastAsia" w:cstheme="minorEastAsia"/>
          <w:bCs/>
          <w:kern w:val="44"/>
          <w:szCs w:val="21"/>
        </w:rPr>
        <w:t>日，项目公司各资金账户余额总计</w:t>
      </w:r>
      <w:r>
        <w:rPr>
          <w:rFonts w:hint="eastAsia" w:ascii="Arial" w:hAnsi="Arial" w:cs="Arial" w:eastAsiaTheme="minorEastAsia"/>
          <w:bCs/>
          <w:kern w:val="44"/>
          <w:szCs w:val="21"/>
        </w:rPr>
        <w:t>522248.08</w:t>
      </w:r>
      <w:r>
        <w:rPr>
          <w:rFonts w:hint="eastAsia" w:asciiTheme="minorEastAsia" w:hAnsiTheme="minorEastAsia" w:eastAsiaTheme="minorEastAsia" w:cstheme="minorEastAsia"/>
          <w:bCs/>
          <w:kern w:val="44"/>
          <w:szCs w:val="21"/>
        </w:rPr>
        <w:t>元，各账户余额见下表。</w:t>
      </w:r>
    </w:p>
    <w:p>
      <w:pPr>
        <w:spacing w:before="315" w:beforeLines="100"/>
        <w:jc w:val="center"/>
        <w:rPr>
          <w:rFonts w:ascii="Arial" w:hAnsi="Arial"/>
          <w:b/>
          <w:color w:val="000000"/>
          <w:sz w:val="24"/>
        </w:rPr>
      </w:pPr>
      <w:r>
        <w:rPr>
          <w:rFonts w:hint="eastAsia" w:asciiTheme="minorEastAsia" w:hAnsiTheme="minorEastAsia" w:eastAsiaTheme="minorEastAsia" w:cstheme="minorEastAsia"/>
          <w:b/>
          <w:color w:val="000000"/>
          <w:sz w:val="24"/>
        </w:rPr>
        <w:t>截至</w:t>
      </w:r>
      <w:r>
        <w:rPr>
          <w:rFonts w:ascii="Arial" w:hAnsi="Arial" w:cs="Arial" w:eastAsiaTheme="minorEastAsia"/>
          <w:b/>
          <w:color w:val="000000"/>
          <w:sz w:val="24"/>
        </w:rPr>
        <w:t>2020</w:t>
      </w:r>
      <w:r>
        <w:rPr>
          <w:rFonts w:hint="eastAsia" w:asciiTheme="minorEastAsia" w:hAnsiTheme="minorEastAsia" w:eastAsiaTheme="minorEastAsia" w:cstheme="minorEastAsia"/>
          <w:b/>
          <w:color w:val="000000"/>
          <w:sz w:val="24"/>
        </w:rPr>
        <w:t>年</w:t>
      </w:r>
      <w:r>
        <w:rPr>
          <w:rFonts w:ascii="Arial" w:hAnsi="Arial" w:cs="Arial" w:eastAsiaTheme="minorEastAsia"/>
          <w:b/>
          <w:color w:val="000000"/>
          <w:sz w:val="24"/>
        </w:rPr>
        <w:t>9</w:t>
      </w:r>
      <w:r>
        <w:rPr>
          <w:rFonts w:hint="eastAsia" w:asciiTheme="minorEastAsia" w:hAnsiTheme="minorEastAsia" w:eastAsiaTheme="minorEastAsia" w:cstheme="minorEastAsia"/>
          <w:b/>
          <w:color w:val="000000"/>
          <w:sz w:val="24"/>
        </w:rPr>
        <w:t>月</w:t>
      </w:r>
      <w:r>
        <w:rPr>
          <w:rFonts w:ascii="Arial" w:hAnsi="Arial" w:cs="Arial" w:eastAsiaTheme="minorEastAsia"/>
          <w:b/>
          <w:color w:val="000000"/>
          <w:sz w:val="24"/>
        </w:rPr>
        <w:t>30</w:t>
      </w:r>
      <w:r>
        <w:rPr>
          <w:rFonts w:hint="eastAsia" w:asciiTheme="minorEastAsia" w:hAnsiTheme="minorEastAsia" w:eastAsiaTheme="minorEastAsia" w:cstheme="minorEastAsia"/>
          <w:b/>
          <w:color w:val="000000"/>
          <w:sz w:val="24"/>
        </w:rPr>
        <w:t>日各银行账户余额表</w:t>
      </w:r>
    </w:p>
    <w:tbl>
      <w:tblPr>
        <w:tblStyle w:val="1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373"/>
        <w:gridCol w:w="2673"/>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blHeader/>
          <w:jc w:val="center"/>
        </w:trPr>
        <w:tc>
          <w:tcPr>
            <w:tcW w:w="628"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序号</w:t>
            </w:r>
          </w:p>
        </w:tc>
        <w:tc>
          <w:tcPr>
            <w:tcW w:w="2373"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开户行</w:t>
            </w:r>
          </w:p>
        </w:tc>
        <w:tc>
          <w:tcPr>
            <w:tcW w:w="2673"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账号</w:t>
            </w:r>
          </w:p>
        </w:tc>
        <w:tc>
          <w:tcPr>
            <w:tcW w:w="3435"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470,259.20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中国工商银行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3100028019200079977</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3,405.60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浦东发展银行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83180078801300000304</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中国农业发展银行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20350010900100000169331</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48,583.28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中国工商银行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3100001119100024211</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791908714410902</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674" w:type="dxa"/>
            <w:gridSpan w:val="3"/>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总    计</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522,248.08</w:t>
            </w:r>
          </w:p>
        </w:tc>
      </w:tr>
    </w:tbl>
    <w:p>
      <w:pPr>
        <w:pStyle w:val="3"/>
        <w:spacing w:before="300" w:after="300" w:line="360" w:lineRule="exact"/>
        <w:jc w:val="left"/>
        <w:rPr>
          <w:sz w:val="24"/>
          <w:szCs w:val="24"/>
        </w:rPr>
      </w:pPr>
      <w:bookmarkStart w:id="147" w:name="_Toc20834"/>
      <w:bookmarkStart w:id="148" w:name="_Toc22309"/>
      <w:bookmarkStart w:id="149" w:name="_Toc31348"/>
      <w:bookmarkStart w:id="150" w:name="_Toc30659"/>
      <w:bookmarkStart w:id="151" w:name="_Toc19767"/>
      <w:bookmarkStart w:id="152" w:name="_Toc15740"/>
      <w:r>
        <w:rPr>
          <w:rFonts w:cs="Arial"/>
          <w:sz w:val="24"/>
          <w:szCs w:val="24"/>
        </w:rPr>
        <w:t>7.4、</w:t>
      </w:r>
      <w:r>
        <w:rPr>
          <w:rFonts w:hint="eastAsia" w:asciiTheme="majorEastAsia" w:hAnsiTheme="majorEastAsia" w:eastAsiaTheme="majorEastAsia" w:cstheme="majorEastAsia"/>
          <w:sz w:val="24"/>
          <w:szCs w:val="24"/>
        </w:rPr>
        <w:t>负债情况</w:t>
      </w:r>
      <w:bookmarkEnd w:id="147"/>
      <w:bookmarkEnd w:id="148"/>
      <w:bookmarkEnd w:id="149"/>
      <w:bookmarkEnd w:id="150"/>
      <w:bookmarkEnd w:id="151"/>
      <w:bookmarkEnd w:id="152"/>
    </w:p>
    <w:p>
      <w:pPr>
        <w:spacing w:line="480" w:lineRule="auto"/>
        <w:ind w:firstLine="420" w:firstLineChars="200"/>
        <w:rPr>
          <w:rFonts w:ascii="Arial" w:hAnsi="Arial" w:cs="Arial" w:eastAsiaTheme="majorEastAsia"/>
          <w:sz w:val="24"/>
        </w:rPr>
      </w:pP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ascii="Arial" w:hAnsi="Arial" w:cs="Arial" w:eastAsiaTheme="minorEastAsia"/>
          <w:szCs w:val="21"/>
        </w:rPr>
        <w:t>9</w:t>
      </w:r>
      <w:r>
        <w:rPr>
          <w:rFonts w:hint="eastAsia" w:asciiTheme="minorEastAsia" w:hAnsiTheme="minorEastAsia" w:eastAsiaTheme="minorEastAsia" w:cstheme="minorEastAsia"/>
          <w:szCs w:val="21"/>
        </w:rPr>
        <w:t>月内未发生商业承兑汇票，无商票数据。</w:t>
      </w:r>
      <w:bookmarkStart w:id="153" w:name="_Toc32144"/>
      <w:bookmarkStart w:id="154" w:name="_Toc27270"/>
      <w:bookmarkStart w:id="155" w:name="_Toc16896"/>
      <w:bookmarkStart w:id="156" w:name="_Toc26114"/>
      <w:bookmarkStart w:id="157" w:name="_Toc30561"/>
      <w:bookmarkStart w:id="158" w:name="_Toc7945"/>
      <w:bookmarkStart w:id="159" w:name="_Toc535508646"/>
      <w:bookmarkStart w:id="160" w:name="_Toc32370"/>
      <w:bookmarkStart w:id="161" w:name="_Toc535570760"/>
      <w:bookmarkStart w:id="162" w:name="_Toc535580101"/>
      <w:bookmarkStart w:id="163" w:name="_Toc535580033"/>
      <w:bookmarkStart w:id="164" w:name="_Toc532281664"/>
      <w:bookmarkStart w:id="165" w:name="_Toc37668503"/>
      <w:r>
        <w:rPr>
          <w:rFonts w:hint="eastAsia" w:ascii="Arial" w:hAnsi="Arial" w:cs="Arial" w:eastAsiaTheme="majorEastAsia"/>
          <w:sz w:val="24"/>
        </w:rPr>
        <w:t xml:space="preserve">           </w:t>
      </w:r>
    </w:p>
    <w:p>
      <w:pPr>
        <w:pStyle w:val="2"/>
        <w:spacing w:before="300" w:after="300" w:line="360" w:lineRule="exact"/>
        <w:rPr>
          <w:rFonts w:asciiTheme="majorEastAsia" w:hAnsiTheme="majorEastAsia" w:eastAsiaTheme="majorEastAsia" w:cstheme="majorEastAsia"/>
          <w:sz w:val="24"/>
        </w:rPr>
      </w:pPr>
      <w:r>
        <w:rPr>
          <w:rFonts w:ascii="Arial" w:hAnsi="Arial" w:cs="Arial" w:eastAsiaTheme="majorEastAsia"/>
          <w:sz w:val="24"/>
        </w:rPr>
        <w:t>8</w:t>
      </w:r>
      <w:r>
        <w:rPr>
          <w:rFonts w:hint="eastAsia" w:ascii="Arial" w:hAnsi="Arial" w:cs="Arial" w:eastAsiaTheme="majorEastAsia"/>
          <w:sz w:val="24"/>
        </w:rPr>
        <w:t>、</w:t>
      </w:r>
      <w:r>
        <w:rPr>
          <w:rFonts w:hint="eastAsia" w:asciiTheme="majorEastAsia" w:hAnsiTheme="majorEastAsia" w:eastAsiaTheme="majorEastAsia" w:cstheme="majorEastAsia"/>
          <w:sz w:val="24"/>
        </w:rPr>
        <w:t>月度监管总结及建议</w:t>
      </w:r>
      <w:bookmarkEnd w:id="153"/>
      <w:bookmarkEnd w:id="154"/>
      <w:bookmarkEnd w:id="155"/>
      <w:bookmarkEnd w:id="156"/>
      <w:bookmarkEnd w:id="157"/>
      <w:bookmarkEnd w:id="158"/>
    </w:p>
    <w:p>
      <w:pPr>
        <w:spacing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我公司在</w:t>
      </w: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ascii="Arial" w:hAnsi="Arial" w:cs="Arial" w:eastAsiaTheme="minorEastAsia"/>
          <w:szCs w:val="21"/>
        </w:rPr>
        <w:t>9</w:t>
      </w:r>
      <w:r>
        <w:rPr>
          <w:rFonts w:hint="eastAsia" w:asciiTheme="minorEastAsia" w:hAnsiTheme="minorEastAsia" w:eastAsiaTheme="minorEastAsia" w:cstheme="minorEastAsia"/>
          <w:szCs w:val="21"/>
        </w:rPr>
        <w:t>月份对重庆恒隆健康项目监管期间内，所监管的标的项目在成本、项目合同、工程进度、印鉴使用、资金收付等方面未发现不规范现象，后续我司将继续在以上几个方面加强审核与监管。</w:t>
      </w:r>
    </w:p>
    <w:p>
      <w:pPr>
        <w:spacing w:line="480" w:lineRule="auto"/>
        <w:ind w:firstLine="420" w:firstLineChars="200"/>
        <w:rPr>
          <w:rFonts w:ascii="Arial" w:hAnsi="Arial" w:cs="Arial" w:eastAsiaTheme="minorEastAsia"/>
          <w:szCs w:val="21"/>
        </w:rPr>
      </w:pPr>
      <w:r>
        <w:rPr>
          <w:rFonts w:hint="eastAsia" w:asciiTheme="minorEastAsia" w:hAnsiTheme="minorEastAsia" w:eastAsiaTheme="minorEastAsia" w:cstheme="minorEastAsia"/>
          <w:szCs w:val="21"/>
        </w:rPr>
        <w:t>建议：虽已变更新的考核时点，仍</w:t>
      </w:r>
      <w:r>
        <w:rPr>
          <w:rFonts w:hint="eastAsia" w:ascii="Arial" w:hAnsi="Arial" w:cs="Arial" w:eastAsiaTheme="minorEastAsia"/>
          <w:szCs w:val="21"/>
        </w:rPr>
        <w:t>建议项目公司跟进证书办理进度，尽快取得相关证书，以免再次出现已到考核时点仍尚未取得相关证书的情况。</w:t>
      </w:r>
    </w:p>
    <w:p>
      <w:pPr>
        <w:spacing w:line="480" w:lineRule="auto"/>
        <w:ind w:firstLine="420" w:firstLineChars="200"/>
        <w:rPr>
          <w:rFonts w:ascii="Arial" w:hAnsi="Arial" w:cs="Arial" w:eastAsiaTheme="minorEastAsia"/>
          <w:szCs w:val="21"/>
        </w:rPr>
      </w:pPr>
      <w:r>
        <w:rPr>
          <w:rFonts w:hint="eastAsia" w:asciiTheme="minorEastAsia" w:hAnsiTheme="minorEastAsia" w:eastAsiaTheme="minorEastAsia" w:cstheme="minorEastAsia"/>
          <w:szCs w:val="21"/>
        </w:rPr>
        <w:t>综上所述，本月度监管工作正常，项目公司积极配合；除项目进度及五证办理进度外，本项目其他情况进展正常。</w:t>
      </w:r>
    </w:p>
    <w:p>
      <w:pPr>
        <w:tabs>
          <w:tab w:val="left" w:pos="426"/>
        </w:tabs>
        <w:spacing w:line="480" w:lineRule="auto"/>
        <w:ind w:firstLine="411" w:firstLineChars="196"/>
        <w:jc w:val="right"/>
        <w:rPr>
          <w:rFonts w:ascii="Arial" w:hAnsi="Arial" w:cs="Arial"/>
          <w:bCs/>
          <w:szCs w:val="21"/>
        </w:rPr>
      </w:pPr>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ascii="Arial" w:hAnsi="Arial" w:cs="Arial"/>
          <w:bCs/>
          <w:szCs w:val="21"/>
        </w:rPr>
      </w:pPr>
      <w:r>
        <w:rPr>
          <w:rFonts w:ascii="Arial" w:hAnsi="Arial" w:cs="Arial"/>
          <w:bCs/>
          <w:szCs w:val="21"/>
        </w:rPr>
        <w:t>驻场监管：</w:t>
      </w:r>
      <w:r>
        <w:rPr>
          <w:rFonts w:hint="eastAsia" w:ascii="Arial" w:hAnsi="Arial" w:cs="Arial"/>
          <w:bCs/>
          <w:szCs w:val="21"/>
        </w:rPr>
        <w:t>何艳秋</w:t>
      </w:r>
    </w:p>
    <w:p>
      <w:pPr>
        <w:spacing w:line="480" w:lineRule="auto"/>
        <w:jc w:val="right"/>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2020年</w:t>
      </w:r>
      <w:r>
        <w:rPr>
          <w:rFonts w:hint="eastAsia" w:ascii="Arial" w:hAnsi="Arial" w:cs="Arial"/>
          <w:bCs/>
          <w:szCs w:val="21"/>
        </w:rPr>
        <w:t>10</w:t>
      </w:r>
      <w:r>
        <w:rPr>
          <w:rFonts w:ascii="Arial" w:hAnsi="Arial" w:cs="Arial"/>
          <w:bCs/>
          <w:szCs w:val="21"/>
        </w:rPr>
        <w:t>月</w:t>
      </w:r>
      <w:r>
        <w:rPr>
          <w:rFonts w:hint="eastAsia" w:ascii="Arial" w:hAnsi="Arial" w:cs="Arial"/>
          <w:bCs/>
          <w:szCs w:val="21"/>
        </w:rPr>
        <w:t>9</w:t>
      </w:r>
      <w:r>
        <w:rPr>
          <w:rFonts w:ascii="Arial" w:hAnsi="Arial" w:cs="Arial"/>
          <w:bCs/>
          <w:szCs w:val="21"/>
        </w:rPr>
        <w:t>日于重庆</w:t>
      </w:r>
    </w:p>
    <w:p>
      <w:pPr>
        <w:pStyle w:val="3"/>
        <w:keepNext w:val="0"/>
        <w:keepLines w:val="0"/>
        <w:spacing w:before="300" w:after="300" w:line="360" w:lineRule="exact"/>
        <w:rPr>
          <w:rFonts w:eastAsia="宋体"/>
          <w:sz w:val="24"/>
        </w:rPr>
      </w:pPr>
      <w:bookmarkStart w:id="166" w:name="_Toc20905"/>
      <w:bookmarkStart w:id="167" w:name="_Toc8396"/>
      <w:bookmarkStart w:id="168" w:name="_Toc24391"/>
      <w:bookmarkStart w:id="169" w:name="_Toc1110"/>
    </w:p>
    <w:p>
      <w:pPr>
        <w:pStyle w:val="3"/>
        <w:keepNext w:val="0"/>
        <w:keepLines w:val="0"/>
        <w:spacing w:before="300" w:after="300" w:line="360" w:lineRule="exact"/>
        <w:rPr>
          <w:rFonts w:eastAsia="宋体"/>
          <w:sz w:val="24"/>
        </w:rPr>
      </w:pPr>
      <w:bookmarkStart w:id="170" w:name="_Toc10357"/>
      <w:bookmarkStart w:id="171" w:name="_Toc3482"/>
      <w:r>
        <w:rPr>
          <w:rFonts w:hint="eastAsia" w:eastAsia="宋体"/>
          <w:sz w:val="24"/>
        </w:rPr>
        <w:t>附件</w:t>
      </w:r>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4"/>
        <w:keepNext w:val="0"/>
        <w:keepLines w:val="0"/>
        <w:spacing w:before="300" w:after="300" w:line="360" w:lineRule="exact"/>
        <w:rPr>
          <w:rFonts w:ascii="宋体" w:hAnsi="宋体" w:cs="宋体"/>
          <w:color w:val="000000"/>
          <w:kern w:val="0"/>
          <w:sz w:val="24"/>
        </w:rPr>
      </w:pPr>
      <w:bookmarkStart w:id="172" w:name="_Toc10928"/>
      <w:bookmarkStart w:id="173" w:name="_Toc535580034"/>
      <w:bookmarkStart w:id="174" w:name="_Toc535508647"/>
      <w:bookmarkStart w:id="175" w:name="_Toc535570761"/>
      <w:bookmarkStart w:id="176" w:name="_Toc37668504"/>
      <w:bookmarkStart w:id="177" w:name="_Toc535580102"/>
      <w:r>
        <w:rPr>
          <w:rFonts w:hint="eastAsia"/>
          <w:sz w:val="24"/>
        </w:rPr>
        <w:t>1、银行对账单</w:t>
      </w:r>
      <w:bookmarkEnd w:id="172"/>
      <w:bookmarkEnd w:id="173"/>
      <w:bookmarkEnd w:id="174"/>
      <w:bookmarkEnd w:id="175"/>
      <w:bookmarkEnd w:id="176"/>
      <w:bookmarkEnd w:id="177"/>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中国农业银行        单位：元</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drawing>
          <wp:inline distT="0" distB="0" distL="114300" distR="114300">
            <wp:extent cx="5895975" cy="3511550"/>
            <wp:effectExtent l="0" t="0" r="1905" b="8890"/>
            <wp:docPr id="31" name="图片 31"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农行"/>
                    <pic:cNvPicPr>
                      <a:picLocks noChangeAspect="1"/>
                    </pic:cNvPicPr>
                  </pic:nvPicPr>
                  <pic:blipFill>
                    <a:blip r:embed="rId22"/>
                    <a:stretch>
                      <a:fillRect/>
                    </a:stretch>
                  </pic:blipFill>
                  <pic:spPr>
                    <a:xfrm>
                      <a:off x="0" y="0"/>
                      <a:ext cx="5895975" cy="3511550"/>
                    </a:xfrm>
                    <a:prstGeom prst="rect">
                      <a:avLst/>
                    </a:prstGeom>
                  </pic:spPr>
                </pic:pic>
              </a:graphicData>
            </a:graphic>
          </wp:inline>
        </w:drawing>
      </w: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中国工商银行(北碚支行)        单位：元</w:t>
      </w:r>
      <w:r>
        <w:rPr>
          <w:rFonts w:hint="eastAsia" w:ascii="宋体" w:hAnsi="宋体" w:cs="宋体"/>
          <w:b/>
          <w:color w:val="000000"/>
          <w:kern w:val="0"/>
          <w:sz w:val="24"/>
        </w:rPr>
        <w:drawing>
          <wp:inline distT="0" distB="0" distL="114300" distR="114300">
            <wp:extent cx="5895975" cy="2831465"/>
            <wp:effectExtent l="0" t="0" r="1905" b="3175"/>
            <wp:docPr id="32" name="图片 32" descr="工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工商银行"/>
                    <pic:cNvPicPr>
                      <a:picLocks noChangeAspect="1"/>
                    </pic:cNvPicPr>
                  </pic:nvPicPr>
                  <pic:blipFill>
                    <a:blip r:embed="rId23"/>
                    <a:stretch>
                      <a:fillRect/>
                    </a:stretch>
                  </pic:blipFill>
                  <pic:spPr>
                    <a:xfrm>
                      <a:off x="0" y="0"/>
                      <a:ext cx="5895975" cy="2831465"/>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盛京银行        单位：元</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drawing>
          <wp:inline distT="0" distB="0" distL="114300" distR="114300">
            <wp:extent cx="5901690" cy="3355975"/>
            <wp:effectExtent l="0" t="0" r="11430" b="12065"/>
            <wp:docPr id="33" name="图片 33" descr="盛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盛京银行"/>
                    <pic:cNvPicPr>
                      <a:picLocks noChangeAspect="1"/>
                    </pic:cNvPicPr>
                  </pic:nvPicPr>
                  <pic:blipFill>
                    <a:blip r:embed="rId24"/>
                    <a:stretch>
                      <a:fillRect/>
                    </a:stretch>
                  </pic:blipFill>
                  <pic:spPr>
                    <a:xfrm>
                      <a:off x="0" y="0"/>
                      <a:ext cx="5901690" cy="3355975"/>
                    </a:xfrm>
                    <a:prstGeom prst="rect">
                      <a:avLst/>
                    </a:prstGeom>
                  </pic:spPr>
                </pic:pic>
              </a:graphicData>
            </a:graphic>
          </wp:inline>
        </w:drawing>
      </w:r>
    </w:p>
    <w:p>
      <w:pPr>
        <w:pStyle w:val="4"/>
        <w:keepNext w:val="0"/>
        <w:keepLines w:val="0"/>
        <w:spacing w:before="300" w:after="300" w:line="360" w:lineRule="exact"/>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4"/>
        <w:keepNext w:val="0"/>
        <w:keepLines w:val="0"/>
        <w:numPr>
          <w:ilvl w:val="0"/>
          <w:numId w:val="2"/>
        </w:numPr>
        <w:spacing w:before="300" w:after="300" w:line="360" w:lineRule="exact"/>
        <w:rPr>
          <w:sz w:val="24"/>
        </w:rPr>
      </w:pPr>
      <w:r>
        <w:rPr>
          <w:rFonts w:hint="eastAsia"/>
          <w:sz w:val="24"/>
        </w:rPr>
        <w:t>新法人章、新营业执照共管交接表</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新营业执照共管交接表</w:t>
      </w:r>
    </w:p>
    <w:p>
      <w:pPr>
        <w:spacing w:before="315" w:beforeLines="100"/>
        <w:jc w:val="center"/>
        <w:rPr>
          <w:rFonts w:ascii="宋体" w:hAnsi="宋体" w:cs="宋体"/>
          <w:b/>
          <w:color w:val="000000"/>
          <w:kern w:val="0"/>
          <w:sz w:val="24"/>
        </w:rPr>
      </w:pPr>
      <w:r>
        <w:rPr>
          <w:rFonts w:ascii="宋体" w:hAnsi="宋体" w:cs="宋体"/>
          <w:b/>
          <w:color w:val="000000"/>
          <w:kern w:val="0"/>
          <w:sz w:val="24"/>
        </w:rPr>
        <w:drawing>
          <wp:inline distT="0" distB="0" distL="114300" distR="114300">
            <wp:extent cx="5332730" cy="7543165"/>
            <wp:effectExtent l="0" t="0" r="1270" b="635"/>
            <wp:docPr id="7" name="图片 7" descr="新营业执照交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营业执照交接表_00"/>
                    <pic:cNvPicPr>
                      <a:picLocks noChangeAspect="1"/>
                    </pic:cNvPicPr>
                  </pic:nvPicPr>
                  <pic:blipFill>
                    <a:blip r:embed="rId25"/>
                    <a:stretch>
                      <a:fillRect/>
                    </a:stretch>
                  </pic:blipFill>
                  <pic:spPr>
                    <a:xfrm>
                      <a:off x="0" y="0"/>
                      <a:ext cx="5332730" cy="7543165"/>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新法人章共管交接表</w:t>
      </w:r>
    </w:p>
    <w:p>
      <w:pPr>
        <w:spacing w:before="315" w:beforeLines="100"/>
        <w:jc w:val="center"/>
        <w:rPr>
          <w:rFonts w:ascii="宋体" w:hAnsi="宋体" w:cs="宋体"/>
          <w:b/>
          <w:color w:val="000000"/>
          <w:kern w:val="0"/>
          <w:sz w:val="24"/>
        </w:rPr>
      </w:pPr>
      <w:r>
        <w:rPr>
          <w:rFonts w:ascii="宋体" w:hAnsi="宋体" w:cs="宋体"/>
          <w:b/>
          <w:color w:val="000000"/>
          <w:kern w:val="0"/>
          <w:sz w:val="24"/>
        </w:rPr>
        <w:drawing>
          <wp:inline distT="0" distB="0" distL="114300" distR="114300">
            <wp:extent cx="5390515" cy="7624445"/>
            <wp:effectExtent l="0" t="0" r="4445" b="10795"/>
            <wp:docPr id="9" name="图片 9" descr="新法人章交接表-杨丰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法人章交接表-杨丰波_00"/>
                    <pic:cNvPicPr>
                      <a:picLocks noChangeAspect="1"/>
                    </pic:cNvPicPr>
                  </pic:nvPicPr>
                  <pic:blipFill>
                    <a:blip r:embed="rId26"/>
                    <a:stretch>
                      <a:fillRect/>
                    </a:stretch>
                  </pic:blipFill>
                  <pic:spPr>
                    <a:xfrm>
                      <a:off x="0" y="0"/>
                      <a:ext cx="5390515" cy="7624445"/>
                    </a:xfrm>
                    <a:prstGeom prst="rect">
                      <a:avLst/>
                    </a:prstGeom>
                  </pic:spPr>
                </pic:pic>
              </a:graphicData>
            </a:graphic>
          </wp:inline>
        </w:drawing>
      </w:r>
    </w:p>
    <w:p>
      <w:pPr>
        <w:pStyle w:val="4"/>
        <w:keepNext w:val="0"/>
        <w:keepLines w:val="0"/>
        <w:spacing w:before="300" w:after="300" w:line="360" w:lineRule="exact"/>
        <w:rPr>
          <w:sz w:val="24"/>
        </w:rPr>
      </w:pPr>
    </w:p>
    <w:p>
      <w:pPr>
        <w:pStyle w:val="4"/>
        <w:keepNext w:val="0"/>
        <w:keepLines w:val="0"/>
        <w:spacing w:before="300" w:after="300" w:line="360" w:lineRule="exact"/>
        <w:rPr>
          <w:sz w:val="24"/>
        </w:rPr>
      </w:pPr>
      <w:r>
        <w:rPr>
          <w:rFonts w:hint="eastAsia"/>
          <w:sz w:val="24"/>
        </w:rPr>
        <w:t>3、项目公司法人变更前后证照</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原营业执照（正、副本）</w:t>
      </w:r>
    </w:p>
    <w:p>
      <w:r>
        <w:drawing>
          <wp:inline distT="0" distB="0" distL="114300" distR="114300">
            <wp:extent cx="5902960" cy="3457575"/>
            <wp:effectExtent l="0" t="0" r="2540" b="9525"/>
            <wp:docPr id="5" name="图片 5" descr="恒隆健康证照扫描备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恒隆健康证照扫描备份_02"/>
                    <pic:cNvPicPr>
                      <a:picLocks noChangeAspect="1"/>
                    </pic:cNvPicPr>
                  </pic:nvPicPr>
                  <pic:blipFill>
                    <a:blip r:embed="rId27"/>
                    <a:stretch>
                      <a:fillRect/>
                    </a:stretch>
                  </pic:blipFill>
                  <pic:spPr>
                    <a:xfrm>
                      <a:off x="0" y="0"/>
                      <a:ext cx="5902960" cy="3457575"/>
                    </a:xfrm>
                    <a:prstGeom prst="rect">
                      <a:avLst/>
                    </a:prstGeom>
                  </pic:spPr>
                </pic:pic>
              </a:graphicData>
            </a:graphic>
          </wp:inline>
        </w:drawing>
      </w:r>
    </w:p>
    <w:p>
      <w:r>
        <w:drawing>
          <wp:inline distT="0" distB="0" distL="114300" distR="114300">
            <wp:extent cx="5902960" cy="4171315"/>
            <wp:effectExtent l="0" t="0" r="10160" b="4445"/>
            <wp:docPr id="1" name="图片 1" descr="恒隆健康证照扫描备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恒隆健康证照扫描备份_00"/>
                    <pic:cNvPicPr>
                      <a:picLocks noChangeAspect="1"/>
                    </pic:cNvPicPr>
                  </pic:nvPicPr>
                  <pic:blipFill>
                    <a:blip r:embed="rId28"/>
                    <a:stretch>
                      <a:fillRect/>
                    </a:stretch>
                  </pic:blipFill>
                  <pic:spPr>
                    <a:xfrm>
                      <a:off x="0" y="0"/>
                      <a:ext cx="5902960" cy="4171315"/>
                    </a:xfrm>
                    <a:prstGeom prst="rect">
                      <a:avLst/>
                    </a:prstGeom>
                  </pic:spPr>
                </pic:pic>
              </a:graphicData>
            </a:graphic>
          </wp:inline>
        </w:drawing>
      </w:r>
    </w:p>
    <w:p>
      <w:pPr>
        <w:pStyle w:val="4"/>
        <w:keepNext w:val="0"/>
        <w:keepLines w:val="0"/>
        <w:spacing w:before="300" w:after="300" w:line="360" w:lineRule="exact"/>
        <w:rPr>
          <w:rFonts w:ascii="宋体" w:hAnsi="宋体" w:cs="宋体"/>
          <w:color w:val="000000"/>
          <w:kern w:val="0"/>
          <w:sz w:val="24"/>
        </w:rPr>
      </w:pPr>
      <w:r>
        <w:rPr>
          <w:rFonts w:ascii="宋体" w:hAnsi="宋体" w:cs="宋体"/>
          <w:color w:val="000000"/>
          <w:kern w:val="0"/>
          <w:sz w:val="24"/>
        </w:rPr>
        <w:drawing>
          <wp:inline distT="0" distB="0" distL="114300" distR="114300">
            <wp:extent cx="5902960" cy="4171315"/>
            <wp:effectExtent l="0" t="0" r="10160" b="4445"/>
            <wp:docPr id="10" name="图片 10" descr="恒隆健康证照扫描备份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恒隆健康证照扫描备份_03"/>
                    <pic:cNvPicPr>
                      <a:picLocks noChangeAspect="1"/>
                    </pic:cNvPicPr>
                  </pic:nvPicPr>
                  <pic:blipFill>
                    <a:blip r:embed="rId29"/>
                    <a:stretch>
                      <a:fillRect/>
                    </a:stretch>
                  </pic:blipFill>
                  <pic:spPr>
                    <a:xfrm>
                      <a:off x="0" y="0"/>
                      <a:ext cx="5902960" cy="4171315"/>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原印章备案回执</w:t>
      </w:r>
    </w:p>
    <w:p>
      <w:pPr>
        <w:rPr>
          <w:rFonts w:ascii="宋体" w:hAnsi="宋体" w:cs="宋体"/>
          <w:b/>
          <w:color w:val="000000"/>
          <w:kern w:val="0"/>
          <w:sz w:val="24"/>
        </w:rPr>
      </w:pPr>
      <w:r>
        <w:rPr>
          <w:rFonts w:ascii="宋体" w:hAnsi="宋体" w:cs="宋体"/>
          <w:b/>
          <w:color w:val="000000"/>
          <w:kern w:val="0"/>
          <w:sz w:val="24"/>
        </w:rPr>
        <w:drawing>
          <wp:inline distT="0" distB="0" distL="114300" distR="114300">
            <wp:extent cx="5902960" cy="4171315"/>
            <wp:effectExtent l="0" t="0" r="10160" b="4445"/>
            <wp:docPr id="2" name="图片 2" descr="恒隆健康证照扫描备份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恒隆健康证照扫描备份_03"/>
                    <pic:cNvPicPr>
                      <a:picLocks noChangeAspect="1"/>
                    </pic:cNvPicPr>
                  </pic:nvPicPr>
                  <pic:blipFill>
                    <a:blip r:embed="rId29"/>
                    <a:stretch>
                      <a:fillRect/>
                    </a:stretch>
                  </pic:blipFill>
                  <pic:spPr>
                    <a:xfrm>
                      <a:off x="0" y="0"/>
                      <a:ext cx="5902960" cy="4171315"/>
                    </a:xfrm>
                    <a:prstGeom prst="rect">
                      <a:avLst/>
                    </a:prstGeom>
                  </pic:spPr>
                </pic:pic>
              </a:graphicData>
            </a:graphic>
          </wp:inline>
        </w:drawing>
      </w: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新营业执照（正、副本）</w:t>
      </w:r>
    </w:p>
    <w:p>
      <w:pPr>
        <w:rPr>
          <w:rFonts w:ascii="宋体" w:hAnsi="宋体" w:cs="宋体"/>
          <w:b/>
          <w:color w:val="000000"/>
          <w:kern w:val="0"/>
          <w:sz w:val="24"/>
        </w:rPr>
      </w:pPr>
      <w:r>
        <w:rPr>
          <w:rFonts w:ascii="宋体" w:hAnsi="宋体" w:cs="宋体"/>
          <w:b/>
          <w:color w:val="000000"/>
          <w:kern w:val="0"/>
          <w:sz w:val="24"/>
        </w:rPr>
        <w:drawing>
          <wp:inline distT="0" distB="0" distL="114300" distR="114300">
            <wp:extent cx="5892800" cy="4167505"/>
            <wp:effectExtent l="0" t="0" r="5080" b="8255"/>
            <wp:docPr id="3" name="图片 3" descr="营业执照正本2020.9.2（法人变更为杨丰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正本2020.9.2（法人变更为杨丰波）_00"/>
                    <pic:cNvPicPr>
                      <a:picLocks noChangeAspect="1"/>
                    </pic:cNvPicPr>
                  </pic:nvPicPr>
                  <pic:blipFill>
                    <a:blip r:embed="rId30"/>
                    <a:stretch>
                      <a:fillRect/>
                    </a:stretch>
                  </pic:blipFill>
                  <pic:spPr>
                    <a:xfrm>
                      <a:off x="0" y="0"/>
                      <a:ext cx="5892800" cy="4167505"/>
                    </a:xfrm>
                    <a:prstGeom prst="rect">
                      <a:avLst/>
                    </a:prstGeom>
                  </pic:spPr>
                </pic:pic>
              </a:graphicData>
            </a:graphic>
          </wp:inline>
        </w:drawing>
      </w:r>
      <w:r>
        <w:rPr>
          <w:rFonts w:ascii="宋体" w:hAnsi="宋体" w:cs="宋体"/>
          <w:b/>
          <w:color w:val="000000"/>
          <w:kern w:val="0"/>
          <w:sz w:val="24"/>
        </w:rPr>
        <w:drawing>
          <wp:inline distT="0" distB="0" distL="114300" distR="114300">
            <wp:extent cx="5895975" cy="4168775"/>
            <wp:effectExtent l="0" t="0" r="1905" b="6985"/>
            <wp:docPr id="4" name="图片 4" descr="营业执照副本2020.9.2（法人变更为杨丰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营业执照副本2020.9.2（法人变更为杨丰波）_00"/>
                    <pic:cNvPicPr>
                      <a:picLocks noChangeAspect="1"/>
                    </pic:cNvPicPr>
                  </pic:nvPicPr>
                  <pic:blipFill>
                    <a:blip r:embed="rId31"/>
                    <a:stretch>
                      <a:fillRect/>
                    </a:stretch>
                  </pic:blipFill>
                  <pic:spPr>
                    <a:xfrm>
                      <a:off x="0" y="0"/>
                      <a:ext cx="5895975" cy="4168775"/>
                    </a:xfrm>
                    <a:prstGeom prst="rect">
                      <a:avLst/>
                    </a:prstGeom>
                  </pic:spPr>
                </pic:pic>
              </a:graphicData>
            </a:graphic>
          </wp:inline>
        </w:drawing>
      </w:r>
    </w:p>
    <w:sectPr>
      <w:footerReference r:id="rId5" w:type="default"/>
      <w:pgSz w:w="11906" w:h="16838"/>
      <w:pgMar w:top="1843" w:right="1134" w:bottom="1134" w:left="1134" w:header="851" w:footer="992" w:gutter="340"/>
      <w:pgNumType w:start="1"/>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824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xkc/WHQIAABgEAAAOAAAAZHJzL2Uyb0RvYy54bWytU82O&#10;0zAQviPxDpbvNGlhl6pquiq7KkKq2JUK4uw6ThPJf9huk/IA8AacuHDnufocfHaaLgJOiIszmRnP&#10;zPfN5/lNpyQ5COcbows6HuWUCM1N2ehdQd+/Wz2bUuID0yWTRouCHoWnN4unT+atnYmJqY0shSMo&#10;ov2stQWtQ7CzLPO8For5kbFCI1gZp1jAr9tlpWMtqiuZTfL8OmuNK60zXHgP710fpItUv6oED/dV&#10;5UUgsqCYLaTTpXMbz2wxZ7OdY7Zu+HkM9g9TKNZoNL2UumOBkb1r/iilGu6MN1UYcaMyU1UNFwkD&#10;0Izz39BsamZFwgJyvL3Q5P9fWf728OBIUxb0+jklmins6PT1y+nbj9P3zwQ+ENRaP0PexiIzdK9M&#10;h0UPfg9nxN1VTsUvEBHEQfXxQq/oAuHx0tU4f/mCEo7QeDqZTvPEf/Z42zofXgujSDQK6rC+xCo7&#10;rH3AJEgdUmIzbVaNlGmFUpM2YrjK04VLBDekjrkiieFcJiLqJ49W6LbdGebWlEegdKYXird81WCU&#10;NfPhgTkoA8Cg9nCPo5IGLc3ZoqQ27tPf/DEfC0OUkhZKK6j/uGdOUCLfaKwyynIw3GBsB0Pv1a2B&#10;eMd4R5YnExdckINZOaM+4BEsYxeEmOboVdAwmLeh1zseERfLZUqC+CwLa72xPJaOBHm73AcQmniO&#10;tPRcgPT4A/kl+s9PJer71/+U9f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Kd1tcAAAAI&#10;AQAADwAAAAAAAAABACAAAAAiAAAAZHJzL2Rvd25yZXYueG1sUEsBAhQAFAAAAAgAh07iQLGRz9Yd&#10;AgAAGAQAAA4AAAAAAAAAAQAgAAAAJgEAAGRycy9lMm9Eb2MueG1sUEsFBgAAAAAGAAYAWQEAALUF&#10;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2020年9月监管月报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323C8"/>
    <w:multiLevelType w:val="singleLevel"/>
    <w:tmpl w:val="9AC323C8"/>
    <w:lvl w:ilvl="0" w:tentative="0">
      <w:start w:val="3"/>
      <w:numFmt w:val="decimal"/>
      <w:suff w:val="nothing"/>
      <w:lvlText w:val="%1、"/>
      <w:lvlJc w:val="left"/>
    </w:lvl>
  </w:abstractNum>
  <w:abstractNum w:abstractNumId="1">
    <w:nsid w:val="15A515AC"/>
    <w:multiLevelType w:val="singleLevel"/>
    <w:tmpl w:val="15A515AC"/>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HorizontalSpacing w:val="210"/>
  <w:drawingGridVerticalSpacing w:val="16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870B8"/>
    <w:rsid w:val="00093479"/>
    <w:rsid w:val="000B5635"/>
    <w:rsid w:val="00165662"/>
    <w:rsid w:val="001659B0"/>
    <w:rsid w:val="0017071C"/>
    <w:rsid w:val="0021184D"/>
    <w:rsid w:val="00261677"/>
    <w:rsid w:val="003732BD"/>
    <w:rsid w:val="00374DA6"/>
    <w:rsid w:val="003E1015"/>
    <w:rsid w:val="004943FA"/>
    <w:rsid w:val="004A45D1"/>
    <w:rsid w:val="00532027"/>
    <w:rsid w:val="005A11B6"/>
    <w:rsid w:val="007829BB"/>
    <w:rsid w:val="007A7CD9"/>
    <w:rsid w:val="008008EE"/>
    <w:rsid w:val="008375CD"/>
    <w:rsid w:val="00865361"/>
    <w:rsid w:val="00995910"/>
    <w:rsid w:val="009977D7"/>
    <w:rsid w:val="009D4B3D"/>
    <w:rsid w:val="00A47622"/>
    <w:rsid w:val="00AB70CC"/>
    <w:rsid w:val="00AF28D3"/>
    <w:rsid w:val="00B91E7B"/>
    <w:rsid w:val="00BA7AA0"/>
    <w:rsid w:val="00CF2A7C"/>
    <w:rsid w:val="00D5098B"/>
    <w:rsid w:val="00DB291D"/>
    <w:rsid w:val="00E02446"/>
    <w:rsid w:val="00E36D8F"/>
    <w:rsid w:val="00F01CC8"/>
    <w:rsid w:val="00F84996"/>
    <w:rsid w:val="010C29A7"/>
    <w:rsid w:val="013A307E"/>
    <w:rsid w:val="017E2C47"/>
    <w:rsid w:val="01C55987"/>
    <w:rsid w:val="01CF1B37"/>
    <w:rsid w:val="01EA0C34"/>
    <w:rsid w:val="02166EE5"/>
    <w:rsid w:val="02315DC3"/>
    <w:rsid w:val="02320A19"/>
    <w:rsid w:val="023D6C9F"/>
    <w:rsid w:val="028C2894"/>
    <w:rsid w:val="033C6DB3"/>
    <w:rsid w:val="033D0563"/>
    <w:rsid w:val="03651A4A"/>
    <w:rsid w:val="038A7BB8"/>
    <w:rsid w:val="03BB72FE"/>
    <w:rsid w:val="03EE26F0"/>
    <w:rsid w:val="040D6C9F"/>
    <w:rsid w:val="04B53012"/>
    <w:rsid w:val="04E802A8"/>
    <w:rsid w:val="05196AE4"/>
    <w:rsid w:val="05220598"/>
    <w:rsid w:val="053A20DF"/>
    <w:rsid w:val="055929F4"/>
    <w:rsid w:val="05CA0C00"/>
    <w:rsid w:val="05E8030B"/>
    <w:rsid w:val="05E92E76"/>
    <w:rsid w:val="06201681"/>
    <w:rsid w:val="062F2AAE"/>
    <w:rsid w:val="06585EAC"/>
    <w:rsid w:val="06836B60"/>
    <w:rsid w:val="06910C29"/>
    <w:rsid w:val="06EE1A28"/>
    <w:rsid w:val="071E1D6F"/>
    <w:rsid w:val="07260265"/>
    <w:rsid w:val="0757704E"/>
    <w:rsid w:val="0794671E"/>
    <w:rsid w:val="07A22AA6"/>
    <w:rsid w:val="083629A3"/>
    <w:rsid w:val="083E09FA"/>
    <w:rsid w:val="08700A4B"/>
    <w:rsid w:val="087C47C5"/>
    <w:rsid w:val="08945ABF"/>
    <w:rsid w:val="08BF2BA6"/>
    <w:rsid w:val="08CE0F3D"/>
    <w:rsid w:val="09361F12"/>
    <w:rsid w:val="093C61C7"/>
    <w:rsid w:val="0942735D"/>
    <w:rsid w:val="09A874B1"/>
    <w:rsid w:val="0A542E66"/>
    <w:rsid w:val="0A57276B"/>
    <w:rsid w:val="0A7E5073"/>
    <w:rsid w:val="0A91709D"/>
    <w:rsid w:val="0AB645C8"/>
    <w:rsid w:val="0ABE3C5A"/>
    <w:rsid w:val="0AD31D1E"/>
    <w:rsid w:val="0AF805D9"/>
    <w:rsid w:val="0B102C80"/>
    <w:rsid w:val="0B14356C"/>
    <w:rsid w:val="0B286806"/>
    <w:rsid w:val="0B8C4513"/>
    <w:rsid w:val="0C6849D6"/>
    <w:rsid w:val="0D1D61EF"/>
    <w:rsid w:val="0D1F7811"/>
    <w:rsid w:val="0D444E00"/>
    <w:rsid w:val="0D616C53"/>
    <w:rsid w:val="0D6C31D5"/>
    <w:rsid w:val="0DA0292C"/>
    <w:rsid w:val="0DAD1026"/>
    <w:rsid w:val="0E4906FC"/>
    <w:rsid w:val="0E522C8D"/>
    <w:rsid w:val="0E567032"/>
    <w:rsid w:val="0E657E1B"/>
    <w:rsid w:val="0E8F28BD"/>
    <w:rsid w:val="0EEA6CDA"/>
    <w:rsid w:val="0F734B82"/>
    <w:rsid w:val="0FD43490"/>
    <w:rsid w:val="10175421"/>
    <w:rsid w:val="10362475"/>
    <w:rsid w:val="10A558D4"/>
    <w:rsid w:val="10DC52FA"/>
    <w:rsid w:val="11535CBA"/>
    <w:rsid w:val="11552E27"/>
    <w:rsid w:val="1167304F"/>
    <w:rsid w:val="117935E7"/>
    <w:rsid w:val="119679B0"/>
    <w:rsid w:val="11AD6BCF"/>
    <w:rsid w:val="11C11E45"/>
    <w:rsid w:val="120C5198"/>
    <w:rsid w:val="1218589A"/>
    <w:rsid w:val="124662A0"/>
    <w:rsid w:val="129D3BF6"/>
    <w:rsid w:val="12A15873"/>
    <w:rsid w:val="12B76584"/>
    <w:rsid w:val="12CA48F8"/>
    <w:rsid w:val="12CF7E9E"/>
    <w:rsid w:val="130D74DA"/>
    <w:rsid w:val="13C66D14"/>
    <w:rsid w:val="14381A56"/>
    <w:rsid w:val="14783ECD"/>
    <w:rsid w:val="147F0BD5"/>
    <w:rsid w:val="14962013"/>
    <w:rsid w:val="14E51EBF"/>
    <w:rsid w:val="15104FD3"/>
    <w:rsid w:val="15122FBD"/>
    <w:rsid w:val="15155EEC"/>
    <w:rsid w:val="15CD59F3"/>
    <w:rsid w:val="15D70172"/>
    <w:rsid w:val="15E741AC"/>
    <w:rsid w:val="16192252"/>
    <w:rsid w:val="16440B30"/>
    <w:rsid w:val="165D3BC9"/>
    <w:rsid w:val="16B27BA2"/>
    <w:rsid w:val="16CE01BA"/>
    <w:rsid w:val="16DC505C"/>
    <w:rsid w:val="16DD16E0"/>
    <w:rsid w:val="16E66865"/>
    <w:rsid w:val="16EE0DC7"/>
    <w:rsid w:val="16FD49E0"/>
    <w:rsid w:val="1710132E"/>
    <w:rsid w:val="171113A8"/>
    <w:rsid w:val="172F67DB"/>
    <w:rsid w:val="174E0008"/>
    <w:rsid w:val="17AD10D5"/>
    <w:rsid w:val="17E950BE"/>
    <w:rsid w:val="18044130"/>
    <w:rsid w:val="18B56304"/>
    <w:rsid w:val="18D56AE5"/>
    <w:rsid w:val="18F1277D"/>
    <w:rsid w:val="18FF4DE2"/>
    <w:rsid w:val="19334AC5"/>
    <w:rsid w:val="19821213"/>
    <w:rsid w:val="19957E49"/>
    <w:rsid w:val="1A150276"/>
    <w:rsid w:val="1A1764EA"/>
    <w:rsid w:val="1A352297"/>
    <w:rsid w:val="1A7D331F"/>
    <w:rsid w:val="1AC7425F"/>
    <w:rsid w:val="1ADB45D0"/>
    <w:rsid w:val="1B093958"/>
    <w:rsid w:val="1B230206"/>
    <w:rsid w:val="1B2D1265"/>
    <w:rsid w:val="1B511BE1"/>
    <w:rsid w:val="1B6263A2"/>
    <w:rsid w:val="1B821905"/>
    <w:rsid w:val="1B9705C1"/>
    <w:rsid w:val="1BE63143"/>
    <w:rsid w:val="1C5036B8"/>
    <w:rsid w:val="1C5D2E8D"/>
    <w:rsid w:val="1C913EC9"/>
    <w:rsid w:val="1CB353D0"/>
    <w:rsid w:val="1CB36EF1"/>
    <w:rsid w:val="1CDA4C10"/>
    <w:rsid w:val="1CF7229F"/>
    <w:rsid w:val="1D26100F"/>
    <w:rsid w:val="1D5664D9"/>
    <w:rsid w:val="1D97682D"/>
    <w:rsid w:val="1E246271"/>
    <w:rsid w:val="1E362BDF"/>
    <w:rsid w:val="1E3F3C23"/>
    <w:rsid w:val="1E4710E4"/>
    <w:rsid w:val="1E6A2573"/>
    <w:rsid w:val="1EAA6714"/>
    <w:rsid w:val="1EE1256C"/>
    <w:rsid w:val="1EF2692C"/>
    <w:rsid w:val="1F217C45"/>
    <w:rsid w:val="1F491095"/>
    <w:rsid w:val="1F8C30CF"/>
    <w:rsid w:val="1FA001D4"/>
    <w:rsid w:val="1FDA19BA"/>
    <w:rsid w:val="1FF13C52"/>
    <w:rsid w:val="200F7A30"/>
    <w:rsid w:val="2015625A"/>
    <w:rsid w:val="2020222B"/>
    <w:rsid w:val="209D4F1D"/>
    <w:rsid w:val="20C11509"/>
    <w:rsid w:val="20D7736E"/>
    <w:rsid w:val="20F42F4A"/>
    <w:rsid w:val="21B74056"/>
    <w:rsid w:val="21C86277"/>
    <w:rsid w:val="21E918BD"/>
    <w:rsid w:val="21F54CDA"/>
    <w:rsid w:val="21FE4897"/>
    <w:rsid w:val="22827278"/>
    <w:rsid w:val="22A01DEE"/>
    <w:rsid w:val="22A66EBA"/>
    <w:rsid w:val="22AB78C8"/>
    <w:rsid w:val="22BD71A3"/>
    <w:rsid w:val="22BE66AF"/>
    <w:rsid w:val="2366253B"/>
    <w:rsid w:val="23A4762F"/>
    <w:rsid w:val="23C66452"/>
    <w:rsid w:val="23C81640"/>
    <w:rsid w:val="23CD6011"/>
    <w:rsid w:val="241620AC"/>
    <w:rsid w:val="24253466"/>
    <w:rsid w:val="24877E13"/>
    <w:rsid w:val="24940F3E"/>
    <w:rsid w:val="24BC2899"/>
    <w:rsid w:val="252C0867"/>
    <w:rsid w:val="254933B7"/>
    <w:rsid w:val="255E4F9C"/>
    <w:rsid w:val="256718B5"/>
    <w:rsid w:val="25854E57"/>
    <w:rsid w:val="2587337B"/>
    <w:rsid w:val="25BF4477"/>
    <w:rsid w:val="25E1304A"/>
    <w:rsid w:val="25FE5909"/>
    <w:rsid w:val="26331672"/>
    <w:rsid w:val="263A7F07"/>
    <w:rsid w:val="265F470B"/>
    <w:rsid w:val="26D6241A"/>
    <w:rsid w:val="272261BA"/>
    <w:rsid w:val="27FA0B5F"/>
    <w:rsid w:val="281A0CFC"/>
    <w:rsid w:val="28BD2DDD"/>
    <w:rsid w:val="28D112C8"/>
    <w:rsid w:val="29630369"/>
    <w:rsid w:val="298A0811"/>
    <w:rsid w:val="29974216"/>
    <w:rsid w:val="29B43DA5"/>
    <w:rsid w:val="29D028FB"/>
    <w:rsid w:val="29E85065"/>
    <w:rsid w:val="29EC3E5F"/>
    <w:rsid w:val="2A5E6627"/>
    <w:rsid w:val="2AAA1765"/>
    <w:rsid w:val="2AAC4A91"/>
    <w:rsid w:val="2ABB0F6A"/>
    <w:rsid w:val="2AEB3CCA"/>
    <w:rsid w:val="2AEF3CDD"/>
    <w:rsid w:val="2B674A9B"/>
    <w:rsid w:val="2BD02DC0"/>
    <w:rsid w:val="2C055CC8"/>
    <w:rsid w:val="2C7509D2"/>
    <w:rsid w:val="2CD402CF"/>
    <w:rsid w:val="2CE90260"/>
    <w:rsid w:val="2CFB2DBA"/>
    <w:rsid w:val="2D2F6547"/>
    <w:rsid w:val="2D551F66"/>
    <w:rsid w:val="2D8E05DB"/>
    <w:rsid w:val="2DAC4650"/>
    <w:rsid w:val="2DC10904"/>
    <w:rsid w:val="2DD10D8A"/>
    <w:rsid w:val="2E052C34"/>
    <w:rsid w:val="2E1F0386"/>
    <w:rsid w:val="2E665E90"/>
    <w:rsid w:val="2EA913F6"/>
    <w:rsid w:val="2EB06303"/>
    <w:rsid w:val="2EFA6722"/>
    <w:rsid w:val="2F006E87"/>
    <w:rsid w:val="2F0D0257"/>
    <w:rsid w:val="2F1D07AD"/>
    <w:rsid w:val="2F260B27"/>
    <w:rsid w:val="2F3653E9"/>
    <w:rsid w:val="2F914072"/>
    <w:rsid w:val="2F955AA0"/>
    <w:rsid w:val="2FA35503"/>
    <w:rsid w:val="2FE328B0"/>
    <w:rsid w:val="30400D46"/>
    <w:rsid w:val="305672F0"/>
    <w:rsid w:val="305829B3"/>
    <w:rsid w:val="30632575"/>
    <w:rsid w:val="30707B05"/>
    <w:rsid w:val="30787087"/>
    <w:rsid w:val="30E459C5"/>
    <w:rsid w:val="30F7674E"/>
    <w:rsid w:val="30F9223D"/>
    <w:rsid w:val="31826D41"/>
    <w:rsid w:val="320E28CA"/>
    <w:rsid w:val="32345ABE"/>
    <w:rsid w:val="323D3A27"/>
    <w:rsid w:val="32634148"/>
    <w:rsid w:val="32A51025"/>
    <w:rsid w:val="32BF1556"/>
    <w:rsid w:val="32D525B4"/>
    <w:rsid w:val="330777A6"/>
    <w:rsid w:val="334F7BCF"/>
    <w:rsid w:val="337323D5"/>
    <w:rsid w:val="33B90D98"/>
    <w:rsid w:val="33F873D0"/>
    <w:rsid w:val="34392581"/>
    <w:rsid w:val="34605068"/>
    <w:rsid w:val="34E80493"/>
    <w:rsid w:val="34FB1BBD"/>
    <w:rsid w:val="34FD6485"/>
    <w:rsid w:val="35121199"/>
    <w:rsid w:val="353A0D3B"/>
    <w:rsid w:val="35CC22FE"/>
    <w:rsid w:val="35E61DAA"/>
    <w:rsid w:val="35EA531E"/>
    <w:rsid w:val="360C4478"/>
    <w:rsid w:val="36132E2D"/>
    <w:rsid w:val="36351C0A"/>
    <w:rsid w:val="36380B94"/>
    <w:rsid w:val="363C4175"/>
    <w:rsid w:val="36406931"/>
    <w:rsid w:val="366E0277"/>
    <w:rsid w:val="36E40CBA"/>
    <w:rsid w:val="37231EA5"/>
    <w:rsid w:val="37535CD6"/>
    <w:rsid w:val="37D83C1B"/>
    <w:rsid w:val="37EB2F6C"/>
    <w:rsid w:val="387F1BA7"/>
    <w:rsid w:val="390724AF"/>
    <w:rsid w:val="392A2814"/>
    <w:rsid w:val="39383609"/>
    <w:rsid w:val="398F5612"/>
    <w:rsid w:val="39CF595C"/>
    <w:rsid w:val="39DD71EF"/>
    <w:rsid w:val="39EC25B5"/>
    <w:rsid w:val="3A6363AA"/>
    <w:rsid w:val="3A7F32E6"/>
    <w:rsid w:val="3B521897"/>
    <w:rsid w:val="3BBB7350"/>
    <w:rsid w:val="3BDF7A46"/>
    <w:rsid w:val="3BEE417D"/>
    <w:rsid w:val="3C36744D"/>
    <w:rsid w:val="3C4736A7"/>
    <w:rsid w:val="3C5549F3"/>
    <w:rsid w:val="3C6719E7"/>
    <w:rsid w:val="3D857261"/>
    <w:rsid w:val="3DAF5B3C"/>
    <w:rsid w:val="3DB10B43"/>
    <w:rsid w:val="3DD02385"/>
    <w:rsid w:val="3DD817B8"/>
    <w:rsid w:val="3DF97B04"/>
    <w:rsid w:val="3E222D73"/>
    <w:rsid w:val="3ED40526"/>
    <w:rsid w:val="3ED63F28"/>
    <w:rsid w:val="3ED94E49"/>
    <w:rsid w:val="3F40184C"/>
    <w:rsid w:val="3FB051C6"/>
    <w:rsid w:val="3FBB575D"/>
    <w:rsid w:val="3FD0219C"/>
    <w:rsid w:val="3FDC17EC"/>
    <w:rsid w:val="40477CDF"/>
    <w:rsid w:val="40902A29"/>
    <w:rsid w:val="40A40676"/>
    <w:rsid w:val="40B30F26"/>
    <w:rsid w:val="40C30487"/>
    <w:rsid w:val="40C65C85"/>
    <w:rsid w:val="40D36BB3"/>
    <w:rsid w:val="41100D3D"/>
    <w:rsid w:val="41472DBE"/>
    <w:rsid w:val="417A7B3F"/>
    <w:rsid w:val="42314DB0"/>
    <w:rsid w:val="42521640"/>
    <w:rsid w:val="42E63350"/>
    <w:rsid w:val="43353F64"/>
    <w:rsid w:val="439D3C31"/>
    <w:rsid w:val="43D07772"/>
    <w:rsid w:val="43DC054A"/>
    <w:rsid w:val="43E81DCF"/>
    <w:rsid w:val="43FB252A"/>
    <w:rsid w:val="44903884"/>
    <w:rsid w:val="44BA6043"/>
    <w:rsid w:val="44DA2CDE"/>
    <w:rsid w:val="454D1AF8"/>
    <w:rsid w:val="45517578"/>
    <w:rsid w:val="45534B2C"/>
    <w:rsid w:val="455F15BF"/>
    <w:rsid w:val="45F12590"/>
    <w:rsid w:val="45FC4CEC"/>
    <w:rsid w:val="46333F7E"/>
    <w:rsid w:val="46581CAF"/>
    <w:rsid w:val="46603549"/>
    <w:rsid w:val="46660698"/>
    <w:rsid w:val="46BC7CB0"/>
    <w:rsid w:val="47057275"/>
    <w:rsid w:val="470D17B1"/>
    <w:rsid w:val="470E4C45"/>
    <w:rsid w:val="47241FF3"/>
    <w:rsid w:val="47682039"/>
    <w:rsid w:val="47BF2DC2"/>
    <w:rsid w:val="47C4478F"/>
    <w:rsid w:val="47DE106E"/>
    <w:rsid w:val="48454D45"/>
    <w:rsid w:val="48745D8C"/>
    <w:rsid w:val="48890D92"/>
    <w:rsid w:val="48971346"/>
    <w:rsid w:val="4897390F"/>
    <w:rsid w:val="489D03DE"/>
    <w:rsid w:val="48A93D4A"/>
    <w:rsid w:val="48AE23F1"/>
    <w:rsid w:val="48B16F13"/>
    <w:rsid w:val="48DC7F20"/>
    <w:rsid w:val="495922EE"/>
    <w:rsid w:val="49636ECA"/>
    <w:rsid w:val="49A73F0E"/>
    <w:rsid w:val="49B064A2"/>
    <w:rsid w:val="49E25AA9"/>
    <w:rsid w:val="4A105FFF"/>
    <w:rsid w:val="4A4366BA"/>
    <w:rsid w:val="4AB166C6"/>
    <w:rsid w:val="4AB54C8F"/>
    <w:rsid w:val="4ABA4C7D"/>
    <w:rsid w:val="4ACF3AC2"/>
    <w:rsid w:val="4ACF507B"/>
    <w:rsid w:val="4B070AE2"/>
    <w:rsid w:val="4B1470B2"/>
    <w:rsid w:val="4B4549E0"/>
    <w:rsid w:val="4B580AD6"/>
    <w:rsid w:val="4B832D06"/>
    <w:rsid w:val="4B9D5A2D"/>
    <w:rsid w:val="4C011845"/>
    <w:rsid w:val="4C0A38D9"/>
    <w:rsid w:val="4C120893"/>
    <w:rsid w:val="4C576F62"/>
    <w:rsid w:val="4C64174A"/>
    <w:rsid w:val="4C8E4C09"/>
    <w:rsid w:val="4CA85A8C"/>
    <w:rsid w:val="4CBD741F"/>
    <w:rsid w:val="4CD81A15"/>
    <w:rsid w:val="4CDB6B8E"/>
    <w:rsid w:val="4CFF0FA9"/>
    <w:rsid w:val="4D5F5F16"/>
    <w:rsid w:val="4D912EE1"/>
    <w:rsid w:val="4DC02368"/>
    <w:rsid w:val="4DC4420C"/>
    <w:rsid w:val="4E5B7865"/>
    <w:rsid w:val="4E722E76"/>
    <w:rsid w:val="4E844596"/>
    <w:rsid w:val="4EB773CB"/>
    <w:rsid w:val="4EDD5208"/>
    <w:rsid w:val="4F124E4E"/>
    <w:rsid w:val="4F675497"/>
    <w:rsid w:val="4F7870C7"/>
    <w:rsid w:val="4F7D34CB"/>
    <w:rsid w:val="4F7E1483"/>
    <w:rsid w:val="4F9746D4"/>
    <w:rsid w:val="503E302E"/>
    <w:rsid w:val="50464620"/>
    <w:rsid w:val="504A5719"/>
    <w:rsid w:val="509953FA"/>
    <w:rsid w:val="51184F8B"/>
    <w:rsid w:val="511D4A3B"/>
    <w:rsid w:val="515A18E7"/>
    <w:rsid w:val="51AF1CA5"/>
    <w:rsid w:val="527823BA"/>
    <w:rsid w:val="52847E60"/>
    <w:rsid w:val="530B0FED"/>
    <w:rsid w:val="53126824"/>
    <w:rsid w:val="5323477E"/>
    <w:rsid w:val="532B0A96"/>
    <w:rsid w:val="53A85C2F"/>
    <w:rsid w:val="53D55C19"/>
    <w:rsid w:val="53D64FBC"/>
    <w:rsid w:val="53E16732"/>
    <w:rsid w:val="53FC193A"/>
    <w:rsid w:val="54063B34"/>
    <w:rsid w:val="543B005B"/>
    <w:rsid w:val="546A0527"/>
    <w:rsid w:val="547E5EFE"/>
    <w:rsid w:val="54972C59"/>
    <w:rsid w:val="54F61DD6"/>
    <w:rsid w:val="54FB15F8"/>
    <w:rsid w:val="55376399"/>
    <w:rsid w:val="554C6397"/>
    <w:rsid w:val="554C6FD0"/>
    <w:rsid w:val="556E4017"/>
    <w:rsid w:val="55F67F33"/>
    <w:rsid w:val="56285A2C"/>
    <w:rsid w:val="56840263"/>
    <w:rsid w:val="56E262A5"/>
    <w:rsid w:val="57074657"/>
    <w:rsid w:val="572800A6"/>
    <w:rsid w:val="57913C91"/>
    <w:rsid w:val="57932768"/>
    <w:rsid w:val="57A03481"/>
    <w:rsid w:val="57BB4CCE"/>
    <w:rsid w:val="5814572D"/>
    <w:rsid w:val="582112FA"/>
    <w:rsid w:val="583478BD"/>
    <w:rsid w:val="586220E4"/>
    <w:rsid w:val="587A63AB"/>
    <w:rsid w:val="58D042A8"/>
    <w:rsid w:val="58DB479F"/>
    <w:rsid w:val="590A07A8"/>
    <w:rsid w:val="599928A8"/>
    <w:rsid w:val="599C2499"/>
    <w:rsid w:val="5A0064C5"/>
    <w:rsid w:val="5A2967DE"/>
    <w:rsid w:val="5AAA5F2F"/>
    <w:rsid w:val="5B66359B"/>
    <w:rsid w:val="5BB51C5E"/>
    <w:rsid w:val="5C1062BD"/>
    <w:rsid w:val="5C531FF4"/>
    <w:rsid w:val="5C545DD6"/>
    <w:rsid w:val="5C5736B5"/>
    <w:rsid w:val="5C790D79"/>
    <w:rsid w:val="5CAE745A"/>
    <w:rsid w:val="5CB668AA"/>
    <w:rsid w:val="5CBF6742"/>
    <w:rsid w:val="5CC25760"/>
    <w:rsid w:val="5CD31D5D"/>
    <w:rsid w:val="5D0E012C"/>
    <w:rsid w:val="5D197A04"/>
    <w:rsid w:val="5D574BAF"/>
    <w:rsid w:val="5D820EAB"/>
    <w:rsid w:val="5D866949"/>
    <w:rsid w:val="5E034C6A"/>
    <w:rsid w:val="5E4D4914"/>
    <w:rsid w:val="5E513A11"/>
    <w:rsid w:val="5EB15004"/>
    <w:rsid w:val="5EB4410A"/>
    <w:rsid w:val="5EB6332B"/>
    <w:rsid w:val="5F413254"/>
    <w:rsid w:val="5F48111D"/>
    <w:rsid w:val="5F542BDA"/>
    <w:rsid w:val="5F8D4DD5"/>
    <w:rsid w:val="5F9A0B2D"/>
    <w:rsid w:val="5FAE1DFB"/>
    <w:rsid w:val="5FD91DC4"/>
    <w:rsid w:val="603E1175"/>
    <w:rsid w:val="605909FC"/>
    <w:rsid w:val="60645724"/>
    <w:rsid w:val="609A227F"/>
    <w:rsid w:val="60B5622F"/>
    <w:rsid w:val="60C71ADD"/>
    <w:rsid w:val="6160734D"/>
    <w:rsid w:val="621653FF"/>
    <w:rsid w:val="6221354F"/>
    <w:rsid w:val="626E165E"/>
    <w:rsid w:val="629570DD"/>
    <w:rsid w:val="62A51D42"/>
    <w:rsid w:val="62CC4C09"/>
    <w:rsid w:val="63023035"/>
    <w:rsid w:val="63236FCB"/>
    <w:rsid w:val="63313733"/>
    <w:rsid w:val="635C1823"/>
    <w:rsid w:val="63D65F21"/>
    <w:rsid w:val="63EB43E7"/>
    <w:rsid w:val="63EC2743"/>
    <w:rsid w:val="63F660B1"/>
    <w:rsid w:val="642D4CAA"/>
    <w:rsid w:val="643967C2"/>
    <w:rsid w:val="64935A44"/>
    <w:rsid w:val="6494069E"/>
    <w:rsid w:val="64F951FF"/>
    <w:rsid w:val="65002607"/>
    <w:rsid w:val="652278A6"/>
    <w:rsid w:val="65327C34"/>
    <w:rsid w:val="65D612F9"/>
    <w:rsid w:val="65DA0542"/>
    <w:rsid w:val="65F50BAE"/>
    <w:rsid w:val="65FF427C"/>
    <w:rsid w:val="660042F0"/>
    <w:rsid w:val="66201E86"/>
    <w:rsid w:val="66331A67"/>
    <w:rsid w:val="667C0BBD"/>
    <w:rsid w:val="66B334A0"/>
    <w:rsid w:val="66BC35E5"/>
    <w:rsid w:val="67157540"/>
    <w:rsid w:val="672F48E2"/>
    <w:rsid w:val="67630D20"/>
    <w:rsid w:val="67AE0E7A"/>
    <w:rsid w:val="67ED5E50"/>
    <w:rsid w:val="67F37BE8"/>
    <w:rsid w:val="680F58B4"/>
    <w:rsid w:val="68414DEA"/>
    <w:rsid w:val="68784875"/>
    <w:rsid w:val="68853E97"/>
    <w:rsid w:val="68880596"/>
    <w:rsid w:val="689E6B3C"/>
    <w:rsid w:val="68BC77D1"/>
    <w:rsid w:val="68CC231E"/>
    <w:rsid w:val="690276BC"/>
    <w:rsid w:val="696E297A"/>
    <w:rsid w:val="696F5637"/>
    <w:rsid w:val="69762E36"/>
    <w:rsid w:val="6A081A42"/>
    <w:rsid w:val="6A1C6D62"/>
    <w:rsid w:val="6A5A647F"/>
    <w:rsid w:val="6ACF4367"/>
    <w:rsid w:val="6AD24527"/>
    <w:rsid w:val="6AD61432"/>
    <w:rsid w:val="6B014E7A"/>
    <w:rsid w:val="6BD419A2"/>
    <w:rsid w:val="6BE713B7"/>
    <w:rsid w:val="6C2815B2"/>
    <w:rsid w:val="6D550BFD"/>
    <w:rsid w:val="6D551685"/>
    <w:rsid w:val="6D5A254D"/>
    <w:rsid w:val="6D5E2AE8"/>
    <w:rsid w:val="6D8B5A68"/>
    <w:rsid w:val="6D8F189F"/>
    <w:rsid w:val="6D953E53"/>
    <w:rsid w:val="6D962DD9"/>
    <w:rsid w:val="6DB64F7C"/>
    <w:rsid w:val="6DD43BBB"/>
    <w:rsid w:val="6E0148B3"/>
    <w:rsid w:val="6E031251"/>
    <w:rsid w:val="6E4142B1"/>
    <w:rsid w:val="6E593129"/>
    <w:rsid w:val="6EDB6B60"/>
    <w:rsid w:val="6EEB1E9B"/>
    <w:rsid w:val="6F54325B"/>
    <w:rsid w:val="6F8079AB"/>
    <w:rsid w:val="6F963D08"/>
    <w:rsid w:val="6FFF3E93"/>
    <w:rsid w:val="702E0C02"/>
    <w:rsid w:val="704E6133"/>
    <w:rsid w:val="70614264"/>
    <w:rsid w:val="70B11F8C"/>
    <w:rsid w:val="70C76292"/>
    <w:rsid w:val="70EE6FD7"/>
    <w:rsid w:val="71CC3BC2"/>
    <w:rsid w:val="72A96148"/>
    <w:rsid w:val="72B82F6D"/>
    <w:rsid w:val="73121083"/>
    <w:rsid w:val="731B7E5F"/>
    <w:rsid w:val="734635D6"/>
    <w:rsid w:val="73494B3A"/>
    <w:rsid w:val="74143D54"/>
    <w:rsid w:val="7498630D"/>
    <w:rsid w:val="753B1A05"/>
    <w:rsid w:val="75427B8A"/>
    <w:rsid w:val="755128AA"/>
    <w:rsid w:val="75625F61"/>
    <w:rsid w:val="75704CD3"/>
    <w:rsid w:val="75861A03"/>
    <w:rsid w:val="75AB6514"/>
    <w:rsid w:val="76673B0F"/>
    <w:rsid w:val="769726D0"/>
    <w:rsid w:val="76E75C5E"/>
    <w:rsid w:val="77514124"/>
    <w:rsid w:val="77540B09"/>
    <w:rsid w:val="7770715E"/>
    <w:rsid w:val="777A0AA5"/>
    <w:rsid w:val="77CB5187"/>
    <w:rsid w:val="77F5032A"/>
    <w:rsid w:val="77FD0D00"/>
    <w:rsid w:val="77FF2424"/>
    <w:rsid w:val="782A3BA2"/>
    <w:rsid w:val="78415982"/>
    <w:rsid w:val="78607EA0"/>
    <w:rsid w:val="78AD5C8F"/>
    <w:rsid w:val="78C4617B"/>
    <w:rsid w:val="78FB7897"/>
    <w:rsid w:val="795530FC"/>
    <w:rsid w:val="796B4C93"/>
    <w:rsid w:val="79A00B5F"/>
    <w:rsid w:val="79AC762A"/>
    <w:rsid w:val="79B26F55"/>
    <w:rsid w:val="79F733E6"/>
    <w:rsid w:val="7A5B0298"/>
    <w:rsid w:val="7A650814"/>
    <w:rsid w:val="7ABE263D"/>
    <w:rsid w:val="7BAC2841"/>
    <w:rsid w:val="7BDF1E78"/>
    <w:rsid w:val="7C115B2E"/>
    <w:rsid w:val="7C147B79"/>
    <w:rsid w:val="7C9E2421"/>
    <w:rsid w:val="7CB610BD"/>
    <w:rsid w:val="7CC72A7D"/>
    <w:rsid w:val="7CCE3A54"/>
    <w:rsid w:val="7CF10754"/>
    <w:rsid w:val="7CFB58AB"/>
    <w:rsid w:val="7D4010FC"/>
    <w:rsid w:val="7D806D24"/>
    <w:rsid w:val="7DB82310"/>
    <w:rsid w:val="7E416EFE"/>
    <w:rsid w:val="7E794027"/>
    <w:rsid w:val="7E9477C2"/>
    <w:rsid w:val="7EA3121C"/>
    <w:rsid w:val="7EA778EC"/>
    <w:rsid w:val="7EB019B8"/>
    <w:rsid w:val="7EBC3552"/>
    <w:rsid w:val="7F0A0AED"/>
    <w:rsid w:val="7F5F47E1"/>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43"/>
    <w:qFormat/>
    <w:uiPriority w:val="0"/>
    <w:pPr>
      <w:jc w:val="left"/>
    </w:pPr>
  </w:style>
  <w:style w:type="paragraph" w:styleId="6">
    <w:name w:val="Balloon Text"/>
    <w:basedOn w:val="1"/>
    <w:link w:val="42"/>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annotation subject"/>
    <w:basedOn w:val="5"/>
    <w:next w:val="5"/>
    <w:link w:val="44"/>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333333"/>
      <w:u w:val="none"/>
    </w:rPr>
  </w:style>
  <w:style w:type="character" w:styleId="17">
    <w:name w:val="Emphasis"/>
    <w:basedOn w:val="14"/>
    <w:qFormat/>
    <w:uiPriority w:val="0"/>
  </w:style>
  <w:style w:type="character" w:styleId="18">
    <w:name w:val="HTML Definition"/>
    <w:basedOn w:val="14"/>
    <w:qFormat/>
    <w:uiPriority w:val="0"/>
    <w:rPr>
      <w:i/>
      <w:color w:val="CC0000"/>
    </w:rPr>
  </w:style>
  <w:style w:type="character" w:styleId="19">
    <w:name w:val="Hyperlink"/>
    <w:basedOn w:val="14"/>
    <w:qFormat/>
    <w:uiPriority w:val="0"/>
    <w:rPr>
      <w:color w:val="333333"/>
      <w:u w:val="none"/>
    </w:rPr>
  </w:style>
  <w:style w:type="character" w:styleId="20">
    <w:name w:val="HTML Code"/>
    <w:basedOn w:val="14"/>
    <w:qFormat/>
    <w:uiPriority w:val="0"/>
    <w:rPr>
      <w:rFonts w:hint="default" w:ascii="Consolas" w:hAnsi="Consolas" w:eastAsia="Consolas" w:cs="Consolas"/>
      <w:color w:val="C7254E"/>
      <w:sz w:val="21"/>
      <w:szCs w:val="21"/>
      <w:shd w:val="clear" w:color="auto" w:fill="F9F2F4"/>
    </w:rPr>
  </w:style>
  <w:style w:type="character" w:styleId="21">
    <w:name w:val="annotation reference"/>
    <w:basedOn w:val="14"/>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标题 1 字符"/>
    <w:link w:val="2"/>
    <w:qFormat/>
    <w:uiPriority w:val="0"/>
    <w:rPr>
      <w:b/>
      <w:kern w:val="44"/>
      <w:sz w:val="44"/>
    </w:rPr>
  </w:style>
  <w:style w:type="character" w:customStyle="1" w:styleId="25">
    <w:name w:val="font21"/>
    <w:basedOn w:val="14"/>
    <w:qFormat/>
    <w:uiPriority w:val="0"/>
    <w:rPr>
      <w:rFonts w:hint="eastAsia" w:ascii="宋体" w:hAnsi="宋体" w:eastAsia="宋体" w:cs="宋体"/>
      <w:color w:val="000000"/>
      <w:sz w:val="20"/>
      <w:szCs w:val="20"/>
      <w:u w:val="none"/>
    </w:rPr>
  </w:style>
  <w:style w:type="character" w:customStyle="1" w:styleId="26">
    <w:name w:val="font01"/>
    <w:basedOn w:val="14"/>
    <w:qFormat/>
    <w:uiPriority w:val="0"/>
    <w:rPr>
      <w:rFonts w:hint="eastAsia" w:ascii="宋体" w:hAnsi="宋体" w:eastAsia="宋体" w:cs="宋体"/>
      <w:color w:val="0C0C0C"/>
      <w:sz w:val="20"/>
      <w:szCs w:val="20"/>
      <w:u w:val="none"/>
    </w:rPr>
  </w:style>
  <w:style w:type="character" w:customStyle="1" w:styleId="27">
    <w:name w:val="font11"/>
    <w:basedOn w:val="14"/>
    <w:qFormat/>
    <w:uiPriority w:val="0"/>
    <w:rPr>
      <w:rFonts w:hint="eastAsia" w:ascii="宋体" w:hAnsi="宋体" w:eastAsia="宋体" w:cs="宋体"/>
      <w:color w:val="000000"/>
      <w:sz w:val="20"/>
      <w:szCs w:val="20"/>
      <w:u w:val="none"/>
    </w:rPr>
  </w:style>
  <w:style w:type="character" w:customStyle="1" w:styleId="28">
    <w:name w:val="jedateymchok"/>
    <w:basedOn w:val="14"/>
    <w:qFormat/>
    <w:uiPriority w:val="0"/>
    <w:rPr>
      <w:color w:val="FFFFFF"/>
      <w:sz w:val="18"/>
      <w:szCs w:val="18"/>
      <w:shd w:val="clear" w:color="auto" w:fill="D91600"/>
    </w:rPr>
  </w:style>
  <w:style w:type="character" w:customStyle="1" w:styleId="29">
    <w:name w:val="first-child"/>
    <w:basedOn w:val="14"/>
    <w:qFormat/>
    <w:uiPriority w:val="0"/>
  </w:style>
  <w:style w:type="character" w:customStyle="1" w:styleId="30">
    <w:name w:val="jedateymchle"/>
    <w:basedOn w:val="14"/>
    <w:qFormat/>
    <w:uiPriority w:val="0"/>
    <w:rPr>
      <w:color w:val="555555"/>
      <w:sz w:val="24"/>
      <w:szCs w:val="24"/>
      <w:shd w:val="clear" w:color="auto" w:fill="F0F0F0"/>
    </w:rPr>
  </w:style>
  <w:style w:type="character" w:customStyle="1" w:styleId="31">
    <w:name w:val="fl"/>
    <w:basedOn w:val="14"/>
    <w:qFormat/>
    <w:uiPriority w:val="0"/>
  </w:style>
  <w:style w:type="character" w:customStyle="1" w:styleId="32">
    <w:name w:val="jedateymchri"/>
    <w:basedOn w:val="14"/>
    <w:qFormat/>
    <w:uiPriority w:val="0"/>
    <w:rPr>
      <w:color w:val="555555"/>
      <w:sz w:val="24"/>
      <w:szCs w:val="24"/>
      <w:shd w:val="clear" w:color="auto" w:fill="F0F0F0"/>
    </w:rPr>
  </w:style>
  <w:style w:type="character" w:customStyle="1" w:styleId="33">
    <w:name w:val="jedateymchri1"/>
    <w:basedOn w:val="14"/>
    <w:qFormat/>
    <w:uiPriority w:val="0"/>
    <w:rPr>
      <w:color w:val="555555"/>
      <w:sz w:val="24"/>
      <w:szCs w:val="24"/>
      <w:shd w:val="clear" w:color="auto" w:fill="F0F0F0"/>
    </w:rPr>
  </w:style>
  <w:style w:type="character" w:customStyle="1" w:styleId="34">
    <w:name w:val="jedateymchri2"/>
    <w:basedOn w:val="14"/>
    <w:qFormat/>
    <w:uiPriority w:val="0"/>
    <w:rPr>
      <w:color w:val="555555"/>
      <w:sz w:val="24"/>
      <w:szCs w:val="24"/>
      <w:shd w:val="clear" w:color="auto" w:fill="F0F0F0"/>
    </w:rPr>
  </w:style>
  <w:style w:type="character" w:customStyle="1" w:styleId="35">
    <w:name w:val="jedateymchri3"/>
    <w:basedOn w:val="14"/>
    <w:qFormat/>
    <w:uiPriority w:val="0"/>
    <w:rPr>
      <w:color w:val="1F547E"/>
      <w:sz w:val="24"/>
      <w:szCs w:val="24"/>
      <w:shd w:val="clear" w:color="auto" w:fill="ECF4FB"/>
    </w:rPr>
  </w:style>
  <w:style w:type="character" w:customStyle="1" w:styleId="36">
    <w:name w:val="layui-layer-tabnow"/>
    <w:basedOn w:val="14"/>
    <w:qFormat/>
    <w:uiPriority w:val="0"/>
    <w:rPr>
      <w:bdr w:val="single" w:color="CCCCCC" w:sz="6" w:space="0"/>
      <w:shd w:val="clear" w:color="auto" w:fill="FFFFFF"/>
    </w:rPr>
  </w:style>
  <w:style w:type="character" w:customStyle="1" w:styleId="37">
    <w:name w:val="icon-cry"/>
    <w:basedOn w:val="14"/>
    <w:qFormat/>
    <w:uiPriority w:val="0"/>
  </w:style>
  <w:style w:type="character" w:customStyle="1" w:styleId="38">
    <w:name w:val="nav-icon22"/>
    <w:basedOn w:val="14"/>
    <w:qFormat/>
    <w:uiPriority w:val="0"/>
  </w:style>
  <w:style w:type="character" w:customStyle="1" w:styleId="39">
    <w:name w:val="list-item-name"/>
    <w:basedOn w:val="14"/>
    <w:qFormat/>
    <w:uiPriority w:val="0"/>
    <w:rPr>
      <w:color w:val="333333"/>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批注框文本 字符"/>
    <w:basedOn w:val="14"/>
    <w:link w:val="6"/>
    <w:qFormat/>
    <w:uiPriority w:val="0"/>
    <w:rPr>
      <w:kern w:val="2"/>
      <w:sz w:val="18"/>
      <w:szCs w:val="18"/>
    </w:rPr>
  </w:style>
  <w:style w:type="character" w:customStyle="1" w:styleId="43">
    <w:name w:val="批注文字 字符"/>
    <w:basedOn w:val="14"/>
    <w:link w:val="5"/>
    <w:qFormat/>
    <w:uiPriority w:val="0"/>
    <w:rPr>
      <w:kern w:val="2"/>
      <w:sz w:val="21"/>
      <w:szCs w:val="24"/>
    </w:rPr>
  </w:style>
  <w:style w:type="character" w:customStyle="1" w:styleId="44">
    <w:name w:val="批注主题 字符"/>
    <w:basedOn w:val="43"/>
    <w:link w:val="11"/>
    <w:qFormat/>
    <w:uiPriority w:val="0"/>
    <w:rPr>
      <w:b/>
      <w:bCs/>
      <w:kern w:val="2"/>
      <w:sz w:val="21"/>
      <w:szCs w:val="24"/>
    </w:rPr>
  </w:style>
  <w:style w:type="character" w:customStyle="1" w:styleId="45">
    <w:name w:val="font31"/>
    <w:basedOn w:val="14"/>
    <w:qFormat/>
    <w:uiPriority w:val="0"/>
    <w:rPr>
      <w:rFonts w:hint="eastAsia" w:ascii="宋体" w:hAnsi="宋体" w:eastAsia="宋体" w:cs="宋体"/>
      <w:color w:val="000000"/>
      <w:sz w:val="20"/>
      <w:szCs w:val="20"/>
      <w:u w:val="none"/>
    </w:rPr>
  </w:style>
  <w:style w:type="character" w:customStyle="1" w:styleId="46">
    <w:name w:val="font41"/>
    <w:basedOn w:val="1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2051</Words>
  <Characters>11693</Characters>
  <Lines>97</Lines>
  <Paragraphs>27</Paragraphs>
  <TotalTime>88</TotalTime>
  <ScaleCrop>false</ScaleCrop>
  <LinksUpToDate>false</LinksUpToDate>
  <CharactersWithSpaces>13717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2020-04-23T02:25:00Z</dcterms:created>
  <dc:creator>刘涛</dc:creator>
  <cp:lastModifiedBy>FengWang</cp:lastModifiedBy>
  <cp:lastPrinted>2020-07-22T09:25:00Z</cp:lastPrinted>
  <dcterms:modified xsi:type="dcterms:W3CDTF">2020-10-12T02:21:02Z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