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6300"/>
        </w:tabs>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36"/>
          <w:szCs w:val="36"/>
        </w:rPr>
      </w:pPr>
      <w:bookmarkStart w:id="0" w:name="_Toc12631"/>
      <w:bookmarkStart w:id="1" w:name="_Toc26632"/>
      <w:bookmarkStart w:id="2" w:name="_Toc6414"/>
      <w:r>
        <w:rPr>
          <w:rFonts w:ascii="Arial" w:hAnsi="Arial" w:cs="Arial"/>
          <w:b/>
          <w:color w:val="000000"/>
          <w:spacing w:val="60"/>
          <w:kern w:val="10"/>
          <w:sz w:val="36"/>
          <w:szCs w:val="36"/>
        </w:rPr>
        <w:t>诚盈三期（2012年丹龙常州）项目</w:t>
      </w:r>
      <w:bookmarkEnd w:id="0"/>
      <w:bookmarkEnd w:id="1"/>
      <w:bookmarkEnd w:id="2"/>
    </w:p>
    <w:p>
      <w:pPr>
        <w:spacing w:line="480" w:lineRule="auto"/>
        <w:jc w:val="center"/>
        <w:rPr>
          <w:rFonts w:ascii="Arial" w:hAnsi="Arial" w:cs="Arial"/>
          <w:b/>
          <w:color w:val="000000"/>
          <w:sz w:val="24"/>
        </w:rPr>
      </w:pPr>
      <w:bookmarkStart w:id="3" w:name="_Toc31338"/>
      <w:r>
        <w:rPr>
          <w:rFonts w:ascii="Arial" w:hAnsi="Arial" w:cs="Arial"/>
          <w:b/>
          <w:color w:val="000000"/>
          <w:spacing w:val="60"/>
          <w:kern w:val="10"/>
          <w:sz w:val="36"/>
          <w:szCs w:val="36"/>
        </w:rPr>
        <w:t>2021年</w:t>
      </w:r>
      <w:r>
        <w:rPr>
          <w:rFonts w:hint="eastAsia" w:ascii="Arial" w:hAnsi="Arial" w:cs="Arial"/>
          <w:b/>
          <w:color w:val="000000"/>
          <w:spacing w:val="60"/>
          <w:kern w:val="10"/>
          <w:sz w:val="36"/>
          <w:szCs w:val="36"/>
        </w:rPr>
        <w:t>5</w:t>
      </w:r>
      <w:r>
        <w:rPr>
          <w:rFonts w:ascii="Arial" w:hAnsi="Arial" w:cs="Arial"/>
          <w:b/>
          <w:color w:val="000000"/>
          <w:spacing w:val="60"/>
          <w:kern w:val="10"/>
          <w:sz w:val="36"/>
          <w:szCs w:val="36"/>
        </w:rPr>
        <w:t>月监管报告</w:t>
      </w:r>
      <w:bookmarkEnd w:id="3"/>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FF0000"/>
          <w:sz w:val="24"/>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p>
    <w:p>
      <w:pPr>
        <w:spacing w:line="480" w:lineRule="auto"/>
        <w:jc w:val="left"/>
        <w:rPr>
          <w:rFonts w:ascii="Arial" w:hAnsi="Arial" w:cs="Arial"/>
          <w:b/>
          <w:color w:val="000000"/>
          <w:szCs w:val="21"/>
        </w:rPr>
      </w:pPr>
      <w:bookmarkStart w:id="4" w:name="_Toc8744"/>
      <w:r>
        <w:rPr>
          <w:rFonts w:ascii="Arial" w:hAnsi="Arial" w:cs="Arial"/>
          <w:b/>
          <w:color w:val="000000"/>
          <w:szCs w:val="21"/>
        </w:rPr>
        <w:t>项目名称：诚盈三期（2012年丹龙常州）项目</w:t>
      </w:r>
      <w:bookmarkEnd w:id="4"/>
    </w:p>
    <w:p>
      <w:pPr>
        <w:spacing w:line="480" w:lineRule="auto"/>
        <w:jc w:val="left"/>
        <w:rPr>
          <w:rFonts w:ascii="Arial" w:hAnsi="Arial" w:cs="Arial"/>
          <w:b/>
          <w:color w:val="000000"/>
          <w:szCs w:val="21"/>
        </w:rPr>
      </w:pPr>
      <w:bookmarkStart w:id="5" w:name="_Toc21884"/>
      <w:r>
        <w:rPr>
          <w:rFonts w:ascii="Arial" w:hAnsi="Arial" w:cs="Arial"/>
          <w:b/>
          <w:color w:val="000000"/>
          <w:szCs w:val="21"/>
        </w:rPr>
        <w:t>委托方：道诚（上海）股权投资基金管理有限公司</w:t>
      </w:r>
      <w:bookmarkEnd w:id="5"/>
    </w:p>
    <w:p>
      <w:pPr>
        <w:spacing w:line="480" w:lineRule="auto"/>
        <w:jc w:val="left"/>
        <w:rPr>
          <w:rFonts w:ascii="Arial" w:hAnsi="Arial" w:cs="Arial"/>
          <w:b/>
          <w:color w:val="000000"/>
          <w:szCs w:val="21"/>
        </w:rPr>
      </w:pPr>
      <w:bookmarkStart w:id="6" w:name="_Toc24968"/>
      <w:r>
        <w:rPr>
          <w:rFonts w:ascii="Arial" w:hAnsi="Arial" w:cs="Arial"/>
          <w:b/>
          <w:color w:val="000000"/>
          <w:szCs w:val="21"/>
        </w:rPr>
        <w:t>受托方：北京康正宏基房地产评估有限公司</w:t>
      </w:r>
      <w:bookmarkEnd w:id="6"/>
    </w:p>
    <w:p>
      <w:pPr>
        <w:spacing w:line="480" w:lineRule="auto"/>
        <w:jc w:val="left"/>
        <w:rPr>
          <w:rFonts w:ascii="Arial" w:hAnsi="Arial" w:cs="Arial"/>
          <w:b/>
          <w:color w:val="000000"/>
          <w:szCs w:val="21"/>
        </w:rPr>
      </w:pPr>
      <w:bookmarkStart w:id="7" w:name="_Toc6718"/>
      <w:r>
        <w:rPr>
          <w:rFonts w:ascii="Arial" w:hAnsi="Arial" w:cs="Arial"/>
          <w:b/>
          <w:color w:val="000000"/>
          <w:szCs w:val="21"/>
        </w:rPr>
        <w:t>监管人员：</w:t>
      </w:r>
      <w:r>
        <w:rPr>
          <w:rFonts w:hint="eastAsia" w:ascii="Arial" w:hAnsi="Arial" w:cs="Arial"/>
          <w:b/>
          <w:color w:val="000000"/>
          <w:szCs w:val="21"/>
        </w:rPr>
        <w:t>蒙瑞媛</w:t>
      </w:r>
      <w:r>
        <w:rPr>
          <w:rFonts w:ascii="Arial" w:hAnsi="Arial" w:cs="Arial"/>
          <w:b/>
          <w:color w:val="000000"/>
          <w:szCs w:val="21"/>
        </w:rPr>
        <w:t>、</w:t>
      </w:r>
      <w:bookmarkEnd w:id="7"/>
      <w:r>
        <w:rPr>
          <w:rFonts w:ascii="Arial" w:hAnsi="Arial" w:cs="Arial"/>
          <w:b/>
          <w:color w:val="000000"/>
          <w:szCs w:val="21"/>
        </w:rPr>
        <w:t>王靓玉</w:t>
      </w:r>
    </w:p>
    <w:p>
      <w:pPr>
        <w:spacing w:line="480" w:lineRule="auto"/>
        <w:jc w:val="left"/>
        <w:rPr>
          <w:rFonts w:ascii="Arial" w:hAnsi="Arial" w:cs="Arial"/>
          <w:b/>
          <w:color w:val="000000"/>
          <w:szCs w:val="21"/>
        </w:rPr>
        <w:sectPr>
          <w:footerReference r:id="rId4" w:type="first"/>
          <w:headerReference r:id="rId3" w:type="default"/>
          <w:pgSz w:w="11906" w:h="16838"/>
          <w:pgMar w:top="1843" w:right="1134" w:bottom="1134" w:left="1134" w:header="851" w:footer="851" w:gutter="340"/>
          <w:pgNumType w:start="1"/>
          <w:cols w:space="720" w:num="1"/>
          <w:titlePg/>
          <w:docGrid w:linePitch="312" w:charSpace="0"/>
        </w:sectPr>
      </w:pPr>
      <w:bookmarkStart w:id="8" w:name="_Toc11452"/>
      <w:r>
        <w:rPr>
          <w:rFonts w:ascii="Arial" w:hAnsi="Arial" w:cs="Arial"/>
          <w:b/>
          <w:color w:val="000000"/>
          <w:szCs w:val="21"/>
        </w:rPr>
        <w:t>日期：二零二一年</w:t>
      </w:r>
      <w:r>
        <w:rPr>
          <w:rFonts w:hint="eastAsia" w:ascii="Arial" w:hAnsi="Arial" w:cs="Arial"/>
          <w:b/>
          <w:color w:val="000000"/>
          <w:szCs w:val="21"/>
        </w:rPr>
        <w:t>六</w:t>
      </w:r>
      <w:r>
        <w:rPr>
          <w:rFonts w:ascii="Arial" w:hAnsi="Arial" w:cs="Arial"/>
          <w:b/>
          <w:color w:val="000000"/>
          <w:szCs w:val="21"/>
        </w:rPr>
        <w:t>月</w:t>
      </w:r>
      <w:r>
        <w:rPr>
          <w:rFonts w:hint="eastAsia" w:ascii="Arial" w:hAnsi="Arial" w:cs="Arial"/>
          <w:b/>
          <w:color w:val="000000"/>
          <w:szCs w:val="21"/>
          <w:lang w:val="en-US" w:eastAsia="zh-CN"/>
        </w:rPr>
        <w:t>九</w:t>
      </w:r>
      <w:r>
        <w:rPr>
          <w:rFonts w:ascii="Arial" w:hAnsi="Arial" w:cs="Arial"/>
          <w:b/>
          <w:color w:val="000000"/>
          <w:szCs w:val="21"/>
        </w:rPr>
        <w:t>日</w:t>
      </w:r>
      <w:bookmarkEnd w:id="8"/>
    </w:p>
    <w:p>
      <w:pPr>
        <w:pStyle w:val="10"/>
        <w:spacing w:after="0" w:line="360" w:lineRule="auto"/>
        <w:jc w:val="center"/>
        <w:rPr>
          <w:rFonts w:ascii="Arial" w:hAnsi="Arial" w:cs="Arial"/>
          <w:b/>
          <w:bCs/>
          <w:sz w:val="28"/>
          <w:szCs w:val="28"/>
        </w:rPr>
      </w:pPr>
      <w:r>
        <w:rPr>
          <w:rFonts w:hint="eastAsia" w:ascii="Arial" w:hAnsi="Arial" w:cs="Arial"/>
          <w:b/>
          <w:bCs/>
          <w:sz w:val="28"/>
          <w:szCs w:val="28"/>
        </w:rPr>
        <w:t>目录</w:t>
      </w:r>
    </w:p>
    <w:p>
      <w:pPr>
        <w:pStyle w:val="10"/>
        <w:tabs>
          <w:tab w:val="right" w:leader="dot" w:pos="9298"/>
          <w:tab w:val="clear" w:pos="8302"/>
        </w:tabs>
        <w:spacing w:line="360" w:lineRule="auto"/>
        <w:rPr>
          <w:rFonts w:ascii="Arial" w:hAnsi="Arial" w:cs="Arial"/>
        </w:rPr>
      </w:pPr>
      <w:r>
        <w:rPr>
          <w:rFonts w:ascii="Arial" w:hAnsi="Arial" w:cs="Arial"/>
          <w:sz w:val="21"/>
          <w:szCs w:val="21"/>
        </w:rPr>
        <w:fldChar w:fldCharType="begin"/>
      </w:r>
      <w:r>
        <w:rPr>
          <w:rStyle w:val="17"/>
          <w:rFonts w:ascii="Arial" w:hAnsi="Arial" w:cs="Arial"/>
          <w:sz w:val="21"/>
          <w:szCs w:val="21"/>
        </w:rPr>
        <w:instrText xml:space="preserve"> TOC \o "1-3" \h \z \u </w:instrText>
      </w:r>
      <w:r>
        <w:rPr>
          <w:rFonts w:ascii="Arial" w:hAnsi="Arial" w:cs="Arial"/>
          <w:sz w:val="21"/>
          <w:szCs w:val="21"/>
        </w:rPr>
        <w:fldChar w:fldCharType="separate"/>
      </w:r>
      <w:r>
        <w:fldChar w:fldCharType="begin"/>
      </w:r>
      <w:r>
        <w:instrText xml:space="preserve"> HYPERLINK \l "_Toc28305" </w:instrText>
      </w:r>
      <w:r>
        <w:fldChar w:fldCharType="separate"/>
      </w:r>
      <w:r>
        <w:rPr>
          <w:rFonts w:ascii="Arial" w:hAnsi="Arial" w:cs="Arial"/>
          <w:szCs w:val="24"/>
        </w:rPr>
        <w:t>1项目基本情况介绍</w:t>
      </w:r>
      <w:r>
        <w:rPr>
          <w:rFonts w:ascii="Arial" w:hAnsi="Arial" w:cs="Arial"/>
        </w:rPr>
        <w:tab/>
      </w:r>
      <w:r>
        <w:rPr>
          <w:rFonts w:ascii="Arial" w:hAnsi="Arial" w:cs="Arial"/>
        </w:rPr>
        <w:fldChar w:fldCharType="begin"/>
      </w:r>
      <w:r>
        <w:rPr>
          <w:rFonts w:ascii="Arial" w:hAnsi="Arial" w:cs="Arial"/>
        </w:rPr>
        <w:instrText xml:space="preserve"> PAGEREF _Toc28305 \h </w:instrText>
      </w:r>
      <w:r>
        <w:rPr>
          <w:rFonts w:ascii="Arial" w:hAnsi="Arial" w:cs="Arial"/>
        </w:rPr>
        <w:fldChar w:fldCharType="separate"/>
      </w:r>
      <w:r>
        <w:rPr>
          <w:rFonts w:ascii="Arial" w:hAnsi="Arial" w:cs="Arial"/>
        </w:rPr>
        <w:t>1</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"_Toc13981" </w:instrText>
      </w:r>
      <w:r>
        <w:fldChar w:fldCharType="separate"/>
      </w:r>
      <w:r>
        <w:rPr>
          <w:rFonts w:ascii="Arial" w:hAnsi="Arial" w:cs="Arial"/>
          <w:szCs w:val="24"/>
        </w:rPr>
        <w:t>2重大事件披露</w:t>
      </w:r>
      <w:r>
        <w:rPr>
          <w:rFonts w:ascii="Arial" w:hAnsi="Arial" w:cs="Arial"/>
        </w:rPr>
        <w:tab/>
      </w:r>
      <w:r>
        <w:rPr>
          <w:rFonts w:ascii="Arial" w:hAnsi="Arial" w:cs="Arial"/>
        </w:rPr>
        <w:fldChar w:fldCharType="begin"/>
      </w:r>
      <w:r>
        <w:rPr>
          <w:rFonts w:ascii="Arial" w:hAnsi="Arial" w:cs="Arial"/>
        </w:rPr>
        <w:instrText xml:space="preserve"> PAGEREF _Toc13981 \h </w:instrText>
      </w:r>
      <w:r>
        <w:rPr>
          <w:rFonts w:ascii="Arial" w:hAnsi="Arial" w:cs="Arial"/>
        </w:rPr>
        <w:fldChar w:fldCharType="separate"/>
      </w:r>
      <w:r>
        <w:rPr>
          <w:rFonts w:ascii="Arial" w:hAnsi="Arial" w:cs="Arial"/>
        </w:rPr>
        <w:t>2</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"_Toc27315" </w:instrText>
      </w:r>
      <w:r>
        <w:fldChar w:fldCharType="separate"/>
      </w:r>
      <w:r>
        <w:rPr>
          <w:rFonts w:ascii="Arial" w:hAnsi="Arial" w:cs="Arial"/>
          <w:szCs w:val="24"/>
        </w:rPr>
        <w:t>3工程进度</w:t>
      </w:r>
      <w:r>
        <w:rPr>
          <w:rFonts w:ascii="Arial" w:hAnsi="Arial" w:cs="Arial"/>
        </w:rPr>
        <w:tab/>
      </w:r>
      <w:r>
        <w:rPr>
          <w:rFonts w:ascii="Arial" w:hAnsi="Arial" w:cs="Arial"/>
        </w:rPr>
        <w:fldChar w:fldCharType="begin"/>
      </w:r>
      <w:r>
        <w:rPr>
          <w:rFonts w:ascii="Arial" w:hAnsi="Arial" w:cs="Arial"/>
        </w:rPr>
        <w:instrText xml:space="preserve"> PAGEREF _Toc27315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"_Toc31284" </w:instrText>
      </w:r>
      <w:r>
        <w:fldChar w:fldCharType="separate"/>
      </w:r>
      <w:r>
        <w:rPr>
          <w:rFonts w:ascii="Arial" w:hAnsi="Arial" w:cs="Arial"/>
          <w:szCs w:val="24"/>
        </w:rPr>
        <w:t xml:space="preserve">3.1  </w:t>
      </w:r>
      <w:r>
        <w:rPr>
          <w:rFonts w:ascii="Arial" w:hAnsi="Arial" w:cs="Arial" w:eastAsiaTheme="minorEastAsia"/>
          <w:kern w:val="44"/>
          <w:szCs w:val="24"/>
        </w:rPr>
        <w:t>2021年5月项目现场情况</w:t>
      </w:r>
      <w:r>
        <w:rPr>
          <w:rFonts w:ascii="Arial" w:hAnsi="Arial" w:cs="Arial"/>
        </w:rPr>
        <w:tab/>
      </w:r>
      <w:r>
        <w:rPr>
          <w:rFonts w:ascii="Arial" w:hAnsi="Arial" w:cs="Arial"/>
        </w:rPr>
        <w:fldChar w:fldCharType="begin"/>
      </w:r>
      <w:r>
        <w:rPr>
          <w:rFonts w:ascii="Arial" w:hAnsi="Arial" w:cs="Arial"/>
        </w:rPr>
        <w:instrText xml:space="preserve"> PAGEREF _Toc31284 \h </w:instrText>
      </w:r>
      <w:r>
        <w:rPr>
          <w:rFonts w:ascii="Arial" w:hAnsi="Arial" w:cs="Arial"/>
        </w:rPr>
        <w:fldChar w:fldCharType="separate"/>
      </w:r>
      <w:r>
        <w:rPr>
          <w:rFonts w:ascii="Arial" w:hAnsi="Arial" w:cs="Arial"/>
        </w:rPr>
        <w:t>3</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"_Toc5910" </w:instrText>
      </w:r>
      <w:r>
        <w:fldChar w:fldCharType="separate"/>
      </w:r>
      <w:r>
        <w:rPr>
          <w:rFonts w:ascii="Arial" w:hAnsi="Arial" w:cs="Arial"/>
          <w:szCs w:val="24"/>
        </w:rPr>
        <w:t>3.2证照办理情况说明</w:t>
      </w:r>
      <w:r>
        <w:rPr>
          <w:rFonts w:ascii="Arial" w:hAnsi="Arial" w:cs="Arial"/>
        </w:rPr>
        <w:tab/>
      </w:r>
      <w:r>
        <w:rPr>
          <w:rFonts w:ascii="Arial" w:hAnsi="Arial" w:cs="Arial"/>
        </w:rPr>
        <w:fldChar w:fldCharType="begin"/>
      </w:r>
      <w:r>
        <w:rPr>
          <w:rFonts w:ascii="Arial" w:hAnsi="Arial" w:cs="Arial"/>
        </w:rPr>
        <w:instrText xml:space="preserve"> PAGEREF _Toc5910 \h </w:instrText>
      </w:r>
      <w:r>
        <w:rPr>
          <w:rFonts w:ascii="Arial" w:hAnsi="Arial" w:cs="Arial"/>
        </w:rPr>
        <w:fldChar w:fldCharType="separate"/>
      </w:r>
      <w:r>
        <w:rPr>
          <w:rFonts w:ascii="Arial" w:hAnsi="Arial" w:cs="Arial"/>
        </w:rPr>
        <w:t>6</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"_Toc12851" </w:instrText>
      </w:r>
      <w:r>
        <w:fldChar w:fldCharType="separate"/>
      </w:r>
      <w:r>
        <w:rPr>
          <w:rFonts w:ascii="Arial" w:hAnsi="Arial" w:cs="Arial"/>
          <w:szCs w:val="24"/>
        </w:rPr>
        <w:t>4资金情况</w:t>
      </w:r>
      <w:r>
        <w:rPr>
          <w:rFonts w:ascii="Arial" w:hAnsi="Arial" w:cs="Arial"/>
        </w:rPr>
        <w:tab/>
      </w:r>
      <w:r>
        <w:rPr>
          <w:rFonts w:ascii="Arial" w:hAnsi="Arial" w:cs="Arial"/>
        </w:rPr>
        <w:fldChar w:fldCharType="begin"/>
      </w:r>
      <w:r>
        <w:rPr>
          <w:rFonts w:ascii="Arial" w:hAnsi="Arial" w:cs="Arial"/>
        </w:rPr>
        <w:instrText xml:space="preserve"> PAGEREF _Toc12851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"_Toc20418" </w:instrText>
      </w:r>
      <w:r>
        <w:fldChar w:fldCharType="separate"/>
      </w:r>
      <w:r>
        <w:rPr>
          <w:rFonts w:ascii="Arial" w:hAnsi="Arial" w:cs="Arial"/>
        </w:rPr>
        <w:t>4.1资金流出情况</w:t>
      </w:r>
      <w:r>
        <w:rPr>
          <w:rFonts w:ascii="Arial" w:hAnsi="Arial" w:cs="Arial"/>
        </w:rPr>
        <w:tab/>
      </w:r>
      <w:r>
        <w:rPr>
          <w:rFonts w:ascii="Arial" w:hAnsi="Arial" w:cs="Arial"/>
        </w:rPr>
        <w:fldChar w:fldCharType="begin"/>
      </w:r>
      <w:r>
        <w:rPr>
          <w:rFonts w:ascii="Arial" w:hAnsi="Arial" w:cs="Arial"/>
        </w:rPr>
        <w:instrText xml:space="preserve"> PAGEREF _Toc20418 \h </w:instrText>
      </w:r>
      <w:r>
        <w:rPr>
          <w:rFonts w:ascii="Arial" w:hAnsi="Arial" w:cs="Arial"/>
        </w:rPr>
        <w:fldChar w:fldCharType="separate"/>
      </w:r>
      <w:r>
        <w:rPr>
          <w:rFonts w:ascii="Arial" w:hAnsi="Arial" w:cs="Arial"/>
        </w:rPr>
        <w:t>7</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"_Toc7634" </w:instrText>
      </w:r>
      <w:r>
        <w:fldChar w:fldCharType="separate"/>
      </w:r>
      <w:r>
        <w:rPr>
          <w:rFonts w:ascii="Arial" w:hAnsi="Arial" w:cs="Arial"/>
        </w:rPr>
        <w:t>4.2资金流入情况</w:t>
      </w:r>
      <w:r>
        <w:rPr>
          <w:rFonts w:ascii="Arial" w:hAnsi="Arial" w:cs="Arial"/>
        </w:rPr>
        <w:tab/>
      </w:r>
      <w:r>
        <w:rPr>
          <w:rFonts w:ascii="Arial" w:hAnsi="Arial" w:cs="Arial"/>
        </w:rPr>
        <w:fldChar w:fldCharType="begin"/>
      </w:r>
      <w:r>
        <w:rPr>
          <w:rFonts w:ascii="Arial" w:hAnsi="Arial" w:cs="Arial"/>
        </w:rPr>
        <w:instrText xml:space="preserve"> PAGEREF _Toc7634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"_Toc9498" </w:instrText>
      </w:r>
      <w:r>
        <w:fldChar w:fldCharType="separate"/>
      </w:r>
      <w:r>
        <w:rPr>
          <w:rFonts w:ascii="Arial" w:hAnsi="Arial" w:cs="Arial"/>
          <w:szCs w:val="24"/>
        </w:rPr>
        <w:t>5项目销售情况</w:t>
      </w:r>
      <w:r>
        <w:rPr>
          <w:rFonts w:ascii="Arial" w:hAnsi="Arial" w:cs="Arial"/>
        </w:rPr>
        <w:tab/>
      </w:r>
      <w:r>
        <w:rPr>
          <w:rFonts w:ascii="Arial" w:hAnsi="Arial" w:cs="Arial"/>
        </w:rPr>
        <w:fldChar w:fldCharType="begin"/>
      </w:r>
      <w:r>
        <w:rPr>
          <w:rFonts w:ascii="Arial" w:hAnsi="Arial" w:cs="Arial"/>
        </w:rPr>
        <w:instrText xml:space="preserve"> PAGEREF _Toc9498 \h </w:instrText>
      </w:r>
      <w:r>
        <w:rPr>
          <w:rFonts w:ascii="Arial" w:hAnsi="Arial" w:cs="Arial"/>
        </w:rPr>
        <w:fldChar w:fldCharType="separate"/>
      </w:r>
      <w:r>
        <w:rPr>
          <w:rFonts w:ascii="Arial" w:hAnsi="Arial" w:cs="Arial"/>
        </w:rPr>
        <w:t>15</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"_Toc18892" </w:instrText>
      </w:r>
      <w:r>
        <w:fldChar w:fldCharType="separate"/>
      </w:r>
      <w:r>
        <w:rPr>
          <w:rFonts w:ascii="Arial" w:hAnsi="Arial" w:cs="Arial"/>
          <w:szCs w:val="24"/>
        </w:rPr>
        <w:t>6印章、证照使用情况</w:t>
      </w:r>
      <w:r>
        <w:rPr>
          <w:rFonts w:ascii="Arial" w:hAnsi="Arial" w:cs="Arial"/>
        </w:rPr>
        <w:tab/>
      </w:r>
      <w:r>
        <w:rPr>
          <w:rFonts w:ascii="Arial" w:hAnsi="Arial" w:cs="Arial"/>
        </w:rPr>
        <w:fldChar w:fldCharType="begin"/>
      </w:r>
      <w:r>
        <w:rPr>
          <w:rFonts w:ascii="Arial" w:hAnsi="Arial" w:cs="Arial"/>
        </w:rPr>
        <w:instrText xml:space="preserve"> PAGEREF _Toc18892 \h </w:instrText>
      </w:r>
      <w:r>
        <w:rPr>
          <w:rFonts w:ascii="Arial" w:hAnsi="Arial" w:cs="Arial"/>
        </w:rPr>
        <w:fldChar w:fldCharType="separate"/>
      </w:r>
      <w:r>
        <w:rPr>
          <w:rFonts w:ascii="Arial" w:hAnsi="Arial" w:cs="Arial"/>
        </w:rPr>
        <w:t>16</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"_Toc16196" </w:instrText>
      </w:r>
      <w:r>
        <w:fldChar w:fldCharType="separate"/>
      </w:r>
      <w:r>
        <w:rPr>
          <w:rFonts w:ascii="Arial" w:hAnsi="Arial" w:cs="Arial"/>
          <w:szCs w:val="24"/>
        </w:rPr>
        <w:t>7合同签订情况</w:t>
      </w:r>
      <w:r>
        <w:rPr>
          <w:rFonts w:ascii="Arial" w:hAnsi="Arial" w:cs="Arial"/>
        </w:rPr>
        <w:tab/>
      </w:r>
      <w:r>
        <w:rPr>
          <w:rFonts w:ascii="Arial" w:hAnsi="Arial" w:cs="Arial"/>
        </w:rPr>
        <w:fldChar w:fldCharType="begin"/>
      </w:r>
      <w:r>
        <w:rPr>
          <w:rFonts w:ascii="Arial" w:hAnsi="Arial" w:cs="Arial"/>
        </w:rPr>
        <w:instrText xml:space="preserve"> PAGEREF _Toc16196 \h </w:instrText>
      </w:r>
      <w:r>
        <w:rPr>
          <w:rFonts w:ascii="Arial" w:hAnsi="Arial" w:cs="Arial"/>
        </w:rPr>
        <w:fldChar w:fldCharType="separate"/>
      </w:r>
      <w:r>
        <w:rPr>
          <w:rFonts w:ascii="Arial" w:hAnsi="Arial" w:cs="Arial"/>
        </w:rPr>
        <w:t>20</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"_Toc15009" </w:instrText>
      </w:r>
      <w:r>
        <w:fldChar w:fldCharType="separate"/>
      </w:r>
      <w:r>
        <w:rPr>
          <w:rFonts w:ascii="Arial" w:hAnsi="Arial" w:cs="Arial"/>
          <w:szCs w:val="24"/>
        </w:rPr>
        <w:t>8资金结算</w:t>
      </w:r>
      <w:r>
        <w:rPr>
          <w:rFonts w:ascii="Arial" w:hAnsi="Arial" w:cs="Arial"/>
        </w:rPr>
        <w:tab/>
      </w:r>
      <w:r>
        <w:rPr>
          <w:rFonts w:ascii="Arial" w:hAnsi="Arial" w:cs="Arial"/>
        </w:rPr>
        <w:fldChar w:fldCharType="begin"/>
      </w:r>
      <w:r>
        <w:rPr>
          <w:rFonts w:ascii="Arial" w:hAnsi="Arial" w:cs="Arial"/>
        </w:rPr>
        <w:instrText xml:space="preserve"> PAGEREF _Toc15009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"_Toc25071" </w:instrText>
      </w:r>
      <w:r>
        <w:fldChar w:fldCharType="separate"/>
      </w:r>
      <w:r>
        <w:rPr>
          <w:rFonts w:ascii="Arial" w:hAnsi="Arial" w:cs="Arial"/>
        </w:rPr>
        <w:t>8.1</w:t>
      </w:r>
      <w:r>
        <w:rPr>
          <w:rFonts w:ascii="Arial" w:hAnsi="Arial" w:cs="Arial" w:eastAsiaTheme="minorEastAsia"/>
          <w:kern w:val="44"/>
          <w:szCs w:val="24"/>
        </w:rPr>
        <w:t>丹龙置业常州有限公司各资金账户流量情况</w:t>
      </w:r>
      <w:r>
        <w:rPr>
          <w:rFonts w:ascii="Arial" w:hAnsi="Arial" w:cs="Arial"/>
        </w:rPr>
        <w:tab/>
      </w:r>
      <w:r>
        <w:rPr>
          <w:rFonts w:ascii="Arial" w:hAnsi="Arial" w:cs="Arial"/>
        </w:rPr>
        <w:fldChar w:fldCharType="begin"/>
      </w:r>
      <w:r>
        <w:rPr>
          <w:rFonts w:ascii="Arial" w:hAnsi="Arial" w:cs="Arial"/>
        </w:rPr>
        <w:instrText xml:space="preserve"> PAGEREF _Toc25071 \h </w:instrText>
      </w:r>
      <w:r>
        <w:rPr>
          <w:rFonts w:ascii="Arial" w:hAnsi="Arial" w:cs="Arial"/>
        </w:rPr>
        <w:fldChar w:fldCharType="separate"/>
      </w:r>
      <w:r>
        <w:rPr>
          <w:rFonts w:ascii="Arial" w:hAnsi="Arial" w:cs="Arial"/>
        </w:rPr>
        <w:t>21</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"_Toc22980" </w:instrText>
      </w:r>
      <w:r>
        <w:fldChar w:fldCharType="separate"/>
      </w:r>
      <w:r>
        <w:rPr>
          <w:rFonts w:ascii="Arial" w:hAnsi="Arial" w:cs="Arial"/>
        </w:rPr>
        <w:t>8.2</w:t>
      </w:r>
      <w:r>
        <w:rPr>
          <w:rFonts w:ascii="Arial" w:hAnsi="Arial" w:cs="Arial" w:eastAsiaTheme="minorEastAsia"/>
          <w:kern w:val="44"/>
          <w:szCs w:val="24"/>
        </w:rPr>
        <w:t>预算使用情况说明</w:t>
      </w:r>
      <w:r>
        <w:rPr>
          <w:rFonts w:ascii="Arial" w:hAnsi="Arial" w:cs="Arial"/>
        </w:rPr>
        <w:tab/>
      </w:r>
      <w:r>
        <w:rPr>
          <w:rFonts w:ascii="Arial" w:hAnsi="Arial" w:cs="Arial"/>
        </w:rPr>
        <w:fldChar w:fldCharType="begin"/>
      </w:r>
      <w:r>
        <w:rPr>
          <w:rFonts w:ascii="Arial" w:hAnsi="Arial" w:cs="Arial"/>
        </w:rPr>
        <w:instrText xml:space="preserve"> PAGEREF _Toc22980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"_Toc15160" </w:instrText>
      </w:r>
      <w:r>
        <w:fldChar w:fldCharType="separate"/>
      </w:r>
      <w:r>
        <w:rPr>
          <w:rFonts w:ascii="Arial" w:hAnsi="Arial" w:cs="Arial"/>
        </w:rPr>
        <w:t>8.3</w:t>
      </w:r>
      <w:r>
        <w:rPr>
          <w:rFonts w:ascii="Arial" w:hAnsi="Arial" w:cs="Arial" w:eastAsiaTheme="minorEastAsia"/>
          <w:kern w:val="44"/>
          <w:szCs w:val="24"/>
        </w:rPr>
        <w:t>收取各类保证金余额</w:t>
      </w:r>
      <w:r>
        <w:rPr>
          <w:rFonts w:ascii="Arial" w:hAnsi="Arial" w:cs="Arial"/>
        </w:rPr>
        <w:t>情况</w:t>
      </w:r>
      <w:r>
        <w:rPr>
          <w:rFonts w:ascii="Arial" w:hAnsi="Arial" w:cs="Arial"/>
        </w:rPr>
        <w:tab/>
      </w:r>
      <w:r>
        <w:rPr>
          <w:rFonts w:ascii="Arial" w:hAnsi="Arial" w:cs="Arial"/>
        </w:rPr>
        <w:fldChar w:fldCharType="begin"/>
      </w:r>
      <w:r>
        <w:rPr>
          <w:rFonts w:ascii="Arial" w:hAnsi="Arial" w:cs="Arial"/>
        </w:rPr>
        <w:instrText xml:space="preserve"> PAGEREF _Toc15160 \h </w:instrText>
      </w:r>
      <w:r>
        <w:rPr>
          <w:rFonts w:ascii="Arial" w:hAnsi="Arial" w:cs="Arial"/>
        </w:rPr>
        <w:fldChar w:fldCharType="separate"/>
      </w:r>
      <w:r>
        <w:rPr>
          <w:rFonts w:ascii="Arial" w:hAnsi="Arial" w:cs="Arial"/>
        </w:rPr>
        <w:t>22</w:t>
      </w:r>
      <w:r>
        <w:rPr>
          <w:rFonts w:ascii="Arial" w:hAnsi="Arial" w:cs="Arial"/>
        </w:rPr>
        <w:fldChar w:fldCharType="end"/>
      </w:r>
      <w:r>
        <w:rPr>
          <w:rFonts w:ascii="Arial" w:hAnsi="Arial" w:cs="Arial"/>
        </w:rPr>
        <w:fldChar w:fldCharType="end"/>
      </w:r>
    </w:p>
    <w:p>
      <w:pPr>
        <w:pStyle w:val="10"/>
        <w:tabs>
          <w:tab w:val="right" w:leader="dot" w:pos="9298"/>
          <w:tab w:val="clear" w:pos="8302"/>
        </w:tabs>
        <w:spacing w:line="360" w:lineRule="auto"/>
        <w:rPr>
          <w:rFonts w:ascii="Arial" w:hAnsi="Arial" w:cs="Arial"/>
        </w:rPr>
      </w:pPr>
      <w:r>
        <w:fldChar w:fldCharType="begin"/>
      </w:r>
      <w:r>
        <w:instrText xml:space="preserve"> HYPERLINK \l "_Toc17776" </w:instrText>
      </w:r>
      <w:r>
        <w:fldChar w:fldCharType="separate"/>
      </w:r>
      <w:r>
        <w:rPr>
          <w:rFonts w:ascii="Arial" w:hAnsi="Arial" w:cs="Arial"/>
          <w:szCs w:val="24"/>
        </w:rPr>
        <w:t>附件</w:t>
      </w:r>
      <w:r>
        <w:rPr>
          <w:rFonts w:ascii="Arial" w:hAnsi="Arial" w:cs="Arial"/>
        </w:rPr>
        <w:tab/>
      </w:r>
      <w:r>
        <w:rPr>
          <w:rFonts w:ascii="Arial" w:hAnsi="Arial" w:cs="Arial"/>
        </w:rPr>
        <w:fldChar w:fldCharType="begin"/>
      </w:r>
      <w:r>
        <w:rPr>
          <w:rFonts w:ascii="Arial" w:hAnsi="Arial" w:cs="Arial"/>
        </w:rPr>
        <w:instrText xml:space="preserve"> PAGEREF _Toc17776 \h </w:instrText>
      </w:r>
      <w:r>
        <w:rPr>
          <w:rFonts w:ascii="Arial" w:hAnsi="Arial" w:cs="Arial"/>
        </w:rPr>
        <w:fldChar w:fldCharType="separate"/>
      </w:r>
      <w:r>
        <w:rPr>
          <w:rFonts w:ascii="Arial" w:hAnsi="Arial" w:cs="Arial"/>
        </w:rPr>
        <w:t>25</w:t>
      </w:r>
      <w:r>
        <w:rPr>
          <w:rFonts w:ascii="Arial" w:hAnsi="Arial" w:cs="Arial"/>
        </w:rPr>
        <w:fldChar w:fldCharType="end"/>
      </w:r>
      <w:r>
        <w:rPr>
          <w:rFonts w:ascii="Arial" w:hAnsi="Arial" w:cs="Arial"/>
        </w:rPr>
        <w:fldChar w:fldCharType="end"/>
      </w:r>
    </w:p>
    <w:p>
      <w:pPr>
        <w:pStyle w:val="11"/>
        <w:tabs>
          <w:tab w:val="right" w:leader="dot" w:pos="9298"/>
          <w:tab w:val="clear" w:pos="8302"/>
        </w:tabs>
        <w:spacing w:line="360" w:lineRule="auto"/>
        <w:rPr>
          <w:rFonts w:ascii="Arial" w:hAnsi="Arial" w:cs="Arial"/>
          <w:color w:val="000000"/>
          <w:szCs w:val="21"/>
        </w:rPr>
      </w:pPr>
      <w:r>
        <w:fldChar w:fldCharType="begin"/>
      </w:r>
      <w:r>
        <w:instrText xml:space="preserve"> HYPERLINK \l "_Toc16057" </w:instrText>
      </w:r>
      <w:r>
        <w:fldChar w:fldCharType="separate"/>
      </w:r>
      <w:r>
        <w:rPr>
          <w:rFonts w:ascii="Arial" w:hAnsi="Arial" w:cs="Arial"/>
          <w:color w:val="000000"/>
          <w:szCs w:val="21"/>
        </w:rPr>
        <w:t>附件一 销售明细表</w:t>
      </w:r>
      <w:r>
        <w:rPr>
          <w:rFonts w:ascii="Arial" w:hAnsi="Arial" w:cs="Arial"/>
          <w:color w:val="000000"/>
          <w:szCs w:val="21"/>
        </w:rPr>
        <w:tab/>
      </w:r>
      <w:r>
        <w:rPr>
          <w:rFonts w:ascii="Arial" w:hAnsi="Arial" w:cs="Arial"/>
          <w:color w:val="000000"/>
          <w:szCs w:val="21"/>
        </w:rPr>
        <w:fldChar w:fldCharType="begin"/>
      </w:r>
      <w:r>
        <w:rPr>
          <w:rFonts w:ascii="Arial" w:hAnsi="Arial" w:cs="Arial"/>
          <w:color w:val="000000"/>
          <w:szCs w:val="21"/>
        </w:rPr>
        <w:instrText xml:space="preserve"> PAGEREF _Toc16057 \h </w:instrText>
      </w:r>
      <w:r>
        <w:rPr>
          <w:rFonts w:ascii="Arial" w:hAnsi="Arial" w:cs="Arial"/>
          <w:color w:val="000000"/>
          <w:szCs w:val="21"/>
        </w:rPr>
        <w:fldChar w:fldCharType="separate"/>
      </w:r>
      <w:r>
        <w:rPr>
          <w:rFonts w:ascii="Arial" w:hAnsi="Arial" w:cs="Arial"/>
          <w:color w:val="000000"/>
          <w:szCs w:val="21"/>
        </w:rPr>
        <w:t>25</w:t>
      </w:r>
      <w:r>
        <w:rPr>
          <w:rFonts w:ascii="Arial" w:hAnsi="Arial" w:cs="Arial"/>
          <w:color w:val="000000"/>
          <w:szCs w:val="21"/>
        </w:rPr>
        <w:fldChar w:fldCharType="end"/>
      </w:r>
      <w:r>
        <w:rPr>
          <w:rFonts w:ascii="Arial" w:hAnsi="Arial" w:cs="Arial"/>
          <w:color w:val="000000"/>
          <w:szCs w:val="21"/>
        </w:rPr>
        <w:fldChar w:fldCharType="end"/>
      </w:r>
    </w:p>
    <w:p>
      <w:pPr>
        <w:pStyle w:val="11"/>
        <w:tabs>
          <w:tab w:val="right" w:leader="dot" w:pos="9298"/>
          <w:tab w:val="clear" w:pos="8302"/>
        </w:tabs>
        <w:spacing w:line="360" w:lineRule="auto"/>
        <w:rPr>
          <w:rFonts w:ascii="Arial" w:hAnsi="Arial" w:cs="Arial"/>
          <w:color w:val="000000"/>
          <w:szCs w:val="21"/>
        </w:rPr>
      </w:pPr>
      <w:r>
        <w:fldChar w:fldCharType="begin"/>
      </w:r>
      <w:r>
        <w:instrText xml:space="preserve"> HYPERLINK \l "_Toc24573" </w:instrText>
      </w:r>
      <w:r>
        <w:fldChar w:fldCharType="separate"/>
      </w:r>
      <w:r>
        <w:rPr>
          <w:rFonts w:ascii="Arial" w:hAnsi="Arial" w:cs="Arial"/>
          <w:color w:val="000000"/>
          <w:szCs w:val="21"/>
        </w:rPr>
        <w:t>附件二 银行对账单</w:t>
      </w:r>
      <w:r>
        <w:rPr>
          <w:rFonts w:ascii="Arial" w:hAnsi="Arial" w:cs="Arial"/>
          <w:color w:val="000000"/>
          <w:szCs w:val="21"/>
        </w:rPr>
        <w:tab/>
      </w:r>
      <w:r>
        <w:rPr>
          <w:rFonts w:ascii="Arial" w:hAnsi="Arial" w:cs="Arial"/>
          <w:color w:val="000000"/>
          <w:szCs w:val="21"/>
        </w:rPr>
        <w:fldChar w:fldCharType="begin"/>
      </w:r>
      <w:r>
        <w:rPr>
          <w:rFonts w:ascii="Arial" w:hAnsi="Arial" w:cs="Arial"/>
          <w:color w:val="000000"/>
          <w:szCs w:val="21"/>
        </w:rPr>
        <w:instrText xml:space="preserve"> PAGEREF _Toc24573 \h </w:instrText>
      </w:r>
      <w:r>
        <w:rPr>
          <w:rFonts w:ascii="Arial" w:hAnsi="Arial" w:cs="Arial"/>
          <w:color w:val="000000"/>
          <w:szCs w:val="21"/>
        </w:rPr>
        <w:fldChar w:fldCharType="separate"/>
      </w:r>
      <w:r>
        <w:rPr>
          <w:rFonts w:ascii="Arial" w:hAnsi="Arial" w:cs="Arial"/>
          <w:color w:val="000000"/>
          <w:szCs w:val="21"/>
        </w:rPr>
        <w:t>50</w:t>
      </w:r>
      <w:r>
        <w:rPr>
          <w:rFonts w:ascii="Arial" w:hAnsi="Arial" w:cs="Arial"/>
          <w:color w:val="000000"/>
          <w:szCs w:val="21"/>
        </w:rPr>
        <w:fldChar w:fldCharType="end"/>
      </w:r>
      <w:r>
        <w:rPr>
          <w:rFonts w:ascii="Arial" w:hAnsi="Arial" w:cs="Arial"/>
          <w:color w:val="000000"/>
          <w:szCs w:val="21"/>
        </w:rPr>
        <w:fldChar w:fldCharType="end"/>
      </w:r>
    </w:p>
    <w:p>
      <w:pPr>
        <w:pStyle w:val="11"/>
        <w:tabs>
          <w:tab w:val="right" w:leader="dot" w:pos="9298"/>
          <w:tab w:val="clear" w:pos="8302"/>
        </w:tabs>
        <w:spacing w:line="360" w:lineRule="auto"/>
        <w:rPr>
          <w:rFonts w:ascii="Arial" w:hAnsi="Arial" w:cs="Arial"/>
          <w:color w:val="000000"/>
          <w:szCs w:val="21"/>
        </w:rPr>
      </w:pPr>
      <w:r>
        <w:fldChar w:fldCharType="begin"/>
      </w:r>
      <w:r>
        <w:instrText xml:space="preserve"> HYPERLINK \l "_Toc5637" </w:instrText>
      </w:r>
      <w:r>
        <w:fldChar w:fldCharType="separate"/>
      </w:r>
      <w:r>
        <w:rPr>
          <w:rFonts w:ascii="Arial" w:hAnsi="Arial" w:cs="Arial"/>
          <w:color w:val="000000"/>
          <w:szCs w:val="21"/>
        </w:rPr>
        <w:t>附件三 月度资金预算使用表</w:t>
      </w:r>
      <w:r>
        <w:rPr>
          <w:rFonts w:ascii="Arial" w:hAnsi="Arial" w:cs="Arial"/>
          <w:color w:val="000000"/>
          <w:szCs w:val="21"/>
        </w:rPr>
        <w:tab/>
      </w:r>
      <w:r>
        <w:rPr>
          <w:rFonts w:ascii="Arial" w:hAnsi="Arial" w:cs="Arial"/>
          <w:color w:val="000000"/>
          <w:szCs w:val="21"/>
        </w:rPr>
        <w:fldChar w:fldCharType="begin"/>
      </w:r>
      <w:r>
        <w:rPr>
          <w:rFonts w:ascii="Arial" w:hAnsi="Arial" w:cs="Arial"/>
          <w:color w:val="000000"/>
          <w:szCs w:val="21"/>
        </w:rPr>
        <w:instrText xml:space="preserve"> PAGEREF _Toc5637 \h </w:instrText>
      </w:r>
      <w:r>
        <w:rPr>
          <w:rFonts w:ascii="Arial" w:hAnsi="Arial" w:cs="Arial"/>
          <w:color w:val="000000"/>
          <w:szCs w:val="21"/>
        </w:rPr>
        <w:fldChar w:fldCharType="separate"/>
      </w:r>
      <w:r>
        <w:rPr>
          <w:rFonts w:ascii="Arial" w:hAnsi="Arial" w:cs="Arial"/>
          <w:color w:val="000000"/>
          <w:szCs w:val="21"/>
        </w:rPr>
        <w:t>61</w:t>
      </w:r>
      <w:r>
        <w:rPr>
          <w:rFonts w:ascii="Arial" w:hAnsi="Arial" w:cs="Arial"/>
          <w:color w:val="000000"/>
          <w:szCs w:val="21"/>
        </w:rPr>
        <w:fldChar w:fldCharType="end"/>
      </w:r>
      <w:r>
        <w:rPr>
          <w:rFonts w:ascii="Arial" w:hAnsi="Arial" w:cs="Arial"/>
          <w:color w:val="000000"/>
          <w:szCs w:val="21"/>
        </w:rPr>
        <w:fldChar w:fldCharType="end"/>
      </w:r>
    </w:p>
    <w:p>
      <w:pPr>
        <w:pStyle w:val="11"/>
        <w:tabs>
          <w:tab w:val="right" w:leader="dot" w:pos="9298"/>
          <w:tab w:val="clear" w:pos="8302"/>
        </w:tabs>
        <w:spacing w:line="360" w:lineRule="auto"/>
        <w:rPr>
          <w:rFonts w:ascii="Arial" w:hAnsi="Arial" w:cs="Arial"/>
          <w:color w:val="000000"/>
          <w:szCs w:val="21"/>
        </w:rPr>
      </w:pPr>
      <w:r>
        <w:fldChar w:fldCharType="begin"/>
      </w:r>
      <w:r>
        <w:instrText xml:space="preserve"> HYPERLINK \l "_Toc8930" </w:instrText>
      </w:r>
      <w:r>
        <w:fldChar w:fldCharType="separate"/>
      </w:r>
      <w:r>
        <w:rPr>
          <w:rFonts w:ascii="Arial" w:hAnsi="Arial" w:cs="Arial"/>
          <w:color w:val="000000"/>
          <w:szCs w:val="21"/>
        </w:rPr>
        <w:t>附件四 各类资金使用统计表</w:t>
      </w:r>
      <w:r>
        <w:rPr>
          <w:rFonts w:ascii="Arial" w:hAnsi="Arial" w:cs="Arial"/>
          <w:color w:val="000000"/>
          <w:szCs w:val="21"/>
        </w:rPr>
        <w:tab/>
      </w:r>
      <w:r>
        <w:rPr>
          <w:rFonts w:ascii="Arial" w:hAnsi="Arial" w:cs="Arial"/>
          <w:color w:val="000000"/>
          <w:szCs w:val="21"/>
        </w:rPr>
        <w:fldChar w:fldCharType="begin"/>
      </w:r>
      <w:r>
        <w:rPr>
          <w:rFonts w:ascii="Arial" w:hAnsi="Arial" w:cs="Arial"/>
          <w:color w:val="000000"/>
          <w:szCs w:val="21"/>
        </w:rPr>
        <w:instrText xml:space="preserve"> PAGEREF _Toc8930 \h </w:instrText>
      </w:r>
      <w:r>
        <w:rPr>
          <w:rFonts w:ascii="Arial" w:hAnsi="Arial" w:cs="Arial"/>
          <w:color w:val="000000"/>
          <w:szCs w:val="21"/>
        </w:rPr>
        <w:fldChar w:fldCharType="separate"/>
      </w:r>
      <w:r>
        <w:rPr>
          <w:rFonts w:ascii="Arial" w:hAnsi="Arial" w:cs="Arial"/>
          <w:color w:val="000000"/>
          <w:szCs w:val="21"/>
        </w:rPr>
        <w:t>62</w:t>
      </w:r>
      <w:r>
        <w:rPr>
          <w:rFonts w:ascii="Arial" w:hAnsi="Arial" w:cs="Arial"/>
          <w:color w:val="000000"/>
          <w:szCs w:val="21"/>
        </w:rPr>
        <w:fldChar w:fldCharType="end"/>
      </w:r>
      <w:r>
        <w:rPr>
          <w:rFonts w:ascii="Arial" w:hAnsi="Arial" w:cs="Arial"/>
          <w:color w:val="000000"/>
          <w:szCs w:val="21"/>
        </w:rPr>
        <w:fldChar w:fldCharType="end"/>
      </w:r>
    </w:p>
    <w:p>
      <w:pPr>
        <w:pStyle w:val="11"/>
        <w:tabs>
          <w:tab w:val="right" w:leader="dot" w:pos="9298"/>
          <w:tab w:val="clear" w:pos="8302"/>
        </w:tabs>
        <w:spacing w:line="360" w:lineRule="auto"/>
        <w:rPr>
          <w:rFonts w:ascii="Arial" w:hAnsi="Arial" w:cs="Arial"/>
        </w:rPr>
      </w:pPr>
      <w:r>
        <w:fldChar w:fldCharType="begin"/>
      </w:r>
      <w:r>
        <w:instrText xml:space="preserve"> HYPERLINK \l "_Toc14883" </w:instrText>
      </w:r>
      <w:r>
        <w:fldChar w:fldCharType="separate"/>
      </w:r>
      <w:r>
        <w:rPr>
          <w:rFonts w:ascii="Arial" w:hAnsi="Arial" w:cs="Arial"/>
          <w:color w:val="000000"/>
          <w:szCs w:val="21"/>
        </w:rPr>
        <w:t>附件五 股东知情权纠纷案二审判决书</w:t>
      </w:r>
      <w:r>
        <w:rPr>
          <w:rFonts w:ascii="Arial" w:hAnsi="Arial" w:cs="Arial"/>
          <w:color w:val="000000"/>
          <w:szCs w:val="21"/>
        </w:rPr>
        <w:tab/>
      </w:r>
      <w:r>
        <w:rPr>
          <w:rFonts w:ascii="Arial" w:hAnsi="Arial" w:cs="Arial"/>
          <w:color w:val="000000"/>
          <w:szCs w:val="21"/>
        </w:rPr>
        <w:fldChar w:fldCharType="begin"/>
      </w:r>
      <w:r>
        <w:rPr>
          <w:rFonts w:ascii="Arial" w:hAnsi="Arial" w:cs="Arial"/>
          <w:color w:val="000000"/>
          <w:szCs w:val="21"/>
        </w:rPr>
        <w:instrText xml:space="preserve"> PAGEREF _Toc14883 \h </w:instrText>
      </w:r>
      <w:r>
        <w:rPr>
          <w:rFonts w:ascii="Arial" w:hAnsi="Arial" w:cs="Arial"/>
          <w:color w:val="000000"/>
          <w:szCs w:val="21"/>
        </w:rPr>
        <w:fldChar w:fldCharType="separate"/>
      </w:r>
      <w:r>
        <w:rPr>
          <w:rFonts w:ascii="Arial" w:hAnsi="Arial" w:cs="Arial"/>
          <w:color w:val="000000"/>
          <w:szCs w:val="21"/>
        </w:rPr>
        <w:t>65</w:t>
      </w:r>
      <w:r>
        <w:rPr>
          <w:rFonts w:ascii="Arial" w:hAnsi="Arial" w:cs="Arial"/>
          <w:color w:val="000000"/>
          <w:szCs w:val="21"/>
        </w:rPr>
        <w:fldChar w:fldCharType="end"/>
      </w:r>
      <w:r>
        <w:rPr>
          <w:rFonts w:ascii="Arial" w:hAnsi="Arial" w:cs="Arial"/>
          <w:color w:val="000000"/>
          <w:szCs w:val="21"/>
        </w:rPr>
        <w:fldChar w:fldCharType="end"/>
      </w:r>
    </w:p>
    <w:p>
      <w:pPr>
        <w:pStyle w:val="10"/>
        <w:tabs>
          <w:tab w:val="right" w:leader="dot" w:pos="9298"/>
          <w:tab w:val="clear" w:pos="8302"/>
        </w:tabs>
        <w:rPr>
          <w:rFonts w:ascii="Arial" w:hAnsi="Arial" w:cs="Arial"/>
        </w:rPr>
        <w:sectPr>
          <w:headerReference r:id="rId5" w:type="default"/>
          <w:footerReference r:id="rId6" w:type="default"/>
          <w:pgSz w:w="11906" w:h="16838"/>
          <w:pgMar w:top="1843" w:right="1134" w:bottom="1134" w:left="1134" w:header="851" w:footer="851" w:gutter="340"/>
          <w:pgNumType w:start="1"/>
          <w:cols w:space="720" w:num="1"/>
          <w:docGrid w:linePitch="312" w:charSpace="0"/>
        </w:sectPr>
      </w:pPr>
      <w:r>
        <w:rPr>
          <w:rFonts w:ascii="Arial" w:hAnsi="Arial" w:cs="Arial"/>
          <w:color w:val="000000"/>
          <w:szCs w:val="21"/>
        </w:rPr>
        <w:fldChar w:fldCharType="end"/>
      </w:r>
    </w:p>
    <w:p>
      <w:pPr>
        <w:spacing w:line="480" w:lineRule="auto"/>
        <w:ind w:firstLine="420" w:firstLineChars="200"/>
        <w:rPr>
          <w:rFonts w:ascii="Arial" w:hAnsi="Arial" w:cs="Arial"/>
          <w:bCs/>
          <w:kern w:val="44"/>
          <w:szCs w:val="21"/>
        </w:rPr>
      </w:pPr>
      <w:bookmarkStart w:id="9" w:name="_Toc373309848"/>
      <w:r>
        <w:rPr>
          <w:rFonts w:ascii="Arial" w:hAnsi="Arial" w:cs="Arial"/>
          <w:bCs/>
          <w:kern w:val="44"/>
          <w:szCs w:val="21"/>
        </w:rPr>
        <w:t>为了方便阅读之目的，本报告中将部分名称简写为：</w:t>
      </w:r>
    </w:p>
    <w:p>
      <w:pPr>
        <w:spacing w:line="480" w:lineRule="auto"/>
        <w:ind w:firstLine="420" w:firstLineChars="200"/>
        <w:rPr>
          <w:rFonts w:ascii="Arial" w:hAnsi="Arial" w:cs="Arial"/>
          <w:bCs/>
          <w:kern w:val="44"/>
          <w:szCs w:val="21"/>
        </w:rPr>
      </w:pPr>
      <w:r>
        <w:rPr>
          <w:rFonts w:ascii="Arial" w:hAnsi="Arial" w:cs="Arial"/>
          <w:bCs/>
          <w:kern w:val="44"/>
          <w:szCs w:val="21"/>
        </w:rPr>
        <w:t>·项目公司：丹龙置业常州有限公司</w:t>
      </w:r>
    </w:p>
    <w:p>
      <w:pPr>
        <w:spacing w:line="480" w:lineRule="auto"/>
        <w:ind w:firstLine="420" w:firstLineChars="200"/>
        <w:rPr>
          <w:rFonts w:ascii="Arial" w:hAnsi="Arial" w:cs="Arial"/>
          <w:bCs/>
          <w:kern w:val="44"/>
          <w:szCs w:val="21"/>
        </w:rPr>
      </w:pPr>
      <w:r>
        <w:rPr>
          <w:rFonts w:ascii="Arial" w:hAnsi="Arial" w:cs="Arial"/>
          <w:bCs/>
          <w:kern w:val="44"/>
          <w:szCs w:val="21"/>
        </w:rPr>
        <w:t>·道诚基金：道诚（上海）股权投资基金管理有限公司</w:t>
      </w:r>
    </w:p>
    <w:p>
      <w:pPr>
        <w:spacing w:line="480" w:lineRule="auto"/>
        <w:ind w:firstLine="420" w:firstLineChars="200"/>
        <w:rPr>
          <w:rFonts w:ascii="Arial" w:hAnsi="Arial" w:cs="Arial"/>
          <w:bCs/>
          <w:kern w:val="44"/>
          <w:szCs w:val="21"/>
        </w:rPr>
      </w:pPr>
      <w:r>
        <w:rPr>
          <w:rFonts w:ascii="Arial" w:hAnsi="Arial" w:cs="Arial"/>
          <w:bCs/>
          <w:kern w:val="44"/>
          <w:szCs w:val="21"/>
        </w:rPr>
        <w:t>·康正：北京康正宏基房地产评估有限公司</w:t>
      </w:r>
    </w:p>
    <w:p>
      <w:pPr>
        <w:pStyle w:val="2"/>
        <w:keepNext w:val="0"/>
        <w:keepLines w:val="0"/>
        <w:spacing w:before="300" w:after="300" w:line="360" w:lineRule="exact"/>
        <w:jc w:val="left"/>
        <w:rPr>
          <w:rFonts w:ascii="Arial" w:hAnsi="Arial" w:cs="Arial"/>
          <w:color w:val="000000"/>
          <w:sz w:val="24"/>
          <w:szCs w:val="24"/>
        </w:rPr>
      </w:pPr>
      <w:bookmarkStart w:id="10" w:name="_Toc23934"/>
      <w:bookmarkStart w:id="11" w:name="_Toc28305"/>
      <w:bookmarkStart w:id="12" w:name="_Toc31281"/>
      <w:bookmarkStart w:id="13" w:name="_Toc532281655"/>
      <w:bookmarkStart w:id="14" w:name="_Toc535580021"/>
      <w:bookmarkStart w:id="15" w:name="_Toc535508634"/>
      <w:bookmarkStart w:id="16" w:name="_Toc535570748"/>
      <w:bookmarkStart w:id="17" w:name="_Toc535580089"/>
      <w:r>
        <w:rPr>
          <w:rFonts w:ascii="Arial" w:hAnsi="Arial" w:cs="Arial"/>
          <w:color w:val="000000"/>
          <w:sz w:val="24"/>
          <w:szCs w:val="24"/>
        </w:rPr>
        <w:t>1项目基本情况介绍</w:t>
      </w:r>
      <w:bookmarkEnd w:id="10"/>
      <w:bookmarkEnd w:id="11"/>
      <w:bookmarkEnd w:id="12"/>
    </w:p>
    <w:p>
      <w:pPr>
        <w:rPr>
          <w:rFonts w:ascii="Arial" w:hAnsi="Arial" w:cs="Arial"/>
          <w:color w:val="000000"/>
          <w:sz w:val="24"/>
        </w:rPr>
      </w:pPr>
      <w:r>
        <w:rPr>
          <w:rFonts w:ascii="Arial" w:hAnsi="Arial" w:cs="Arial"/>
          <w:color w:val="000000"/>
          <w:sz w:val="24"/>
        </w:rPr>
        <w:drawing>
          <wp:inline distT="0" distB="0" distL="0" distR="0">
            <wp:extent cx="5904230" cy="374142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04230" cy="3741420"/>
                    </a:xfrm>
                    <a:prstGeom prst="rect">
                      <a:avLst/>
                    </a:prstGeom>
                  </pic:spPr>
                </pic:pic>
              </a:graphicData>
            </a:graphic>
          </wp:inline>
        </w:drawing>
      </w:r>
    </w:p>
    <w:p>
      <w:pPr>
        <w:rPr>
          <w:rFonts w:ascii="Arial" w:hAnsi="Arial" w:cs="Arial"/>
        </w:rPr>
      </w:pPr>
    </w:p>
    <w:p>
      <w:pPr>
        <w:spacing w:line="480" w:lineRule="auto"/>
        <w:ind w:firstLine="420" w:firstLineChars="200"/>
        <w:rPr>
          <w:rFonts w:ascii="Arial" w:hAnsi="Arial" w:cs="Arial"/>
          <w:b/>
          <w:bCs/>
        </w:rPr>
      </w:pPr>
      <w:r>
        <w:rPr>
          <w:rFonts w:ascii="Arial" w:hAnsi="Arial" w:cs="Arial"/>
          <w:bCs/>
          <w:szCs w:val="21"/>
        </w:rPr>
        <w:t>标的项目为</w:t>
      </w:r>
      <w:r>
        <w:rPr>
          <w:rFonts w:ascii="Arial" w:hAnsi="Arial" w:cs="Arial"/>
          <w:bCs/>
          <w:kern w:val="44"/>
          <w:szCs w:val="21"/>
        </w:rPr>
        <w:t>项目公司开发的“绿城﹒江南里”项目（又名：月桂江南里），项目</w:t>
      </w:r>
      <w:r>
        <w:rPr>
          <w:rFonts w:ascii="Arial" w:hAnsi="Arial" w:cs="Arial"/>
          <w:bCs/>
          <w:szCs w:val="21"/>
        </w:rPr>
        <w:t>位于江苏省常州市武进经济开发区四桥头东北角。项目公司于2011年11月14日与常州市国土资源局武进分局签订了《国有建设用地使用权出让合同》【合同编号：3204832011CR0188】取得了宗地编号210-210274-001（标的项目地块）出让用地使用权。土地用途为其他商服用地、廉租住房用地、中低价位及中小套型普通商品住房用地、其他普通商品住房用地，出让用地面积为177,208.6平方米。合同约定建筑容积率不高于1.87，建筑总面积331,380.0820平方米。标的项目实际分为A、B两地块开发建设，其中A地块（四期、五期）土地面积为64,929.45m</w:t>
      </w:r>
      <w:r>
        <w:rPr>
          <w:rFonts w:ascii="Arial" w:hAnsi="Arial" w:cs="Arial"/>
          <w:bCs/>
          <w:szCs w:val="21"/>
          <w:vertAlign w:val="superscript"/>
        </w:rPr>
        <w:t>2</w:t>
      </w:r>
      <w:r>
        <w:rPr>
          <w:rFonts w:ascii="Arial" w:hAnsi="Arial" w:cs="Arial"/>
          <w:bCs/>
          <w:szCs w:val="21"/>
        </w:rPr>
        <w:t>，目前仅取得《不动产权证书》；B地块（一至三期）土地面积为112,263.56m</w:t>
      </w:r>
      <w:r>
        <w:rPr>
          <w:rFonts w:ascii="Arial" w:hAnsi="Arial" w:cs="Arial"/>
          <w:bCs/>
          <w:szCs w:val="21"/>
          <w:vertAlign w:val="superscript"/>
        </w:rPr>
        <w:t>2</w:t>
      </w:r>
      <w:r>
        <w:rPr>
          <w:rFonts w:ascii="Arial" w:hAnsi="Arial" w:cs="Arial"/>
          <w:bCs/>
          <w:szCs w:val="21"/>
        </w:rPr>
        <w:t>，已取得《不动产权证书》、《建设用地规划许可证》、《建设工程规划许可证》、《建筑工程施工许可证》，大部分楼幢已取得《商品房预售许可证》。项目详细经济指标见下表：</w:t>
      </w:r>
    </w:p>
    <w:p>
      <w:pPr>
        <w:ind w:firstLine="422" w:firstLineChars="200"/>
        <w:jc w:val="center"/>
        <w:rPr>
          <w:rFonts w:ascii="Arial" w:hAnsi="Arial" w:cs="Arial"/>
          <w:b/>
          <w:bCs/>
        </w:rPr>
      </w:pPr>
      <w:r>
        <w:rPr>
          <w:rFonts w:ascii="Arial" w:hAnsi="Arial" w:cs="Arial"/>
          <w:b/>
          <w:bCs/>
        </w:rPr>
        <w:t>项目各项经济指标</w:t>
      </w:r>
    </w:p>
    <w:tbl>
      <w:tblPr>
        <w:tblStyle w:val="13"/>
        <w:tblW w:w="103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992"/>
        <w:gridCol w:w="1201"/>
        <w:gridCol w:w="1300"/>
        <w:gridCol w:w="1200"/>
        <w:gridCol w:w="1213"/>
        <w:gridCol w:w="1187"/>
        <w:gridCol w:w="131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blHeader/>
          <w:jc w:val="center"/>
        </w:trPr>
        <w:tc>
          <w:tcPr>
            <w:tcW w:w="72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99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单位工程</w:t>
            </w:r>
          </w:p>
        </w:tc>
        <w:tc>
          <w:tcPr>
            <w:tcW w:w="1201"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用地面积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3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建筑面积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0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计容面积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2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可售面积</w:t>
            </w:r>
          </w:p>
          <w:p>
            <w:pPr>
              <w:jc w:val="center"/>
              <w:textAlignment w:val="center"/>
              <w:rPr>
                <w:rFonts w:ascii="Arial" w:hAnsi="Arial" w:cs="Arial"/>
                <w:b/>
                <w:bCs/>
                <w:color w:val="000000"/>
                <w:sz w:val="18"/>
                <w:szCs w:val="18"/>
              </w:rPr>
            </w:pPr>
            <w:r>
              <w:rPr>
                <w:rFonts w:ascii="Arial" w:hAnsi="Arial" w:cs="Arial"/>
                <w:b/>
                <w:bCs/>
                <w:color w:val="000000"/>
                <w:sz w:val="18"/>
                <w:szCs w:val="18"/>
              </w:rPr>
              <w:t>（m</w:t>
            </w:r>
            <w:r>
              <w:rPr>
                <w:rFonts w:ascii="Arial" w:hAnsi="Arial" w:cs="Arial"/>
                <w:b/>
                <w:bCs/>
                <w:color w:val="000000"/>
                <w:sz w:val="18"/>
                <w:szCs w:val="18"/>
                <w:vertAlign w:val="superscript"/>
              </w:rPr>
              <w:t>2</w:t>
            </w:r>
            <w:r>
              <w:rPr>
                <w:rFonts w:ascii="Arial" w:hAnsi="Arial" w:cs="Arial"/>
                <w:b/>
                <w:bCs/>
                <w:color w:val="000000"/>
                <w:sz w:val="18"/>
                <w:szCs w:val="18"/>
              </w:rPr>
              <w:t>）</w:t>
            </w:r>
          </w:p>
        </w:tc>
        <w:tc>
          <w:tcPr>
            <w:tcW w:w="118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总货值</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31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物业类型</w:t>
            </w:r>
          </w:p>
        </w:tc>
        <w:tc>
          <w:tcPr>
            <w:tcW w:w="124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5"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B一期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112,263.56</w:t>
            </w:r>
          </w:p>
        </w:tc>
        <w:tc>
          <w:tcPr>
            <w:tcW w:w="13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101,489.07</w:t>
            </w:r>
          </w:p>
        </w:tc>
        <w:tc>
          <w:tcPr>
            <w:tcW w:w="120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67,792.07</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61,414.81</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119,243</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分为一标段、二标段建设</w:t>
            </w:r>
            <w:r>
              <w:rPr>
                <w:rFonts w:hint="eastAsia" w:ascii="Arial" w:hAnsi="Arial" w:cs="Arial" w:eastAsiaTheme="minorEastAsia"/>
                <w:color w:val="000000"/>
                <w:sz w:val="18"/>
                <w:szCs w:val="18"/>
              </w:rPr>
              <w:t>（除会所外所有楼栋均已取得预售证）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B二期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83,268.77</w:t>
            </w:r>
          </w:p>
        </w:tc>
        <w:tc>
          <w:tcPr>
            <w:tcW w:w="12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59,482.55</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57,230.27</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100,470</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小高层、叠墅、合院、商业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除</w:t>
            </w:r>
            <w:r>
              <w:rPr>
                <w:rFonts w:ascii="Arial" w:hAnsi="Arial" w:cs="Arial" w:eastAsiaTheme="minorEastAsia"/>
                <w:color w:val="000000"/>
                <w:sz w:val="18"/>
                <w:szCs w:val="18"/>
              </w:rPr>
              <w:t>41#</w:t>
            </w:r>
            <w:r>
              <w:rPr>
                <w:rFonts w:hint="eastAsia" w:ascii="Arial" w:hAnsi="Arial" w:cs="Arial" w:eastAsiaTheme="minorEastAsia"/>
                <w:color w:val="000000"/>
                <w:sz w:val="18"/>
                <w:szCs w:val="18"/>
              </w:rPr>
              <w:t>外所有楼栋均已取得预售证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B三期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60,744.8</w:t>
            </w:r>
          </w:p>
        </w:tc>
        <w:tc>
          <w:tcPr>
            <w:tcW w:w="1200" w:type="dxa"/>
            <w:vAlign w:val="center"/>
          </w:tcPr>
          <w:p>
            <w:pPr>
              <w:jc w:val="center"/>
              <w:textAlignment w:val="center"/>
            </w:pPr>
            <w:r>
              <w:rPr>
                <w:rFonts w:hint="eastAsia" w:ascii="Arial" w:hAnsi="Arial" w:cs="Arial" w:eastAsiaTheme="minorEastAsia"/>
                <w:color w:val="000000"/>
                <w:sz w:val="18"/>
                <w:szCs w:val="18"/>
              </w:rPr>
              <w:t>42,044.98</w:t>
            </w:r>
          </w:p>
        </w:tc>
        <w:tc>
          <w:tcPr>
            <w:tcW w:w="1213"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37,169.13</w:t>
            </w:r>
          </w:p>
        </w:tc>
        <w:tc>
          <w:tcPr>
            <w:tcW w:w="1187"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59,938</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小高层、商业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所有楼栋均已取得预售证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A四期</w:t>
            </w:r>
          </w:p>
        </w:tc>
        <w:tc>
          <w:tcPr>
            <w:tcW w:w="1201"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64,929.45</w:t>
            </w:r>
          </w:p>
        </w:tc>
        <w:tc>
          <w:tcPr>
            <w:tcW w:w="1300"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fldChar w:fldCharType="begin"/>
            </w:r>
            <w:r>
              <w:rPr>
                <w:rFonts w:ascii="Arial" w:hAnsi="Arial" w:cs="Arial" w:eastAsiaTheme="minorEastAsia"/>
                <w:color w:val="000000"/>
                <w:sz w:val="18"/>
                <w:szCs w:val="18"/>
              </w:rPr>
              <w:instrText xml:space="preserve"> = sum(G18:H18) \* MERGEFORMAT </w:instrText>
            </w:r>
            <w:r>
              <w:rPr>
                <w:rFonts w:ascii="Arial" w:hAnsi="Arial" w:cs="Arial" w:eastAsiaTheme="minorEastAsia"/>
                <w:color w:val="000000"/>
                <w:sz w:val="18"/>
                <w:szCs w:val="18"/>
              </w:rPr>
              <w:fldChar w:fldCharType="separate"/>
            </w:r>
            <w:r>
              <w:rPr>
                <w:rFonts w:ascii="Arial" w:hAnsi="Arial" w:cs="Arial" w:eastAsiaTheme="minorEastAsia"/>
                <w:color w:val="000000"/>
                <w:sz w:val="18"/>
                <w:szCs w:val="18"/>
              </w:rPr>
              <w:t>221,465.78</w:t>
            </w:r>
            <w:r>
              <w:rPr>
                <w:rFonts w:ascii="Arial" w:hAnsi="Arial" w:cs="Arial" w:eastAsiaTheme="minorEastAsia"/>
                <w:color w:val="000000"/>
                <w:sz w:val="18"/>
                <w:szCs w:val="18"/>
              </w:rPr>
              <w:fldChar w:fldCharType="end"/>
            </w:r>
          </w:p>
        </w:tc>
        <w:tc>
          <w:tcPr>
            <w:tcW w:w="1200" w:type="dxa"/>
            <w:vMerge w:val="restart"/>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162,030.47</w:t>
            </w: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79,006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120,090.4</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高层、公寓、办公楼、商业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jc w:val="center"/>
        </w:trPr>
        <w:tc>
          <w:tcPr>
            <w:tcW w:w="725"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w:t>
            </w:r>
          </w:p>
        </w:tc>
        <w:tc>
          <w:tcPr>
            <w:tcW w:w="992"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A五期</w:t>
            </w:r>
          </w:p>
        </w:tc>
        <w:tc>
          <w:tcPr>
            <w:tcW w:w="1201" w:type="dxa"/>
            <w:vMerge w:val="continue"/>
            <w:vAlign w:val="center"/>
          </w:tcPr>
          <w:p>
            <w:pPr>
              <w:jc w:val="center"/>
              <w:textAlignment w:val="center"/>
              <w:rPr>
                <w:rFonts w:ascii="Arial" w:hAnsi="Arial" w:cs="Arial" w:eastAsiaTheme="minorEastAsia"/>
                <w:color w:val="000000"/>
                <w:sz w:val="18"/>
                <w:szCs w:val="18"/>
              </w:rPr>
            </w:pPr>
          </w:p>
        </w:tc>
        <w:tc>
          <w:tcPr>
            <w:tcW w:w="1300" w:type="dxa"/>
            <w:vMerge w:val="continue"/>
            <w:vAlign w:val="center"/>
          </w:tcPr>
          <w:p>
            <w:pPr>
              <w:jc w:val="center"/>
              <w:textAlignment w:val="center"/>
              <w:rPr>
                <w:rFonts w:ascii="Arial" w:hAnsi="Arial" w:cs="Arial" w:eastAsiaTheme="minorEastAsia"/>
                <w:color w:val="000000"/>
                <w:sz w:val="18"/>
                <w:szCs w:val="18"/>
              </w:rPr>
            </w:pPr>
          </w:p>
        </w:tc>
        <w:tc>
          <w:tcPr>
            <w:tcW w:w="1200" w:type="dxa"/>
            <w:vMerge w:val="continue"/>
            <w:vAlign w:val="center"/>
          </w:tcPr>
          <w:p>
            <w:pPr>
              <w:jc w:val="center"/>
              <w:textAlignment w:val="center"/>
              <w:rPr>
                <w:rFonts w:ascii="Arial" w:hAnsi="Arial" w:cs="Arial" w:eastAsiaTheme="minorEastAsia"/>
                <w:color w:val="000000"/>
                <w:sz w:val="18"/>
                <w:szCs w:val="18"/>
              </w:rPr>
            </w:pPr>
          </w:p>
        </w:tc>
        <w:tc>
          <w:tcPr>
            <w:tcW w:w="1213"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81,0</w:t>
            </w:r>
            <w:r>
              <w:rPr>
                <w:rFonts w:hint="eastAsia" w:ascii="Arial" w:hAnsi="Arial" w:cs="Arial" w:eastAsiaTheme="minorEastAsia"/>
                <w:color w:val="000000"/>
                <w:sz w:val="18"/>
                <w:szCs w:val="18"/>
              </w:rPr>
              <w:t>7</w:t>
            </w:r>
            <w:r>
              <w:rPr>
                <w:rFonts w:ascii="Arial" w:hAnsi="Arial" w:cs="Arial" w:eastAsiaTheme="minorEastAsia"/>
                <w:color w:val="000000"/>
                <w:sz w:val="18"/>
                <w:szCs w:val="18"/>
              </w:rPr>
              <w:t>6</w:t>
            </w:r>
          </w:p>
        </w:tc>
        <w:tc>
          <w:tcPr>
            <w:tcW w:w="1187"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113,493.14</w:t>
            </w:r>
          </w:p>
        </w:tc>
        <w:tc>
          <w:tcPr>
            <w:tcW w:w="1310" w:type="dxa"/>
            <w:vAlign w:val="center"/>
          </w:tcPr>
          <w:p>
            <w:pPr>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高层、公寓、商业</w:t>
            </w:r>
          </w:p>
        </w:tc>
        <w:tc>
          <w:tcPr>
            <w:tcW w:w="1240" w:type="dxa"/>
            <w:vAlign w:val="center"/>
          </w:tcPr>
          <w:p>
            <w:pPr>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未开工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717" w:type="dxa"/>
            <w:gridSpan w:val="2"/>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合计</w:t>
            </w:r>
          </w:p>
        </w:tc>
        <w:tc>
          <w:tcPr>
            <w:tcW w:w="1201"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177,193.01</w:t>
            </w:r>
          </w:p>
        </w:tc>
        <w:tc>
          <w:tcPr>
            <w:tcW w:w="1300"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466,968.42</w:t>
            </w:r>
          </w:p>
        </w:tc>
        <w:tc>
          <w:tcPr>
            <w:tcW w:w="1200" w:type="dxa"/>
            <w:vAlign w:val="center"/>
          </w:tcPr>
          <w:p>
            <w:pPr>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sz w:val="18"/>
                <w:szCs w:val="18"/>
              </w:rPr>
              <w:t>331,350.07</w:t>
            </w:r>
          </w:p>
        </w:tc>
        <w:tc>
          <w:tcPr>
            <w:tcW w:w="1213" w:type="dxa"/>
            <w:vAlign w:val="center"/>
          </w:tcPr>
          <w:p>
            <w:pPr>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315,896.21</w:t>
            </w:r>
          </w:p>
        </w:tc>
        <w:tc>
          <w:tcPr>
            <w:tcW w:w="1187" w:type="dxa"/>
            <w:vAlign w:val="center"/>
          </w:tcPr>
          <w:p>
            <w:pPr>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513,234.54</w:t>
            </w:r>
          </w:p>
        </w:tc>
        <w:tc>
          <w:tcPr>
            <w:tcW w:w="1310" w:type="dxa"/>
            <w:vAlign w:val="center"/>
          </w:tcPr>
          <w:p>
            <w:pPr>
              <w:jc w:val="center"/>
              <w:textAlignment w:val="center"/>
              <w:rPr>
                <w:rFonts w:ascii="Arial" w:hAnsi="Arial" w:cs="Arial" w:eastAsiaTheme="minorEastAsia"/>
                <w:b/>
                <w:bCs/>
                <w:color w:val="000000"/>
                <w:sz w:val="18"/>
                <w:szCs w:val="18"/>
              </w:rPr>
            </w:pPr>
          </w:p>
        </w:tc>
        <w:tc>
          <w:tcPr>
            <w:tcW w:w="1240" w:type="dxa"/>
            <w:vAlign w:val="center"/>
          </w:tcPr>
          <w:p>
            <w:pPr>
              <w:jc w:val="center"/>
              <w:textAlignment w:val="center"/>
              <w:rPr>
                <w:rFonts w:ascii="Arial" w:hAnsi="Arial" w:cs="Arial" w:eastAsiaTheme="minorEastAsia"/>
                <w:b/>
                <w:bCs/>
                <w:color w:val="000000"/>
                <w:sz w:val="18"/>
                <w:szCs w:val="18"/>
              </w:rPr>
            </w:pPr>
          </w:p>
        </w:tc>
      </w:tr>
    </w:tbl>
    <w:p>
      <w:pPr>
        <w:rPr>
          <w:rFonts w:ascii="Arial" w:hAnsi="Arial" w:cs="Arial" w:eastAsiaTheme="minorEastAsia"/>
          <w:kern w:val="0"/>
          <w:sz w:val="18"/>
          <w:szCs w:val="18"/>
        </w:rPr>
      </w:pPr>
      <w:r>
        <w:rPr>
          <w:rFonts w:ascii="Arial" w:hAnsi="Arial" w:cs="Arial" w:eastAsiaTheme="minorEastAsia"/>
          <w:kern w:val="0"/>
          <w:sz w:val="18"/>
          <w:szCs w:val="18"/>
        </w:rPr>
        <w:t>注：1、上述B地块（一至三期）建筑面积、计容建筑面积以已取得《建设工程规划许可证》为依据；A地块建筑面积、计容面积以项目公司申报《建设工程规划许可证》的明细表为依据。</w:t>
      </w:r>
    </w:p>
    <w:p>
      <w:pPr>
        <w:ind w:firstLine="360" w:firstLineChars="200"/>
        <w:rPr>
          <w:rFonts w:ascii="Arial" w:hAnsi="Arial" w:cs="Arial" w:eastAsiaTheme="minorEastAsia"/>
          <w:kern w:val="0"/>
          <w:sz w:val="18"/>
          <w:szCs w:val="18"/>
        </w:rPr>
      </w:pPr>
      <w:r>
        <w:rPr>
          <w:rFonts w:ascii="Arial" w:hAnsi="Arial" w:cs="Arial" w:eastAsiaTheme="minorEastAsia"/>
          <w:kern w:val="0"/>
          <w:sz w:val="18"/>
          <w:szCs w:val="18"/>
        </w:rPr>
        <w:t>2、一期</w:t>
      </w:r>
      <w:r>
        <w:rPr>
          <w:rFonts w:hint="eastAsia" w:ascii="Arial" w:hAnsi="Arial" w:cs="Arial" w:eastAsiaTheme="minorEastAsia"/>
          <w:kern w:val="0"/>
          <w:sz w:val="18"/>
          <w:szCs w:val="18"/>
        </w:rPr>
        <w:t>、二期可售面积以已取得</w:t>
      </w:r>
      <w:r>
        <w:rPr>
          <w:rFonts w:ascii="Arial" w:hAnsi="Arial" w:cs="Arial" w:eastAsiaTheme="minorEastAsia"/>
          <w:kern w:val="0"/>
          <w:sz w:val="18"/>
          <w:szCs w:val="18"/>
        </w:rPr>
        <w:t>《</w:t>
      </w:r>
      <w:r>
        <w:rPr>
          <w:rFonts w:hint="eastAsia" w:ascii="Arial" w:hAnsi="Arial" w:cs="Arial" w:eastAsiaTheme="minorEastAsia"/>
          <w:kern w:val="0"/>
          <w:sz w:val="18"/>
          <w:szCs w:val="18"/>
        </w:rPr>
        <w:t>商品房预售</w:t>
      </w:r>
      <w:r>
        <w:rPr>
          <w:rFonts w:ascii="Arial" w:hAnsi="Arial" w:cs="Arial" w:eastAsiaTheme="minorEastAsia"/>
          <w:kern w:val="0"/>
          <w:sz w:val="18"/>
          <w:szCs w:val="18"/>
        </w:rPr>
        <w:t>许可证》</w:t>
      </w:r>
      <w:r>
        <w:rPr>
          <w:rFonts w:hint="eastAsia" w:ascii="Arial" w:hAnsi="Arial" w:cs="Arial" w:eastAsiaTheme="minorEastAsia"/>
          <w:kern w:val="0"/>
          <w:sz w:val="18"/>
          <w:szCs w:val="18"/>
        </w:rPr>
        <w:t>及</w:t>
      </w:r>
      <w:r>
        <w:rPr>
          <w:rFonts w:ascii="Arial" w:hAnsi="Arial" w:cs="Arial" w:eastAsiaTheme="minorEastAsia"/>
          <w:kern w:val="0"/>
          <w:sz w:val="18"/>
          <w:szCs w:val="18"/>
        </w:rPr>
        <w:t>《</w:t>
      </w:r>
      <w:r>
        <w:rPr>
          <w:rFonts w:hint="eastAsia" w:ascii="Arial" w:hAnsi="Arial" w:cs="Arial" w:eastAsiaTheme="minorEastAsia"/>
          <w:kern w:val="0"/>
          <w:sz w:val="18"/>
          <w:szCs w:val="18"/>
        </w:rPr>
        <w:t>建设工程规划许可证》为依据；三期可售面积</w:t>
      </w:r>
      <w:r>
        <w:rPr>
          <w:rFonts w:ascii="Arial" w:hAnsi="Arial" w:cs="Arial" w:eastAsiaTheme="minorEastAsia"/>
          <w:kern w:val="0"/>
          <w:sz w:val="18"/>
          <w:szCs w:val="18"/>
        </w:rPr>
        <w:t>以已取得《</w:t>
      </w:r>
      <w:r>
        <w:rPr>
          <w:rFonts w:hint="eastAsia" w:ascii="Arial" w:hAnsi="Arial" w:cs="Arial" w:eastAsiaTheme="minorEastAsia"/>
          <w:kern w:val="0"/>
          <w:sz w:val="18"/>
          <w:szCs w:val="18"/>
        </w:rPr>
        <w:t>商品房预售</w:t>
      </w:r>
      <w:r>
        <w:rPr>
          <w:rFonts w:ascii="Arial" w:hAnsi="Arial" w:cs="Arial" w:eastAsiaTheme="minorEastAsia"/>
          <w:kern w:val="0"/>
          <w:sz w:val="18"/>
          <w:szCs w:val="18"/>
        </w:rPr>
        <w:t>许可证》为依据；</w:t>
      </w:r>
      <w:r>
        <w:rPr>
          <w:rFonts w:hint="eastAsia" w:ascii="Arial" w:hAnsi="Arial" w:cs="Arial" w:eastAsiaTheme="minorEastAsia"/>
          <w:kern w:val="0"/>
          <w:sz w:val="18"/>
          <w:szCs w:val="18"/>
        </w:rPr>
        <w:t>四期、</w:t>
      </w:r>
      <w:r>
        <w:rPr>
          <w:rFonts w:ascii="Arial" w:hAnsi="Arial" w:cs="Arial" w:eastAsiaTheme="minorEastAsia"/>
          <w:kern w:val="0"/>
          <w:sz w:val="18"/>
          <w:szCs w:val="18"/>
        </w:rPr>
        <w:t>五期</w:t>
      </w:r>
      <w:r>
        <w:rPr>
          <w:rFonts w:hint="eastAsia" w:ascii="Arial" w:hAnsi="Arial" w:cs="Arial" w:eastAsiaTheme="minorEastAsia"/>
          <w:kern w:val="0"/>
          <w:sz w:val="18"/>
          <w:szCs w:val="18"/>
        </w:rPr>
        <w:t>可售面积</w:t>
      </w:r>
      <w:r>
        <w:rPr>
          <w:rFonts w:ascii="Arial" w:hAnsi="Arial" w:cs="Arial" w:eastAsiaTheme="minorEastAsia"/>
          <w:kern w:val="0"/>
          <w:sz w:val="18"/>
          <w:szCs w:val="18"/>
        </w:rPr>
        <w:t>以</w:t>
      </w:r>
      <w:r>
        <w:rPr>
          <w:rFonts w:hint="eastAsia" w:ascii="Arial" w:hAnsi="Arial" w:cs="Arial" w:eastAsiaTheme="minorEastAsia"/>
          <w:kern w:val="0"/>
          <w:sz w:val="18"/>
          <w:szCs w:val="18"/>
        </w:rPr>
        <w:t>项目公司2021年02月25日</w:t>
      </w:r>
      <w:r>
        <w:rPr>
          <w:rFonts w:ascii="Arial" w:hAnsi="Arial" w:cs="Arial" w:eastAsiaTheme="minorEastAsia"/>
          <w:kern w:val="0"/>
          <w:sz w:val="18"/>
          <w:szCs w:val="18"/>
        </w:rPr>
        <w:t>提报道诚基金的常州江南里项目</w:t>
      </w:r>
      <w:r>
        <w:rPr>
          <w:rFonts w:hint="eastAsia" w:ascii="Arial" w:hAnsi="Arial" w:cs="Arial" w:eastAsiaTheme="minorEastAsia"/>
          <w:kern w:val="0"/>
          <w:sz w:val="18"/>
          <w:szCs w:val="18"/>
        </w:rPr>
        <w:t>四五期方案版目标成本</w:t>
      </w:r>
      <w:r>
        <w:rPr>
          <w:rFonts w:ascii="Arial" w:hAnsi="Arial" w:cs="Arial" w:eastAsiaTheme="minorEastAsia"/>
          <w:kern w:val="0"/>
          <w:sz w:val="18"/>
          <w:szCs w:val="18"/>
        </w:rPr>
        <w:t>为依据；总货值分期数据以项目公司提报道诚基金的</w:t>
      </w:r>
      <w:r>
        <w:rPr>
          <w:rFonts w:hint="eastAsia" w:ascii="Arial" w:hAnsi="Arial" w:cs="Arial" w:eastAsiaTheme="minorEastAsia"/>
          <w:kern w:val="0"/>
          <w:sz w:val="18"/>
          <w:szCs w:val="18"/>
        </w:rPr>
        <w:t>一期施工图版目标成本（</w:t>
      </w:r>
      <w:r>
        <w:rPr>
          <w:rFonts w:ascii="Arial" w:hAnsi="Arial" w:cs="Arial" w:eastAsiaTheme="minorEastAsia"/>
          <w:kern w:val="0"/>
          <w:sz w:val="18"/>
          <w:szCs w:val="18"/>
        </w:rPr>
        <w:t>2020年</w:t>
      </w:r>
      <w:r>
        <w:rPr>
          <w:rFonts w:hint="eastAsia" w:ascii="Arial" w:hAnsi="Arial" w:cs="Arial" w:eastAsiaTheme="minorEastAsia"/>
          <w:kern w:val="0"/>
          <w:sz w:val="18"/>
          <w:szCs w:val="18"/>
        </w:rPr>
        <w:t>05</w:t>
      </w:r>
      <w:r>
        <w:rPr>
          <w:rFonts w:ascii="Arial" w:hAnsi="Arial" w:cs="Arial" w:eastAsiaTheme="minorEastAsia"/>
          <w:kern w:val="0"/>
          <w:sz w:val="18"/>
          <w:szCs w:val="18"/>
        </w:rPr>
        <w:t>月</w:t>
      </w:r>
      <w:r>
        <w:rPr>
          <w:rFonts w:hint="eastAsia" w:ascii="Arial" w:hAnsi="Arial" w:cs="Arial" w:eastAsiaTheme="minorEastAsia"/>
          <w:kern w:val="0"/>
          <w:sz w:val="18"/>
          <w:szCs w:val="18"/>
        </w:rPr>
        <w:t>21日）、二三期施工图版目标成本（</w:t>
      </w:r>
      <w:r>
        <w:rPr>
          <w:rFonts w:ascii="Arial" w:hAnsi="Arial" w:cs="Arial" w:eastAsiaTheme="minorEastAsia"/>
          <w:kern w:val="0"/>
          <w:sz w:val="18"/>
          <w:szCs w:val="18"/>
        </w:rPr>
        <w:t>2020年</w:t>
      </w:r>
      <w:r>
        <w:rPr>
          <w:rFonts w:hint="eastAsia" w:ascii="Arial" w:hAnsi="Arial" w:cs="Arial" w:eastAsiaTheme="minorEastAsia"/>
          <w:kern w:val="0"/>
          <w:sz w:val="18"/>
          <w:szCs w:val="18"/>
        </w:rPr>
        <w:t>06</w:t>
      </w:r>
      <w:r>
        <w:rPr>
          <w:rFonts w:ascii="Arial" w:hAnsi="Arial" w:cs="Arial" w:eastAsiaTheme="minorEastAsia"/>
          <w:kern w:val="0"/>
          <w:sz w:val="18"/>
          <w:szCs w:val="18"/>
        </w:rPr>
        <w:t>月</w:t>
      </w:r>
      <w:r>
        <w:rPr>
          <w:rFonts w:hint="eastAsia" w:ascii="Arial" w:hAnsi="Arial" w:cs="Arial" w:eastAsiaTheme="minorEastAsia"/>
          <w:kern w:val="0"/>
          <w:sz w:val="18"/>
          <w:szCs w:val="18"/>
        </w:rPr>
        <w:t>24日）、四五期方案版目标成本（</w:t>
      </w:r>
      <w:r>
        <w:rPr>
          <w:rFonts w:ascii="Arial" w:hAnsi="Arial" w:cs="Arial" w:eastAsiaTheme="minorEastAsia"/>
          <w:kern w:val="0"/>
          <w:sz w:val="18"/>
          <w:szCs w:val="18"/>
        </w:rPr>
        <w:t>202</w:t>
      </w:r>
      <w:r>
        <w:rPr>
          <w:rFonts w:hint="eastAsia" w:ascii="Arial" w:hAnsi="Arial" w:cs="Arial" w:eastAsiaTheme="minorEastAsia"/>
          <w:kern w:val="0"/>
          <w:sz w:val="18"/>
          <w:szCs w:val="18"/>
        </w:rPr>
        <w:t>1</w:t>
      </w:r>
      <w:r>
        <w:rPr>
          <w:rFonts w:ascii="Arial" w:hAnsi="Arial" w:cs="Arial" w:eastAsiaTheme="minorEastAsia"/>
          <w:kern w:val="0"/>
          <w:sz w:val="18"/>
          <w:szCs w:val="18"/>
        </w:rPr>
        <w:t>年</w:t>
      </w:r>
      <w:r>
        <w:rPr>
          <w:rFonts w:hint="eastAsia" w:ascii="Arial" w:hAnsi="Arial" w:cs="Arial" w:eastAsiaTheme="minorEastAsia"/>
          <w:kern w:val="0"/>
          <w:sz w:val="18"/>
          <w:szCs w:val="18"/>
        </w:rPr>
        <w:t>02</w:t>
      </w:r>
      <w:r>
        <w:rPr>
          <w:rFonts w:ascii="Arial" w:hAnsi="Arial" w:cs="Arial" w:eastAsiaTheme="minorEastAsia"/>
          <w:kern w:val="0"/>
          <w:sz w:val="18"/>
          <w:szCs w:val="18"/>
        </w:rPr>
        <w:t>月</w:t>
      </w:r>
      <w:r>
        <w:rPr>
          <w:rFonts w:hint="eastAsia" w:ascii="Arial" w:hAnsi="Arial" w:cs="Arial" w:eastAsiaTheme="minorEastAsia"/>
          <w:kern w:val="0"/>
          <w:sz w:val="18"/>
          <w:szCs w:val="18"/>
        </w:rPr>
        <w:t>25日）</w:t>
      </w:r>
      <w:r>
        <w:rPr>
          <w:rFonts w:ascii="Arial" w:hAnsi="Arial" w:cs="Arial" w:eastAsiaTheme="minorEastAsia"/>
          <w:kern w:val="0"/>
          <w:sz w:val="18"/>
          <w:szCs w:val="18"/>
        </w:rPr>
        <w:t xml:space="preserve">为依据。     </w:t>
      </w:r>
    </w:p>
    <w:p>
      <w:pPr>
        <w:pStyle w:val="2"/>
        <w:keepNext w:val="0"/>
        <w:keepLines w:val="0"/>
        <w:spacing w:before="300" w:after="300" w:line="360" w:lineRule="exact"/>
        <w:jc w:val="left"/>
        <w:rPr>
          <w:rFonts w:ascii="Arial" w:hAnsi="Arial" w:cs="Arial"/>
        </w:rPr>
      </w:pPr>
      <w:bookmarkStart w:id="18" w:name="_Toc6895"/>
      <w:bookmarkStart w:id="19" w:name="_Toc13981"/>
      <w:r>
        <w:rPr>
          <w:rFonts w:ascii="Arial" w:hAnsi="Arial" w:cs="Arial"/>
          <w:color w:val="000000"/>
          <w:sz w:val="24"/>
          <w:szCs w:val="24"/>
        </w:rPr>
        <w:t>2重大事件披露</w:t>
      </w:r>
      <w:bookmarkEnd w:id="13"/>
      <w:bookmarkEnd w:id="14"/>
      <w:bookmarkEnd w:id="15"/>
      <w:bookmarkEnd w:id="16"/>
      <w:bookmarkEnd w:id="17"/>
      <w:bookmarkEnd w:id="18"/>
      <w:bookmarkEnd w:id="19"/>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二三期总包单位提出按《中华人民共和国国务院令第724号》与《常州市建筑工人实名制管理和工资支付保障实施办法（试行）》中农民工工资相关规定，要求项目公司每月支付农民工工资，项目公司已同意每月支付农民工工资至总包单位开设的民工工资专用账户，并在后续工程款中予以扣回，项目公司表示目前暂将人工费控制在合同总价（扣除暂估价）的20%。</w:t>
      </w:r>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2021年5月18日支付江苏城东建设项目一期合院、会所、叠墅总包款农民工工资2,720,000.00元。</w:t>
      </w:r>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2021年5月28日支付常州二建项目二三期总包款（4月份农民工工资）4,735,585.00元。</w:t>
      </w:r>
    </w:p>
    <w:p>
      <w:pPr>
        <w:numPr>
          <w:ilvl w:val="0"/>
          <w:numId w:val="1"/>
        </w:numPr>
        <w:spacing w:line="480" w:lineRule="auto"/>
        <w:ind w:firstLine="420" w:firstLineChars="200"/>
        <w:rPr>
          <w:rFonts w:ascii="Arial" w:hAnsi="Arial" w:cs="Arial" w:eastAsiaTheme="minorEastAsia"/>
          <w:szCs w:val="21"/>
        </w:rPr>
      </w:pPr>
      <w:r>
        <w:rPr>
          <w:rFonts w:hint="eastAsia" w:ascii="Arial" w:hAnsi="Arial" w:cs="Arial" w:eastAsiaTheme="minorEastAsia"/>
          <w:szCs w:val="21"/>
        </w:rPr>
        <w:t>关于股东知情权纠纷一案，2021年5月21日二审最终判决中表明：①决议生效二十日内，提供项目公司2012年1月12日至2020年11月30日期间的公司章程（包括修正案）、股东会会议记录、董事会会议决议、监事会会议决议和财务会计报告（含会计报表、会计报表附注、财务情况说明书）供北京富源盛邦投资控股有限公司委派人员查阅、复制；②决议生效二十日内，提供项目公司2012年1月12日至2020年11月30日期间的公司会计账簿（含总账、明细账、日记账、其他辅助性账簿）原件供北京富源盛邦投资控股有限公司委派人员查阅（详见附件五）。</w:t>
      </w:r>
    </w:p>
    <w:p>
      <w:pPr>
        <w:spacing w:line="480" w:lineRule="auto"/>
        <w:ind w:firstLine="420" w:firstLineChars="200"/>
        <w:rPr>
          <w:rFonts w:ascii="Arial" w:hAnsi="Arial" w:cs="Arial" w:eastAsiaTheme="minorEastAsia"/>
          <w:szCs w:val="21"/>
        </w:rPr>
      </w:pPr>
      <w:r>
        <w:rPr>
          <w:rFonts w:ascii="Arial" w:hAnsi="Arial" w:cs="Arial" w:eastAsiaTheme="minorEastAsia"/>
          <w:szCs w:val="21"/>
        </w:rPr>
        <w:t xml:space="preserve"> 以上事宜提请道诚（上海）股权投资基金管理有限公司予以关注。</w:t>
      </w:r>
    </w:p>
    <w:p>
      <w:pPr>
        <w:pStyle w:val="2"/>
        <w:keepNext w:val="0"/>
        <w:keepLines w:val="0"/>
        <w:spacing w:before="300" w:after="300" w:line="360" w:lineRule="exact"/>
        <w:jc w:val="left"/>
        <w:rPr>
          <w:rFonts w:ascii="Arial" w:hAnsi="Arial" w:cs="Arial"/>
          <w:sz w:val="24"/>
          <w:szCs w:val="24"/>
        </w:rPr>
      </w:pPr>
      <w:bookmarkStart w:id="20" w:name="_Toc18518"/>
    </w:p>
    <w:p>
      <w:pPr>
        <w:pStyle w:val="2"/>
        <w:keepNext w:val="0"/>
        <w:keepLines w:val="0"/>
        <w:spacing w:before="300" w:after="300" w:line="360" w:lineRule="exact"/>
        <w:jc w:val="left"/>
        <w:rPr>
          <w:rFonts w:ascii="Arial" w:hAnsi="Arial" w:cs="Arial"/>
        </w:rPr>
      </w:pPr>
      <w:bookmarkStart w:id="21" w:name="_Toc27315"/>
      <w:r>
        <w:rPr>
          <w:rFonts w:ascii="Arial" w:hAnsi="Arial" w:cs="Arial"/>
          <w:sz w:val="24"/>
          <w:szCs w:val="24"/>
        </w:rPr>
        <w:t>3工程进度</w:t>
      </w:r>
      <w:bookmarkEnd w:id="21"/>
    </w:p>
    <w:p>
      <w:pPr>
        <w:pStyle w:val="3"/>
        <w:keepNext w:val="0"/>
        <w:keepLines w:val="0"/>
        <w:spacing w:before="300" w:after="300" w:line="360" w:lineRule="exact"/>
        <w:jc w:val="left"/>
        <w:rPr>
          <w:rFonts w:eastAsia="宋体" w:cs="Arial"/>
          <w:sz w:val="24"/>
          <w:szCs w:val="24"/>
        </w:rPr>
      </w:pPr>
      <w:bookmarkStart w:id="22" w:name="_Toc61422665"/>
      <w:bookmarkStart w:id="23" w:name="_Toc18351"/>
      <w:bookmarkStart w:id="24" w:name="_Toc31284"/>
      <w:bookmarkStart w:id="25" w:name="_Toc21090"/>
      <w:bookmarkStart w:id="26" w:name="_Toc21163"/>
      <w:r>
        <w:rPr>
          <w:rFonts w:eastAsia="宋体" w:cs="Arial"/>
          <w:sz w:val="24"/>
          <w:szCs w:val="24"/>
        </w:rPr>
        <w:t xml:space="preserve">3.1  </w:t>
      </w:r>
      <w:r>
        <w:rPr>
          <w:rFonts w:cs="Arial" w:eastAsiaTheme="minorEastAsia"/>
          <w:kern w:val="44"/>
          <w:sz w:val="24"/>
          <w:szCs w:val="24"/>
        </w:rPr>
        <w:t>2021年</w:t>
      </w:r>
      <w:r>
        <w:rPr>
          <w:rFonts w:hint="eastAsia" w:cs="Arial" w:eastAsiaTheme="minorEastAsia"/>
          <w:kern w:val="44"/>
          <w:sz w:val="24"/>
          <w:szCs w:val="24"/>
        </w:rPr>
        <w:t>5</w:t>
      </w:r>
      <w:r>
        <w:rPr>
          <w:rFonts w:cs="Arial" w:eastAsiaTheme="minorEastAsia"/>
          <w:kern w:val="44"/>
          <w:sz w:val="24"/>
          <w:szCs w:val="24"/>
        </w:rPr>
        <w:t>月项目现场情况</w:t>
      </w:r>
      <w:bookmarkEnd w:id="22"/>
      <w:bookmarkEnd w:id="23"/>
      <w:bookmarkEnd w:id="24"/>
      <w:bookmarkEnd w:id="25"/>
      <w:bookmarkEnd w:id="26"/>
    </w:p>
    <w:p>
      <w:pPr>
        <w:spacing w:line="480" w:lineRule="auto"/>
        <w:ind w:firstLine="420" w:firstLineChars="200"/>
        <w:rPr>
          <w:rFonts w:ascii="Arial" w:hAnsi="Arial" w:cs="Arial"/>
          <w:szCs w:val="21"/>
        </w:rPr>
      </w:pPr>
      <w:r>
        <w:rPr>
          <w:rFonts w:ascii="Arial" w:hAnsi="Arial" w:cs="Arial"/>
          <w:szCs w:val="21"/>
        </w:rPr>
        <w:t>截止至</w:t>
      </w:r>
      <w:r>
        <w:rPr>
          <w:rFonts w:hint="eastAsia" w:ascii="Arial" w:hAnsi="Arial" w:cs="Arial"/>
          <w:szCs w:val="21"/>
        </w:rPr>
        <w:t>5</w:t>
      </w:r>
      <w:r>
        <w:rPr>
          <w:rFonts w:ascii="Arial" w:hAnsi="Arial" w:cs="Arial"/>
          <w:szCs w:val="21"/>
        </w:rPr>
        <w:t>月</w:t>
      </w:r>
      <w:r>
        <w:rPr>
          <w:rFonts w:hint="eastAsia" w:ascii="Arial" w:hAnsi="Arial" w:cs="Arial"/>
          <w:szCs w:val="21"/>
        </w:rPr>
        <w:t>31</w:t>
      </w:r>
      <w:r>
        <w:rPr>
          <w:rFonts w:ascii="Arial" w:hAnsi="Arial" w:cs="Arial"/>
          <w:szCs w:val="21"/>
        </w:rPr>
        <w:t>日，B地块项目一期一标段</w:t>
      </w:r>
      <w:r>
        <w:rPr>
          <w:rFonts w:hint="eastAsia" w:ascii="Arial" w:hAnsi="Arial" w:cs="Arial"/>
          <w:szCs w:val="21"/>
        </w:rPr>
        <w:t>全部主楼外墙装饰整改中，标准层楼梯口小门套完成95%，39#楼北侧消防场地浇筑完成，一期与二三期地库交界处安装完成45%，两个变电站设备安装已完成70%；</w:t>
      </w:r>
      <w:r>
        <w:rPr>
          <w:rFonts w:ascii="Arial" w:hAnsi="Arial" w:cs="Arial"/>
          <w:szCs w:val="21"/>
        </w:rPr>
        <w:t>一期二标段</w:t>
      </w:r>
      <w:r>
        <w:rPr>
          <w:rFonts w:hint="eastAsia" w:ascii="Arial" w:hAnsi="Arial" w:cs="Arial"/>
          <w:szCs w:val="21"/>
        </w:rPr>
        <w:t>合院外架拆除完毕，合院区域围墙基础完成60%，门窗套、门窗、防火门门框、门套安装工程已完成，内外墙墙面粉刷工程已完成；</w:t>
      </w:r>
      <w:r>
        <w:rPr>
          <w:rFonts w:ascii="Arial" w:hAnsi="Arial" w:cs="Arial"/>
          <w:szCs w:val="21"/>
        </w:rPr>
        <w:t>一期二标段</w:t>
      </w:r>
      <w:r>
        <w:rPr>
          <w:rFonts w:hint="eastAsia" w:ascii="Arial" w:hAnsi="Arial" w:cs="Arial"/>
          <w:szCs w:val="21"/>
        </w:rPr>
        <w:t>叠墅外架拆除中，地下室电梯厅墙地砖完成80%，一层门窗套安装开始收尾，门窗安装、防火门门框安装工程正在施工中，内外墙墙面粉刷工程正在施工中，四层美人靠安装工程正在施工中，</w:t>
      </w:r>
      <w:r>
        <w:rPr>
          <w:rFonts w:ascii="Arial" w:hAnsi="Arial" w:cs="Arial"/>
          <w:szCs w:val="21"/>
        </w:rPr>
        <w:t>样板区、样板间</w:t>
      </w:r>
      <w:r>
        <w:rPr>
          <w:rFonts w:hint="eastAsia" w:ascii="Arial" w:hAnsi="Arial" w:cs="Arial"/>
          <w:szCs w:val="21"/>
        </w:rPr>
        <w:t>正常使用中</w:t>
      </w:r>
      <w:r>
        <w:rPr>
          <w:rFonts w:ascii="Arial" w:hAnsi="Arial" w:cs="Arial"/>
          <w:szCs w:val="21"/>
        </w:rPr>
        <w:t>；</w:t>
      </w:r>
      <w:r>
        <w:rPr>
          <w:rFonts w:hint="eastAsia" w:ascii="Arial" w:hAnsi="Arial" w:cs="Arial"/>
          <w:szCs w:val="21"/>
        </w:rPr>
        <w:t>一期已进入土方回填阶段；</w:t>
      </w:r>
      <w:r>
        <w:rPr>
          <w:rFonts w:ascii="Arial" w:hAnsi="Arial" w:cs="Arial"/>
          <w:szCs w:val="21"/>
        </w:rPr>
        <w:t>二</w:t>
      </w:r>
      <w:r>
        <w:rPr>
          <w:rFonts w:hint="eastAsia" w:ascii="Arial" w:hAnsi="Arial" w:cs="Arial"/>
          <w:szCs w:val="21"/>
        </w:rPr>
        <w:t>期合院主体结构已完成、墙体砌筑工程已基本完成，叠墅墙体砌筑工程已基本完成、内外墙墙面粉刷工程正在施工中、屋面保护层工程正在施工中，小高层内外墙墙面粉刷工程正在施工中；</w:t>
      </w:r>
      <w:r>
        <w:rPr>
          <w:rFonts w:ascii="Arial" w:hAnsi="Arial" w:cs="Arial"/>
          <w:szCs w:val="21"/>
        </w:rPr>
        <w:t>三期</w:t>
      </w:r>
      <w:r>
        <w:rPr>
          <w:rFonts w:hint="eastAsia" w:ascii="Arial" w:hAnsi="Arial" w:cs="Arial"/>
          <w:szCs w:val="21"/>
        </w:rPr>
        <w:t>小高层外墙铝板线条安装工程正在施工中，屋面保护层工程正在施工中，副框安装工程正在施工中。</w:t>
      </w:r>
    </w:p>
    <w:p>
      <w:pPr>
        <w:spacing w:line="480" w:lineRule="auto"/>
        <w:ind w:firstLine="420" w:firstLineChars="200"/>
        <w:rPr>
          <w:rFonts w:ascii="Arial" w:hAnsi="Arial" w:cs="Arial"/>
          <w:b/>
          <w:bCs/>
          <w:kern w:val="44"/>
          <w:szCs w:val="21"/>
        </w:rPr>
      </w:pPr>
      <w:r>
        <w:rPr>
          <w:rFonts w:ascii="Arial" w:hAnsi="Arial" w:cs="Arial"/>
          <w:szCs w:val="21"/>
        </w:rPr>
        <w:t>A地块</w:t>
      </w:r>
      <w:r>
        <w:rPr>
          <w:rFonts w:hint="eastAsia" w:ascii="Arial" w:hAnsi="Arial" w:cs="Arial"/>
          <w:szCs w:val="21"/>
        </w:rPr>
        <w:t>《建设工程规划许可证》正在办理中</w:t>
      </w:r>
      <w:bookmarkStart w:id="27" w:name="_Toc18774"/>
      <w:bookmarkStart w:id="28" w:name="_Toc14087"/>
      <w:bookmarkStart w:id="29" w:name="_Toc22949"/>
      <w:r>
        <w:rPr>
          <w:rFonts w:hint="eastAsia" w:ascii="Arial" w:hAnsi="Arial" w:cs="Arial"/>
          <w:szCs w:val="21"/>
        </w:rPr>
        <w:t>，暂未开工。</w:t>
      </w:r>
    </w:p>
    <w:p>
      <w:pPr>
        <w:spacing w:line="360" w:lineRule="auto"/>
        <w:rPr>
          <w:rFonts w:ascii="Arial" w:hAnsi="Arial" w:cs="Arial"/>
          <w:b/>
          <w:bCs/>
          <w:kern w:val="44"/>
          <w:szCs w:val="21"/>
        </w:rPr>
      </w:pPr>
    </w:p>
    <w:p>
      <w:pPr>
        <w:spacing w:line="360" w:lineRule="auto"/>
        <w:rPr>
          <w:rFonts w:ascii="Arial" w:hAnsi="Arial" w:cs="Arial"/>
          <w:b/>
          <w:bCs/>
          <w:kern w:val="44"/>
          <w:szCs w:val="21"/>
        </w:rPr>
      </w:pPr>
    </w:p>
    <w:p>
      <w:pPr>
        <w:spacing w:line="360" w:lineRule="auto"/>
        <w:rPr>
          <w:rFonts w:ascii="Arial" w:hAnsi="Arial" w:cs="Arial"/>
          <w:b/>
          <w:bCs/>
          <w:kern w:val="44"/>
          <w:szCs w:val="21"/>
        </w:rPr>
      </w:pPr>
    </w:p>
    <w:p>
      <w:pPr>
        <w:spacing w:line="360" w:lineRule="auto"/>
        <w:rPr>
          <w:rFonts w:ascii="Arial" w:hAnsi="Arial" w:cs="Arial"/>
          <w:b/>
          <w:bCs/>
          <w:kern w:val="44"/>
          <w:szCs w:val="21"/>
        </w:rPr>
      </w:pPr>
    </w:p>
    <w:p>
      <w:pPr>
        <w:widowControl/>
        <w:jc w:val="left"/>
        <w:rPr>
          <w:rFonts w:ascii="Arial" w:hAnsi="Arial" w:cs="Arial"/>
          <w:b/>
          <w:bCs/>
          <w:kern w:val="44"/>
          <w:szCs w:val="21"/>
        </w:rPr>
      </w:pPr>
      <w:r>
        <w:rPr>
          <w:rFonts w:ascii="Arial" w:hAnsi="Arial" w:cs="Arial"/>
          <w:b/>
          <w:bCs/>
          <w:kern w:val="44"/>
          <w:szCs w:val="21"/>
        </w:rPr>
        <w:br w:type="page"/>
      </w:r>
    </w:p>
    <w:p>
      <w:pPr>
        <w:spacing w:line="360" w:lineRule="auto"/>
        <w:rPr>
          <w:rFonts w:ascii="Arial" w:hAnsi="Arial" w:cs="Arial"/>
          <w:b/>
          <w:bCs/>
          <w:kern w:val="44"/>
          <w:szCs w:val="21"/>
        </w:rPr>
      </w:pPr>
      <w:r>
        <w:rPr>
          <w:rFonts w:ascii="Arial" w:hAnsi="Arial" w:cs="Arial"/>
          <w:b/>
          <w:bCs/>
          <w:kern w:val="44"/>
          <w:szCs w:val="21"/>
        </w:rPr>
        <w:t>B地块现场照片</w:t>
      </w:r>
      <w:bookmarkEnd w:id="27"/>
      <w:bookmarkEnd w:id="28"/>
      <w:bookmarkEnd w:id="29"/>
    </w:p>
    <w:p>
      <w:pPr>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7320" cy="2015490"/>
            <wp:effectExtent l="0" t="0" r="10160" b="11430"/>
            <wp:docPr id="18" name="图片 18" descr="G:\江苏常州项目\交接\02-常州项目月监管报告\20210531现场照片\45.jpg45"/>
            <wp:cNvGraphicFramePr/>
            <a:graphic xmlns:a="http://schemas.openxmlformats.org/drawingml/2006/main">
              <a:graphicData uri="http://schemas.openxmlformats.org/drawingml/2006/picture">
                <pic:pic xmlns:pic="http://schemas.openxmlformats.org/drawingml/2006/picture">
                  <pic:nvPicPr>
                    <pic:cNvPr id="18" name="图片 18" descr="G:\江苏常州项目\交接\02-常州项目月监管报告\20210531现场照片\45.jpg45"/>
                    <pic:cNvPicPr/>
                  </pic:nvPicPr>
                  <pic:blipFill>
                    <a:blip r:embed="rId10"/>
                    <a:srcRect/>
                    <a:stretch>
                      <a:fillRect/>
                    </a:stretch>
                  </pic:blipFill>
                  <pic:spPr>
                    <a:xfrm>
                      <a:off x="0" y="0"/>
                      <a:ext cx="2687320" cy="2015490"/>
                    </a:xfrm>
                    <a:prstGeom prst="rect">
                      <a:avLst/>
                    </a:prstGeom>
                  </pic:spPr>
                </pic:pic>
              </a:graphicData>
            </a:graphic>
          </wp:inline>
        </w:drawing>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320" cy="2015490"/>
            <wp:effectExtent l="0" t="0" r="10160" b="11430"/>
            <wp:docPr id="20" name="图片 20" descr="G:\江苏常州项目\交接\02-常州项目月监管报告\20210531现场照片\一期一标消防通道4.jpg一期一标消防通道4"/>
            <wp:cNvGraphicFramePr/>
            <a:graphic xmlns:a="http://schemas.openxmlformats.org/drawingml/2006/main">
              <a:graphicData uri="http://schemas.openxmlformats.org/drawingml/2006/picture">
                <pic:pic xmlns:pic="http://schemas.openxmlformats.org/drawingml/2006/picture">
                  <pic:nvPicPr>
                    <pic:cNvPr id="20" name="图片 20" descr="G:\江苏常州项目\交接\02-常州项目月监管报告\20210531现场照片\一期一标消防通道4.jpg一期一标消防通道4"/>
                    <pic:cNvPicPr/>
                  </pic:nvPicPr>
                  <pic:blipFill>
                    <a:blip r:embed="rId11"/>
                    <a:srcRect/>
                    <a:stretch>
                      <a:fillRect/>
                    </a:stretch>
                  </pic:blipFill>
                  <pic:spPr>
                    <a:xfrm>
                      <a:off x="0" y="0"/>
                      <a:ext cx="2687320" cy="2015490"/>
                    </a:xfrm>
                    <a:prstGeom prst="rect">
                      <a:avLst/>
                    </a:prstGeom>
                  </pic:spPr>
                </pic:pic>
              </a:graphicData>
            </a:graphic>
          </wp:inline>
        </w:drawing>
      </w:r>
    </w:p>
    <w:p>
      <w:pPr>
        <w:rPr>
          <w:rFonts w:ascii="Arial" w:hAnsi="Arial" w:cs="Arial" w:eastAsiaTheme="minorEastAsia"/>
          <w:sz w:val="18"/>
        </w:rPr>
      </w:pPr>
      <w:bookmarkStart w:id="30" w:name="_Toc23446"/>
      <w:bookmarkStart w:id="31" w:name="_Toc29345"/>
      <w:bookmarkStart w:id="32" w:name="_Toc3551"/>
      <w:r>
        <w:rPr>
          <w:rFonts w:ascii="Arial" w:hAnsi="Arial" w:cs="Arial" w:eastAsiaTheme="minorEastAsia"/>
          <w:color w:val="000000"/>
          <w:sz w:val="18"/>
          <w:szCs w:val="18"/>
        </w:rPr>
        <w:t>1、一期</w:t>
      </w:r>
      <w:r>
        <w:rPr>
          <w:rFonts w:hint="eastAsia" w:ascii="Arial" w:hAnsi="Arial" w:cs="Arial" w:eastAsiaTheme="minorEastAsia"/>
          <w:color w:val="000000"/>
          <w:sz w:val="18"/>
          <w:szCs w:val="18"/>
        </w:rPr>
        <w:t>一</w:t>
      </w:r>
      <w:r>
        <w:rPr>
          <w:rFonts w:ascii="Arial" w:hAnsi="Arial" w:cs="Arial" w:eastAsiaTheme="minorEastAsia"/>
          <w:color w:val="000000"/>
          <w:sz w:val="18"/>
          <w:szCs w:val="18"/>
        </w:rPr>
        <w:t>标</w:t>
      </w:r>
      <w:r>
        <w:rPr>
          <w:rFonts w:hint="eastAsia" w:ascii="Arial" w:hAnsi="Arial" w:cs="Arial" w:eastAsiaTheme="minorEastAsia"/>
          <w:color w:val="000000"/>
          <w:sz w:val="18"/>
          <w:szCs w:val="18"/>
        </w:rPr>
        <w:t>45#楼外墙装饰整改中</w:t>
      </w:r>
      <w:r>
        <w:rPr>
          <w:rFonts w:ascii="Arial" w:hAnsi="Arial" w:cs="Arial" w:eastAsiaTheme="minorEastAsia"/>
          <w:color w:val="000000"/>
          <w:sz w:val="18"/>
          <w:szCs w:val="18"/>
        </w:rPr>
        <w:t xml:space="preserve">              </w:t>
      </w:r>
      <w:r>
        <w:rPr>
          <w:rFonts w:hint="eastAsia" w:ascii="Arial" w:hAnsi="Arial" w:cs="Arial" w:eastAsiaTheme="minorEastAsia"/>
          <w:color w:val="000000"/>
          <w:sz w:val="18"/>
          <w:szCs w:val="18"/>
        </w:rPr>
        <w:t xml:space="preserve">     </w:t>
      </w:r>
      <w:r>
        <w:rPr>
          <w:rFonts w:ascii="Arial" w:hAnsi="Arial" w:cs="Arial" w:eastAsiaTheme="minorEastAsia"/>
          <w:color w:val="000000"/>
          <w:sz w:val="18"/>
          <w:szCs w:val="18"/>
        </w:rPr>
        <w:t>2、</w:t>
      </w:r>
      <w:bookmarkEnd w:id="30"/>
      <w:bookmarkEnd w:id="31"/>
      <w:r>
        <w:rPr>
          <w:rFonts w:ascii="Arial" w:hAnsi="Arial" w:cs="Arial" w:eastAsiaTheme="minorEastAsia"/>
          <w:color w:val="000000"/>
          <w:sz w:val="18"/>
          <w:szCs w:val="18"/>
        </w:rPr>
        <w:t>一期</w:t>
      </w:r>
      <w:r>
        <w:rPr>
          <w:rFonts w:hint="eastAsia" w:ascii="Arial" w:hAnsi="Arial" w:cs="Arial" w:eastAsiaTheme="minorEastAsia"/>
          <w:color w:val="000000"/>
          <w:sz w:val="18"/>
          <w:szCs w:val="18"/>
        </w:rPr>
        <w:t>一</w:t>
      </w:r>
      <w:r>
        <w:rPr>
          <w:rFonts w:ascii="Arial" w:hAnsi="Arial" w:cs="Arial" w:eastAsiaTheme="minorEastAsia"/>
          <w:color w:val="000000"/>
          <w:sz w:val="18"/>
          <w:szCs w:val="18"/>
        </w:rPr>
        <w:t>标</w:t>
      </w:r>
      <w:r>
        <w:rPr>
          <w:rFonts w:hint="eastAsia" w:ascii="Arial" w:hAnsi="Arial" w:cs="Arial" w:eastAsiaTheme="minorEastAsia"/>
          <w:color w:val="000000"/>
          <w:sz w:val="18"/>
          <w:szCs w:val="18"/>
        </w:rPr>
        <w:t>39</w:t>
      </w:r>
      <w:r>
        <w:rPr>
          <w:rFonts w:ascii="Arial" w:hAnsi="Arial" w:cs="Arial" w:eastAsiaTheme="minorEastAsia"/>
          <w:color w:val="000000"/>
          <w:sz w:val="18"/>
          <w:szCs w:val="18"/>
        </w:rPr>
        <w:t>#楼</w:t>
      </w:r>
      <w:bookmarkEnd w:id="32"/>
      <w:bookmarkStart w:id="33" w:name="_Toc29900"/>
      <w:r>
        <w:rPr>
          <w:rFonts w:hint="eastAsia" w:ascii="Arial" w:hAnsi="Arial" w:cs="Arial" w:eastAsiaTheme="minorEastAsia"/>
          <w:color w:val="000000"/>
          <w:sz w:val="18"/>
          <w:szCs w:val="18"/>
        </w:rPr>
        <w:t>北侧消防场地浇筑完成</w:t>
      </w:r>
      <w:r>
        <w:rPr>
          <w:rFonts w:ascii="Arial" w:hAnsi="Arial" w:cs="Arial" w:eastAsiaTheme="minorEastAsia"/>
          <w:color w:val="000000"/>
          <w:sz w:val="18"/>
          <w:szCs w:val="18"/>
        </w:rPr>
        <w:t xml:space="preserve"> </w:t>
      </w:r>
    </w:p>
    <w:bookmarkEnd w:id="33"/>
    <w:p>
      <w:pPr>
        <w:rPr>
          <w:rFonts w:ascii="Arial" w:hAnsi="Arial" w:cs="Arial" w:eastAsiaTheme="minorEastAsia"/>
          <w:color w:val="000000"/>
          <w:sz w:val="18"/>
          <w:szCs w:val="18"/>
        </w:rPr>
      </w:pPr>
      <w:r>
        <w:rPr>
          <w:rFonts w:ascii="Arial" w:hAnsi="Arial" w:cs="Arial" w:eastAsiaTheme="minorEastAsia"/>
          <w:color w:val="000000"/>
          <w:sz w:val="18"/>
          <w:szCs w:val="18"/>
        </w:rPr>
        <w:drawing>
          <wp:inline distT="0" distB="0" distL="114300" distR="114300">
            <wp:extent cx="2687320" cy="2015490"/>
            <wp:effectExtent l="0" t="0" r="10160" b="11430"/>
            <wp:docPr id="13" name="图片 13" descr="G:\江苏常州项目\交接\02-常州项目月监管报告\20210531现场照片\合院围墙基础.jpg合院围墙基础"/>
            <wp:cNvGraphicFramePr/>
            <a:graphic xmlns:a="http://schemas.openxmlformats.org/drawingml/2006/main">
              <a:graphicData uri="http://schemas.openxmlformats.org/drawingml/2006/picture">
                <pic:pic xmlns:pic="http://schemas.openxmlformats.org/drawingml/2006/picture">
                  <pic:nvPicPr>
                    <pic:cNvPr id="13" name="图片 13" descr="G:\江苏常州项目\交接\02-常州项目月监管报告\20210531现场照片\合院围墙基础.jpg合院围墙基础"/>
                    <pic:cNvPicPr/>
                  </pic:nvPicPr>
                  <pic:blipFill>
                    <a:blip r:embed="rId12"/>
                    <a:srcRect/>
                    <a:stretch>
                      <a:fillRect/>
                    </a:stretch>
                  </pic:blipFill>
                  <pic:spPr>
                    <a:xfrm>
                      <a:off x="0" y="0"/>
                      <a:ext cx="2687320" cy="2015490"/>
                    </a:xfrm>
                    <a:prstGeom prst="rect">
                      <a:avLst/>
                    </a:prstGeom>
                  </pic:spPr>
                </pic:pic>
              </a:graphicData>
            </a:graphic>
          </wp:inline>
        </w:drawing>
      </w:r>
      <w:r>
        <w:rPr>
          <w:rFonts w:ascii="Arial" w:hAnsi="Arial" w:cs="Arial" w:eastAsiaTheme="minorEastAsia"/>
          <w:color w:val="000000"/>
          <w:sz w:val="18"/>
          <w:szCs w:val="18"/>
        </w:rPr>
        <w:t xml:space="preserve">   </w:t>
      </w:r>
      <w:r>
        <w:rPr>
          <w:rFonts w:ascii="Arial" w:hAnsi="Arial" w:cs="Arial" w:eastAsiaTheme="minorEastAsia"/>
          <w:color w:val="000000"/>
          <w:sz w:val="18"/>
          <w:szCs w:val="18"/>
        </w:rPr>
        <w:drawing>
          <wp:inline distT="0" distB="0" distL="114300" distR="114300">
            <wp:extent cx="2687955" cy="2015490"/>
            <wp:effectExtent l="0" t="0" r="9525" b="11430"/>
            <wp:docPr id="14" name="图片 14" descr="G:\江苏常州项目\交接\02-常州项目月监管报告\20210531现场照片\合院门窗、门安装完毕.jpg合院门窗、门安装完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江苏常州项目\交接\02-常州项目月监管报告\20210531现场照片\合院门窗、门安装完毕.jpg合院门窗、门安装完毕"/>
                    <pic:cNvPicPr>
                      <a:picLocks noChangeAspect="1"/>
                    </pic:cNvPicPr>
                  </pic:nvPicPr>
                  <pic:blipFill>
                    <a:blip r:embed="rId13"/>
                    <a:srcRect/>
                    <a:stretch>
                      <a:fillRect/>
                    </a:stretch>
                  </pic:blipFill>
                  <pic:spPr>
                    <a:xfrm>
                      <a:off x="0" y="0"/>
                      <a:ext cx="2687955" cy="2015490"/>
                    </a:xfrm>
                    <a:prstGeom prst="rect">
                      <a:avLst/>
                    </a:prstGeom>
                  </pic:spPr>
                </pic:pic>
              </a:graphicData>
            </a:graphic>
          </wp:inline>
        </w:drawing>
      </w:r>
    </w:p>
    <w:p>
      <w:pPr>
        <w:spacing w:line="360" w:lineRule="auto"/>
        <w:rPr>
          <w:rFonts w:ascii="Arial" w:hAnsi="Arial" w:cs="Arial" w:eastAsiaTheme="minorEastAsia"/>
          <w:color w:val="000000"/>
          <w:sz w:val="18"/>
          <w:szCs w:val="18"/>
        </w:rPr>
      </w:pPr>
      <w:bookmarkStart w:id="34" w:name="_Toc164"/>
      <w:bookmarkStart w:id="35" w:name="_Toc18028"/>
      <w:r>
        <w:rPr>
          <w:rFonts w:hint="eastAsia" w:ascii="Arial" w:hAnsi="Arial" w:cs="Arial" w:eastAsiaTheme="minorEastAsia"/>
          <w:color w:val="000000"/>
          <w:sz w:val="18"/>
          <w:szCs w:val="18"/>
        </w:rPr>
        <w:t xml:space="preserve">3、一期二标合院区域围墙基础完成60%     </w:t>
      </w:r>
      <w:r>
        <w:rPr>
          <w:rFonts w:ascii="Arial" w:hAnsi="Arial" w:cs="Arial" w:eastAsiaTheme="minorEastAsia"/>
          <w:color w:val="000000"/>
          <w:sz w:val="18"/>
          <w:szCs w:val="18"/>
        </w:rPr>
        <w:t xml:space="preserve">   4、</w:t>
      </w:r>
      <w:bookmarkEnd w:id="34"/>
      <w:bookmarkEnd w:id="35"/>
      <w:bookmarkStart w:id="36" w:name="_Toc17430"/>
      <w:r>
        <w:rPr>
          <w:rFonts w:hint="eastAsia" w:ascii="Arial" w:hAnsi="Arial" w:cs="Arial" w:eastAsiaTheme="minorEastAsia"/>
          <w:color w:val="000000"/>
          <w:sz w:val="18"/>
          <w:szCs w:val="18"/>
        </w:rPr>
        <w:t>一期二标合院门窗、防火门门框、门套安装已完成</w:t>
      </w:r>
      <w:r>
        <w:rPr>
          <w:rFonts w:hint="eastAsia" w:ascii="Arial" w:hAnsi="Arial" w:cs="Arial" w:eastAsiaTheme="minorEastAsia"/>
          <w:color w:val="000000"/>
          <w:sz w:val="18"/>
          <w:szCs w:val="18"/>
        </w:rPr>
        <w:drawing>
          <wp:inline distT="0" distB="0" distL="114300" distR="114300">
            <wp:extent cx="2687955" cy="2015490"/>
            <wp:effectExtent l="0" t="0" r="9525" b="11430"/>
            <wp:docPr id="8" name="图片 8" descr="G:\江苏常州项目\交接\02-常州项目月监管报告\20210531现场照片\一期二标叠墅外架拆除中.jpg一期二标叠墅外架拆除中"/>
            <wp:cNvGraphicFramePr/>
            <a:graphic xmlns:a="http://schemas.openxmlformats.org/drawingml/2006/main">
              <a:graphicData uri="http://schemas.openxmlformats.org/drawingml/2006/picture">
                <pic:pic xmlns:pic="http://schemas.openxmlformats.org/drawingml/2006/picture">
                  <pic:nvPicPr>
                    <pic:cNvPr id="8" name="图片 8" descr="G:\江苏常州项目\交接\02-常州项目月监管报告\20210531现场照片\一期二标叠墅外架拆除中.jpg一期二标叠墅外架拆除中"/>
                    <pic:cNvPicPr/>
                  </pic:nvPicPr>
                  <pic:blipFill>
                    <a:blip r:embed="rId14"/>
                    <a:srcRect/>
                    <a:stretch>
                      <a:fillRect/>
                    </a:stretch>
                  </pic:blipFill>
                  <pic:spPr>
                    <a:xfrm>
                      <a:off x="0" y="0"/>
                      <a:ext cx="2687955" cy="2015490"/>
                    </a:xfrm>
                    <a:prstGeom prst="rect">
                      <a:avLst/>
                    </a:prstGeom>
                  </pic:spPr>
                </pic:pic>
              </a:graphicData>
            </a:graphic>
          </wp:inline>
        </w:drawing>
      </w:r>
      <w:r>
        <w:rPr>
          <w:rFonts w:hint="eastAsia"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7320" cy="2015490"/>
            <wp:effectExtent l="0" t="0" r="10160" b="11430"/>
            <wp:docPr id="7" name="图片 7" descr="G:\江苏常州项目\交接\02-常州项目月监管报告\20210531现场照片\一期二标叠墅外墙面粉刷施工中.jpg一期二标叠墅外墙面粉刷施工中"/>
            <wp:cNvGraphicFramePr/>
            <a:graphic xmlns:a="http://schemas.openxmlformats.org/drawingml/2006/main">
              <a:graphicData uri="http://schemas.openxmlformats.org/drawingml/2006/picture">
                <pic:pic xmlns:pic="http://schemas.openxmlformats.org/drawingml/2006/picture">
                  <pic:nvPicPr>
                    <pic:cNvPr id="7" name="图片 7" descr="G:\江苏常州项目\交接\02-常州项目月监管报告\20210531现场照片\一期二标叠墅外墙面粉刷施工中.jpg一期二标叠墅外墙面粉刷施工中"/>
                    <pic:cNvPicPr/>
                  </pic:nvPicPr>
                  <pic:blipFill>
                    <a:blip r:embed="rId15"/>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color w:val="000000"/>
          <w:sz w:val="18"/>
          <w:szCs w:val="18"/>
        </w:rPr>
        <w:t xml:space="preserve">  </w:t>
      </w:r>
    </w:p>
    <w:p>
      <w:pPr>
        <w:spacing w:line="360" w:lineRule="auto"/>
        <w:rPr>
          <w:rFonts w:ascii="Arial" w:hAnsi="Arial" w:cs="Arial" w:eastAsiaTheme="minorEastAsia"/>
          <w:color w:val="000000"/>
          <w:sz w:val="18"/>
          <w:szCs w:val="18"/>
        </w:rPr>
      </w:pPr>
      <w:r>
        <w:rPr>
          <w:rFonts w:hint="eastAsia" w:ascii="Arial" w:hAnsi="Arial" w:cs="Arial" w:eastAsiaTheme="minorEastAsia"/>
          <w:color w:val="000000"/>
          <w:sz w:val="18"/>
          <w:szCs w:val="18"/>
        </w:rPr>
        <w:t>5、一期二标叠墅外架拆除中                          6、一期二标外墙墙面粉刷工程正在施工中</w:t>
      </w:r>
    </w:p>
    <w:p>
      <w:pPr>
        <w:spacing w:line="360" w:lineRule="auto"/>
        <w:rPr>
          <w:rFonts w:ascii="Arial" w:hAnsi="Arial" w:cs="Arial" w:eastAsiaTheme="minorEastAsia"/>
          <w:color w:val="000000"/>
          <w:sz w:val="18"/>
          <w:szCs w:val="18"/>
        </w:rPr>
      </w:pPr>
      <w:r>
        <w:rPr>
          <w:rFonts w:hint="eastAsia" w:ascii="Arial" w:hAnsi="Arial" w:cs="Arial" w:eastAsiaTheme="minorEastAsia"/>
          <w:color w:val="000000"/>
          <w:sz w:val="18"/>
          <w:szCs w:val="18"/>
        </w:rPr>
        <w:drawing>
          <wp:inline distT="0" distB="0" distL="114300" distR="114300">
            <wp:extent cx="2687320" cy="2015490"/>
            <wp:effectExtent l="0" t="0" r="10160" b="11430"/>
            <wp:docPr id="3" name="图片 3" descr="G:\江苏常州项目\交接\02-常州项目月监管报告\20210531现场照片\一期已进入土方回填阶段.jpg一期已进入土方回填阶段"/>
            <wp:cNvGraphicFramePr/>
            <a:graphic xmlns:a="http://schemas.openxmlformats.org/drawingml/2006/main">
              <a:graphicData uri="http://schemas.openxmlformats.org/drawingml/2006/picture">
                <pic:pic xmlns:pic="http://schemas.openxmlformats.org/drawingml/2006/picture">
                  <pic:nvPicPr>
                    <pic:cNvPr id="3" name="图片 3" descr="G:\江苏常州项目\交接\02-常州项目月监管报告\20210531现场照片\一期已进入土方回填阶段.jpg一期已进入土方回填阶段"/>
                    <pic:cNvPicPr/>
                  </pic:nvPicPr>
                  <pic:blipFill>
                    <a:blip r:embed="rId16"/>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color w:val="000000"/>
          <w:sz w:val="18"/>
          <w:szCs w:val="18"/>
        </w:rPr>
        <w:t xml:space="preserve">    </w:t>
      </w:r>
      <w:r>
        <w:rPr>
          <w:rFonts w:hint="eastAsia" w:ascii="Arial" w:hAnsi="Arial" w:cs="Arial" w:eastAsiaTheme="minorEastAsia"/>
          <w:color w:val="000000"/>
          <w:sz w:val="18"/>
          <w:szCs w:val="18"/>
        </w:rPr>
        <w:drawing>
          <wp:inline distT="0" distB="0" distL="114300" distR="114300">
            <wp:extent cx="2685415" cy="2016125"/>
            <wp:effectExtent l="0" t="0" r="12065" b="10795"/>
            <wp:docPr id="5" name="图片 5" descr="G:\江苏常州项目\交接\02-常州项目月监管报告\20210531现场照片\二期合院墙体砌筑.jpg二期合院墙体砌筑"/>
            <wp:cNvGraphicFramePr/>
            <a:graphic xmlns:a="http://schemas.openxmlformats.org/drawingml/2006/main">
              <a:graphicData uri="http://schemas.openxmlformats.org/drawingml/2006/picture">
                <pic:pic xmlns:pic="http://schemas.openxmlformats.org/drawingml/2006/picture">
                  <pic:nvPicPr>
                    <pic:cNvPr id="5" name="图片 5" descr="G:\江苏常州项目\交接\02-常州项目月监管报告\20210531现场照片\二期合院墙体砌筑.jpg二期合院墙体砌筑"/>
                    <pic:cNvPicPr/>
                  </pic:nvPicPr>
                  <pic:blipFill>
                    <a:blip r:embed="rId17"/>
                    <a:srcRect/>
                    <a:stretch>
                      <a:fillRect/>
                    </a:stretch>
                  </pic:blipFill>
                  <pic:spPr>
                    <a:xfrm>
                      <a:off x="0" y="0"/>
                      <a:ext cx="2685415" cy="2016125"/>
                    </a:xfrm>
                    <a:prstGeom prst="rect">
                      <a:avLst/>
                    </a:prstGeom>
                  </pic:spPr>
                </pic:pic>
              </a:graphicData>
            </a:graphic>
          </wp:inline>
        </w:drawing>
      </w:r>
      <w:r>
        <w:rPr>
          <w:rFonts w:hint="eastAsia" w:ascii="Arial" w:hAnsi="Arial" w:cs="Arial" w:eastAsiaTheme="minorEastAsia"/>
          <w:color w:val="000000"/>
          <w:sz w:val="18"/>
          <w:szCs w:val="18"/>
        </w:rPr>
        <w:t xml:space="preserve">  </w:t>
      </w:r>
    </w:p>
    <w:p>
      <w:pPr>
        <w:spacing w:line="360" w:lineRule="auto"/>
        <w:rPr>
          <w:rFonts w:ascii="Arial" w:hAnsi="Arial" w:cs="Arial" w:eastAsiaTheme="minorEastAsia"/>
          <w:color w:val="000000"/>
          <w:sz w:val="18"/>
          <w:szCs w:val="18"/>
        </w:rPr>
      </w:pPr>
      <w:r>
        <w:rPr>
          <w:rFonts w:hint="eastAsia" w:ascii="Arial" w:hAnsi="Arial" w:cs="Arial" w:eastAsiaTheme="minorEastAsia"/>
          <w:color w:val="000000"/>
          <w:sz w:val="18"/>
          <w:szCs w:val="18"/>
        </w:rPr>
        <w:t>7、一期已进入土方回填阶段                          8、二期合院墙体砌筑工程已基本完成</w:t>
      </w:r>
    </w:p>
    <w:p>
      <w:pPr>
        <w:spacing w:line="360" w:lineRule="auto"/>
        <w:rPr>
          <w:rFonts w:ascii="Arial" w:hAnsi="Arial" w:cs="Arial" w:eastAsiaTheme="minorEastAsia"/>
          <w:color w:val="000000"/>
          <w:sz w:val="18"/>
          <w:szCs w:val="18"/>
        </w:rPr>
      </w:pPr>
      <w:bookmarkStart w:id="37" w:name="_Toc7621"/>
      <w:bookmarkStart w:id="38" w:name="_Toc14782"/>
      <w:r>
        <w:rPr>
          <w:rFonts w:hint="eastAsia" w:ascii="Arial" w:hAnsi="Arial" w:cs="Arial" w:eastAsiaTheme="minorEastAsia"/>
          <w:color w:val="000000"/>
          <w:sz w:val="18"/>
          <w:szCs w:val="18"/>
        </w:rPr>
        <w:drawing>
          <wp:inline distT="0" distB="0" distL="114300" distR="114300">
            <wp:extent cx="2687955" cy="2015490"/>
            <wp:effectExtent l="0" t="0" r="9525" b="11430"/>
            <wp:docPr id="1" name="图片 1" descr="G:\江苏常州项目\交接\02-常州项目月监管报告\20210531现场照片\二期叠墅墙面粉刷.jpg二期叠墅墙面粉刷"/>
            <wp:cNvGraphicFramePr/>
            <a:graphic xmlns:a="http://schemas.openxmlformats.org/drawingml/2006/main">
              <a:graphicData uri="http://schemas.openxmlformats.org/drawingml/2006/picture">
                <pic:pic xmlns:pic="http://schemas.openxmlformats.org/drawingml/2006/picture">
                  <pic:nvPicPr>
                    <pic:cNvPr id="1" name="图片 1" descr="G:\江苏常州项目\交接\02-常州项目月监管报告\20210531现场照片\二期叠墅墙面粉刷.jpg二期叠墅墙面粉刷"/>
                    <pic:cNvPicPr/>
                  </pic:nvPicPr>
                  <pic:blipFill>
                    <a:blip r:embed="rId18"/>
                    <a:srcRect/>
                    <a:stretch>
                      <a:fillRect/>
                    </a:stretch>
                  </pic:blipFill>
                  <pic:spPr>
                    <a:xfrm>
                      <a:off x="0" y="0"/>
                      <a:ext cx="2687955" cy="2015490"/>
                    </a:xfrm>
                    <a:prstGeom prst="rect">
                      <a:avLst/>
                    </a:prstGeom>
                  </pic:spPr>
                </pic:pic>
              </a:graphicData>
            </a:graphic>
          </wp:inline>
        </w:drawing>
      </w:r>
      <w:r>
        <w:rPr>
          <w:rFonts w:hint="eastAsia" w:ascii="Arial" w:hAnsi="Arial" w:cs="Arial" w:eastAsiaTheme="minorEastAsia"/>
          <w:color w:val="000000"/>
          <w:sz w:val="18"/>
          <w:szCs w:val="18"/>
        </w:rPr>
        <w:t xml:space="preserve">   </w:t>
      </w:r>
      <w:bookmarkEnd w:id="36"/>
      <w:bookmarkEnd w:id="37"/>
      <w:r>
        <w:rPr>
          <w:rFonts w:hint="eastAsia" w:ascii="Arial" w:hAnsi="Arial" w:cs="Arial" w:eastAsiaTheme="minorEastAsia"/>
          <w:color w:val="000000"/>
          <w:sz w:val="18"/>
          <w:szCs w:val="18"/>
        </w:rPr>
        <w:t xml:space="preserve"> </w:t>
      </w:r>
      <w:bookmarkEnd w:id="38"/>
      <w:r>
        <w:rPr>
          <w:rFonts w:hint="eastAsia" w:ascii="Arial" w:hAnsi="Arial" w:cs="Arial" w:eastAsiaTheme="minorEastAsia"/>
          <w:color w:val="000000"/>
          <w:sz w:val="18"/>
          <w:szCs w:val="18"/>
        </w:rPr>
        <w:drawing>
          <wp:inline distT="0" distB="0" distL="114300" distR="114300">
            <wp:extent cx="2687320" cy="2015490"/>
            <wp:effectExtent l="0" t="0" r="10160" b="11430"/>
            <wp:docPr id="4" name="图片 4" descr="G:\江苏常州项目\交接\02-常州项目月监管报告\20210531现场照片\微信图片_20210601095836.jpg微信图片_20210601095836"/>
            <wp:cNvGraphicFramePr/>
            <a:graphic xmlns:a="http://schemas.openxmlformats.org/drawingml/2006/main">
              <a:graphicData uri="http://schemas.openxmlformats.org/drawingml/2006/picture">
                <pic:pic xmlns:pic="http://schemas.openxmlformats.org/drawingml/2006/picture">
                  <pic:nvPicPr>
                    <pic:cNvPr id="4" name="图片 4" descr="G:\江苏常州项目\交接\02-常州项目月监管报告\20210531现场照片\微信图片_20210601095836.jpg微信图片_20210601095836"/>
                    <pic:cNvPicPr/>
                  </pic:nvPicPr>
                  <pic:blipFill>
                    <a:blip r:embed="rId19"/>
                    <a:srcRect/>
                    <a:stretch>
                      <a:fillRect/>
                    </a:stretch>
                  </pic:blipFill>
                  <pic:spPr>
                    <a:xfrm>
                      <a:off x="0" y="0"/>
                      <a:ext cx="2687320" cy="2015490"/>
                    </a:xfrm>
                    <a:prstGeom prst="rect">
                      <a:avLst/>
                    </a:prstGeom>
                  </pic:spPr>
                </pic:pic>
              </a:graphicData>
            </a:graphic>
          </wp:inline>
        </w:drawing>
      </w:r>
      <w:r>
        <w:rPr>
          <w:rFonts w:hint="eastAsia" w:ascii="Arial" w:hAnsi="Arial" w:cs="Arial" w:eastAsiaTheme="minorEastAsia"/>
          <w:color w:val="000000"/>
          <w:sz w:val="18"/>
          <w:szCs w:val="18"/>
        </w:rPr>
        <w:t xml:space="preserve">      </w:t>
      </w:r>
    </w:p>
    <w:p>
      <w:pPr>
        <w:spacing w:line="360" w:lineRule="auto"/>
        <w:rPr>
          <w:rFonts w:ascii="Arial" w:hAnsi="Arial" w:cs="Arial" w:eastAsiaTheme="minorEastAsia"/>
          <w:color w:val="000000"/>
          <w:sz w:val="18"/>
          <w:szCs w:val="18"/>
        </w:rPr>
      </w:pPr>
      <w:r>
        <w:rPr>
          <w:rFonts w:hint="eastAsia" w:ascii="Arial" w:hAnsi="Arial" w:cs="Arial" w:eastAsiaTheme="minorEastAsia"/>
          <w:color w:val="000000"/>
          <w:sz w:val="18"/>
          <w:szCs w:val="18"/>
        </w:rPr>
        <w:t xml:space="preserve">9、二期叠墅外墙墙面粉刷工程正在施工中              </w:t>
      </w:r>
      <w:bookmarkStart w:id="39" w:name="_Toc15966"/>
      <w:bookmarkStart w:id="40" w:name="_Toc17067"/>
      <w:r>
        <w:rPr>
          <w:rFonts w:hint="eastAsia" w:ascii="Arial" w:hAnsi="Arial" w:cs="Arial" w:eastAsiaTheme="minorEastAsia"/>
          <w:color w:val="000000"/>
          <w:sz w:val="18"/>
          <w:szCs w:val="18"/>
        </w:rPr>
        <w:t>10、</w:t>
      </w:r>
      <w:r>
        <w:rPr>
          <w:rFonts w:ascii="Arial" w:hAnsi="Arial" w:cs="Arial" w:eastAsiaTheme="minorEastAsia"/>
          <w:color w:val="000000"/>
          <w:sz w:val="18"/>
          <w:szCs w:val="18"/>
        </w:rPr>
        <w:t>三期小高层外墙铝板线条安装工程正在施工中</w:t>
      </w:r>
      <w:r>
        <w:rPr>
          <w:rFonts w:hint="eastAsia" w:ascii="Arial" w:hAnsi="Arial" w:cs="Arial" w:eastAsiaTheme="minorEastAsia"/>
          <w:color w:val="000000"/>
          <w:sz w:val="18"/>
          <w:szCs w:val="18"/>
        </w:rPr>
        <w:t xml:space="preserve">                   </w:t>
      </w:r>
      <w:bookmarkEnd w:id="39"/>
      <w:bookmarkEnd w:id="40"/>
    </w:p>
    <w:p>
      <w:pPr>
        <w:tabs>
          <w:tab w:val="left" w:pos="5070"/>
        </w:tabs>
        <w:rPr>
          <w:rFonts w:ascii="Arial" w:hAnsi="Arial" w:cs="Arial"/>
          <w:sz w:val="18"/>
        </w:rPr>
      </w:pPr>
    </w:p>
    <w:p>
      <w:pPr>
        <w:spacing w:line="360" w:lineRule="auto"/>
        <w:rPr>
          <w:rFonts w:ascii="Arial" w:hAnsi="Arial" w:cs="Arial"/>
          <w:b/>
          <w:bCs/>
          <w:kern w:val="44"/>
          <w:szCs w:val="21"/>
        </w:rPr>
      </w:pPr>
    </w:p>
    <w:p>
      <w:pPr>
        <w:spacing w:line="360" w:lineRule="auto"/>
        <w:rPr>
          <w:rFonts w:ascii="Arial" w:hAnsi="Arial" w:cs="Arial"/>
          <w:b/>
          <w:bCs/>
          <w:kern w:val="44"/>
          <w:szCs w:val="21"/>
        </w:rPr>
      </w:pPr>
      <w:r>
        <w:rPr>
          <w:rFonts w:hint="eastAsia" w:ascii="Arial" w:hAnsi="Arial" w:cs="Arial"/>
          <w:b/>
          <w:bCs/>
          <w:kern w:val="44"/>
          <w:szCs w:val="21"/>
        </w:rPr>
        <w:t>A</w:t>
      </w:r>
      <w:r>
        <w:rPr>
          <w:rFonts w:ascii="Arial" w:hAnsi="Arial" w:cs="Arial"/>
          <w:b/>
          <w:bCs/>
          <w:kern w:val="44"/>
          <w:szCs w:val="21"/>
        </w:rPr>
        <w:t>地块现场照片</w:t>
      </w:r>
    </w:p>
    <w:p>
      <w:pPr>
        <w:spacing w:line="480" w:lineRule="auto"/>
        <w:rPr>
          <w:rFonts w:cs="Arial"/>
          <w:sz w:val="24"/>
        </w:rPr>
      </w:pPr>
      <w:r>
        <w:rPr>
          <w:rFonts w:ascii="Arial" w:hAnsi="Arial" w:cs="Arial" w:eastAsiaTheme="minorEastAsia"/>
          <w:color w:val="000000"/>
          <w:sz w:val="18"/>
          <w:szCs w:val="18"/>
        </w:rPr>
        <w:drawing>
          <wp:inline distT="0" distB="0" distL="114300" distR="114300">
            <wp:extent cx="4559935" cy="3419475"/>
            <wp:effectExtent l="0" t="0" r="12065" b="9525"/>
            <wp:docPr id="15" name="图片 15" descr="G:\江苏常州项目\交接\02-常州项目月监管报告\20210531现场照片\A地块照片.jpgA地块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G:\江苏常州项目\交接\02-常州项目月监管报告\20210531现场照片\A地块照片.jpgA地块照片"/>
                    <pic:cNvPicPr>
                      <a:picLocks noChangeAspect="1"/>
                    </pic:cNvPicPr>
                  </pic:nvPicPr>
                  <pic:blipFill>
                    <a:blip r:embed="rId20"/>
                    <a:srcRect/>
                    <a:stretch>
                      <a:fillRect/>
                    </a:stretch>
                  </pic:blipFill>
                  <pic:spPr>
                    <a:xfrm>
                      <a:off x="0" y="0"/>
                      <a:ext cx="4559935" cy="3419475"/>
                    </a:xfrm>
                    <a:prstGeom prst="rect">
                      <a:avLst/>
                    </a:prstGeom>
                  </pic:spPr>
                </pic:pic>
              </a:graphicData>
            </a:graphic>
          </wp:inline>
        </w:drawing>
      </w:r>
      <w:r>
        <w:rPr>
          <w:rFonts w:ascii="Arial" w:hAnsi="Arial" w:cs="Arial" w:eastAsiaTheme="minorEastAsia"/>
          <w:color w:val="000000"/>
          <w:sz w:val="18"/>
          <w:szCs w:val="18"/>
        </w:rPr>
        <w:t xml:space="preserve">   </w:t>
      </w:r>
    </w:p>
    <w:p>
      <w:pPr>
        <w:pStyle w:val="3"/>
        <w:keepNext w:val="0"/>
        <w:keepLines w:val="0"/>
        <w:spacing w:before="300" w:after="300" w:line="360" w:lineRule="exact"/>
        <w:jc w:val="left"/>
        <w:rPr>
          <w:rFonts w:eastAsia="宋体" w:cs="Arial"/>
          <w:sz w:val="24"/>
          <w:szCs w:val="24"/>
        </w:rPr>
      </w:pPr>
      <w:bookmarkStart w:id="41" w:name="_Toc5910"/>
      <w:r>
        <w:rPr>
          <w:rFonts w:eastAsia="宋体" w:cs="Arial"/>
          <w:sz w:val="24"/>
          <w:szCs w:val="24"/>
        </w:rPr>
        <w:t>3.2证照办理情况说明</w:t>
      </w:r>
      <w:bookmarkEnd w:id="20"/>
      <w:bookmarkEnd w:id="41"/>
    </w:p>
    <w:p>
      <w:pPr>
        <w:spacing w:before="240" w:beforeLines="100"/>
        <w:jc w:val="center"/>
        <w:rPr>
          <w:rFonts w:ascii="Arial" w:hAnsi="Arial" w:cs="Arial"/>
          <w:b/>
          <w:color w:val="000000"/>
          <w:sz w:val="24"/>
        </w:rPr>
      </w:pPr>
      <w:bookmarkStart w:id="42" w:name="_Toc13681"/>
      <w:bookmarkStart w:id="43" w:name="_Toc22226"/>
      <w:r>
        <w:rPr>
          <w:rFonts w:ascii="Arial" w:hAnsi="Arial" w:cs="Arial"/>
          <w:b/>
          <w:color w:val="000000"/>
          <w:sz w:val="24"/>
        </w:rPr>
        <w:t>证照办理计划及进度表</w:t>
      </w:r>
      <w:bookmarkEnd w:id="42"/>
      <w:bookmarkEnd w:id="43"/>
    </w:p>
    <w:tbl>
      <w:tblPr>
        <w:tblStyle w:val="13"/>
        <w:tblW w:w="9584" w:type="dxa"/>
        <w:jc w:val="center"/>
        <w:tblLayout w:type="fixed"/>
        <w:tblCellMar>
          <w:top w:w="0" w:type="dxa"/>
          <w:left w:w="0" w:type="dxa"/>
          <w:bottom w:w="0" w:type="dxa"/>
          <w:right w:w="0" w:type="dxa"/>
        </w:tblCellMar>
      </w:tblPr>
      <w:tblGrid>
        <w:gridCol w:w="1836"/>
        <w:gridCol w:w="687"/>
        <w:gridCol w:w="1703"/>
        <w:gridCol w:w="1814"/>
        <w:gridCol w:w="3544"/>
      </w:tblGrid>
      <w:tr>
        <w:trPr>
          <w:trHeight w:val="285" w:hRule="atLeast"/>
          <w:tblHeader/>
          <w:jc w:val="center"/>
        </w:trPr>
        <w:tc>
          <w:tcPr>
            <w:tcW w:w="4226"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五证</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计划进度</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实际进度</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A、B地块《不动产权证书》</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A地块：2020年12月17日换发《不动产权证书》完成</w:t>
            </w:r>
          </w:p>
        </w:tc>
      </w:tr>
      <w:tr>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B地块：2017年9月7日换发《不动产权证书》完成</w:t>
            </w:r>
          </w:p>
        </w:tc>
      </w:tr>
      <w:tr>
        <w:tblPrEx>
          <w:tblCellMar>
            <w:top w:w="0" w:type="dxa"/>
            <w:left w:w="0" w:type="dxa"/>
            <w:bottom w:w="0" w:type="dxa"/>
            <w:right w:w="0" w:type="dxa"/>
          </w:tblCellMar>
        </w:tblPrEx>
        <w:trPr>
          <w:trHeight w:val="285" w:hRule="atLeast"/>
          <w:jc w:val="center"/>
        </w:trPr>
        <w:tc>
          <w:tcPr>
            <w:tcW w:w="42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A、B地块《建设用地规划许可证》</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A</w:t>
            </w:r>
            <w:r>
              <w:rPr>
                <w:rFonts w:ascii="Arial" w:hAnsi="Arial" w:cs="Arial" w:eastAsiaTheme="minorEastAsia"/>
                <w:color w:val="000000"/>
                <w:kern w:val="0"/>
                <w:sz w:val="18"/>
                <w:szCs w:val="18"/>
              </w:rPr>
              <w:t>地块：20</w:t>
            </w:r>
            <w:r>
              <w:rPr>
                <w:rFonts w:hint="eastAsia" w:ascii="Arial" w:hAnsi="Arial" w:cs="Arial" w:eastAsiaTheme="minorEastAsia"/>
                <w:color w:val="000000"/>
                <w:kern w:val="0"/>
                <w:sz w:val="18"/>
                <w:szCs w:val="18"/>
              </w:rPr>
              <w:t>20</w:t>
            </w:r>
            <w:r>
              <w:rPr>
                <w:rFonts w:ascii="Arial" w:hAnsi="Arial" w:cs="Arial" w:eastAsiaTheme="minorEastAsia"/>
                <w:color w:val="000000"/>
                <w:kern w:val="0"/>
                <w:sz w:val="18"/>
                <w:szCs w:val="18"/>
              </w:rPr>
              <w:t>年</w:t>
            </w:r>
            <w:r>
              <w:rPr>
                <w:rFonts w:hint="eastAsia" w:ascii="Arial" w:hAnsi="Arial" w:cs="Arial" w:eastAsiaTheme="minorEastAsia"/>
                <w:color w:val="000000"/>
                <w:kern w:val="0"/>
                <w:sz w:val="18"/>
                <w:szCs w:val="18"/>
              </w:rPr>
              <w:t>12</w:t>
            </w:r>
            <w:r>
              <w:rPr>
                <w:rFonts w:ascii="Arial" w:hAnsi="Arial" w:cs="Arial" w:eastAsiaTheme="minorEastAsia"/>
                <w:color w:val="000000"/>
                <w:kern w:val="0"/>
                <w:sz w:val="18"/>
                <w:szCs w:val="18"/>
              </w:rPr>
              <w:t>月</w:t>
            </w:r>
            <w:r>
              <w:rPr>
                <w:rFonts w:hint="eastAsia" w:ascii="Arial" w:hAnsi="Arial" w:cs="Arial" w:eastAsiaTheme="minorEastAsia"/>
                <w:color w:val="000000"/>
                <w:kern w:val="0"/>
                <w:sz w:val="18"/>
                <w:szCs w:val="18"/>
              </w:rPr>
              <w:t>17</w:t>
            </w:r>
            <w:r>
              <w:rPr>
                <w:rFonts w:ascii="Arial" w:hAnsi="Arial" w:cs="Arial" w:eastAsiaTheme="minorEastAsia"/>
                <w:color w:val="000000"/>
                <w:kern w:val="0"/>
                <w:sz w:val="18"/>
                <w:szCs w:val="18"/>
              </w:rPr>
              <w:t>日已取得</w:t>
            </w:r>
          </w:p>
        </w:tc>
      </w:tr>
      <w:tr>
        <w:tblPrEx>
          <w:tblCellMar>
            <w:top w:w="0" w:type="dxa"/>
            <w:left w:w="0" w:type="dxa"/>
            <w:bottom w:w="0" w:type="dxa"/>
            <w:right w:w="0" w:type="dxa"/>
          </w:tblCellMar>
        </w:tblPrEx>
        <w:trPr>
          <w:trHeight w:val="285" w:hRule="atLeast"/>
          <w:jc w:val="center"/>
        </w:trPr>
        <w:tc>
          <w:tcPr>
            <w:tcW w:w="42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B地块：2017年4月21日已取得</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《建设工程规划许可证》</w:t>
            </w:r>
          </w:p>
        </w:tc>
        <w:tc>
          <w:tcPr>
            <w:tcW w:w="239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2017年10月13日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一期：2018年9月12日已取得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二、三期：2020年1月7日已取得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239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Arial" w:hAnsi="Arial" w:cs="Arial" w:eastAsiaTheme="minorEastAsia"/>
                <w:color w:val="000000"/>
                <w:sz w:val="18"/>
                <w:szCs w:val="18"/>
                <w:lang w:val="en-US" w:eastAsia="zh-CN"/>
              </w:rPr>
            </w:pPr>
            <w:r>
              <w:rPr>
                <w:rFonts w:hint="eastAsia" w:ascii="Arial" w:hAnsi="Arial" w:cs="Arial" w:eastAsiaTheme="minorEastAsia"/>
                <w:color w:val="000000"/>
                <w:kern w:val="0"/>
                <w:sz w:val="18"/>
                <w:szCs w:val="18"/>
                <w:lang w:val="en-US" w:eastAsia="zh-CN"/>
              </w:rPr>
              <w:t>2021年4月28日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《建筑工程施工许可证》</w:t>
            </w:r>
            <w:bookmarkStart w:id="132" w:name="_GoBack"/>
            <w:bookmarkEnd w:id="132"/>
          </w:p>
        </w:tc>
        <w:tc>
          <w:tcPr>
            <w:tcW w:w="68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w:t>
            </w:r>
          </w:p>
        </w:tc>
        <w:tc>
          <w:tcPr>
            <w:tcW w:w="1814" w:type="dxa"/>
            <w:vMerge w:val="restart"/>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2019年6月10日-2019年6月12日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一期一标段：2019年6月6日已取得</w:t>
            </w:r>
          </w:p>
        </w:tc>
      </w:tr>
      <w:tr>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一期二标段第一批：2019年9月29日已取得</w:t>
            </w:r>
          </w:p>
        </w:tc>
      </w:tr>
      <w:tr>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一期二标段第二批：2019年11月1日已取得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二、三期</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2020年4月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二、三期：2020年4月20日已取得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《商品房预售许可证》</w:t>
            </w:r>
          </w:p>
        </w:tc>
        <w:tc>
          <w:tcPr>
            <w:tcW w:w="687"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B地块</w:t>
            </w:r>
          </w:p>
        </w:tc>
        <w:tc>
          <w:tcPr>
            <w:tcW w:w="1703"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w:t>
            </w:r>
          </w:p>
        </w:tc>
        <w:tc>
          <w:tcPr>
            <w:tcW w:w="181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2019年10月10日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一期一标段39#楼：2019年9月12日已取得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一期一标段44#楼：2019年9月19日已取得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81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一期一标段40#、45#楼：2019年9月30日已取得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一期二标段</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2020年7月14日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一期二标段1#-7#、13#-15#、18#、19#、22#-24#、28#-31#：2020年6月17日已取得；</w:t>
            </w:r>
          </w:p>
        </w:tc>
      </w:tr>
      <w:tr>
        <w:trPr>
          <w:trHeight w:val="450"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二期（42#楼）、三期（43#、49#楼）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2020年7月20日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三期（43#、49#楼）：2020年7月10日已取得；二期48#：2020年7月28日已取得；二期（42#楼）：2020年8月29日已取得</w:t>
            </w:r>
          </w:p>
        </w:tc>
      </w:tr>
      <w:tr>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二期（14#、46#楼）</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2020年9月25日</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二三期12#、36#、37#、38#、4</w:t>
            </w:r>
            <w:r>
              <w:rPr>
                <w:rFonts w:hint="eastAsia" w:ascii="Arial" w:hAnsi="Arial" w:cs="Arial" w:eastAsiaTheme="minorEastAsia"/>
                <w:color w:val="000000"/>
                <w:sz w:val="18"/>
                <w:szCs w:val="18"/>
              </w:rPr>
              <w:t>6</w:t>
            </w:r>
            <w:r>
              <w:rPr>
                <w:rFonts w:ascii="Arial" w:hAnsi="Arial" w:cs="Arial" w:eastAsiaTheme="minorEastAsia"/>
                <w:color w:val="000000"/>
                <w:sz w:val="18"/>
                <w:szCs w:val="18"/>
              </w:rPr>
              <w:t>#、4</w:t>
            </w:r>
            <w:r>
              <w:rPr>
                <w:rFonts w:hint="eastAsia" w:ascii="Arial" w:hAnsi="Arial" w:cs="Arial" w:eastAsiaTheme="minorEastAsia"/>
                <w:color w:val="000000"/>
                <w:sz w:val="18"/>
                <w:szCs w:val="18"/>
              </w:rPr>
              <w:t>7</w:t>
            </w:r>
            <w:r>
              <w:rPr>
                <w:rFonts w:ascii="Arial" w:hAnsi="Arial" w:cs="Arial" w:eastAsiaTheme="minorEastAsia"/>
                <w:color w:val="000000"/>
                <w:sz w:val="18"/>
                <w:szCs w:val="18"/>
              </w:rPr>
              <w:t>#楼：2020年11月27日已取得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二期合院（8#、9#、10#、11#）</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二期合院（8#、9#、10#、11#）</w:t>
            </w:r>
            <w:r>
              <w:rPr>
                <w:rFonts w:hint="eastAsia" w:ascii="Arial" w:hAnsi="Arial" w:cs="Arial" w:eastAsiaTheme="minorEastAsia"/>
                <w:color w:val="000000"/>
                <w:kern w:val="0"/>
                <w:sz w:val="18"/>
                <w:szCs w:val="18"/>
              </w:rPr>
              <w:t>：2021年4月29日已取得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二期叠墅（16#、17#、20#、21#、25#</w:t>
            </w:r>
            <w:r>
              <w:rPr>
                <w:rFonts w:hint="eastAsia" w:ascii="Arial" w:hAnsi="Arial" w:cs="Arial" w:eastAsiaTheme="minorEastAsia"/>
                <w:color w:val="000000"/>
                <w:kern w:val="0"/>
                <w:sz w:val="18"/>
                <w:szCs w:val="18"/>
              </w:rPr>
              <w:t>-</w:t>
            </w:r>
            <w:r>
              <w:rPr>
                <w:rFonts w:ascii="Arial" w:hAnsi="Arial" w:cs="Arial" w:eastAsiaTheme="minorEastAsia"/>
                <w:color w:val="000000"/>
                <w:kern w:val="0"/>
                <w:sz w:val="18"/>
                <w:szCs w:val="18"/>
              </w:rPr>
              <w:t>27#、32#-34#）</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二期叠墅（16#、17#、20#、21#、25#</w:t>
            </w:r>
            <w:r>
              <w:rPr>
                <w:rFonts w:hint="eastAsia" w:ascii="Arial" w:hAnsi="Arial" w:cs="Arial" w:eastAsiaTheme="minorEastAsia"/>
                <w:color w:val="000000"/>
                <w:kern w:val="0"/>
                <w:sz w:val="18"/>
                <w:szCs w:val="18"/>
              </w:rPr>
              <w:t>-</w:t>
            </w:r>
            <w:r>
              <w:rPr>
                <w:rFonts w:ascii="Arial" w:hAnsi="Arial" w:cs="Arial" w:eastAsiaTheme="minorEastAsia"/>
                <w:color w:val="000000"/>
                <w:kern w:val="0"/>
                <w:sz w:val="18"/>
                <w:szCs w:val="18"/>
              </w:rPr>
              <w:t>27#、32#-34#）</w:t>
            </w:r>
            <w:r>
              <w:rPr>
                <w:rFonts w:hint="eastAsia" w:ascii="Arial" w:hAnsi="Arial" w:cs="Arial" w:eastAsiaTheme="minorEastAsia"/>
                <w:color w:val="000000"/>
                <w:kern w:val="0"/>
                <w:sz w:val="18"/>
                <w:szCs w:val="18"/>
              </w:rPr>
              <w:t>：2021年4月29日已取得</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二期小高层（41#）</w:t>
            </w:r>
          </w:p>
        </w:tc>
        <w:tc>
          <w:tcPr>
            <w:tcW w:w="1814"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2021年5月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r>
        <w:tblPrEx>
          <w:tblCellMar>
            <w:top w:w="0" w:type="dxa"/>
            <w:left w:w="0" w:type="dxa"/>
            <w:bottom w:w="0" w:type="dxa"/>
            <w:right w:w="0" w:type="dxa"/>
          </w:tblCellMar>
        </w:tblPrEx>
        <w:trPr>
          <w:trHeight w:val="285" w:hRule="atLeast"/>
          <w:jc w:val="center"/>
        </w:trPr>
        <w:tc>
          <w:tcPr>
            <w:tcW w:w="1836"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p>
        </w:tc>
        <w:tc>
          <w:tcPr>
            <w:tcW w:w="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A地块</w:t>
            </w:r>
          </w:p>
        </w:tc>
        <w:tc>
          <w:tcPr>
            <w:tcW w:w="17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高层</w:t>
            </w:r>
          </w:p>
        </w:tc>
        <w:tc>
          <w:tcPr>
            <w:tcW w:w="18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2021年11月</w:t>
            </w:r>
          </w:p>
        </w:tc>
        <w:tc>
          <w:tcPr>
            <w:tcW w:w="354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w:t>
            </w:r>
          </w:p>
        </w:tc>
      </w:tr>
    </w:tbl>
    <w:p>
      <w:pPr>
        <w:adjustRightInd w:val="0"/>
        <w:snapToGrid w:val="0"/>
        <w:rPr>
          <w:rFonts w:ascii="Arial" w:hAnsi="Arial" w:cs="Arial" w:eastAsiaTheme="minorEastAsia"/>
          <w:kern w:val="0"/>
          <w:sz w:val="18"/>
          <w:szCs w:val="18"/>
        </w:rPr>
      </w:pPr>
      <w:r>
        <w:rPr>
          <w:rFonts w:ascii="Arial" w:hAnsi="Arial" w:cs="Arial" w:eastAsiaTheme="minorEastAsia"/>
          <w:kern w:val="0"/>
          <w:sz w:val="18"/>
          <w:szCs w:val="18"/>
        </w:rPr>
        <w:t>注：</w:t>
      </w:r>
      <w:r>
        <w:rPr>
          <w:rFonts w:ascii="Arial" w:hAnsi="Arial" w:cs="Arial" w:eastAsiaTheme="minorEastAsia"/>
          <w:color w:val="000000"/>
          <w:sz w:val="18"/>
          <w:szCs w:val="18"/>
        </w:rPr>
        <w:t>各证照的</w:t>
      </w:r>
      <w:r>
        <w:rPr>
          <w:rFonts w:ascii="Arial" w:hAnsi="Arial" w:cs="Arial" w:eastAsiaTheme="minorEastAsia"/>
          <w:kern w:val="0"/>
          <w:sz w:val="18"/>
          <w:szCs w:val="18"/>
        </w:rPr>
        <w:t>计划取得进度以项目公司2017年9月18日、2017年12月5日提报道诚基金的《项目总体开发计划》2019年5月24日提报道诚基金的《项目2019年度工程开发计划》及2020年12月30日提报道诚基金的《2021年度项目开发计划》为依据。</w:t>
      </w:r>
    </w:p>
    <w:bookmarkEnd w:id="9"/>
    <w:p>
      <w:pPr>
        <w:widowControl/>
        <w:jc w:val="left"/>
        <w:rPr>
          <w:rFonts w:ascii="Arial" w:hAnsi="Arial" w:cs="Arial"/>
          <w:b/>
          <w:bCs/>
          <w:color w:val="000000"/>
          <w:kern w:val="44"/>
          <w:sz w:val="24"/>
        </w:rPr>
      </w:pPr>
      <w:bookmarkStart w:id="44" w:name="_Toc2447"/>
      <w:bookmarkStart w:id="45" w:name="_Toc12851"/>
      <w:bookmarkStart w:id="46" w:name="_Toc532281660"/>
      <w:bookmarkStart w:id="47" w:name="_Toc535570753"/>
      <w:bookmarkStart w:id="48" w:name="_Toc535580026"/>
      <w:bookmarkStart w:id="49" w:name="_Toc535508639"/>
      <w:bookmarkStart w:id="50" w:name="_Toc535580094"/>
      <w:r>
        <w:rPr>
          <w:rFonts w:ascii="Arial" w:hAnsi="Arial" w:cs="Arial"/>
          <w:color w:val="000000"/>
          <w:sz w:val="24"/>
        </w:rPr>
        <w:br w:type="page"/>
      </w:r>
    </w:p>
    <w:p>
      <w:pPr>
        <w:pStyle w:val="2"/>
        <w:keepNext w:val="0"/>
        <w:keepLines w:val="0"/>
        <w:spacing w:before="300" w:after="300" w:line="360" w:lineRule="exact"/>
        <w:jc w:val="left"/>
        <w:rPr>
          <w:rFonts w:ascii="Arial" w:hAnsi="Arial" w:cs="Arial"/>
          <w:color w:val="000000"/>
          <w:sz w:val="24"/>
          <w:szCs w:val="24"/>
        </w:rPr>
      </w:pPr>
      <w:r>
        <w:rPr>
          <w:rFonts w:ascii="Arial" w:hAnsi="Arial" w:cs="Arial"/>
          <w:color w:val="000000"/>
          <w:sz w:val="24"/>
          <w:szCs w:val="24"/>
        </w:rPr>
        <w:t>4资金情况</w:t>
      </w:r>
      <w:bookmarkEnd w:id="44"/>
      <w:bookmarkEnd w:id="45"/>
    </w:p>
    <w:p>
      <w:pPr>
        <w:pStyle w:val="3"/>
        <w:keepNext w:val="0"/>
        <w:keepLines w:val="0"/>
        <w:tabs>
          <w:tab w:val="center" w:pos="4649"/>
        </w:tabs>
        <w:spacing w:before="300" w:after="300" w:line="360" w:lineRule="exact"/>
        <w:jc w:val="left"/>
        <w:rPr>
          <w:rFonts w:cs="Arial"/>
          <w:b w:val="0"/>
          <w:color w:val="000000"/>
          <w:sz w:val="24"/>
        </w:rPr>
      </w:pPr>
      <w:bookmarkStart w:id="51" w:name="_Toc16091"/>
      <w:bookmarkStart w:id="52" w:name="_Toc20418"/>
      <w:r>
        <w:rPr>
          <w:rFonts w:eastAsia="宋体" w:cs="Arial"/>
          <w:sz w:val="24"/>
        </w:rPr>
        <w:t>4.1资金流出情况</w:t>
      </w:r>
      <w:bookmarkEnd w:id="51"/>
      <w:bookmarkEnd w:id="52"/>
      <w:bookmarkStart w:id="53" w:name="_Toc30107"/>
      <w:bookmarkStart w:id="54" w:name="_Toc23371"/>
    </w:p>
    <w:p>
      <w:pPr>
        <w:spacing w:before="240" w:beforeLines="100"/>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5</w:t>
      </w:r>
      <w:r>
        <w:rPr>
          <w:rFonts w:ascii="Arial" w:hAnsi="Arial" w:cs="Arial"/>
          <w:b/>
          <w:color w:val="000000"/>
          <w:sz w:val="24"/>
        </w:rPr>
        <w:t>月资金流出情况表</w:t>
      </w:r>
      <w:bookmarkEnd w:id="53"/>
      <w:bookmarkEnd w:id="54"/>
    </w:p>
    <w:tbl>
      <w:tblPr>
        <w:tblStyle w:val="13"/>
        <w:tblW w:w="9672" w:type="dxa"/>
        <w:tblInd w:w="-193" w:type="dxa"/>
        <w:tblLayout w:type="fixed"/>
        <w:tblCellMar>
          <w:top w:w="0" w:type="dxa"/>
          <w:left w:w="0" w:type="dxa"/>
          <w:bottom w:w="0" w:type="dxa"/>
          <w:right w:w="0" w:type="dxa"/>
        </w:tblCellMar>
      </w:tblPr>
      <w:tblGrid>
        <w:gridCol w:w="394"/>
        <w:gridCol w:w="2565"/>
        <w:gridCol w:w="1347"/>
        <w:gridCol w:w="1321"/>
        <w:gridCol w:w="1608"/>
        <w:gridCol w:w="1089"/>
        <w:gridCol w:w="1348"/>
      </w:tblGrid>
      <w:tr>
        <w:tblPrEx>
          <w:tblCellMar>
            <w:top w:w="0" w:type="dxa"/>
            <w:left w:w="0" w:type="dxa"/>
            <w:bottom w:w="0" w:type="dxa"/>
            <w:right w:w="0" w:type="dxa"/>
          </w:tblCellMar>
        </w:tblPrEx>
        <w:trPr>
          <w:cantSplit/>
          <w:trHeight w:val="90" w:hRule="atLeast"/>
          <w:tblHeader/>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申请款项明细</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收款单位</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使用金额（元）</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申请日期</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资金用途</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出款账户</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项目的2021年4月电费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93,464.81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2021年4月份员工公积金扣款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常州市住房公积金管理中心</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93,458.00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2021年5月份中行手续费扣款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中国银行江苏省分行收费业务专用账号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578.23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2021年4月电信电话费扣款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中国电信股份有限公司常州分公司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4,470.00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2021年4月份员工个人所得税扣款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44,937.77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项目地块水费（2021.4.5-2021.5.5）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江河港武水务（常州）有限公司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45,514.31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临时水电费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支付2021年4月份员工社保扣款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国家金库武进支库</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133,561.54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营销人员2021年4月份工资及佣金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全体员工（营销）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278,858.13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支付北京磐博2021年5月份代缴员工社保、公积金</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北京磐博企业管理有限公司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68,488.02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130.00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162.50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422.50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2021年5月11日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支付杭州蓝国科技2021.2.28-2021.3.31广告策划服务费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杭州蓝国科技有限公司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支付绿城物业西太湖美学馆物业管理服务费（2021.01.16-2021.02.15）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221,603.00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支付常州同飞商贸营销管理部电脑维修费(2021.02.24)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支付同飞商贸营销中心打印机租赁费（2021.01.23-2021.04.22）</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常州市同飞商贸有限公司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2,185.00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447"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支付武进张琳水果店3月份营销中心水果费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武进经发区张琳水果店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2,456.00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支付尤尼泰振青会计师事务所2020年年报审计费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尤尼泰振青会计师事务所（特殊普通合伙）江苏分所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支付尤尼泰鼎邦税务师事务所2020年企业所得税汇算清缴费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尤尼泰鼎邦（常州）税务师事务所有限公司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支付江苏国网电力项目B地块二期供配电工程款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国网江苏省电力有限公司常州供电分公司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蓝城北方工程管理费（2020年12月）</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蓝城北方建设管理有限公司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郭泽龙报销营销中心3月份茶叶费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郭泽龙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周怡青报销21年‘五一’员工座谈会及员工团建费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9,094.55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97"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杨晓君报销赴嘉兴差旅费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2,822.48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2,546.00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2,751.00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2,642.00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2,736.00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2,788.00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346"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2,632.00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2,910.00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2,813.00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2,737.98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2,970.00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90"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385.01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支付杭州麦迪装饰设计项目二至五期户型设计优化及二三期小高层公区精装修设计费（85%）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杭州麦迪装饰设计有限公司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51,207.00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设计费</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 32.50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归还股东借款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上海诚盈三期股权投资中心（有限合伙）</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100,000,000.00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113.75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16.25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支付江苏城东建设项目一期合院、会所、叠墅总包款农民工工资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江苏城东建设工程有限公司建筑工人工资专户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2021年4月份预缴增值税扣款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565,686.22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2021年4月份城建税、教育费附加、地方教育费附加扣款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67,882.35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2021年4月份预缴土地增值税扣款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399,751.60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2021年4月份合同印花税申报扣款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5,869.30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支付武进张琳水果店4月份营销中心水果费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武进经发区张琳水果店</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3,617.00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支付营销中心2021年4月份饮用水费用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常州市高露达饮用水有限公司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支付北京京师律师事务所法律顾问费尾款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北京市京师（南京）律师事务所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137,500.00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支付奥迪、别克、哈佛三辆公车2021年4月份油卡充值</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中国石化销售股份有限公司江苏常州石油分公司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预付常州欧艾办公二楼北区打印机租赁费（2021.05-2021.07）及超出费用（2021.02-2021.04）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常州市欧艾办公设备有限公司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5,034.00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支付北京京师律师事务所公司决议效力确认委托代理合同律师费用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北京市京师（南京）律师事务所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支付北京京师律师事务所公司决议撤销委托代理合同律师费用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北京市京师（南京）律师事务所</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4,738.00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支付武进财政局建设工程交易服务费（项目二三期外装饰工程）</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支付武进财政局建设工程交易服务费（项目二三期公共部分精装修工程）</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常州市武进区财政局财政专户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支付江苏城建校工程咨询项目二三期工程造价咨询费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江苏城建校工程咨询有限公司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407,858.20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支付江苏阳湖建设项目一期工程招标代理费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江苏阳湖建设项目管理有限公司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1,755.54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支付江苏阳湖建设项目二三期工程招标代理费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江苏阳湖建设项目管理有限公司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198,073.93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前期费用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支付苏州思成古建园林项目一期非样板区仿古工程款（付至已完合格工程造价的75%）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苏州思成古建园林工程有限公司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3,471,244.88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支付苏州复荣古建园林项目一期样板区古建工程款（付至已完合格工程造价的70%）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苏州复荣古建园林工程有限公司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1,608,333.31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认筹客户退筹款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杨方红</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18幢101退房退款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戚小英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200,000.00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其他支出</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支付武进牛塘合和圆缘食品项目业主生日蛋糕费（2020.05-2020.09）</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武进区牛塘合和圆缘食品加工厂</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15,120.00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沈娜报销营销管理部办公杂项费用</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沈娜</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359.00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张晓晴报销营销管理部4月份办公用品、办公杂项费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452.80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张晓晴报销营销管理部3月份办公用品、办公杂项费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张晓晴</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486.92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万梨花报销营销管理部团建费（2021.03-2021.04）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万梨花</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4,171.00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周怡青报销快递费（2021.01-2021.04）</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428.00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丁玲报销哈弗保养费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886.00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杨晓君报销交通费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杨晓君报销临时停车费（2021.03.01-2021.04.30）</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151.60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丁玲报销奥迪保养费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2,559.00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杨晓君报销员工加班点心费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2,381.21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109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2,832.00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2,775.00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2,959.00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2,766.00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2,632.00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2,914.00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119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2,834.00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2,583.00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2,630.00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2,597.00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129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1,753.00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2,660.00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2,946.00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2,811.00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16.25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2020年汇算清缴企业所得税扣款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常州市武进区税务局第一税务分局2</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936,404.81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139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2021年5月22日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2021年5月23日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16.25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2021年5月24日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97.50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2021年5月25日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16.25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2021年5月26日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对公短信通知服务费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中国银行江苏省分行收费业务专用账号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75.00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2021年5月27日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支付常州二建项目二三期总包款（4月份农民工工资）</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常州二建建设有限公司建筑工人工资专户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Arial" w:hAnsi="Arial" w:cs="Arial" w:eastAsiaTheme="minorEastAsia"/>
                <w:color w:val="000000"/>
                <w:kern w:val="0"/>
                <w:sz w:val="18"/>
                <w:szCs w:val="18"/>
              </w:rPr>
              <w:t>4,735,585.00</w:t>
            </w:r>
            <w:r>
              <w:rPr>
                <w:rFonts w:hint="eastAsia" w:ascii="宋体" w:hAnsi="宋体" w:cs="宋体"/>
                <w:color w:val="000000"/>
                <w:kern w:val="0"/>
                <w:sz w:val="22"/>
                <w:szCs w:val="22"/>
                <w:lang w:bidi="ar"/>
              </w:rPr>
              <w:t xml:space="preserve">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48.75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银行手续费扣款</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140.00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2021年5月28日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149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113.75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2021年5月29日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48.75</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2021年5月30日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支付绿城物业西太湖美学馆物业管理服务费（2021.02.16-2021.03.15）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绿城物业服务集团有限公司无锡分公司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支付新北区薛家瓴悦日用品百货营销中心4月份物业类易耗品采购费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新北区薛家瓴悦日用百货经营部</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7,184.40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支付常州东岗印务2月份印刷物料制作费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常州市东岗印务有限公司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1,600.00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支付常州东岗印务3月份印刷物料制作费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常州市东岗印务有限公司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33,920.00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营销费用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支付南京文越企业管理公司房地产开发暂定（贰级）资质证书延期申报信息咨询服务费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南京文越企业管理信息服务有限公司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7,920.00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付上海度量衡建筑装饰项目一期公共部位精装修工程款（月度已完工程造价的75%）</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上海度量衡建筑装饰有限公司</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1,138,246.19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工程款</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袁聚宝报销赴常差旅费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袁聚宝</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4,831.00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杨希中报销赴常差旅费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杨希中</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3,841.73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159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魏超报销赴杭州参加绿城管理集团2021年青干班培训差旅费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魏超</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2,341.02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周怡青报销员工家属慰问费（周印国、邵景健、周怡青）</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周怡青</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1,500.00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杨晓君报销办公用品、办公杂项、劳保用品等费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杨晓君</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4,253.47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丁玲报销赴杭州参加绿城管理集团2021年运营系统专业评定及资格认证学习差旅费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丁玲</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554.00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2,936.00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2,835.00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2,625.00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169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2,580.00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2,878.00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2,983.00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179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2,987.00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2,857.20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2,969.00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2,910.00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2,856.85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2,491.00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2,928.00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189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2,985.00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2,995.00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193</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2,445.00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194</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2,850.00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195</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2,824.01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196</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2,680.00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197</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2,886.00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198</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2,816.00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199</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2,840.00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200</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2,899.00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201</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徐婷报销业务招待费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徐婷</w:t>
            </w: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 xml:space="preserve">2,900.00 </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管理费用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中国银行</w:t>
            </w:r>
          </w:p>
        </w:tc>
      </w:tr>
      <w:tr>
        <w:tblPrEx>
          <w:tblCellMar>
            <w:top w:w="0" w:type="dxa"/>
            <w:left w:w="0" w:type="dxa"/>
            <w:bottom w:w="0" w:type="dxa"/>
            <w:right w:w="0" w:type="dxa"/>
          </w:tblCellMar>
        </w:tblPrEx>
        <w:trPr>
          <w:cantSplit/>
          <w:trHeight w:val="285" w:hRule="atLeast"/>
        </w:trPr>
        <w:tc>
          <w:tcPr>
            <w:tcW w:w="39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w:t>
            </w:r>
          </w:p>
        </w:tc>
        <w:tc>
          <w:tcPr>
            <w:tcW w:w="25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刷卡手续费</w:t>
            </w:r>
          </w:p>
        </w:tc>
        <w:tc>
          <w:tcPr>
            <w:tcW w:w="134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3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32.50</w:t>
            </w:r>
          </w:p>
        </w:tc>
        <w:tc>
          <w:tcPr>
            <w:tcW w:w="160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2021年5月31日</w:t>
            </w:r>
          </w:p>
        </w:tc>
        <w:tc>
          <w:tcPr>
            <w:tcW w:w="108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财务费用</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cantSplit/>
          <w:trHeight w:val="270" w:hRule="atLeast"/>
        </w:trPr>
        <w:tc>
          <w:tcPr>
            <w:tcW w:w="430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536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eastAsiaTheme="minorEastAsia"/>
                <w:b/>
                <w:bCs/>
                <w:color w:val="000000"/>
                <w:kern w:val="0"/>
                <w:sz w:val="18"/>
                <w:szCs w:val="18"/>
              </w:rPr>
              <w:t>120,341,920.87</w:t>
            </w:r>
          </w:p>
        </w:tc>
      </w:tr>
    </w:tbl>
    <w:p>
      <w:pPr>
        <w:spacing w:line="240" w:lineRule="exact"/>
        <w:rPr>
          <w:rFonts w:ascii="Arial" w:hAnsi="Arial" w:cs="Arial" w:eastAsiaTheme="minorEastAsia"/>
          <w:kern w:val="0"/>
          <w:sz w:val="18"/>
          <w:szCs w:val="18"/>
        </w:rPr>
      </w:pPr>
      <w:r>
        <w:rPr>
          <w:rFonts w:ascii="Arial" w:hAnsi="Arial" w:cs="Arial" w:eastAsiaTheme="minorEastAsia"/>
          <w:kern w:val="0"/>
          <w:sz w:val="18"/>
          <w:szCs w:val="18"/>
        </w:rPr>
        <w:t>注：电信公司电话费、员工社保、公积金、税金等为银行托管项目，银行根据申报金额自动扣款;</w:t>
      </w:r>
    </w:p>
    <w:p>
      <w:pPr>
        <w:pStyle w:val="3"/>
        <w:keepNext w:val="0"/>
        <w:keepLines w:val="0"/>
        <w:tabs>
          <w:tab w:val="center" w:pos="4649"/>
        </w:tabs>
        <w:spacing w:before="300" w:after="300" w:line="360" w:lineRule="exact"/>
        <w:jc w:val="left"/>
        <w:rPr>
          <w:rFonts w:eastAsia="宋体" w:cs="Arial"/>
          <w:sz w:val="24"/>
        </w:rPr>
      </w:pPr>
      <w:bookmarkStart w:id="55" w:name="_Toc19840"/>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pStyle w:val="3"/>
        <w:keepNext w:val="0"/>
        <w:keepLines w:val="0"/>
        <w:tabs>
          <w:tab w:val="center" w:pos="4649"/>
        </w:tabs>
        <w:spacing w:before="300" w:after="300" w:line="360" w:lineRule="exact"/>
        <w:jc w:val="left"/>
        <w:rPr>
          <w:rFonts w:eastAsia="宋体" w:cs="Arial"/>
          <w:sz w:val="24"/>
        </w:rPr>
      </w:pPr>
    </w:p>
    <w:p>
      <w:pPr>
        <w:widowControl/>
        <w:jc w:val="left"/>
        <w:rPr>
          <w:rFonts w:ascii="Arial" w:hAnsi="Arial" w:cs="Arial"/>
          <w:b/>
          <w:bCs/>
          <w:sz w:val="24"/>
          <w:szCs w:val="32"/>
        </w:rPr>
      </w:pPr>
      <w:bookmarkStart w:id="56" w:name="_Toc7634"/>
      <w:r>
        <w:rPr>
          <w:rFonts w:cs="Arial"/>
          <w:sz w:val="24"/>
        </w:rPr>
        <w:br w:type="page"/>
      </w:r>
    </w:p>
    <w:p>
      <w:pPr>
        <w:pStyle w:val="3"/>
        <w:keepNext w:val="0"/>
        <w:keepLines w:val="0"/>
        <w:tabs>
          <w:tab w:val="center" w:pos="4649"/>
        </w:tabs>
        <w:spacing w:before="300" w:after="300" w:line="360" w:lineRule="exact"/>
        <w:jc w:val="left"/>
        <w:rPr>
          <w:rFonts w:eastAsia="宋体" w:cs="Arial"/>
          <w:sz w:val="24"/>
        </w:rPr>
      </w:pPr>
      <w:r>
        <w:rPr>
          <w:rFonts w:eastAsia="宋体" w:cs="Arial"/>
          <w:sz w:val="24"/>
        </w:rPr>
        <w:t>4.2资金流入情况</w:t>
      </w:r>
      <w:bookmarkEnd w:id="55"/>
      <w:bookmarkEnd w:id="56"/>
    </w:p>
    <w:p>
      <w:pPr>
        <w:spacing w:before="300" w:after="300" w:line="360" w:lineRule="exact"/>
        <w:jc w:val="left"/>
        <w:rPr>
          <w:rFonts w:ascii="Arial" w:hAnsi="Arial" w:cs="Arial"/>
          <w:b/>
          <w:sz w:val="24"/>
        </w:rPr>
      </w:pPr>
      <w:r>
        <w:rPr>
          <w:rFonts w:ascii="Arial" w:hAnsi="Arial" w:cs="Arial"/>
          <w:b/>
          <w:sz w:val="24"/>
        </w:rPr>
        <w:t>4.2.1销售回款流入</w:t>
      </w:r>
    </w:p>
    <w:p>
      <w:pPr>
        <w:spacing w:line="480" w:lineRule="auto"/>
        <w:ind w:firstLine="420" w:firstLineChars="200"/>
        <w:rPr>
          <w:rFonts w:ascii="Arial" w:hAnsi="Arial" w:cs="Arial"/>
          <w:bCs/>
          <w:kern w:val="44"/>
          <w:szCs w:val="21"/>
        </w:rPr>
      </w:pPr>
      <w:r>
        <w:rPr>
          <w:rFonts w:ascii="Arial" w:hAnsi="Arial" w:cs="Arial"/>
          <w:bCs/>
          <w:kern w:val="44"/>
          <w:szCs w:val="21"/>
        </w:rPr>
        <w:t>2021年</w:t>
      </w:r>
      <w:r>
        <w:rPr>
          <w:rFonts w:hint="eastAsia" w:ascii="Arial" w:hAnsi="Arial" w:cs="Arial"/>
          <w:bCs/>
          <w:kern w:val="44"/>
          <w:szCs w:val="21"/>
        </w:rPr>
        <w:t>4</w:t>
      </w:r>
      <w:r>
        <w:rPr>
          <w:rFonts w:ascii="Arial" w:hAnsi="Arial" w:cs="Arial"/>
          <w:bCs/>
          <w:kern w:val="44"/>
          <w:szCs w:val="21"/>
        </w:rPr>
        <w:t>月项目公司销售回款应收总计</w:t>
      </w:r>
      <w:r>
        <w:rPr>
          <w:rFonts w:ascii="Arial" w:hAnsi="Arial" w:cs="Arial" w:eastAsiaTheme="minorEastAsia"/>
          <w:bCs/>
          <w:szCs w:val="21"/>
        </w:rPr>
        <w:t>271</w:t>
      </w:r>
      <w:r>
        <w:rPr>
          <w:rFonts w:hint="eastAsia" w:ascii="Arial" w:hAnsi="Arial" w:cs="Arial" w:eastAsiaTheme="minorEastAsia"/>
          <w:bCs/>
          <w:szCs w:val="21"/>
        </w:rPr>
        <w:t>,</w:t>
      </w:r>
      <w:r>
        <w:rPr>
          <w:rFonts w:ascii="Arial" w:hAnsi="Arial" w:cs="Arial" w:eastAsiaTheme="minorEastAsia"/>
          <w:bCs/>
          <w:szCs w:val="21"/>
        </w:rPr>
        <w:t>143</w:t>
      </w:r>
      <w:r>
        <w:rPr>
          <w:rFonts w:hint="eastAsia" w:ascii="Arial" w:hAnsi="Arial" w:cs="Arial" w:eastAsiaTheme="minorEastAsia"/>
          <w:bCs/>
          <w:szCs w:val="21"/>
        </w:rPr>
        <w:t>,</w:t>
      </w:r>
      <w:r>
        <w:rPr>
          <w:rFonts w:ascii="Arial" w:hAnsi="Arial" w:cs="Arial" w:eastAsiaTheme="minorEastAsia"/>
          <w:bCs/>
          <w:szCs w:val="21"/>
        </w:rPr>
        <w:t>702.47</w:t>
      </w:r>
      <w:r>
        <w:rPr>
          <w:rFonts w:ascii="Arial" w:hAnsi="Arial" w:cs="Arial"/>
          <w:bCs/>
          <w:kern w:val="44"/>
          <w:szCs w:val="21"/>
        </w:rPr>
        <w:t>元，房款应收款</w:t>
      </w:r>
      <w:r>
        <w:rPr>
          <w:rFonts w:hint="eastAsia" w:ascii="Arial" w:hAnsi="Arial" w:cs="Arial" w:eastAsiaTheme="minorEastAsia"/>
          <w:bCs/>
          <w:szCs w:val="21"/>
        </w:rPr>
        <w:t>255,194,702.47</w:t>
      </w:r>
      <w:r>
        <w:rPr>
          <w:rFonts w:ascii="Arial" w:hAnsi="Arial" w:cs="Arial"/>
          <w:bCs/>
          <w:kern w:val="44"/>
          <w:szCs w:val="21"/>
        </w:rPr>
        <w:t>元，银行按揭放款到第三方正泰托管账户金额</w:t>
      </w:r>
      <w:r>
        <w:rPr>
          <w:rFonts w:hint="eastAsia" w:ascii="Arial" w:hAnsi="Arial" w:cs="Arial" w:eastAsiaTheme="minorEastAsia"/>
          <w:bCs/>
          <w:szCs w:val="21"/>
        </w:rPr>
        <w:t>15,949,000.00</w:t>
      </w:r>
      <w:r>
        <w:rPr>
          <w:rFonts w:ascii="Arial" w:hAnsi="Arial" w:cs="Arial"/>
          <w:bCs/>
          <w:kern w:val="44"/>
          <w:szCs w:val="21"/>
        </w:rPr>
        <w:t>元；扣除银行手续费及按揭放款到第三方正泰托管账户未解款至邮储银行金额后项目公司银行账户实际入账</w:t>
      </w:r>
      <w:r>
        <w:rPr>
          <w:rFonts w:hint="eastAsia" w:ascii="Arial" w:hAnsi="Arial" w:cs="Arial" w:eastAsiaTheme="minorEastAsia"/>
          <w:bCs/>
          <w:szCs w:val="21"/>
        </w:rPr>
        <w:t>258,852,798.34</w:t>
      </w:r>
      <w:r>
        <w:rPr>
          <w:rFonts w:hint="eastAsia" w:ascii="Arial" w:hAnsi="Arial" w:cs="Arial"/>
          <w:bCs/>
          <w:kern w:val="44"/>
          <w:szCs w:val="21"/>
        </w:rPr>
        <w:t>元</w:t>
      </w:r>
      <w:r>
        <w:rPr>
          <w:rFonts w:ascii="Arial" w:hAnsi="Arial" w:cs="Arial"/>
          <w:bCs/>
          <w:kern w:val="44"/>
          <w:szCs w:val="21"/>
        </w:rPr>
        <w:t>，各银行销售回款情况如下：</w:t>
      </w:r>
    </w:p>
    <w:p>
      <w:pPr>
        <w:spacing w:before="240" w:beforeLines="100"/>
        <w:jc w:val="center"/>
        <w:rPr>
          <w:rFonts w:ascii="Arial" w:hAnsi="Arial" w:cs="Arial"/>
          <w:b/>
          <w:color w:val="000000"/>
          <w:sz w:val="24"/>
        </w:rPr>
      </w:pPr>
      <w:bookmarkStart w:id="57" w:name="_Toc29763"/>
      <w:r>
        <w:rPr>
          <w:rFonts w:ascii="Arial" w:hAnsi="Arial" w:cs="Arial"/>
          <w:b/>
          <w:color w:val="000000"/>
          <w:sz w:val="24"/>
        </w:rPr>
        <w:t>2021年</w:t>
      </w:r>
      <w:r>
        <w:rPr>
          <w:rFonts w:hint="eastAsia" w:ascii="Arial" w:hAnsi="Arial" w:cs="Arial"/>
          <w:b/>
          <w:color w:val="000000"/>
          <w:sz w:val="24"/>
        </w:rPr>
        <w:t>5</w:t>
      </w:r>
      <w:r>
        <w:rPr>
          <w:rFonts w:ascii="Arial" w:hAnsi="Arial" w:cs="Arial"/>
          <w:b/>
          <w:color w:val="000000"/>
          <w:sz w:val="24"/>
        </w:rPr>
        <w:t>月销售回款情况表</w:t>
      </w:r>
      <w:bookmarkEnd w:id="57"/>
    </w:p>
    <w:tbl>
      <w:tblPr>
        <w:tblStyle w:val="13"/>
        <w:tblW w:w="9431" w:type="dxa"/>
        <w:tblInd w:w="-108" w:type="dxa"/>
        <w:tblLayout w:type="fixed"/>
        <w:tblCellMar>
          <w:top w:w="0" w:type="dxa"/>
          <w:left w:w="0" w:type="dxa"/>
          <w:bottom w:w="0" w:type="dxa"/>
          <w:right w:w="0" w:type="dxa"/>
        </w:tblCellMar>
      </w:tblPr>
      <w:tblGrid>
        <w:gridCol w:w="1753"/>
        <w:gridCol w:w="1905"/>
        <w:gridCol w:w="1915"/>
        <w:gridCol w:w="1943"/>
        <w:gridCol w:w="1915"/>
      </w:tblGrid>
      <w:tr>
        <w:tblPrEx>
          <w:tblCellMar>
            <w:top w:w="0" w:type="dxa"/>
            <w:left w:w="0" w:type="dxa"/>
            <w:bottom w:w="0" w:type="dxa"/>
            <w:right w:w="0" w:type="dxa"/>
          </w:tblCellMar>
        </w:tblPrEx>
        <w:trPr>
          <w:trHeight w:val="300" w:hRule="atLeast"/>
          <w:tblHeader/>
        </w:trPr>
        <w:tc>
          <w:tcPr>
            <w:tcW w:w="175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回款项目</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入账/放款银行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实际入账金额（元）</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银行手续费（元）</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应收金额（元）</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定金</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Cs w:val="21"/>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70,000.00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50,000.00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50,000.00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房款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中国银行基本户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37,929,575.47</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37,929,575.47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1,821,495.06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1,821,495.06 </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南京银行一般户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44,699,015.87</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904.13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44,699,920.00</w:t>
            </w:r>
          </w:p>
        </w:tc>
      </w:tr>
      <w:tr>
        <w:tblPrEx>
          <w:tblCellMar>
            <w:top w:w="0" w:type="dxa"/>
            <w:left w:w="0" w:type="dxa"/>
            <w:bottom w:w="0" w:type="dxa"/>
            <w:right w:w="0" w:type="dxa"/>
          </w:tblCellMar>
        </w:tblPrEx>
        <w:trPr>
          <w:trHeight w:val="300" w:hRule="atLeast"/>
        </w:trPr>
        <w:tc>
          <w:tcPr>
            <w:tcW w:w="1753" w:type="dxa"/>
            <w:vMerge w:val="continue"/>
            <w:tcBorders>
              <w:left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170,623,711.94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170,623,711.94 </w:t>
            </w:r>
          </w:p>
        </w:tc>
      </w:tr>
      <w:tr>
        <w:tblPrEx>
          <w:tblCellMar>
            <w:top w:w="0" w:type="dxa"/>
            <w:left w:w="0" w:type="dxa"/>
            <w:bottom w:w="0" w:type="dxa"/>
            <w:right w:w="0" w:type="dxa"/>
          </w:tblCellMar>
        </w:tblPrEx>
        <w:trPr>
          <w:trHeight w:val="9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eastAsiaTheme="minorEastAsia"/>
                <w:b/>
                <w:bCs/>
                <w:color w:val="000000" w:themeColor="text1"/>
                <w:kern w:val="0"/>
                <w:sz w:val="18"/>
                <w:szCs w:val="18"/>
                <w14:textFill>
                  <w14:solidFill>
                    <w14:schemeClr w14:val="tx1"/>
                  </w14:solidFill>
                </w14:textFill>
              </w:rPr>
              <w:t>255,193,798.34</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904.13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255,194,702.47</w:t>
            </w:r>
          </w:p>
        </w:tc>
      </w:tr>
      <w:tr>
        <w:tblPrEx>
          <w:tblCellMar>
            <w:top w:w="0" w:type="dxa"/>
            <w:left w:w="0" w:type="dxa"/>
            <w:bottom w:w="0" w:type="dxa"/>
            <w:right w:w="0" w:type="dxa"/>
          </w:tblCellMar>
        </w:tblPrEx>
        <w:trPr>
          <w:trHeight w:val="90" w:hRule="atLeast"/>
        </w:trPr>
        <w:tc>
          <w:tcPr>
            <w:tcW w:w="1753" w:type="dxa"/>
            <w:vMerge w:val="restart"/>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第三方托管解款</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邮储银行一般户</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3,659,000.00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3,659,000.00 </w:t>
            </w:r>
          </w:p>
        </w:tc>
      </w:tr>
      <w:tr>
        <w:trPr>
          <w:trHeight w:val="90" w:hRule="atLeast"/>
        </w:trPr>
        <w:tc>
          <w:tcPr>
            <w:tcW w:w="1753" w:type="dxa"/>
            <w:vMerge w:val="continue"/>
            <w:tcBorders>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3,659,000.00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ascii="Arial" w:hAnsi="Arial" w:cs="Arial" w:eastAsiaTheme="minorEastAsia"/>
                <w:b/>
                <w:bCs/>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3,659,000.00</w:t>
            </w:r>
          </w:p>
        </w:tc>
      </w:tr>
      <w:tr>
        <w:tblPrEx>
          <w:tblCellMar>
            <w:top w:w="0" w:type="dxa"/>
            <w:left w:w="0" w:type="dxa"/>
            <w:bottom w:w="0" w:type="dxa"/>
            <w:right w:w="0" w:type="dxa"/>
          </w:tblCellMar>
        </w:tblPrEx>
        <w:trPr>
          <w:trHeight w:val="300" w:hRule="atLeast"/>
        </w:trPr>
        <w:tc>
          <w:tcPr>
            <w:tcW w:w="365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项目公司入账小计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eastAsiaTheme="minorEastAsia"/>
                <w:b/>
                <w:bCs/>
                <w:color w:val="000000" w:themeColor="text1"/>
                <w:kern w:val="0"/>
                <w:sz w:val="18"/>
                <w:szCs w:val="18"/>
                <w14:textFill>
                  <w14:solidFill>
                    <w14:schemeClr w14:val="tx1"/>
                  </w14:solidFill>
                </w14:textFill>
              </w:rPr>
              <w:t xml:space="preserve">258,852,798.34 </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904.13</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eastAsiaTheme="minorEastAsia"/>
                <w:b/>
                <w:bCs/>
                <w:color w:val="000000" w:themeColor="text1"/>
                <w:kern w:val="0"/>
                <w:sz w:val="18"/>
                <w:szCs w:val="18"/>
                <w14:textFill>
                  <w14:solidFill>
                    <w14:schemeClr w14:val="tx1"/>
                  </w14:solidFill>
                </w14:textFill>
              </w:rPr>
              <w:t>258,853,702.47</w:t>
            </w:r>
          </w:p>
        </w:tc>
      </w:tr>
      <w:tr>
        <w:tblPrEx>
          <w:tblCellMar>
            <w:top w:w="0" w:type="dxa"/>
            <w:left w:w="0" w:type="dxa"/>
            <w:bottom w:w="0" w:type="dxa"/>
            <w:right w:w="0" w:type="dxa"/>
          </w:tblCellMar>
        </w:tblPrEx>
        <w:trPr>
          <w:trHeight w:val="300" w:hRule="atLeast"/>
        </w:trPr>
        <w:tc>
          <w:tcPr>
            <w:tcW w:w="175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第三方正泰托管</w:t>
            </w: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中国银行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1,350,000.00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1,350,000.00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江苏银行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南京银行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建设银行（常州分行）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1,200,000.00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1,200,000.00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建设银行（丰乐支行）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招商银行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农业银行（常州分行）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sz w:val="18"/>
                <w:szCs w:val="18"/>
              </w:rPr>
              <w:t>农业银行（锦绣路支行）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工商银行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交通银行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华夏银行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12,290,000.00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12,290,000.00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江南银行（前黄支行）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江南银行（武进支行）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kern w:val="0"/>
                <w:sz w:val="18"/>
                <w:szCs w:val="18"/>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江南银行（高新区支行）</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1,109,000.00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ascii="Arial" w:hAnsi="Arial" w:cs="Arial" w:eastAsiaTheme="minorEastAsia"/>
                <w:color w:val="000000" w:themeColor="text1"/>
                <w:kern w:val="0"/>
                <w:sz w:val="18"/>
                <w:szCs w:val="18"/>
                <w14:textFill>
                  <w14:solidFill>
                    <w14:schemeClr w14:val="tx1"/>
                  </w14:solidFill>
                </w14:textFill>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1,109,000.00</w:t>
            </w:r>
          </w:p>
        </w:tc>
      </w:tr>
      <w:tr>
        <w:tblPrEx>
          <w:tblCellMar>
            <w:top w:w="0" w:type="dxa"/>
            <w:left w:w="0" w:type="dxa"/>
            <w:bottom w:w="0" w:type="dxa"/>
            <w:right w:w="0" w:type="dxa"/>
          </w:tblCellMar>
        </w:tblPrEx>
        <w:trPr>
          <w:trHeight w:val="300" w:hRule="atLeast"/>
        </w:trPr>
        <w:tc>
          <w:tcPr>
            <w:tcW w:w="175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9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小计</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hint="eastAsia" w:ascii="Arial" w:hAnsi="Arial" w:cs="Arial" w:eastAsiaTheme="minorEastAsia"/>
                <w:b/>
                <w:color w:val="000000"/>
                <w:sz w:val="18"/>
                <w:szCs w:val="18"/>
              </w:rPr>
              <w:t>15,949,000.00</w:t>
            </w:r>
          </w:p>
        </w:tc>
        <w:tc>
          <w:tcPr>
            <w:tcW w:w="194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bCs/>
                <w:color w:val="000000"/>
                <w:sz w:val="18"/>
                <w:szCs w:val="18"/>
              </w:rPr>
              <w:t>-</w:t>
            </w:r>
          </w:p>
        </w:tc>
        <w:tc>
          <w:tcPr>
            <w:tcW w:w="19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0"/>
                <w:szCs w:val="20"/>
              </w:rPr>
            </w:pPr>
            <w:r>
              <w:rPr>
                <w:rFonts w:hint="eastAsia" w:ascii="Arial" w:hAnsi="Arial" w:cs="Arial" w:eastAsiaTheme="minorEastAsia"/>
                <w:b/>
                <w:color w:val="000000"/>
                <w:sz w:val="18"/>
                <w:szCs w:val="18"/>
              </w:rPr>
              <w:t>15,949,000.00</w:t>
            </w:r>
          </w:p>
        </w:tc>
      </w:tr>
    </w:tbl>
    <w:p>
      <w:pPr>
        <w:spacing w:before="300" w:after="300" w:line="360" w:lineRule="exact"/>
        <w:jc w:val="left"/>
        <w:rPr>
          <w:rFonts w:ascii="Arial" w:hAnsi="Arial" w:cs="Arial"/>
          <w:b/>
          <w:sz w:val="24"/>
        </w:rPr>
      </w:pPr>
      <w:r>
        <w:rPr>
          <w:rFonts w:ascii="Arial" w:hAnsi="Arial" w:cs="Arial"/>
          <w:b/>
          <w:sz w:val="24"/>
        </w:rPr>
        <w:t>4.2.2其他资金流入</w:t>
      </w:r>
    </w:p>
    <w:p>
      <w:pPr>
        <w:spacing w:before="120" w:beforeLines="50" w:after="120" w:afterLines="50"/>
        <w:jc w:val="center"/>
        <w:rPr>
          <w:rFonts w:ascii="Arial" w:hAnsi="Arial" w:cs="Arial"/>
          <w:b/>
          <w:color w:val="000000"/>
          <w:sz w:val="24"/>
        </w:rPr>
      </w:pPr>
      <w:bookmarkStart w:id="58" w:name="_Toc5432"/>
      <w:bookmarkStart w:id="59" w:name="_Toc1505"/>
      <w:r>
        <w:rPr>
          <w:rFonts w:ascii="Arial" w:hAnsi="Arial" w:cs="Arial"/>
          <w:b/>
          <w:color w:val="000000"/>
          <w:sz w:val="24"/>
        </w:rPr>
        <w:t>2021年</w:t>
      </w:r>
      <w:r>
        <w:rPr>
          <w:rFonts w:hint="eastAsia" w:ascii="Arial" w:hAnsi="Arial" w:cs="Arial"/>
          <w:b/>
          <w:color w:val="000000"/>
          <w:sz w:val="24"/>
        </w:rPr>
        <w:t>5</w:t>
      </w:r>
      <w:r>
        <w:rPr>
          <w:rFonts w:ascii="Arial" w:hAnsi="Arial" w:cs="Arial"/>
          <w:b/>
          <w:color w:val="000000"/>
          <w:sz w:val="24"/>
        </w:rPr>
        <w:t>月其他资金流入情况表</w:t>
      </w:r>
      <w:bookmarkEnd w:id="58"/>
      <w:bookmarkEnd w:id="59"/>
    </w:p>
    <w:tbl>
      <w:tblPr>
        <w:tblStyle w:val="13"/>
        <w:tblW w:w="9345" w:type="dxa"/>
        <w:tblInd w:w="0" w:type="dxa"/>
        <w:tblLayout w:type="fixed"/>
        <w:tblCellMar>
          <w:top w:w="0" w:type="dxa"/>
          <w:left w:w="0" w:type="dxa"/>
          <w:bottom w:w="0" w:type="dxa"/>
          <w:right w:w="0" w:type="dxa"/>
        </w:tblCellMar>
      </w:tblPr>
      <w:tblGrid>
        <w:gridCol w:w="393"/>
        <w:gridCol w:w="2124"/>
        <w:gridCol w:w="2159"/>
        <w:gridCol w:w="1490"/>
        <w:gridCol w:w="1722"/>
        <w:gridCol w:w="1457"/>
      </w:tblGrid>
      <w:tr>
        <w:tblPrEx>
          <w:tblCellMar>
            <w:top w:w="0" w:type="dxa"/>
            <w:left w:w="0" w:type="dxa"/>
            <w:bottom w:w="0" w:type="dxa"/>
            <w:right w:w="0" w:type="dxa"/>
          </w:tblCellMar>
        </w:tblPrEx>
        <w:trPr>
          <w:trHeight w:val="373" w:hRule="atLeast"/>
          <w:tblHeader/>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序号</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款项明细</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单位名称</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收款金额（元）</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到账日期</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174.98 </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2021年5月8日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69.99</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87.49</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4</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227.47</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2021年5月11日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207.29</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2021年5月12日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17.50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2021年5月13日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7</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61.24</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2021年5月14日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8.75</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2021年5月17日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9</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17.50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2021年5月18日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10</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17.50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2021年5月19日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收到上海度量衡履约保证金</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上海度量衡建筑装饰有限公司</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eastAsiaTheme="minorEastAsia"/>
                <w:color w:val="000000" w:themeColor="text1"/>
                <w:kern w:val="0"/>
                <w:sz w:val="18"/>
                <w:szCs w:val="18"/>
                <w14:textFill>
                  <w14:solidFill>
                    <w14:schemeClr w14:val="tx1"/>
                  </w14:solidFill>
                </w14:textFill>
              </w:rPr>
              <w:t>184,274.10</w:t>
            </w:r>
            <w:r>
              <w:rPr>
                <w:rFonts w:hint="eastAsia" w:ascii="宋体" w:hAnsi="宋体" w:cs="宋体"/>
                <w:color w:val="000000"/>
                <w:kern w:val="0"/>
                <w:sz w:val="18"/>
                <w:szCs w:val="18"/>
                <w:lang w:bidi="ar"/>
              </w:rPr>
              <w:t xml:space="preserve"> </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2021年5月19日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themeColor="text1"/>
                <w:kern w:val="0"/>
                <w:sz w:val="18"/>
                <w:szCs w:val="18"/>
                <w14:textFill>
                  <w14:solidFill>
                    <w14:schemeClr w14:val="tx1"/>
                  </w14:solidFill>
                </w14:textFill>
              </w:rPr>
              <w:t>中国银行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12</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8.75</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前锦网络信息技术企业账户确认金</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前锦网络信息技术（上海）有限公司</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0.03</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2021年5月20日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themeColor="text1"/>
                <w:kern w:val="0"/>
                <w:sz w:val="18"/>
                <w:szCs w:val="18"/>
                <w14:textFill>
                  <w14:solidFill>
                    <w14:schemeClr w14:val="tx1"/>
                  </w14:solidFill>
                </w14:textFill>
              </w:rPr>
              <w:t>中国银行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14</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35.00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2021年5月24日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15</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17.50</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2021年5月24日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16</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8.75</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2021年5月24日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17</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银行手续费返还</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52.49</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themeColor="text1"/>
                <w:kern w:val="0"/>
                <w:sz w:val="18"/>
                <w:szCs w:val="18"/>
                <w14:textFill>
                  <w14:solidFill>
                    <w14:schemeClr w14:val="tx1"/>
                  </w14:solidFill>
                </w14:textFill>
              </w:rPr>
              <w:t>2021年5月25日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华夏银行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杭州联铂电子科技有限公司履约保证金</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杭州联铂电子科技有限公司</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53,369.80 </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2021年5月28日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中国银行</w:t>
            </w:r>
          </w:p>
        </w:tc>
      </w:tr>
      <w:tr>
        <w:tblPrEx>
          <w:tblCellMar>
            <w:top w:w="0" w:type="dxa"/>
            <w:left w:w="0" w:type="dxa"/>
            <w:bottom w:w="0" w:type="dxa"/>
            <w:right w:w="0" w:type="dxa"/>
          </w:tblCellMar>
        </w:tblPrEx>
        <w:trPr>
          <w:trHeight w:val="333" w:hRule="atLeast"/>
        </w:trPr>
        <w:tc>
          <w:tcPr>
            <w:tcW w:w="3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w:t>
            </w:r>
          </w:p>
        </w:tc>
        <w:tc>
          <w:tcPr>
            <w:tcW w:w="212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广东坚朗五金制品股份有限公司保证金</w:t>
            </w:r>
          </w:p>
        </w:tc>
        <w:tc>
          <w:tcPr>
            <w:tcW w:w="215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广东坚朗五金制品股份有限公司</w:t>
            </w:r>
          </w:p>
        </w:tc>
        <w:tc>
          <w:tcPr>
            <w:tcW w:w="14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 xml:space="preserve">19,920.00 </w:t>
            </w:r>
          </w:p>
        </w:tc>
        <w:tc>
          <w:tcPr>
            <w:tcW w:w="17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2021年5月29日</w:t>
            </w:r>
          </w:p>
        </w:tc>
        <w:tc>
          <w:tcPr>
            <w:tcW w:w="145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color w:val="000000" w:themeColor="text1"/>
                <w:kern w:val="0"/>
                <w:sz w:val="18"/>
                <w:szCs w:val="18"/>
                <w14:textFill>
                  <w14:solidFill>
                    <w14:schemeClr w14:val="tx1"/>
                  </w14:solidFill>
                </w14:textFill>
              </w:rPr>
              <w:t>中国银行</w:t>
            </w:r>
          </w:p>
        </w:tc>
      </w:tr>
      <w:tr>
        <w:tblPrEx>
          <w:tblCellMar>
            <w:top w:w="0" w:type="dxa"/>
            <w:left w:w="0" w:type="dxa"/>
            <w:bottom w:w="0" w:type="dxa"/>
            <w:right w:w="0" w:type="dxa"/>
          </w:tblCellMar>
        </w:tblPrEx>
        <w:trPr>
          <w:trHeight w:val="448" w:hRule="atLeast"/>
        </w:trPr>
        <w:tc>
          <w:tcPr>
            <w:tcW w:w="4676"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4669"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themeColor="text1"/>
                <w:kern w:val="0"/>
                <w:sz w:val="18"/>
                <w:szCs w:val="18"/>
                <w14:textFill>
                  <w14:solidFill>
                    <w14:schemeClr w14:val="tx1"/>
                  </w14:solidFill>
                </w14:textFill>
              </w:rPr>
            </w:pPr>
            <w:r>
              <w:rPr>
                <w:rFonts w:hint="eastAsia" w:ascii="Arial" w:hAnsi="Arial" w:cs="Arial" w:eastAsiaTheme="minorEastAsia"/>
                <w:b/>
                <w:bCs/>
                <w:color w:val="000000" w:themeColor="text1"/>
                <w:kern w:val="0"/>
                <w:sz w:val="18"/>
                <w:szCs w:val="18"/>
                <w14:textFill>
                  <w14:solidFill>
                    <w14:schemeClr w14:val="tx1"/>
                  </w14:solidFill>
                </w14:textFill>
              </w:rPr>
              <w:t xml:space="preserve">258,576.13 </w:t>
            </w:r>
          </w:p>
        </w:tc>
      </w:tr>
    </w:tbl>
    <w:p>
      <w:pPr>
        <w:spacing w:before="300" w:after="300" w:line="360" w:lineRule="exact"/>
        <w:jc w:val="left"/>
        <w:outlineLvl w:val="0"/>
        <w:rPr>
          <w:rStyle w:val="27"/>
          <w:rFonts w:ascii="Arial" w:hAnsi="Arial" w:cs="Arial"/>
          <w:sz w:val="24"/>
          <w:szCs w:val="24"/>
        </w:rPr>
      </w:pPr>
      <w:bookmarkStart w:id="60" w:name="_Toc9498"/>
      <w:bookmarkStart w:id="61" w:name="_Toc2468"/>
      <w:r>
        <w:rPr>
          <w:rStyle w:val="27"/>
          <w:rFonts w:ascii="Arial" w:hAnsi="Arial" w:cs="Arial"/>
          <w:sz w:val="24"/>
          <w:szCs w:val="24"/>
        </w:rPr>
        <w:t>5项目销售情况</w:t>
      </w:r>
      <w:bookmarkEnd w:id="60"/>
      <w:bookmarkEnd w:id="61"/>
    </w:p>
    <w:p>
      <w:pPr>
        <w:spacing w:line="480" w:lineRule="auto"/>
        <w:ind w:firstLine="420" w:firstLineChars="200"/>
        <w:rPr>
          <w:rFonts w:ascii="Arial" w:hAnsi="Arial" w:cs="Arial"/>
          <w:bCs/>
          <w:kern w:val="44"/>
          <w:szCs w:val="21"/>
        </w:rPr>
      </w:pPr>
      <w:r>
        <w:rPr>
          <w:rFonts w:ascii="Arial" w:hAnsi="Arial" w:cs="Arial"/>
          <w:bCs/>
          <w:kern w:val="44"/>
          <w:szCs w:val="21"/>
        </w:rPr>
        <w:t>根据项目公司提供的2021年</w:t>
      </w:r>
      <w:r>
        <w:rPr>
          <w:rFonts w:hint="eastAsia" w:ascii="Arial" w:hAnsi="Arial" w:cs="Arial"/>
          <w:bCs/>
          <w:kern w:val="44"/>
          <w:szCs w:val="21"/>
        </w:rPr>
        <w:t>5</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日月桂江南里销售台账，项目已取得可售套数共计</w:t>
      </w:r>
      <w:r>
        <w:rPr>
          <w:rFonts w:hint="eastAsia" w:ascii="Arial" w:hAnsi="Arial" w:cs="Arial"/>
          <w:bCs/>
          <w:kern w:val="44"/>
          <w:szCs w:val="21"/>
        </w:rPr>
        <w:t>918</w:t>
      </w:r>
      <w:r>
        <w:rPr>
          <w:rFonts w:ascii="Arial" w:hAnsi="Arial" w:cs="Arial"/>
          <w:bCs/>
          <w:kern w:val="44"/>
          <w:szCs w:val="21"/>
        </w:rPr>
        <w:t>套（包括5套样板间39号楼丙单元401室、39号楼丙单元402室、3号楼101室、13号楼107室、13号楼307室），可售面积共计</w:t>
      </w:r>
      <w:r>
        <w:rPr>
          <w:rFonts w:hint="eastAsia" w:ascii="Arial" w:hAnsi="Arial" w:cs="Arial"/>
          <w:bCs/>
          <w:kern w:val="44"/>
          <w:szCs w:val="21"/>
        </w:rPr>
        <w:t>146,075.18</w:t>
      </w:r>
      <w:r>
        <w:rPr>
          <w:rFonts w:ascii="Arial" w:hAnsi="Arial" w:cs="Arial"/>
          <w:bCs/>
          <w:kern w:val="44"/>
          <w:szCs w:val="21"/>
        </w:rPr>
        <w:t>㎡；已认购、签约套数共计</w:t>
      </w:r>
      <w:r>
        <w:rPr>
          <w:rFonts w:hint="eastAsia" w:ascii="Arial" w:hAnsi="Arial" w:cs="Arial"/>
          <w:bCs/>
          <w:kern w:val="44"/>
          <w:szCs w:val="21"/>
        </w:rPr>
        <w:t>888</w:t>
      </w:r>
      <w:r>
        <w:rPr>
          <w:rFonts w:ascii="Arial" w:hAnsi="Arial" w:cs="Arial"/>
          <w:bCs/>
          <w:kern w:val="44"/>
          <w:szCs w:val="21"/>
        </w:rPr>
        <w:t>套，其中认购套数</w:t>
      </w:r>
      <w:r>
        <w:rPr>
          <w:rFonts w:hint="eastAsia" w:ascii="Arial" w:hAnsi="Arial" w:cs="Arial"/>
          <w:bCs/>
          <w:kern w:val="44"/>
          <w:szCs w:val="21"/>
        </w:rPr>
        <w:t>6</w:t>
      </w:r>
      <w:r>
        <w:rPr>
          <w:rFonts w:ascii="Arial" w:hAnsi="Arial" w:cs="Arial"/>
          <w:bCs/>
          <w:kern w:val="44"/>
          <w:szCs w:val="21"/>
        </w:rPr>
        <w:t>套，签约套数</w:t>
      </w:r>
      <w:r>
        <w:rPr>
          <w:rFonts w:hint="eastAsia" w:ascii="Arial" w:hAnsi="Arial" w:cs="Arial"/>
          <w:bCs/>
          <w:kern w:val="44"/>
          <w:szCs w:val="21"/>
        </w:rPr>
        <w:t>882</w:t>
      </w:r>
      <w:r>
        <w:rPr>
          <w:rFonts w:ascii="Arial" w:hAnsi="Arial" w:cs="Arial"/>
          <w:bCs/>
          <w:kern w:val="44"/>
          <w:szCs w:val="21"/>
        </w:rPr>
        <w:t>套；已认购、签约面积共计</w:t>
      </w:r>
      <w:r>
        <w:rPr>
          <w:rFonts w:hint="eastAsia" w:ascii="Arial" w:hAnsi="Arial" w:cs="Arial"/>
          <w:bCs/>
          <w:kern w:val="44"/>
          <w:szCs w:val="21"/>
        </w:rPr>
        <w:t>140,320.02</w:t>
      </w:r>
      <w:r>
        <w:rPr>
          <w:rFonts w:ascii="Arial" w:hAnsi="Arial" w:cs="Arial"/>
          <w:bCs/>
          <w:kern w:val="44"/>
          <w:szCs w:val="21"/>
        </w:rPr>
        <w:t>㎡，占已取得可售面积的</w:t>
      </w:r>
      <w:r>
        <w:rPr>
          <w:rFonts w:hint="eastAsia" w:ascii="Arial" w:hAnsi="Arial" w:cs="Arial"/>
          <w:bCs/>
          <w:kern w:val="44"/>
          <w:szCs w:val="21"/>
        </w:rPr>
        <w:t>96.06</w:t>
      </w:r>
      <w:r>
        <w:rPr>
          <w:rFonts w:ascii="Arial" w:hAnsi="Arial" w:cs="Arial"/>
          <w:bCs/>
          <w:kern w:val="44"/>
          <w:szCs w:val="21"/>
        </w:rPr>
        <w:t>%，其中认购面积</w:t>
      </w:r>
      <w:r>
        <w:rPr>
          <w:rFonts w:hint="eastAsia" w:ascii="Arial" w:hAnsi="Arial" w:cs="Arial"/>
          <w:bCs/>
          <w:kern w:val="44"/>
          <w:szCs w:val="21"/>
        </w:rPr>
        <w:t>1,120.62</w:t>
      </w:r>
      <w:r>
        <w:rPr>
          <w:rFonts w:ascii="Arial" w:hAnsi="Arial" w:cs="Arial"/>
          <w:bCs/>
          <w:kern w:val="44"/>
          <w:szCs w:val="21"/>
        </w:rPr>
        <w:t>㎡，签约面积</w:t>
      </w:r>
      <w:r>
        <w:rPr>
          <w:rFonts w:hint="eastAsia" w:ascii="Arial" w:hAnsi="Arial" w:cs="Arial"/>
          <w:bCs/>
          <w:kern w:val="44"/>
          <w:szCs w:val="21"/>
        </w:rPr>
        <w:t>139,199.4</w:t>
      </w:r>
      <w:r>
        <w:rPr>
          <w:rFonts w:ascii="Arial" w:hAnsi="Arial" w:cs="Arial"/>
          <w:bCs/>
          <w:kern w:val="44"/>
          <w:szCs w:val="21"/>
        </w:rPr>
        <w:t>㎡；累计认购、签约合同总价</w:t>
      </w:r>
      <w:r>
        <w:rPr>
          <w:rFonts w:hint="eastAsia" w:ascii="Arial" w:hAnsi="Arial" w:cs="Arial"/>
          <w:bCs/>
          <w:kern w:val="44"/>
          <w:szCs w:val="21"/>
        </w:rPr>
        <w:t>2,610,125,639.00</w:t>
      </w:r>
      <w:r>
        <w:rPr>
          <w:rFonts w:ascii="Arial" w:hAnsi="Arial" w:cs="Arial"/>
          <w:bCs/>
          <w:kern w:val="44"/>
          <w:szCs w:val="21"/>
        </w:rPr>
        <w:t>元，其中认购合同总价</w:t>
      </w:r>
      <w:r>
        <w:rPr>
          <w:rFonts w:hint="eastAsia" w:ascii="Arial" w:hAnsi="Arial" w:cs="Arial"/>
          <w:bCs/>
          <w:kern w:val="44"/>
          <w:szCs w:val="21"/>
        </w:rPr>
        <w:t>23,585,321.00</w:t>
      </w:r>
      <w:r>
        <w:rPr>
          <w:rFonts w:ascii="Arial" w:hAnsi="Arial" w:cs="Arial"/>
          <w:bCs/>
          <w:kern w:val="44"/>
          <w:szCs w:val="21"/>
        </w:rPr>
        <w:t>元，签约合同总价</w:t>
      </w:r>
      <w:r>
        <w:rPr>
          <w:rFonts w:hint="eastAsia" w:ascii="Arial" w:hAnsi="Arial" w:cs="Arial"/>
          <w:bCs/>
          <w:kern w:val="44"/>
          <w:szCs w:val="21"/>
        </w:rPr>
        <w:t>2,586,540,318.00</w:t>
      </w:r>
      <w:r>
        <w:rPr>
          <w:rFonts w:ascii="Arial" w:hAnsi="Arial" w:cs="Arial"/>
          <w:bCs/>
          <w:kern w:val="44"/>
          <w:szCs w:val="21"/>
        </w:rPr>
        <w:t>元；累计收款额</w:t>
      </w:r>
      <w:r>
        <w:rPr>
          <w:rFonts w:hint="eastAsia" w:ascii="Arial" w:hAnsi="Arial" w:cs="Arial"/>
          <w:bCs/>
          <w:kern w:val="44"/>
          <w:szCs w:val="21"/>
        </w:rPr>
        <w:t>2,374,068,650.00</w:t>
      </w:r>
      <w:r>
        <w:rPr>
          <w:rFonts w:ascii="Arial" w:hAnsi="Arial" w:cs="Arial"/>
          <w:bCs/>
          <w:kern w:val="44"/>
          <w:szCs w:val="21"/>
        </w:rPr>
        <w:t>元，其中认购收款额</w:t>
      </w:r>
      <w:r>
        <w:rPr>
          <w:rFonts w:hint="eastAsia" w:ascii="Arial" w:hAnsi="Arial" w:cs="Arial"/>
          <w:bCs/>
          <w:kern w:val="44"/>
          <w:szCs w:val="21"/>
        </w:rPr>
        <w:t>1,970,000.00</w:t>
      </w:r>
      <w:r>
        <w:rPr>
          <w:rFonts w:ascii="Arial" w:hAnsi="Arial" w:cs="Arial"/>
          <w:bCs/>
          <w:kern w:val="44"/>
          <w:szCs w:val="21"/>
        </w:rPr>
        <w:t>元，签约收款额</w:t>
      </w:r>
      <w:r>
        <w:rPr>
          <w:rFonts w:hint="eastAsia" w:ascii="Arial" w:hAnsi="Arial" w:cs="Arial"/>
          <w:bCs/>
          <w:kern w:val="44"/>
          <w:szCs w:val="21"/>
        </w:rPr>
        <w:t>2,372,098,650.00</w:t>
      </w:r>
      <w:r>
        <w:rPr>
          <w:rFonts w:ascii="Arial" w:hAnsi="Arial" w:cs="Arial"/>
          <w:bCs/>
          <w:kern w:val="44"/>
          <w:szCs w:val="21"/>
        </w:rPr>
        <w:t>元（详见附件一）。</w:t>
      </w:r>
    </w:p>
    <w:p>
      <w:pPr>
        <w:spacing w:before="120" w:beforeLines="50" w:after="120" w:afterLines="50"/>
        <w:jc w:val="center"/>
        <w:rPr>
          <w:rFonts w:ascii="Arial" w:hAnsi="Arial" w:cs="Arial"/>
          <w:b/>
          <w:color w:val="000000"/>
          <w:sz w:val="24"/>
        </w:rPr>
      </w:pPr>
      <w:bookmarkStart w:id="62" w:name="_Toc22045"/>
      <w:bookmarkStart w:id="63" w:name="_Toc9611"/>
      <w:r>
        <w:rPr>
          <w:rFonts w:ascii="Arial" w:hAnsi="Arial" w:cs="Arial"/>
          <w:b/>
          <w:color w:val="000000"/>
          <w:sz w:val="24"/>
        </w:rPr>
        <w:t>截至2021年</w:t>
      </w:r>
      <w:r>
        <w:rPr>
          <w:rFonts w:hint="eastAsia" w:ascii="Arial" w:hAnsi="Arial" w:cs="Arial"/>
          <w:b/>
          <w:color w:val="000000"/>
          <w:sz w:val="24"/>
        </w:rPr>
        <w:t>5</w:t>
      </w:r>
      <w:r>
        <w:rPr>
          <w:rFonts w:ascii="Arial" w:hAnsi="Arial" w:cs="Arial"/>
          <w:b/>
          <w:color w:val="000000"/>
          <w:sz w:val="24"/>
        </w:rPr>
        <w:t>月</w:t>
      </w:r>
      <w:r>
        <w:rPr>
          <w:rFonts w:hint="eastAsia" w:ascii="Arial" w:hAnsi="Arial" w:cs="Arial"/>
          <w:b/>
          <w:color w:val="000000"/>
          <w:sz w:val="24"/>
        </w:rPr>
        <w:t>31</w:t>
      </w:r>
      <w:r>
        <w:rPr>
          <w:rFonts w:ascii="Arial" w:hAnsi="Arial" w:cs="Arial"/>
          <w:b/>
          <w:color w:val="000000"/>
          <w:sz w:val="24"/>
        </w:rPr>
        <w:t>日销售情况表</w:t>
      </w:r>
      <w:bookmarkEnd w:id="62"/>
      <w:bookmarkEnd w:id="63"/>
    </w:p>
    <w:tbl>
      <w:tblPr>
        <w:tblStyle w:val="13"/>
        <w:tblW w:w="9447" w:type="dxa"/>
        <w:tblInd w:w="-122" w:type="dxa"/>
        <w:tblLayout w:type="fixed"/>
        <w:tblCellMar>
          <w:top w:w="0" w:type="dxa"/>
          <w:left w:w="0" w:type="dxa"/>
          <w:bottom w:w="0" w:type="dxa"/>
          <w:right w:w="0" w:type="dxa"/>
        </w:tblCellMar>
      </w:tblPr>
      <w:tblGrid>
        <w:gridCol w:w="785"/>
        <w:gridCol w:w="934"/>
        <w:gridCol w:w="934"/>
        <w:gridCol w:w="1528"/>
        <w:gridCol w:w="1224"/>
        <w:gridCol w:w="750"/>
        <w:gridCol w:w="1456"/>
        <w:gridCol w:w="1836"/>
      </w:tblGrid>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已售情况</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套数（套）</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面积（㎡）</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合同价（元）</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已收款额（元）</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备注</w:t>
            </w: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认购</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1,120.62</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23,585,321.00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1,970,000.00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882</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139,199.4</w:t>
            </w:r>
          </w:p>
        </w:tc>
        <w:tc>
          <w:tcPr>
            <w:tcW w:w="152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2,586,540,318.00</w:t>
            </w: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ascii="Arial" w:hAnsi="Arial" w:cs="Arial" w:eastAsiaTheme="minorEastAsia"/>
                <w:kern w:val="0"/>
                <w:sz w:val="18"/>
                <w:szCs w:val="18"/>
              </w:rPr>
              <w:t>第三方正泰托管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kern w:val="0"/>
                <w:sz w:val="18"/>
                <w:szCs w:val="18"/>
              </w:rPr>
              <w:t>205,495,000.00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正泰托管解款后余额</w:t>
            </w:r>
          </w:p>
        </w:tc>
      </w:tr>
      <w:tr>
        <w:tblPrEx>
          <w:tblCellMar>
            <w:top w:w="0" w:type="dxa"/>
            <w:left w:w="0" w:type="dxa"/>
            <w:bottom w:w="0" w:type="dxa"/>
            <w:right w:w="0" w:type="dxa"/>
          </w:tblCellMar>
        </w:tblPrEx>
        <w:trPr>
          <w:trHeight w:val="285"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22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项目公司银行收款</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邮储银行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kern w:val="0"/>
                <w:sz w:val="18"/>
                <w:szCs w:val="18"/>
              </w:rPr>
              <w:t>771,357,050.00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正泰托管解款至邮储银行</w:t>
            </w: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22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其他银行</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22"/>
                <w:szCs w:val="22"/>
              </w:rPr>
            </w:pPr>
            <w:r>
              <w:rPr>
                <w:rFonts w:hint="eastAsia" w:ascii="Arial" w:hAnsi="Arial" w:cs="Arial" w:eastAsiaTheme="minorEastAsia"/>
                <w:color w:val="000000"/>
                <w:kern w:val="0"/>
                <w:sz w:val="18"/>
                <w:szCs w:val="18"/>
              </w:rPr>
              <w:t>1,393,276,600.00</w:t>
            </w:r>
            <w:r>
              <w:rPr>
                <w:rFonts w:ascii="Arial" w:hAnsi="Arial" w:cs="Arial" w:eastAsiaTheme="minorEastAsia"/>
                <w:color w:val="000000"/>
                <w:kern w:val="0"/>
                <w:sz w:val="18"/>
                <w:szCs w:val="18"/>
              </w:rPr>
              <w:t xml:space="preserve"> </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p>
        </w:tc>
        <w:tc>
          <w:tcPr>
            <w:tcW w:w="152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p>
        </w:tc>
        <w:tc>
          <w:tcPr>
            <w:tcW w:w="197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小计</w:t>
            </w:r>
          </w:p>
        </w:tc>
        <w:tc>
          <w:tcPr>
            <w:tcW w:w="14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2,370,128,650.00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trHeight w:val="300" w:hRule="atLeast"/>
        </w:trPr>
        <w:tc>
          <w:tcPr>
            <w:tcW w:w="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总计</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888</w:t>
            </w:r>
          </w:p>
        </w:tc>
        <w:tc>
          <w:tcPr>
            <w:tcW w:w="9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bCs/>
                <w:color w:val="000000"/>
                <w:sz w:val="18"/>
                <w:szCs w:val="18"/>
              </w:rPr>
              <w:t>140,320.02</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sz w:val="18"/>
                <w:szCs w:val="18"/>
              </w:rPr>
              <w:t>2,610,125,639.00</w:t>
            </w:r>
          </w:p>
        </w:tc>
        <w:tc>
          <w:tcPr>
            <w:tcW w:w="3430"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b/>
                <w:bCs/>
                <w:color w:val="000000"/>
                <w:sz w:val="18"/>
                <w:szCs w:val="18"/>
              </w:rPr>
              <w:t>2,372,098,650.00</w:t>
            </w:r>
          </w:p>
        </w:tc>
        <w:tc>
          <w:tcPr>
            <w:tcW w:w="183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b/>
                <w:color w:val="000000"/>
                <w:sz w:val="18"/>
                <w:szCs w:val="18"/>
              </w:rPr>
            </w:pPr>
          </w:p>
        </w:tc>
      </w:tr>
    </w:tbl>
    <w:p>
      <w:pPr>
        <w:spacing w:before="300" w:after="300" w:line="360" w:lineRule="exact"/>
        <w:jc w:val="left"/>
        <w:outlineLvl w:val="0"/>
        <w:rPr>
          <w:rStyle w:val="27"/>
          <w:rFonts w:ascii="Arial" w:hAnsi="Arial" w:cs="Arial"/>
          <w:sz w:val="24"/>
          <w:szCs w:val="24"/>
        </w:rPr>
      </w:pPr>
      <w:bookmarkStart w:id="64" w:name="_Toc492"/>
    </w:p>
    <w:p>
      <w:pPr>
        <w:spacing w:before="300" w:after="300" w:line="360" w:lineRule="exact"/>
        <w:jc w:val="left"/>
        <w:outlineLvl w:val="0"/>
        <w:rPr>
          <w:rStyle w:val="27"/>
          <w:rFonts w:ascii="Arial" w:hAnsi="Arial" w:cs="Arial"/>
          <w:sz w:val="24"/>
          <w:szCs w:val="24"/>
        </w:rPr>
      </w:pPr>
      <w:bookmarkStart w:id="65" w:name="_Toc18892"/>
      <w:r>
        <w:rPr>
          <w:rStyle w:val="27"/>
          <w:rFonts w:ascii="Arial" w:hAnsi="Arial" w:cs="Arial"/>
          <w:sz w:val="24"/>
          <w:szCs w:val="24"/>
        </w:rPr>
        <w:t>6印章、证照使用情况</w:t>
      </w:r>
      <w:bookmarkEnd w:id="64"/>
      <w:bookmarkEnd w:id="65"/>
    </w:p>
    <w:p>
      <w:pPr>
        <w:spacing w:line="480" w:lineRule="auto"/>
        <w:ind w:firstLine="420" w:firstLineChars="200"/>
        <w:rPr>
          <w:rFonts w:ascii="Arial" w:hAnsi="Arial" w:cs="Arial"/>
          <w:bCs/>
          <w:kern w:val="44"/>
          <w:szCs w:val="21"/>
        </w:rPr>
      </w:pPr>
      <w:r>
        <w:rPr>
          <w:rFonts w:ascii="Arial" w:hAnsi="Arial" w:cs="Arial"/>
          <w:bCs/>
          <w:kern w:val="44"/>
          <w:szCs w:val="21"/>
        </w:rPr>
        <w:t>对于印章的使用，项目公司工作人员严格按照用章用印流程约定，履行印章使用流程，通过相关负责人审批后方给予盖章。各印鉴使用具体情况详见印鉴使用情况表：</w:t>
      </w:r>
    </w:p>
    <w:p>
      <w:pPr>
        <w:spacing w:before="120" w:beforeLines="50" w:after="120" w:afterLines="50"/>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5</w:t>
      </w:r>
      <w:r>
        <w:rPr>
          <w:rFonts w:ascii="Arial" w:hAnsi="Arial" w:cs="Arial"/>
          <w:b/>
          <w:color w:val="000000"/>
          <w:sz w:val="24"/>
        </w:rPr>
        <w:t>月印鉴使用登记表</w:t>
      </w:r>
    </w:p>
    <w:tbl>
      <w:tblPr>
        <w:tblStyle w:val="13"/>
        <w:tblW w:w="9709"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63"/>
        <w:gridCol w:w="2562"/>
        <w:gridCol w:w="2609"/>
        <w:gridCol w:w="1090"/>
        <w:gridCol w:w="641"/>
        <w:gridCol w:w="11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日期</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事由</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材料</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印鉴名称及使用次数</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申请人</w:t>
            </w:r>
            <w:r>
              <w:rPr>
                <w:rFonts w:hint="eastAsia" w:ascii="Arial" w:hAnsi="Arial" w:cs="Arial" w:eastAsiaTheme="minorEastAsia"/>
                <w:b/>
                <w:color w:val="000000"/>
                <w:kern w:val="0"/>
                <w:sz w:val="18"/>
                <w:szCs w:val="18"/>
              </w:rPr>
              <w:t>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审批人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工商资料查询的用印申请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登记服务协议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周怡青</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人保团体保险合同内容变更申请书（非收付费类）的用印申请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人保团体保险合同内容变更申请书（非收付费类）</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一期二标及二三期工程项目安全生产标准自评表的用印申请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一期二标及二三期工程项目安全生产标准自评表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二三期基础与主体分部工程质量验收记录的用印申请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二三期基础与主体分部工程质量验收记录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公章（76）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一期二标复工报审表的用印申请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一期二标复工报审表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关于常州江南里项目合院8#-11#楼、叠墅16#、17#、20#、21#、25#-27#、32#-34#楼认筹及认购协议的用印申请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合院8#-11#楼、叠墅16#、17#、20#、21#、25#-27#、32#-34#楼认筹及认购协议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合同章（250）</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合同章（210）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2021年2月、3月印刷类结算单用印申请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2021年2月、3月印刷类结算单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关于参训员工（魏超）签订[培训服务协议]的用印申请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培训服务协议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关于确认公司决议效力纠纷答辩状及证据清单的用印申请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确认公司决议效力纠纷答辩状及证据清单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周怡青</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关于常州江南里项目二三期仿古工程招标文件及招标相关资料的盖章申请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01.武进区经济开发区四桥头东北角地块项目二三期仿古分包工程招标文件正文</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04.武进区经济开发区四桥头东北角地块项目二三期仿古工程——投标邀请书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05.常州江南里项目二三期仿古工程控制价封面</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07.常州江南里项目二三期仿古工程招标清单封面08.企业投资项目备案证2019</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09.20210322-丹龙常州请【2021】03号-关于常州江南里项目工程招标方式的请示</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10.资金证明</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11.承  诺</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12.发包初步方案</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13.项目发包方案</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14.关于不设置“霸王条款”的承诺书15.建设工程招标代理授权委托书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16.授权委托书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17.常州市公共资源交易中心武进分中心招标人进场招标信用承诺书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18.工程主要材料、设备推荐品牌承诺书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19.代理合同22.GC083-项目二、三期造价咨询服务合同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公章（65）</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法人章（42）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2021年5月10日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关于常州江南里项目二三期公共部位精装修工程招标文件及招标相关资料的盖章申请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01.武进区经济开发区四桥头东北角地块项目二三期公共部位精 装修工程招标文件正文</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04.武进区经济开发区四桥头东北角地块项目二三期公共部位精装修工程——投标邀请书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05.工程量清单封面</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07.招标控制价封面</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08.企业投资项目备案证2019</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09.20210322-丹龙常州请【2021】03号-关于常州江南里项目工程招标方式的请示</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10.资金证明</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11.承  诺</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12.发包初步方案</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13.项目发包方案</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14.关于不设置“霸王条款”的承诺书15.建设工程招标代理授权委托书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16.授权委托书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17.常州市公共资源交易中心武进分中心招标人进场招标信用承诺书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18.工程主要材料、设备推荐品牌承诺书</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19.代理合同</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22.GC083-项目二、三期造价咨询服务合同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公章（95）</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法人章（65）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5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关于常州供电公司居配项目物资采购计划清单（第三批）用印申请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常州供电公司居配项目物资采购计划清单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周印国</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1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关于工商档案查询的用印申请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登记服务协议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周怡青</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85"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关于一期二标《工程款支付报审表》的用印申请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王效明</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关于一期样板区古建施工工程2021.4月份进度款《工程款支付报审表》的用印申请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一期样板区古建施工工程《工程款支付报审表》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孙源</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关于一期（非样板区）仿古工程2021.4月份进度款《工程款支付报审表》的用印申请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一期（非样板区）仿古工程《工程款支付报审表》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孙源</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2021年5月12日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关于一期公区精装修工程《工程款支付报审表》的用印申请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一期公区精装修工程《工程款支付报审表》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杨波</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77"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关于公司决议撤销纠纷案相关情况核实结果的说明的用印申请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公司决议撤销纠纷案相关情况核实结果的说明</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 关于项目一二三期小区路名编号及门牌编号申请资料的用印申请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附件1.门牌编制审批表附件2.关于月桂江南里一二三期路名编号（红樱路1号）申请附件3.关于月桂江南里一二三期门牌编号的请示报告 附件3.1.项目一二三期楼室编制表（商业及公建）附件3.2.项目一二三期楼室编制表（住宅）附件4.投资项目备案证附件5.地名批复，</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关于二三期燃气申报资料的用印申请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燃气申报资料</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陈政</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2021年5月13日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关于二三幕墙分包单位资质报审表的用印申请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二三幕墙分包单位资质报审表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蔡婷婷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关于一期一标自行车坡道与叠墅区天井做法事宜的工程联系单的用印申请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关于一期一标自行车坡道与叠墅区天井做法事宜的工程联系单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王刚</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徐志刚OA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关于常州江南里新年包装物料结算单的的用印申请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常州江南里新年包装物料结算单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朱颖冰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8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关于员工刘忠良《离职证明》的用印申请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离职证明（刘忠良）</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2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一期商品房实测委托书的用印申请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房产测绘委托书</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一期工程规划验线证明申请表的用印申请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常州市建设工程验线申请表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公章（7）</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二三期常州市建筑工程市场行为专项整治自查表的用印申请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二三期常州市建筑工程市场行为专项整治自查表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刘溢泉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bookmarkStart w:id="66" w:name="_Toc9261"/>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二三期设计变更工程联系单的用印申请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关于二三期调整楼梯间及设备管井内墙构造做法事宜的《工程联系单》、关于结变-2-01、建变-2-01施工事宜的《工程联系单》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刘溢泉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关于原营销管理部员工刘正阳《离职证明》的用印申请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离职证明（刘正阳）</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关于办理江苏省房地产行政许可综合服务账号申请相关材料的用印申请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苏房软件申请单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武进经济开发区四桥头东北角地块项目一期二标合院、叠墅电子智能锁供货及安装合同的用印申请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一期二标合院、叠墅电子智能锁供货及安装合同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公章（30）   </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法人章（24）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顾晔芸</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袁聚宝ERP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关于项目新增共87套商品房买卖合同、备案确认书、告知书、商品房预售资金托管三方协议、前期物业协议及线下合同的用印申请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商品房买卖合同、备案确认书、告知书、商品房预售资金托管三方协议、前期物业协议及线下合同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合同章（3377）法人章（1280）</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关于办理公司3辆公车年检标签相关资料的用印申请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委托书一式三份、营业执照副本复印件一式三份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高钰龙</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关于常州江南里一期样板房（一标段）软装设计与采购工程结算定案表及结算协议书的盖章申请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常州江南里一期样板房（一标段）软装设计与采购工程结算定案表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公章（15）</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关于项目B地块门牌编制审批表的用印申请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门牌编制审批表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邵景健</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常州江南里项目一期营销中心门窗新增防蚊纱窗的合同用印申请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一期营销中心纱窗采购合同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 xml:space="preserve">公章（6）   </w:t>
            </w:r>
            <w:r>
              <w:rPr>
                <w:rFonts w:hint="eastAsia" w:ascii="Arial" w:hAnsi="Arial" w:cs="Arial" w:eastAsiaTheme="minorEastAsia"/>
                <w:color w:val="000000"/>
                <w:sz w:val="18"/>
                <w:szCs w:val="18"/>
                <w:lang w:bidi="ar"/>
              </w:rPr>
              <w:br w:type="textWrapping"/>
            </w:r>
            <w:r>
              <w:rPr>
                <w:rFonts w:hint="eastAsia" w:ascii="Arial" w:hAnsi="Arial" w:cs="Arial" w:eastAsiaTheme="minorEastAsia"/>
                <w:color w:val="000000"/>
                <w:sz w:val="18"/>
                <w:szCs w:val="18"/>
                <w:lang w:bidi="ar"/>
              </w:rPr>
              <w:t>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王玉佩</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关于常州江南里项目一期供电外线施工后恢复事宜用印申请审批单</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关于常州江南里项目一期供电外线施工后恢复事宜的《工程联系单》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周印国</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四五期设计试桩工程竣工验收申请表用印申请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四五期设计试桩工程竣工验收申请表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徐杰</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关于项目10#、16#、17#、20#、21#、26#、33#、34#号楼新增54套商品房《银行按揭贷款合同》的用印申请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公章（360）法人章（228）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2021年5月19日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关于二三期庭院围墙工程联系单的用印申请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结算原则、工程款支付账号说明、营业执照正本复印件、工程联系单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工程章（9）</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关于领取股东知情权案件二审判决书工作联系函的用印申请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工作联系函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70"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关于续签员工宿舍《房屋租赁合同》的用印申请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房屋租赁合同一式三份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合同章（6）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周怡青</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关于签订《委托办理房地产开发资质服务合同》的用印申请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委托办理房地产开发资质服务合同一式四份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2021年5月24日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关于常州江南里会所软装设计与采购工程结算定案表及结算协议书的用印申请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常州江南里会所软装设计与采购工程结算定案表一式四份、常州江南里会所软装设计与采购工程结算协议书一式六份</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公章（16）法人章（6）</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张震宇</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关于2021年度社保缴费基数调整事项审批及2020年应付职工薪酬明细帐的用印申请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2020年应付职工薪酬明细帐用印申请</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丁玲</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关于二季度飞检工作的通知单的用印申请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石钜聪</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2021年5月26日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关于一二期交界部位临时挡土墙事宜工程联系单的用印申请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刘溢泉</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2021年5月27日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二三期总包4月份农民工工资支付报审表的用印申请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一期二标合院2、3、5、7号楼中间户入户处下沉式卫生间回填事宜工程联系单的用印申请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工程联系单</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工程章（3）</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王效明</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2021年5月28日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一期室外景观园林及配套工程关于预付款《工程款支付报审表》的用印申请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预付款《工程款支付报审表》</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公章（1）</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孙源</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关于18#、20#、27#楼共计3套商品房买卖合同、备案确认书、告知书、商品房预售资金托管三方协议及物业服务协议的用印申请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商品房买卖合同、备案确认书、告知书、商品房预售资金托管三方协议及物业服务协议</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合同章（97）法人章（34）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张晓晴</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2021年5月31日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关于项目9#、16#、18#、27#、33#、36#号楼新增8套商品房《银行按揭贷款合同》的用印申请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lang w:bidi="ar"/>
              </w:rPr>
            </w:pPr>
            <w:r>
              <w:rPr>
                <w:rFonts w:hint="eastAsia" w:ascii="Arial" w:hAnsi="Arial" w:cs="Arial" w:eastAsiaTheme="minorEastAsia"/>
                <w:sz w:val="18"/>
                <w:szCs w:val="18"/>
                <w:lang w:bidi="ar"/>
              </w:rPr>
              <w:t>银行按揭贷款合同</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公章（54）法人章34）</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沈娜</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lang w:bidi="ar"/>
              </w:rPr>
              <w:t>2021年5月31日</w:t>
            </w:r>
          </w:p>
        </w:tc>
        <w:tc>
          <w:tcPr>
            <w:tcW w:w="2562"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lang w:bidi="ar"/>
              </w:rPr>
              <w:t>关于《专项附加扣除信息采集表》（王效明、杨波、陈政）的用印申请</w:t>
            </w:r>
          </w:p>
        </w:tc>
        <w:tc>
          <w:tcPr>
            <w:tcW w:w="2609"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sz w:val="18"/>
                <w:szCs w:val="18"/>
              </w:rPr>
            </w:pPr>
            <w:r>
              <w:rPr>
                <w:rFonts w:hint="eastAsia" w:ascii="Arial" w:hAnsi="Arial" w:cs="Arial" w:eastAsiaTheme="minorEastAsia"/>
                <w:sz w:val="18"/>
                <w:szCs w:val="18"/>
                <w:lang w:bidi="ar"/>
              </w:rPr>
              <w:t>专项附加扣除信息表（王效明、杨波、陈政）</w:t>
            </w:r>
          </w:p>
        </w:tc>
        <w:tc>
          <w:tcPr>
            <w:tcW w:w="1090"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bidi="ar"/>
              </w:rPr>
              <w:t>公章（8）</w:t>
            </w:r>
          </w:p>
        </w:tc>
        <w:tc>
          <w:tcPr>
            <w:tcW w:w="641"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bidi="ar"/>
              </w:rPr>
              <w:t>徐婷</w:t>
            </w:r>
          </w:p>
        </w:tc>
        <w:tc>
          <w:tcPr>
            <w:tcW w:w="1144" w:type="dxa"/>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lang w:bidi="ar"/>
              </w:rPr>
              <w:t>袁聚宝OA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31" w:hRule="atLeast"/>
        </w:trPr>
        <w:tc>
          <w:tcPr>
            <w:tcW w:w="1663"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sz w:val="18"/>
                <w:szCs w:val="18"/>
                <w:lang w:bidi="ar"/>
              </w:rPr>
            </w:pPr>
            <w:r>
              <w:rPr>
                <w:rFonts w:hint="eastAsia" w:ascii="Arial" w:hAnsi="Arial" w:cs="Arial" w:eastAsiaTheme="minorEastAsia"/>
                <w:sz w:val="18"/>
                <w:szCs w:val="18"/>
                <w:lang w:bidi="ar"/>
              </w:rPr>
              <w:t>2021年5月31日</w:t>
            </w:r>
          </w:p>
        </w:tc>
        <w:tc>
          <w:tcPr>
            <w:tcW w:w="2562"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sz w:val="18"/>
                <w:szCs w:val="18"/>
                <w:lang w:bidi="ar"/>
              </w:rPr>
            </w:pPr>
            <w:r>
              <w:rPr>
                <w:rFonts w:hint="eastAsia" w:ascii="Arial" w:hAnsi="Arial" w:cs="Arial" w:eastAsiaTheme="minorEastAsia"/>
                <w:sz w:val="18"/>
                <w:szCs w:val="18"/>
                <w:lang w:bidi="ar"/>
              </w:rPr>
              <w:t>关于新冠疫苗预约登机牌的用印申请</w:t>
            </w:r>
          </w:p>
        </w:tc>
        <w:tc>
          <w:tcPr>
            <w:tcW w:w="2609"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sz w:val="18"/>
                <w:szCs w:val="18"/>
                <w:lang w:bidi="ar"/>
              </w:rPr>
            </w:pPr>
            <w:r>
              <w:rPr>
                <w:rFonts w:hint="eastAsia" w:ascii="Arial" w:hAnsi="Arial" w:cs="Arial" w:eastAsiaTheme="minorEastAsia"/>
                <w:sz w:val="18"/>
                <w:szCs w:val="18"/>
                <w:lang w:bidi="ar"/>
              </w:rPr>
              <w:t>新冠疫苗预约登机牌</w:t>
            </w:r>
          </w:p>
        </w:tc>
        <w:tc>
          <w:tcPr>
            <w:tcW w:w="1090"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公章（21）</w:t>
            </w:r>
          </w:p>
        </w:tc>
        <w:tc>
          <w:tcPr>
            <w:tcW w:w="641"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周怡青</w:t>
            </w:r>
          </w:p>
        </w:tc>
        <w:tc>
          <w:tcPr>
            <w:tcW w:w="1144" w:type="dxa"/>
            <w:shd w:val="clear" w:color="auto" w:fill="auto"/>
            <w:tcMar>
              <w:top w:w="15" w:type="dxa"/>
              <w:left w:w="15" w:type="dxa"/>
              <w:right w:w="15" w:type="dxa"/>
            </w:tcMar>
            <w:vAlign w:val="center"/>
          </w:tcPr>
          <w:p>
            <w:pPr>
              <w:widowControl/>
              <w:jc w:val="center"/>
              <w:textAlignment w:val="center"/>
              <w:rPr>
                <w:rFonts w:hint="eastAsia" w:ascii="Arial" w:hAnsi="Arial" w:cs="Arial" w:eastAsiaTheme="minorEastAsia"/>
                <w:color w:val="000000"/>
                <w:sz w:val="18"/>
                <w:szCs w:val="18"/>
                <w:lang w:bidi="ar"/>
              </w:rPr>
            </w:pPr>
            <w:r>
              <w:rPr>
                <w:rFonts w:hint="eastAsia" w:ascii="Arial" w:hAnsi="Arial" w:cs="Arial" w:eastAsiaTheme="minorEastAsia"/>
                <w:color w:val="000000"/>
                <w:sz w:val="18"/>
                <w:szCs w:val="18"/>
                <w:lang w:bidi="ar"/>
              </w:rPr>
              <w:t>袁聚宝OA</w:t>
            </w:r>
          </w:p>
        </w:tc>
      </w:tr>
    </w:tbl>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bookmarkStart w:id="67" w:name="_Toc16196"/>
      <w:r>
        <w:rPr>
          <w:rFonts w:ascii="Arial" w:hAnsi="Arial" w:cs="Arial"/>
          <w:color w:val="000000"/>
          <w:sz w:val="24"/>
          <w:szCs w:val="24"/>
        </w:rPr>
        <w:t>7合同签订情况</w:t>
      </w:r>
      <w:bookmarkEnd w:id="66"/>
      <w:bookmarkEnd w:id="67"/>
    </w:p>
    <w:p>
      <w:pPr>
        <w:spacing w:line="480" w:lineRule="auto"/>
        <w:ind w:firstLine="420" w:firstLineChars="200"/>
        <w:rPr>
          <w:rFonts w:ascii="Arial" w:hAnsi="Arial" w:cs="Arial"/>
          <w:bCs/>
          <w:kern w:val="44"/>
          <w:szCs w:val="21"/>
        </w:rPr>
      </w:pPr>
      <w:r>
        <w:rPr>
          <w:rFonts w:hint="eastAsia" w:ascii="Arial" w:hAnsi="Arial" w:cs="Arial"/>
          <w:bCs/>
          <w:kern w:val="44"/>
          <w:szCs w:val="21"/>
        </w:rPr>
        <w:t>2021年5月项目公司共签订了6份合同，其中2份行政类合同，3份施工类合同，1份租赁类合同，合同具体情况如下表：</w:t>
      </w:r>
    </w:p>
    <w:p>
      <w:pPr>
        <w:spacing w:before="240" w:beforeLines="100"/>
        <w:jc w:val="center"/>
        <w:rPr>
          <w:rFonts w:ascii="Arial" w:hAnsi="Arial" w:cs="Arial"/>
          <w:b/>
          <w:color w:val="000000"/>
          <w:sz w:val="24"/>
        </w:rPr>
      </w:pPr>
      <w:r>
        <w:rPr>
          <w:rFonts w:ascii="Arial" w:hAnsi="Arial" w:cs="Arial"/>
          <w:b/>
          <w:color w:val="000000"/>
          <w:sz w:val="24"/>
        </w:rPr>
        <w:t>2021年</w:t>
      </w:r>
      <w:r>
        <w:rPr>
          <w:rFonts w:hint="eastAsia" w:ascii="Arial" w:hAnsi="Arial" w:cs="Arial"/>
          <w:b/>
          <w:color w:val="000000"/>
          <w:sz w:val="24"/>
        </w:rPr>
        <w:t>5</w:t>
      </w:r>
      <w:r>
        <w:rPr>
          <w:rFonts w:ascii="Arial" w:hAnsi="Arial" w:cs="Arial"/>
          <w:b/>
          <w:color w:val="000000"/>
          <w:sz w:val="24"/>
        </w:rPr>
        <w:t>月合同签订情况表</w:t>
      </w:r>
    </w:p>
    <w:tbl>
      <w:tblPr>
        <w:tblStyle w:val="13"/>
        <w:tblW w:w="9321" w:type="dxa"/>
        <w:tblInd w:w="0" w:type="dxa"/>
        <w:tblLayout w:type="fixed"/>
        <w:tblCellMar>
          <w:top w:w="0" w:type="dxa"/>
          <w:left w:w="0" w:type="dxa"/>
          <w:bottom w:w="0" w:type="dxa"/>
          <w:right w:w="0" w:type="dxa"/>
        </w:tblCellMar>
      </w:tblPr>
      <w:tblGrid>
        <w:gridCol w:w="1696"/>
        <w:gridCol w:w="1860"/>
        <w:gridCol w:w="1729"/>
        <w:gridCol w:w="2667"/>
        <w:gridCol w:w="1369"/>
      </w:tblGrid>
      <w:tr>
        <w:tblPrEx>
          <w:tblCellMar>
            <w:top w:w="0" w:type="dxa"/>
            <w:left w:w="0" w:type="dxa"/>
            <w:bottom w:w="0" w:type="dxa"/>
            <w:right w:w="0" w:type="dxa"/>
          </w:tblCellMar>
        </w:tblPrEx>
        <w:trPr>
          <w:cantSplit/>
          <w:trHeight w:val="450" w:hRule="atLeast"/>
          <w:tblHeader/>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签约日期</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对方单位</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合同文件名称</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合同内容</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合同金额（万元）</w:t>
            </w:r>
          </w:p>
        </w:tc>
      </w:tr>
      <w:tr>
        <w:tblPrEx>
          <w:tblCellMar>
            <w:top w:w="0" w:type="dxa"/>
            <w:left w:w="0" w:type="dxa"/>
            <w:bottom w:w="0" w:type="dxa"/>
            <w:right w:w="0" w:type="dxa"/>
          </w:tblCellMar>
        </w:tblPrEx>
        <w:trPr>
          <w:cantSplit/>
          <w:trHeight w:val="83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2021年5月8日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魏超</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员工培训服务协议</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营销管理部员工魏超资源参加绿城管理2021年“青干班”培训，培训费用3000元，差旅费据实报销</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0.3</w:t>
            </w:r>
          </w:p>
        </w:tc>
      </w:tr>
      <w:tr>
        <w:tblPrEx>
          <w:tblCellMar>
            <w:top w:w="0" w:type="dxa"/>
            <w:left w:w="0" w:type="dxa"/>
            <w:bottom w:w="0" w:type="dxa"/>
            <w:right w:w="0" w:type="dxa"/>
          </w:tblCellMar>
        </w:tblPrEx>
        <w:trPr>
          <w:cantSplit/>
          <w:trHeight w:val="83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2021年5月17日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常州市武进房地产测绘有限公司、常州市武进区不动产测绘信息有限公司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房产测绘委托书</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常州市武进房地产测绘有限公司进行房产测绘业务的受理、房产测绘数据的采集、计算、成图等；甲方委托常州市武进区不动产测绘信息有限公司进行建立房产测绘管理系统、房产测绘平台的日常维护、丘、幢号的编制和分配、测绘成果的审核并维护等。</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w:t>
            </w:r>
          </w:p>
        </w:tc>
      </w:tr>
      <w:tr>
        <w:tblPrEx>
          <w:tblCellMar>
            <w:top w:w="0" w:type="dxa"/>
            <w:left w:w="0" w:type="dxa"/>
            <w:bottom w:w="0" w:type="dxa"/>
            <w:right w:w="0" w:type="dxa"/>
          </w:tblCellMar>
        </w:tblPrEx>
        <w:trPr>
          <w:cantSplit/>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2021年5月18日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杭州中润节能环保科技有限公司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800080"/>
                <w:sz w:val="18"/>
                <w:szCs w:val="18"/>
                <w:u w:val="single"/>
              </w:rPr>
            </w:pPr>
            <w:r>
              <w:rPr>
                <w:rFonts w:hint="eastAsia" w:ascii="Arial" w:hAnsi="Arial" w:cs="Arial" w:eastAsiaTheme="minorEastAsia"/>
                <w:color w:val="000000"/>
                <w:sz w:val="18"/>
                <w:szCs w:val="18"/>
              </w:rPr>
              <w:t>一期二标合院、叠墅电子智能锁供货及安装合同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乙方负责完成甲方工程所需的电子智能锁的供货、运输、 安装、调试、验收、检测、成品保护及售后服务等一切相关工作</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29.80587</w:t>
            </w:r>
          </w:p>
        </w:tc>
      </w:tr>
      <w:tr>
        <w:tblPrEx>
          <w:tblCellMar>
            <w:top w:w="0" w:type="dxa"/>
            <w:left w:w="0" w:type="dxa"/>
            <w:bottom w:w="0" w:type="dxa"/>
            <w:right w:w="0" w:type="dxa"/>
          </w:tblCellMar>
        </w:tblPrEx>
        <w:trPr>
          <w:cantSplit/>
          <w:trHeight w:val="675"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2021年5月19日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芜湖华兴节能门窗股份有限公司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一期营销中心纱窗采购合同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项目一期营销中心门窗纱窗采购及安装</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3.8397</w:t>
            </w:r>
          </w:p>
        </w:tc>
      </w:tr>
      <w:tr>
        <w:tblPrEx>
          <w:tblCellMar>
            <w:top w:w="0" w:type="dxa"/>
            <w:left w:w="0" w:type="dxa"/>
            <w:bottom w:w="0" w:type="dxa"/>
            <w:right w:w="0" w:type="dxa"/>
          </w:tblCellMar>
        </w:tblPrEx>
        <w:trPr>
          <w:cantSplit/>
          <w:trHeight w:val="90"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2021年5月24日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吕和娣、毛洪良</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房屋租赁合同（续签）</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甲方租用乙方位于澜月湾中心5幢2710室为员工宿舍，租房期限为2021.7.1-2022.6.30，2100元/月</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2.52</w:t>
            </w:r>
          </w:p>
        </w:tc>
      </w:tr>
      <w:tr>
        <w:tblPrEx>
          <w:tblCellMar>
            <w:top w:w="0" w:type="dxa"/>
            <w:left w:w="0" w:type="dxa"/>
            <w:bottom w:w="0" w:type="dxa"/>
            <w:right w:w="0" w:type="dxa"/>
          </w:tblCellMar>
        </w:tblPrEx>
        <w:trPr>
          <w:cantSplit/>
          <w:trHeight w:val="824" w:hRule="atLeast"/>
        </w:trPr>
        <w:tc>
          <w:tcPr>
            <w:tcW w:w="169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2021年5月24日</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南京文越企业管理信息服务有限公司</w:t>
            </w:r>
          </w:p>
        </w:tc>
        <w:tc>
          <w:tcPr>
            <w:tcW w:w="1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委托办理房地产开发资质服务合同</w:t>
            </w:r>
          </w:p>
        </w:tc>
        <w:tc>
          <w:tcPr>
            <w:tcW w:w="26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甲方委托乙方提供《江苏省住房与房地产电子政务平台房地产行政许可综合服务系统》开发企业资质申报代维服务事宜</w:t>
            </w:r>
          </w:p>
        </w:tc>
        <w:tc>
          <w:tcPr>
            <w:tcW w:w="136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hint="eastAsia" w:ascii="Arial" w:hAnsi="Arial" w:cs="Arial" w:eastAsiaTheme="minorEastAsia"/>
                <w:color w:val="000000"/>
                <w:sz w:val="18"/>
                <w:szCs w:val="18"/>
              </w:rPr>
              <w:t>0.792</w:t>
            </w:r>
          </w:p>
        </w:tc>
      </w:tr>
    </w:tbl>
    <w:p>
      <w:pPr>
        <w:spacing w:line="480" w:lineRule="auto"/>
        <w:ind w:firstLine="420" w:firstLineChars="200"/>
        <w:rPr>
          <w:rFonts w:ascii="Arial" w:hAnsi="Arial" w:cs="Arial"/>
          <w:bCs/>
          <w:kern w:val="44"/>
          <w:szCs w:val="21"/>
        </w:rPr>
      </w:pPr>
    </w:p>
    <w:p>
      <w:pPr>
        <w:pStyle w:val="2"/>
        <w:keepNext w:val="0"/>
        <w:keepLines w:val="0"/>
        <w:spacing w:before="300" w:after="300" w:line="360" w:lineRule="exact"/>
        <w:jc w:val="left"/>
        <w:rPr>
          <w:rFonts w:ascii="Arial" w:hAnsi="Arial" w:cs="Arial"/>
          <w:color w:val="000000" w:themeColor="text1"/>
          <w:sz w:val="24"/>
          <w:szCs w:val="24"/>
          <w14:textFill>
            <w14:solidFill>
              <w14:schemeClr w14:val="tx1"/>
            </w14:solidFill>
          </w14:textFill>
        </w:rPr>
      </w:pPr>
      <w:bookmarkStart w:id="68" w:name="_Toc10385"/>
      <w:bookmarkStart w:id="69" w:name="_Toc15009"/>
      <w:r>
        <w:rPr>
          <w:rFonts w:ascii="Arial" w:hAnsi="Arial" w:cs="Arial"/>
          <w:color w:val="000000" w:themeColor="text1"/>
          <w:sz w:val="24"/>
          <w:szCs w:val="24"/>
          <w14:textFill>
            <w14:solidFill>
              <w14:schemeClr w14:val="tx1"/>
            </w14:solidFill>
          </w14:textFill>
        </w:rPr>
        <w:t>8资金结算</w:t>
      </w:r>
      <w:bookmarkEnd w:id="68"/>
      <w:bookmarkEnd w:id="69"/>
    </w:p>
    <w:p>
      <w:pPr>
        <w:pStyle w:val="3"/>
        <w:keepNext w:val="0"/>
        <w:keepLines w:val="0"/>
        <w:tabs>
          <w:tab w:val="center" w:pos="4649"/>
        </w:tabs>
        <w:spacing w:before="300" w:after="300" w:line="360" w:lineRule="exact"/>
        <w:jc w:val="left"/>
        <w:rPr>
          <w:rFonts w:eastAsia="宋体" w:cs="Arial"/>
        </w:rPr>
      </w:pPr>
      <w:bookmarkStart w:id="70" w:name="_Toc29855"/>
      <w:bookmarkStart w:id="71" w:name="_Toc25071"/>
      <w:r>
        <w:rPr>
          <w:rFonts w:eastAsia="宋体" w:cs="Arial"/>
          <w:sz w:val="24"/>
        </w:rPr>
        <w:t>8.1</w:t>
      </w:r>
      <w:r>
        <w:rPr>
          <w:rFonts w:cs="Arial" w:eastAsiaTheme="minorEastAsia"/>
          <w:kern w:val="44"/>
          <w:sz w:val="24"/>
          <w:szCs w:val="24"/>
        </w:rPr>
        <w:t>丹龙置业常州有限公司各资金账户流量情况</w:t>
      </w:r>
      <w:bookmarkEnd w:id="70"/>
      <w:bookmarkEnd w:id="71"/>
    </w:p>
    <w:p>
      <w:pPr>
        <w:spacing w:line="480" w:lineRule="auto"/>
        <w:ind w:firstLine="420" w:firstLineChars="200"/>
        <w:rPr>
          <w:rFonts w:ascii="Arial" w:hAnsi="Arial" w:cs="Arial"/>
          <w:bCs/>
          <w:kern w:val="44"/>
          <w:szCs w:val="21"/>
        </w:rPr>
      </w:pPr>
      <w:r>
        <w:rPr>
          <w:rFonts w:hint="eastAsia" w:ascii="Arial" w:hAnsi="Arial" w:cs="Arial"/>
          <w:bCs/>
          <w:kern w:val="44"/>
          <w:szCs w:val="21"/>
        </w:rPr>
        <w:t>2021</w:t>
      </w:r>
      <w:r>
        <w:rPr>
          <w:rFonts w:ascii="Arial" w:hAnsi="Arial" w:cs="Arial"/>
          <w:bCs/>
          <w:kern w:val="44"/>
          <w:szCs w:val="21"/>
        </w:rPr>
        <w:t>年</w:t>
      </w:r>
      <w:r>
        <w:rPr>
          <w:rFonts w:hint="eastAsia" w:ascii="Arial" w:hAnsi="Arial" w:cs="Arial"/>
          <w:bCs/>
          <w:kern w:val="44"/>
          <w:szCs w:val="21"/>
        </w:rPr>
        <w:t>5</w:t>
      </w:r>
      <w:r>
        <w:rPr>
          <w:rFonts w:ascii="Arial" w:hAnsi="Arial" w:cs="Arial"/>
          <w:bCs/>
          <w:kern w:val="44"/>
          <w:szCs w:val="21"/>
        </w:rPr>
        <w:t>月项目公司资金流出合计</w:t>
      </w:r>
      <w:r>
        <w:rPr>
          <w:rFonts w:hint="eastAsia" w:ascii="Arial" w:hAnsi="Arial" w:cs="Arial"/>
          <w:bCs/>
          <w:kern w:val="44"/>
          <w:szCs w:val="21"/>
        </w:rPr>
        <w:t>120,341,920.87</w:t>
      </w:r>
      <w:r>
        <w:rPr>
          <w:rFonts w:ascii="Arial" w:hAnsi="Arial" w:cs="Arial"/>
          <w:bCs/>
          <w:kern w:val="44"/>
          <w:szCs w:val="21"/>
        </w:rPr>
        <w:t>元，其中</w:t>
      </w:r>
      <w:r>
        <w:rPr>
          <w:rFonts w:hint="eastAsia" w:ascii="Arial" w:hAnsi="Arial" w:cs="Arial"/>
          <w:bCs/>
          <w:kern w:val="44"/>
          <w:szCs w:val="21"/>
        </w:rPr>
        <w:t>120,339,606.36</w:t>
      </w:r>
      <w:r>
        <w:rPr>
          <w:rFonts w:ascii="Arial" w:hAnsi="Arial" w:cs="Arial"/>
          <w:bCs/>
          <w:kern w:val="44"/>
          <w:szCs w:val="21"/>
        </w:rPr>
        <w:t>元发生在中国银行常州武进支行的基本户中</w:t>
      </w:r>
      <w:r>
        <w:rPr>
          <w:rFonts w:hint="eastAsia" w:ascii="Arial" w:hAnsi="Arial" w:cs="Arial"/>
          <w:bCs/>
          <w:kern w:val="44"/>
          <w:szCs w:val="21"/>
        </w:rPr>
        <w:t>，2.00</w:t>
      </w:r>
      <w:r>
        <w:rPr>
          <w:rFonts w:ascii="Arial" w:hAnsi="Arial" w:cs="Arial"/>
          <w:bCs/>
          <w:kern w:val="44"/>
          <w:szCs w:val="21"/>
        </w:rPr>
        <w:t>发生在</w:t>
      </w:r>
      <w:r>
        <w:rPr>
          <w:rFonts w:hint="eastAsia" w:ascii="Arial" w:hAnsi="Arial" w:cs="Arial"/>
          <w:bCs/>
          <w:kern w:val="44"/>
          <w:szCs w:val="21"/>
        </w:rPr>
        <w:t>南京</w:t>
      </w:r>
      <w:r>
        <w:rPr>
          <w:rFonts w:ascii="Arial" w:hAnsi="Arial" w:cs="Arial"/>
          <w:bCs/>
          <w:kern w:val="44"/>
          <w:szCs w:val="21"/>
        </w:rPr>
        <w:t>银行一般户中</w:t>
      </w:r>
      <w:r>
        <w:rPr>
          <w:rFonts w:hint="eastAsia" w:ascii="Arial" w:hAnsi="Arial" w:cs="Arial"/>
          <w:bCs/>
          <w:kern w:val="44"/>
          <w:szCs w:val="21"/>
        </w:rPr>
        <w:t>，2,312.51元发生在华夏银行一般户中</w:t>
      </w:r>
      <w:r>
        <w:rPr>
          <w:rFonts w:ascii="Arial" w:hAnsi="Arial" w:cs="Arial"/>
          <w:bCs/>
          <w:kern w:val="44"/>
          <w:szCs w:val="21"/>
        </w:rPr>
        <w:t>；截至2021年</w:t>
      </w:r>
      <w:r>
        <w:rPr>
          <w:rFonts w:hint="eastAsia" w:ascii="Arial" w:hAnsi="Arial" w:cs="Arial"/>
          <w:bCs/>
          <w:kern w:val="44"/>
          <w:szCs w:val="21"/>
        </w:rPr>
        <w:t>5</w:t>
      </w:r>
      <w:r>
        <w:rPr>
          <w:rFonts w:ascii="Arial" w:hAnsi="Arial" w:cs="Arial"/>
          <w:bCs/>
          <w:kern w:val="44"/>
          <w:szCs w:val="21"/>
        </w:rPr>
        <w:t>月</w:t>
      </w:r>
      <w:r>
        <w:rPr>
          <w:rFonts w:hint="eastAsia" w:ascii="Arial" w:hAnsi="Arial" w:cs="Arial"/>
          <w:bCs/>
          <w:kern w:val="44"/>
          <w:szCs w:val="21"/>
        </w:rPr>
        <w:t>31</w:t>
      </w:r>
      <w:r>
        <w:rPr>
          <w:rFonts w:ascii="Arial" w:hAnsi="Arial" w:cs="Arial"/>
          <w:bCs/>
          <w:kern w:val="44"/>
          <w:szCs w:val="21"/>
        </w:rPr>
        <w:t xml:space="preserve">日，项目公司各资金账户余额情况见下表。各账户资金流量情况详见银行对账单（附件二）。    </w:t>
      </w:r>
    </w:p>
    <w:p>
      <w:pPr>
        <w:spacing w:before="240" w:beforeLines="100"/>
        <w:jc w:val="center"/>
        <w:rPr>
          <w:rFonts w:ascii="Arial" w:hAnsi="Arial" w:cs="Arial"/>
          <w:b/>
          <w:color w:val="000000"/>
          <w:sz w:val="24"/>
        </w:rPr>
      </w:pPr>
      <w:bookmarkStart w:id="72" w:name="_Toc5956"/>
      <w:bookmarkStart w:id="73" w:name="_Toc30582"/>
      <w:r>
        <w:rPr>
          <w:rFonts w:ascii="Arial" w:hAnsi="Arial" w:cs="Arial"/>
          <w:b/>
          <w:color w:val="000000"/>
          <w:sz w:val="24"/>
        </w:rPr>
        <w:t>截至2021年</w:t>
      </w:r>
      <w:r>
        <w:rPr>
          <w:rFonts w:hint="eastAsia" w:ascii="Arial" w:hAnsi="Arial" w:cs="Arial"/>
          <w:b/>
          <w:color w:val="000000"/>
          <w:sz w:val="24"/>
        </w:rPr>
        <w:t>5</w:t>
      </w:r>
      <w:r>
        <w:rPr>
          <w:rFonts w:ascii="Arial" w:hAnsi="Arial" w:cs="Arial"/>
          <w:b/>
          <w:color w:val="000000"/>
          <w:sz w:val="24"/>
        </w:rPr>
        <w:t>月</w:t>
      </w:r>
      <w:r>
        <w:rPr>
          <w:rFonts w:hint="eastAsia" w:ascii="Arial" w:hAnsi="Arial" w:cs="Arial"/>
          <w:b/>
          <w:color w:val="000000"/>
          <w:sz w:val="24"/>
        </w:rPr>
        <w:t>31</w:t>
      </w:r>
      <w:r>
        <w:rPr>
          <w:rFonts w:ascii="Arial" w:hAnsi="Arial" w:cs="Arial"/>
          <w:b/>
          <w:color w:val="000000"/>
          <w:sz w:val="24"/>
        </w:rPr>
        <w:t>日项目公司各资金账户余额情况表</w:t>
      </w:r>
      <w:bookmarkEnd w:id="72"/>
      <w:bookmarkEnd w:id="73"/>
    </w:p>
    <w:tbl>
      <w:tblPr>
        <w:tblStyle w:val="13"/>
        <w:tblW w:w="9020" w:type="dxa"/>
        <w:tblInd w:w="0" w:type="dxa"/>
        <w:tblLayout w:type="fixed"/>
        <w:tblCellMar>
          <w:top w:w="0" w:type="dxa"/>
          <w:left w:w="0" w:type="dxa"/>
          <w:bottom w:w="0" w:type="dxa"/>
          <w:right w:w="0" w:type="dxa"/>
        </w:tblCellMar>
      </w:tblPr>
      <w:tblGrid>
        <w:gridCol w:w="3023"/>
        <w:gridCol w:w="938"/>
        <w:gridCol w:w="2334"/>
        <w:gridCol w:w="1638"/>
        <w:gridCol w:w="1087"/>
      </w:tblGrid>
      <w:tr>
        <w:tblPrEx>
          <w:tblCellMar>
            <w:top w:w="0" w:type="dxa"/>
            <w:left w:w="0" w:type="dxa"/>
            <w:bottom w:w="0" w:type="dxa"/>
            <w:right w:w="0" w:type="dxa"/>
          </w:tblCellMar>
        </w:tblPrEx>
        <w:trPr>
          <w:trHeight w:val="342" w:hRule="atLeast"/>
          <w:tblHeader/>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账户类型</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余额（元）</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rPr>
              <w:t>备注</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中国银行常州武进支行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478059541640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kern w:val="0"/>
                <w:sz w:val="18"/>
                <w:szCs w:val="18"/>
              </w:rPr>
              <w:t>144,732,013.62</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中国建设银行常州丰乐支行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32050162675900001066</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0.11</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江苏银行常州天宁支行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80700188000112200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江南农村商业银行湖塘支行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1034800000007191</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3,960,695.30</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南京银行常州分行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1001240000001080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42,698,441.01</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中国民生银行常州武进支行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631342640</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 xml:space="preserve"> -</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342"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华夏银行武进支行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1315000000512195</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145,039,150.76</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ascii="Arial" w:hAnsi="Arial" w:cs="Arial"/>
                <w:color w:val="000000"/>
                <w:kern w:val="0"/>
                <w:sz w:val="18"/>
                <w:szCs w:val="18"/>
              </w:rPr>
              <w:t>监管账户</w:t>
            </w:r>
          </w:p>
        </w:tc>
      </w:tr>
      <w:tr>
        <w:tblPrEx>
          <w:tblCellMar>
            <w:top w:w="0" w:type="dxa"/>
            <w:left w:w="0" w:type="dxa"/>
            <w:bottom w:w="0" w:type="dxa"/>
            <w:right w:w="0" w:type="dxa"/>
          </w:tblCellMar>
        </w:tblPrEx>
        <w:trPr>
          <w:trHeight w:val="483" w:hRule="atLeast"/>
        </w:trPr>
        <w:tc>
          <w:tcPr>
            <w:tcW w:w="3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中国邮政储蓄银行常州市武宜路支行</w:t>
            </w:r>
          </w:p>
        </w:tc>
        <w:tc>
          <w:tcPr>
            <w:tcW w:w="9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23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932005010062260671</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8"/>
                <w:szCs w:val="18"/>
              </w:rPr>
            </w:pPr>
            <w:r>
              <w:rPr>
                <w:rFonts w:hint="eastAsia" w:ascii="Arial" w:hAnsi="Arial" w:cs="Arial"/>
                <w:color w:val="000000"/>
                <w:kern w:val="0"/>
                <w:sz w:val="18"/>
                <w:szCs w:val="18"/>
              </w:rPr>
              <w:t>89,736,111.75</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rPr>
              <w:t>预售资金监管账户</w:t>
            </w:r>
          </w:p>
        </w:tc>
      </w:tr>
      <w:tr>
        <w:tblPrEx>
          <w:tblCellMar>
            <w:top w:w="0" w:type="dxa"/>
            <w:left w:w="0" w:type="dxa"/>
            <w:bottom w:w="0" w:type="dxa"/>
            <w:right w:w="0" w:type="dxa"/>
          </w:tblCellMar>
        </w:tblPrEx>
        <w:trPr>
          <w:trHeight w:val="444" w:hRule="atLeast"/>
        </w:trPr>
        <w:tc>
          <w:tcPr>
            <w:tcW w:w="62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合计</w:t>
            </w:r>
          </w:p>
        </w:tc>
        <w:tc>
          <w:tcPr>
            <w:tcW w:w="163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Arial" w:hAnsi="Arial" w:cs="Arial"/>
                <w:b/>
                <w:bCs/>
                <w:color w:val="000000"/>
                <w:kern w:val="0"/>
                <w:sz w:val="18"/>
                <w:szCs w:val="18"/>
              </w:rPr>
              <w:t>426,166,412.55</w:t>
            </w:r>
          </w:p>
        </w:tc>
        <w:tc>
          <w:tcPr>
            <w:tcW w:w="10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bCs/>
                <w:color w:val="000000"/>
                <w:sz w:val="18"/>
                <w:szCs w:val="18"/>
              </w:rPr>
            </w:pPr>
          </w:p>
        </w:tc>
      </w:tr>
    </w:tbl>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cs="Arial" w:eastAsiaTheme="minorEastAsia"/>
          <w:kern w:val="44"/>
          <w:sz w:val="24"/>
          <w:szCs w:val="24"/>
        </w:rPr>
      </w:pPr>
      <w:bookmarkStart w:id="74" w:name="_Toc22980"/>
      <w:r>
        <w:rPr>
          <w:rFonts w:eastAsia="宋体" w:cs="Arial"/>
          <w:sz w:val="24"/>
        </w:rPr>
        <w:t>8.2</w:t>
      </w:r>
      <w:r>
        <w:rPr>
          <w:rFonts w:cs="Arial" w:eastAsiaTheme="minorEastAsia"/>
          <w:kern w:val="44"/>
          <w:sz w:val="24"/>
          <w:szCs w:val="24"/>
        </w:rPr>
        <w:t>预算使用情况说明</w:t>
      </w:r>
      <w:bookmarkEnd w:id="74"/>
    </w:p>
    <w:p>
      <w:pPr>
        <w:spacing w:line="480" w:lineRule="auto"/>
        <w:rPr>
          <w:rFonts w:ascii="Arial" w:hAnsi="Arial" w:cs="Arial"/>
          <w:bCs/>
          <w:kern w:val="44"/>
          <w:szCs w:val="21"/>
        </w:rPr>
      </w:pPr>
      <w:r>
        <w:rPr>
          <w:rFonts w:ascii="Arial" w:hAnsi="Arial" w:cs="Arial" w:eastAsiaTheme="minorEastAsia"/>
          <w:kern w:val="44"/>
          <w:sz w:val="24"/>
        </w:rPr>
        <w:t xml:space="preserve">   </w:t>
      </w:r>
      <w:r>
        <w:rPr>
          <w:rFonts w:ascii="Arial" w:hAnsi="Arial" w:cs="Arial"/>
          <w:bCs/>
          <w:kern w:val="44"/>
          <w:szCs w:val="21"/>
        </w:rPr>
        <w:t>项目公司2021年</w:t>
      </w:r>
      <w:r>
        <w:rPr>
          <w:rFonts w:hint="eastAsia" w:ascii="Arial" w:hAnsi="Arial" w:cs="Arial"/>
          <w:bCs/>
          <w:kern w:val="44"/>
          <w:szCs w:val="21"/>
        </w:rPr>
        <w:t>5</w:t>
      </w:r>
      <w:r>
        <w:rPr>
          <w:rFonts w:ascii="Arial" w:hAnsi="Arial" w:cs="Arial"/>
          <w:bCs/>
          <w:kern w:val="44"/>
          <w:szCs w:val="21"/>
        </w:rPr>
        <w:t>月共计支出</w:t>
      </w:r>
      <w:r>
        <w:rPr>
          <w:rFonts w:hint="eastAsia" w:ascii="Arial" w:hAnsi="Arial" w:cs="Arial"/>
          <w:bCs/>
          <w:kern w:val="44"/>
          <w:szCs w:val="21"/>
        </w:rPr>
        <w:t>120,341,920.87</w:t>
      </w:r>
      <w:r>
        <w:rPr>
          <w:rFonts w:ascii="Arial" w:hAnsi="Arial" w:cs="Arial"/>
          <w:bCs/>
          <w:kern w:val="44"/>
          <w:szCs w:val="21"/>
        </w:rPr>
        <w:t>元，</w:t>
      </w:r>
      <w:r>
        <w:rPr>
          <w:rFonts w:hint="eastAsia" w:ascii="Arial" w:hAnsi="Arial" w:cs="Arial"/>
          <w:bCs/>
          <w:kern w:val="44"/>
          <w:szCs w:val="21"/>
        </w:rPr>
        <w:t>本月支出费用均在月度资金计划内，未超出预算金额</w:t>
      </w:r>
      <w:r>
        <w:rPr>
          <w:rFonts w:ascii="Arial" w:hAnsi="Arial" w:cs="Arial"/>
          <w:bCs/>
          <w:kern w:val="44"/>
          <w:szCs w:val="21"/>
        </w:rPr>
        <w:t>。后续我司审核支付时，严格关注资金使用情况，发现有超出现象或者已经超出资金预算的及时向贵司进行汇报（详见附件三）。</w:t>
      </w:r>
    </w:p>
    <w:bookmarkEnd w:id="46"/>
    <w:bookmarkEnd w:id="47"/>
    <w:bookmarkEnd w:id="48"/>
    <w:bookmarkEnd w:id="49"/>
    <w:bookmarkEnd w:id="50"/>
    <w:p>
      <w:pPr>
        <w:pStyle w:val="3"/>
        <w:keepNext w:val="0"/>
        <w:keepLines w:val="0"/>
        <w:spacing w:before="300" w:after="300" w:line="360" w:lineRule="exact"/>
        <w:jc w:val="left"/>
        <w:rPr>
          <w:rFonts w:eastAsia="宋体" w:cs="Arial"/>
          <w:sz w:val="24"/>
        </w:rPr>
      </w:pPr>
      <w:bookmarkStart w:id="75" w:name="_Toc19007753"/>
      <w:bookmarkStart w:id="76" w:name="_Toc29874"/>
      <w:bookmarkStart w:id="77" w:name="_Toc535580031"/>
      <w:bookmarkStart w:id="78" w:name="_Toc535570758"/>
      <w:bookmarkStart w:id="79" w:name="_Toc535580099"/>
      <w:bookmarkStart w:id="80" w:name="_Toc535508644"/>
      <w:bookmarkStart w:id="81" w:name="_Toc5700907"/>
      <w:bookmarkStart w:id="82" w:name="_Toc411430359"/>
      <w:bookmarkStart w:id="83" w:name="_Toc532281663"/>
      <w:bookmarkStart w:id="84" w:name="_Toc535580029"/>
      <w:bookmarkStart w:id="85" w:name="_Toc535508642"/>
      <w:bookmarkStart w:id="86" w:name="_Toc535580097"/>
      <w:bookmarkStart w:id="87" w:name="_Toc535570756"/>
      <w:bookmarkStart w:id="88" w:name="_Toc373309851"/>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bookmarkStart w:id="89" w:name="_Toc15160"/>
      <w:r>
        <w:rPr>
          <w:rFonts w:eastAsia="宋体" w:cs="Arial"/>
          <w:sz w:val="24"/>
        </w:rPr>
        <w:t>8.3</w:t>
      </w:r>
      <w:r>
        <w:rPr>
          <w:rFonts w:cs="Arial" w:eastAsiaTheme="minorEastAsia"/>
          <w:kern w:val="44"/>
          <w:sz w:val="24"/>
          <w:szCs w:val="24"/>
        </w:rPr>
        <w:t>收取各类保证金余额</w:t>
      </w:r>
      <w:r>
        <w:rPr>
          <w:rFonts w:eastAsia="宋体" w:cs="Arial"/>
          <w:sz w:val="24"/>
        </w:rPr>
        <w:t>情况</w:t>
      </w:r>
      <w:bookmarkEnd w:id="75"/>
      <w:bookmarkEnd w:id="76"/>
      <w:bookmarkEnd w:id="89"/>
    </w:p>
    <w:bookmarkEnd w:id="77"/>
    <w:bookmarkEnd w:id="78"/>
    <w:bookmarkEnd w:id="79"/>
    <w:bookmarkEnd w:id="80"/>
    <w:p>
      <w:pPr>
        <w:spacing w:line="480" w:lineRule="auto"/>
        <w:ind w:firstLine="420" w:firstLineChars="200"/>
        <w:rPr>
          <w:rFonts w:ascii="Arial" w:hAnsi="Arial" w:cs="Arial" w:eastAsiaTheme="minorEastAsia"/>
          <w:color w:val="000000"/>
          <w:szCs w:val="21"/>
        </w:rPr>
      </w:pPr>
      <w:r>
        <w:rPr>
          <w:rFonts w:ascii="Arial" w:hAnsi="Arial" w:cs="Arial" w:eastAsiaTheme="minorEastAsia"/>
          <w:color w:val="000000"/>
          <w:szCs w:val="21"/>
        </w:rPr>
        <w:t>项目公司</w:t>
      </w:r>
      <w:r>
        <w:rPr>
          <w:rFonts w:hint="eastAsia" w:ascii="Arial" w:hAnsi="Arial" w:cs="Arial" w:eastAsiaTheme="minorEastAsia"/>
          <w:color w:val="000000"/>
          <w:szCs w:val="21"/>
        </w:rPr>
        <w:t>2021年5月19日收到上海度量衡履约保证金184,274.10元、2021年5月28日收到杭州联铂电子科技有限公司履约保证金53,369.80元、2021年5月29日收到广东坚朗五金制品股份有限公司保证金19,920.00元，</w:t>
      </w:r>
      <w:r>
        <w:rPr>
          <w:rFonts w:ascii="Arial" w:hAnsi="Arial" w:cs="Arial" w:eastAsiaTheme="minorEastAsia"/>
          <w:color w:val="000000"/>
          <w:szCs w:val="21"/>
        </w:rPr>
        <w:t>该资金具体情况如下表：</w:t>
      </w:r>
    </w:p>
    <w:p>
      <w:pPr>
        <w:spacing w:before="240" w:beforeLines="100"/>
        <w:jc w:val="center"/>
        <w:rPr>
          <w:rFonts w:ascii="Arial" w:hAnsi="Arial" w:cs="Arial"/>
          <w:b/>
          <w:color w:val="000000"/>
          <w:sz w:val="24"/>
        </w:rPr>
      </w:pPr>
      <w:bookmarkStart w:id="90" w:name="_Toc26480"/>
      <w:bookmarkStart w:id="91" w:name="_Toc25505"/>
      <w:r>
        <w:rPr>
          <w:rFonts w:ascii="Arial" w:hAnsi="Arial" w:cs="Arial"/>
          <w:b/>
          <w:color w:val="000000"/>
          <w:sz w:val="24"/>
        </w:rPr>
        <w:t>保证金基本情况表</w:t>
      </w:r>
      <w:bookmarkEnd w:id="90"/>
      <w:bookmarkEnd w:id="91"/>
    </w:p>
    <w:tbl>
      <w:tblPr>
        <w:tblStyle w:val="13"/>
        <w:tblW w:w="9589" w:type="dxa"/>
        <w:tblInd w:w="-96" w:type="dxa"/>
        <w:tblLayout w:type="fixed"/>
        <w:tblCellMar>
          <w:top w:w="0" w:type="dxa"/>
          <w:left w:w="0" w:type="dxa"/>
          <w:bottom w:w="0" w:type="dxa"/>
          <w:right w:w="0" w:type="dxa"/>
        </w:tblCellMar>
      </w:tblPr>
      <w:tblGrid>
        <w:gridCol w:w="3697"/>
        <w:gridCol w:w="1377"/>
        <w:gridCol w:w="1254"/>
        <w:gridCol w:w="1621"/>
        <w:gridCol w:w="1640"/>
      </w:tblGrid>
      <w:tr>
        <w:tblPrEx>
          <w:tblCellMar>
            <w:top w:w="0" w:type="dxa"/>
            <w:left w:w="0" w:type="dxa"/>
            <w:bottom w:w="0" w:type="dxa"/>
            <w:right w:w="0" w:type="dxa"/>
          </w:tblCellMar>
        </w:tblPrEx>
        <w:trPr>
          <w:trHeight w:val="555" w:hRule="atLeast"/>
          <w:tblHeader/>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保证金明细</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收款金额</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退还金额</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入账日期</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退还日期</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常州机械施工一期桩基工程投标保证金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江苏康建一期桩基工程投标保证金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2019年6月14日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江苏盐城二建一期桩基工程投标保证金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常州市精益建筑一期桩基工程投标保证金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常州春秋华城一期土方工程投标保证金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常州市佳亚一期土方工程投标保证金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2019年7月3日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常州尊鼎一期土方工程投标保证金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常州市热辉一期土方工程投标保证金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常州市安贞一期材料检测工程投标保证金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常州市建筑材料一期材料检测工程投标保证金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常州华厦一期材料检测工程投标保证金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常州市建筑科学一期材料检测工程投标保证金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2017年7月21日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杭州正大装饰品牌生活体验馆投标保证金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苏州金螳螂市区品牌生活体验馆投标保证金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上海世家品牌生活体验馆投标保证金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常州市新阳光一期监理工程投标保证金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江苏龙城一期监理工程投标保证金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常州常建一期监理工程投标保证金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常州市江南建设一期监理工程投标保证金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江苏安厦一期监理工程投标保证金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2017年3月24日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上海思过半市区品牌生活体验馆软装投标保证金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上海易鲁市区品牌生活体验馆软装投标保证金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广州集美组市区品牌生活体验馆软装投标保证金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2017年6月21日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北京安悦宅市区品牌生活体验馆软装投标保证金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2017年4月26日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2017年11月30日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浙江蓝城项目会所及一期样板房精装修投标保证金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苏州金螳螂项目会所及一期样板房精装修投标保证金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北京泛亚项目会所及一期样板房精装修投标保证金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绿城装饰项目会所及一期样板房精装修投标保证金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2017年5月25日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常州市基础工程投标保证金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常嘉建设集团投标保证金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2018年11月8日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常州市中元建设投标保证金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2017年8月29日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2018年3月14日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江苏东方建设项目一期一标段监理履约保证金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231,000.00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2019年9月3日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上海世家装饰实业股份有限公司会所古建投标保证金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2019年10月24日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广厦东阳古建园林工程有限公司会所古建投标保证金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2019年12月26日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苏州太湖古典园林建筑有限公司会所古建投标保证金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2019年10月30日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江苏东方建设管理有限公司一期二标段履约保证金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97,500.00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2019年11月14日</w:t>
            </w:r>
          </w:p>
        </w:tc>
        <w:tc>
          <w:tcPr>
            <w:tcW w:w="164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浙江绿驰景观工程有限公司投标保证金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苏州太湖古典园林建筑有限公司景观投标保证金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2019年12月5日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江苏城建校工程咨询有限公司投标保证金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2020年6月23日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江苏安邦南汇工程咨询有限公司投标保证金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2021年4月14日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江苏武晋工程咨询有限公司投标保证金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30,000.00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2021年4月14日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2019年12月22日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江苏城东建设工程有限公司一期二标段总包履约保证金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8,912,393.05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2020年1月13日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苏州苏园古建园林有限公司投标保证金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江苏江都古典园林建设有限公司投标保证金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苏州复荣古建园林工程有限公司投标保证金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100,000.00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100,000.00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2020年1月21日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2020年4月27日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江苏恒达利能机电设备工程有限公司履约保证金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40,500.00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sz w:val="18"/>
                <w:szCs w:val="18"/>
              </w:rPr>
            </w:pPr>
            <w:r>
              <w:rPr>
                <w:rFonts w:ascii="Arial" w:hAnsi="Arial" w:cs="Arial" w:eastAsiaTheme="minorEastAsia"/>
                <w:color w:val="000000"/>
                <w:kern w:val="0"/>
                <w:sz w:val="18"/>
                <w:szCs w:val="18"/>
              </w:rPr>
              <w:t>2020年3月17日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常州二建建设有限公司履约保证金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39,858,322.14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2020年5月29日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上海中亚园林建设有限公司履约保证金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899,643.65</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899,643.65</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2021年2月3日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苏州复荣古建园林工程有限公司履约保证金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587,902.68</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江苏东方建设项目管理咨询有限公司二期、三期履约保证金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322,258.30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2020年7月24日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宜兴市江南桥梁工程有限公司桥梁工程投标保证金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2020年8月20日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2021年2月1日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常州市给排水工程有限公司桥梁工程投标保证金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2020年8月21日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hint="eastAsia" w:ascii="Arial" w:hAnsi="Arial" w:cs="Arial" w:eastAsiaTheme="minorEastAsia"/>
                <w:color w:val="000000"/>
                <w:sz w:val="18"/>
                <w:szCs w:val="18"/>
              </w:rPr>
              <w:t>2021年3月9日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江苏康建建设工程有限公司履约保证金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50,000.00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kern w:val="0"/>
                <w:sz w:val="18"/>
                <w:szCs w:val="18"/>
              </w:rPr>
              <w:t>50,000.00</w:t>
            </w: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2020年10月12日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r>
              <w:rPr>
                <w:rFonts w:ascii="Arial" w:hAnsi="Arial" w:cs="Arial" w:eastAsiaTheme="minorEastAsia"/>
                <w:color w:val="000000"/>
                <w:sz w:val="18"/>
                <w:szCs w:val="18"/>
              </w:rPr>
              <w:t>2021年1月15日</w:t>
            </w: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常州市给排水工程有限公司桥梁工程履约保证金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63,082.29</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ascii="Arial" w:hAnsi="Arial" w:cs="Arial" w:eastAsiaTheme="minorEastAsia"/>
                <w:color w:val="000000"/>
                <w:kern w:val="0"/>
                <w:sz w:val="18"/>
                <w:szCs w:val="18"/>
              </w:rPr>
              <w:t>2021年2月7日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苏州思成古建园林工程有限公司履约保证金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880,434.4</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2021年4月6日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收到上海度量衡履约保证金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184,274.10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2021年5月19日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杭州联铂电子科技有限公司履约保证金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53,369.80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2021年5月28日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广东坚朗五金制品股份有限公司保证金</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19,920.00</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kern w:val="0"/>
                <w:sz w:val="18"/>
                <w:szCs w:val="18"/>
              </w:rPr>
            </w:pPr>
          </w:p>
        </w:tc>
        <w:tc>
          <w:tcPr>
            <w:tcW w:w="16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color w:val="000000"/>
                <w:kern w:val="0"/>
                <w:sz w:val="18"/>
                <w:szCs w:val="18"/>
              </w:rPr>
            </w:pPr>
            <w:r>
              <w:rPr>
                <w:rFonts w:hint="eastAsia" w:ascii="Arial" w:hAnsi="Arial" w:cs="Arial" w:eastAsiaTheme="minorEastAsia"/>
                <w:color w:val="000000"/>
                <w:kern w:val="0"/>
                <w:sz w:val="18"/>
                <w:szCs w:val="18"/>
              </w:rPr>
              <w:t>2021年5月29日</w:t>
            </w:r>
          </w:p>
        </w:tc>
        <w:tc>
          <w:tcPr>
            <w:tcW w:w="164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eastAsiaTheme="minorEastAsia"/>
                <w:color w:val="000000"/>
                <w:sz w:val="18"/>
                <w:szCs w:val="18"/>
              </w:rPr>
            </w:pPr>
          </w:p>
        </w:tc>
      </w:tr>
      <w:tr>
        <w:tblPrEx>
          <w:tblCellMar>
            <w:top w:w="0" w:type="dxa"/>
            <w:left w:w="0" w:type="dxa"/>
            <w:bottom w:w="0" w:type="dxa"/>
            <w:right w:w="0" w:type="dxa"/>
          </w:tblCellMar>
        </w:tblPrEx>
        <w:trPr>
          <w:cantSplit/>
          <w:trHeight w:val="27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合计</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kern w:val="0"/>
                <w:sz w:val="18"/>
                <w:szCs w:val="18"/>
              </w:rPr>
              <w:t>54,800,600.41</w:t>
            </w:r>
          </w:p>
        </w:tc>
        <w:tc>
          <w:tcPr>
            <w:tcW w:w="12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color w:val="000000"/>
                <w:sz w:val="20"/>
                <w:szCs w:val="20"/>
              </w:rPr>
            </w:pPr>
            <w:r>
              <w:rPr>
                <w:rFonts w:ascii="Arial" w:hAnsi="Arial" w:cs="Arial" w:eastAsiaTheme="minorEastAsia"/>
                <w:b/>
                <w:bCs/>
                <w:color w:val="000000"/>
                <w:kern w:val="0"/>
                <w:sz w:val="18"/>
                <w:szCs w:val="18"/>
              </w:rPr>
              <w:t>3,</w:t>
            </w:r>
            <w:r>
              <w:rPr>
                <w:rFonts w:hint="eastAsia" w:ascii="Arial" w:hAnsi="Arial" w:cs="Arial" w:eastAsiaTheme="minorEastAsia"/>
                <w:b/>
                <w:bCs/>
                <w:color w:val="000000"/>
                <w:kern w:val="0"/>
                <w:sz w:val="18"/>
                <w:szCs w:val="18"/>
              </w:rPr>
              <w:t>54</w:t>
            </w:r>
            <w:r>
              <w:rPr>
                <w:rFonts w:ascii="Arial" w:hAnsi="Arial" w:cs="Arial" w:eastAsiaTheme="minorEastAsia"/>
                <w:b/>
                <w:bCs/>
                <w:color w:val="000000"/>
                <w:kern w:val="0"/>
                <w:sz w:val="18"/>
                <w:szCs w:val="18"/>
              </w:rPr>
              <w:t>9,643.65</w:t>
            </w:r>
          </w:p>
        </w:tc>
        <w:tc>
          <w:tcPr>
            <w:tcW w:w="32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w:t>
            </w:r>
          </w:p>
        </w:tc>
      </w:tr>
      <w:tr>
        <w:tblPrEx>
          <w:tblCellMar>
            <w:top w:w="0" w:type="dxa"/>
            <w:left w:w="0" w:type="dxa"/>
            <w:bottom w:w="0" w:type="dxa"/>
            <w:right w:w="0" w:type="dxa"/>
          </w:tblCellMar>
        </w:tblPrEx>
        <w:trPr>
          <w:cantSplit/>
          <w:trHeight w:val="330" w:hRule="atLeast"/>
        </w:trPr>
        <w:tc>
          <w:tcPr>
            <w:tcW w:w="3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保证金余额</w:t>
            </w:r>
          </w:p>
        </w:tc>
        <w:tc>
          <w:tcPr>
            <w:tcW w:w="263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hint="eastAsia" w:ascii="Arial" w:hAnsi="Arial" w:cs="Arial" w:eastAsiaTheme="minorEastAsia"/>
                <w:b/>
                <w:bCs/>
                <w:color w:val="000000"/>
                <w:kern w:val="0"/>
                <w:sz w:val="18"/>
                <w:szCs w:val="18"/>
              </w:rPr>
              <w:t>51,250,956.76</w:t>
            </w:r>
          </w:p>
        </w:tc>
        <w:tc>
          <w:tcPr>
            <w:tcW w:w="3261"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eastAsiaTheme="minorEastAsia"/>
                <w:b/>
                <w:bCs/>
                <w:color w:val="000000"/>
                <w:sz w:val="18"/>
                <w:szCs w:val="18"/>
              </w:rPr>
            </w:pPr>
            <w:r>
              <w:rPr>
                <w:rFonts w:ascii="Arial" w:hAnsi="Arial" w:cs="Arial" w:eastAsiaTheme="minorEastAsia"/>
                <w:b/>
                <w:bCs/>
                <w:color w:val="000000"/>
                <w:kern w:val="0"/>
                <w:sz w:val="18"/>
                <w:szCs w:val="18"/>
              </w:rPr>
              <w:t>——</w:t>
            </w:r>
          </w:p>
        </w:tc>
      </w:tr>
      <w:bookmarkEnd w:id="81"/>
      <w:bookmarkEnd w:id="82"/>
      <w:bookmarkEnd w:id="83"/>
      <w:bookmarkEnd w:id="84"/>
      <w:bookmarkEnd w:id="85"/>
      <w:bookmarkEnd w:id="86"/>
      <w:bookmarkEnd w:id="87"/>
      <w:bookmarkEnd w:id="88"/>
    </w:tbl>
    <w:p>
      <w:pPr>
        <w:spacing w:line="360" w:lineRule="auto"/>
        <w:ind w:firstLine="420" w:firstLineChars="200"/>
        <w:jc w:val="center"/>
        <w:rPr>
          <w:rFonts w:ascii="Arial" w:hAnsi="Arial" w:cs="Arial"/>
        </w:rPr>
      </w:pPr>
    </w:p>
    <w:p>
      <w:pPr>
        <w:spacing w:line="360" w:lineRule="auto"/>
        <w:ind w:firstLine="420" w:firstLineChars="200"/>
        <w:jc w:val="center"/>
        <w:rPr>
          <w:rFonts w:ascii="Arial" w:hAnsi="Arial" w:cs="Arial"/>
        </w:rPr>
      </w:pPr>
    </w:p>
    <w:p>
      <w:pPr>
        <w:pStyle w:val="2"/>
        <w:keepNext w:val="0"/>
        <w:keepLines w:val="0"/>
        <w:spacing w:before="300" w:after="300" w:line="360" w:lineRule="exact"/>
        <w:jc w:val="left"/>
        <w:rPr>
          <w:rFonts w:ascii="Arial" w:hAnsi="Arial" w:cs="Arial"/>
          <w:color w:val="000000"/>
          <w:sz w:val="24"/>
          <w:szCs w:val="24"/>
        </w:rPr>
      </w:pPr>
      <w:bookmarkStart w:id="92" w:name="_Toc14319"/>
    </w:p>
    <w:p>
      <w:pPr>
        <w:pStyle w:val="2"/>
        <w:keepNext w:val="0"/>
        <w:keepLines w:val="0"/>
        <w:spacing w:before="300" w:after="300" w:line="360" w:lineRule="exact"/>
        <w:jc w:val="left"/>
        <w:rPr>
          <w:rFonts w:ascii="Arial" w:hAnsi="Arial" w:cs="Arial"/>
          <w:color w:val="000000"/>
          <w:sz w:val="24"/>
          <w:szCs w:val="24"/>
        </w:rPr>
      </w:pPr>
      <w:bookmarkStart w:id="93" w:name="_Toc17776"/>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p>
    <w:p>
      <w:pPr>
        <w:pStyle w:val="2"/>
        <w:keepNext w:val="0"/>
        <w:keepLines w:val="0"/>
        <w:spacing w:before="300" w:after="300" w:line="360" w:lineRule="exact"/>
        <w:jc w:val="left"/>
        <w:rPr>
          <w:rFonts w:ascii="Arial" w:hAnsi="Arial" w:cs="Arial"/>
          <w:color w:val="000000"/>
          <w:sz w:val="24"/>
          <w:szCs w:val="24"/>
        </w:rPr>
      </w:pPr>
      <w:r>
        <w:rPr>
          <w:rFonts w:ascii="Arial" w:hAnsi="Arial" w:cs="Arial"/>
          <w:color w:val="000000"/>
          <w:sz w:val="24"/>
          <w:szCs w:val="24"/>
        </w:rPr>
        <w:t>附件</w:t>
      </w:r>
      <w:bookmarkEnd w:id="92"/>
      <w:bookmarkEnd w:id="93"/>
      <w:bookmarkStart w:id="94" w:name="_Toc7482"/>
      <w:bookmarkStart w:id="95" w:name="_Toc5600"/>
    </w:p>
    <w:p>
      <w:pPr>
        <w:pStyle w:val="2"/>
        <w:keepNext w:val="0"/>
        <w:keepLines w:val="0"/>
        <w:spacing w:before="300" w:after="300" w:line="360" w:lineRule="exact"/>
        <w:jc w:val="left"/>
        <w:rPr>
          <w:rFonts w:ascii="Arial" w:hAnsi="Arial" w:cs="Arial"/>
          <w:sz w:val="24"/>
        </w:rPr>
      </w:pPr>
      <w:bookmarkStart w:id="96" w:name="_Toc16057"/>
      <w:r>
        <w:rPr>
          <w:rFonts w:ascii="Arial" w:hAnsi="Arial" w:cs="Arial"/>
          <w:sz w:val="24"/>
        </w:rPr>
        <w:t>附件一 销售明细表</w:t>
      </w:r>
      <w:bookmarkEnd w:id="94"/>
      <w:bookmarkEnd w:id="96"/>
    </w:p>
    <w:tbl>
      <w:tblPr>
        <w:tblStyle w:val="13"/>
        <w:tblW w:w="5166" w:type="pct"/>
        <w:tblInd w:w="-103" w:type="dxa"/>
        <w:tblLayout w:type="fixed"/>
        <w:tblCellMar>
          <w:top w:w="0" w:type="dxa"/>
          <w:left w:w="108" w:type="dxa"/>
          <w:bottom w:w="0" w:type="dxa"/>
          <w:right w:w="108" w:type="dxa"/>
        </w:tblCellMar>
      </w:tblPr>
      <w:tblGrid>
        <w:gridCol w:w="542"/>
        <w:gridCol w:w="565"/>
        <w:gridCol w:w="775"/>
        <w:gridCol w:w="1481"/>
        <w:gridCol w:w="846"/>
        <w:gridCol w:w="1194"/>
        <w:gridCol w:w="1193"/>
        <w:gridCol w:w="1193"/>
        <w:gridCol w:w="1185"/>
        <w:gridCol w:w="853"/>
      </w:tblGrid>
      <w:tr>
        <w:tblPrEx>
          <w:tblCellMar>
            <w:top w:w="0" w:type="dxa"/>
            <w:left w:w="108" w:type="dxa"/>
            <w:bottom w:w="0" w:type="dxa"/>
            <w:right w:w="108" w:type="dxa"/>
          </w:tblCellMar>
        </w:tblPrEx>
        <w:trPr>
          <w:trHeight w:val="278" w:hRule="atLeast"/>
          <w:tblHeader/>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序号</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楼号</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房号</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客户姓名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面积（㎡）</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备案价（元）</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合同价（元）</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已收金额（元）</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未收金额（元）</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000000"/>
                <w:sz w:val="15"/>
                <w:szCs w:val="15"/>
              </w:rPr>
            </w:pPr>
            <w:r>
              <w:rPr>
                <w:rFonts w:hint="eastAsia" w:ascii="宋体" w:hAnsi="宋体" w:cs="宋体"/>
                <w:b/>
                <w:bCs/>
                <w:color w:val="000000"/>
                <w:kern w:val="0"/>
                <w:sz w:val="15"/>
                <w:szCs w:val="15"/>
                <w:lang w:bidi="ar"/>
              </w:rPr>
              <w:t>销售状态</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1,948,301.00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1,913,301.00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徐旻</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1,994,285.00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1,959,285.00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张红云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1,987,548.00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1,893,972.00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严文玉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1,980,810.00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1,945,810.00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1,974,072.00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1,880,900.00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刘晓英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1,967,335.00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1,922,335.00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吴仲华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1,960,597.00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1,925,597.00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薛研、施辉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1,920,171.00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1,900,171.00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李向魁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1,873,008.00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1,838,008.00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曹庆</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张腊根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1,870,081.00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1,908,401.00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1,863,401.00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1,901,722.00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1,810,720.00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贡晶晶、杨俊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1,895,042.00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李敏、裴秀萍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1,888,363.00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1,853,363.00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1,881,684.00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1,861,684.00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邱瑞泓</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1,813,287.00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孙剑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1,808,210.00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1,773,210.00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朱政君,傅科雯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1,753,705.00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1,718,705.00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任启双、乔如</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1,616,259.00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1,581,259.00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张玮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1,846,210.00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李志华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1,919,684.00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1,884,684.00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邵义、郭佳丽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1,913,004.00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1,878,004.00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戴燕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1,906,325.00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1,861,325.00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郑翌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1,899,645.00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闻丽芬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1,892,966.00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1,857,966.00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徐利菊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1,851,287.00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姜欣宇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1,852,890.00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何兰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1,812,814.00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1,777,814.00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张远芳、卢桂珍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1,759,378.00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1,714,378.00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柳波、言新芳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1,620,772.00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1,585,772.00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1,850,814.00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1,815,814.00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罗杜洋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1,924,287.00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1,889,287.00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1,917,607.00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1,882,607.00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1,910,928.00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1,875,928.00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凌玉萍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1,904,249.00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1,869,249.00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钱小虎、孙晔隽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1,897,569.00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1,862,569.00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谢锋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1,870,890.00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1,822,493.00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胡启柱、龚溢林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1,817,417.00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1,797,417.00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陈斌、吴金洪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1,763,982.00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1,743,982.00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闵珂琦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1,625,286.00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1,590,286.00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1,819,850.00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1,928,890.00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1,883,890.00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孙傅芸</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1,902,211.00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李承宏、纪佩来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1,880,531.00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符彩琴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1,908,852.00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1,817,636.00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张姝馨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1,902,172.00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1,857,172.00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王文伟,滕亚仙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1,895,493.00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1,875,493.00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夏丽君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1,777,020.00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李朵、徐洋龙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129.58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1,768,585.00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1,733,585.00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陶亚燕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127.06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1,629,800.00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1,584,800.00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张小超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148.91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2,057,709.00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2,037,709.00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潘莉晶</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2,141,430.00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干建萍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2,133,757.00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2,035,794.00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陈锡东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2,126,084.00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陈莲锁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2,118,411.00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2,098,411.00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蒋海红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2,075,737.00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顾静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2,103,064.00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2,068,064.00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2,064,698.00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李光舟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2,018,659.00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1,983,659.00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周守明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148.86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1,957,274.00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1,922,274.00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39-</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程伟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146.55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1,806,355.00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1,771,355.00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干叶飞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1,834,573.00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1,799,573.00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44-甲-1001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聂敬忠</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1,908,665.00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1,873,665.00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徐不畏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1,901,830.00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1,810,825.00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1,894,995.00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1,888,160.00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蒋春燕、张兴大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1,881,325.00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1,846,325.00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韩俊容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1,874,490.00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1,839,490.00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1,833,480.00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1,798,480.00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吕城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132.6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1,785,634.00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1,750,634.00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许军立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1,757,898.00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1,722,898.00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丁小洁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1,797,960.00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贺翠兰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1,826,184.00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1,791,184.00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聂敬礼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1,819,408.00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1,784,408.00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苏琳、孙斌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曾献华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1,805,857.00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1,770,857.00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傅伟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1,779,081.00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1,765,202.00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1,730,202.00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黎宏平、甘秋菊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1,689,547.00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1,662,566.00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1,627,566.00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朱婷、郭彤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1,762,821.00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1,727,821.00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林丹光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1,837,355.00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1,817,355.00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刘建国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1,830,579.00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1,785,579.00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毕勇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1,823,803.00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1,725,439.00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1,817,027.00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1,782,027.00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谢才强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1,810,252.00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1,775,252.00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邹琳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1,803,476.00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1,715,422.00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赵斌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1,769,597.00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1,724,597.00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1,728,942.00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1,708,942.00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1,667,960.00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1,632,960.00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濮泽昱、濮小波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1,767,216.00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1,732,216.00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黄洪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1,841,750.00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1,796,750.00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张鹏程、胥敏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1,834,974.00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1,799,974.00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1,828,198.00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1,808,198.00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1,821,422.00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1,786,422.00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张苏洋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1,814,647.00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1,769,647.00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44-乙-502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周芷涵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1,807,871.00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1,772,871.00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44-乙-402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薛云鹏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1,773,992.00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1,738,992.00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瞿晓犇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1,733,337.00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1,698,337.00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1,672,355.00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1,637,355.00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黄梅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1,771,078.00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1,751,078.00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甘俊杰、娄晓静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1,811,144.00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彭海琴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1,839,369.00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1,794,369.00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刘兰英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1,832,593.00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1,797,593.00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夏大清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1,825,817.00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1,790,817.00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陆启浩、董永珍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1,819,041.00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1,799,041.00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1,812,266.00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1,777,266.00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潘文君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1,778,387.00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1,743,387.00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何煚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1,737,732.00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1,702,732.00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刘锋朱泽莲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1,676,750.00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1,656,750.00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1,964,646.00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1,959,650.00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田秋兴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2,029,627.00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周冬艳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2,041,843.00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2,006,843.00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钱兰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2,034,059.00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张姝馨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2,026,275.00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1,981,275.00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韩海烽、张云亚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1,983,491.00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查建芳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2,010,707.00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1,975,707.00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丁云、李岳峰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1,971,786.00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1,936,786.00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张薇雯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1,890,082.00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44-</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余霞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1,855,026.00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1,765,425.00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565,425.00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管欧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1,939,186.00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1,919,186.00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2,091,522.00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2,081,522.00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壮能、金星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2,152,544.00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史荣升、沈丹萍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2,198,311.00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2,183,311.00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张彬、郭昆</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2,236,451.00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2,226,451.00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曹晓东,唐丽雅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2,234,078.00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高静怡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2,226,706.00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沈克文、周琴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2,259,334.00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2,234,334.00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马益飞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2,266,962.00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2,241,962.00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朱振、周晓慧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2,254,590.00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2,191,564.00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2,166,564.00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壮琪、周敏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1,654,371.00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1,629,371.00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赵娇华、高旭东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1,792,943.00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1,772,943.00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1,846,060.00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1,821,060.00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赵伟、韩茂林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1,875,898.00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秦超、王晶雨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1,919,097.00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1,909,097.00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周玲、徐正峰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1,925,736.00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1,920,736.00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1,932,376.00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1,907,376.00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赵颖</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1,939,016.00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1,929,016.00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恽晓明、苏秋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1,945,655.00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1,920,655.00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高玲玲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1,952,295.00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1,927,295.00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1,878,681.00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肖红霞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1,649,800.00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1,624,800.00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杨勇、赵红梅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1,788,280.00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1,778,280.00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吴飞龙、饶文红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1,826,398.00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王晓伟、上小英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1,881,236.00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1,856,236.00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刘康、刘丹纯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1,914,434.00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1,889,434.00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潘杨、陆娟芬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1,921,074.00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1,886,074.00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李赟、丁路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1,927,714.00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1,917,714.00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董小娟、解平毅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1,934,353.00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1,919,353.00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李刚、王丙芳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1,940,993.00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1,915,993.00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刘伟明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1,947,633.00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1,922,633.00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高江东、刘玲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1,874,596.00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1,864,596.00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栾巍、牟娇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1,645,228.00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1,630,228.00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赵亮、李梅英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1,783,618.00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1,763,618.00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杨玲玉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1,836,735.00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1,811,735.00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1,876,574.00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1,866,568.00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薛时杰、杨梦璐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1,909,772.00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1,899,772.00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高荣华、王德翠</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1,916,412.00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1,891,412.00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万琴娣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1,923,051.00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1,903,051.00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徐晓燕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1,929,691.00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1,914,691.00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1,936,331.00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1,911,331.00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罗婷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1,942,971.00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1,917,971.00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1,869,934.00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1,849,934.00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559,934.00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1,290,000.00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万梨花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126.31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1,640,656.00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1,567,186.00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胡宗留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1,778,956.00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1,758,956.00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孙靖、严丽娟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1,832,073.00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1,822,073.00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1,871,911.00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陶为华、齐欣欣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1,905,110.00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1,885,110.00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周岩旺、胡路露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1,911,749.00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1,886,749.00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严嘉、邵洁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1,908,389.00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沈建明、朱永姝、沈鸿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1,925,029.00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柳杨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1,931,669.00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1,906,669.00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朱成明、张亚萍、朱迪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1,938,308.00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1,918,308.00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王夏衍、李梦营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128.77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1,864,699.00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145.68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1,854,819.00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1,774,924.00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周茜、刘凯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郑小风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2,066,846.00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2,051,846.00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徐小军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2,112,613.00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2,106,613.00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陆晓飞、朱杭金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2,150,752.00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2,125,752.00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王钱浪、张小丽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2,158,380.00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2,138,380.00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薛芬、吴凯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2,166,007.00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2,141,007.00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彭广民、周海萍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2,148,635.00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张浩、杨佳静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2,146,263.00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陈飞、胡惠蓉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2,188,891.00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2,163,891.00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40-</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张文斌、汪霞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2,197,401.00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王杰、吴晓蓉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1,987,141.00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唐春玲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2,056,831.00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2,046,831.00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2,103,291.00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郭琦、金科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2,127,007.00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王希、莫泓霖</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2,149,751.00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2,139,751.00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杨晓光、虞新燕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2,157,494.00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王卓越、褚张霞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2,165,237.00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2,155,237.00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蒋磊、何琦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2,172,981.00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2,142,981.00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薛源、蒋琳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2,180,724.00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199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戈丽娜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2,096,376.00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周佳炜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1,703,531.00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1,688,531.00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张琳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1,764,198.00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1,754,198.00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王海美、蒋飞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1,804,642.00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沈小霞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1,838,346.00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1,818,346.00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廖新化</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1,845,086.00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1,815,086.00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邓可明、李玲月、邓毅超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1,851,827.00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1,826,827.00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薛兴旭、夏敏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1,858,568.00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1,848,568.00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吴佳铭、陈志菊、吴国兴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1,865,309.00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1,845,309.00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赵晓泽、钱水平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1,872,049.00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1,862,049.00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许胜、马红梅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1,797,222.00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1,782,222.00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仰志辉、王凤弟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1,699,071.00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1,674,071.00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朱海元、张国进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1,759,738.00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蒋志龙、孙红娣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1,800,182.00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1,790,182.00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夏伦杰、赵洁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1,833,886.00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1,828,886.00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钱孙广、杨佳媛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1,840,626.00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1,830,626.00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陈刚、杨莉亚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1,847,367.00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蒋建伟、吴春花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1,854,108.00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1,849,108.00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胡来元</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1,860,848.00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1,835,848.00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芦婷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1,867,589.00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1,857,589.00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1,793,441.00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1,783,441.00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王护平、陈家克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1,694,611.00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1,684,611.00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姜洪峰、张小亚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1,755,277.00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1,735,277.00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卢伟、韦妙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1,795,722.00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何凯、蒋敏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1,829,425.00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1,809,425.00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曹海燕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1,836,166.00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1,816,166.00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1,842,907.00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1,817,907.00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曾国科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1,849,647.00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梁花容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1,856,388.00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1,831,388.00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Arial" w:hAnsi="Arial" w:cs="Arial"/>
                <w:color w:val="000000"/>
                <w:sz w:val="15"/>
                <w:szCs w:val="15"/>
              </w:rPr>
            </w:pPr>
            <w:r>
              <w:rPr>
                <w:rFonts w:hint="eastAsia" w:ascii="宋体" w:hAnsi="宋体" w:cs="宋体"/>
                <w:color w:val="000000"/>
                <w:kern w:val="0"/>
                <w:sz w:val="15"/>
                <w:szCs w:val="15"/>
                <w:lang w:bidi="ar"/>
              </w:rPr>
              <w:t>龙卫丽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1,863,129.00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1,853,129.00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陆晨、朱丽霞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1,788,981.00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1,768,981.00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徐兰英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1,690,151.00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1,670,151.00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杨蕊、杨学良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1,750,817.00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1,740,817.00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浦亚方、李杰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1,791,262.00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徐艺嘉、李安康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1,824,965.00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邓科、王瑞英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1,831,706.00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1,838,447.00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1,823,447.00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游欢欢、吴彬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1,845,187.00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1,844,187.00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王斌、陆雁容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1,851,928.00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1,841,928.00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朱凯明、陈丽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1,858,669.00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1,843,669.00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恽洁华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130.77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1,784,521.00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1,770,000.00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徐兰英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1,881,935.00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1,861,935.00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吴杰笑子、王芳冰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1,959,368.00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1,949,368.00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1,998,571.00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白禹、李琰芬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2,060,030.00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壮锋、孙晓琴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2,067,774.00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2,052,774.00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2,075,517.00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蒋逸波、王政欢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2,083,260.00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吴珂、管健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2,091,004.00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徐晶、马成果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2,098,747.00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2,088,747.00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45-</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王鸿璋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2,013,571.00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269.91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10,577,982.00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10,246,859.00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8,725,000.00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1,521,859.00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朱建华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8,269,370.00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8,219,370.00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史静华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239.21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8,230,322.00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8,128,219.00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8,258,802.00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8,238,802.00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张姝馨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8,280,937.00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8,178,328.00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左永红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273.41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9,831,580.00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9,567,325.00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蒋蓝燕、王志峰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268.49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8,680,235.00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8,487,896.00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绪文娟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245.42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7,385,045.00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7,365,045.00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潘柯君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8,617,229.00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8,377,139.00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3-101</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8,887,628.00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刘奕钢、刘云帆</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7,370,008.00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7,276,508.00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吴俊洁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8,393,817.00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8,290,079.00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10,117,510.00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9,847,565.00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刘晶、巢澄</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8,190,285.00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7,958,691.00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吕刚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8,235,513.00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8,215,513.00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安丰玲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9,916,107.00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9,699,174.00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金加洪、黄一虹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8,632,267.00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8,526,144.00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郑文科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245.39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7,412,567.00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7,318,641.00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5-103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卢建刚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272.12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8,639,721.00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8,399,184.00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程秋梁、顾箫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5,616,855.00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5,428,519.00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王铭浩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4,618,082.00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4,477,177.00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陆利明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4,650,353.00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4,508,806.00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4,683,170.00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4,540,970.00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胡丹清、陈焕琴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4,715,441.00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4,648,487.00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19-106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陶亚燕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5,635,413.00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陈建纲、汪志南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4,199,404.00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陆春红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3,704,686.00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3,581,958.00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李增超、王菲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3,738,170.00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3,614,775.00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3,772,196.00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3,629,699.00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翟晓纯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3,804,755.00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3,680,035.00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19-306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严文玉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4,168,641.00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4,016,293.00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2,716,293.00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吴德斌、张敬敬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9,550,160.00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9,291,505.00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5,239,027.00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5,166,837.00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王辉、严小燕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4,478,897.00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4,340,762.00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钱金、徐娟霞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4,533,088.00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4,393,875.00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丁虹予</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5,395,173.00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5,212,345.00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壮卓、马心慧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3,909,010.00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3,782,216.00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毛伟新、盛琴芬、毛佳凝</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3,591,335.00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3,470,862.00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肖灿灿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3,644,975.00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3,503,435.00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1,103,435.00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朱晓明、高盘君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4,049,697.00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3,900,305.00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许逸豪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5,478,397.00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5,293,501.00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刘庆辉、吴园园</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4,519,388.00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4,380,447.00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钱新、朱春燕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4,573,832.00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4,433,808.00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48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徐娴、EGERVARI JURGENFRANZ</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5,501,859.00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5,343,367.00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许逸雯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4,066,929.00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3,917,108.00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陈成、张益群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3,674,060.00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3,551,941.00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戎易</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3,727,942.00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3,604,751.00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48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徐娴、EGERVARI JURGENFRANZ</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4,184,127.00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4,031,394.00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5,412,860.00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5,256,139.00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299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冯民、杭小芬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5,176,648.00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王仁虎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4,206,105.00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4,073,399.00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张亮、曹大娟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4,210,541.00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4,077,746.00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周建国,周伟英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8,952,385.00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8,932,385.00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6,132,385.00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巢玲群、须协成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5,271,524.00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5,091,769.00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徐波、尹丽君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4,302,770.00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4,168,140.00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张文婷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4,200,037.00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吴淏、贾李春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4,365,686.00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4,229,804.00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杭震立、刘春燕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4,398,230.00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4,261,700.00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28-107</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苏虹、李小飞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4,953,299.00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4,835,126.00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方文平、缪亚萍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3,648,254.00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陆林、杨益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3,383,229.00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3,266,898.00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葛宜艳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3,415,220.00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3,298,252.00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蔡丽花、杨波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3,447,210.00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3,329,606.00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王守波、张娜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3,479,200.00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3,360,959.00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28-307</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骆乾、薛一宁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3,846,574.00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3,721,022.00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蔡鸿男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4,875,124.00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4,729,104.00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汪蕾、陈建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4,345,843.00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4,210,356.00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盛昌润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4,400,288.00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4,242,183.00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沈雷、何霞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5,116,307.00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4,965,487.00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3,877,612.00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3,731,443.00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2,531,443.00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29-302</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3,481,242.00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盛汪、沈燕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3,535,126.00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3,415,772.00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29-304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何秋平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3,969,996.00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3,841,988.00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王华春、王玉芳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5,188,724.00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5,011,027.00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薛时杰、杨梦璐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4,389,562.00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4,231,724.00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季燕萍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4,444,005.00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戚虎林、恽洁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5,302,278.00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5,147,758.00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陈叶华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3,960,229.00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3,832,415.00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陈晓波、蒋霄燕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3,523,560.00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3,404,436.00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谢道林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3,577,443.00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3,457,247.00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30-304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唐小泉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4,018,828.00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3,889,848.00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贾春、陈妍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5,610,890.00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5,450,228.00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俞俊杰、朱雪萍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215.77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5,113,113.00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陈敏、刘志刚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4,058,857.00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3,929,081.00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31-302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207.27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4,052,030.00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3,902,580.00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金加洪、黄一虹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2,207,678.00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王常青、丁爱平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2,269,662.00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2,249,662.00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凌霄</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2,300,654.00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2,331,645.00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2,362,637.00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2,342,637.00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李辉贤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2,393,629.00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2,373,629.00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徐丽文、徐小青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2,424,621.00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2,404,621.00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施丽珏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2,455,612.00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蒋珍、叶卢宇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2,486,604.00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2,466,604.00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杨玉娇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150.31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2,378,133.00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2,358,133.00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刘洪江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2,025,862.00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2,005,862.00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陈丽珏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2,081,247.00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李晓东、李文英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2,108,940.00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2,088,940.00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陈小俊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许妍琦、周春强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2,164,326.00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2,144,326.00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张建红、恽德伟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2,192,019.00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2,172,019.00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史悦熙、黄秉慧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2,219,711.00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2,199,711.00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仇腾飞、王香丽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2,275,097.00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颜锦龙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2,178,172.00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2,158,172.00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朱银娣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2,019,005.00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1,999,005.00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龚黎菊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134.21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2,074,349.00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刘凯、王霞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2,103,572.00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2,083,572.00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林俊、董晨婷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2,131,265.00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2,111,265.00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杨国军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2,158,958.00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缪立斌、张湘倩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2,186,651.00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2,166,651.00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陶黎清、李小俊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2,214,343.00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2,194,343.00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吴洪涛、刘娜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2,242,036.00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2,222,036.00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陆阳、史燕静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2,269,729.00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陈一奇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2,172,804.00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苏永飞、于文琴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2,015,127.00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1,995,127.00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2,050,512.00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王加一</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2,098,205.00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2,078,205.00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2,105,898.00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刘银媛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2,153,591.00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2,133,591.00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赵科汇、张林华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2,181,284.00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2,161,284.00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张芝玉、吴红成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2,208,976.00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2,188,976.00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张芝兰、刘晓明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2,236,669.00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2,216,669.00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秦建红、姚一如</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2,264,362.00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2,244,362.00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43-甲-1002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2,167,437.00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2,147,437.00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夏阿大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1,989,760.00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岳炜、沈燕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2,065,145.00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2,045,145.00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毛建杰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2,092,838.00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2,072,838.00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黄旭华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2,100,531.00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王卫琴、陈小明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2,148,224.00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2,128,224.00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赵婷婷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2,175,916.00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沈艳、丁梓轩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2,203,609.00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2,183,609.00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潘松、蔡英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2,211,302.00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刘奕钢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134.31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2,162,070.00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2,142,070.00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王振宇、傅婷婷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2,169,987.00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2,218,281.00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2,198,281.00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杜嘉骏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2,226,576.00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蒋婷、周园</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2,274,871.00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2,254,871.00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刘长生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2,331,461.00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2,311,461.00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张凤乐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2,359,756.00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2,339,756.00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43-丙-1002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邓达、蒋红波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137.23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2,260,724.00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王爱莲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2,157,999.00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王晓丽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2,209,224.00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2,189,224.00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曹磊、田司琪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2,240,448.00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2,220,448.00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刘瑞杰、魏伟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2,271,673.00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2,251,673.00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2,282,898.00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蒋培荣、蒋淑英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2,334,123.00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399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2,365,347.00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2,345,347.00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万伟东、邵菊芬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2,396,572.00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2,376,572.00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孙维娜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2,427,797.00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陈梁、周捷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2,287,286.00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2,267,286.00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1,998,034.00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潘凌栋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2,025,935.00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2,005,935.00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李鸿峰、赵婧琦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2,053,836.00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2,033,836.00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刘玉飞、张美荣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2,081,737.00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2,061,737.00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邵骏飞、邓珍妮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2,109,638.00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2,089,638.00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蒋雨辰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2,137,539.00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2,117,539.00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冷亚华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2,165,440.00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2,145,440.00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48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储旻辉、郭婉、储青、裴福美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2,193,341.00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2,173,341.00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张语涵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2,221,242.00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2,201,242.00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徐春燕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2,095,688.00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别东远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135.22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1,991,415.00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1,971,415.00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张卫美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2,020,774.00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2,000,774.00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李沁莹、史俊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2,048,675.00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2,028,675.00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唐丽君、金虎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2,076,576.00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2,056,576.00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徐茜、徐内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2,104,477.00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陆阳、史燕静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2,132,378.00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张峰磊、姚瑶</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2,160,279.00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2,140,279.00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朱荷芬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2,188,180.00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张慧、费国超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2,216,081.00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2,196,081.00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王金福、张海涛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2,090,527.00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2,070,527.00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1,987,711.00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臧彦姣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2,015,612.00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1,995,612.00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莫惠芬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2,043,513.00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2,023,513.00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缪苗、汪金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2,071,414.00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乔楠、陈奕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2,099,315.00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2,079,315.00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庄源琳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2,107,216.00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储群、卢庆、卢尧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2,155,118.00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2,135,118.00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卞秀芬、张建强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2,183,019.00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2,163,019.00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倪恺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2,210,920.00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49-甲-1102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2,085,365.00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2,065,365.00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时晓芬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1,982,549.00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1,962,549.00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潘凌栋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2,010,451.00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1,990,451.00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周威廉、梅丽萍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2,038,352.00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2,018,352.00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王英、蒋斌松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2,066,253.00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2,046,253.00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丁文斌、丁梦琦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2,094,154.00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2,074,154.00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石晓荣、张敏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2,122,055.00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2,102,055.00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高祎玥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2,129,956.00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金怡、吴丁平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2,177,857.00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万琴娣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2,185,758.00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杨欢、闵敏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135.32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2,080,203.00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2,060,203.00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张雷、石建云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2,103,633.00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柳超、刘英杰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2,132,138.00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2,112,138.00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杨桂兰、薛金荣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2,160,643.00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2,140,643.00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戴文君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2,189,148.00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2,169,148.00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2,217,654.00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2,197,654.00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王杏琴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2,246,159.00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2,226,159.00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洪森、陈井玉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2,274,664.00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2,254,664.00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李建忠</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2,303,169.00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2,283,169.00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49-丙-1102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徐洪华、高文雅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138.25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2,174,896.00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2,154,896.00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胡启洋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246.83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8,926,525.00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8,866,525.00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孙剑、汪蓓红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234.54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5,384,527.00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5,364,527.00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朱玉霞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4,568,251.00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4,548,251.00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蒋晔冰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4,600,895.00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4,580,895.00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4,633,538.00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4,613,538.00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刘本成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184.64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4,666,125.00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4,646,125.00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13-107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214.69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5,283,077.00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孙剑、汪蓓红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4,322,361.00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4,302,361.00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陈益、潘海方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3,681,332.00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3,661,332.00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薛然之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3,714,539.00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3,694,539.00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3,747,747.00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3,727,747.00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王志方、王伟秀</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178.73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3,780,953.00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3,760,953.00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13-307</w:t>
            </w:r>
          </w:p>
        </w:tc>
        <w:tc>
          <w:tcPr>
            <w:tcW w:w="75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样板间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206.23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4,217,043.00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刘培军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5,218,159.00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5,198,159.00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庄玲云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4,622,807.00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4,602,807.00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包国波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186.34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4,677,339.00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4,657,339.00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万阿香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216.67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5,916,349.00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5,896,349.00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刘晓丽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4,152,272.00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4,132,272.00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胡荫俊、刘沛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3,727,868.00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3,707,868.00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壮雨婕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180.37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3,782,090.00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3,762,090.00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万阿香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4,253,542.00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4,233,542.00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赵韩斌、赵姝婷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5,560,448.00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5,540,448.00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殷炜晟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4,683,302.00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4,663,302.00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唐仲良、钱荷英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4,696,647.00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尹箭娇、沈飞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4,750,004.00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4,730,004.00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186.58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4,782,820.00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4,762,820.00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丁晶、顾行宪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229.56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5,725,810.00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罗毓琪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208.4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4,231,052.00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4,211,052.00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周国东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3,748,466.00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3,728,466.00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牟文洪、洪红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3,782,927.00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3,762,927.00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谈安琳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3,816,300.00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3,796,300.00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蒋和平、蒋熹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180.54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3,849,372.00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3,829,372.00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15-306</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4,208,901.00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陆俊,徐珊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9,646,195.00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9,626,195.00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5,826,195.00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233.56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5,408,816.00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5,388,816.00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方敏青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4,566,702.00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4,526,702.00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吴伟中</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183.65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4,620,997.00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4,600,997.00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18-105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周秋芬、张琳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214.82</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5,844,546.00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5,824,546.00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吉才相</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4,001,963.00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3,981,963.00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18-303</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3,657,203.00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3,712,065.00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3,692,065.00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18-305</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汪礼刚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203.19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4,306,529.00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4,286,529.00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贺建东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2,293,901.00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2,325,047.00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吴品旭</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2,356,194.00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2,387,340.00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2,377,340.00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2,418,487.00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499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路蓉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2,480,779.00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邵俊阳、章杨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2,511,926.00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杨用淘</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2,543,072.00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邹志军、葛金花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2,402,913.00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张春萍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2,038,759.00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李善臻、苏小燕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2,066,590.00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姜开芳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2,094,421.00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汪周萍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2,122,252.00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蒋文杰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2,150,082.00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陶珠</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2,177,913.00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王冕、王滢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2,205,744.00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巢琪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2,233,575.00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邓伟、王亚华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2,261,406.00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张炎斌、张亚红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2,136,167.00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蒋智春、李海燕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2,033,497.00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蒋沂含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封全翠</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2,089,159.00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48-丙-501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2,116,990.00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符梦娜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2,144,821.00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王文杰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2,172,652.00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张婷、赵鑫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2,200,482.00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胡金杰、庄玲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2,228,313.00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岳志龙、马洁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2,256,144.00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2,130,905.00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强美真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2,028,234.00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张传强、蔡静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2,056,065.00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魏玲玲、刘双全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2,083,896.00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苏伟娟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2,111,727.00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夏金龙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2,139,558.00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戚枫捷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2,167,389.00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万益峰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2,195,220.00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强海波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2,223,051.00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周小燕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2,250,881.00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48-甲-1102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芮黎阳、陈素娟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2,125,642.00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闻丹、庄源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2,022,972.00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2,050,803.00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朱志刚、孙萍萍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2,078,634.00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48-乙-502</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2,106,465.00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吴小兰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2,134,296.00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林洲怡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2,162,127.00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沈霞、陈海超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2,189,958.00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王浩丞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石静瑜、王骏、杨莉琴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2,245,620.00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高学峰、陈芝兰、高天雨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134.98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2,120,380.00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邵莹、邹玉娟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2,223,228.00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2,254,374.00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宋效斌、管守丽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2,285,521.00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沈捷、徐郡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2,316,667.00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2,347,813.00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翁志荣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2,378,960.00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梁胜娟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2,410,106.00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胡文国、丁雪琴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2,441,253.00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顾晓春、钱伟国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2,472,399.00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48-丙-1102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许紫霞、张燕杰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151.06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2,332,240.00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8,098,525.00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8,078,525.00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6-104</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秦峰、俞琴艳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9,917,427.00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9,897,427.00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徐晓怡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10,017,943.00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9,997,943.00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刘小刚、潘复敏、刘梓远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239.11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8,055,404.00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8,035,404.00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盛凌昊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2,325,796.00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范杰、陈静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2,387,239.00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张梦佳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2,417,961.00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施文锋、刘琴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2,448,682.00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薛敏龙、蒋瑛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2,479,404.00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朱锦美、马旭峰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2,510,126.00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祁美娟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2,540,847.00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壮瑾妤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2,571,569.00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袁珺、袁杏明、查惠琴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2,602,291.00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周文、何睦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2,633,012.00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张雨、李渤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2,494,765.00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上官彬、蒋珂</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2,066,762.00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陈逸鹏、丁颖</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2,121,665.00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杨国军、王超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2,149,116.00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杨晓军、柴敏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2,176,568.00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孙文丽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2,204,020.00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张丽、何季玮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2,231,471.00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周吉、杨慧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2,258,923.00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王新亚、荆志良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2,286,374.00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汤漪、魏玉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2,341,277.00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幢慧、壮全良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2,217,745.00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罗春红、谈金禅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2,061,296.00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2,051,296.00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杨海超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2,116,199.00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虞昕玮、霍琳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2,143,651.00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刘鑫、刘洪根、张俊和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2,171,102.00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王丽青、陈金兰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2,198,554.00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曾南荣、黄燕南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2,226,005.00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周悟、张红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2,253,457.00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周加进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张晓宁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2,308,360.00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柯彦伶</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2,335,811.00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杨明、张亚平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2,212,279.00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肖雨虹、周洋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2,055,830.00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沈纲、沈秀</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2,110,733.00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庄翎宜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2,138,185.00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张家中、李树丽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2,165,636.00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徐雅男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2,193,088.00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张雷、张丽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2,220,539.00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吴小伟、印丽梅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2,247,991.00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朱光辉、王明霞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2,275,442.00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599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左永红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2,302,894.00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陈建东、沈亚娟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2,330,345.00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42-甲-1102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史建平、盛美琳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2,050,364.00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张留芳、鞠文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2,105,267.00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石德权、王光艳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2,132,719.00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黄惠英、游秀源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2,160,170.00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薛娇、刘伟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2,187,622.00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沈爱琴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2,215,073.00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陈新、耿莉萍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2,242,525.00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袁伟平、李萍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2,269,976.00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2,297,428.00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李峰、王艳、李玉珊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2,324,879.00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夏宇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133.14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2,201,347.00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曹煜、谈鑫娟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2,252,394.00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王丹丹、丁毛磊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2,313,837.00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2,344,559.00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孙永峰、王丹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2,375,280.00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丁韬、黄嘉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2,406,002.00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许晓玉、吴新华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2,436,724.00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贾文平、周晓静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2,467,445.00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刘翠、张道发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2,498,167.00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毛建杰、周维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2,528,889.00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冯旭飞、谈霄燕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2,559,610.00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42-丙-1102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邓丽娜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2,421,363.00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华浚名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272.16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8,728,602.00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8,708,602.00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龚建芬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245.42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7,713,573.00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7,693,573.00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7-103</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龚建芬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268.49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9,127,902.00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9,107,902.00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钱燕春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1,220,313.00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36-甲-201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曹荣英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2,540,512.00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36-甲-301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顾晓明，吴亚萍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2,629,416.00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36-甲-401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王娟华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2,680,704.00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36-甲-501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张明亮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2,748,275.00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36-甲-601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张俭，沈颖倩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2,779,586.00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36-甲-701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肖敏、熊克胜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160.46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2,698,181.00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季刚 陈琳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2,173,611.00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吴镇，王晓薇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2,284,233.00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王卓平,张言</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2,355,951.00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755,951.00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36-乙-401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2,414,845.00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hint="eastAsia" w:ascii="宋体" w:hAnsi="宋体" w:cs="宋体"/>
                <w:color w:val="000000"/>
                <w:kern w:val="0"/>
                <w:sz w:val="15"/>
                <w:szCs w:val="15"/>
                <w:lang w:bidi="ar"/>
              </w:rPr>
              <w:t>乙</w:t>
            </w:r>
            <w:r>
              <w:rPr>
                <w:rFonts w:ascii="Arial" w:hAnsi="Arial" w:cs="Arial"/>
                <w:color w:val="000000"/>
                <w:kern w:val="0"/>
                <w:sz w:val="15"/>
                <w:szCs w:val="15"/>
                <w:lang w:bidi="ar"/>
              </w:rPr>
              <w:t>-501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2,472,615.00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36-乙-601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2,501,529.00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36-乙-701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2,429,288.00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何唯，万琳琳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148.08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2,151,752.00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36-丙-201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2,227,153.00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36-丙-301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2,331,735.00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36-丙-401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陈旭，沈斌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2,390,627.00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36-丙-501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葛依豪，章影月</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2,448,398.00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贺鹏岳,沈莉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2,477,315.00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1,277,315.00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36-丙-701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刘小强，郭晓雯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2,405,073.00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许海琴，刘松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2,187,132.00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36-甲-202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沈嘉，施姗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2,296,718.00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36-甲-302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张涵琦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2,370,417.00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36-甲-402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王娟华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2,429,302.00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36-甲-502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钱莹，张支峰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2,487,059.00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36-甲-602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洪娟，张波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2,515,964.00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张怿如 张伟东 张娟艳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2,425,705.00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颜香艳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2,163,927.00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36-乙-202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王贝贝</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2,274,548.00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36-乙-302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朱海春，朱婷婷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2,346,266.00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36-乙-402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魏忠伟，李贞贞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2,405,159.00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36-乙-502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曾亚芬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2,462,930.00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陈溢希</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2,491,842.00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36-乙-702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艾凌峰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148.18</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2,419,605.00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36-丙-202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2,058,644.00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36-丙-302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王春平，李雪飞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2,127,265.00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36-丙-402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邵爱梅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2,227,413.00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36-丙-502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郑亚娟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2,280,959.00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36-丙-602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赵逸鼎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2,306,968.00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36-丙-702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肖国斌，唐玉露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136.95</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2,240,723.00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李聪，郭梦娇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160.13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2,441,754.00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hint="eastAsia" w:ascii="宋体" w:hAnsi="宋体" w:cs="宋体"/>
                <w:color w:val="000000"/>
                <w:kern w:val="0"/>
                <w:sz w:val="15"/>
                <w:szCs w:val="15"/>
                <w:lang w:bidi="ar"/>
              </w:rPr>
              <w:t>甲</w:t>
            </w:r>
            <w:r>
              <w:rPr>
                <w:rFonts w:ascii="Arial" w:hAnsi="Arial" w:cs="Arial"/>
                <w:color w:val="000000"/>
                <w:kern w:val="0"/>
                <w:sz w:val="15"/>
                <w:szCs w:val="15"/>
                <w:lang w:bidi="ar"/>
              </w:rPr>
              <w:t>-201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王丽珍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2,534,809.00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薛斌渊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37-甲-401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李龙飞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2,631,746.00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李剑飞，江露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2,708,132.00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刘杭芳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2,749,182.00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朱金杰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2,773,952.00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曹永</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2,781,633.00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37-甲-901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包涵</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160.06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2,706,793.00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37-乙-101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吴纯辉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1,782,355.00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顾振波，高钰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2,272,551.00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2,328,804.00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王亮，夏倩妮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2,357,799.00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汪留洪 华玉芬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2,422,947.00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丁香奈儿</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2,460,854.00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37-乙-701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戴煊喆</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2,488,359.00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李菲菲，费敏</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2,509,950.00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37-乙-901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冯修华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2,450,131.00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陆志燕，程志军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2,315,121.00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李敏，缪璐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2,344,120.00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王士伟，周玲玲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2,400,666.00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姚莹，岳玮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2,440,054.00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张芃羽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2,473,196.00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纪小金，王旭岚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2,487,728.00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魏敏，陈诚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2,435,881.00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37-甲-102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吴纯辉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121.99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1,792,250.00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周鹏飞，顾燕琼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2,283,958.00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刘智威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2,340,195.00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郝新玲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2,369,186.00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黄剑明，王艳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2,434,313.00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谭文杰，是霞凤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2,472,208.00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699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贺筠雯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2,499,704.00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马丽慧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2,521,290.00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147.77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2,461,510.00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叶峰，张盛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147.91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2,184,538.00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37-乙-202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仇冠杰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2,262,929.00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余秀峰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2,319,183.00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陆佳虎，宋燕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2,348,179.00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余康，王慧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2,413,327.00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王舟超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2,451,234.00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董燕妮，夏晶俊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2,478,738.00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卢建军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2,500,329.00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魏爱春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147.81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2,440,510.00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汤飞燕，泰毅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2,143,137.00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杨静，邵梦洁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2,169,855.00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r>
              <w:rPr>
                <w:rFonts w:hint="eastAsia" w:ascii="宋体" w:hAnsi="宋体" w:cs="宋体"/>
                <w:color w:val="000000"/>
                <w:kern w:val="0"/>
                <w:sz w:val="15"/>
                <w:szCs w:val="15"/>
                <w:lang w:bidi="ar"/>
              </w:rPr>
              <w:t>丙</w:t>
            </w:r>
            <w:r>
              <w:rPr>
                <w:rFonts w:ascii="Arial" w:hAnsi="Arial" w:cs="Arial"/>
                <w:color w:val="000000"/>
                <w:kern w:val="0"/>
                <w:sz w:val="15"/>
                <w:szCs w:val="15"/>
                <w:lang w:bidi="ar"/>
              </w:rPr>
              <w:t>-502</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2,229,051.00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李康 冯乾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2,264,740.00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马荣，余清芬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2,297,668.00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肖家增，李燕荣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2,320,283.00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唐萍仙，王叶峰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136.61</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2,259,879.00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2,431,058.00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许俊华，贺云菲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2,525,644.00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绪欣，任圣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2,573,953.00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邱菲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2,603,910.00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曹春萍，恽婷婷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2,673,070.00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吴品旭，巫亚芬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2,717,201.00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陈阳，蒋慧玲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2,745,526.00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王翔，赵辉芳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2,767,716.00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159.87</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2,696,833.00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周益</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2,198,079.00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盛洲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2,267,102.00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马月勇，赵骏霞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2,325,209.00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李保林</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2,352,872.00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李超，李小方，戴惠芬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2,415,975.00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孙蓉蓉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2,456,724.00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曹亚芬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2,482,879.00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许鹏东，施小丽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2,503,368.00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周丽，袁建凯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2,437,914.00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38-丙-201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钱新露 史伟强</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2,222,902.00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38-丙-301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华建龙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2,296,956.00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38-丙-401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许海伟，李红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2,329,056.00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周冰洁 秦嘉佑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2,389,197.00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邵亚剑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2,432,906.00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2,456,105.00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38-丙-801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周禄高，蔡云霞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2,475,113.00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38-丙-901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2,406,703.00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黄秀冬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2,209,542.00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段卫权，齐晓慧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2,278,546.00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艾世忠，张茜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2,336,636.00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38-甲-402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朱英华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2,364,290.00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龚正保，薛国姝</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2,427,372.00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朱晓国 陈飞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2,468,115.00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陈燕 顾晓明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2,494,264.00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2,514,745.00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38-甲-902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蒋鑫</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147.59</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2,449,309.00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黄炀 周凤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2,173,064.00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戴旭伟，薛理媛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2,257,457.00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2,315,566.00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张佳，梅艳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2,343,226.00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陈皎，何云峰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2,406,327.00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管文煌，陈畅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2,447,078.00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顾金峰，汪志萍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2,473,234.00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费璐，费焕文</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2,493,722.00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朱欣雅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147.63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2,428,269.00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周硕硕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2,133,857.00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陈越，张琪</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2,160,706.00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薛怡媛 邓阳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2,217,390.00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2,256,298.00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38-丙-702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陈华芳，栾卫明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2,289,734.00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刘逸</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2,307,262.00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38-丙-902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潘晓伟，黄震波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136.44</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2,244,238.00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张宏辉，章倩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2,547,039.00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曹敬钟，赵月梅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2,596,635.00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虞姝琪，陈永健</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2,662,761.00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居光华，杨平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2,717,902.00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庄赵栋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谈黎刚，杨亚平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2,767,495.00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谢小娅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2,792,293.00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朱雯萱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2,812,080.00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高美玲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2,845,144.00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何宗九,方实珍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2,743,289.00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46-202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张宏辉，章倩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2,505,713.00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46-302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邵艳艳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2,555,304.00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46-402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班路，储巧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2,621,433.00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46-502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曹桂珍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2,676,574.00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46-602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郑龙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2,709,636.00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46-702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谈黎刚，杨亚平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2,726,169.00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46-802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许林，许娟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2,750,966.00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46-902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刘平，钟腊姐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2,770,753.00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46-1002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贺礼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2,803,815.00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46-1102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钱琳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168.53</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2,701,962.00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付娜，莫琦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2,530,962.00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李秀芬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2,580,563.00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朱琴亚</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2,646,703.00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朱琳，吴正洋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2,701,852.00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黄丽莉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胡古月，王玲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2,751,455.00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徐淑蕾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2,776,258.00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47-901</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杨燕，杜淳飞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2,796,050.00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2,496,050.00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邹林琦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2,829,116.00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47-1101</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蒋如立 孔秋莲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2,727,230.00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799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47-202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洑亦唯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2,489,625.00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47-302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张向斌，周洁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2,539,229.00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47-402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郁芳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2,605,364.00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47-502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尚乘 尚建达 陈佳美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2,660,515.00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47-602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黄丽莉，张浩</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2,693,585.00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47-702</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2,710,119.00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47-802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王岚，吴光辉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2,734,920.00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47-902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苏亚芳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2,754,712.00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47-1002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李慧</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2,787,782.00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47-1102</w:t>
            </w:r>
          </w:p>
        </w:tc>
        <w:tc>
          <w:tcPr>
            <w:tcW w:w="751" w:type="pct"/>
            <w:tcBorders>
              <w:top w:val="nil"/>
              <w:left w:val="single" w:color="000000" w:sz="4" w:space="0"/>
              <w:bottom w:val="single" w:color="000000" w:sz="4" w:space="0"/>
              <w:right w:val="nil"/>
            </w:tcBorders>
            <w:shd w:val="clear" w:color="auto" w:fill="auto"/>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周宇，芦春梅</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168.56</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2,685,894.00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12-101</w:t>
            </w:r>
          </w:p>
        </w:tc>
        <w:tc>
          <w:tcPr>
            <w:tcW w:w="751" w:type="pct"/>
            <w:tcBorders>
              <w:top w:val="nil"/>
              <w:left w:val="single" w:color="000000" w:sz="4" w:space="0"/>
              <w:bottom w:val="single" w:color="000000" w:sz="4" w:space="0"/>
              <w:right w:val="nil"/>
            </w:tcBorders>
            <w:shd w:val="clear" w:color="auto" w:fill="auto"/>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240.95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8,259,043.00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郦菊琴</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233.76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5,757,576.00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5,727,576.00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12-103</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刘斌，冯秋丹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4,930,798.00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4,900,798.00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12-104</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郁麟，罗蕾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4,899,644.00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4,869,644.00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12-105</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万文波</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4,868,489.00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4,838,489.00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12-106</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吴家丽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184.81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4,797,335.00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12-107</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214.69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5,552,091.00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5,522,091.00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1,662,091.00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12-302</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张晨妍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4,310,439.00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4,300,439.00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12-303</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刘慈洽，毛丽英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3,802,443.00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3,792,443.00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12-304</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岳剑波，沈烨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3,772,356.00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3,762,356.00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819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12-305</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蔡雅秋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3,742,268.00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3,732,268.00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12-306</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胡启洋</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178.48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3,712,180.00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3,702,180.00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12-307</w:t>
            </w:r>
          </w:p>
        </w:tc>
        <w:tc>
          <w:tcPr>
            <w:tcW w:w="7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朱奇艳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206.45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4,136,672.00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4,126,672.00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薛晓军,梁菊妹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6,242,073.00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6,222,073.00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3,022,073.00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张波,万文艳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5,139,998.00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5,119,998.00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4,609,998.00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李依</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5,123,811.00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5,103,811.00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1,533,811.00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李幼勤</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5,107,624.00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5,087,624.00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1,527,624.00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16-105</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丁伟华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5,061,341.00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5,041,341.00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2,061,341.00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16-106</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孙宾,肖淑华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5,982,148.00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5,962,148.00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1,792,148.00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朱玉峰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4,784,412.00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4,764,412.00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1,434,412.00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3,330,000.00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829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吴金涛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4,213,452.00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4,193,452.00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4,190,426.00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4,170,426.00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潘寒静</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4,174,779.00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4,154,779.00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1,254,779.00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16-305</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陈俊,徐燕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4,159,132.00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4,139,132.00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3,139,132.00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16-306</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张悦</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4,716,892.00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4,696,892.00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2,206,892.00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2,490,000.00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谢小玲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5,672,997.00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5,652,997.00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1,702,997.00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王嘉雯</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4,975,041.00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4,955,041.00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3,955,041.00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黄海涛,张震国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4,939,488.00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4,919,488.00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1,709,488.00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3,210,000.00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许丽萍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5,145,549.00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5,125,549.00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1,545,549.00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谢迪阳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4,381,501.00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4,361,501.00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1,311,501.00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3,050,000.00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839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林丹华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4,124,895.00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4,104,895.00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1,304,895.00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李峰,李丽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4,070,574.00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1,230,574.00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2,840,000.00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17-304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李明英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4,109,670.00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秦敏刚,钱小莉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226.51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6,130,058.00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6,110,058.00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3,110,058.00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顾文沁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4,978,522.00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4,958,522.00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1,488,522.00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朱小宇,杨柳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4,962,335.00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4,942,335.00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1,492,335.00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3,450,000.00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20-104</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4,946,149.00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20-105</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黄恺仑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186.63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4,929,962.00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4,909,962.00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2,009,962.00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20-106</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杨鲁平,高玉娟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216.81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5,855,815.00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5,835,815.00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3,235,815.00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孙郁,王娜菲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203.19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4,682,831.00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4,662,831.00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1,982,831.00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849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顾文沁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180.39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4,126,042.00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4,106,042.00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1,236,042.00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蒋霄宇,闵珂</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4,110,826.00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4,090,826.00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2,000,826.00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2,090,000.00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薛亮</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4,095,178.00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4,075,178.00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2,075,178.00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20-305</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符子扬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180.41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4,059,531.00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20-306</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王小可,何旭东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208.66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4,679,471.00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4,659,471.00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1,399,471.00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蒋必彪,谢章丽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5,499,533.00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5,479,533.00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2,079,533.00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赵金叶,姜晓军</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4,874,146.00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4,854,146.00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3,854,146.00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21-103</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4,856,369.00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周俭,赵丽娜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5,010,930.00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4,990,930.00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2,320,930.00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蔡成林,邹荣兰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4,329,745.00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4,309,745.00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3,009,745.00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1,300,000.00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859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华杰,孙娟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4,048,787.00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4,028,787.00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2,828,787.00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陈敏妤,韦国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4,014,465.00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3,994,465.00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1,204,465.00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2,790,000.00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薛汝生,朱爱兰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4,065,806.00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4,045,806.00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1,215,806.00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2,830,000.00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5,769,937.00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5,696,491.00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5,676,491.00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4,531,591.00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庄稼</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4,495,207.00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4,475,207.00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5,556,798.00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曹洋,王蕾</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4,934,281.00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4,914,281.00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1,484,281.00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3,430,000.00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许伟忠,余晨</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4,916,504.00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4,896,504.00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869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陈薛,张琳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5,399,748.00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5,379,748.00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2,009,748.00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高盘君,朱晓明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4,335,379.00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4,315,379.00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1,295,379.00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3,020,000.00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吕成晞,高楚嫣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4,079,491.00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4,059,491.00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杨奇乐</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4,062,330.00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4,042,330.00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1,622,330.00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26-304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周鹏鹏,陈叶</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4,205,398.00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4,185,398.00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庄英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5,453,934.00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5,433,934.00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1,633,934.00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3,800,000.00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27-102</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4,827,665.00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27-103</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4,809,888.00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27-104</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4,982,179.00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4,248,725.00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879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张继国，宦娟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3,985,106.00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3,965,106.00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1,195,106.00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2,770,000.00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27-303</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3,967,946.00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27-304</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3,980,860.00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李发君,庄新娟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5,686,734.00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5,666,734.00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李发君,庄新娟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215.59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5,513,086.00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5,493,086.00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李阳,易亚玲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4,523,292.00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4,503,292.00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32-302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李阳,易亚玲</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207.31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4,455,371.00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4,435,371.00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徐姣</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5,324,487.00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5,304,487.00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1,594,487.00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3,710,000.00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雷益娟</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4,788,382.00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4,768,382.00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1,438,382.00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3,330,000.00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赵小玲,徐国峰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4,770,606.00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4,750,606.00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889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马锁福,李雪花</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5,315,456.00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5,295,456.00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3,315,456.00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桑烽燕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4,266,087.00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4,246,087.00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庞祥妹</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3,972,815.00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3,952,815.00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2,952,815.00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33-303</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3,955,654.00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33-304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卞正峰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4,066,871.00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200,000.00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认购</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周铖,邵云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5,331,773.00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5,311,773.00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3,511,773.00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王云芬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4,752,873.00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4,732,873.00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1,422,873.00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3,310,000.00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史俊杰,季燕芬</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204.96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4,735,096.00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4,715,096.00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1,415,096.00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3,300,000.00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薛琪,李舒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208.25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4,891,848.00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4,871,848.00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1,471,848.00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余凯,庄丽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4,075,536.00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4,055,536.00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1,405,536.00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2,650,000.00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899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周芝萍</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3,938,493.00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3,918,493.00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2,018,493.00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蒋友新</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197.86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3,921,333.00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3,901,333.00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1,171,333.00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2,730,000.00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34-304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刘亚萍,宣伟锋,宣一凡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199.82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3,935,254.00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3,915,254.00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2,055,254.00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顾磊,张亚明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272.58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10,111,543.00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10,091,543.00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3,031,543.00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徐水竹,庄洁</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8,283,558.00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8,263,558.00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2,483,558.00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黄芳</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8,191,045.00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8,171,045.00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2,471,045.00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5,700,000.00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8-104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林明霞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238.49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8,615,539.00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8,595,539.00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272.60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9,621,450.00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雷春生,龙海燕</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7,979,138.00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7,959,138.00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4,779,138.00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3,180,000.00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束羽</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242.75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7,890,191.00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7,870,191.00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2,370,191.00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5,500,000.00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909</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9-104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许震宇,张云霞</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272.70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9,146,274.00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9,126,274.00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3,126,274.00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6,000,000.00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910</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10-101</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莫艳婷</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189.17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7,117,115.00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7,097,115.00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3,437,115.00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3,660,000.00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911</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王莉莉</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8,193,608.00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8,173,608.00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912</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朱文东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238.66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8,152,156.00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8,132,156.00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4,882,156.00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3,250,000.00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913</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朱文东</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238.97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8,120,775.00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8,100,775.00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4,860,775.00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3,240,000.00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914</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10-105</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袁建民</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274.03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9,841,685.00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9,821,685.00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915</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11-101</w:t>
            </w:r>
          </w:p>
        </w:tc>
        <w:tc>
          <w:tcPr>
            <w:tcW w:w="751" w:type="pct"/>
            <w:tcBorders>
              <w:top w:val="nil"/>
              <w:left w:val="single" w:color="000000" w:sz="4" w:space="0"/>
              <w:bottom w:val="single" w:color="000000" w:sz="4" w:space="0"/>
              <w:right w:val="nil"/>
            </w:tcBorders>
            <w:shd w:val="clear" w:color="auto" w:fill="auto"/>
            <w:noWrap/>
            <w:vAlign w:val="center"/>
          </w:tcPr>
          <w:p>
            <w:pPr>
              <w:jc w:val="center"/>
              <w:rPr>
                <w:rFonts w:ascii="宋体" w:hAnsi="宋体" w:cs="宋体"/>
                <w:color w:val="000000"/>
                <w:sz w:val="15"/>
                <w:szCs w:val="15"/>
              </w:rPr>
            </w:pP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9,245,653.00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5"/>
                <w:szCs w:val="15"/>
              </w:rPr>
            </w:pP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未售</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916</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11-102</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蒋怡青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7,924,397.00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7,904,397.00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4,504,397.00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3,400,000.00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917</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11-103</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陆汉伟,王晓燕,陆天寒</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243.04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7,835,344.00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7,815,344.00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918</w:t>
            </w:r>
          </w:p>
        </w:tc>
        <w:tc>
          <w:tcPr>
            <w:tcW w:w="2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11-104</w:t>
            </w:r>
          </w:p>
        </w:tc>
        <w:tc>
          <w:tcPr>
            <w:tcW w:w="751" w:type="pct"/>
            <w:tcBorders>
              <w:top w:val="nil"/>
              <w:left w:val="single" w:color="000000" w:sz="4" w:space="0"/>
              <w:bottom w:val="single" w:color="000000" w:sz="4" w:space="0"/>
              <w:right w:val="nil"/>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陈小虎</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272.99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8,741,433.00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8,721,433.00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0.00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签约</w:t>
            </w:r>
          </w:p>
        </w:tc>
      </w:tr>
      <w:tr>
        <w:tblPrEx>
          <w:tblCellMar>
            <w:top w:w="0" w:type="dxa"/>
            <w:left w:w="108" w:type="dxa"/>
            <w:bottom w:w="0" w:type="dxa"/>
            <w:right w:w="108" w:type="dxa"/>
          </w:tblCellMar>
        </w:tblPrEx>
        <w:trPr>
          <w:trHeight w:val="270" w:hRule="atLeast"/>
        </w:trPr>
        <w:tc>
          <w:tcPr>
            <w:tcW w:w="170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15"/>
                <w:szCs w:val="15"/>
              </w:rPr>
            </w:pPr>
            <w:r>
              <w:rPr>
                <w:rFonts w:hint="eastAsia" w:ascii="宋体" w:hAnsi="宋体" w:cs="宋体"/>
                <w:color w:val="000000"/>
                <w:kern w:val="0"/>
                <w:sz w:val="15"/>
                <w:szCs w:val="15"/>
                <w:lang w:bidi="ar"/>
              </w:rPr>
              <w:t>总计</w:t>
            </w:r>
          </w:p>
        </w:tc>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146,075.18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2,766,629,316.00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2,586,540,318.00 </w:t>
            </w:r>
          </w:p>
        </w:tc>
        <w:tc>
          <w:tcPr>
            <w:tcW w:w="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2,374,068,650.00 </w:t>
            </w:r>
          </w:p>
        </w:tc>
        <w:tc>
          <w:tcPr>
            <w:tcW w:w="6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 xml:space="preserve">214,441,668.00 </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000000"/>
                <w:sz w:val="15"/>
                <w:szCs w:val="15"/>
              </w:rPr>
            </w:pPr>
          </w:p>
        </w:tc>
      </w:tr>
    </w:tbl>
    <w:p>
      <w:pPr>
        <w:rPr>
          <w:rFonts w:ascii="Arial" w:hAnsi="Arial" w:cs="Arial"/>
        </w:rPr>
      </w:pPr>
    </w:p>
    <w:p>
      <w:pPr>
        <w:rPr>
          <w:rFonts w:ascii="Arial" w:hAnsi="Arial" w:cs="Arial"/>
        </w:rPr>
      </w:pPr>
    </w:p>
    <w:p>
      <w:pPr>
        <w:rPr>
          <w:rFonts w:ascii="Arial" w:hAnsi="Arial" w:cs="Arial"/>
        </w:rPr>
      </w:pPr>
    </w:p>
    <w:p>
      <w:pPr>
        <w:widowControl/>
        <w:jc w:val="left"/>
        <w:rPr>
          <w:rFonts w:ascii="Arial" w:hAnsi="Arial" w:cs="Arial"/>
          <w:b/>
          <w:bCs/>
          <w:kern w:val="44"/>
          <w:sz w:val="24"/>
          <w:szCs w:val="44"/>
        </w:rPr>
      </w:pPr>
      <w:r>
        <w:rPr>
          <w:rFonts w:ascii="Arial" w:hAnsi="Arial" w:cs="Arial"/>
          <w:sz w:val="24"/>
        </w:rPr>
        <w:br w:type="page"/>
      </w:r>
    </w:p>
    <w:p>
      <w:pPr>
        <w:pStyle w:val="2"/>
        <w:keepNext w:val="0"/>
        <w:keepLines w:val="0"/>
        <w:spacing w:before="300" w:after="300" w:line="360" w:lineRule="exact"/>
        <w:jc w:val="left"/>
        <w:rPr>
          <w:rFonts w:ascii="Arial" w:hAnsi="Arial" w:cs="Arial"/>
        </w:rPr>
      </w:pPr>
      <w:bookmarkStart w:id="97" w:name="_Toc24573"/>
      <w:r>
        <w:rPr>
          <w:rFonts w:ascii="Arial" w:hAnsi="Arial" w:cs="Arial"/>
          <w:sz w:val="24"/>
        </w:rPr>
        <w:t>附件二 银行对账单</w:t>
      </w:r>
      <w:bookmarkEnd w:id="95"/>
      <w:bookmarkEnd w:id="97"/>
    </w:p>
    <w:p>
      <w:pPr>
        <w:jc w:val="center"/>
        <w:rPr>
          <w:rFonts w:ascii="Arial" w:hAnsi="Arial" w:cs="Arial"/>
        </w:rPr>
      </w:pPr>
      <w:bookmarkStart w:id="98" w:name="_Toc7439"/>
      <w:bookmarkStart w:id="99" w:name="_Toc31832"/>
      <w:r>
        <w:rPr>
          <w:rFonts w:ascii="Arial" w:hAnsi="Arial" w:cs="Arial"/>
        </w:rPr>
        <w:t>中国银行股份有限公司常州武进支行</w:t>
      </w:r>
      <w:bookmarkEnd w:id="98"/>
      <w:bookmarkStart w:id="100" w:name="_Toc18047"/>
      <w:r>
        <w:rPr>
          <w:rFonts w:ascii="Arial" w:hAnsi="Arial" w:cs="Arial"/>
        </w:rPr>
        <w:t>对账单</w:t>
      </w:r>
      <w:bookmarkEnd w:id="99"/>
    </w:p>
    <w:p>
      <w:pPr>
        <w:jc w:val="center"/>
        <w:rPr>
          <w:rFonts w:ascii="Arial" w:hAnsi="Arial" w:cs="Arial"/>
        </w:rPr>
      </w:pPr>
      <w:bookmarkStart w:id="101" w:name="_Toc7379"/>
      <w:r>
        <w:rPr>
          <w:rFonts w:ascii="Arial" w:hAnsi="Arial" w:cs="Arial"/>
        </w:rPr>
        <w:t>（2021年</w:t>
      </w:r>
      <w:r>
        <w:rPr>
          <w:rFonts w:hint="eastAsia" w:ascii="Arial" w:hAnsi="Arial" w:cs="Arial"/>
        </w:rPr>
        <w:t>5</w:t>
      </w:r>
      <w:r>
        <w:rPr>
          <w:rFonts w:ascii="Arial" w:hAnsi="Arial" w:cs="Arial"/>
        </w:rPr>
        <w:t>月）</w:t>
      </w:r>
      <w:bookmarkEnd w:id="100"/>
      <w:bookmarkEnd w:id="101"/>
    </w:p>
    <w:p>
      <w:pPr>
        <w:jc w:val="center"/>
        <w:rPr>
          <w:rFonts w:hint="eastAsia" w:ascii="Arial" w:hAnsi="Arial" w:cs="Arial" w:eastAsiaTheme="minorEastAsia"/>
          <w:lang w:eastAsia="zh-CN"/>
        </w:rPr>
      </w:pPr>
      <w:r>
        <w:rPr>
          <w:rFonts w:hint="eastAsia" w:ascii="Arial" w:hAnsi="Arial" w:cs="Arial" w:eastAsiaTheme="minorEastAsia"/>
          <w:color w:val="000000"/>
          <w:sz w:val="24"/>
        </w:rPr>
        <w:drawing>
          <wp:inline distT="0" distB="0" distL="114300" distR="114300">
            <wp:extent cx="5902325" cy="7885430"/>
            <wp:effectExtent l="0" t="0" r="3175" b="1270"/>
            <wp:docPr id="34" name="图片 34" descr="2021.05余额对账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1.05余额对账单"/>
                    <pic:cNvPicPr>
                      <a:picLocks noChangeAspect="1"/>
                    </pic:cNvPicPr>
                  </pic:nvPicPr>
                  <pic:blipFill>
                    <a:blip r:embed="rId21"/>
                    <a:stretch>
                      <a:fillRect/>
                    </a:stretch>
                  </pic:blipFill>
                  <pic:spPr>
                    <a:xfrm>
                      <a:off x="0" y="0"/>
                      <a:ext cx="5902325" cy="788543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6" name="图片 6" descr="中国银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中国银行-1"/>
                    <pic:cNvPicPr>
                      <a:picLocks noChangeAspect="1"/>
                    </pic:cNvPicPr>
                  </pic:nvPicPr>
                  <pic:blipFill>
                    <a:blip r:embed="rId22"/>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19" name="图片 19" descr="中国银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国银行-2"/>
                    <pic:cNvPicPr>
                      <a:picLocks noChangeAspect="1"/>
                    </pic:cNvPicPr>
                  </pic:nvPicPr>
                  <pic:blipFill>
                    <a:blip r:embed="rId23"/>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35" name="图片 35" descr="中国银行-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中国银行-3"/>
                    <pic:cNvPicPr>
                      <a:picLocks noChangeAspect="1"/>
                    </pic:cNvPicPr>
                  </pic:nvPicPr>
                  <pic:blipFill>
                    <a:blip r:embed="rId24"/>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36" name="图片 36" descr="中国银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中国银行-4"/>
                    <pic:cNvPicPr>
                      <a:picLocks noChangeAspect="1"/>
                    </pic:cNvPicPr>
                  </pic:nvPicPr>
                  <pic:blipFill>
                    <a:blip r:embed="rId25"/>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37" name="图片 37" descr="中国银行-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中国银行-5"/>
                    <pic:cNvPicPr>
                      <a:picLocks noChangeAspect="1"/>
                    </pic:cNvPicPr>
                  </pic:nvPicPr>
                  <pic:blipFill>
                    <a:blip r:embed="rId26"/>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38" name="图片 38" descr="中国银行-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中国银行-6"/>
                    <pic:cNvPicPr>
                      <a:picLocks noChangeAspect="1"/>
                    </pic:cNvPicPr>
                  </pic:nvPicPr>
                  <pic:blipFill>
                    <a:blip r:embed="rId27"/>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39" name="图片 39" descr="中国银行-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中国银行-7"/>
                    <pic:cNvPicPr>
                      <a:picLocks noChangeAspect="1"/>
                    </pic:cNvPicPr>
                  </pic:nvPicPr>
                  <pic:blipFill>
                    <a:blip r:embed="rId28"/>
                    <a:stretch>
                      <a:fillRect/>
                    </a:stretch>
                  </pic:blipFill>
                  <pic:spPr>
                    <a:xfrm>
                      <a:off x="0" y="0"/>
                      <a:ext cx="5894705" cy="4166870"/>
                    </a:xfrm>
                    <a:prstGeom prst="rect">
                      <a:avLst/>
                    </a:prstGeom>
                  </pic:spPr>
                </pic:pic>
              </a:graphicData>
            </a:graphic>
          </wp:inline>
        </w:drawing>
      </w:r>
      <w:r>
        <w:rPr>
          <w:rFonts w:hint="eastAsia" w:ascii="Arial" w:hAnsi="Arial" w:cs="Arial" w:eastAsiaTheme="minorEastAsia"/>
          <w:lang w:eastAsia="zh-CN"/>
        </w:rPr>
        <w:drawing>
          <wp:inline distT="0" distB="0" distL="114300" distR="114300">
            <wp:extent cx="5894705" cy="4166870"/>
            <wp:effectExtent l="0" t="0" r="10795" b="5080"/>
            <wp:docPr id="40" name="图片 40" descr="中国银行-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中国银行-8"/>
                    <pic:cNvPicPr>
                      <a:picLocks noChangeAspect="1"/>
                    </pic:cNvPicPr>
                  </pic:nvPicPr>
                  <pic:blipFill>
                    <a:blip r:embed="rId29"/>
                    <a:stretch>
                      <a:fillRect/>
                    </a:stretch>
                  </pic:blipFill>
                  <pic:spPr>
                    <a:xfrm>
                      <a:off x="0" y="0"/>
                      <a:ext cx="5894705" cy="4166870"/>
                    </a:xfrm>
                    <a:prstGeom prst="rect">
                      <a:avLst/>
                    </a:prstGeom>
                  </pic:spPr>
                </pic:pic>
              </a:graphicData>
            </a:graphic>
          </wp:inline>
        </w:drawing>
      </w:r>
    </w:p>
    <w:p>
      <w:pPr>
        <w:jc w:val="center"/>
        <w:rPr>
          <w:rFonts w:ascii="Arial" w:hAnsi="Arial" w:cs="Arial"/>
        </w:rPr>
      </w:pPr>
      <w:bookmarkStart w:id="102" w:name="_Toc16074"/>
      <w:bookmarkStart w:id="103" w:name="_Toc1968"/>
      <w:bookmarkStart w:id="104" w:name="_Toc23608"/>
    </w:p>
    <w:p>
      <w:pPr>
        <w:jc w:val="center"/>
        <w:rPr>
          <w:rFonts w:ascii="Arial" w:hAnsi="Arial" w:cs="Arial"/>
        </w:rPr>
      </w:pPr>
    </w:p>
    <w:p>
      <w:pPr>
        <w:jc w:val="center"/>
        <w:rPr>
          <w:rFonts w:ascii="Arial" w:hAnsi="Arial" w:cs="Arial"/>
        </w:rPr>
      </w:pPr>
      <w:r>
        <w:rPr>
          <w:rFonts w:ascii="Arial" w:hAnsi="Arial" w:cs="Arial"/>
        </w:rPr>
        <w:t>中国建设银行常州丰乐支行对账单</w:t>
      </w:r>
      <w:bookmarkEnd w:id="102"/>
      <w:bookmarkEnd w:id="103"/>
    </w:p>
    <w:p>
      <w:pPr>
        <w:jc w:val="center"/>
        <w:rPr>
          <w:rFonts w:ascii="Arial" w:hAnsi="Arial" w:cs="Arial" w:eastAsiaTheme="minorEastAsia"/>
          <w:color w:val="000000"/>
          <w:sz w:val="24"/>
        </w:rPr>
      </w:pPr>
      <w:bookmarkStart w:id="105" w:name="_Toc12611"/>
      <w:r>
        <w:rPr>
          <w:rFonts w:ascii="Arial" w:hAnsi="Arial" w:cs="Arial"/>
        </w:rPr>
        <w:t>（2021年</w:t>
      </w:r>
      <w:r>
        <w:rPr>
          <w:rFonts w:hint="eastAsia" w:ascii="Arial" w:hAnsi="Arial" w:cs="Arial"/>
        </w:rPr>
        <w:t>5</w:t>
      </w:r>
      <w:r>
        <w:rPr>
          <w:rFonts w:ascii="Arial" w:hAnsi="Arial" w:cs="Arial"/>
        </w:rPr>
        <w:t>月</w:t>
      </w:r>
      <w:r>
        <w:rPr>
          <w:rFonts w:hint="eastAsia" w:ascii="Arial" w:hAnsi="Arial" w:cs="Arial"/>
          <w:lang w:val="en-US" w:eastAsia="zh-CN"/>
        </w:rPr>
        <w:t>无变动</w:t>
      </w:r>
      <w:r>
        <w:rPr>
          <w:rFonts w:ascii="Arial" w:hAnsi="Arial" w:cs="Arial"/>
        </w:rPr>
        <w:t>）</w:t>
      </w:r>
      <w:bookmarkEnd w:id="105"/>
      <w:r>
        <w:rPr>
          <w:rFonts w:ascii="Arial" w:hAnsi="Arial" w:cs="Arial" w:eastAsiaTheme="minorEastAsia"/>
          <w:color w:val="000000"/>
          <w:sz w:val="24"/>
        </w:rPr>
        <w:drawing>
          <wp:inline distT="0" distB="0" distL="114300" distR="114300">
            <wp:extent cx="4510405" cy="5770245"/>
            <wp:effectExtent l="0" t="0" r="1905" b="4445"/>
            <wp:docPr id="53" name="图片 53" descr="img-X13140442-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X13140442-0011"/>
                    <pic:cNvPicPr>
                      <a:picLocks noChangeAspect="1"/>
                    </pic:cNvPicPr>
                  </pic:nvPicPr>
                  <pic:blipFill>
                    <a:blip r:embed="rId30"/>
                    <a:stretch>
                      <a:fillRect/>
                    </a:stretch>
                  </pic:blipFill>
                  <pic:spPr>
                    <a:xfrm rot="16200000">
                      <a:off x="0" y="0"/>
                      <a:ext cx="4510405" cy="5770245"/>
                    </a:xfrm>
                    <a:prstGeom prst="rect">
                      <a:avLst/>
                    </a:prstGeom>
                  </pic:spPr>
                </pic:pic>
              </a:graphicData>
            </a:graphic>
          </wp:inline>
        </w:drawing>
      </w:r>
    </w:p>
    <w:p>
      <w:pPr>
        <w:widowControl/>
        <w:jc w:val="left"/>
        <w:rPr>
          <w:rFonts w:ascii="Arial" w:hAnsi="Arial" w:cs="Arial" w:eastAsiaTheme="minorEastAsia"/>
          <w:color w:val="000000"/>
          <w:sz w:val="24"/>
        </w:rPr>
      </w:pPr>
    </w:p>
    <w:p>
      <w:pPr>
        <w:jc w:val="center"/>
        <w:rPr>
          <w:rFonts w:ascii="Arial" w:hAnsi="Arial" w:cs="Arial"/>
        </w:rPr>
      </w:pPr>
      <w:bookmarkStart w:id="106" w:name="_Toc14747"/>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r>
        <w:rPr>
          <w:rFonts w:ascii="Arial" w:hAnsi="Arial" w:cs="Arial"/>
        </w:rPr>
        <w:t>江南农村商业银行湖塘支行</w:t>
      </w:r>
      <w:bookmarkEnd w:id="104"/>
      <w:bookmarkStart w:id="107" w:name="_Toc22247"/>
      <w:r>
        <w:rPr>
          <w:rFonts w:ascii="Arial" w:hAnsi="Arial" w:cs="Arial"/>
        </w:rPr>
        <w:t>对账单</w:t>
      </w:r>
      <w:bookmarkEnd w:id="106"/>
    </w:p>
    <w:p>
      <w:pPr>
        <w:jc w:val="center"/>
        <w:rPr>
          <w:rFonts w:ascii="Arial" w:hAnsi="Arial" w:cs="Arial"/>
        </w:rPr>
      </w:pPr>
      <w:bookmarkStart w:id="108" w:name="_Toc1540"/>
      <w:r>
        <w:rPr>
          <w:rFonts w:ascii="Arial" w:hAnsi="Arial" w:cs="Arial"/>
        </w:rPr>
        <w:t>（2021年</w:t>
      </w:r>
      <w:r>
        <w:rPr>
          <w:rFonts w:hint="eastAsia" w:ascii="Arial" w:hAnsi="Arial" w:cs="Arial"/>
        </w:rPr>
        <w:t>5</w:t>
      </w:r>
      <w:r>
        <w:rPr>
          <w:rFonts w:ascii="Arial" w:hAnsi="Arial" w:cs="Arial"/>
        </w:rPr>
        <w:t>月）</w:t>
      </w:r>
      <w:bookmarkEnd w:id="107"/>
      <w:bookmarkEnd w:id="108"/>
    </w:p>
    <w:p>
      <w:pPr>
        <w:jc w:val="center"/>
        <w:rPr>
          <w:rFonts w:ascii="Arial" w:hAnsi="Arial" w:cs="Arial" w:eastAsiaTheme="minorEastAsia"/>
          <w:color w:val="000000"/>
          <w:kern w:val="0"/>
          <w:sz w:val="24"/>
          <w:szCs w:val="28"/>
        </w:rPr>
      </w:pPr>
    </w:p>
    <w:p>
      <w:pPr>
        <w:jc w:val="center"/>
        <w:rPr>
          <w:rFonts w:ascii="Arial" w:hAnsi="Arial" w:cs="Arial" w:eastAsiaTheme="minorEastAsia"/>
          <w:color w:val="000000"/>
          <w:kern w:val="0"/>
          <w:sz w:val="24"/>
          <w:szCs w:val="28"/>
        </w:rPr>
      </w:pPr>
      <w:r>
        <w:rPr>
          <w:rFonts w:ascii="Arial" w:hAnsi="Arial" w:cs="Arial" w:eastAsiaTheme="minorEastAsia"/>
          <w:color w:val="000000"/>
          <w:kern w:val="0"/>
          <w:sz w:val="24"/>
          <w:szCs w:val="28"/>
        </w:rPr>
        <w:drawing>
          <wp:inline distT="0" distB="0" distL="114300" distR="114300">
            <wp:extent cx="5894705" cy="4166870"/>
            <wp:effectExtent l="0" t="0" r="10795" b="5080"/>
            <wp:docPr id="41" name="图片 41" descr="江南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江南银行"/>
                    <pic:cNvPicPr>
                      <a:picLocks noChangeAspect="1"/>
                    </pic:cNvPicPr>
                  </pic:nvPicPr>
                  <pic:blipFill>
                    <a:blip r:embed="rId31"/>
                    <a:stretch>
                      <a:fillRect/>
                    </a:stretch>
                  </pic:blipFill>
                  <pic:spPr>
                    <a:xfrm rot="10800000">
                      <a:off x="0" y="0"/>
                      <a:ext cx="5894705" cy="4166870"/>
                    </a:xfrm>
                    <a:prstGeom prst="rect">
                      <a:avLst/>
                    </a:prstGeom>
                  </pic:spPr>
                </pic:pic>
              </a:graphicData>
            </a:graphic>
          </wp:inline>
        </w:drawing>
      </w:r>
      <w:r>
        <w:rPr>
          <w:rFonts w:ascii="Arial" w:hAnsi="Arial" w:cs="Arial" w:eastAsiaTheme="minorEastAsia"/>
          <w:color w:val="000000"/>
          <w:kern w:val="0"/>
          <w:sz w:val="24"/>
          <w:szCs w:val="28"/>
        </w:rPr>
        <w:br w:type="page"/>
      </w:r>
    </w:p>
    <w:p>
      <w:pPr>
        <w:jc w:val="center"/>
        <w:rPr>
          <w:rFonts w:ascii="Arial" w:hAnsi="Arial" w:cs="Arial"/>
        </w:rPr>
      </w:pPr>
      <w:bookmarkStart w:id="109" w:name="_Toc11298"/>
      <w:bookmarkStart w:id="110" w:name="_Toc3391"/>
      <w:r>
        <w:rPr>
          <w:rFonts w:ascii="Arial" w:hAnsi="Arial" w:cs="Arial"/>
        </w:rPr>
        <w:t>南京银行常州分行</w:t>
      </w:r>
      <w:bookmarkEnd w:id="109"/>
      <w:r>
        <w:rPr>
          <w:rFonts w:ascii="Arial" w:hAnsi="Arial" w:cs="Arial"/>
        </w:rPr>
        <w:t>对账单</w:t>
      </w:r>
      <w:bookmarkEnd w:id="110"/>
    </w:p>
    <w:p>
      <w:pPr>
        <w:jc w:val="center"/>
        <w:rPr>
          <w:rFonts w:ascii="Arial" w:hAnsi="Arial" w:cs="Arial"/>
        </w:rPr>
      </w:pPr>
      <w:bookmarkStart w:id="111" w:name="_Toc29897"/>
      <w:bookmarkStart w:id="112" w:name="_Toc14679"/>
      <w:r>
        <w:rPr>
          <w:rFonts w:ascii="Arial" w:hAnsi="Arial" w:cs="Arial"/>
        </w:rPr>
        <w:t>（2021年</w:t>
      </w:r>
      <w:r>
        <w:rPr>
          <w:rFonts w:hint="eastAsia" w:ascii="Arial" w:hAnsi="Arial" w:cs="Arial"/>
        </w:rPr>
        <w:t>5</w:t>
      </w:r>
      <w:r>
        <w:rPr>
          <w:rFonts w:ascii="Arial" w:hAnsi="Arial" w:cs="Arial"/>
        </w:rPr>
        <w:t>月）</w:t>
      </w:r>
      <w:bookmarkEnd w:id="111"/>
      <w:bookmarkEnd w:id="112"/>
    </w:p>
    <w:p>
      <w:pPr>
        <w:jc w:val="center"/>
        <w:rPr>
          <w:rFonts w:ascii="Arial" w:hAnsi="Arial" w:cs="Arial" w:eastAsiaTheme="minorEastAsia"/>
          <w:color w:val="000000"/>
          <w:kern w:val="0"/>
          <w:sz w:val="24"/>
          <w:szCs w:val="28"/>
        </w:rPr>
      </w:pPr>
    </w:p>
    <w:p>
      <w:pPr>
        <w:rPr>
          <w:rFonts w:hint="eastAsia" w:ascii="Arial" w:hAnsi="Arial" w:eastAsia="宋体" w:cs="Arial"/>
          <w:lang w:eastAsia="zh-CN"/>
        </w:rPr>
      </w:pPr>
      <w:r>
        <w:rPr>
          <w:rFonts w:hint="eastAsia" w:ascii="Arial" w:hAnsi="Arial" w:eastAsia="宋体" w:cs="Arial"/>
          <w:lang w:eastAsia="zh-CN"/>
        </w:rPr>
        <w:drawing>
          <wp:inline distT="0" distB="0" distL="114300" distR="114300">
            <wp:extent cx="5894705" cy="5901055"/>
            <wp:effectExtent l="0" t="0" r="4445" b="10795"/>
            <wp:docPr id="42" name="图片 42" descr="南京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南京银行"/>
                    <pic:cNvPicPr>
                      <a:picLocks noChangeAspect="1"/>
                    </pic:cNvPicPr>
                  </pic:nvPicPr>
                  <pic:blipFill>
                    <a:blip r:embed="rId32"/>
                    <a:stretch>
                      <a:fillRect/>
                    </a:stretch>
                  </pic:blipFill>
                  <pic:spPr>
                    <a:xfrm rot="16200000">
                      <a:off x="0" y="0"/>
                      <a:ext cx="5894705" cy="5901055"/>
                    </a:xfrm>
                    <a:prstGeom prst="rect">
                      <a:avLst/>
                    </a:prstGeom>
                  </pic:spPr>
                </pic:pic>
              </a:graphicData>
            </a:graphic>
          </wp:inline>
        </w:drawing>
      </w:r>
    </w:p>
    <w:p>
      <w:pPr>
        <w:jc w:val="left"/>
        <w:rPr>
          <w:rFonts w:ascii="Arial" w:hAnsi="Arial" w:cs="Arial"/>
        </w:rPr>
      </w:pPr>
      <w:bookmarkStart w:id="113" w:name="_Toc14654"/>
      <w:bookmarkStart w:id="114" w:name="_Toc6696"/>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both"/>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both"/>
        <w:rPr>
          <w:rFonts w:ascii="Arial" w:hAnsi="Arial" w:cs="Arial"/>
        </w:rPr>
      </w:pPr>
    </w:p>
    <w:p>
      <w:pPr>
        <w:jc w:val="center"/>
        <w:rPr>
          <w:rFonts w:ascii="Arial" w:hAnsi="Arial" w:cs="Arial"/>
        </w:rPr>
      </w:pPr>
      <w:r>
        <w:rPr>
          <w:rFonts w:ascii="Arial" w:hAnsi="Arial" w:cs="Arial"/>
        </w:rPr>
        <w:t>华夏银行武进支行对账单</w:t>
      </w:r>
    </w:p>
    <w:p>
      <w:pPr>
        <w:jc w:val="center"/>
        <w:rPr>
          <w:rFonts w:ascii="Arial" w:hAnsi="Arial" w:cs="Arial"/>
        </w:rPr>
      </w:pPr>
      <w:r>
        <w:rPr>
          <w:rFonts w:ascii="Arial" w:hAnsi="Arial" w:cs="Arial"/>
        </w:rPr>
        <w:t>（2021年</w:t>
      </w:r>
      <w:r>
        <w:rPr>
          <w:rFonts w:hint="eastAsia" w:ascii="Arial" w:hAnsi="Arial" w:cs="Arial"/>
        </w:rPr>
        <w:t>5</w:t>
      </w:r>
      <w:r>
        <w:rPr>
          <w:rFonts w:ascii="Arial" w:hAnsi="Arial" w:cs="Arial"/>
        </w:rPr>
        <w:t>月）</w:t>
      </w:r>
    </w:p>
    <w:p>
      <w:pPr>
        <w:jc w:val="center"/>
        <w:rPr>
          <w:rFonts w:ascii="Arial" w:hAnsi="Arial" w:cs="Arial"/>
        </w:rPr>
      </w:pPr>
    </w:p>
    <w:p>
      <w:pPr>
        <w:rPr>
          <w:rFonts w:ascii="Arial" w:hAnsi="Arial" w:cs="Arial"/>
        </w:rPr>
      </w:pPr>
      <w:r>
        <w:rPr>
          <w:rFonts w:hint="eastAsia" w:ascii="Arial" w:hAnsi="Arial" w:cs="Arial"/>
        </w:rPr>
        <w:drawing>
          <wp:inline distT="0" distB="0" distL="114300" distR="114300">
            <wp:extent cx="5894705" cy="6153150"/>
            <wp:effectExtent l="0" t="0" r="0" b="10795"/>
            <wp:docPr id="43" name="图片 43" descr="华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华夏-1"/>
                    <pic:cNvPicPr>
                      <a:picLocks noChangeAspect="1"/>
                    </pic:cNvPicPr>
                  </pic:nvPicPr>
                  <pic:blipFill>
                    <a:blip r:embed="rId33"/>
                    <a:stretch>
                      <a:fillRect/>
                    </a:stretch>
                  </pic:blipFill>
                  <pic:spPr>
                    <a:xfrm rot="16200000">
                      <a:off x="0" y="0"/>
                      <a:ext cx="5894705" cy="6153150"/>
                    </a:xfrm>
                    <a:prstGeom prst="rect">
                      <a:avLst/>
                    </a:prstGeom>
                  </pic:spPr>
                </pic:pic>
              </a:graphicData>
            </a:graphic>
          </wp:inline>
        </w:drawing>
      </w:r>
      <w:r>
        <w:rPr>
          <w:rFonts w:hint="eastAsia" w:ascii="Arial" w:hAnsi="Arial" w:cs="Arial"/>
        </w:rPr>
        <w:drawing>
          <wp:inline distT="0" distB="0" distL="114300" distR="114300">
            <wp:extent cx="3936365" cy="5250180"/>
            <wp:effectExtent l="0" t="0" r="7620" b="6985"/>
            <wp:docPr id="44" name="图片 44" descr="华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华夏-2"/>
                    <pic:cNvPicPr>
                      <a:picLocks noChangeAspect="1"/>
                    </pic:cNvPicPr>
                  </pic:nvPicPr>
                  <pic:blipFill>
                    <a:blip r:embed="rId34"/>
                    <a:stretch>
                      <a:fillRect/>
                    </a:stretch>
                  </pic:blipFill>
                  <pic:spPr>
                    <a:xfrm rot="16200000">
                      <a:off x="0" y="0"/>
                      <a:ext cx="3936365" cy="5250180"/>
                    </a:xfrm>
                    <a:prstGeom prst="rect">
                      <a:avLst/>
                    </a:prstGeom>
                  </pic:spPr>
                </pic:pic>
              </a:graphicData>
            </a:graphic>
          </wp:inline>
        </w:drawing>
      </w:r>
    </w:p>
    <w:p>
      <w:pPr>
        <w:jc w:val="center"/>
        <w:rPr>
          <w:rFonts w:ascii="Arial" w:hAnsi="Arial" w:cs="Arial"/>
        </w:rPr>
      </w:pPr>
    </w:p>
    <w:p>
      <w:pPr>
        <w:jc w:val="center"/>
        <w:rPr>
          <w:rFonts w:ascii="Arial" w:hAnsi="Arial" w:cs="Arial"/>
        </w:rPr>
      </w:pPr>
    </w:p>
    <w:p>
      <w:pPr>
        <w:jc w:val="center"/>
        <w:rPr>
          <w:rFonts w:hint="eastAsia" w:ascii="Arial" w:hAnsi="Arial" w:eastAsia="宋体" w:cs="Arial"/>
          <w:lang w:eastAsia="zh-CN"/>
        </w:rPr>
      </w:pPr>
      <w:r>
        <w:rPr>
          <w:rFonts w:hint="eastAsia" w:ascii="Arial" w:hAnsi="Arial" w:eastAsia="宋体" w:cs="Arial"/>
          <w:lang w:eastAsia="zh-CN"/>
        </w:rPr>
        <w:drawing>
          <wp:inline distT="0" distB="0" distL="114300" distR="114300">
            <wp:extent cx="4065270" cy="5099685"/>
            <wp:effectExtent l="0" t="0" r="5715" b="11430"/>
            <wp:docPr id="45" name="图片 45" descr="华夏-70000000存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华夏-70000000存款"/>
                    <pic:cNvPicPr>
                      <a:picLocks noChangeAspect="1"/>
                    </pic:cNvPicPr>
                  </pic:nvPicPr>
                  <pic:blipFill>
                    <a:blip r:embed="rId35"/>
                    <a:stretch>
                      <a:fillRect/>
                    </a:stretch>
                  </pic:blipFill>
                  <pic:spPr>
                    <a:xfrm rot="16200000">
                      <a:off x="0" y="0"/>
                      <a:ext cx="4065270" cy="5099685"/>
                    </a:xfrm>
                    <a:prstGeom prst="rect">
                      <a:avLst/>
                    </a:prstGeom>
                  </pic:spPr>
                </pic:pic>
              </a:graphicData>
            </a:graphic>
          </wp:inline>
        </w:drawing>
      </w:r>
    </w:p>
    <w:p>
      <w:pPr>
        <w:jc w:val="center"/>
        <w:rPr>
          <w:rFonts w:ascii="Arial" w:hAnsi="Arial" w:cs="Arial"/>
        </w:rPr>
      </w:pPr>
    </w:p>
    <w:p>
      <w:pPr>
        <w:jc w:val="both"/>
        <w:rPr>
          <w:rFonts w:ascii="Arial" w:hAnsi="Arial" w:cs="Arial"/>
        </w:rPr>
      </w:pPr>
    </w:p>
    <w:p>
      <w:pPr>
        <w:jc w:val="center"/>
        <w:rPr>
          <w:rFonts w:ascii="Arial" w:hAnsi="Arial" w:cs="Arial"/>
        </w:rPr>
      </w:pPr>
      <w:r>
        <w:rPr>
          <w:rFonts w:ascii="Arial" w:hAnsi="Arial" w:cs="Arial"/>
        </w:rPr>
        <w:t>中国邮政储蓄银行常州市武宜路支行</w:t>
      </w:r>
      <w:bookmarkEnd w:id="113"/>
      <w:bookmarkStart w:id="115" w:name="_Toc27216"/>
      <w:r>
        <w:rPr>
          <w:rFonts w:ascii="Arial" w:hAnsi="Arial" w:cs="Arial"/>
        </w:rPr>
        <w:t>对账单</w:t>
      </w:r>
      <w:bookmarkEnd w:id="114"/>
    </w:p>
    <w:p>
      <w:pPr>
        <w:jc w:val="center"/>
        <w:rPr>
          <w:rFonts w:ascii="Arial" w:hAnsi="Arial" w:cs="Arial"/>
        </w:rPr>
      </w:pPr>
      <w:bookmarkStart w:id="116" w:name="_Toc2331"/>
      <w:r>
        <w:rPr>
          <w:rFonts w:ascii="Arial" w:hAnsi="Arial" w:cs="Arial"/>
        </w:rPr>
        <w:t>（2021年</w:t>
      </w:r>
      <w:r>
        <w:rPr>
          <w:rFonts w:hint="eastAsia" w:ascii="Arial" w:hAnsi="Arial" w:cs="Arial"/>
        </w:rPr>
        <w:t>5</w:t>
      </w:r>
      <w:r>
        <w:rPr>
          <w:rFonts w:ascii="Arial" w:hAnsi="Arial" w:cs="Arial"/>
        </w:rPr>
        <w:t>月</w:t>
      </w:r>
      <w:bookmarkEnd w:id="115"/>
      <w:r>
        <w:rPr>
          <w:rFonts w:ascii="Arial" w:hAnsi="Arial" w:cs="Arial"/>
        </w:rPr>
        <w:t>）</w:t>
      </w:r>
      <w:bookmarkEnd w:id="116"/>
    </w:p>
    <w:p>
      <w:pPr>
        <w:jc w:val="center"/>
        <w:rPr>
          <w:rFonts w:hint="eastAsia" w:ascii="Arial" w:hAnsi="Arial" w:cs="Arial" w:eastAsiaTheme="minorEastAsia"/>
          <w:color w:val="000000"/>
          <w:kern w:val="0"/>
          <w:sz w:val="24"/>
          <w:szCs w:val="28"/>
          <w:lang w:eastAsia="zh-CN"/>
        </w:rPr>
      </w:pPr>
      <w:r>
        <w:rPr>
          <w:rFonts w:hint="eastAsia" w:ascii="Arial" w:hAnsi="Arial" w:cs="Arial" w:eastAsiaTheme="minorEastAsia"/>
          <w:color w:val="000000"/>
          <w:kern w:val="0"/>
          <w:sz w:val="24"/>
          <w:szCs w:val="28"/>
          <w:lang w:eastAsia="zh-CN"/>
        </w:rPr>
        <w:drawing>
          <wp:inline distT="0" distB="0" distL="114300" distR="114300">
            <wp:extent cx="5894705" cy="4166870"/>
            <wp:effectExtent l="0" t="0" r="10795" b="5080"/>
            <wp:docPr id="46" name="图片 46" descr="邮储银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邮储银行"/>
                    <pic:cNvPicPr>
                      <a:picLocks noChangeAspect="1"/>
                    </pic:cNvPicPr>
                  </pic:nvPicPr>
                  <pic:blipFill>
                    <a:blip r:embed="rId36"/>
                    <a:stretch>
                      <a:fillRect/>
                    </a:stretch>
                  </pic:blipFill>
                  <pic:spPr>
                    <a:xfrm rot="10800000">
                      <a:off x="0" y="0"/>
                      <a:ext cx="5894705" cy="4166870"/>
                    </a:xfrm>
                    <a:prstGeom prst="rect">
                      <a:avLst/>
                    </a:prstGeom>
                  </pic:spPr>
                </pic:pic>
              </a:graphicData>
            </a:graphic>
          </wp:inline>
        </w:drawing>
      </w:r>
    </w:p>
    <w:p>
      <w:pPr>
        <w:spacing w:line="360" w:lineRule="auto"/>
        <w:ind w:firstLine="420" w:firstLineChars="200"/>
        <w:jc w:val="center"/>
        <w:rPr>
          <w:rFonts w:ascii="Arial" w:hAnsi="Arial" w:cs="Arial"/>
        </w:rPr>
      </w:pPr>
    </w:p>
    <w:p>
      <w:pPr>
        <w:jc w:val="center"/>
        <w:rPr>
          <w:rFonts w:ascii="Arial" w:hAnsi="Arial" w:cs="Arial"/>
        </w:rPr>
      </w:pPr>
    </w:p>
    <w:p>
      <w:pPr>
        <w:jc w:val="center"/>
        <w:rPr>
          <w:rFonts w:ascii="Arial" w:hAnsi="Arial" w:cs="Arial"/>
        </w:rPr>
      </w:pPr>
    </w:p>
    <w:p>
      <w:pPr>
        <w:rPr>
          <w:rFonts w:ascii="Arial" w:hAnsi="Arial" w:cs="Arial"/>
        </w:rPr>
      </w:pPr>
    </w:p>
    <w:p>
      <w:pP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jc w:val="center"/>
        <w:rPr>
          <w:rFonts w:ascii="Arial" w:hAnsi="Arial" w:cs="Arial"/>
        </w:rPr>
      </w:pPr>
    </w:p>
    <w:p>
      <w:pPr>
        <w:widowControl/>
        <w:jc w:val="left"/>
        <w:rPr>
          <w:rFonts w:ascii="Arial" w:hAnsi="Arial" w:cs="Arial"/>
        </w:rPr>
      </w:pPr>
      <w:r>
        <w:rPr>
          <w:rFonts w:ascii="Arial" w:hAnsi="Arial" w:cs="Arial"/>
        </w:rPr>
        <w:br w:type="page"/>
      </w:r>
    </w:p>
    <w:p>
      <w:pPr>
        <w:pStyle w:val="3"/>
        <w:keepNext w:val="0"/>
        <w:keepLines w:val="0"/>
        <w:spacing w:before="300" w:after="300" w:line="360" w:lineRule="exact"/>
        <w:jc w:val="left"/>
        <w:rPr>
          <w:rFonts w:eastAsia="宋体" w:cs="Arial"/>
          <w:sz w:val="24"/>
        </w:rPr>
      </w:pPr>
      <w:bookmarkStart w:id="117" w:name="_Toc5637"/>
      <w:r>
        <w:rPr>
          <w:rFonts w:eastAsia="宋体" w:cs="Arial"/>
          <w:sz w:val="24"/>
        </w:rPr>
        <w:t>附件三 月度资金预算使用表</w:t>
      </w:r>
      <w:bookmarkEnd w:id="117"/>
    </w:p>
    <w:p>
      <w:pPr>
        <w:ind w:right="724"/>
        <w:jc w:val="center"/>
        <w:rPr>
          <w:rFonts w:ascii="Arial" w:hAnsi="Arial" w:cs="Arial"/>
        </w:rPr>
      </w:pPr>
      <w:r>
        <w:rPr>
          <w:rFonts w:ascii="Arial" w:hAnsi="Arial" w:cs="Arial"/>
          <w:b/>
          <w:sz w:val="18"/>
          <w:szCs w:val="18"/>
        </w:rPr>
        <w:t xml:space="preserve">                                                          币种：人民币     单位：万元</w:t>
      </w:r>
    </w:p>
    <w:tbl>
      <w:tblPr>
        <w:tblStyle w:val="13"/>
        <w:tblW w:w="9745" w:type="dxa"/>
        <w:jc w:val="center"/>
        <w:tblLayout w:type="fixed"/>
        <w:tblCellMar>
          <w:top w:w="0" w:type="dxa"/>
          <w:left w:w="0" w:type="dxa"/>
          <w:bottom w:w="0" w:type="dxa"/>
          <w:right w:w="0" w:type="dxa"/>
        </w:tblCellMar>
      </w:tblPr>
      <w:tblGrid>
        <w:gridCol w:w="2409"/>
        <w:gridCol w:w="1145"/>
        <w:gridCol w:w="1315"/>
        <w:gridCol w:w="1219"/>
        <w:gridCol w:w="1219"/>
        <w:gridCol w:w="1219"/>
        <w:gridCol w:w="1219"/>
      </w:tblGrid>
      <w:tr>
        <w:tblPrEx>
          <w:tblCellMar>
            <w:top w:w="0" w:type="dxa"/>
            <w:left w:w="0" w:type="dxa"/>
            <w:bottom w:w="0" w:type="dxa"/>
            <w:right w:w="0" w:type="dxa"/>
          </w:tblCellMar>
        </w:tblPrEx>
        <w:trPr>
          <w:trHeight w:val="293" w:hRule="atLeast"/>
          <w:jc w:val="center"/>
        </w:trPr>
        <w:tc>
          <w:tcPr>
            <w:tcW w:w="2409"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项目名称</w:t>
            </w:r>
          </w:p>
        </w:tc>
        <w:tc>
          <w:tcPr>
            <w:tcW w:w="3679" w:type="dxa"/>
            <w:gridSpan w:val="3"/>
            <w:tcBorders>
              <w:top w:val="single" w:color="000000" w:sz="4" w:space="0"/>
              <w:left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6"/>
                <w:szCs w:val="16"/>
              </w:rPr>
            </w:pPr>
            <w:r>
              <w:rPr>
                <w:rFonts w:ascii="Arial" w:hAnsi="Arial" w:cs="Arial"/>
                <w:b/>
                <w:color w:val="000000"/>
                <w:kern w:val="0"/>
                <w:sz w:val="16"/>
                <w:szCs w:val="16"/>
                <w:lang w:bidi="ar"/>
              </w:rPr>
              <w:t>2021年</w:t>
            </w:r>
            <w:r>
              <w:rPr>
                <w:rFonts w:hint="eastAsia" w:ascii="Arial" w:hAnsi="Arial" w:cs="Arial"/>
                <w:b/>
                <w:color w:val="000000"/>
                <w:kern w:val="0"/>
                <w:sz w:val="16"/>
                <w:szCs w:val="16"/>
                <w:lang w:bidi="ar"/>
              </w:rPr>
              <w:t>5</w:t>
            </w:r>
            <w:r>
              <w:rPr>
                <w:rFonts w:ascii="Arial" w:hAnsi="Arial" w:cs="Arial"/>
                <w:b/>
                <w:color w:val="000000"/>
                <w:kern w:val="0"/>
                <w:sz w:val="16"/>
                <w:szCs w:val="16"/>
                <w:lang w:bidi="ar"/>
              </w:rPr>
              <w:t>月</w:t>
            </w:r>
          </w:p>
        </w:tc>
        <w:tc>
          <w:tcPr>
            <w:tcW w:w="3657" w:type="dxa"/>
            <w:gridSpan w:val="3"/>
            <w:tcBorders>
              <w:top w:val="single" w:color="000000" w:sz="4" w:space="0"/>
              <w:left w:val="single" w:color="000000" w:sz="4" w:space="0"/>
              <w:right w:val="single" w:color="000000" w:sz="4" w:space="0"/>
            </w:tcBorders>
            <w:vAlign w:val="center"/>
          </w:tcPr>
          <w:p>
            <w:pPr>
              <w:jc w:val="center"/>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2021年</w:t>
            </w:r>
            <w:r>
              <w:rPr>
                <w:rFonts w:hint="eastAsia" w:ascii="Arial" w:hAnsi="Arial" w:cs="Arial"/>
                <w:b/>
                <w:color w:val="000000"/>
                <w:kern w:val="0"/>
                <w:sz w:val="16"/>
                <w:szCs w:val="16"/>
                <w:lang w:bidi="ar"/>
              </w:rPr>
              <w:t>1至5</w:t>
            </w:r>
            <w:r>
              <w:rPr>
                <w:rFonts w:ascii="Arial" w:hAnsi="Arial" w:cs="Arial"/>
                <w:b/>
                <w:color w:val="000000"/>
                <w:kern w:val="0"/>
                <w:sz w:val="16"/>
                <w:szCs w:val="16"/>
                <w:lang w:bidi="ar"/>
              </w:rPr>
              <w:t>月</w:t>
            </w:r>
          </w:p>
        </w:tc>
      </w:tr>
      <w:tr>
        <w:tblPrEx>
          <w:tblCellMar>
            <w:top w:w="0" w:type="dxa"/>
            <w:left w:w="0" w:type="dxa"/>
            <w:bottom w:w="0" w:type="dxa"/>
            <w:right w:w="0" w:type="dxa"/>
          </w:tblCellMar>
        </w:tblPrEx>
        <w:trPr>
          <w:trHeight w:val="239" w:hRule="atLeast"/>
          <w:jc w:val="center"/>
        </w:trPr>
        <w:tc>
          <w:tcPr>
            <w:tcW w:w="2409"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Arial" w:hAnsi="Arial" w:cs="Arial"/>
                <w:b/>
                <w:color w:val="000000"/>
                <w:sz w:val="16"/>
                <w:szCs w:val="16"/>
              </w:rPr>
            </w:pP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项目公司预算金额</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中诚预算金额</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实际发生</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项目公司预算金额</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中诚预算金额</w:t>
            </w:r>
          </w:p>
        </w:tc>
        <w:tc>
          <w:tcPr>
            <w:tcW w:w="1219"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kern w:val="0"/>
                <w:sz w:val="16"/>
                <w:szCs w:val="16"/>
                <w:lang w:bidi="ar"/>
              </w:rPr>
            </w:pPr>
            <w:r>
              <w:rPr>
                <w:rFonts w:ascii="Arial" w:hAnsi="Arial" w:cs="Arial"/>
                <w:b/>
                <w:color w:val="000000"/>
                <w:kern w:val="0"/>
                <w:sz w:val="16"/>
                <w:szCs w:val="16"/>
                <w:lang w:bidi="ar"/>
              </w:rPr>
              <w:t>实际发生</w:t>
            </w:r>
          </w:p>
        </w:tc>
      </w:tr>
      <w:tr>
        <w:tblPrEx>
          <w:tblCellMar>
            <w:top w:w="0" w:type="dxa"/>
            <w:left w:w="0" w:type="dxa"/>
            <w:bottom w:w="0" w:type="dxa"/>
            <w:right w:w="0" w:type="dxa"/>
          </w:tblCellMar>
        </w:tblPrEx>
        <w:trPr>
          <w:trHeight w:val="535"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一、期初资金余额</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sz w:val="16"/>
                <w:szCs w:val="16"/>
              </w:rPr>
            </w:pPr>
            <w:r>
              <w:rPr>
                <w:rFonts w:hint="eastAsia" w:ascii="Arial" w:hAnsi="Arial" w:cs="Arial"/>
                <w:b/>
                <w:color w:val="000000"/>
                <w:sz w:val="16"/>
                <w:szCs w:val="16"/>
              </w:rPr>
              <w:t xml:space="preserve">66,371.37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sz w:val="16"/>
                <w:szCs w:val="16"/>
              </w:rPr>
            </w:pPr>
            <w:r>
              <w:rPr>
                <w:rFonts w:hint="eastAsia" w:ascii="Arial" w:hAnsi="Arial" w:cs="Arial"/>
                <w:b/>
                <w:color w:val="000000"/>
                <w:sz w:val="16"/>
                <w:szCs w:val="16"/>
              </w:rPr>
              <w:t xml:space="preserve">44,645.35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sz w:val="16"/>
                <w:szCs w:val="16"/>
              </w:rPr>
            </w:pPr>
            <w:r>
              <w:rPr>
                <w:rFonts w:hint="eastAsia" w:ascii="Arial" w:hAnsi="Arial" w:cs="Arial"/>
                <w:b/>
                <w:color w:val="000000"/>
                <w:sz w:val="16"/>
                <w:szCs w:val="16"/>
              </w:rPr>
              <w:t xml:space="preserve">48,060.19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二、现金流入</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
                <w:color w:val="000000"/>
                <w:sz w:val="16"/>
                <w:szCs w:val="16"/>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1、销售资金回笼</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9,900.00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9,900.00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27,114.28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40,700.00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40,700.00</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61,142.76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hint="eastAsia" w:ascii="宋体" w:hAnsi="宋体" w:cs="宋体"/>
                <w:bCs/>
                <w:color w:val="000000"/>
                <w:kern w:val="0"/>
                <w:sz w:val="16"/>
                <w:szCs w:val="16"/>
                <w:lang w:bidi="ar"/>
              </w:rPr>
              <w:t>①</w:t>
            </w:r>
            <w:r>
              <w:rPr>
                <w:rFonts w:ascii="Arial" w:hAnsi="Arial" w:cs="Arial"/>
                <w:bCs/>
                <w:color w:val="000000"/>
                <w:kern w:val="0"/>
                <w:sz w:val="16"/>
                <w:szCs w:val="16"/>
                <w:lang w:bidi="ar"/>
              </w:rPr>
              <w:t>房屋销售银行实收</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25,519.38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36,523.96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hint="eastAsia" w:ascii="宋体" w:hAnsi="宋体" w:cs="宋体"/>
                <w:bCs/>
                <w:color w:val="000000"/>
                <w:kern w:val="0"/>
                <w:sz w:val="16"/>
                <w:szCs w:val="16"/>
                <w:lang w:bidi="ar"/>
              </w:rPr>
              <w:t>②</w:t>
            </w:r>
            <w:r>
              <w:rPr>
                <w:rFonts w:ascii="Arial" w:hAnsi="Arial" w:cs="Arial"/>
                <w:bCs/>
                <w:color w:val="000000"/>
                <w:kern w:val="0"/>
                <w:sz w:val="16"/>
                <w:szCs w:val="16"/>
                <w:lang w:bidi="ar"/>
              </w:rPr>
              <w:t>按揭银行放款</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1,594.90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24,618.80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hint="eastAsia" w:ascii="宋体" w:hAnsi="宋体" w:cs="宋体"/>
                <w:bCs/>
                <w:color w:val="000000"/>
                <w:kern w:val="0"/>
                <w:sz w:val="16"/>
                <w:szCs w:val="16"/>
                <w:lang w:bidi="ar"/>
              </w:rPr>
              <w:t>③</w:t>
            </w:r>
            <w:r>
              <w:rPr>
                <w:rFonts w:ascii="Arial" w:hAnsi="Arial" w:cs="Arial"/>
                <w:bCs/>
                <w:color w:val="000000"/>
                <w:kern w:val="0"/>
                <w:sz w:val="16"/>
                <w:szCs w:val="16"/>
                <w:lang w:bidi="ar"/>
              </w:rPr>
              <w:t>其他销售收入</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r>
      <w:tr>
        <w:tblPrEx>
          <w:tblCellMar>
            <w:top w:w="0" w:type="dxa"/>
            <w:left w:w="0" w:type="dxa"/>
            <w:bottom w:w="0" w:type="dxa"/>
            <w:right w:w="0" w:type="dxa"/>
          </w:tblCellMar>
        </w:tblPrEx>
        <w:trPr>
          <w:trHeight w:val="237"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2、取得银行贷款(含信托委贷)</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r>
      <w:tr>
        <w:tblPrEx>
          <w:tblCellMar>
            <w:top w:w="0" w:type="dxa"/>
            <w:left w:w="0" w:type="dxa"/>
            <w:bottom w:w="0" w:type="dxa"/>
            <w:right w:w="0" w:type="dxa"/>
          </w:tblCellMar>
        </w:tblPrEx>
        <w:trPr>
          <w:trHeight w:val="228"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3、股东投入(含资本金及借款）</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r>
      <w:tr>
        <w:tblPrEx>
          <w:tblCellMar>
            <w:top w:w="0" w:type="dxa"/>
            <w:left w:w="0" w:type="dxa"/>
            <w:bottom w:w="0" w:type="dxa"/>
            <w:right w:w="0" w:type="dxa"/>
          </w:tblCellMar>
        </w:tblPrEx>
        <w:trPr>
          <w:trHeight w:val="220"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4、其他流入（保证金等）</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25.86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489.40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现金流入小计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9,900.00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9,900.00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27,140.14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40,700.00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40,700.00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61,632.16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三、现金流出</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
                <w:color w:val="000000"/>
                <w:sz w:val="16"/>
                <w:szCs w:val="16"/>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tcPr>
          <w:p>
            <w:pPr>
              <w:jc w:val="right"/>
              <w:rPr>
                <w:rFonts w:ascii="Arial" w:hAnsi="Arial" w:cs="Arial"/>
                <w:bCs/>
                <w:color w:val="000000"/>
                <w:sz w:val="16"/>
                <w:szCs w:val="16"/>
              </w:rPr>
            </w:pP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1、土地费用</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sz w:val="16"/>
                <w:szCs w:val="16"/>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color w:val="000000"/>
                <w:sz w:val="16"/>
                <w:szCs w:val="16"/>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 xml:space="preserve">2,325.75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r>
      <w:tr>
        <w:tblPrEx>
          <w:tblCellMar>
            <w:top w:w="0" w:type="dxa"/>
            <w:left w:w="0" w:type="dxa"/>
            <w:bottom w:w="0" w:type="dxa"/>
            <w:right w:w="0" w:type="dxa"/>
          </w:tblCellMar>
        </w:tblPrEx>
        <w:trPr>
          <w:trHeight w:val="283"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2、前期费用（包含设计费、规费、前期工程费）</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73.83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73.83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66.52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812.49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812.49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905.07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3、工程费用</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4,564.84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4,628.67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1,411.24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35,087.51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28,238.00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14,292.27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4、销售费用</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186.43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186.43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92.36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982.57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982.57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739.94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5、管理费用</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139.74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139.74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94.52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899.67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899.69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752.66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6、代建管理费</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150.00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150.00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750.00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750.00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750.00 </w:t>
            </w:r>
          </w:p>
        </w:tc>
      </w:tr>
      <w:tr>
        <w:tblPrEx>
          <w:tblCellMar>
            <w:top w:w="0" w:type="dxa"/>
            <w:left w:w="0" w:type="dxa"/>
            <w:bottom w:w="0" w:type="dxa"/>
            <w:right w:w="0" w:type="dxa"/>
          </w:tblCellMar>
        </w:tblPrEx>
        <w:trPr>
          <w:trHeight w:val="283"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7、增值税金及附加</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178.79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178.79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63.36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1,454.93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1,467.92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1,565.05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8、土地增值税</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116.00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116.00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39.98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944.00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943.14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987.47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9、企业所得税</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30.00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30.00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93.64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723.37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424.50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709.15 </w:t>
            </w:r>
          </w:p>
        </w:tc>
      </w:tr>
      <w:tr>
        <w:tblPrEx>
          <w:tblCellMar>
            <w:top w:w="0" w:type="dxa"/>
            <w:left w:w="0" w:type="dxa"/>
            <w:bottom w:w="0" w:type="dxa"/>
            <w:right w:w="0" w:type="dxa"/>
          </w:tblCellMar>
        </w:tblPrEx>
        <w:trPr>
          <w:trHeight w:val="283"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10、土地使用税、印花税、房产税等</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10.00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10.00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0.59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150.00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136.53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119.01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11、归还股东资金（含资本金及借款）</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10,000.00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30,000.00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50,000.00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Cs/>
                <w:color w:val="000000"/>
                <w:sz w:val="16"/>
                <w:szCs w:val="16"/>
              </w:rPr>
            </w:pPr>
            <w:r>
              <w:rPr>
                <w:rFonts w:ascii="Arial" w:hAnsi="Arial" w:cs="Arial"/>
                <w:bCs/>
                <w:color w:val="000000"/>
                <w:kern w:val="0"/>
                <w:sz w:val="16"/>
                <w:szCs w:val="16"/>
                <w:lang w:bidi="ar"/>
              </w:rPr>
              <w:t>12、其他支出</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22.00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Cs/>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Cs/>
                <w:color w:val="000000"/>
                <w:kern w:val="0"/>
                <w:sz w:val="16"/>
                <w:szCs w:val="16"/>
                <w:lang w:bidi="ar"/>
              </w:rPr>
            </w:pPr>
            <w:r>
              <w:rPr>
                <w:rFonts w:hint="eastAsia" w:ascii="Arial" w:hAnsi="Arial" w:cs="Arial"/>
                <w:bCs/>
                <w:color w:val="000000"/>
                <w:kern w:val="0"/>
                <w:sz w:val="16"/>
                <w:szCs w:val="16"/>
                <w:lang w:bidi="ar"/>
              </w:rPr>
              <w:t xml:space="preserve">352.36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6"/>
                <w:szCs w:val="16"/>
              </w:rPr>
            </w:pPr>
            <w:r>
              <w:rPr>
                <w:rFonts w:ascii="Arial" w:hAnsi="Arial" w:cs="Arial"/>
                <w:b/>
                <w:color w:val="000000"/>
                <w:kern w:val="0"/>
                <w:sz w:val="16"/>
                <w:szCs w:val="16"/>
                <w:lang w:bidi="ar"/>
              </w:rPr>
              <w:t>现金流出合计</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5,449.63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5,513.46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12,034.19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44,130.35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64,654.84 </w:t>
            </w:r>
          </w:p>
        </w:tc>
        <w:tc>
          <w:tcPr>
            <w:tcW w:w="1219" w:type="dxa"/>
            <w:tcBorders>
              <w:top w:val="single" w:color="000000" w:sz="4" w:space="0"/>
              <w:left w:val="single" w:color="000000" w:sz="4" w:space="0"/>
              <w:bottom w:val="single" w:color="000000" w:sz="4" w:space="0"/>
              <w:right w:val="single" w:color="000000" w:sz="4" w:space="0"/>
            </w:tcBorders>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71,172.97 </w:t>
            </w:r>
          </w:p>
        </w:tc>
      </w:tr>
      <w:tr>
        <w:tblPrEx>
          <w:tblCellMar>
            <w:top w:w="0" w:type="dxa"/>
            <w:left w:w="0" w:type="dxa"/>
            <w:bottom w:w="0" w:type="dxa"/>
            <w:right w:w="0" w:type="dxa"/>
          </w:tblCellMar>
        </w:tblPrEx>
        <w:trPr>
          <w:trHeight w:val="239"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四、期末资金余额</w:t>
            </w:r>
            <w:r>
              <w:rPr>
                <w:rFonts w:hint="eastAsia" w:ascii="Arial" w:hAnsi="Arial" w:cs="Arial"/>
                <w:b/>
                <w:color w:val="000000"/>
                <w:kern w:val="0"/>
                <w:sz w:val="16"/>
                <w:szCs w:val="16"/>
                <w:lang w:bidi="ar"/>
              </w:rPr>
              <w:t>（含托管）</w:t>
            </w:r>
          </w:p>
        </w:tc>
        <w:tc>
          <w:tcPr>
            <w:tcW w:w="11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70,821.74 </w:t>
            </w:r>
          </w:p>
        </w:tc>
        <w:tc>
          <w:tcPr>
            <w:tcW w:w="131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49,031.89 </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63,166.14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r>
      <w:tr>
        <w:tblPrEx>
          <w:tblCellMar>
            <w:top w:w="0" w:type="dxa"/>
            <w:left w:w="0" w:type="dxa"/>
            <w:bottom w:w="0" w:type="dxa"/>
            <w:right w:w="0" w:type="dxa"/>
          </w:tblCellMar>
        </w:tblPrEx>
        <w:trPr>
          <w:trHeight w:val="202" w:hRule="atLeast"/>
          <w:jc w:val="center"/>
        </w:trPr>
        <w:tc>
          <w:tcPr>
            <w:tcW w:w="240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Arial" w:hAnsi="Arial" w:cs="Arial"/>
                <w:b/>
                <w:color w:val="000000"/>
                <w:sz w:val="16"/>
                <w:szCs w:val="16"/>
              </w:rPr>
            </w:pPr>
            <w:r>
              <w:rPr>
                <w:rFonts w:ascii="Arial" w:hAnsi="Arial" w:cs="Arial"/>
                <w:b/>
                <w:color w:val="000000"/>
                <w:kern w:val="0"/>
                <w:sz w:val="16"/>
                <w:szCs w:val="16"/>
                <w:lang w:bidi="ar"/>
              </w:rPr>
              <w:t xml:space="preserve">五、正泰托管楼款 </w:t>
            </w:r>
          </w:p>
        </w:tc>
        <w:tc>
          <w:tcPr>
            <w:tcW w:w="11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p>
        </w:tc>
        <w:tc>
          <w:tcPr>
            <w:tcW w:w="13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right"/>
              <w:textAlignment w:val="center"/>
              <w:rPr>
                <w:rFonts w:ascii="Arial" w:hAnsi="Arial" w:cs="Arial"/>
                <w:b/>
                <w:color w:val="000000"/>
                <w:kern w:val="0"/>
                <w:sz w:val="16"/>
                <w:szCs w:val="16"/>
                <w:lang w:bidi="ar"/>
              </w:rPr>
            </w:pPr>
            <w:r>
              <w:rPr>
                <w:rFonts w:hint="eastAsia" w:ascii="Arial" w:hAnsi="Arial" w:cs="Arial"/>
                <w:b/>
                <w:color w:val="000000"/>
                <w:kern w:val="0"/>
                <w:sz w:val="16"/>
                <w:szCs w:val="16"/>
                <w:lang w:bidi="ar"/>
              </w:rPr>
              <w:t xml:space="preserve">20,549.50 </w:t>
            </w: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c>
          <w:tcPr>
            <w:tcW w:w="1219" w:type="dxa"/>
            <w:tcBorders>
              <w:top w:val="single" w:color="000000" w:sz="4" w:space="0"/>
              <w:left w:val="single" w:color="000000" w:sz="4" w:space="0"/>
              <w:bottom w:val="single" w:color="000000" w:sz="4" w:space="0"/>
              <w:right w:val="single" w:color="000000" w:sz="4" w:space="0"/>
            </w:tcBorders>
          </w:tcPr>
          <w:p>
            <w:pPr>
              <w:widowControl/>
              <w:jc w:val="right"/>
              <w:textAlignment w:val="center"/>
              <w:rPr>
                <w:rFonts w:ascii="Arial" w:hAnsi="Arial" w:cs="Arial"/>
                <w:b/>
                <w:color w:val="000000"/>
                <w:kern w:val="0"/>
                <w:sz w:val="16"/>
                <w:szCs w:val="16"/>
                <w:lang w:bidi="ar"/>
              </w:rPr>
            </w:pPr>
          </w:p>
        </w:tc>
      </w:tr>
    </w:tbl>
    <w:p>
      <w:pPr>
        <w:rPr>
          <w:rFonts w:ascii="Arial" w:hAnsi="Arial" w:cs="Arial"/>
        </w:rPr>
        <w:sectPr>
          <w:footerReference r:id="rId7" w:type="default"/>
          <w:pgSz w:w="11906" w:h="16838"/>
          <w:pgMar w:top="1843" w:right="1134" w:bottom="1134" w:left="1134" w:header="851" w:footer="851" w:gutter="340"/>
          <w:pgNumType w:start="1"/>
          <w:cols w:space="720" w:num="1"/>
          <w:docGrid w:linePitch="312" w:charSpace="0"/>
        </w:sectPr>
      </w:pPr>
    </w:p>
    <w:p>
      <w:pPr>
        <w:pStyle w:val="3"/>
        <w:keepNext w:val="0"/>
        <w:keepLines w:val="0"/>
        <w:spacing w:before="300" w:after="300" w:line="360" w:lineRule="exact"/>
        <w:jc w:val="left"/>
        <w:rPr>
          <w:rFonts w:eastAsia="宋体" w:cs="Arial"/>
          <w:sz w:val="24"/>
          <w:szCs w:val="24"/>
        </w:rPr>
      </w:pPr>
      <w:bookmarkStart w:id="118" w:name="_Toc13367"/>
      <w:bookmarkStart w:id="119" w:name="_Toc535570761"/>
      <w:bookmarkStart w:id="120" w:name="_Toc535508647"/>
      <w:bookmarkStart w:id="121" w:name="_Toc532281665"/>
      <w:bookmarkStart w:id="122" w:name="_Toc535580034"/>
      <w:bookmarkStart w:id="123" w:name="_Toc8930"/>
      <w:bookmarkStart w:id="124" w:name="_Toc535580102"/>
      <w:bookmarkStart w:id="125" w:name="_Toc5700909"/>
      <w:bookmarkStart w:id="126" w:name="_Toc532281664"/>
      <w:bookmarkStart w:id="127" w:name="_Toc535508646"/>
      <w:bookmarkStart w:id="128" w:name="_Toc535570760"/>
      <w:bookmarkStart w:id="129" w:name="_Toc535580033"/>
      <w:bookmarkStart w:id="130" w:name="_Toc535580101"/>
      <w:r>
        <w:rPr>
          <w:rFonts w:eastAsia="宋体" w:cs="Arial"/>
          <w:sz w:val="24"/>
        </w:rPr>
        <w:t>附件四 各类资金使用统计</w:t>
      </w:r>
      <w:r>
        <w:rPr>
          <w:rFonts w:eastAsia="宋体" w:cs="Arial"/>
          <w:sz w:val="24"/>
          <w:szCs w:val="24"/>
        </w:rPr>
        <w:t>表</w:t>
      </w:r>
      <w:bookmarkEnd w:id="118"/>
      <w:bookmarkEnd w:id="119"/>
      <w:bookmarkEnd w:id="120"/>
      <w:bookmarkEnd w:id="121"/>
      <w:bookmarkEnd w:id="122"/>
      <w:bookmarkEnd w:id="123"/>
      <w:bookmarkEnd w:id="124"/>
    </w:p>
    <w:p>
      <w:pPr>
        <w:rPr>
          <w:rFonts w:ascii="Arial" w:hAnsi="Arial" w:cs="Arial"/>
          <w:b/>
          <w:sz w:val="18"/>
          <w:szCs w:val="18"/>
        </w:rPr>
      </w:pPr>
      <w:r>
        <w:rPr>
          <w:rFonts w:ascii="Arial" w:hAnsi="Arial" w:cs="Arial"/>
        </w:rPr>
        <w:t xml:space="preserve">                                                                                                                 </w:t>
      </w:r>
      <w:r>
        <w:rPr>
          <w:rFonts w:ascii="Arial" w:hAnsi="Arial" w:cs="Arial"/>
          <w:b/>
          <w:sz w:val="18"/>
          <w:szCs w:val="18"/>
        </w:rPr>
        <w:t>币种：人民币     单位：元</w:t>
      </w:r>
    </w:p>
    <w:tbl>
      <w:tblPr>
        <w:tblStyle w:val="13"/>
        <w:tblW w:w="14580" w:type="dxa"/>
        <w:tblInd w:w="0" w:type="dxa"/>
        <w:tblLayout w:type="fixed"/>
        <w:tblCellMar>
          <w:top w:w="0" w:type="dxa"/>
          <w:left w:w="0" w:type="dxa"/>
          <w:bottom w:w="0" w:type="dxa"/>
          <w:right w:w="0" w:type="dxa"/>
        </w:tblCellMar>
      </w:tblPr>
      <w:tblGrid>
        <w:gridCol w:w="1147"/>
        <w:gridCol w:w="396"/>
        <w:gridCol w:w="1183"/>
        <w:gridCol w:w="1081"/>
        <w:gridCol w:w="1226"/>
        <w:gridCol w:w="1183"/>
        <w:gridCol w:w="931"/>
        <w:gridCol w:w="931"/>
        <w:gridCol w:w="1183"/>
        <w:gridCol w:w="847"/>
        <w:gridCol w:w="1380"/>
        <w:gridCol w:w="835"/>
        <w:gridCol w:w="777"/>
        <w:gridCol w:w="1480"/>
      </w:tblGrid>
      <w:tr>
        <w:tblPrEx>
          <w:tblCellMar>
            <w:top w:w="0" w:type="dxa"/>
            <w:left w:w="0" w:type="dxa"/>
            <w:bottom w:w="0" w:type="dxa"/>
            <w:right w:w="0" w:type="dxa"/>
          </w:tblCellMar>
        </w:tblPrEx>
        <w:trPr>
          <w:trHeight w:val="283" w:hRule="atLeast"/>
          <w:tblHeader/>
        </w:trPr>
        <w:tc>
          <w:tcPr>
            <w:tcW w:w="1147"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资金使用用途/使用月份</w:t>
            </w:r>
          </w:p>
        </w:tc>
        <w:tc>
          <w:tcPr>
            <w:tcW w:w="39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土地费用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规费</w:t>
            </w:r>
          </w:p>
        </w:tc>
        <w:tc>
          <w:tcPr>
            <w:tcW w:w="108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设计费</w:t>
            </w:r>
          </w:p>
        </w:tc>
        <w:tc>
          <w:tcPr>
            <w:tcW w:w="1226"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前期费用</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营销费用</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临时水电费</w:t>
            </w:r>
          </w:p>
        </w:tc>
        <w:tc>
          <w:tcPr>
            <w:tcW w:w="931"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临时设施费</w:t>
            </w:r>
          </w:p>
        </w:tc>
        <w:tc>
          <w:tcPr>
            <w:tcW w:w="1183"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管理费用</w:t>
            </w:r>
          </w:p>
        </w:tc>
        <w:tc>
          <w:tcPr>
            <w:tcW w:w="8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财务费用</w:t>
            </w:r>
          </w:p>
        </w:tc>
        <w:tc>
          <w:tcPr>
            <w:tcW w:w="13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工程款</w:t>
            </w:r>
          </w:p>
        </w:tc>
        <w:tc>
          <w:tcPr>
            <w:tcW w:w="835"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其他支出</w:t>
            </w:r>
          </w:p>
        </w:tc>
        <w:tc>
          <w:tcPr>
            <w:tcW w:w="77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不可预见费</w:t>
            </w:r>
          </w:p>
        </w:tc>
        <w:tc>
          <w:tcPr>
            <w:tcW w:w="148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b/>
                <w:color w:val="000000"/>
                <w:sz w:val="18"/>
                <w:szCs w:val="18"/>
              </w:rPr>
            </w:pPr>
            <w:r>
              <w:rPr>
                <w:rFonts w:ascii="Arial" w:hAnsi="Arial" w:cs="Arial" w:eastAsiaTheme="minorEastAsia"/>
                <w:b/>
                <w:color w:val="000000"/>
                <w:kern w:val="0"/>
                <w:sz w:val="18"/>
                <w:szCs w:val="18"/>
              </w:rPr>
              <w:t>合计</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5,273,200.20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491,160.00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17,775.00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518,095.00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3,160,271.02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204.72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5,500.00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9,501,809.71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517,596.93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247.28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21,599.00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539,348.21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592,633.60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104,645.96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717,166.40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993.56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8,402,946.11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307.00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271,412.00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10,240,104.63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2017年12月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143,897.00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138,046.14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660,168.00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181.03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2,314,178.63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193,825.37</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3,450,522.17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54,060.91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646,791.87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701,170.30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213,621.56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1,132,546.38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60,378.00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1,406,972.74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170,976.54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613,085.87</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273.1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785,578.93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494,922.52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666,972.43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221.00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1,162,128.58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119,420.34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3,622,122.15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75.00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85,869.80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3,827,495.71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452,928.94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406,625.90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8,356.00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146,177.51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1,014,088.35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137,932.54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877,333.12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1,015,451.87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185,551.67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636,813.64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31,404.40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853,919.92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9,805,835.96</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445,602.90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952,108.81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263.89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11,203,824.19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345,900.36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612,547.53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958,603.31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121,154.77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480,741.45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628,060.55</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1,230,120.98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2018年12月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722,396.80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17,073.00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508,333.13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25.26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669,476.18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154,559.00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2,071,907.37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87,771.30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138,549.72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3,820,739.03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47,592.51</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4,094,970.98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100,619.91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924,747.30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1,025,489.42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157,223.90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443,752.12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601,456.44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471,731.47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1,022,936.73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357.00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1,496,029.41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119,891.88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513,064.18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268,960.10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421,772.41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31,073.94</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1,354,862.93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483,467.77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155,741.36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626,131.54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213.00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1,265,637.87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760,776.71</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109,978.28</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1,067,087.34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592.84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4,714,447.95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326.00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6,653,209.12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54,360.00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430,361.74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362,882.34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39,208.21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2,453,183.42</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1,509.00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3,341,504.71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4,542,292.00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733,629.59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80,404.03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2,822,324.89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444.68</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231,000.00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8,410,095.19</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2019年10月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277,888.80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135,467.00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1,572,685.70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81,471.59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9,867,301.11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312.00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42,081,666.66</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54,016,792.86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2019年11月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93,140.00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695,927.40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2,267,097.57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52,949.86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5,712,468.91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751.00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510,000.00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9,332,334.74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2019年12月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34,200.00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103,199.13</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3,761,690.75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60,846.32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9,631,653.70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658.00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eastAsiaTheme="minorEastAsia"/>
                <w:color w:val="000000"/>
                <w:sz w:val="15"/>
                <w:szCs w:val="15"/>
              </w:rPr>
            </w:pPr>
            <w:r>
              <w:rPr>
                <w:rFonts w:ascii="Arial" w:hAnsi="Arial" w:cs="Arial"/>
                <w:color w:val="000000"/>
                <w:kern w:val="0"/>
                <w:sz w:val="15"/>
                <w:szCs w:val="15"/>
              </w:rPr>
              <w:t>24,615,258.70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40,130,000.00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78,337,506.60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15,337,445.21</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3,964,033.60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1,169,041.20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1,784,037.20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89,135.90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6,094,426.38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1,456.60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52,835,642.43</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150,000.00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81,425,218.52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145,065.68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60,968.18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4,875,548.44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1,316.41</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5,082,898.71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2020年3月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313,538.13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220,693.94</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1,371,764.26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21,293.49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4,867,784.79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1,160.00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520,939.80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28,820,000.00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color w:val="000000"/>
                <w:kern w:val="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36,137,174.41</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11,599.14</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209,105.00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3,184,439.72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57,131.65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5,237,536.53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773.00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4,260,606.30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755,795.00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13,716,986.34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2020年5月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184,440.00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69,651.00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1,154,994.95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71,502.65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3,606,801.26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568.16</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19,279,722.04</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50,002.50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color w:val="000000"/>
                <w:sz w:val="15"/>
                <w:szCs w:val="15"/>
              </w:rPr>
            </w:pPr>
            <w:r>
              <w:rPr>
                <w:rFonts w:ascii="Arial" w:hAnsi="Arial" w:cs="Arial" w:eastAsiaTheme="minorEastAsia"/>
                <w:color w:val="000000"/>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rPr>
            </w:pPr>
            <w:r>
              <w:rPr>
                <w:rFonts w:ascii="Arial" w:hAnsi="Arial" w:cs="Arial"/>
                <w:color w:val="000000"/>
                <w:kern w:val="0"/>
                <w:sz w:val="15"/>
                <w:szCs w:val="15"/>
              </w:rPr>
              <w:t>24,417,682.56</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2020年6月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4,908,429.00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56,070.00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83,274.86</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2,086,592.76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185,568.82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3,344,292.09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10,848.95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41,278,076.87</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10,030,000.00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eastAsiaTheme="minorEastAsia"/>
                <w:sz w:val="15"/>
                <w:szCs w:val="15"/>
              </w:rPr>
              <w:t>61,983,153.35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2020年7月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2,215,741.00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6,830.00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563,778.56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143,723.60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13,156,247.68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956.97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35,035,038.82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153,860,000.00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204,982,316.63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2020年8月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2,256,711.00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157,655.00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3,756,832.44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212,670.90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27,234,332.14</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1,066.54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2,514,500.02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6,206,000.00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5"/>
                <w:szCs w:val="15"/>
              </w:rPr>
            </w:pPr>
            <w:r>
              <w:rPr>
                <w:rFonts w:ascii="Arial" w:hAnsi="Arial" w:cs="Arial"/>
                <w:color w:val="000000"/>
                <w:kern w:val="0"/>
                <w:sz w:val="15"/>
                <w:szCs w:val="15"/>
                <w:lang w:bidi="ar"/>
              </w:rPr>
              <w:t>42,339,768.04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2020年9月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1,069,822.00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3,262,104.79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285,033.27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21,106,083.31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1,506.47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4,043,889.10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2,900,000.00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32,668,438.94</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2020年10月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3,718,817.00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331,226.03</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472,896.32</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1,411,529.90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39,704.51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18,093,423.98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40,846.05</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1,600,000.00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233,049,637.13</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258,758,080.92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581,590.08</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470,597.90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1,416,612.66</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226,083.49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5,125,684.13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1,182.10</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27,128,024.29</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84,165,362.87</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119,115,137.52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2020年12月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22,343,755.10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61,200.00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4,228,167.58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169,215.14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10,083,048.46</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40,967.12</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100,464,790.12</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2,030,000.00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139,421,143.52</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2021年1月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291,411.00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52,552.80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997,416.90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1,441,273.57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125,545.49</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14,229,498.13</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2,226.33</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84,702,147.88</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301,343,910.00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403,185,982.10</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2021年2月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2,074,350.00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210,000.00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480,924.50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183,372.64</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16,114,470.80</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1,400.89</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32,387,837.10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1,249,643.65</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5"/>
                <w:szCs w:val="15"/>
                <w:lang w:bidi="ar"/>
              </w:rPr>
              <w:t>52,701,999.58</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ascii="Arial" w:hAnsi="Arial" w:cs="Arial"/>
                <w:kern w:val="0"/>
                <w:sz w:val="15"/>
                <w:szCs w:val="15"/>
              </w:rPr>
              <w:t>2021年</w:t>
            </w:r>
            <w:r>
              <w:rPr>
                <w:rFonts w:hint="eastAsia" w:ascii="Arial" w:hAnsi="Arial" w:cs="Arial"/>
                <w:kern w:val="0"/>
                <w:sz w:val="15"/>
                <w:szCs w:val="15"/>
              </w:rPr>
              <w:t>3</w:t>
            </w:r>
            <w:r>
              <w:rPr>
                <w:rFonts w:ascii="Arial" w:hAnsi="Arial" w:cs="Arial"/>
                <w:kern w:val="0"/>
                <w:sz w:val="15"/>
                <w:szCs w:val="15"/>
              </w:rPr>
              <w:t>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619,600.00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1,883,936.01</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79,685.93</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6,567,126.85</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1,839.54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5,996,902.00</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250,000.00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15,399,090.33</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2021年4月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2,743,663.00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135,400.00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1,128,614.72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137,499.27</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9,036,481.28</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672.93</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6,458,432.25</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100,460,000.00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120,100,763.45</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kern w:val="0"/>
                <w:sz w:val="15"/>
                <w:szCs w:val="15"/>
              </w:rPr>
            </w:pPr>
            <w:r>
              <w:rPr>
                <w:rFonts w:hint="eastAsia" w:ascii="Arial" w:hAnsi="Arial" w:cs="Arial"/>
                <w:kern w:val="0"/>
                <w:sz w:val="15"/>
                <w:szCs w:val="15"/>
              </w:rPr>
              <w:t>2021年5月</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Arial" w:hAnsi="Arial" w:cs="Arial" w:eastAsiaTheme="minorEastAsia"/>
                <w:sz w:val="15"/>
                <w:szCs w:val="15"/>
              </w:rPr>
            </w:pPr>
            <w:r>
              <w:rPr>
                <w:rFonts w:hint="eastAsia" w:ascii="Arial" w:hAnsi="Arial" w:cs="Arial" w:eastAsiaTheme="minorEastAsia"/>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51,207.00</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613,987.67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923,587.25</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138,979.12</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4,377,782.71</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42,967.74</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13,973,409.38</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100,220,000.00</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hint="eastAsia" w:ascii="Arial" w:hAnsi="Arial" w:cs="Arial"/>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kern w:val="0"/>
                <w:sz w:val="15"/>
                <w:szCs w:val="15"/>
                <w:lang w:bidi="ar"/>
              </w:rPr>
            </w:pPr>
            <w:r>
              <w:rPr>
                <w:rFonts w:ascii="Arial" w:hAnsi="Arial" w:cs="Arial"/>
                <w:color w:val="000000"/>
                <w:kern w:val="0"/>
                <w:sz w:val="15"/>
                <w:szCs w:val="15"/>
                <w:lang w:bidi="ar"/>
              </w:rPr>
              <w:t>120,341,920.87</w:t>
            </w:r>
          </w:p>
        </w:tc>
      </w:tr>
      <w:tr>
        <w:tblPrEx>
          <w:tblCellMar>
            <w:top w:w="0" w:type="dxa"/>
            <w:left w:w="0" w:type="dxa"/>
            <w:bottom w:w="0" w:type="dxa"/>
            <w:right w:w="0" w:type="dxa"/>
          </w:tblCellMar>
        </w:tblPrEx>
        <w:trPr>
          <w:trHeight w:val="283" w:hRule="atLeast"/>
        </w:trPr>
        <w:tc>
          <w:tcPr>
            <w:tcW w:w="114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总计</w:t>
            </w:r>
          </w:p>
        </w:tc>
        <w:tc>
          <w:tcPr>
            <w:tcW w:w="39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kern w:val="0"/>
                <w:sz w:val="15"/>
                <w:szCs w:val="15"/>
              </w:rPr>
            </w:pPr>
            <w:r>
              <w:rPr>
                <w:rFonts w:ascii="Arial" w:hAnsi="Arial" w:cs="Arial"/>
                <w:b/>
                <w:bCs/>
                <w:kern w:val="0"/>
                <w:sz w:val="15"/>
                <w:szCs w:val="15"/>
              </w:rPr>
              <w:t>0</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73,437,300.47</w:t>
            </w:r>
          </w:p>
        </w:tc>
        <w:tc>
          <w:tcPr>
            <w:tcW w:w="108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12,884,744.87</w:t>
            </w:r>
          </w:p>
        </w:tc>
        <w:tc>
          <w:tcPr>
            <w:tcW w:w="1226"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7,431,155.39</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46,427,896.88</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2,544,355.10</w:t>
            </w:r>
          </w:p>
        </w:tc>
        <w:tc>
          <w:tcPr>
            <w:tcW w:w="931"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185,603.77</w:t>
            </w:r>
          </w:p>
        </w:tc>
        <w:tc>
          <w:tcPr>
            <w:tcW w:w="1183"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241,324,186.09</w:t>
            </w:r>
          </w:p>
        </w:tc>
        <w:tc>
          <w:tcPr>
            <w:tcW w:w="8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169,490.37</w:t>
            </w:r>
          </w:p>
        </w:tc>
        <w:tc>
          <w:tcPr>
            <w:tcW w:w="13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459,003,942.28</w:t>
            </w:r>
          </w:p>
        </w:tc>
        <w:tc>
          <w:tcPr>
            <w:tcW w:w="835"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1,108,262,017.81</w:t>
            </w:r>
          </w:p>
        </w:tc>
        <w:tc>
          <w:tcPr>
            <w:tcW w:w="77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0</w:t>
            </w:r>
          </w:p>
        </w:tc>
        <w:tc>
          <w:tcPr>
            <w:tcW w:w="148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Arial" w:hAnsi="Arial" w:cs="Arial"/>
                <w:b/>
                <w:bCs/>
                <w:color w:val="000000"/>
                <w:kern w:val="0"/>
                <w:sz w:val="15"/>
                <w:szCs w:val="15"/>
                <w:lang w:bidi="ar"/>
              </w:rPr>
            </w:pPr>
            <w:r>
              <w:rPr>
                <w:rFonts w:ascii="Arial" w:hAnsi="Arial" w:cs="Arial"/>
                <w:b/>
                <w:bCs/>
                <w:color w:val="000000"/>
                <w:kern w:val="0"/>
                <w:sz w:val="15"/>
                <w:szCs w:val="15"/>
                <w:lang w:bidi="ar"/>
              </w:rPr>
              <w:t>1,951,670,693.03</w:t>
            </w:r>
          </w:p>
        </w:tc>
      </w:tr>
    </w:tbl>
    <w:p>
      <w:pPr>
        <w:rPr>
          <w:rFonts w:ascii="Arial" w:hAnsi="Arial" w:cs="Arial"/>
          <w:sz w:val="18"/>
          <w:szCs w:val="18"/>
        </w:rPr>
      </w:pPr>
      <w:r>
        <w:rPr>
          <w:rFonts w:ascii="Arial" w:hAnsi="Arial" w:cs="Arial"/>
          <w:sz w:val="18"/>
          <w:szCs w:val="18"/>
        </w:rPr>
        <w:t>币种：人民币；单位：元</w:t>
      </w:r>
    </w:p>
    <w:p>
      <w:pPr>
        <w:rPr>
          <w:rFonts w:ascii="Arial" w:hAnsi="Arial" w:cs="Arial"/>
          <w:sz w:val="18"/>
          <w:szCs w:val="18"/>
        </w:rPr>
      </w:pPr>
      <w:r>
        <w:rPr>
          <w:rFonts w:ascii="Arial" w:hAnsi="Arial" w:cs="Arial"/>
          <w:sz w:val="18"/>
          <w:szCs w:val="18"/>
        </w:rPr>
        <w:t>注：（1）以上科目分类不以会计记账原则划分；</w:t>
      </w:r>
    </w:p>
    <w:p>
      <w:pPr>
        <w:ind w:firstLine="360" w:firstLineChars="200"/>
        <w:rPr>
          <w:rFonts w:ascii="Arial" w:hAnsi="Arial" w:cs="Arial"/>
          <w:sz w:val="18"/>
          <w:szCs w:val="18"/>
        </w:rPr>
      </w:pPr>
      <w:r>
        <w:rPr>
          <w:rFonts w:ascii="Arial" w:hAnsi="Arial" w:cs="Arial"/>
          <w:sz w:val="18"/>
          <w:szCs w:val="18"/>
        </w:rPr>
        <w:t>（2）以上费用计算以康正与项目公司开始共管之时计算，共管之前发生的有关费用未计入此表；</w:t>
      </w:r>
    </w:p>
    <w:p>
      <w:pPr>
        <w:ind w:firstLine="360" w:firstLineChars="200"/>
        <w:rPr>
          <w:rFonts w:ascii="Arial" w:hAnsi="Arial" w:cs="Arial"/>
          <w:sz w:val="18"/>
          <w:szCs w:val="18"/>
        </w:rPr>
      </w:pPr>
      <w:r>
        <w:rPr>
          <w:rFonts w:ascii="Arial" w:hAnsi="Arial" w:cs="Arial"/>
          <w:sz w:val="18"/>
          <w:szCs w:val="18"/>
        </w:rPr>
        <w:t>（3）2018年3月退还2017年入场前收到的投标保证金440,000.00元，该资金不计入资金使用；同时调整2017年11月已计入工程款的2笔退保证金70,000.00元，2017年11月资金使用金额调整为10,240,104.63元。</w:t>
      </w:r>
    </w:p>
    <w:p>
      <w:pPr>
        <w:ind w:firstLine="360" w:firstLineChars="200"/>
        <w:rPr>
          <w:rFonts w:ascii="Arial" w:hAnsi="Arial" w:cs="Arial"/>
          <w:sz w:val="18"/>
          <w:szCs w:val="18"/>
        </w:rPr>
      </w:pPr>
      <w:r>
        <w:rPr>
          <w:rFonts w:ascii="Arial" w:hAnsi="Arial" w:cs="Arial"/>
          <w:sz w:val="18"/>
          <w:szCs w:val="18"/>
        </w:rPr>
        <w:t>（4）2018年6月湖滨怡景苑退回房租及押金10,000元，直接冲抵新城公馆房租及押金，6月支出调整为1,014,088.35元。</w:t>
      </w:r>
    </w:p>
    <w:p>
      <w:pPr>
        <w:ind w:firstLine="360" w:firstLineChars="200"/>
        <w:rPr>
          <w:rFonts w:ascii="Arial" w:hAnsi="Arial" w:cs="Arial"/>
          <w:sz w:val="18"/>
          <w:szCs w:val="18"/>
        </w:rPr>
      </w:pPr>
      <w:r>
        <w:rPr>
          <w:rFonts w:ascii="Arial" w:hAnsi="Arial" w:cs="Arial"/>
          <w:sz w:val="18"/>
          <w:szCs w:val="18"/>
        </w:rPr>
        <w:t>（5）2018年11月退还2017年入场前收到的投标保证金70,000.00元，该资金不计入资金使用。</w:t>
      </w:r>
    </w:p>
    <w:p>
      <w:pPr>
        <w:ind w:firstLine="360" w:firstLineChars="200"/>
        <w:rPr>
          <w:rFonts w:ascii="Arial" w:hAnsi="Arial" w:cs="Arial"/>
          <w:sz w:val="18"/>
          <w:szCs w:val="18"/>
        </w:rPr>
      </w:pPr>
      <w:r>
        <w:rPr>
          <w:rFonts w:ascii="Arial" w:hAnsi="Arial" w:cs="Arial"/>
          <w:sz w:val="18"/>
          <w:szCs w:val="18"/>
        </w:rPr>
        <w:t>（6）2019年3月20日道诚基金汇入项目公司监管账户75,000,000.00元用于领取项目一期邀请招标部分建筑工程施工许可证所需资金证明，已于2019年3月21日返还至道诚基金账户，该资金不计入资金使用。</w:t>
      </w:r>
    </w:p>
    <w:p>
      <w:pPr>
        <w:ind w:firstLine="360" w:firstLineChars="200"/>
        <w:rPr>
          <w:rFonts w:ascii="Arial" w:hAnsi="Arial" w:cs="Arial"/>
          <w:sz w:val="18"/>
          <w:szCs w:val="18"/>
        </w:rPr>
      </w:pPr>
      <w:r>
        <w:rPr>
          <w:rFonts w:ascii="Arial" w:hAnsi="Arial" w:cs="Arial"/>
          <w:sz w:val="18"/>
          <w:szCs w:val="18"/>
        </w:rPr>
        <w:t>（7）2019年6月退还2017年入场前收到的投标保证金100,000.00元，该资金不计入资金使用。</w:t>
      </w:r>
    </w:p>
    <w:p>
      <w:pPr>
        <w:ind w:firstLine="360" w:firstLineChars="200"/>
        <w:rPr>
          <w:rFonts w:ascii="Arial" w:hAnsi="Arial" w:cs="Arial"/>
          <w:sz w:val="18"/>
          <w:szCs w:val="18"/>
        </w:rPr>
      </w:pPr>
      <w:r>
        <w:rPr>
          <w:rFonts w:ascii="Arial" w:hAnsi="Arial" w:cs="Arial"/>
          <w:sz w:val="18"/>
          <w:szCs w:val="18"/>
        </w:rPr>
        <w:t>（8）2019年7月退还2017年入场前收到的投标保证金50,000.00元，该资金不计入资金使用。</w:t>
      </w:r>
      <w:bookmarkEnd w:id="125"/>
      <w:bookmarkEnd w:id="126"/>
      <w:bookmarkEnd w:id="127"/>
      <w:bookmarkEnd w:id="128"/>
      <w:bookmarkEnd w:id="129"/>
      <w:bookmarkEnd w:id="130"/>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pPr>
    </w:p>
    <w:p>
      <w:pPr>
        <w:pStyle w:val="3"/>
        <w:keepNext w:val="0"/>
        <w:keepLines w:val="0"/>
        <w:spacing w:before="300" w:after="300" w:line="360" w:lineRule="exact"/>
        <w:jc w:val="left"/>
        <w:rPr>
          <w:rFonts w:eastAsia="宋体" w:cs="Arial"/>
          <w:sz w:val="24"/>
        </w:rPr>
        <w:sectPr>
          <w:pgSz w:w="16838" w:h="11906" w:orient="landscape"/>
          <w:pgMar w:top="1843" w:right="1134" w:bottom="1134" w:left="1134" w:header="851" w:footer="992" w:gutter="340"/>
          <w:cols w:space="720" w:num="1"/>
          <w:docGrid w:linePitch="312" w:charSpace="0"/>
        </w:sectPr>
      </w:pPr>
    </w:p>
    <w:p>
      <w:pPr>
        <w:pStyle w:val="3"/>
        <w:keepNext w:val="0"/>
        <w:keepLines w:val="0"/>
        <w:spacing w:before="300" w:after="300" w:line="360" w:lineRule="exact"/>
        <w:jc w:val="left"/>
        <w:rPr>
          <w:rFonts w:eastAsia="宋体" w:cs="Arial"/>
          <w:sz w:val="24"/>
        </w:rPr>
      </w:pPr>
      <w:bookmarkStart w:id="131" w:name="_Toc14883"/>
      <w:r>
        <w:rPr>
          <w:rFonts w:eastAsia="宋体" w:cs="Arial"/>
          <w:sz w:val="24"/>
        </w:rPr>
        <w:t>附件</w:t>
      </w:r>
      <w:r>
        <w:rPr>
          <w:rFonts w:hint="eastAsia" w:eastAsia="宋体" w:cs="Arial"/>
          <w:sz w:val="24"/>
        </w:rPr>
        <w:t>五</w:t>
      </w:r>
      <w:r>
        <w:rPr>
          <w:rFonts w:eastAsia="宋体" w:cs="Arial"/>
          <w:sz w:val="24"/>
        </w:rPr>
        <w:t xml:space="preserve"> </w:t>
      </w:r>
      <w:r>
        <w:rPr>
          <w:rFonts w:hint="eastAsia" w:eastAsia="宋体" w:cs="Arial"/>
          <w:sz w:val="24"/>
        </w:rPr>
        <w:t>股东知情权纠纷案二审判决书</w:t>
      </w:r>
      <w:bookmarkEnd w:id="131"/>
    </w:p>
    <w:p>
      <w:r>
        <w:drawing>
          <wp:inline distT="0" distB="0" distL="114300" distR="114300">
            <wp:extent cx="5898515" cy="8030210"/>
            <wp:effectExtent l="0" t="0" r="6985" b="8890"/>
            <wp:docPr id="24" name="图片 24" descr="20210525-股东知情权二审民事判决书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10525-股东知情权二审民事判决书_页面_01"/>
                    <pic:cNvPicPr>
                      <a:picLocks noChangeAspect="1"/>
                    </pic:cNvPicPr>
                  </pic:nvPicPr>
                  <pic:blipFill>
                    <a:blip r:embed="rId37"/>
                    <a:stretch>
                      <a:fillRect/>
                    </a:stretch>
                  </pic:blipFill>
                  <pic:spPr>
                    <a:xfrm>
                      <a:off x="0" y="0"/>
                      <a:ext cx="5898515" cy="8030210"/>
                    </a:xfrm>
                    <a:prstGeom prst="rect">
                      <a:avLst/>
                    </a:prstGeom>
                  </pic:spPr>
                </pic:pic>
              </a:graphicData>
            </a:graphic>
          </wp:inline>
        </w:drawing>
      </w:r>
      <w:r>
        <w:rPr>
          <w:rFonts w:hint="eastAsia"/>
        </w:rPr>
        <w:drawing>
          <wp:inline distT="0" distB="0" distL="114300" distR="114300">
            <wp:extent cx="5898515" cy="8344535"/>
            <wp:effectExtent l="0" t="0" r="6985" b="18415"/>
            <wp:docPr id="25" name="图片 25" descr="20210525-股东知情权二审民事判决书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10525-股东知情权二审民事判决书_页面_02"/>
                    <pic:cNvPicPr>
                      <a:picLocks noChangeAspect="1"/>
                    </pic:cNvPicPr>
                  </pic:nvPicPr>
                  <pic:blipFill>
                    <a:blip r:embed="rId38"/>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26" name="图片 26" descr="20210525-股东知情权二审民事判决书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10525-股东知情权二审民事判决书_页面_03"/>
                    <pic:cNvPicPr>
                      <a:picLocks noChangeAspect="1"/>
                    </pic:cNvPicPr>
                  </pic:nvPicPr>
                  <pic:blipFill>
                    <a:blip r:embed="rId39"/>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27" name="图片 27" descr="20210525-股东知情权二审民事判决书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10525-股东知情权二审民事判决书_页面_04"/>
                    <pic:cNvPicPr>
                      <a:picLocks noChangeAspect="1"/>
                    </pic:cNvPicPr>
                  </pic:nvPicPr>
                  <pic:blipFill>
                    <a:blip r:embed="rId40"/>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28" name="图片 28" descr="20210525-股东知情权二审民事判决书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10525-股东知情权二审民事判决书_页面_05"/>
                    <pic:cNvPicPr>
                      <a:picLocks noChangeAspect="1"/>
                    </pic:cNvPicPr>
                  </pic:nvPicPr>
                  <pic:blipFill>
                    <a:blip r:embed="rId41"/>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29" name="图片 29" descr="20210525-股东知情权二审民事判决书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10525-股东知情权二审民事判决书_页面_06"/>
                    <pic:cNvPicPr>
                      <a:picLocks noChangeAspect="1"/>
                    </pic:cNvPicPr>
                  </pic:nvPicPr>
                  <pic:blipFill>
                    <a:blip r:embed="rId42"/>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30" name="图片 30" descr="20210525-股东知情权二审民事判决书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10525-股东知情权二审民事判决书_页面_07"/>
                    <pic:cNvPicPr>
                      <a:picLocks noChangeAspect="1"/>
                    </pic:cNvPicPr>
                  </pic:nvPicPr>
                  <pic:blipFill>
                    <a:blip r:embed="rId43"/>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31" name="图片 31" descr="20210525-股东知情权二审民事判决书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10525-股东知情权二审民事判决书_页面_08"/>
                    <pic:cNvPicPr>
                      <a:picLocks noChangeAspect="1"/>
                    </pic:cNvPicPr>
                  </pic:nvPicPr>
                  <pic:blipFill>
                    <a:blip r:embed="rId44"/>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32" name="图片 32" descr="20210525-股东知情权二审民事判决书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10525-股东知情权二审民事判决书_页面_09"/>
                    <pic:cNvPicPr>
                      <a:picLocks noChangeAspect="1"/>
                    </pic:cNvPicPr>
                  </pic:nvPicPr>
                  <pic:blipFill>
                    <a:blip r:embed="rId45"/>
                    <a:stretch>
                      <a:fillRect/>
                    </a:stretch>
                  </pic:blipFill>
                  <pic:spPr>
                    <a:xfrm>
                      <a:off x="0" y="0"/>
                      <a:ext cx="5898515" cy="8344535"/>
                    </a:xfrm>
                    <a:prstGeom prst="rect">
                      <a:avLst/>
                    </a:prstGeom>
                  </pic:spPr>
                </pic:pic>
              </a:graphicData>
            </a:graphic>
          </wp:inline>
        </w:drawing>
      </w:r>
      <w:r>
        <w:rPr>
          <w:rFonts w:hint="eastAsia"/>
        </w:rPr>
        <w:drawing>
          <wp:inline distT="0" distB="0" distL="114300" distR="114300">
            <wp:extent cx="5898515" cy="8344535"/>
            <wp:effectExtent l="0" t="0" r="6985" b="18415"/>
            <wp:docPr id="33" name="图片 33" descr="20210525-股东知情权二审民事判决书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10525-股东知情权二审民事判决书_页面_10"/>
                    <pic:cNvPicPr>
                      <a:picLocks noChangeAspect="1"/>
                    </pic:cNvPicPr>
                  </pic:nvPicPr>
                  <pic:blipFill>
                    <a:blip r:embed="rId46"/>
                    <a:stretch>
                      <a:fillRect/>
                    </a:stretch>
                  </pic:blipFill>
                  <pic:spPr>
                    <a:xfrm>
                      <a:off x="0" y="0"/>
                      <a:ext cx="5898515" cy="8344535"/>
                    </a:xfrm>
                    <a:prstGeom prst="rect">
                      <a:avLst/>
                    </a:prstGeom>
                  </pic:spPr>
                </pic:pic>
              </a:graphicData>
            </a:graphic>
          </wp:inline>
        </w:drawing>
      </w:r>
    </w:p>
    <w:sectPr>
      <w:pgSz w:w="11906" w:h="16838"/>
      <w:pgMar w:top="1843" w:right="1134" w:bottom="1134" w:left="1134" w:header="851" w:footer="992" w:gutter="34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FGN8MBAACO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OVrShy3OPHzzx/nX3/Ov7+T&#10;N1mfPkCNabcBE9Pw3g+4NbMf0JlpDyra/EVCBOOo7umirhwSEfnRarlaVRgSGJsviM/un4cI6YP0&#10;lmSjoRHHV1Tlx0+QxtQ5JVdz/kYbU0Zo3H8OxMwelnsfe8xWGnbDRGjn2xPy6XHyDXW46JSYjw6F&#10;zUsyG3E2dpORa0B4d0hYuPSTUUeoqRiOqTCaVirvwb/3knX/G23+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AHEUY3wwEAAI4DAAAOAAAAAAAAAAEAIAAAAB4BAABkcnMvZTJvRG9jLnhtbFBL&#10;BQYAAAAABgAGAFkBAABTBQAAAAA=&#10;">
              <v:fill on="f" focussize="0,0"/>
              <v:stroke on="f"/>
              <v:imagedata o:title=""/>
              <o:lock v:ext="edit" aspectratio="f"/>
              <v:textbox inset="0mm,0mm,0mm,0mm" style="mso-fit-shape-to-text:t;">
                <w:txbxContent>
                  <w:p>
                    <w:pPr>
                      <w:pStyle w:val="8"/>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WYosIBAACOAwAADgAAAGRycy9lMm9Eb2MueG1srVPNjtMwEL4j8Q6W&#10;79TZI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ctrWtKHLc48cv3b5cfvy4/v5KX&#10;WZ8hQINp9wET0/jGj7g1ix/QmWmPKtr8RUIE46ju+aquHBMR+dG6Xq8rDAmMLRfEZw/PQ4T0VnpL&#10;stHSiOMrqvLTe0hT6pKSqzl/p40pIzTuLwdiZg/LvU89ZiuN+3EmtPfdGfkMOPmWOlx0Ssw7h8Lm&#10;JVmMuBj72cg1ILw+Jixc+smoE9RcDMdUGM0rlffgz3vJevi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A8VmKLCAQAAjgMAAA4AAAAAAAAAAQAgAAAAHgEAAGRycy9lMm9Eb2MueG1sUEsF&#10;BgAAAAAGAAYAWQEAAFIFAAAAAA==&#10;">
              <v:fill on="f" focussize="0,0"/>
              <v:stroke on="f"/>
              <v:imagedata o:title=""/>
              <o:lock v:ext="edit" aspectratio="f"/>
              <v:textbox inset="0mm,0mm,0mm,0mm" style="mso-fit-shape-to-text:t;">
                <w:txbxContent>
                  <w:p>
                    <w:pPr>
                      <w:pStyle w:val="8"/>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PAGE   \* MERGEFORMAT</w:instrText>
    </w:r>
    <w:r>
      <w:fldChar w:fldCharType="separate"/>
    </w:r>
    <w:r>
      <w:rPr>
        <w:lang w:val="zh-CN"/>
      </w:rPr>
      <w:t>28</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宋体" w:hAnsi="宋体" w:cs="宋体"/>
      </w:rPr>
    </w:pPr>
    <w:r>
      <w:rPr>
        <w:rFonts w:ascii="Arial" w:hAnsi="Arial" w:cs="Arial"/>
      </w:rPr>
      <w:t>2019</w:t>
    </w:r>
    <w:r>
      <w:rPr>
        <w:rFonts w:hint="eastAsia" w:ascii="宋体" w:hAnsi="宋体" w:cs="宋体"/>
      </w:rPr>
      <w:t>年</w:t>
    </w:r>
    <w:r>
      <w:rPr>
        <w:rFonts w:ascii="Arial" w:hAnsi="Arial" w:cs="Arial"/>
      </w:rPr>
      <w:t>10</w:t>
    </w:r>
    <w:r>
      <w:rPr>
        <w:rFonts w:hint="eastAsia" w:ascii="宋体" w:hAnsi="宋体" w:cs="宋体"/>
      </w:rPr>
      <w:t>月监管报告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spacing w:line="360" w:lineRule="auto"/>
      <w:rPr>
        <w:rFonts w:ascii="Arial" w:hAnsi="Arial" w:cs="Arial"/>
      </w:rPr>
    </w:pPr>
    <w:r>
      <w:rPr>
        <w:rFonts w:ascii="Arial" w:hAnsi="Arial" w:cs="Arial"/>
      </w:rPr>
      <w:t>2021年</w:t>
    </w:r>
    <w:r>
      <w:rPr>
        <w:rFonts w:hint="eastAsia" w:ascii="Arial" w:hAnsi="Arial" w:cs="Arial"/>
      </w:rPr>
      <w:t>5</w:t>
    </w:r>
    <w:r>
      <w:rPr>
        <w:rFonts w:ascii="Arial" w:hAnsi="Arial" w:cs="Arial"/>
      </w:rPr>
      <w:t>月监管报告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2AAE02"/>
    <w:multiLevelType w:val="singleLevel"/>
    <w:tmpl w:val="A62AAE02"/>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isplayBackgroundShape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329728F"/>
    <w:rsid w:val="000014E8"/>
    <w:rsid w:val="00002006"/>
    <w:rsid w:val="00002605"/>
    <w:rsid w:val="00003FFC"/>
    <w:rsid w:val="0000428A"/>
    <w:rsid w:val="00004562"/>
    <w:rsid w:val="00004DAE"/>
    <w:rsid w:val="000058B3"/>
    <w:rsid w:val="000059C5"/>
    <w:rsid w:val="00005F5D"/>
    <w:rsid w:val="00005FC5"/>
    <w:rsid w:val="00006656"/>
    <w:rsid w:val="000066A5"/>
    <w:rsid w:val="00006997"/>
    <w:rsid w:val="00006A59"/>
    <w:rsid w:val="000073B9"/>
    <w:rsid w:val="000078A2"/>
    <w:rsid w:val="000112E8"/>
    <w:rsid w:val="00011944"/>
    <w:rsid w:val="00012E24"/>
    <w:rsid w:val="00012EBC"/>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5AE"/>
    <w:rsid w:val="000436A6"/>
    <w:rsid w:val="00044D7B"/>
    <w:rsid w:val="00045744"/>
    <w:rsid w:val="00045CBE"/>
    <w:rsid w:val="0004604E"/>
    <w:rsid w:val="000471F8"/>
    <w:rsid w:val="00047C9E"/>
    <w:rsid w:val="0005046E"/>
    <w:rsid w:val="00050683"/>
    <w:rsid w:val="0005106E"/>
    <w:rsid w:val="0005111B"/>
    <w:rsid w:val="00051562"/>
    <w:rsid w:val="00051F36"/>
    <w:rsid w:val="000530B9"/>
    <w:rsid w:val="00053491"/>
    <w:rsid w:val="00053C09"/>
    <w:rsid w:val="000543FB"/>
    <w:rsid w:val="00055F89"/>
    <w:rsid w:val="0005615B"/>
    <w:rsid w:val="0005636D"/>
    <w:rsid w:val="00056658"/>
    <w:rsid w:val="00056BB5"/>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3335"/>
    <w:rsid w:val="000737D9"/>
    <w:rsid w:val="00073D84"/>
    <w:rsid w:val="0007538F"/>
    <w:rsid w:val="00075F07"/>
    <w:rsid w:val="00076274"/>
    <w:rsid w:val="00076CA2"/>
    <w:rsid w:val="0007706A"/>
    <w:rsid w:val="00077BB4"/>
    <w:rsid w:val="00080434"/>
    <w:rsid w:val="00080481"/>
    <w:rsid w:val="00080F25"/>
    <w:rsid w:val="00081E92"/>
    <w:rsid w:val="0008213E"/>
    <w:rsid w:val="00082429"/>
    <w:rsid w:val="000833C7"/>
    <w:rsid w:val="00083A32"/>
    <w:rsid w:val="00083D85"/>
    <w:rsid w:val="000866A3"/>
    <w:rsid w:val="000908A4"/>
    <w:rsid w:val="00090AFB"/>
    <w:rsid w:val="00090E2D"/>
    <w:rsid w:val="000914B2"/>
    <w:rsid w:val="000916BC"/>
    <w:rsid w:val="00091A77"/>
    <w:rsid w:val="00092830"/>
    <w:rsid w:val="00092C33"/>
    <w:rsid w:val="00093285"/>
    <w:rsid w:val="00093CF8"/>
    <w:rsid w:val="00095886"/>
    <w:rsid w:val="0009649A"/>
    <w:rsid w:val="000964D6"/>
    <w:rsid w:val="000970EE"/>
    <w:rsid w:val="00097514"/>
    <w:rsid w:val="00097782"/>
    <w:rsid w:val="00097C59"/>
    <w:rsid w:val="00097C71"/>
    <w:rsid w:val="000A0372"/>
    <w:rsid w:val="000A0395"/>
    <w:rsid w:val="000A1351"/>
    <w:rsid w:val="000A1508"/>
    <w:rsid w:val="000A2DF6"/>
    <w:rsid w:val="000A31E9"/>
    <w:rsid w:val="000A31ED"/>
    <w:rsid w:val="000A334C"/>
    <w:rsid w:val="000A33A3"/>
    <w:rsid w:val="000A378B"/>
    <w:rsid w:val="000A4B3E"/>
    <w:rsid w:val="000A62AF"/>
    <w:rsid w:val="000A676E"/>
    <w:rsid w:val="000A79BB"/>
    <w:rsid w:val="000A7DCB"/>
    <w:rsid w:val="000B1001"/>
    <w:rsid w:val="000B2BF8"/>
    <w:rsid w:val="000B34F7"/>
    <w:rsid w:val="000B3BC3"/>
    <w:rsid w:val="000B3F97"/>
    <w:rsid w:val="000B41FC"/>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68EB"/>
    <w:rsid w:val="000D1B89"/>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5F77"/>
    <w:rsid w:val="000E6348"/>
    <w:rsid w:val="000E6607"/>
    <w:rsid w:val="000E6B46"/>
    <w:rsid w:val="000E6D66"/>
    <w:rsid w:val="000E6D78"/>
    <w:rsid w:val="000F0A56"/>
    <w:rsid w:val="000F0F50"/>
    <w:rsid w:val="000F0FE6"/>
    <w:rsid w:val="000F1EBC"/>
    <w:rsid w:val="000F2F72"/>
    <w:rsid w:val="000F3EEA"/>
    <w:rsid w:val="000F538B"/>
    <w:rsid w:val="000F53FC"/>
    <w:rsid w:val="000F57E5"/>
    <w:rsid w:val="000F5B17"/>
    <w:rsid w:val="000F6E23"/>
    <w:rsid w:val="00100566"/>
    <w:rsid w:val="00100690"/>
    <w:rsid w:val="00100C35"/>
    <w:rsid w:val="001018BB"/>
    <w:rsid w:val="0010305A"/>
    <w:rsid w:val="001031D6"/>
    <w:rsid w:val="00103414"/>
    <w:rsid w:val="00103E87"/>
    <w:rsid w:val="00104124"/>
    <w:rsid w:val="0010439F"/>
    <w:rsid w:val="00104EA7"/>
    <w:rsid w:val="001050CA"/>
    <w:rsid w:val="00105FE8"/>
    <w:rsid w:val="00106BA3"/>
    <w:rsid w:val="00106C8C"/>
    <w:rsid w:val="00107CEE"/>
    <w:rsid w:val="00107D0C"/>
    <w:rsid w:val="00107F20"/>
    <w:rsid w:val="0011052E"/>
    <w:rsid w:val="001117DE"/>
    <w:rsid w:val="00111EA6"/>
    <w:rsid w:val="00112ADB"/>
    <w:rsid w:val="00116265"/>
    <w:rsid w:val="0011695B"/>
    <w:rsid w:val="00117296"/>
    <w:rsid w:val="00117AEA"/>
    <w:rsid w:val="00117C40"/>
    <w:rsid w:val="001205A5"/>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34EF"/>
    <w:rsid w:val="00133F22"/>
    <w:rsid w:val="001350F7"/>
    <w:rsid w:val="00135694"/>
    <w:rsid w:val="00135710"/>
    <w:rsid w:val="00135944"/>
    <w:rsid w:val="00135DF2"/>
    <w:rsid w:val="00136104"/>
    <w:rsid w:val="0013701C"/>
    <w:rsid w:val="001372F5"/>
    <w:rsid w:val="001373EA"/>
    <w:rsid w:val="001379F6"/>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2A26"/>
    <w:rsid w:val="0015376C"/>
    <w:rsid w:val="001537CC"/>
    <w:rsid w:val="0015578C"/>
    <w:rsid w:val="001567D8"/>
    <w:rsid w:val="00156EBA"/>
    <w:rsid w:val="00157049"/>
    <w:rsid w:val="001571DA"/>
    <w:rsid w:val="00157D08"/>
    <w:rsid w:val="001627E6"/>
    <w:rsid w:val="00163173"/>
    <w:rsid w:val="00163E95"/>
    <w:rsid w:val="0016449D"/>
    <w:rsid w:val="00164BFC"/>
    <w:rsid w:val="001658F3"/>
    <w:rsid w:val="00165E7E"/>
    <w:rsid w:val="001664B3"/>
    <w:rsid w:val="00166E2F"/>
    <w:rsid w:val="00166EAA"/>
    <w:rsid w:val="00167F11"/>
    <w:rsid w:val="00170953"/>
    <w:rsid w:val="00171336"/>
    <w:rsid w:val="001720A9"/>
    <w:rsid w:val="00172931"/>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61FB"/>
    <w:rsid w:val="001A7011"/>
    <w:rsid w:val="001B022E"/>
    <w:rsid w:val="001B0D36"/>
    <w:rsid w:val="001B2A94"/>
    <w:rsid w:val="001B2C88"/>
    <w:rsid w:val="001B3540"/>
    <w:rsid w:val="001B3977"/>
    <w:rsid w:val="001B3FEB"/>
    <w:rsid w:val="001B49A0"/>
    <w:rsid w:val="001B544A"/>
    <w:rsid w:val="001B5879"/>
    <w:rsid w:val="001B5BD7"/>
    <w:rsid w:val="001B754E"/>
    <w:rsid w:val="001B79B0"/>
    <w:rsid w:val="001C181F"/>
    <w:rsid w:val="001C1A2A"/>
    <w:rsid w:val="001C288A"/>
    <w:rsid w:val="001C3332"/>
    <w:rsid w:val="001C3780"/>
    <w:rsid w:val="001C3CAB"/>
    <w:rsid w:val="001C4B9E"/>
    <w:rsid w:val="001C5209"/>
    <w:rsid w:val="001C5216"/>
    <w:rsid w:val="001C6271"/>
    <w:rsid w:val="001D0035"/>
    <w:rsid w:val="001D2F26"/>
    <w:rsid w:val="001D311E"/>
    <w:rsid w:val="001D470A"/>
    <w:rsid w:val="001D47CB"/>
    <w:rsid w:val="001D4879"/>
    <w:rsid w:val="001D4990"/>
    <w:rsid w:val="001D5020"/>
    <w:rsid w:val="001D52F6"/>
    <w:rsid w:val="001D6A64"/>
    <w:rsid w:val="001D6CB8"/>
    <w:rsid w:val="001D7EC5"/>
    <w:rsid w:val="001E1153"/>
    <w:rsid w:val="001E3099"/>
    <w:rsid w:val="001E3984"/>
    <w:rsid w:val="001E3FE0"/>
    <w:rsid w:val="001E43BA"/>
    <w:rsid w:val="001E46B0"/>
    <w:rsid w:val="001E4D37"/>
    <w:rsid w:val="001E5F62"/>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E0C"/>
    <w:rsid w:val="001F637E"/>
    <w:rsid w:val="001F6681"/>
    <w:rsid w:val="001F6DF6"/>
    <w:rsid w:val="00201F91"/>
    <w:rsid w:val="0020213C"/>
    <w:rsid w:val="00202D56"/>
    <w:rsid w:val="002032E8"/>
    <w:rsid w:val="002033A7"/>
    <w:rsid w:val="002036CD"/>
    <w:rsid w:val="00205B3E"/>
    <w:rsid w:val="002070F4"/>
    <w:rsid w:val="002071A9"/>
    <w:rsid w:val="00207F55"/>
    <w:rsid w:val="0021044B"/>
    <w:rsid w:val="0021194F"/>
    <w:rsid w:val="00211B0C"/>
    <w:rsid w:val="00211B2A"/>
    <w:rsid w:val="00211F48"/>
    <w:rsid w:val="00213015"/>
    <w:rsid w:val="0021325B"/>
    <w:rsid w:val="0021344D"/>
    <w:rsid w:val="002139CF"/>
    <w:rsid w:val="0021478E"/>
    <w:rsid w:val="00215B89"/>
    <w:rsid w:val="00215D4F"/>
    <w:rsid w:val="002176B1"/>
    <w:rsid w:val="002202D4"/>
    <w:rsid w:val="002203C0"/>
    <w:rsid w:val="0022052A"/>
    <w:rsid w:val="00220A84"/>
    <w:rsid w:val="002216E0"/>
    <w:rsid w:val="00222920"/>
    <w:rsid w:val="00222927"/>
    <w:rsid w:val="002239B0"/>
    <w:rsid w:val="0022508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738"/>
    <w:rsid w:val="00237CDF"/>
    <w:rsid w:val="00240705"/>
    <w:rsid w:val="00240886"/>
    <w:rsid w:val="00240A4B"/>
    <w:rsid w:val="002410D4"/>
    <w:rsid w:val="00241EBE"/>
    <w:rsid w:val="00242525"/>
    <w:rsid w:val="002425DF"/>
    <w:rsid w:val="00242FD2"/>
    <w:rsid w:val="00244041"/>
    <w:rsid w:val="0024542E"/>
    <w:rsid w:val="002465AB"/>
    <w:rsid w:val="00246DF5"/>
    <w:rsid w:val="00247504"/>
    <w:rsid w:val="00247654"/>
    <w:rsid w:val="00247CA8"/>
    <w:rsid w:val="00247F3F"/>
    <w:rsid w:val="00253D4F"/>
    <w:rsid w:val="00254927"/>
    <w:rsid w:val="00254DED"/>
    <w:rsid w:val="00255537"/>
    <w:rsid w:val="00255576"/>
    <w:rsid w:val="00255C90"/>
    <w:rsid w:val="00255F8F"/>
    <w:rsid w:val="00256140"/>
    <w:rsid w:val="00256687"/>
    <w:rsid w:val="002567F7"/>
    <w:rsid w:val="00260354"/>
    <w:rsid w:val="00260838"/>
    <w:rsid w:val="002619B0"/>
    <w:rsid w:val="00261C26"/>
    <w:rsid w:val="00262104"/>
    <w:rsid w:val="00262767"/>
    <w:rsid w:val="00262F45"/>
    <w:rsid w:val="002631E5"/>
    <w:rsid w:val="00264076"/>
    <w:rsid w:val="00264734"/>
    <w:rsid w:val="00264CE8"/>
    <w:rsid w:val="00264F2A"/>
    <w:rsid w:val="00265BD9"/>
    <w:rsid w:val="00266155"/>
    <w:rsid w:val="002677FB"/>
    <w:rsid w:val="00267DC0"/>
    <w:rsid w:val="00271408"/>
    <w:rsid w:val="00271419"/>
    <w:rsid w:val="00271C31"/>
    <w:rsid w:val="00272838"/>
    <w:rsid w:val="00273955"/>
    <w:rsid w:val="00273C07"/>
    <w:rsid w:val="00273EF8"/>
    <w:rsid w:val="002767CB"/>
    <w:rsid w:val="00276936"/>
    <w:rsid w:val="00276F9B"/>
    <w:rsid w:val="0027706F"/>
    <w:rsid w:val="0027789D"/>
    <w:rsid w:val="002800A0"/>
    <w:rsid w:val="0028067C"/>
    <w:rsid w:val="00280D27"/>
    <w:rsid w:val="00280E68"/>
    <w:rsid w:val="00281C1C"/>
    <w:rsid w:val="00281D2F"/>
    <w:rsid w:val="002826D8"/>
    <w:rsid w:val="002837CB"/>
    <w:rsid w:val="00283ABC"/>
    <w:rsid w:val="00284928"/>
    <w:rsid w:val="00284B65"/>
    <w:rsid w:val="002862BB"/>
    <w:rsid w:val="0028679C"/>
    <w:rsid w:val="00286B2F"/>
    <w:rsid w:val="002878E2"/>
    <w:rsid w:val="00292457"/>
    <w:rsid w:val="0029271C"/>
    <w:rsid w:val="0029349A"/>
    <w:rsid w:val="00293C37"/>
    <w:rsid w:val="00294B1A"/>
    <w:rsid w:val="00295ACE"/>
    <w:rsid w:val="00295B90"/>
    <w:rsid w:val="00296078"/>
    <w:rsid w:val="00296397"/>
    <w:rsid w:val="00296CD5"/>
    <w:rsid w:val="00297023"/>
    <w:rsid w:val="00297AEF"/>
    <w:rsid w:val="00297C74"/>
    <w:rsid w:val="002A0FDC"/>
    <w:rsid w:val="002A1FCA"/>
    <w:rsid w:val="002A23DB"/>
    <w:rsid w:val="002A2476"/>
    <w:rsid w:val="002A3582"/>
    <w:rsid w:val="002A3868"/>
    <w:rsid w:val="002A3872"/>
    <w:rsid w:val="002A4EAC"/>
    <w:rsid w:val="002B0B03"/>
    <w:rsid w:val="002B0FAC"/>
    <w:rsid w:val="002B2F24"/>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53A0"/>
    <w:rsid w:val="002C551D"/>
    <w:rsid w:val="002C69F1"/>
    <w:rsid w:val="002C752E"/>
    <w:rsid w:val="002D0495"/>
    <w:rsid w:val="002D0E90"/>
    <w:rsid w:val="002D10AE"/>
    <w:rsid w:val="002D145F"/>
    <w:rsid w:val="002D1560"/>
    <w:rsid w:val="002D27E2"/>
    <w:rsid w:val="002D2CAE"/>
    <w:rsid w:val="002D380C"/>
    <w:rsid w:val="002D41E0"/>
    <w:rsid w:val="002D6E22"/>
    <w:rsid w:val="002D7F3D"/>
    <w:rsid w:val="002E09E9"/>
    <w:rsid w:val="002E201F"/>
    <w:rsid w:val="002E2171"/>
    <w:rsid w:val="002E28AA"/>
    <w:rsid w:val="002E2ACC"/>
    <w:rsid w:val="002E3487"/>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9A2"/>
    <w:rsid w:val="00304E36"/>
    <w:rsid w:val="00305595"/>
    <w:rsid w:val="00305A5A"/>
    <w:rsid w:val="00306797"/>
    <w:rsid w:val="003075FF"/>
    <w:rsid w:val="003079E8"/>
    <w:rsid w:val="00307A5B"/>
    <w:rsid w:val="003103FD"/>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40276"/>
    <w:rsid w:val="00340BAE"/>
    <w:rsid w:val="00341095"/>
    <w:rsid w:val="0034148B"/>
    <w:rsid w:val="0034277C"/>
    <w:rsid w:val="00342CDB"/>
    <w:rsid w:val="0034301C"/>
    <w:rsid w:val="00344194"/>
    <w:rsid w:val="00344378"/>
    <w:rsid w:val="00344D1F"/>
    <w:rsid w:val="003459BB"/>
    <w:rsid w:val="0034649E"/>
    <w:rsid w:val="0035072E"/>
    <w:rsid w:val="00350857"/>
    <w:rsid w:val="00350F99"/>
    <w:rsid w:val="00352D4D"/>
    <w:rsid w:val="00353CEB"/>
    <w:rsid w:val="00353FFC"/>
    <w:rsid w:val="00354D0C"/>
    <w:rsid w:val="00355239"/>
    <w:rsid w:val="00355D6B"/>
    <w:rsid w:val="00360F90"/>
    <w:rsid w:val="0036117C"/>
    <w:rsid w:val="00361D4E"/>
    <w:rsid w:val="00361ED8"/>
    <w:rsid w:val="0036211E"/>
    <w:rsid w:val="00362C0D"/>
    <w:rsid w:val="003634EF"/>
    <w:rsid w:val="003636E8"/>
    <w:rsid w:val="003637C7"/>
    <w:rsid w:val="003647B3"/>
    <w:rsid w:val="003647DE"/>
    <w:rsid w:val="003668AE"/>
    <w:rsid w:val="00366AAE"/>
    <w:rsid w:val="00366C4C"/>
    <w:rsid w:val="0037021D"/>
    <w:rsid w:val="00370F2E"/>
    <w:rsid w:val="003711C7"/>
    <w:rsid w:val="003720A1"/>
    <w:rsid w:val="00373B97"/>
    <w:rsid w:val="00373D7F"/>
    <w:rsid w:val="00374A51"/>
    <w:rsid w:val="00374AB0"/>
    <w:rsid w:val="00374E6E"/>
    <w:rsid w:val="00374EFE"/>
    <w:rsid w:val="00374FA8"/>
    <w:rsid w:val="00375BAB"/>
    <w:rsid w:val="00376456"/>
    <w:rsid w:val="0037656E"/>
    <w:rsid w:val="003772EC"/>
    <w:rsid w:val="00381281"/>
    <w:rsid w:val="003821EA"/>
    <w:rsid w:val="00382419"/>
    <w:rsid w:val="0038266D"/>
    <w:rsid w:val="00382A12"/>
    <w:rsid w:val="0038332B"/>
    <w:rsid w:val="003834E7"/>
    <w:rsid w:val="0038388A"/>
    <w:rsid w:val="00383E3F"/>
    <w:rsid w:val="00384AA1"/>
    <w:rsid w:val="00384DCB"/>
    <w:rsid w:val="00384F25"/>
    <w:rsid w:val="00385965"/>
    <w:rsid w:val="00386F5B"/>
    <w:rsid w:val="00387042"/>
    <w:rsid w:val="00387047"/>
    <w:rsid w:val="00387386"/>
    <w:rsid w:val="00390E86"/>
    <w:rsid w:val="00391214"/>
    <w:rsid w:val="003917C6"/>
    <w:rsid w:val="003919C9"/>
    <w:rsid w:val="00393846"/>
    <w:rsid w:val="0039495A"/>
    <w:rsid w:val="00394EE8"/>
    <w:rsid w:val="00395477"/>
    <w:rsid w:val="00395E74"/>
    <w:rsid w:val="00396D1A"/>
    <w:rsid w:val="00397C47"/>
    <w:rsid w:val="003A09C9"/>
    <w:rsid w:val="003A1186"/>
    <w:rsid w:val="003A1640"/>
    <w:rsid w:val="003A1B17"/>
    <w:rsid w:val="003A1E72"/>
    <w:rsid w:val="003A2072"/>
    <w:rsid w:val="003A2D9D"/>
    <w:rsid w:val="003A6823"/>
    <w:rsid w:val="003A6960"/>
    <w:rsid w:val="003A6CAC"/>
    <w:rsid w:val="003A7DDD"/>
    <w:rsid w:val="003B0651"/>
    <w:rsid w:val="003B29FD"/>
    <w:rsid w:val="003B3CAB"/>
    <w:rsid w:val="003B4D5C"/>
    <w:rsid w:val="003B5F88"/>
    <w:rsid w:val="003B753E"/>
    <w:rsid w:val="003B7759"/>
    <w:rsid w:val="003B7BA5"/>
    <w:rsid w:val="003B7FB9"/>
    <w:rsid w:val="003C014D"/>
    <w:rsid w:val="003C11FE"/>
    <w:rsid w:val="003C1352"/>
    <w:rsid w:val="003C1838"/>
    <w:rsid w:val="003C21E9"/>
    <w:rsid w:val="003C26AD"/>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70B"/>
    <w:rsid w:val="003E5C17"/>
    <w:rsid w:val="003E6E16"/>
    <w:rsid w:val="003F0949"/>
    <w:rsid w:val="003F1589"/>
    <w:rsid w:val="003F1A4D"/>
    <w:rsid w:val="003F32FB"/>
    <w:rsid w:val="003F33B8"/>
    <w:rsid w:val="003F439B"/>
    <w:rsid w:val="003F47A3"/>
    <w:rsid w:val="003F4B82"/>
    <w:rsid w:val="003F4C08"/>
    <w:rsid w:val="003F55DD"/>
    <w:rsid w:val="003F586B"/>
    <w:rsid w:val="003F608A"/>
    <w:rsid w:val="003F6582"/>
    <w:rsid w:val="003F6A72"/>
    <w:rsid w:val="003F6B83"/>
    <w:rsid w:val="003F7790"/>
    <w:rsid w:val="003F791F"/>
    <w:rsid w:val="003F7D12"/>
    <w:rsid w:val="003F7F08"/>
    <w:rsid w:val="00401955"/>
    <w:rsid w:val="00402714"/>
    <w:rsid w:val="00402920"/>
    <w:rsid w:val="00402B2F"/>
    <w:rsid w:val="00402E86"/>
    <w:rsid w:val="004032CA"/>
    <w:rsid w:val="00403328"/>
    <w:rsid w:val="0040349B"/>
    <w:rsid w:val="00403AC7"/>
    <w:rsid w:val="004042EB"/>
    <w:rsid w:val="00406115"/>
    <w:rsid w:val="0040637F"/>
    <w:rsid w:val="00406F9F"/>
    <w:rsid w:val="004110D7"/>
    <w:rsid w:val="004112FF"/>
    <w:rsid w:val="0041255F"/>
    <w:rsid w:val="00412AE3"/>
    <w:rsid w:val="00413F3C"/>
    <w:rsid w:val="0041408A"/>
    <w:rsid w:val="004140D0"/>
    <w:rsid w:val="00414C62"/>
    <w:rsid w:val="004218E8"/>
    <w:rsid w:val="00421D69"/>
    <w:rsid w:val="00421F07"/>
    <w:rsid w:val="00422B7D"/>
    <w:rsid w:val="00423056"/>
    <w:rsid w:val="00423872"/>
    <w:rsid w:val="00424A67"/>
    <w:rsid w:val="00426C25"/>
    <w:rsid w:val="00426CE6"/>
    <w:rsid w:val="00427331"/>
    <w:rsid w:val="00427DE8"/>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538"/>
    <w:rsid w:val="00455DDB"/>
    <w:rsid w:val="00457528"/>
    <w:rsid w:val="00460049"/>
    <w:rsid w:val="00460303"/>
    <w:rsid w:val="00460E56"/>
    <w:rsid w:val="00460FD2"/>
    <w:rsid w:val="004619AE"/>
    <w:rsid w:val="00461DB4"/>
    <w:rsid w:val="004623CB"/>
    <w:rsid w:val="00463F88"/>
    <w:rsid w:val="00465A78"/>
    <w:rsid w:val="00465C69"/>
    <w:rsid w:val="00465C7E"/>
    <w:rsid w:val="00465C81"/>
    <w:rsid w:val="00466489"/>
    <w:rsid w:val="004671D1"/>
    <w:rsid w:val="00467797"/>
    <w:rsid w:val="0047003D"/>
    <w:rsid w:val="00470530"/>
    <w:rsid w:val="00471595"/>
    <w:rsid w:val="004731C5"/>
    <w:rsid w:val="00473B50"/>
    <w:rsid w:val="00473B89"/>
    <w:rsid w:val="00473DE7"/>
    <w:rsid w:val="00474678"/>
    <w:rsid w:val="00474D63"/>
    <w:rsid w:val="00475E35"/>
    <w:rsid w:val="00475E3F"/>
    <w:rsid w:val="00477B72"/>
    <w:rsid w:val="00477E3C"/>
    <w:rsid w:val="00480265"/>
    <w:rsid w:val="00480D4B"/>
    <w:rsid w:val="00482362"/>
    <w:rsid w:val="00482FA4"/>
    <w:rsid w:val="00485883"/>
    <w:rsid w:val="00485FCD"/>
    <w:rsid w:val="004868AF"/>
    <w:rsid w:val="004872F8"/>
    <w:rsid w:val="00487663"/>
    <w:rsid w:val="00487AC3"/>
    <w:rsid w:val="0049166E"/>
    <w:rsid w:val="00491B0C"/>
    <w:rsid w:val="00492727"/>
    <w:rsid w:val="00492735"/>
    <w:rsid w:val="00492E9A"/>
    <w:rsid w:val="00492F5E"/>
    <w:rsid w:val="0049345D"/>
    <w:rsid w:val="00493ACD"/>
    <w:rsid w:val="00494678"/>
    <w:rsid w:val="00494C20"/>
    <w:rsid w:val="00494D09"/>
    <w:rsid w:val="00495781"/>
    <w:rsid w:val="00495B51"/>
    <w:rsid w:val="00495B70"/>
    <w:rsid w:val="00496C52"/>
    <w:rsid w:val="0049786A"/>
    <w:rsid w:val="00497AB8"/>
    <w:rsid w:val="00497CF7"/>
    <w:rsid w:val="004A0035"/>
    <w:rsid w:val="004A0AB5"/>
    <w:rsid w:val="004A1151"/>
    <w:rsid w:val="004A18DA"/>
    <w:rsid w:val="004A2CBB"/>
    <w:rsid w:val="004A3476"/>
    <w:rsid w:val="004A3C38"/>
    <w:rsid w:val="004A446C"/>
    <w:rsid w:val="004A467E"/>
    <w:rsid w:val="004A4CFC"/>
    <w:rsid w:val="004A4FFA"/>
    <w:rsid w:val="004A7231"/>
    <w:rsid w:val="004A7877"/>
    <w:rsid w:val="004A7C49"/>
    <w:rsid w:val="004B053B"/>
    <w:rsid w:val="004B07AF"/>
    <w:rsid w:val="004B0E8F"/>
    <w:rsid w:val="004B2F6C"/>
    <w:rsid w:val="004B37AF"/>
    <w:rsid w:val="004B4550"/>
    <w:rsid w:val="004B4C4B"/>
    <w:rsid w:val="004B5371"/>
    <w:rsid w:val="004B6591"/>
    <w:rsid w:val="004B6739"/>
    <w:rsid w:val="004C0736"/>
    <w:rsid w:val="004C1479"/>
    <w:rsid w:val="004C1A05"/>
    <w:rsid w:val="004C1E34"/>
    <w:rsid w:val="004C2CC9"/>
    <w:rsid w:val="004C2DDA"/>
    <w:rsid w:val="004C33AF"/>
    <w:rsid w:val="004C3527"/>
    <w:rsid w:val="004C3927"/>
    <w:rsid w:val="004C4066"/>
    <w:rsid w:val="004C41EB"/>
    <w:rsid w:val="004C4DDD"/>
    <w:rsid w:val="004C4F34"/>
    <w:rsid w:val="004C5A6B"/>
    <w:rsid w:val="004C5B83"/>
    <w:rsid w:val="004C5BD3"/>
    <w:rsid w:val="004C6089"/>
    <w:rsid w:val="004C6440"/>
    <w:rsid w:val="004C6913"/>
    <w:rsid w:val="004C6BC5"/>
    <w:rsid w:val="004C6DB6"/>
    <w:rsid w:val="004C7FA3"/>
    <w:rsid w:val="004D04D3"/>
    <w:rsid w:val="004D187B"/>
    <w:rsid w:val="004D2701"/>
    <w:rsid w:val="004D2D7B"/>
    <w:rsid w:val="004D2DEC"/>
    <w:rsid w:val="004D34D4"/>
    <w:rsid w:val="004D3619"/>
    <w:rsid w:val="004D4654"/>
    <w:rsid w:val="004D518E"/>
    <w:rsid w:val="004D51EE"/>
    <w:rsid w:val="004D52D2"/>
    <w:rsid w:val="004D5580"/>
    <w:rsid w:val="004D60F0"/>
    <w:rsid w:val="004D7665"/>
    <w:rsid w:val="004D77E9"/>
    <w:rsid w:val="004D77F4"/>
    <w:rsid w:val="004E01F7"/>
    <w:rsid w:val="004E0844"/>
    <w:rsid w:val="004E0F6F"/>
    <w:rsid w:val="004E3C2F"/>
    <w:rsid w:val="004E43E3"/>
    <w:rsid w:val="004E5C79"/>
    <w:rsid w:val="004E5E43"/>
    <w:rsid w:val="004E6062"/>
    <w:rsid w:val="004E64CD"/>
    <w:rsid w:val="004E7C62"/>
    <w:rsid w:val="004E7D82"/>
    <w:rsid w:val="004F0AA2"/>
    <w:rsid w:val="004F0B43"/>
    <w:rsid w:val="004F1073"/>
    <w:rsid w:val="004F13B0"/>
    <w:rsid w:val="004F1723"/>
    <w:rsid w:val="004F3156"/>
    <w:rsid w:val="004F3583"/>
    <w:rsid w:val="004F3D8D"/>
    <w:rsid w:val="004F4665"/>
    <w:rsid w:val="004F4C76"/>
    <w:rsid w:val="004F526A"/>
    <w:rsid w:val="004F5C4F"/>
    <w:rsid w:val="004F5EA0"/>
    <w:rsid w:val="004F653F"/>
    <w:rsid w:val="004F6C7C"/>
    <w:rsid w:val="004F6EF0"/>
    <w:rsid w:val="004F6F8F"/>
    <w:rsid w:val="00500061"/>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346"/>
    <w:rsid w:val="00512940"/>
    <w:rsid w:val="00513AEC"/>
    <w:rsid w:val="00517204"/>
    <w:rsid w:val="00517587"/>
    <w:rsid w:val="00517C1C"/>
    <w:rsid w:val="00517F8D"/>
    <w:rsid w:val="00517FEA"/>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5DB1"/>
    <w:rsid w:val="00526B77"/>
    <w:rsid w:val="0052701B"/>
    <w:rsid w:val="0052740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BA8"/>
    <w:rsid w:val="00546243"/>
    <w:rsid w:val="005463CF"/>
    <w:rsid w:val="00546697"/>
    <w:rsid w:val="005469A3"/>
    <w:rsid w:val="00546E21"/>
    <w:rsid w:val="0054704D"/>
    <w:rsid w:val="00547485"/>
    <w:rsid w:val="00550828"/>
    <w:rsid w:val="0055115B"/>
    <w:rsid w:val="0055186B"/>
    <w:rsid w:val="0055336A"/>
    <w:rsid w:val="005539E3"/>
    <w:rsid w:val="005540BB"/>
    <w:rsid w:val="005545AA"/>
    <w:rsid w:val="00554AFE"/>
    <w:rsid w:val="00554F33"/>
    <w:rsid w:val="00555101"/>
    <w:rsid w:val="00555A33"/>
    <w:rsid w:val="005561B8"/>
    <w:rsid w:val="00556653"/>
    <w:rsid w:val="0056062F"/>
    <w:rsid w:val="00560762"/>
    <w:rsid w:val="005609DF"/>
    <w:rsid w:val="00560D01"/>
    <w:rsid w:val="005618F3"/>
    <w:rsid w:val="00562785"/>
    <w:rsid w:val="005629F4"/>
    <w:rsid w:val="00562FBB"/>
    <w:rsid w:val="00563367"/>
    <w:rsid w:val="005639A2"/>
    <w:rsid w:val="00563E02"/>
    <w:rsid w:val="0056520D"/>
    <w:rsid w:val="0056543D"/>
    <w:rsid w:val="005657A1"/>
    <w:rsid w:val="00565E0F"/>
    <w:rsid w:val="0056649C"/>
    <w:rsid w:val="0056699F"/>
    <w:rsid w:val="00567AED"/>
    <w:rsid w:val="00567DA6"/>
    <w:rsid w:val="00570341"/>
    <w:rsid w:val="00570863"/>
    <w:rsid w:val="005710D4"/>
    <w:rsid w:val="005721A4"/>
    <w:rsid w:val="00572908"/>
    <w:rsid w:val="00573694"/>
    <w:rsid w:val="00574269"/>
    <w:rsid w:val="00574537"/>
    <w:rsid w:val="00575F36"/>
    <w:rsid w:val="005770A1"/>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4E4D"/>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B88"/>
    <w:rsid w:val="005A4FAD"/>
    <w:rsid w:val="005A7A2E"/>
    <w:rsid w:val="005B0127"/>
    <w:rsid w:val="005B039D"/>
    <w:rsid w:val="005B0DC4"/>
    <w:rsid w:val="005B12AA"/>
    <w:rsid w:val="005B1EF0"/>
    <w:rsid w:val="005B286F"/>
    <w:rsid w:val="005B44FF"/>
    <w:rsid w:val="005B4AAA"/>
    <w:rsid w:val="005B50F4"/>
    <w:rsid w:val="005B65B4"/>
    <w:rsid w:val="005B68F3"/>
    <w:rsid w:val="005B6A2D"/>
    <w:rsid w:val="005B6F58"/>
    <w:rsid w:val="005B7F86"/>
    <w:rsid w:val="005C04C2"/>
    <w:rsid w:val="005C0735"/>
    <w:rsid w:val="005C0885"/>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D19D3"/>
    <w:rsid w:val="005D2A3D"/>
    <w:rsid w:val="005D32C8"/>
    <w:rsid w:val="005D482E"/>
    <w:rsid w:val="005D5ADD"/>
    <w:rsid w:val="005D6E00"/>
    <w:rsid w:val="005D71CE"/>
    <w:rsid w:val="005E026E"/>
    <w:rsid w:val="005E037A"/>
    <w:rsid w:val="005E0405"/>
    <w:rsid w:val="005E056B"/>
    <w:rsid w:val="005E18A7"/>
    <w:rsid w:val="005E1ED1"/>
    <w:rsid w:val="005E2CDA"/>
    <w:rsid w:val="005E397B"/>
    <w:rsid w:val="005E4164"/>
    <w:rsid w:val="005E4EA6"/>
    <w:rsid w:val="005E51F2"/>
    <w:rsid w:val="005E5594"/>
    <w:rsid w:val="005E55B5"/>
    <w:rsid w:val="005E576F"/>
    <w:rsid w:val="005E6915"/>
    <w:rsid w:val="005F0D2D"/>
    <w:rsid w:val="005F2438"/>
    <w:rsid w:val="005F286F"/>
    <w:rsid w:val="005F3F48"/>
    <w:rsid w:val="005F47E7"/>
    <w:rsid w:val="005F4E89"/>
    <w:rsid w:val="005F5014"/>
    <w:rsid w:val="005F6C73"/>
    <w:rsid w:val="005F7011"/>
    <w:rsid w:val="00600186"/>
    <w:rsid w:val="00600C1E"/>
    <w:rsid w:val="006018C8"/>
    <w:rsid w:val="0060325A"/>
    <w:rsid w:val="00603368"/>
    <w:rsid w:val="00604037"/>
    <w:rsid w:val="00604058"/>
    <w:rsid w:val="00604A4C"/>
    <w:rsid w:val="00605451"/>
    <w:rsid w:val="00605BF8"/>
    <w:rsid w:val="00605F5A"/>
    <w:rsid w:val="00606041"/>
    <w:rsid w:val="006069B9"/>
    <w:rsid w:val="00606B7C"/>
    <w:rsid w:val="00607159"/>
    <w:rsid w:val="006071A6"/>
    <w:rsid w:val="00607E7D"/>
    <w:rsid w:val="0061053C"/>
    <w:rsid w:val="00611567"/>
    <w:rsid w:val="00611710"/>
    <w:rsid w:val="00611948"/>
    <w:rsid w:val="00611CEB"/>
    <w:rsid w:val="00612726"/>
    <w:rsid w:val="00612AC4"/>
    <w:rsid w:val="00612E20"/>
    <w:rsid w:val="0061397A"/>
    <w:rsid w:val="00614173"/>
    <w:rsid w:val="00616532"/>
    <w:rsid w:val="006165B4"/>
    <w:rsid w:val="00617953"/>
    <w:rsid w:val="00617D03"/>
    <w:rsid w:val="00617E09"/>
    <w:rsid w:val="006202CE"/>
    <w:rsid w:val="00621800"/>
    <w:rsid w:val="0062226C"/>
    <w:rsid w:val="00622933"/>
    <w:rsid w:val="00622BEB"/>
    <w:rsid w:val="006248E2"/>
    <w:rsid w:val="006252B9"/>
    <w:rsid w:val="00625C89"/>
    <w:rsid w:val="00626841"/>
    <w:rsid w:val="00627611"/>
    <w:rsid w:val="00627BF7"/>
    <w:rsid w:val="0063017F"/>
    <w:rsid w:val="00630D3E"/>
    <w:rsid w:val="00631566"/>
    <w:rsid w:val="00632072"/>
    <w:rsid w:val="006324EB"/>
    <w:rsid w:val="00632554"/>
    <w:rsid w:val="006330C6"/>
    <w:rsid w:val="00634A64"/>
    <w:rsid w:val="00635076"/>
    <w:rsid w:val="00635249"/>
    <w:rsid w:val="0063559B"/>
    <w:rsid w:val="0063647E"/>
    <w:rsid w:val="00636AF6"/>
    <w:rsid w:val="00636BD1"/>
    <w:rsid w:val="00637282"/>
    <w:rsid w:val="00637315"/>
    <w:rsid w:val="00637BD1"/>
    <w:rsid w:val="006407BF"/>
    <w:rsid w:val="006411AD"/>
    <w:rsid w:val="00641AD1"/>
    <w:rsid w:val="00642149"/>
    <w:rsid w:val="00644EDA"/>
    <w:rsid w:val="00645497"/>
    <w:rsid w:val="0064551D"/>
    <w:rsid w:val="0064571C"/>
    <w:rsid w:val="006459BB"/>
    <w:rsid w:val="00645AD2"/>
    <w:rsid w:val="00647236"/>
    <w:rsid w:val="00647848"/>
    <w:rsid w:val="00650A01"/>
    <w:rsid w:val="0065266E"/>
    <w:rsid w:val="006527E4"/>
    <w:rsid w:val="00653F7B"/>
    <w:rsid w:val="00654242"/>
    <w:rsid w:val="00655247"/>
    <w:rsid w:val="00655280"/>
    <w:rsid w:val="00655913"/>
    <w:rsid w:val="00655E18"/>
    <w:rsid w:val="00656122"/>
    <w:rsid w:val="00656AC4"/>
    <w:rsid w:val="00656BED"/>
    <w:rsid w:val="00661029"/>
    <w:rsid w:val="00661559"/>
    <w:rsid w:val="00661694"/>
    <w:rsid w:val="00661892"/>
    <w:rsid w:val="00661898"/>
    <w:rsid w:val="00661B31"/>
    <w:rsid w:val="00662B69"/>
    <w:rsid w:val="00663509"/>
    <w:rsid w:val="00663E14"/>
    <w:rsid w:val="00664D1D"/>
    <w:rsid w:val="00664DF9"/>
    <w:rsid w:val="0066502B"/>
    <w:rsid w:val="00665980"/>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B04"/>
    <w:rsid w:val="00694482"/>
    <w:rsid w:val="0069489C"/>
    <w:rsid w:val="00694DEA"/>
    <w:rsid w:val="00695183"/>
    <w:rsid w:val="0069535D"/>
    <w:rsid w:val="00695415"/>
    <w:rsid w:val="006955CB"/>
    <w:rsid w:val="006A004A"/>
    <w:rsid w:val="006A08A6"/>
    <w:rsid w:val="006A15C5"/>
    <w:rsid w:val="006A2680"/>
    <w:rsid w:val="006A2DE5"/>
    <w:rsid w:val="006A30C5"/>
    <w:rsid w:val="006A462F"/>
    <w:rsid w:val="006A4D82"/>
    <w:rsid w:val="006A4ED3"/>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4E2"/>
    <w:rsid w:val="006C279A"/>
    <w:rsid w:val="006C2B9D"/>
    <w:rsid w:val="006C2F51"/>
    <w:rsid w:val="006C3924"/>
    <w:rsid w:val="006C42B7"/>
    <w:rsid w:val="006C5049"/>
    <w:rsid w:val="006C57A3"/>
    <w:rsid w:val="006C6024"/>
    <w:rsid w:val="006C6190"/>
    <w:rsid w:val="006C61D6"/>
    <w:rsid w:val="006C6554"/>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605"/>
    <w:rsid w:val="006E6DC7"/>
    <w:rsid w:val="006E6E2B"/>
    <w:rsid w:val="006E7239"/>
    <w:rsid w:val="006E755E"/>
    <w:rsid w:val="006E7592"/>
    <w:rsid w:val="006F0628"/>
    <w:rsid w:val="006F0AC1"/>
    <w:rsid w:val="006F33CA"/>
    <w:rsid w:val="006F33D1"/>
    <w:rsid w:val="006F4D1C"/>
    <w:rsid w:val="006F57F9"/>
    <w:rsid w:val="006F6A5E"/>
    <w:rsid w:val="006F7417"/>
    <w:rsid w:val="00700525"/>
    <w:rsid w:val="00700646"/>
    <w:rsid w:val="007008BA"/>
    <w:rsid w:val="00701FE6"/>
    <w:rsid w:val="007033AF"/>
    <w:rsid w:val="007033FC"/>
    <w:rsid w:val="0070399B"/>
    <w:rsid w:val="0070593F"/>
    <w:rsid w:val="00705F20"/>
    <w:rsid w:val="00706077"/>
    <w:rsid w:val="00706C0F"/>
    <w:rsid w:val="00706D2A"/>
    <w:rsid w:val="00710227"/>
    <w:rsid w:val="007107CA"/>
    <w:rsid w:val="00710A9D"/>
    <w:rsid w:val="00710EB9"/>
    <w:rsid w:val="007114F4"/>
    <w:rsid w:val="00711B90"/>
    <w:rsid w:val="00711F82"/>
    <w:rsid w:val="00712674"/>
    <w:rsid w:val="007144C0"/>
    <w:rsid w:val="00714744"/>
    <w:rsid w:val="007159BD"/>
    <w:rsid w:val="007159EC"/>
    <w:rsid w:val="00715E0C"/>
    <w:rsid w:val="0071743A"/>
    <w:rsid w:val="0072028C"/>
    <w:rsid w:val="007207F6"/>
    <w:rsid w:val="00721ED4"/>
    <w:rsid w:val="00723CD6"/>
    <w:rsid w:val="00723E48"/>
    <w:rsid w:val="00724558"/>
    <w:rsid w:val="00725D4C"/>
    <w:rsid w:val="00726497"/>
    <w:rsid w:val="007272BD"/>
    <w:rsid w:val="00727C5C"/>
    <w:rsid w:val="00727F4E"/>
    <w:rsid w:val="007305F8"/>
    <w:rsid w:val="0073073F"/>
    <w:rsid w:val="007313DF"/>
    <w:rsid w:val="00732149"/>
    <w:rsid w:val="0073268D"/>
    <w:rsid w:val="00733110"/>
    <w:rsid w:val="0073344A"/>
    <w:rsid w:val="00733B89"/>
    <w:rsid w:val="00733F77"/>
    <w:rsid w:val="0073422B"/>
    <w:rsid w:val="00734C85"/>
    <w:rsid w:val="00734EFF"/>
    <w:rsid w:val="00735809"/>
    <w:rsid w:val="007367C0"/>
    <w:rsid w:val="00741AFA"/>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3F35"/>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03F"/>
    <w:rsid w:val="007723D2"/>
    <w:rsid w:val="00773216"/>
    <w:rsid w:val="007736AB"/>
    <w:rsid w:val="00774647"/>
    <w:rsid w:val="00774A0A"/>
    <w:rsid w:val="0077578D"/>
    <w:rsid w:val="0077583F"/>
    <w:rsid w:val="00776A26"/>
    <w:rsid w:val="0077722D"/>
    <w:rsid w:val="00777967"/>
    <w:rsid w:val="00777A46"/>
    <w:rsid w:val="0078018E"/>
    <w:rsid w:val="0078103E"/>
    <w:rsid w:val="00781C06"/>
    <w:rsid w:val="00782235"/>
    <w:rsid w:val="00784262"/>
    <w:rsid w:val="0078468D"/>
    <w:rsid w:val="00784D6F"/>
    <w:rsid w:val="00786004"/>
    <w:rsid w:val="007866F7"/>
    <w:rsid w:val="007904F1"/>
    <w:rsid w:val="007911C1"/>
    <w:rsid w:val="007913E1"/>
    <w:rsid w:val="0079176C"/>
    <w:rsid w:val="00793BAB"/>
    <w:rsid w:val="00793D06"/>
    <w:rsid w:val="00793D11"/>
    <w:rsid w:val="007940D6"/>
    <w:rsid w:val="00794119"/>
    <w:rsid w:val="00794186"/>
    <w:rsid w:val="00795402"/>
    <w:rsid w:val="00795F35"/>
    <w:rsid w:val="0079601E"/>
    <w:rsid w:val="007970CB"/>
    <w:rsid w:val="00797CFF"/>
    <w:rsid w:val="007A0808"/>
    <w:rsid w:val="007A0CDF"/>
    <w:rsid w:val="007A1073"/>
    <w:rsid w:val="007A1B21"/>
    <w:rsid w:val="007A28DF"/>
    <w:rsid w:val="007A292F"/>
    <w:rsid w:val="007A2F58"/>
    <w:rsid w:val="007A48EB"/>
    <w:rsid w:val="007A4F2A"/>
    <w:rsid w:val="007A780A"/>
    <w:rsid w:val="007B1276"/>
    <w:rsid w:val="007B309C"/>
    <w:rsid w:val="007B3494"/>
    <w:rsid w:val="007B3D59"/>
    <w:rsid w:val="007B4355"/>
    <w:rsid w:val="007B48D6"/>
    <w:rsid w:val="007B61DC"/>
    <w:rsid w:val="007B66F5"/>
    <w:rsid w:val="007B6B82"/>
    <w:rsid w:val="007B6DDC"/>
    <w:rsid w:val="007B6DF4"/>
    <w:rsid w:val="007C161B"/>
    <w:rsid w:val="007C16A7"/>
    <w:rsid w:val="007C2C96"/>
    <w:rsid w:val="007C311D"/>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2C41"/>
    <w:rsid w:val="007D3002"/>
    <w:rsid w:val="007D517C"/>
    <w:rsid w:val="007D76CF"/>
    <w:rsid w:val="007D78E6"/>
    <w:rsid w:val="007E04DB"/>
    <w:rsid w:val="007E1A81"/>
    <w:rsid w:val="007E2293"/>
    <w:rsid w:val="007E5853"/>
    <w:rsid w:val="007E79B3"/>
    <w:rsid w:val="007E7E4C"/>
    <w:rsid w:val="007F064D"/>
    <w:rsid w:val="007F07FB"/>
    <w:rsid w:val="007F139D"/>
    <w:rsid w:val="007F22F5"/>
    <w:rsid w:val="007F2E65"/>
    <w:rsid w:val="007F338C"/>
    <w:rsid w:val="007F38B2"/>
    <w:rsid w:val="007F448C"/>
    <w:rsid w:val="007F50F8"/>
    <w:rsid w:val="007F532A"/>
    <w:rsid w:val="007F6C5D"/>
    <w:rsid w:val="007F6D6F"/>
    <w:rsid w:val="00800504"/>
    <w:rsid w:val="00800748"/>
    <w:rsid w:val="00800B7D"/>
    <w:rsid w:val="0080160B"/>
    <w:rsid w:val="00801769"/>
    <w:rsid w:val="0080249F"/>
    <w:rsid w:val="00802B89"/>
    <w:rsid w:val="00803ADC"/>
    <w:rsid w:val="00804AF4"/>
    <w:rsid w:val="008060A3"/>
    <w:rsid w:val="0081075A"/>
    <w:rsid w:val="008107EF"/>
    <w:rsid w:val="0081102F"/>
    <w:rsid w:val="00812623"/>
    <w:rsid w:val="00812890"/>
    <w:rsid w:val="00812C6B"/>
    <w:rsid w:val="0081463D"/>
    <w:rsid w:val="00814CE2"/>
    <w:rsid w:val="00815307"/>
    <w:rsid w:val="0081573B"/>
    <w:rsid w:val="00815B60"/>
    <w:rsid w:val="0081766F"/>
    <w:rsid w:val="00817962"/>
    <w:rsid w:val="008209E4"/>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370D9"/>
    <w:rsid w:val="0084031E"/>
    <w:rsid w:val="0084060D"/>
    <w:rsid w:val="0084192E"/>
    <w:rsid w:val="00844B2C"/>
    <w:rsid w:val="00845AFA"/>
    <w:rsid w:val="00845C03"/>
    <w:rsid w:val="00846951"/>
    <w:rsid w:val="00846A19"/>
    <w:rsid w:val="00847B42"/>
    <w:rsid w:val="00850360"/>
    <w:rsid w:val="00854137"/>
    <w:rsid w:val="00854815"/>
    <w:rsid w:val="00854A24"/>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1D19"/>
    <w:rsid w:val="00871FBA"/>
    <w:rsid w:val="00872929"/>
    <w:rsid w:val="0087359F"/>
    <w:rsid w:val="00873A52"/>
    <w:rsid w:val="00873F09"/>
    <w:rsid w:val="00874C58"/>
    <w:rsid w:val="008751E5"/>
    <w:rsid w:val="00875731"/>
    <w:rsid w:val="008757F9"/>
    <w:rsid w:val="008768BA"/>
    <w:rsid w:val="00877403"/>
    <w:rsid w:val="00877B37"/>
    <w:rsid w:val="00877D7E"/>
    <w:rsid w:val="00880B58"/>
    <w:rsid w:val="0088212B"/>
    <w:rsid w:val="00882D1E"/>
    <w:rsid w:val="0088355F"/>
    <w:rsid w:val="00884530"/>
    <w:rsid w:val="008851FD"/>
    <w:rsid w:val="008873CC"/>
    <w:rsid w:val="0088746A"/>
    <w:rsid w:val="00887772"/>
    <w:rsid w:val="0088782E"/>
    <w:rsid w:val="00887FCB"/>
    <w:rsid w:val="008902A7"/>
    <w:rsid w:val="0089161A"/>
    <w:rsid w:val="00892F9F"/>
    <w:rsid w:val="008934CA"/>
    <w:rsid w:val="008938D8"/>
    <w:rsid w:val="00894A14"/>
    <w:rsid w:val="00895712"/>
    <w:rsid w:val="008957A9"/>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62C6"/>
    <w:rsid w:val="008A6F57"/>
    <w:rsid w:val="008A7385"/>
    <w:rsid w:val="008A7B4D"/>
    <w:rsid w:val="008A7FDA"/>
    <w:rsid w:val="008B1802"/>
    <w:rsid w:val="008B1950"/>
    <w:rsid w:val="008B46BC"/>
    <w:rsid w:val="008B49F7"/>
    <w:rsid w:val="008B773E"/>
    <w:rsid w:val="008B7B1E"/>
    <w:rsid w:val="008B7CFE"/>
    <w:rsid w:val="008C0DBC"/>
    <w:rsid w:val="008C0FDE"/>
    <w:rsid w:val="008C25E0"/>
    <w:rsid w:val="008C25E2"/>
    <w:rsid w:val="008C2EFF"/>
    <w:rsid w:val="008C4240"/>
    <w:rsid w:val="008C4B8E"/>
    <w:rsid w:val="008C561C"/>
    <w:rsid w:val="008C5C0B"/>
    <w:rsid w:val="008C69CC"/>
    <w:rsid w:val="008C75E1"/>
    <w:rsid w:val="008C76A5"/>
    <w:rsid w:val="008C7C6B"/>
    <w:rsid w:val="008D02BD"/>
    <w:rsid w:val="008D0872"/>
    <w:rsid w:val="008D23CB"/>
    <w:rsid w:val="008D2A24"/>
    <w:rsid w:val="008D377D"/>
    <w:rsid w:val="008D55DB"/>
    <w:rsid w:val="008D61F6"/>
    <w:rsid w:val="008D63F5"/>
    <w:rsid w:val="008D652A"/>
    <w:rsid w:val="008D6675"/>
    <w:rsid w:val="008D6BCD"/>
    <w:rsid w:val="008D7B2A"/>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7EA"/>
    <w:rsid w:val="008F5ADE"/>
    <w:rsid w:val="008F71AE"/>
    <w:rsid w:val="008F767B"/>
    <w:rsid w:val="00900041"/>
    <w:rsid w:val="00901D8B"/>
    <w:rsid w:val="009037A5"/>
    <w:rsid w:val="00903CB1"/>
    <w:rsid w:val="00903F88"/>
    <w:rsid w:val="009046D2"/>
    <w:rsid w:val="0090546D"/>
    <w:rsid w:val="009054AE"/>
    <w:rsid w:val="0090575C"/>
    <w:rsid w:val="00905D73"/>
    <w:rsid w:val="00905F12"/>
    <w:rsid w:val="00906322"/>
    <w:rsid w:val="00906D88"/>
    <w:rsid w:val="00907136"/>
    <w:rsid w:val="0091006E"/>
    <w:rsid w:val="009114BD"/>
    <w:rsid w:val="009128E2"/>
    <w:rsid w:val="009146AA"/>
    <w:rsid w:val="00914CFE"/>
    <w:rsid w:val="00915230"/>
    <w:rsid w:val="009152DC"/>
    <w:rsid w:val="009154C8"/>
    <w:rsid w:val="00915EA2"/>
    <w:rsid w:val="00915EB7"/>
    <w:rsid w:val="0091612C"/>
    <w:rsid w:val="00916297"/>
    <w:rsid w:val="00916B68"/>
    <w:rsid w:val="0092012F"/>
    <w:rsid w:val="0092096A"/>
    <w:rsid w:val="009212E2"/>
    <w:rsid w:val="00923028"/>
    <w:rsid w:val="0092435A"/>
    <w:rsid w:val="00924537"/>
    <w:rsid w:val="009254DD"/>
    <w:rsid w:val="00926028"/>
    <w:rsid w:val="0092608E"/>
    <w:rsid w:val="009262AF"/>
    <w:rsid w:val="009275A0"/>
    <w:rsid w:val="00927ADA"/>
    <w:rsid w:val="00927E28"/>
    <w:rsid w:val="009310AF"/>
    <w:rsid w:val="00931154"/>
    <w:rsid w:val="009343E1"/>
    <w:rsid w:val="00934777"/>
    <w:rsid w:val="00934C0F"/>
    <w:rsid w:val="00935963"/>
    <w:rsid w:val="00940634"/>
    <w:rsid w:val="00940D3D"/>
    <w:rsid w:val="00940E21"/>
    <w:rsid w:val="00940EFB"/>
    <w:rsid w:val="0094109B"/>
    <w:rsid w:val="00941BF0"/>
    <w:rsid w:val="009423B8"/>
    <w:rsid w:val="0094241B"/>
    <w:rsid w:val="00942999"/>
    <w:rsid w:val="00943899"/>
    <w:rsid w:val="00945017"/>
    <w:rsid w:val="00945058"/>
    <w:rsid w:val="00945075"/>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6F60"/>
    <w:rsid w:val="009576B0"/>
    <w:rsid w:val="00957AC4"/>
    <w:rsid w:val="00957B83"/>
    <w:rsid w:val="00957BBE"/>
    <w:rsid w:val="00960079"/>
    <w:rsid w:val="009606B3"/>
    <w:rsid w:val="00960957"/>
    <w:rsid w:val="00961233"/>
    <w:rsid w:val="0096197B"/>
    <w:rsid w:val="00963549"/>
    <w:rsid w:val="00963852"/>
    <w:rsid w:val="00963AA7"/>
    <w:rsid w:val="00963E69"/>
    <w:rsid w:val="00964327"/>
    <w:rsid w:val="00964966"/>
    <w:rsid w:val="009655D0"/>
    <w:rsid w:val="0096576B"/>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54E3"/>
    <w:rsid w:val="009965AD"/>
    <w:rsid w:val="009977A5"/>
    <w:rsid w:val="009A0A5D"/>
    <w:rsid w:val="009A1B3A"/>
    <w:rsid w:val="009A1DAE"/>
    <w:rsid w:val="009A3450"/>
    <w:rsid w:val="009A3D47"/>
    <w:rsid w:val="009A5159"/>
    <w:rsid w:val="009A6026"/>
    <w:rsid w:val="009A627C"/>
    <w:rsid w:val="009A6644"/>
    <w:rsid w:val="009A6F7E"/>
    <w:rsid w:val="009A72D5"/>
    <w:rsid w:val="009A7351"/>
    <w:rsid w:val="009A7493"/>
    <w:rsid w:val="009B0887"/>
    <w:rsid w:val="009B1D10"/>
    <w:rsid w:val="009B28D4"/>
    <w:rsid w:val="009B3473"/>
    <w:rsid w:val="009B35CE"/>
    <w:rsid w:val="009B4995"/>
    <w:rsid w:val="009B5286"/>
    <w:rsid w:val="009B5A34"/>
    <w:rsid w:val="009B5DAC"/>
    <w:rsid w:val="009B5FE6"/>
    <w:rsid w:val="009B6DAB"/>
    <w:rsid w:val="009B6FBF"/>
    <w:rsid w:val="009B7551"/>
    <w:rsid w:val="009B7C59"/>
    <w:rsid w:val="009C0849"/>
    <w:rsid w:val="009C1643"/>
    <w:rsid w:val="009C1E0C"/>
    <w:rsid w:val="009C2E42"/>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C73"/>
    <w:rsid w:val="009D6B65"/>
    <w:rsid w:val="009D6F84"/>
    <w:rsid w:val="009D7272"/>
    <w:rsid w:val="009D7A03"/>
    <w:rsid w:val="009E03A9"/>
    <w:rsid w:val="009E04DA"/>
    <w:rsid w:val="009E04F4"/>
    <w:rsid w:val="009E05C2"/>
    <w:rsid w:val="009E1467"/>
    <w:rsid w:val="009E2639"/>
    <w:rsid w:val="009E2954"/>
    <w:rsid w:val="009E3431"/>
    <w:rsid w:val="009E4050"/>
    <w:rsid w:val="009E51BE"/>
    <w:rsid w:val="009E5B4C"/>
    <w:rsid w:val="009E68C0"/>
    <w:rsid w:val="009E6D35"/>
    <w:rsid w:val="009E77AA"/>
    <w:rsid w:val="009F192B"/>
    <w:rsid w:val="009F1E15"/>
    <w:rsid w:val="009F3789"/>
    <w:rsid w:val="009F44F4"/>
    <w:rsid w:val="009F6244"/>
    <w:rsid w:val="009F72BD"/>
    <w:rsid w:val="009F7700"/>
    <w:rsid w:val="009F78AC"/>
    <w:rsid w:val="00A00130"/>
    <w:rsid w:val="00A019F7"/>
    <w:rsid w:val="00A03682"/>
    <w:rsid w:val="00A04614"/>
    <w:rsid w:val="00A04E27"/>
    <w:rsid w:val="00A0652E"/>
    <w:rsid w:val="00A06580"/>
    <w:rsid w:val="00A06A98"/>
    <w:rsid w:val="00A06F7E"/>
    <w:rsid w:val="00A0711E"/>
    <w:rsid w:val="00A0755C"/>
    <w:rsid w:val="00A07665"/>
    <w:rsid w:val="00A10405"/>
    <w:rsid w:val="00A11E1C"/>
    <w:rsid w:val="00A12074"/>
    <w:rsid w:val="00A126F0"/>
    <w:rsid w:val="00A13D31"/>
    <w:rsid w:val="00A13FDC"/>
    <w:rsid w:val="00A147F3"/>
    <w:rsid w:val="00A1513E"/>
    <w:rsid w:val="00A159A0"/>
    <w:rsid w:val="00A15CE7"/>
    <w:rsid w:val="00A16415"/>
    <w:rsid w:val="00A16B3F"/>
    <w:rsid w:val="00A211AA"/>
    <w:rsid w:val="00A22967"/>
    <w:rsid w:val="00A22C2C"/>
    <w:rsid w:val="00A232C2"/>
    <w:rsid w:val="00A237BA"/>
    <w:rsid w:val="00A24213"/>
    <w:rsid w:val="00A26001"/>
    <w:rsid w:val="00A26581"/>
    <w:rsid w:val="00A265C5"/>
    <w:rsid w:val="00A266BB"/>
    <w:rsid w:val="00A26A7B"/>
    <w:rsid w:val="00A26EF0"/>
    <w:rsid w:val="00A26FE5"/>
    <w:rsid w:val="00A276B9"/>
    <w:rsid w:val="00A27E10"/>
    <w:rsid w:val="00A27EBF"/>
    <w:rsid w:val="00A27F9A"/>
    <w:rsid w:val="00A30F45"/>
    <w:rsid w:val="00A319E2"/>
    <w:rsid w:val="00A31DD0"/>
    <w:rsid w:val="00A31EAD"/>
    <w:rsid w:val="00A32B7B"/>
    <w:rsid w:val="00A34420"/>
    <w:rsid w:val="00A34BCA"/>
    <w:rsid w:val="00A35139"/>
    <w:rsid w:val="00A3599C"/>
    <w:rsid w:val="00A366DD"/>
    <w:rsid w:val="00A376EF"/>
    <w:rsid w:val="00A37930"/>
    <w:rsid w:val="00A37D88"/>
    <w:rsid w:val="00A40381"/>
    <w:rsid w:val="00A40BE1"/>
    <w:rsid w:val="00A412E2"/>
    <w:rsid w:val="00A43BB2"/>
    <w:rsid w:val="00A44F5A"/>
    <w:rsid w:val="00A4558C"/>
    <w:rsid w:val="00A460E3"/>
    <w:rsid w:val="00A478ED"/>
    <w:rsid w:val="00A47BA3"/>
    <w:rsid w:val="00A50E93"/>
    <w:rsid w:val="00A515C6"/>
    <w:rsid w:val="00A517DD"/>
    <w:rsid w:val="00A51934"/>
    <w:rsid w:val="00A51D52"/>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70129"/>
    <w:rsid w:val="00A70235"/>
    <w:rsid w:val="00A70727"/>
    <w:rsid w:val="00A7121B"/>
    <w:rsid w:val="00A7129E"/>
    <w:rsid w:val="00A71435"/>
    <w:rsid w:val="00A71C89"/>
    <w:rsid w:val="00A71EA4"/>
    <w:rsid w:val="00A73B31"/>
    <w:rsid w:val="00A740D3"/>
    <w:rsid w:val="00A7495A"/>
    <w:rsid w:val="00A754EA"/>
    <w:rsid w:val="00A75A80"/>
    <w:rsid w:val="00A75D50"/>
    <w:rsid w:val="00A76788"/>
    <w:rsid w:val="00A76B41"/>
    <w:rsid w:val="00A776CD"/>
    <w:rsid w:val="00A8097C"/>
    <w:rsid w:val="00A8112D"/>
    <w:rsid w:val="00A81601"/>
    <w:rsid w:val="00A81BAF"/>
    <w:rsid w:val="00A83062"/>
    <w:rsid w:val="00A847A5"/>
    <w:rsid w:val="00A847C0"/>
    <w:rsid w:val="00A847E1"/>
    <w:rsid w:val="00A84911"/>
    <w:rsid w:val="00A866D6"/>
    <w:rsid w:val="00A86B72"/>
    <w:rsid w:val="00A87D36"/>
    <w:rsid w:val="00A91293"/>
    <w:rsid w:val="00A912DA"/>
    <w:rsid w:val="00A914F2"/>
    <w:rsid w:val="00A9190A"/>
    <w:rsid w:val="00A91D23"/>
    <w:rsid w:val="00A93AE8"/>
    <w:rsid w:val="00A93DF8"/>
    <w:rsid w:val="00A93FC1"/>
    <w:rsid w:val="00A94365"/>
    <w:rsid w:val="00A946BD"/>
    <w:rsid w:val="00A94742"/>
    <w:rsid w:val="00A94766"/>
    <w:rsid w:val="00A9486E"/>
    <w:rsid w:val="00A94C17"/>
    <w:rsid w:val="00A95E0B"/>
    <w:rsid w:val="00A964AF"/>
    <w:rsid w:val="00A96C39"/>
    <w:rsid w:val="00A978CF"/>
    <w:rsid w:val="00AA068B"/>
    <w:rsid w:val="00AA09E0"/>
    <w:rsid w:val="00AA14AC"/>
    <w:rsid w:val="00AA1606"/>
    <w:rsid w:val="00AA21D7"/>
    <w:rsid w:val="00AA2745"/>
    <w:rsid w:val="00AA4639"/>
    <w:rsid w:val="00AA4889"/>
    <w:rsid w:val="00AA52C3"/>
    <w:rsid w:val="00AA5466"/>
    <w:rsid w:val="00AA5B8A"/>
    <w:rsid w:val="00AA6319"/>
    <w:rsid w:val="00AA7862"/>
    <w:rsid w:val="00AA7AFC"/>
    <w:rsid w:val="00AB1B8A"/>
    <w:rsid w:val="00AB1C5C"/>
    <w:rsid w:val="00AB27EA"/>
    <w:rsid w:val="00AB3053"/>
    <w:rsid w:val="00AB31A0"/>
    <w:rsid w:val="00AB39B3"/>
    <w:rsid w:val="00AB40F6"/>
    <w:rsid w:val="00AB4F22"/>
    <w:rsid w:val="00AB5179"/>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917"/>
    <w:rsid w:val="00AD5146"/>
    <w:rsid w:val="00AD6C4C"/>
    <w:rsid w:val="00AD7B5F"/>
    <w:rsid w:val="00AE0F2C"/>
    <w:rsid w:val="00AE1370"/>
    <w:rsid w:val="00AE1542"/>
    <w:rsid w:val="00AE2281"/>
    <w:rsid w:val="00AE285A"/>
    <w:rsid w:val="00AE2B8A"/>
    <w:rsid w:val="00AE41CA"/>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EDE"/>
    <w:rsid w:val="00B10194"/>
    <w:rsid w:val="00B10AFD"/>
    <w:rsid w:val="00B12939"/>
    <w:rsid w:val="00B13E14"/>
    <w:rsid w:val="00B14728"/>
    <w:rsid w:val="00B155BA"/>
    <w:rsid w:val="00B1568B"/>
    <w:rsid w:val="00B15ECF"/>
    <w:rsid w:val="00B15EE7"/>
    <w:rsid w:val="00B163D9"/>
    <w:rsid w:val="00B17100"/>
    <w:rsid w:val="00B21490"/>
    <w:rsid w:val="00B21565"/>
    <w:rsid w:val="00B215BA"/>
    <w:rsid w:val="00B2187D"/>
    <w:rsid w:val="00B228C6"/>
    <w:rsid w:val="00B241F2"/>
    <w:rsid w:val="00B2434A"/>
    <w:rsid w:val="00B24DC7"/>
    <w:rsid w:val="00B2574F"/>
    <w:rsid w:val="00B2694B"/>
    <w:rsid w:val="00B27792"/>
    <w:rsid w:val="00B30177"/>
    <w:rsid w:val="00B30A20"/>
    <w:rsid w:val="00B32861"/>
    <w:rsid w:val="00B337A1"/>
    <w:rsid w:val="00B33830"/>
    <w:rsid w:val="00B341D9"/>
    <w:rsid w:val="00B343AB"/>
    <w:rsid w:val="00B3456F"/>
    <w:rsid w:val="00B35E4E"/>
    <w:rsid w:val="00B36515"/>
    <w:rsid w:val="00B3697B"/>
    <w:rsid w:val="00B36A5C"/>
    <w:rsid w:val="00B37834"/>
    <w:rsid w:val="00B37B0F"/>
    <w:rsid w:val="00B37F06"/>
    <w:rsid w:val="00B4076F"/>
    <w:rsid w:val="00B40D70"/>
    <w:rsid w:val="00B40EFF"/>
    <w:rsid w:val="00B41B3D"/>
    <w:rsid w:val="00B42247"/>
    <w:rsid w:val="00B422C8"/>
    <w:rsid w:val="00B43859"/>
    <w:rsid w:val="00B439A4"/>
    <w:rsid w:val="00B43A69"/>
    <w:rsid w:val="00B44912"/>
    <w:rsid w:val="00B44A5F"/>
    <w:rsid w:val="00B451A9"/>
    <w:rsid w:val="00B45967"/>
    <w:rsid w:val="00B4700C"/>
    <w:rsid w:val="00B475A7"/>
    <w:rsid w:val="00B47BA1"/>
    <w:rsid w:val="00B507D9"/>
    <w:rsid w:val="00B51607"/>
    <w:rsid w:val="00B51AF2"/>
    <w:rsid w:val="00B51B5F"/>
    <w:rsid w:val="00B52224"/>
    <w:rsid w:val="00B52B4B"/>
    <w:rsid w:val="00B52D60"/>
    <w:rsid w:val="00B53688"/>
    <w:rsid w:val="00B53AD0"/>
    <w:rsid w:val="00B548CF"/>
    <w:rsid w:val="00B54D5C"/>
    <w:rsid w:val="00B5550A"/>
    <w:rsid w:val="00B55720"/>
    <w:rsid w:val="00B563DE"/>
    <w:rsid w:val="00B56430"/>
    <w:rsid w:val="00B57748"/>
    <w:rsid w:val="00B57BCB"/>
    <w:rsid w:val="00B60795"/>
    <w:rsid w:val="00B60BCC"/>
    <w:rsid w:val="00B60DAF"/>
    <w:rsid w:val="00B61867"/>
    <w:rsid w:val="00B62D14"/>
    <w:rsid w:val="00B63735"/>
    <w:rsid w:val="00B63CEB"/>
    <w:rsid w:val="00B63E87"/>
    <w:rsid w:val="00B64FC0"/>
    <w:rsid w:val="00B650A5"/>
    <w:rsid w:val="00B657CD"/>
    <w:rsid w:val="00B659C5"/>
    <w:rsid w:val="00B66C4E"/>
    <w:rsid w:val="00B673C2"/>
    <w:rsid w:val="00B67723"/>
    <w:rsid w:val="00B705F6"/>
    <w:rsid w:val="00B70E59"/>
    <w:rsid w:val="00B715B7"/>
    <w:rsid w:val="00B71CF9"/>
    <w:rsid w:val="00B722F2"/>
    <w:rsid w:val="00B7241A"/>
    <w:rsid w:val="00B724A9"/>
    <w:rsid w:val="00B72EE5"/>
    <w:rsid w:val="00B747FB"/>
    <w:rsid w:val="00B74CB3"/>
    <w:rsid w:val="00B75101"/>
    <w:rsid w:val="00B756BB"/>
    <w:rsid w:val="00B75A0B"/>
    <w:rsid w:val="00B766B4"/>
    <w:rsid w:val="00B76709"/>
    <w:rsid w:val="00B77978"/>
    <w:rsid w:val="00B80FA6"/>
    <w:rsid w:val="00B823E0"/>
    <w:rsid w:val="00B838FC"/>
    <w:rsid w:val="00B83F62"/>
    <w:rsid w:val="00B83FC6"/>
    <w:rsid w:val="00B843C8"/>
    <w:rsid w:val="00B86384"/>
    <w:rsid w:val="00B86617"/>
    <w:rsid w:val="00B86A7A"/>
    <w:rsid w:val="00B86BD9"/>
    <w:rsid w:val="00B86D28"/>
    <w:rsid w:val="00B87362"/>
    <w:rsid w:val="00B87448"/>
    <w:rsid w:val="00B8775D"/>
    <w:rsid w:val="00B905D6"/>
    <w:rsid w:val="00B90746"/>
    <w:rsid w:val="00B90824"/>
    <w:rsid w:val="00B91B47"/>
    <w:rsid w:val="00B921C9"/>
    <w:rsid w:val="00B9357B"/>
    <w:rsid w:val="00B94321"/>
    <w:rsid w:val="00B94A2E"/>
    <w:rsid w:val="00B95875"/>
    <w:rsid w:val="00B966E2"/>
    <w:rsid w:val="00B96817"/>
    <w:rsid w:val="00B968FC"/>
    <w:rsid w:val="00B96B48"/>
    <w:rsid w:val="00B96F5E"/>
    <w:rsid w:val="00B97E59"/>
    <w:rsid w:val="00BA0835"/>
    <w:rsid w:val="00BA0D72"/>
    <w:rsid w:val="00BA1BBC"/>
    <w:rsid w:val="00BA2470"/>
    <w:rsid w:val="00BA268C"/>
    <w:rsid w:val="00BA2839"/>
    <w:rsid w:val="00BA28F2"/>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2DA8"/>
    <w:rsid w:val="00BB350F"/>
    <w:rsid w:val="00BB353F"/>
    <w:rsid w:val="00BB386D"/>
    <w:rsid w:val="00BB3940"/>
    <w:rsid w:val="00BB4884"/>
    <w:rsid w:val="00BB4E37"/>
    <w:rsid w:val="00BB6BFA"/>
    <w:rsid w:val="00BB6F40"/>
    <w:rsid w:val="00BC1813"/>
    <w:rsid w:val="00BC3432"/>
    <w:rsid w:val="00BC380D"/>
    <w:rsid w:val="00BC3A29"/>
    <w:rsid w:val="00BC64E3"/>
    <w:rsid w:val="00BC6510"/>
    <w:rsid w:val="00BC7217"/>
    <w:rsid w:val="00BD1EAB"/>
    <w:rsid w:val="00BD211D"/>
    <w:rsid w:val="00BD2654"/>
    <w:rsid w:val="00BD297C"/>
    <w:rsid w:val="00BD2CBB"/>
    <w:rsid w:val="00BD329B"/>
    <w:rsid w:val="00BD3CBA"/>
    <w:rsid w:val="00BD3E28"/>
    <w:rsid w:val="00BD4079"/>
    <w:rsid w:val="00BD4858"/>
    <w:rsid w:val="00BD4879"/>
    <w:rsid w:val="00BD4B14"/>
    <w:rsid w:val="00BD4C51"/>
    <w:rsid w:val="00BD52D1"/>
    <w:rsid w:val="00BD52DA"/>
    <w:rsid w:val="00BD581D"/>
    <w:rsid w:val="00BD6179"/>
    <w:rsid w:val="00BD63E7"/>
    <w:rsid w:val="00BD6536"/>
    <w:rsid w:val="00BD7643"/>
    <w:rsid w:val="00BD7906"/>
    <w:rsid w:val="00BD7B53"/>
    <w:rsid w:val="00BE018A"/>
    <w:rsid w:val="00BE03E2"/>
    <w:rsid w:val="00BE0D1D"/>
    <w:rsid w:val="00BE108D"/>
    <w:rsid w:val="00BE1CAB"/>
    <w:rsid w:val="00BE1D0D"/>
    <w:rsid w:val="00BE2289"/>
    <w:rsid w:val="00BE317D"/>
    <w:rsid w:val="00BE37C6"/>
    <w:rsid w:val="00BE3F39"/>
    <w:rsid w:val="00BE3F8C"/>
    <w:rsid w:val="00BE40D6"/>
    <w:rsid w:val="00BE657E"/>
    <w:rsid w:val="00BE6A71"/>
    <w:rsid w:val="00BE7319"/>
    <w:rsid w:val="00BF042F"/>
    <w:rsid w:val="00BF1823"/>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0682E"/>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8C0"/>
    <w:rsid w:val="00C239D2"/>
    <w:rsid w:val="00C23E6B"/>
    <w:rsid w:val="00C244ED"/>
    <w:rsid w:val="00C26698"/>
    <w:rsid w:val="00C3062F"/>
    <w:rsid w:val="00C3120A"/>
    <w:rsid w:val="00C31786"/>
    <w:rsid w:val="00C34887"/>
    <w:rsid w:val="00C34E1C"/>
    <w:rsid w:val="00C35E8F"/>
    <w:rsid w:val="00C367A4"/>
    <w:rsid w:val="00C367DB"/>
    <w:rsid w:val="00C36B65"/>
    <w:rsid w:val="00C36FEB"/>
    <w:rsid w:val="00C3709A"/>
    <w:rsid w:val="00C372A8"/>
    <w:rsid w:val="00C37C2F"/>
    <w:rsid w:val="00C37DCD"/>
    <w:rsid w:val="00C37DF6"/>
    <w:rsid w:val="00C40288"/>
    <w:rsid w:val="00C405FD"/>
    <w:rsid w:val="00C4081E"/>
    <w:rsid w:val="00C41FD0"/>
    <w:rsid w:val="00C430F3"/>
    <w:rsid w:val="00C435B9"/>
    <w:rsid w:val="00C45F45"/>
    <w:rsid w:val="00C469CD"/>
    <w:rsid w:val="00C46E42"/>
    <w:rsid w:val="00C4729F"/>
    <w:rsid w:val="00C472AD"/>
    <w:rsid w:val="00C50C35"/>
    <w:rsid w:val="00C50F9A"/>
    <w:rsid w:val="00C510B1"/>
    <w:rsid w:val="00C51632"/>
    <w:rsid w:val="00C5170D"/>
    <w:rsid w:val="00C51720"/>
    <w:rsid w:val="00C5232A"/>
    <w:rsid w:val="00C5305C"/>
    <w:rsid w:val="00C53134"/>
    <w:rsid w:val="00C5530C"/>
    <w:rsid w:val="00C553CA"/>
    <w:rsid w:val="00C55FC5"/>
    <w:rsid w:val="00C56598"/>
    <w:rsid w:val="00C56C48"/>
    <w:rsid w:val="00C56C53"/>
    <w:rsid w:val="00C57228"/>
    <w:rsid w:val="00C62436"/>
    <w:rsid w:val="00C62DD5"/>
    <w:rsid w:val="00C62E72"/>
    <w:rsid w:val="00C63A43"/>
    <w:rsid w:val="00C63FFC"/>
    <w:rsid w:val="00C64777"/>
    <w:rsid w:val="00C65020"/>
    <w:rsid w:val="00C65A62"/>
    <w:rsid w:val="00C66595"/>
    <w:rsid w:val="00C677ED"/>
    <w:rsid w:val="00C70125"/>
    <w:rsid w:val="00C70868"/>
    <w:rsid w:val="00C71376"/>
    <w:rsid w:val="00C72D47"/>
    <w:rsid w:val="00C73095"/>
    <w:rsid w:val="00C74925"/>
    <w:rsid w:val="00C74D69"/>
    <w:rsid w:val="00C7513A"/>
    <w:rsid w:val="00C75B4E"/>
    <w:rsid w:val="00C75E37"/>
    <w:rsid w:val="00C77096"/>
    <w:rsid w:val="00C770C7"/>
    <w:rsid w:val="00C77C96"/>
    <w:rsid w:val="00C8105D"/>
    <w:rsid w:val="00C81FA2"/>
    <w:rsid w:val="00C82768"/>
    <w:rsid w:val="00C82C3C"/>
    <w:rsid w:val="00C82E4A"/>
    <w:rsid w:val="00C8381D"/>
    <w:rsid w:val="00C850A9"/>
    <w:rsid w:val="00C85801"/>
    <w:rsid w:val="00C8688E"/>
    <w:rsid w:val="00C877C4"/>
    <w:rsid w:val="00C90B30"/>
    <w:rsid w:val="00C91251"/>
    <w:rsid w:val="00C918EA"/>
    <w:rsid w:val="00C91E0E"/>
    <w:rsid w:val="00C91F4F"/>
    <w:rsid w:val="00C92CED"/>
    <w:rsid w:val="00C9394C"/>
    <w:rsid w:val="00C948B3"/>
    <w:rsid w:val="00C94AE7"/>
    <w:rsid w:val="00C94E5B"/>
    <w:rsid w:val="00C95A84"/>
    <w:rsid w:val="00C96DBF"/>
    <w:rsid w:val="00C972A4"/>
    <w:rsid w:val="00C97B92"/>
    <w:rsid w:val="00C97E29"/>
    <w:rsid w:val="00CA091C"/>
    <w:rsid w:val="00CA168B"/>
    <w:rsid w:val="00CA2A74"/>
    <w:rsid w:val="00CA3055"/>
    <w:rsid w:val="00CA31A6"/>
    <w:rsid w:val="00CA3885"/>
    <w:rsid w:val="00CA4483"/>
    <w:rsid w:val="00CA45D7"/>
    <w:rsid w:val="00CA5416"/>
    <w:rsid w:val="00CA58D9"/>
    <w:rsid w:val="00CA670D"/>
    <w:rsid w:val="00CA6EF6"/>
    <w:rsid w:val="00CA759B"/>
    <w:rsid w:val="00CA7863"/>
    <w:rsid w:val="00CA791F"/>
    <w:rsid w:val="00CA7B18"/>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152"/>
    <w:rsid w:val="00CB72DF"/>
    <w:rsid w:val="00CB771A"/>
    <w:rsid w:val="00CB77B7"/>
    <w:rsid w:val="00CB7813"/>
    <w:rsid w:val="00CB7860"/>
    <w:rsid w:val="00CB7DCC"/>
    <w:rsid w:val="00CC04A8"/>
    <w:rsid w:val="00CC1A30"/>
    <w:rsid w:val="00CC2D60"/>
    <w:rsid w:val="00CC39D1"/>
    <w:rsid w:val="00CC5002"/>
    <w:rsid w:val="00CC5650"/>
    <w:rsid w:val="00CC5D56"/>
    <w:rsid w:val="00CC6295"/>
    <w:rsid w:val="00CC67CE"/>
    <w:rsid w:val="00CC7256"/>
    <w:rsid w:val="00CC7640"/>
    <w:rsid w:val="00CD019B"/>
    <w:rsid w:val="00CD0231"/>
    <w:rsid w:val="00CD0712"/>
    <w:rsid w:val="00CD113F"/>
    <w:rsid w:val="00CD1340"/>
    <w:rsid w:val="00CD1F53"/>
    <w:rsid w:val="00CD2C62"/>
    <w:rsid w:val="00CD4B22"/>
    <w:rsid w:val="00CD4F0D"/>
    <w:rsid w:val="00CD55AD"/>
    <w:rsid w:val="00CD5C12"/>
    <w:rsid w:val="00CD5FC6"/>
    <w:rsid w:val="00CD619D"/>
    <w:rsid w:val="00CD6FDE"/>
    <w:rsid w:val="00CE0B2A"/>
    <w:rsid w:val="00CE1BA5"/>
    <w:rsid w:val="00CE1C2D"/>
    <w:rsid w:val="00CE264A"/>
    <w:rsid w:val="00CE27DA"/>
    <w:rsid w:val="00CE28F5"/>
    <w:rsid w:val="00CE29A2"/>
    <w:rsid w:val="00CE366E"/>
    <w:rsid w:val="00CE377F"/>
    <w:rsid w:val="00CE3B5F"/>
    <w:rsid w:val="00CE3F1F"/>
    <w:rsid w:val="00CE435A"/>
    <w:rsid w:val="00CE4D37"/>
    <w:rsid w:val="00CE5470"/>
    <w:rsid w:val="00CE59D3"/>
    <w:rsid w:val="00CE64A6"/>
    <w:rsid w:val="00CE6558"/>
    <w:rsid w:val="00CE6765"/>
    <w:rsid w:val="00CE79B8"/>
    <w:rsid w:val="00CF04EF"/>
    <w:rsid w:val="00CF1981"/>
    <w:rsid w:val="00CF1FBA"/>
    <w:rsid w:val="00CF22D0"/>
    <w:rsid w:val="00CF4261"/>
    <w:rsid w:val="00CF4656"/>
    <w:rsid w:val="00CF6366"/>
    <w:rsid w:val="00CF6AB1"/>
    <w:rsid w:val="00CF6BD1"/>
    <w:rsid w:val="00CF73E6"/>
    <w:rsid w:val="00CF79D3"/>
    <w:rsid w:val="00CF7BF6"/>
    <w:rsid w:val="00D00C75"/>
    <w:rsid w:val="00D00E27"/>
    <w:rsid w:val="00D01311"/>
    <w:rsid w:val="00D01724"/>
    <w:rsid w:val="00D01AA3"/>
    <w:rsid w:val="00D01F5A"/>
    <w:rsid w:val="00D04719"/>
    <w:rsid w:val="00D04FBD"/>
    <w:rsid w:val="00D058A9"/>
    <w:rsid w:val="00D06B3E"/>
    <w:rsid w:val="00D0711E"/>
    <w:rsid w:val="00D077C0"/>
    <w:rsid w:val="00D07F8F"/>
    <w:rsid w:val="00D11080"/>
    <w:rsid w:val="00D124DD"/>
    <w:rsid w:val="00D15877"/>
    <w:rsid w:val="00D16114"/>
    <w:rsid w:val="00D163D9"/>
    <w:rsid w:val="00D17A07"/>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2A4"/>
    <w:rsid w:val="00D4258C"/>
    <w:rsid w:val="00D42BED"/>
    <w:rsid w:val="00D42C96"/>
    <w:rsid w:val="00D437BB"/>
    <w:rsid w:val="00D44574"/>
    <w:rsid w:val="00D44D38"/>
    <w:rsid w:val="00D452F8"/>
    <w:rsid w:val="00D4558F"/>
    <w:rsid w:val="00D45F58"/>
    <w:rsid w:val="00D47057"/>
    <w:rsid w:val="00D47091"/>
    <w:rsid w:val="00D47574"/>
    <w:rsid w:val="00D5098E"/>
    <w:rsid w:val="00D52CD0"/>
    <w:rsid w:val="00D52EA9"/>
    <w:rsid w:val="00D5315F"/>
    <w:rsid w:val="00D54BD7"/>
    <w:rsid w:val="00D55105"/>
    <w:rsid w:val="00D55A84"/>
    <w:rsid w:val="00D55BB7"/>
    <w:rsid w:val="00D56026"/>
    <w:rsid w:val="00D5665D"/>
    <w:rsid w:val="00D568C6"/>
    <w:rsid w:val="00D57262"/>
    <w:rsid w:val="00D61B56"/>
    <w:rsid w:val="00D62BB4"/>
    <w:rsid w:val="00D62DD9"/>
    <w:rsid w:val="00D63B8C"/>
    <w:rsid w:val="00D63EE7"/>
    <w:rsid w:val="00D64915"/>
    <w:rsid w:val="00D667FF"/>
    <w:rsid w:val="00D66BA8"/>
    <w:rsid w:val="00D70B48"/>
    <w:rsid w:val="00D7111E"/>
    <w:rsid w:val="00D7123D"/>
    <w:rsid w:val="00D712D3"/>
    <w:rsid w:val="00D717FE"/>
    <w:rsid w:val="00D7362B"/>
    <w:rsid w:val="00D73CFE"/>
    <w:rsid w:val="00D74F3F"/>
    <w:rsid w:val="00D75153"/>
    <w:rsid w:val="00D76D8E"/>
    <w:rsid w:val="00D77A1E"/>
    <w:rsid w:val="00D80640"/>
    <w:rsid w:val="00D80D48"/>
    <w:rsid w:val="00D816F6"/>
    <w:rsid w:val="00D8207B"/>
    <w:rsid w:val="00D822DD"/>
    <w:rsid w:val="00D824B9"/>
    <w:rsid w:val="00D838EB"/>
    <w:rsid w:val="00D83EF3"/>
    <w:rsid w:val="00D84E52"/>
    <w:rsid w:val="00D860E2"/>
    <w:rsid w:val="00D865D1"/>
    <w:rsid w:val="00D9036E"/>
    <w:rsid w:val="00D908C1"/>
    <w:rsid w:val="00D9179A"/>
    <w:rsid w:val="00D9183A"/>
    <w:rsid w:val="00D924A5"/>
    <w:rsid w:val="00D92F1A"/>
    <w:rsid w:val="00D9595A"/>
    <w:rsid w:val="00D95FDB"/>
    <w:rsid w:val="00D966DF"/>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B08"/>
    <w:rsid w:val="00DB2CF9"/>
    <w:rsid w:val="00DB3A61"/>
    <w:rsid w:val="00DB3BEA"/>
    <w:rsid w:val="00DB4CB3"/>
    <w:rsid w:val="00DB5BA2"/>
    <w:rsid w:val="00DB6342"/>
    <w:rsid w:val="00DB764D"/>
    <w:rsid w:val="00DB7931"/>
    <w:rsid w:val="00DB7EE0"/>
    <w:rsid w:val="00DC13DF"/>
    <w:rsid w:val="00DC1FE2"/>
    <w:rsid w:val="00DC26E9"/>
    <w:rsid w:val="00DC2C0D"/>
    <w:rsid w:val="00DC36C1"/>
    <w:rsid w:val="00DC4235"/>
    <w:rsid w:val="00DC5DB5"/>
    <w:rsid w:val="00DC6594"/>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F6"/>
    <w:rsid w:val="00DF2864"/>
    <w:rsid w:val="00DF49E6"/>
    <w:rsid w:val="00DF5CD6"/>
    <w:rsid w:val="00DF60D1"/>
    <w:rsid w:val="00DF6AB1"/>
    <w:rsid w:val="00E0012E"/>
    <w:rsid w:val="00E007C2"/>
    <w:rsid w:val="00E017A2"/>
    <w:rsid w:val="00E01E6F"/>
    <w:rsid w:val="00E028CB"/>
    <w:rsid w:val="00E02E7B"/>
    <w:rsid w:val="00E046BC"/>
    <w:rsid w:val="00E05941"/>
    <w:rsid w:val="00E059E9"/>
    <w:rsid w:val="00E1019D"/>
    <w:rsid w:val="00E10F03"/>
    <w:rsid w:val="00E11380"/>
    <w:rsid w:val="00E135AF"/>
    <w:rsid w:val="00E14B56"/>
    <w:rsid w:val="00E156D5"/>
    <w:rsid w:val="00E16211"/>
    <w:rsid w:val="00E16452"/>
    <w:rsid w:val="00E16918"/>
    <w:rsid w:val="00E16A4B"/>
    <w:rsid w:val="00E16A6B"/>
    <w:rsid w:val="00E178AC"/>
    <w:rsid w:val="00E21F59"/>
    <w:rsid w:val="00E226E8"/>
    <w:rsid w:val="00E22D21"/>
    <w:rsid w:val="00E22FF2"/>
    <w:rsid w:val="00E230CE"/>
    <w:rsid w:val="00E23DC0"/>
    <w:rsid w:val="00E253B4"/>
    <w:rsid w:val="00E2619E"/>
    <w:rsid w:val="00E302BC"/>
    <w:rsid w:val="00E30341"/>
    <w:rsid w:val="00E314A2"/>
    <w:rsid w:val="00E31D56"/>
    <w:rsid w:val="00E32085"/>
    <w:rsid w:val="00E32E7E"/>
    <w:rsid w:val="00E32FDA"/>
    <w:rsid w:val="00E343CF"/>
    <w:rsid w:val="00E351C8"/>
    <w:rsid w:val="00E403B7"/>
    <w:rsid w:val="00E40EE3"/>
    <w:rsid w:val="00E40EED"/>
    <w:rsid w:val="00E40FF7"/>
    <w:rsid w:val="00E417FD"/>
    <w:rsid w:val="00E4194A"/>
    <w:rsid w:val="00E428C1"/>
    <w:rsid w:val="00E42D9D"/>
    <w:rsid w:val="00E439A7"/>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3025"/>
    <w:rsid w:val="00E64D1E"/>
    <w:rsid w:val="00E6583F"/>
    <w:rsid w:val="00E6584E"/>
    <w:rsid w:val="00E663FA"/>
    <w:rsid w:val="00E669FD"/>
    <w:rsid w:val="00E70715"/>
    <w:rsid w:val="00E713B3"/>
    <w:rsid w:val="00E715E3"/>
    <w:rsid w:val="00E72BD3"/>
    <w:rsid w:val="00E740F8"/>
    <w:rsid w:val="00E756B4"/>
    <w:rsid w:val="00E75964"/>
    <w:rsid w:val="00E75C52"/>
    <w:rsid w:val="00E76AB9"/>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2714"/>
    <w:rsid w:val="00E93185"/>
    <w:rsid w:val="00E93921"/>
    <w:rsid w:val="00E94CEC"/>
    <w:rsid w:val="00E95492"/>
    <w:rsid w:val="00E95921"/>
    <w:rsid w:val="00E959E3"/>
    <w:rsid w:val="00E959F5"/>
    <w:rsid w:val="00E96D4D"/>
    <w:rsid w:val="00E97DB6"/>
    <w:rsid w:val="00E97EAA"/>
    <w:rsid w:val="00EA0F0F"/>
    <w:rsid w:val="00EA2233"/>
    <w:rsid w:val="00EA2F06"/>
    <w:rsid w:val="00EA306F"/>
    <w:rsid w:val="00EA4AB3"/>
    <w:rsid w:val="00EA4D13"/>
    <w:rsid w:val="00EA54F7"/>
    <w:rsid w:val="00EA56CD"/>
    <w:rsid w:val="00EA585A"/>
    <w:rsid w:val="00EA6223"/>
    <w:rsid w:val="00EA6304"/>
    <w:rsid w:val="00EA66D4"/>
    <w:rsid w:val="00EA6708"/>
    <w:rsid w:val="00EA7D74"/>
    <w:rsid w:val="00EB0C60"/>
    <w:rsid w:val="00EB23C8"/>
    <w:rsid w:val="00EB2E53"/>
    <w:rsid w:val="00EB3364"/>
    <w:rsid w:val="00EB3928"/>
    <w:rsid w:val="00EB47ED"/>
    <w:rsid w:val="00EB4A6E"/>
    <w:rsid w:val="00EB5007"/>
    <w:rsid w:val="00EB540A"/>
    <w:rsid w:val="00EB6C92"/>
    <w:rsid w:val="00EB6F76"/>
    <w:rsid w:val="00EB71C9"/>
    <w:rsid w:val="00EB780D"/>
    <w:rsid w:val="00EC031E"/>
    <w:rsid w:val="00EC087D"/>
    <w:rsid w:val="00EC0C40"/>
    <w:rsid w:val="00EC23DC"/>
    <w:rsid w:val="00EC3060"/>
    <w:rsid w:val="00EC36DC"/>
    <w:rsid w:val="00EC3EDD"/>
    <w:rsid w:val="00EC4BE9"/>
    <w:rsid w:val="00EC5C07"/>
    <w:rsid w:val="00EC701F"/>
    <w:rsid w:val="00EC7062"/>
    <w:rsid w:val="00EC7658"/>
    <w:rsid w:val="00ED0A56"/>
    <w:rsid w:val="00ED306B"/>
    <w:rsid w:val="00ED5746"/>
    <w:rsid w:val="00ED6F09"/>
    <w:rsid w:val="00EE03CA"/>
    <w:rsid w:val="00EE17FB"/>
    <w:rsid w:val="00EE193B"/>
    <w:rsid w:val="00EE2332"/>
    <w:rsid w:val="00EE3719"/>
    <w:rsid w:val="00EE4788"/>
    <w:rsid w:val="00EE4E85"/>
    <w:rsid w:val="00EE5C05"/>
    <w:rsid w:val="00EE6390"/>
    <w:rsid w:val="00EE6B03"/>
    <w:rsid w:val="00EF0030"/>
    <w:rsid w:val="00EF0097"/>
    <w:rsid w:val="00EF023B"/>
    <w:rsid w:val="00EF12F1"/>
    <w:rsid w:val="00EF1556"/>
    <w:rsid w:val="00EF19F6"/>
    <w:rsid w:val="00EF6117"/>
    <w:rsid w:val="00EF66E0"/>
    <w:rsid w:val="00EF7178"/>
    <w:rsid w:val="00EF7337"/>
    <w:rsid w:val="00F003DB"/>
    <w:rsid w:val="00F0088E"/>
    <w:rsid w:val="00F00A94"/>
    <w:rsid w:val="00F033B1"/>
    <w:rsid w:val="00F0364B"/>
    <w:rsid w:val="00F04C1F"/>
    <w:rsid w:val="00F051DA"/>
    <w:rsid w:val="00F052AD"/>
    <w:rsid w:val="00F059B7"/>
    <w:rsid w:val="00F05C9B"/>
    <w:rsid w:val="00F07A79"/>
    <w:rsid w:val="00F07E97"/>
    <w:rsid w:val="00F07F6A"/>
    <w:rsid w:val="00F10B35"/>
    <w:rsid w:val="00F11A4B"/>
    <w:rsid w:val="00F1202F"/>
    <w:rsid w:val="00F1236D"/>
    <w:rsid w:val="00F12B66"/>
    <w:rsid w:val="00F12FBE"/>
    <w:rsid w:val="00F134A6"/>
    <w:rsid w:val="00F14FE0"/>
    <w:rsid w:val="00F15E5B"/>
    <w:rsid w:val="00F17D44"/>
    <w:rsid w:val="00F17ECD"/>
    <w:rsid w:val="00F20793"/>
    <w:rsid w:val="00F216A4"/>
    <w:rsid w:val="00F2199E"/>
    <w:rsid w:val="00F2224D"/>
    <w:rsid w:val="00F22416"/>
    <w:rsid w:val="00F22DD8"/>
    <w:rsid w:val="00F23369"/>
    <w:rsid w:val="00F23630"/>
    <w:rsid w:val="00F23936"/>
    <w:rsid w:val="00F2409E"/>
    <w:rsid w:val="00F2464A"/>
    <w:rsid w:val="00F24975"/>
    <w:rsid w:val="00F251A2"/>
    <w:rsid w:val="00F26E25"/>
    <w:rsid w:val="00F30252"/>
    <w:rsid w:val="00F303AC"/>
    <w:rsid w:val="00F30B66"/>
    <w:rsid w:val="00F31504"/>
    <w:rsid w:val="00F347F4"/>
    <w:rsid w:val="00F35F6B"/>
    <w:rsid w:val="00F36AF9"/>
    <w:rsid w:val="00F377F3"/>
    <w:rsid w:val="00F37AA4"/>
    <w:rsid w:val="00F427AA"/>
    <w:rsid w:val="00F43086"/>
    <w:rsid w:val="00F43550"/>
    <w:rsid w:val="00F43D16"/>
    <w:rsid w:val="00F43FAC"/>
    <w:rsid w:val="00F43FB1"/>
    <w:rsid w:val="00F4424D"/>
    <w:rsid w:val="00F44D46"/>
    <w:rsid w:val="00F44D4A"/>
    <w:rsid w:val="00F4500D"/>
    <w:rsid w:val="00F45409"/>
    <w:rsid w:val="00F458D1"/>
    <w:rsid w:val="00F45D14"/>
    <w:rsid w:val="00F46359"/>
    <w:rsid w:val="00F4685D"/>
    <w:rsid w:val="00F47366"/>
    <w:rsid w:val="00F500AA"/>
    <w:rsid w:val="00F51740"/>
    <w:rsid w:val="00F531B9"/>
    <w:rsid w:val="00F53A0E"/>
    <w:rsid w:val="00F54047"/>
    <w:rsid w:val="00F54725"/>
    <w:rsid w:val="00F5584F"/>
    <w:rsid w:val="00F55AA0"/>
    <w:rsid w:val="00F56E45"/>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42EC"/>
    <w:rsid w:val="00F746C5"/>
    <w:rsid w:val="00F75749"/>
    <w:rsid w:val="00F7695E"/>
    <w:rsid w:val="00F76B15"/>
    <w:rsid w:val="00F76DD2"/>
    <w:rsid w:val="00F77307"/>
    <w:rsid w:val="00F777C7"/>
    <w:rsid w:val="00F77C21"/>
    <w:rsid w:val="00F81510"/>
    <w:rsid w:val="00F820AF"/>
    <w:rsid w:val="00F82646"/>
    <w:rsid w:val="00F829B2"/>
    <w:rsid w:val="00F83016"/>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79DE"/>
    <w:rsid w:val="00FA05D4"/>
    <w:rsid w:val="00FA0EAC"/>
    <w:rsid w:val="00FA1DDD"/>
    <w:rsid w:val="00FA2A8C"/>
    <w:rsid w:val="00FA3792"/>
    <w:rsid w:val="00FA3935"/>
    <w:rsid w:val="00FA6EA9"/>
    <w:rsid w:val="00FB02C4"/>
    <w:rsid w:val="00FB08CC"/>
    <w:rsid w:val="00FB0C66"/>
    <w:rsid w:val="00FB13B5"/>
    <w:rsid w:val="00FB1652"/>
    <w:rsid w:val="00FB2D3A"/>
    <w:rsid w:val="00FB35A6"/>
    <w:rsid w:val="00FB4A1C"/>
    <w:rsid w:val="00FB5F7A"/>
    <w:rsid w:val="00FB62C2"/>
    <w:rsid w:val="00FB65BD"/>
    <w:rsid w:val="00FB6C17"/>
    <w:rsid w:val="00FB796A"/>
    <w:rsid w:val="00FB79BE"/>
    <w:rsid w:val="00FC0398"/>
    <w:rsid w:val="00FC0439"/>
    <w:rsid w:val="00FC07CB"/>
    <w:rsid w:val="00FC0B21"/>
    <w:rsid w:val="00FC0EA6"/>
    <w:rsid w:val="00FC10AB"/>
    <w:rsid w:val="00FC1126"/>
    <w:rsid w:val="00FC1C33"/>
    <w:rsid w:val="00FC2536"/>
    <w:rsid w:val="00FC2A4C"/>
    <w:rsid w:val="00FC31B9"/>
    <w:rsid w:val="00FC32FF"/>
    <w:rsid w:val="00FC3754"/>
    <w:rsid w:val="00FC437A"/>
    <w:rsid w:val="00FC4B79"/>
    <w:rsid w:val="00FC4D53"/>
    <w:rsid w:val="00FC5D52"/>
    <w:rsid w:val="00FC61D9"/>
    <w:rsid w:val="00FC6490"/>
    <w:rsid w:val="00FC7130"/>
    <w:rsid w:val="00FD0871"/>
    <w:rsid w:val="00FD0A33"/>
    <w:rsid w:val="00FD1276"/>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1F461E"/>
    <w:rsid w:val="01370B0C"/>
    <w:rsid w:val="01416B4E"/>
    <w:rsid w:val="01450C8D"/>
    <w:rsid w:val="01547EE9"/>
    <w:rsid w:val="01577121"/>
    <w:rsid w:val="01B22C38"/>
    <w:rsid w:val="020A3F15"/>
    <w:rsid w:val="02182C17"/>
    <w:rsid w:val="0287698F"/>
    <w:rsid w:val="029517EF"/>
    <w:rsid w:val="02991399"/>
    <w:rsid w:val="02AF2C3C"/>
    <w:rsid w:val="02E56F49"/>
    <w:rsid w:val="03120CF3"/>
    <w:rsid w:val="03A02331"/>
    <w:rsid w:val="03B03C51"/>
    <w:rsid w:val="040F5F73"/>
    <w:rsid w:val="041A23C3"/>
    <w:rsid w:val="044E53C0"/>
    <w:rsid w:val="04615645"/>
    <w:rsid w:val="046210E6"/>
    <w:rsid w:val="04876799"/>
    <w:rsid w:val="04B135A2"/>
    <w:rsid w:val="04D5358E"/>
    <w:rsid w:val="04ED3C48"/>
    <w:rsid w:val="05024B1E"/>
    <w:rsid w:val="05091CA9"/>
    <w:rsid w:val="051C6300"/>
    <w:rsid w:val="05566239"/>
    <w:rsid w:val="05570A93"/>
    <w:rsid w:val="055E6E2E"/>
    <w:rsid w:val="056B10C8"/>
    <w:rsid w:val="05741D95"/>
    <w:rsid w:val="057C2F78"/>
    <w:rsid w:val="058B20AB"/>
    <w:rsid w:val="05C72D1F"/>
    <w:rsid w:val="05FE1AC1"/>
    <w:rsid w:val="06435757"/>
    <w:rsid w:val="064A71F2"/>
    <w:rsid w:val="067F4229"/>
    <w:rsid w:val="06A30AF5"/>
    <w:rsid w:val="06AC7C2F"/>
    <w:rsid w:val="07924ED4"/>
    <w:rsid w:val="079F2291"/>
    <w:rsid w:val="07A50347"/>
    <w:rsid w:val="07C762F7"/>
    <w:rsid w:val="08070C6F"/>
    <w:rsid w:val="08636782"/>
    <w:rsid w:val="08813878"/>
    <w:rsid w:val="088D22F8"/>
    <w:rsid w:val="08AF68AA"/>
    <w:rsid w:val="08BE679F"/>
    <w:rsid w:val="08C169D0"/>
    <w:rsid w:val="08E969CC"/>
    <w:rsid w:val="0906256A"/>
    <w:rsid w:val="090A6A03"/>
    <w:rsid w:val="09285245"/>
    <w:rsid w:val="092F7D5C"/>
    <w:rsid w:val="095A40D3"/>
    <w:rsid w:val="096B28F0"/>
    <w:rsid w:val="09746F62"/>
    <w:rsid w:val="09B375D0"/>
    <w:rsid w:val="0A1C07CA"/>
    <w:rsid w:val="0A510F2E"/>
    <w:rsid w:val="0A647549"/>
    <w:rsid w:val="0A7A7FB7"/>
    <w:rsid w:val="0A904AE2"/>
    <w:rsid w:val="0AB42770"/>
    <w:rsid w:val="0AB54354"/>
    <w:rsid w:val="0AD32601"/>
    <w:rsid w:val="0B302158"/>
    <w:rsid w:val="0B3908EA"/>
    <w:rsid w:val="0B6F344E"/>
    <w:rsid w:val="0B7D7E07"/>
    <w:rsid w:val="0B7E04C4"/>
    <w:rsid w:val="0B8E42AA"/>
    <w:rsid w:val="0B8F021E"/>
    <w:rsid w:val="0BC80C19"/>
    <w:rsid w:val="0BFF6CB1"/>
    <w:rsid w:val="0C352D20"/>
    <w:rsid w:val="0C3621FC"/>
    <w:rsid w:val="0C8D72A3"/>
    <w:rsid w:val="0C991641"/>
    <w:rsid w:val="0CA01AAB"/>
    <w:rsid w:val="0CA6391B"/>
    <w:rsid w:val="0CDC3036"/>
    <w:rsid w:val="0CE622A7"/>
    <w:rsid w:val="0CF16C84"/>
    <w:rsid w:val="0CFB32FE"/>
    <w:rsid w:val="0D351259"/>
    <w:rsid w:val="0D574920"/>
    <w:rsid w:val="0D7B01EB"/>
    <w:rsid w:val="0D9F6E40"/>
    <w:rsid w:val="0DAF422A"/>
    <w:rsid w:val="0DC97627"/>
    <w:rsid w:val="0DF51BE4"/>
    <w:rsid w:val="0DF554B9"/>
    <w:rsid w:val="0E0C1841"/>
    <w:rsid w:val="0E4B32AB"/>
    <w:rsid w:val="0EA70C3B"/>
    <w:rsid w:val="0EA84BA0"/>
    <w:rsid w:val="0EC81462"/>
    <w:rsid w:val="0EE82EB1"/>
    <w:rsid w:val="0EF37996"/>
    <w:rsid w:val="0F5131FC"/>
    <w:rsid w:val="0F5A1EAC"/>
    <w:rsid w:val="0F743071"/>
    <w:rsid w:val="0F963754"/>
    <w:rsid w:val="0FCB5663"/>
    <w:rsid w:val="0FE1627A"/>
    <w:rsid w:val="0FE90254"/>
    <w:rsid w:val="10185812"/>
    <w:rsid w:val="106A3468"/>
    <w:rsid w:val="107E566D"/>
    <w:rsid w:val="10B2324F"/>
    <w:rsid w:val="10CB41B2"/>
    <w:rsid w:val="10D029C5"/>
    <w:rsid w:val="10D05217"/>
    <w:rsid w:val="10D502F2"/>
    <w:rsid w:val="10F50BB4"/>
    <w:rsid w:val="11007B77"/>
    <w:rsid w:val="111265A8"/>
    <w:rsid w:val="112C77B4"/>
    <w:rsid w:val="114A54CA"/>
    <w:rsid w:val="114B54D4"/>
    <w:rsid w:val="11690A66"/>
    <w:rsid w:val="118266BE"/>
    <w:rsid w:val="11A779B8"/>
    <w:rsid w:val="11C90C09"/>
    <w:rsid w:val="11D55F77"/>
    <w:rsid w:val="11F12ABA"/>
    <w:rsid w:val="121C2C91"/>
    <w:rsid w:val="12201285"/>
    <w:rsid w:val="124B2B4C"/>
    <w:rsid w:val="12511436"/>
    <w:rsid w:val="125B3204"/>
    <w:rsid w:val="129110F3"/>
    <w:rsid w:val="129737AA"/>
    <w:rsid w:val="12AD3956"/>
    <w:rsid w:val="12C32F73"/>
    <w:rsid w:val="12CD06F1"/>
    <w:rsid w:val="1329728F"/>
    <w:rsid w:val="13400935"/>
    <w:rsid w:val="13571182"/>
    <w:rsid w:val="1384032D"/>
    <w:rsid w:val="1397238C"/>
    <w:rsid w:val="13B4494C"/>
    <w:rsid w:val="13EA42B9"/>
    <w:rsid w:val="13F211C5"/>
    <w:rsid w:val="13F52066"/>
    <w:rsid w:val="140A7A4F"/>
    <w:rsid w:val="14125F20"/>
    <w:rsid w:val="14176954"/>
    <w:rsid w:val="143A6A28"/>
    <w:rsid w:val="14474AFD"/>
    <w:rsid w:val="145061A4"/>
    <w:rsid w:val="145C50AE"/>
    <w:rsid w:val="14654101"/>
    <w:rsid w:val="146A438C"/>
    <w:rsid w:val="14B62A19"/>
    <w:rsid w:val="14EC1E0E"/>
    <w:rsid w:val="14FD45A9"/>
    <w:rsid w:val="14FE14A3"/>
    <w:rsid w:val="150B1F6C"/>
    <w:rsid w:val="1511406F"/>
    <w:rsid w:val="158079C2"/>
    <w:rsid w:val="159B3318"/>
    <w:rsid w:val="159D7C92"/>
    <w:rsid w:val="15AB2410"/>
    <w:rsid w:val="15C93A3A"/>
    <w:rsid w:val="15CA6CD2"/>
    <w:rsid w:val="15FA30FC"/>
    <w:rsid w:val="15FE4A73"/>
    <w:rsid w:val="16011A58"/>
    <w:rsid w:val="1604683C"/>
    <w:rsid w:val="1657777F"/>
    <w:rsid w:val="165F631B"/>
    <w:rsid w:val="16643CB1"/>
    <w:rsid w:val="1673604F"/>
    <w:rsid w:val="16A26AEA"/>
    <w:rsid w:val="16A65EC9"/>
    <w:rsid w:val="16ED7B96"/>
    <w:rsid w:val="16F52C62"/>
    <w:rsid w:val="16F67D93"/>
    <w:rsid w:val="174027AB"/>
    <w:rsid w:val="174504D5"/>
    <w:rsid w:val="174E724C"/>
    <w:rsid w:val="176A2535"/>
    <w:rsid w:val="17BC07D2"/>
    <w:rsid w:val="17C23688"/>
    <w:rsid w:val="17D56155"/>
    <w:rsid w:val="17F0534C"/>
    <w:rsid w:val="182717AE"/>
    <w:rsid w:val="18291C05"/>
    <w:rsid w:val="182F089F"/>
    <w:rsid w:val="183C2CE5"/>
    <w:rsid w:val="18460BE0"/>
    <w:rsid w:val="18816D11"/>
    <w:rsid w:val="18872EBA"/>
    <w:rsid w:val="188A342D"/>
    <w:rsid w:val="18C31273"/>
    <w:rsid w:val="1905656F"/>
    <w:rsid w:val="192243DE"/>
    <w:rsid w:val="193304EA"/>
    <w:rsid w:val="19346926"/>
    <w:rsid w:val="198C5DCD"/>
    <w:rsid w:val="19A24D24"/>
    <w:rsid w:val="19A62345"/>
    <w:rsid w:val="19AF5819"/>
    <w:rsid w:val="19CC1A61"/>
    <w:rsid w:val="19D779B2"/>
    <w:rsid w:val="19D878EF"/>
    <w:rsid w:val="1A362D5E"/>
    <w:rsid w:val="1A3811DA"/>
    <w:rsid w:val="1A3E1180"/>
    <w:rsid w:val="1A601E7B"/>
    <w:rsid w:val="1A696C88"/>
    <w:rsid w:val="1A6B2EC0"/>
    <w:rsid w:val="1A6C646C"/>
    <w:rsid w:val="1A864009"/>
    <w:rsid w:val="1A9838E5"/>
    <w:rsid w:val="1AAE6959"/>
    <w:rsid w:val="1AF36D63"/>
    <w:rsid w:val="1B36474B"/>
    <w:rsid w:val="1B490121"/>
    <w:rsid w:val="1B4A3B36"/>
    <w:rsid w:val="1B573F0E"/>
    <w:rsid w:val="1B596E8A"/>
    <w:rsid w:val="1B6B20B6"/>
    <w:rsid w:val="1BA5090D"/>
    <w:rsid w:val="1BC349E4"/>
    <w:rsid w:val="1BC83408"/>
    <w:rsid w:val="1C320817"/>
    <w:rsid w:val="1C3F2EA3"/>
    <w:rsid w:val="1C4C5268"/>
    <w:rsid w:val="1C602472"/>
    <w:rsid w:val="1C980A78"/>
    <w:rsid w:val="1CAE21A8"/>
    <w:rsid w:val="1CB02C69"/>
    <w:rsid w:val="1CC36547"/>
    <w:rsid w:val="1CDF4126"/>
    <w:rsid w:val="1CE800DA"/>
    <w:rsid w:val="1D0D266B"/>
    <w:rsid w:val="1D12656E"/>
    <w:rsid w:val="1D440C88"/>
    <w:rsid w:val="1D4B4F71"/>
    <w:rsid w:val="1D54394F"/>
    <w:rsid w:val="1DA46770"/>
    <w:rsid w:val="1DB84EB8"/>
    <w:rsid w:val="1DCF7F4C"/>
    <w:rsid w:val="1DEA16D8"/>
    <w:rsid w:val="1DF13B24"/>
    <w:rsid w:val="1DF3224B"/>
    <w:rsid w:val="1E19117D"/>
    <w:rsid w:val="1E1E4663"/>
    <w:rsid w:val="1E3B7D9D"/>
    <w:rsid w:val="1E4950F8"/>
    <w:rsid w:val="1E5F16BA"/>
    <w:rsid w:val="1E5F6441"/>
    <w:rsid w:val="1E626377"/>
    <w:rsid w:val="1E800AA8"/>
    <w:rsid w:val="1EE478F8"/>
    <w:rsid w:val="1F0E03BD"/>
    <w:rsid w:val="1F1A3C3D"/>
    <w:rsid w:val="1F1C02C5"/>
    <w:rsid w:val="1F36360B"/>
    <w:rsid w:val="1F6A2F47"/>
    <w:rsid w:val="1F956FE2"/>
    <w:rsid w:val="1FA53AB2"/>
    <w:rsid w:val="1FA85D73"/>
    <w:rsid w:val="1FDC44C9"/>
    <w:rsid w:val="1FF62B78"/>
    <w:rsid w:val="20236A3E"/>
    <w:rsid w:val="204A2B37"/>
    <w:rsid w:val="205D3A50"/>
    <w:rsid w:val="206D3B6C"/>
    <w:rsid w:val="208F0EEE"/>
    <w:rsid w:val="20AD7F68"/>
    <w:rsid w:val="20C8381C"/>
    <w:rsid w:val="21474478"/>
    <w:rsid w:val="214C0063"/>
    <w:rsid w:val="214E5451"/>
    <w:rsid w:val="218756F8"/>
    <w:rsid w:val="21AD6BDF"/>
    <w:rsid w:val="21B539C8"/>
    <w:rsid w:val="21D32E26"/>
    <w:rsid w:val="21F22553"/>
    <w:rsid w:val="22387A2B"/>
    <w:rsid w:val="225D766B"/>
    <w:rsid w:val="23044E36"/>
    <w:rsid w:val="236225A3"/>
    <w:rsid w:val="23860FDE"/>
    <w:rsid w:val="23870D69"/>
    <w:rsid w:val="23962A57"/>
    <w:rsid w:val="239F5676"/>
    <w:rsid w:val="239F63F0"/>
    <w:rsid w:val="23AA7D1A"/>
    <w:rsid w:val="23AF2050"/>
    <w:rsid w:val="23B05687"/>
    <w:rsid w:val="23D017CA"/>
    <w:rsid w:val="23D70350"/>
    <w:rsid w:val="23E923EC"/>
    <w:rsid w:val="241F2A33"/>
    <w:rsid w:val="24254B05"/>
    <w:rsid w:val="243C41C1"/>
    <w:rsid w:val="24496D69"/>
    <w:rsid w:val="244E5E05"/>
    <w:rsid w:val="24503850"/>
    <w:rsid w:val="247B4086"/>
    <w:rsid w:val="249B3414"/>
    <w:rsid w:val="24C57F33"/>
    <w:rsid w:val="24E02803"/>
    <w:rsid w:val="24EA1DE0"/>
    <w:rsid w:val="250836B6"/>
    <w:rsid w:val="250F2833"/>
    <w:rsid w:val="25111F62"/>
    <w:rsid w:val="252C1252"/>
    <w:rsid w:val="254D62E6"/>
    <w:rsid w:val="25566C82"/>
    <w:rsid w:val="25701CC8"/>
    <w:rsid w:val="259F3181"/>
    <w:rsid w:val="25A1363C"/>
    <w:rsid w:val="25A37978"/>
    <w:rsid w:val="25B017A4"/>
    <w:rsid w:val="25B908FD"/>
    <w:rsid w:val="25B9142E"/>
    <w:rsid w:val="25C319CB"/>
    <w:rsid w:val="262D4DA5"/>
    <w:rsid w:val="264E4D1A"/>
    <w:rsid w:val="26501CEE"/>
    <w:rsid w:val="266C2207"/>
    <w:rsid w:val="26712E2D"/>
    <w:rsid w:val="267433F0"/>
    <w:rsid w:val="26821EF1"/>
    <w:rsid w:val="26B620BC"/>
    <w:rsid w:val="26C256C4"/>
    <w:rsid w:val="26C626CC"/>
    <w:rsid w:val="26CB12C3"/>
    <w:rsid w:val="26DB4857"/>
    <w:rsid w:val="26E71E79"/>
    <w:rsid w:val="27251556"/>
    <w:rsid w:val="27316154"/>
    <w:rsid w:val="275B47DC"/>
    <w:rsid w:val="27603CE9"/>
    <w:rsid w:val="27767AA5"/>
    <w:rsid w:val="278458F1"/>
    <w:rsid w:val="279A662B"/>
    <w:rsid w:val="27A06FCF"/>
    <w:rsid w:val="27A25564"/>
    <w:rsid w:val="27A6704F"/>
    <w:rsid w:val="27A85EEE"/>
    <w:rsid w:val="27D36648"/>
    <w:rsid w:val="27EC64BD"/>
    <w:rsid w:val="28014CCC"/>
    <w:rsid w:val="28132B05"/>
    <w:rsid w:val="28345CB9"/>
    <w:rsid w:val="28A3157D"/>
    <w:rsid w:val="28A80D98"/>
    <w:rsid w:val="28C71836"/>
    <w:rsid w:val="28CE40D5"/>
    <w:rsid w:val="28E468D2"/>
    <w:rsid w:val="29460235"/>
    <w:rsid w:val="294B7A7C"/>
    <w:rsid w:val="294D2990"/>
    <w:rsid w:val="298224E3"/>
    <w:rsid w:val="29B4678E"/>
    <w:rsid w:val="29DC15DE"/>
    <w:rsid w:val="29F9035F"/>
    <w:rsid w:val="29FE2F07"/>
    <w:rsid w:val="2A341FD2"/>
    <w:rsid w:val="2A5F13A7"/>
    <w:rsid w:val="2A79146E"/>
    <w:rsid w:val="2A8E3290"/>
    <w:rsid w:val="2AAA2925"/>
    <w:rsid w:val="2AAF3B36"/>
    <w:rsid w:val="2B362C7A"/>
    <w:rsid w:val="2B4F070A"/>
    <w:rsid w:val="2B707658"/>
    <w:rsid w:val="2B765F62"/>
    <w:rsid w:val="2B905DDA"/>
    <w:rsid w:val="2B9525D8"/>
    <w:rsid w:val="2B995C53"/>
    <w:rsid w:val="2BA037BB"/>
    <w:rsid w:val="2BA87967"/>
    <w:rsid w:val="2BD23D8A"/>
    <w:rsid w:val="2BD94B0B"/>
    <w:rsid w:val="2BDF176E"/>
    <w:rsid w:val="2BFE45E6"/>
    <w:rsid w:val="2C23239B"/>
    <w:rsid w:val="2C3D5A71"/>
    <w:rsid w:val="2C420226"/>
    <w:rsid w:val="2C6E3523"/>
    <w:rsid w:val="2C73562D"/>
    <w:rsid w:val="2C794C81"/>
    <w:rsid w:val="2C9245FF"/>
    <w:rsid w:val="2CA27085"/>
    <w:rsid w:val="2CA614D2"/>
    <w:rsid w:val="2CB852B6"/>
    <w:rsid w:val="2CCF0363"/>
    <w:rsid w:val="2CDF3A28"/>
    <w:rsid w:val="2CEA399A"/>
    <w:rsid w:val="2D013A66"/>
    <w:rsid w:val="2D0C3C4C"/>
    <w:rsid w:val="2D1265B0"/>
    <w:rsid w:val="2D5D5FDA"/>
    <w:rsid w:val="2D8E7D40"/>
    <w:rsid w:val="2DA54F2C"/>
    <w:rsid w:val="2DE07267"/>
    <w:rsid w:val="2DE2150B"/>
    <w:rsid w:val="2E927766"/>
    <w:rsid w:val="2EB055F9"/>
    <w:rsid w:val="2EBE13B9"/>
    <w:rsid w:val="2ECE00A9"/>
    <w:rsid w:val="2EE8357E"/>
    <w:rsid w:val="2EF04512"/>
    <w:rsid w:val="2F191C23"/>
    <w:rsid w:val="2F251FE4"/>
    <w:rsid w:val="2F855ABB"/>
    <w:rsid w:val="2F900C13"/>
    <w:rsid w:val="2FB8217C"/>
    <w:rsid w:val="2FCD42B2"/>
    <w:rsid w:val="2FEA60F9"/>
    <w:rsid w:val="30101C7A"/>
    <w:rsid w:val="308265BA"/>
    <w:rsid w:val="30916070"/>
    <w:rsid w:val="30985AB1"/>
    <w:rsid w:val="30CF0835"/>
    <w:rsid w:val="30F03DFA"/>
    <w:rsid w:val="31104BF6"/>
    <w:rsid w:val="313930FF"/>
    <w:rsid w:val="314B4163"/>
    <w:rsid w:val="315B7C6B"/>
    <w:rsid w:val="317607E1"/>
    <w:rsid w:val="31786B4A"/>
    <w:rsid w:val="3182611C"/>
    <w:rsid w:val="31872E04"/>
    <w:rsid w:val="31891D82"/>
    <w:rsid w:val="31A60F5B"/>
    <w:rsid w:val="31BE4021"/>
    <w:rsid w:val="31BF0DB8"/>
    <w:rsid w:val="31E072B4"/>
    <w:rsid w:val="31F1618F"/>
    <w:rsid w:val="31F954FA"/>
    <w:rsid w:val="32005397"/>
    <w:rsid w:val="320C3B47"/>
    <w:rsid w:val="321134A3"/>
    <w:rsid w:val="323568F8"/>
    <w:rsid w:val="323B7FFE"/>
    <w:rsid w:val="32513239"/>
    <w:rsid w:val="32553B73"/>
    <w:rsid w:val="326D0566"/>
    <w:rsid w:val="32BD1F78"/>
    <w:rsid w:val="32C65BBE"/>
    <w:rsid w:val="32DA35D0"/>
    <w:rsid w:val="32E16C49"/>
    <w:rsid w:val="32EE3326"/>
    <w:rsid w:val="335111F4"/>
    <w:rsid w:val="336C796C"/>
    <w:rsid w:val="339F2F04"/>
    <w:rsid w:val="33A717F8"/>
    <w:rsid w:val="33BE058E"/>
    <w:rsid w:val="340169DA"/>
    <w:rsid w:val="34303CEF"/>
    <w:rsid w:val="343F3941"/>
    <w:rsid w:val="3451408C"/>
    <w:rsid w:val="34563B80"/>
    <w:rsid w:val="34581F91"/>
    <w:rsid w:val="346C7F74"/>
    <w:rsid w:val="34CF45BC"/>
    <w:rsid w:val="34E17EF3"/>
    <w:rsid w:val="34E27CEA"/>
    <w:rsid w:val="351C6510"/>
    <w:rsid w:val="35207F9E"/>
    <w:rsid w:val="354B544B"/>
    <w:rsid w:val="35635B07"/>
    <w:rsid w:val="35657930"/>
    <w:rsid w:val="359508DB"/>
    <w:rsid w:val="35B44532"/>
    <w:rsid w:val="35CF1819"/>
    <w:rsid w:val="35E242F4"/>
    <w:rsid w:val="35E85E3C"/>
    <w:rsid w:val="36004B30"/>
    <w:rsid w:val="361C1378"/>
    <w:rsid w:val="366629F3"/>
    <w:rsid w:val="367140EF"/>
    <w:rsid w:val="367C45A2"/>
    <w:rsid w:val="368F27F7"/>
    <w:rsid w:val="36932D65"/>
    <w:rsid w:val="36D3772D"/>
    <w:rsid w:val="36EB0C0F"/>
    <w:rsid w:val="36EE0BD9"/>
    <w:rsid w:val="37177A68"/>
    <w:rsid w:val="371D4D0A"/>
    <w:rsid w:val="376A1EEB"/>
    <w:rsid w:val="378D296D"/>
    <w:rsid w:val="37A81C78"/>
    <w:rsid w:val="37CF21CB"/>
    <w:rsid w:val="37E517C6"/>
    <w:rsid w:val="37F80A98"/>
    <w:rsid w:val="380B112A"/>
    <w:rsid w:val="38102C5D"/>
    <w:rsid w:val="382316B4"/>
    <w:rsid w:val="3825292B"/>
    <w:rsid w:val="382E19C0"/>
    <w:rsid w:val="384951A4"/>
    <w:rsid w:val="38593A85"/>
    <w:rsid w:val="388A5DE8"/>
    <w:rsid w:val="388F550C"/>
    <w:rsid w:val="389E6465"/>
    <w:rsid w:val="38CC2B51"/>
    <w:rsid w:val="390C4601"/>
    <w:rsid w:val="39195446"/>
    <w:rsid w:val="391D6ED0"/>
    <w:rsid w:val="393C4A38"/>
    <w:rsid w:val="394502E8"/>
    <w:rsid w:val="394D714F"/>
    <w:rsid w:val="39706BD8"/>
    <w:rsid w:val="3976081F"/>
    <w:rsid w:val="3983329A"/>
    <w:rsid w:val="39A66DD8"/>
    <w:rsid w:val="39BB38E5"/>
    <w:rsid w:val="39BD4D59"/>
    <w:rsid w:val="39FC070C"/>
    <w:rsid w:val="3A036DE6"/>
    <w:rsid w:val="3A3F1A49"/>
    <w:rsid w:val="3A64667B"/>
    <w:rsid w:val="3A6D1DF0"/>
    <w:rsid w:val="3A8861B8"/>
    <w:rsid w:val="3AAB5BAD"/>
    <w:rsid w:val="3AB42D0E"/>
    <w:rsid w:val="3ACD5F0B"/>
    <w:rsid w:val="3ACD67DA"/>
    <w:rsid w:val="3ADE56A8"/>
    <w:rsid w:val="3AE52B8E"/>
    <w:rsid w:val="3AF01648"/>
    <w:rsid w:val="3B273ADD"/>
    <w:rsid w:val="3B2C43E6"/>
    <w:rsid w:val="3B3862BC"/>
    <w:rsid w:val="3B40001F"/>
    <w:rsid w:val="3BD96BEF"/>
    <w:rsid w:val="3C215EDB"/>
    <w:rsid w:val="3C437BC4"/>
    <w:rsid w:val="3C5E3057"/>
    <w:rsid w:val="3CDA63FD"/>
    <w:rsid w:val="3CE57755"/>
    <w:rsid w:val="3CFC33A6"/>
    <w:rsid w:val="3DA80327"/>
    <w:rsid w:val="3DA91743"/>
    <w:rsid w:val="3DD205E2"/>
    <w:rsid w:val="3DF5519B"/>
    <w:rsid w:val="3E126A8A"/>
    <w:rsid w:val="3EB061F5"/>
    <w:rsid w:val="3F151678"/>
    <w:rsid w:val="3F7F34BC"/>
    <w:rsid w:val="3F862B55"/>
    <w:rsid w:val="3FB65279"/>
    <w:rsid w:val="3FC63FB2"/>
    <w:rsid w:val="3FE52E1C"/>
    <w:rsid w:val="3FE85DE3"/>
    <w:rsid w:val="400F5610"/>
    <w:rsid w:val="404A0390"/>
    <w:rsid w:val="40A47202"/>
    <w:rsid w:val="40BF3306"/>
    <w:rsid w:val="40C802B9"/>
    <w:rsid w:val="40E26576"/>
    <w:rsid w:val="4120062E"/>
    <w:rsid w:val="416B6124"/>
    <w:rsid w:val="418450F7"/>
    <w:rsid w:val="41953547"/>
    <w:rsid w:val="41C156BC"/>
    <w:rsid w:val="41C856D3"/>
    <w:rsid w:val="41FD6252"/>
    <w:rsid w:val="421134BE"/>
    <w:rsid w:val="421E3A3B"/>
    <w:rsid w:val="42353595"/>
    <w:rsid w:val="428F6C01"/>
    <w:rsid w:val="42DD4ED6"/>
    <w:rsid w:val="430C7821"/>
    <w:rsid w:val="432626DC"/>
    <w:rsid w:val="43582CEE"/>
    <w:rsid w:val="43762C3D"/>
    <w:rsid w:val="440139F5"/>
    <w:rsid w:val="441322DC"/>
    <w:rsid w:val="441F157E"/>
    <w:rsid w:val="44454E25"/>
    <w:rsid w:val="445752F3"/>
    <w:rsid w:val="4462676B"/>
    <w:rsid w:val="447B7EB4"/>
    <w:rsid w:val="44D945BA"/>
    <w:rsid w:val="44E372C7"/>
    <w:rsid w:val="44E80311"/>
    <w:rsid w:val="44F375B2"/>
    <w:rsid w:val="45074CA5"/>
    <w:rsid w:val="451F195C"/>
    <w:rsid w:val="452073A8"/>
    <w:rsid w:val="45223ABD"/>
    <w:rsid w:val="45366012"/>
    <w:rsid w:val="453D50E1"/>
    <w:rsid w:val="459820A9"/>
    <w:rsid w:val="45B069B3"/>
    <w:rsid w:val="45F62BFD"/>
    <w:rsid w:val="45FD7ECB"/>
    <w:rsid w:val="46760D2B"/>
    <w:rsid w:val="46F13A07"/>
    <w:rsid w:val="46F55CC0"/>
    <w:rsid w:val="47044DB1"/>
    <w:rsid w:val="471B2970"/>
    <w:rsid w:val="478065A6"/>
    <w:rsid w:val="47E9125D"/>
    <w:rsid w:val="47F17A06"/>
    <w:rsid w:val="47F2017A"/>
    <w:rsid w:val="47F505DD"/>
    <w:rsid w:val="483A74DE"/>
    <w:rsid w:val="48476FCF"/>
    <w:rsid w:val="485006B9"/>
    <w:rsid w:val="4879604A"/>
    <w:rsid w:val="48BB752E"/>
    <w:rsid w:val="48C9240E"/>
    <w:rsid w:val="48E77323"/>
    <w:rsid w:val="490E02CD"/>
    <w:rsid w:val="493652D9"/>
    <w:rsid w:val="496B7D78"/>
    <w:rsid w:val="49764BB8"/>
    <w:rsid w:val="49A75D4B"/>
    <w:rsid w:val="49CB02DE"/>
    <w:rsid w:val="4A21385E"/>
    <w:rsid w:val="4A367B5D"/>
    <w:rsid w:val="4A6002EB"/>
    <w:rsid w:val="4A763A10"/>
    <w:rsid w:val="4A7810A6"/>
    <w:rsid w:val="4A7933F1"/>
    <w:rsid w:val="4A870418"/>
    <w:rsid w:val="4A885FC8"/>
    <w:rsid w:val="4ADE2E72"/>
    <w:rsid w:val="4B0432C4"/>
    <w:rsid w:val="4B3F1224"/>
    <w:rsid w:val="4B543FDF"/>
    <w:rsid w:val="4B95368D"/>
    <w:rsid w:val="4BE60882"/>
    <w:rsid w:val="4BEB7FDB"/>
    <w:rsid w:val="4BEF1770"/>
    <w:rsid w:val="4C6F222E"/>
    <w:rsid w:val="4C7C14BD"/>
    <w:rsid w:val="4C7E0AF0"/>
    <w:rsid w:val="4C8E7034"/>
    <w:rsid w:val="4CE94B68"/>
    <w:rsid w:val="4CEB6543"/>
    <w:rsid w:val="4D3E7333"/>
    <w:rsid w:val="4D6F7103"/>
    <w:rsid w:val="4D73757A"/>
    <w:rsid w:val="4DAB4404"/>
    <w:rsid w:val="4DDD02D7"/>
    <w:rsid w:val="4DFE0FB4"/>
    <w:rsid w:val="4E1104E7"/>
    <w:rsid w:val="4E18557C"/>
    <w:rsid w:val="4E443E3C"/>
    <w:rsid w:val="4EAE0B66"/>
    <w:rsid w:val="4EB33D4B"/>
    <w:rsid w:val="4EC7615D"/>
    <w:rsid w:val="4ECD354E"/>
    <w:rsid w:val="4ECF0C25"/>
    <w:rsid w:val="4ED957B8"/>
    <w:rsid w:val="4EE30A09"/>
    <w:rsid w:val="4F015911"/>
    <w:rsid w:val="4F0936D1"/>
    <w:rsid w:val="4F3421E2"/>
    <w:rsid w:val="4F6140D2"/>
    <w:rsid w:val="4F69312D"/>
    <w:rsid w:val="4F7D3320"/>
    <w:rsid w:val="4F8032FD"/>
    <w:rsid w:val="4F822974"/>
    <w:rsid w:val="4FA1224D"/>
    <w:rsid w:val="50231277"/>
    <w:rsid w:val="50530FD2"/>
    <w:rsid w:val="50680C7A"/>
    <w:rsid w:val="50AF7AEB"/>
    <w:rsid w:val="50F5588B"/>
    <w:rsid w:val="50F906AD"/>
    <w:rsid w:val="50FD5220"/>
    <w:rsid w:val="51002FB2"/>
    <w:rsid w:val="51364674"/>
    <w:rsid w:val="517A54EF"/>
    <w:rsid w:val="51AA68EA"/>
    <w:rsid w:val="51CF4535"/>
    <w:rsid w:val="51EA7D2A"/>
    <w:rsid w:val="51FD782F"/>
    <w:rsid w:val="52193772"/>
    <w:rsid w:val="52241516"/>
    <w:rsid w:val="52A43471"/>
    <w:rsid w:val="52B21606"/>
    <w:rsid w:val="52C723C5"/>
    <w:rsid w:val="52CE7B29"/>
    <w:rsid w:val="52FE59D7"/>
    <w:rsid w:val="53143C76"/>
    <w:rsid w:val="533F605B"/>
    <w:rsid w:val="538542C8"/>
    <w:rsid w:val="538E25D9"/>
    <w:rsid w:val="538F283F"/>
    <w:rsid w:val="544A7DDE"/>
    <w:rsid w:val="54513B0B"/>
    <w:rsid w:val="54802842"/>
    <w:rsid w:val="54BB3E9D"/>
    <w:rsid w:val="54D866BF"/>
    <w:rsid w:val="54DA4F58"/>
    <w:rsid w:val="54DD3D20"/>
    <w:rsid w:val="550A7B54"/>
    <w:rsid w:val="551B359B"/>
    <w:rsid w:val="551F76E6"/>
    <w:rsid w:val="55243AC3"/>
    <w:rsid w:val="5545460B"/>
    <w:rsid w:val="554C2943"/>
    <w:rsid w:val="554C2E4C"/>
    <w:rsid w:val="55603EEE"/>
    <w:rsid w:val="5590127B"/>
    <w:rsid w:val="55941D55"/>
    <w:rsid w:val="55CE553D"/>
    <w:rsid w:val="566469E9"/>
    <w:rsid w:val="567A168B"/>
    <w:rsid w:val="568B628B"/>
    <w:rsid w:val="56B83A26"/>
    <w:rsid w:val="56C77F65"/>
    <w:rsid w:val="56F9126E"/>
    <w:rsid w:val="5724664B"/>
    <w:rsid w:val="57377423"/>
    <w:rsid w:val="577E4888"/>
    <w:rsid w:val="577E6C76"/>
    <w:rsid w:val="57964B9D"/>
    <w:rsid w:val="57CA5FC4"/>
    <w:rsid w:val="57ED1AF0"/>
    <w:rsid w:val="580010B1"/>
    <w:rsid w:val="583D7CF2"/>
    <w:rsid w:val="585A45FE"/>
    <w:rsid w:val="58704C2D"/>
    <w:rsid w:val="58755AEE"/>
    <w:rsid w:val="58790E76"/>
    <w:rsid w:val="587F2334"/>
    <w:rsid w:val="5895610B"/>
    <w:rsid w:val="58F146F3"/>
    <w:rsid w:val="594B220B"/>
    <w:rsid w:val="596954D5"/>
    <w:rsid w:val="596F3BFA"/>
    <w:rsid w:val="59A10C9E"/>
    <w:rsid w:val="59D10B5F"/>
    <w:rsid w:val="59DC7B4C"/>
    <w:rsid w:val="59EC75E0"/>
    <w:rsid w:val="59EF0A81"/>
    <w:rsid w:val="59F006DE"/>
    <w:rsid w:val="59F56C32"/>
    <w:rsid w:val="5A575839"/>
    <w:rsid w:val="5A835309"/>
    <w:rsid w:val="5AA54328"/>
    <w:rsid w:val="5AAA40CE"/>
    <w:rsid w:val="5ABC5E4F"/>
    <w:rsid w:val="5AC56494"/>
    <w:rsid w:val="5B010C59"/>
    <w:rsid w:val="5B07589C"/>
    <w:rsid w:val="5B206A5A"/>
    <w:rsid w:val="5B3E476D"/>
    <w:rsid w:val="5B3F6205"/>
    <w:rsid w:val="5B711CFB"/>
    <w:rsid w:val="5B7219C1"/>
    <w:rsid w:val="5B987D31"/>
    <w:rsid w:val="5BD60ABA"/>
    <w:rsid w:val="5BD842B9"/>
    <w:rsid w:val="5BEF026B"/>
    <w:rsid w:val="5C0B6516"/>
    <w:rsid w:val="5C2B443A"/>
    <w:rsid w:val="5C3F425E"/>
    <w:rsid w:val="5C8D515A"/>
    <w:rsid w:val="5C9A49CA"/>
    <w:rsid w:val="5CE4559D"/>
    <w:rsid w:val="5D2B44E7"/>
    <w:rsid w:val="5D692489"/>
    <w:rsid w:val="5D7C3793"/>
    <w:rsid w:val="5D800FE4"/>
    <w:rsid w:val="5D8563A7"/>
    <w:rsid w:val="5D8A045D"/>
    <w:rsid w:val="5DA75C6B"/>
    <w:rsid w:val="5DCD084D"/>
    <w:rsid w:val="5E3727AE"/>
    <w:rsid w:val="5E48254A"/>
    <w:rsid w:val="5E4A0BB6"/>
    <w:rsid w:val="5E60449B"/>
    <w:rsid w:val="5E8725F8"/>
    <w:rsid w:val="5E9D1A80"/>
    <w:rsid w:val="5E9E5060"/>
    <w:rsid w:val="5EE90CA7"/>
    <w:rsid w:val="5F101CEF"/>
    <w:rsid w:val="5F247BF6"/>
    <w:rsid w:val="5F4433B2"/>
    <w:rsid w:val="5F4C0D13"/>
    <w:rsid w:val="5FE35892"/>
    <w:rsid w:val="602250B9"/>
    <w:rsid w:val="602F4925"/>
    <w:rsid w:val="60562E16"/>
    <w:rsid w:val="605F3F5B"/>
    <w:rsid w:val="60955898"/>
    <w:rsid w:val="60F92CA0"/>
    <w:rsid w:val="60FF7F65"/>
    <w:rsid w:val="614010ED"/>
    <w:rsid w:val="615041F5"/>
    <w:rsid w:val="61592189"/>
    <w:rsid w:val="61594CEB"/>
    <w:rsid w:val="61B029FB"/>
    <w:rsid w:val="61C30742"/>
    <w:rsid w:val="61C50037"/>
    <w:rsid w:val="61F37E98"/>
    <w:rsid w:val="61F915CF"/>
    <w:rsid w:val="62540E6B"/>
    <w:rsid w:val="6299746C"/>
    <w:rsid w:val="62B15660"/>
    <w:rsid w:val="62D25F44"/>
    <w:rsid w:val="62E22222"/>
    <w:rsid w:val="62EF3110"/>
    <w:rsid w:val="6319094A"/>
    <w:rsid w:val="63514CFE"/>
    <w:rsid w:val="637C1773"/>
    <w:rsid w:val="63893F8D"/>
    <w:rsid w:val="63C57042"/>
    <w:rsid w:val="646901A9"/>
    <w:rsid w:val="64D85A36"/>
    <w:rsid w:val="652F2244"/>
    <w:rsid w:val="6547142D"/>
    <w:rsid w:val="65767348"/>
    <w:rsid w:val="65857C0B"/>
    <w:rsid w:val="65B9728C"/>
    <w:rsid w:val="65BC6D6B"/>
    <w:rsid w:val="65BF041C"/>
    <w:rsid w:val="65C7030B"/>
    <w:rsid w:val="65E408FD"/>
    <w:rsid w:val="663E7C85"/>
    <w:rsid w:val="664A6F74"/>
    <w:rsid w:val="666A2E4D"/>
    <w:rsid w:val="666C1604"/>
    <w:rsid w:val="6693670B"/>
    <w:rsid w:val="66C33BCC"/>
    <w:rsid w:val="66D80480"/>
    <w:rsid w:val="66FB00FF"/>
    <w:rsid w:val="67162762"/>
    <w:rsid w:val="67484448"/>
    <w:rsid w:val="67694D9C"/>
    <w:rsid w:val="676E17E3"/>
    <w:rsid w:val="67A50CAB"/>
    <w:rsid w:val="67E12659"/>
    <w:rsid w:val="67E13973"/>
    <w:rsid w:val="68212E27"/>
    <w:rsid w:val="68225466"/>
    <w:rsid w:val="685C15AB"/>
    <w:rsid w:val="68B467A8"/>
    <w:rsid w:val="68BD3F05"/>
    <w:rsid w:val="68EB4ED7"/>
    <w:rsid w:val="691B5623"/>
    <w:rsid w:val="692E1D9F"/>
    <w:rsid w:val="69415BD1"/>
    <w:rsid w:val="69542C7C"/>
    <w:rsid w:val="69F63D86"/>
    <w:rsid w:val="6A36045F"/>
    <w:rsid w:val="6A4127BE"/>
    <w:rsid w:val="6A6C675E"/>
    <w:rsid w:val="6AB71A2A"/>
    <w:rsid w:val="6AC6738D"/>
    <w:rsid w:val="6ACA3031"/>
    <w:rsid w:val="6B4A0365"/>
    <w:rsid w:val="6B6E1986"/>
    <w:rsid w:val="6B9B0D78"/>
    <w:rsid w:val="6BC53ECD"/>
    <w:rsid w:val="6BD22C09"/>
    <w:rsid w:val="6BD50AE2"/>
    <w:rsid w:val="6BE9714A"/>
    <w:rsid w:val="6BF413B9"/>
    <w:rsid w:val="6C162B24"/>
    <w:rsid w:val="6C284516"/>
    <w:rsid w:val="6C69094E"/>
    <w:rsid w:val="6CD25CED"/>
    <w:rsid w:val="6CEC62A7"/>
    <w:rsid w:val="6CFB6337"/>
    <w:rsid w:val="6CFD1E73"/>
    <w:rsid w:val="6D1D0982"/>
    <w:rsid w:val="6D3210E6"/>
    <w:rsid w:val="6D35660C"/>
    <w:rsid w:val="6D3C0532"/>
    <w:rsid w:val="6D3D2C7B"/>
    <w:rsid w:val="6D4A7C3D"/>
    <w:rsid w:val="6D642C0E"/>
    <w:rsid w:val="6D657E15"/>
    <w:rsid w:val="6D6A235F"/>
    <w:rsid w:val="6DC072BA"/>
    <w:rsid w:val="6DC94AC0"/>
    <w:rsid w:val="6DE61D4D"/>
    <w:rsid w:val="6DEA6206"/>
    <w:rsid w:val="6DEB5E39"/>
    <w:rsid w:val="6E0C51E5"/>
    <w:rsid w:val="6E2C2976"/>
    <w:rsid w:val="6E2C3F65"/>
    <w:rsid w:val="6E30763C"/>
    <w:rsid w:val="6E3E324E"/>
    <w:rsid w:val="6E3E3C49"/>
    <w:rsid w:val="6E4627E7"/>
    <w:rsid w:val="6E4F5B69"/>
    <w:rsid w:val="6E8C3894"/>
    <w:rsid w:val="6E977668"/>
    <w:rsid w:val="6EB51B52"/>
    <w:rsid w:val="6ECA3704"/>
    <w:rsid w:val="6ECE25BF"/>
    <w:rsid w:val="6ECF2229"/>
    <w:rsid w:val="6EE72ABD"/>
    <w:rsid w:val="6F0028F8"/>
    <w:rsid w:val="6F017FD9"/>
    <w:rsid w:val="6F0740F2"/>
    <w:rsid w:val="6F0F6730"/>
    <w:rsid w:val="6F23621C"/>
    <w:rsid w:val="6F3935FE"/>
    <w:rsid w:val="6F3B201E"/>
    <w:rsid w:val="6F7C7270"/>
    <w:rsid w:val="6F862AB4"/>
    <w:rsid w:val="6FB800D6"/>
    <w:rsid w:val="6FC31426"/>
    <w:rsid w:val="6FD651DD"/>
    <w:rsid w:val="6FD832F2"/>
    <w:rsid w:val="6FF3299D"/>
    <w:rsid w:val="70120F5A"/>
    <w:rsid w:val="70216FF3"/>
    <w:rsid w:val="7058396C"/>
    <w:rsid w:val="708763CE"/>
    <w:rsid w:val="70B60DD1"/>
    <w:rsid w:val="70E94DE2"/>
    <w:rsid w:val="70FC5925"/>
    <w:rsid w:val="71221DD3"/>
    <w:rsid w:val="714F7B44"/>
    <w:rsid w:val="717D333A"/>
    <w:rsid w:val="71956A87"/>
    <w:rsid w:val="719A593E"/>
    <w:rsid w:val="71A35A58"/>
    <w:rsid w:val="71A44B9C"/>
    <w:rsid w:val="71AC2F36"/>
    <w:rsid w:val="71AF314C"/>
    <w:rsid w:val="71F6544C"/>
    <w:rsid w:val="726624CF"/>
    <w:rsid w:val="726A334F"/>
    <w:rsid w:val="72831F7E"/>
    <w:rsid w:val="7285666F"/>
    <w:rsid w:val="728A5EC9"/>
    <w:rsid w:val="72A0730C"/>
    <w:rsid w:val="72DF3E4B"/>
    <w:rsid w:val="72E832DA"/>
    <w:rsid w:val="72EA5AB4"/>
    <w:rsid w:val="732859C8"/>
    <w:rsid w:val="73297F00"/>
    <w:rsid w:val="735C0845"/>
    <w:rsid w:val="736B6B91"/>
    <w:rsid w:val="738347AF"/>
    <w:rsid w:val="738D0523"/>
    <w:rsid w:val="73940A1C"/>
    <w:rsid w:val="739655B6"/>
    <w:rsid w:val="739D0AE2"/>
    <w:rsid w:val="73A635A8"/>
    <w:rsid w:val="73E232C6"/>
    <w:rsid w:val="74024C11"/>
    <w:rsid w:val="747555BC"/>
    <w:rsid w:val="7490202D"/>
    <w:rsid w:val="74D63E8E"/>
    <w:rsid w:val="74E27E40"/>
    <w:rsid w:val="74E939DC"/>
    <w:rsid w:val="74FE0176"/>
    <w:rsid w:val="751A34F6"/>
    <w:rsid w:val="75231212"/>
    <w:rsid w:val="756C0211"/>
    <w:rsid w:val="75D607E4"/>
    <w:rsid w:val="765D6BE0"/>
    <w:rsid w:val="766B4EBD"/>
    <w:rsid w:val="767001E1"/>
    <w:rsid w:val="76841BD5"/>
    <w:rsid w:val="76E31867"/>
    <w:rsid w:val="76E70481"/>
    <w:rsid w:val="76EC2B6D"/>
    <w:rsid w:val="771C7096"/>
    <w:rsid w:val="772B43E7"/>
    <w:rsid w:val="77544DBC"/>
    <w:rsid w:val="775A30BD"/>
    <w:rsid w:val="777869FB"/>
    <w:rsid w:val="7785450E"/>
    <w:rsid w:val="7786316D"/>
    <w:rsid w:val="77EA6905"/>
    <w:rsid w:val="78070A2F"/>
    <w:rsid w:val="781D2593"/>
    <w:rsid w:val="782B471E"/>
    <w:rsid w:val="783B5C38"/>
    <w:rsid w:val="7856529D"/>
    <w:rsid w:val="789914C5"/>
    <w:rsid w:val="78A6154A"/>
    <w:rsid w:val="78CF5354"/>
    <w:rsid w:val="79091026"/>
    <w:rsid w:val="792C72D7"/>
    <w:rsid w:val="7949545E"/>
    <w:rsid w:val="79607B80"/>
    <w:rsid w:val="79716ABC"/>
    <w:rsid w:val="79733EE5"/>
    <w:rsid w:val="79D84F64"/>
    <w:rsid w:val="79E60CD2"/>
    <w:rsid w:val="79F274A8"/>
    <w:rsid w:val="79FE470C"/>
    <w:rsid w:val="7A5B2E77"/>
    <w:rsid w:val="7A7A1690"/>
    <w:rsid w:val="7A861FF4"/>
    <w:rsid w:val="7AAD1751"/>
    <w:rsid w:val="7ABD75DA"/>
    <w:rsid w:val="7ACF3F34"/>
    <w:rsid w:val="7ADD3A59"/>
    <w:rsid w:val="7AFA1C30"/>
    <w:rsid w:val="7B1C21BD"/>
    <w:rsid w:val="7B465DCB"/>
    <w:rsid w:val="7B60700B"/>
    <w:rsid w:val="7B6F2120"/>
    <w:rsid w:val="7BC60F85"/>
    <w:rsid w:val="7C4127DF"/>
    <w:rsid w:val="7C4D3D57"/>
    <w:rsid w:val="7C6D2BFD"/>
    <w:rsid w:val="7C9A3C5D"/>
    <w:rsid w:val="7CA85FBC"/>
    <w:rsid w:val="7CCC7734"/>
    <w:rsid w:val="7CE9074F"/>
    <w:rsid w:val="7CF56A3F"/>
    <w:rsid w:val="7D1932E6"/>
    <w:rsid w:val="7D291199"/>
    <w:rsid w:val="7D2912A8"/>
    <w:rsid w:val="7D3E544B"/>
    <w:rsid w:val="7D572156"/>
    <w:rsid w:val="7D5C45BB"/>
    <w:rsid w:val="7D8815D4"/>
    <w:rsid w:val="7DAC7AE2"/>
    <w:rsid w:val="7DC74D59"/>
    <w:rsid w:val="7DDD4B37"/>
    <w:rsid w:val="7DE00996"/>
    <w:rsid w:val="7E0634C9"/>
    <w:rsid w:val="7E232986"/>
    <w:rsid w:val="7E6C1FCC"/>
    <w:rsid w:val="7E93167F"/>
    <w:rsid w:val="7E9D3B58"/>
    <w:rsid w:val="7EA91B24"/>
    <w:rsid w:val="7EAB0EB1"/>
    <w:rsid w:val="7EAF215D"/>
    <w:rsid w:val="7EC85753"/>
    <w:rsid w:val="7EE03CE3"/>
    <w:rsid w:val="7F0F4C25"/>
    <w:rsid w:val="7F2E6B0A"/>
    <w:rsid w:val="7F4855FE"/>
    <w:rsid w:val="7F4C24E4"/>
    <w:rsid w:val="7F672B10"/>
    <w:rsid w:val="7F6C2394"/>
    <w:rsid w:val="7F9B13F4"/>
    <w:rsid w:val="7FCB6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5"/>
    <w:qFormat/>
    <w:uiPriority w:val="0"/>
    <w:pPr>
      <w:jc w:val="left"/>
    </w:pPr>
  </w:style>
  <w:style w:type="paragraph" w:styleId="6">
    <w:name w:val="toc 3"/>
    <w:basedOn w:val="1"/>
    <w:next w:val="1"/>
    <w:unhideWhenUsed/>
    <w:qFormat/>
    <w:uiPriority w:val="39"/>
    <w:pPr>
      <w:widowControl/>
      <w:spacing w:after="100" w:line="276" w:lineRule="auto"/>
      <w:ind w:left="440"/>
      <w:jc w:val="left"/>
    </w:pPr>
    <w:rPr>
      <w:rFonts w:ascii="Calibri" w:hAnsi="Calibri"/>
      <w:kern w:val="0"/>
      <w:sz w:val="22"/>
      <w:szCs w:val="22"/>
    </w:rPr>
  </w:style>
  <w:style w:type="paragraph" w:styleId="7">
    <w:name w:val="Balloon Text"/>
    <w:basedOn w:val="1"/>
    <w:link w:val="28"/>
    <w:qFormat/>
    <w:uiPriority w:val="0"/>
    <w:rPr>
      <w:sz w:val="18"/>
      <w:szCs w:val="18"/>
    </w:rPr>
  </w:style>
  <w:style w:type="paragraph" w:styleId="8">
    <w:name w:val="footer"/>
    <w:basedOn w:val="1"/>
    <w:link w:val="23"/>
    <w:qFormat/>
    <w:uiPriority w:val="99"/>
    <w:pPr>
      <w:tabs>
        <w:tab w:val="center" w:pos="4153"/>
        <w:tab w:val="right" w:pos="8306"/>
      </w:tabs>
      <w:snapToGrid w:val="0"/>
      <w:jc w:val="left"/>
    </w:pPr>
    <w:rPr>
      <w:sz w:val="18"/>
      <w:szCs w:val="18"/>
    </w:rPr>
  </w:style>
  <w:style w:type="paragraph" w:styleId="9">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tabs>
        <w:tab w:val="right" w:leader="dot" w:pos="8302"/>
      </w:tabs>
      <w:spacing w:after="100" w:line="540" w:lineRule="exact"/>
      <w:jc w:val="left"/>
    </w:pPr>
    <w:rPr>
      <w:rFonts w:ascii="Calibri" w:hAnsi="Calibri"/>
      <w:kern w:val="0"/>
      <w:sz w:val="22"/>
      <w:szCs w:val="22"/>
    </w:rPr>
  </w:style>
  <w:style w:type="paragraph" w:styleId="11">
    <w:name w:val="toc 2"/>
    <w:basedOn w:val="1"/>
    <w:next w:val="1"/>
    <w:unhideWhenUsed/>
    <w:qFormat/>
    <w:uiPriority w:val="39"/>
    <w:pPr>
      <w:widowControl/>
      <w:tabs>
        <w:tab w:val="right" w:leader="dot" w:pos="8302"/>
      </w:tabs>
      <w:spacing w:after="100" w:line="300" w:lineRule="exact"/>
      <w:ind w:left="221"/>
      <w:jc w:val="left"/>
    </w:pPr>
    <w:rPr>
      <w:rFonts w:ascii="Calibri" w:hAnsi="Calibri"/>
      <w:kern w:val="0"/>
      <w:sz w:val="22"/>
      <w:szCs w:val="22"/>
    </w:rPr>
  </w:style>
  <w:style w:type="paragraph" w:styleId="12">
    <w:name w:val="annotation subject"/>
    <w:basedOn w:val="5"/>
    <w:next w:val="5"/>
    <w:link w:val="30"/>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unhideWhenUsed/>
    <w:qFormat/>
    <w:uiPriority w:val="99"/>
    <w:rPr>
      <w:color w:val="800080"/>
      <w:u w:val="single"/>
    </w:rPr>
  </w:style>
  <w:style w:type="character" w:styleId="17">
    <w:name w:val="Hyperlink"/>
    <w:qFormat/>
    <w:uiPriority w:val="99"/>
    <w:rPr>
      <w:color w:val="0000FF"/>
      <w:u w:val="single"/>
    </w:rPr>
  </w:style>
  <w:style w:type="character" w:styleId="18">
    <w:name w:val="annotation reference"/>
    <w:qFormat/>
    <w:uiPriority w:val="0"/>
    <w:rPr>
      <w:sz w:val="21"/>
      <w:szCs w:val="21"/>
    </w:rPr>
  </w:style>
  <w:style w:type="paragraph" w:customStyle="1" w:styleId="19">
    <w:name w:val="_Style 18"/>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20">
    <w:name w:val="List Paragraph1"/>
    <w:basedOn w:val="1"/>
    <w:qFormat/>
    <w:uiPriority w:val="0"/>
    <w:pPr>
      <w:ind w:firstLine="420" w:firstLineChars="200"/>
    </w:pPr>
    <w:rPr>
      <w:rFonts w:ascii="Calibri" w:hAnsi="Calibri"/>
      <w:szCs w:val="22"/>
    </w:rPr>
  </w:style>
  <w:style w:type="paragraph" w:customStyle="1" w:styleId="21">
    <w:name w:val="_Style 20"/>
    <w:unhideWhenUsed/>
    <w:qFormat/>
    <w:uiPriority w:val="99"/>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rPr>
      <w:rFonts w:ascii="Calibri" w:hAnsi="Calibri"/>
      <w:szCs w:val="22"/>
    </w:rPr>
  </w:style>
  <w:style w:type="character" w:customStyle="1" w:styleId="23">
    <w:name w:val="页脚 字符"/>
    <w:link w:val="8"/>
    <w:qFormat/>
    <w:uiPriority w:val="99"/>
    <w:rPr>
      <w:kern w:val="2"/>
      <w:sz w:val="18"/>
      <w:szCs w:val="18"/>
    </w:rPr>
  </w:style>
  <w:style w:type="character" w:customStyle="1" w:styleId="24">
    <w:name w:val="font41"/>
    <w:qFormat/>
    <w:uiPriority w:val="0"/>
    <w:rPr>
      <w:rFonts w:ascii="Arial" w:hAnsi="Arial" w:cs="Arial"/>
      <w:b/>
      <w:color w:val="000000"/>
      <w:sz w:val="20"/>
      <w:szCs w:val="20"/>
      <w:u w:val="none"/>
    </w:rPr>
  </w:style>
  <w:style w:type="character" w:customStyle="1" w:styleId="25">
    <w:name w:val="批注文字 字符"/>
    <w:link w:val="5"/>
    <w:qFormat/>
    <w:uiPriority w:val="0"/>
    <w:rPr>
      <w:kern w:val="2"/>
      <w:sz w:val="21"/>
      <w:szCs w:val="24"/>
    </w:rPr>
  </w:style>
  <w:style w:type="character" w:customStyle="1" w:styleId="26">
    <w:name w:val="font31"/>
    <w:qFormat/>
    <w:uiPriority w:val="0"/>
    <w:rPr>
      <w:rFonts w:hint="eastAsia" w:ascii="宋体" w:hAnsi="宋体" w:eastAsia="宋体" w:cs="宋体"/>
      <w:color w:val="000000"/>
      <w:sz w:val="20"/>
      <w:szCs w:val="20"/>
      <w:u w:val="none"/>
    </w:rPr>
  </w:style>
  <w:style w:type="character" w:customStyle="1" w:styleId="27">
    <w:name w:val="标题 1 字符"/>
    <w:link w:val="2"/>
    <w:qFormat/>
    <w:uiPriority w:val="0"/>
    <w:rPr>
      <w:b/>
      <w:bCs/>
      <w:kern w:val="44"/>
      <w:sz w:val="44"/>
      <w:szCs w:val="44"/>
    </w:rPr>
  </w:style>
  <w:style w:type="character" w:customStyle="1" w:styleId="28">
    <w:name w:val="批注框文本 字符"/>
    <w:link w:val="7"/>
    <w:qFormat/>
    <w:uiPriority w:val="0"/>
    <w:rPr>
      <w:kern w:val="2"/>
      <w:sz w:val="18"/>
      <w:szCs w:val="18"/>
    </w:rPr>
  </w:style>
  <w:style w:type="character" w:customStyle="1" w:styleId="29">
    <w:name w:val="font11"/>
    <w:qFormat/>
    <w:uiPriority w:val="0"/>
    <w:rPr>
      <w:rFonts w:ascii="宋体" w:hAnsi="宋体" w:eastAsia="宋体" w:cs="宋体"/>
      <w:color w:val="000000"/>
      <w:sz w:val="20"/>
      <w:szCs w:val="20"/>
      <w:u w:val="none"/>
    </w:rPr>
  </w:style>
  <w:style w:type="character" w:customStyle="1" w:styleId="30">
    <w:name w:val="批注主题 字符"/>
    <w:link w:val="12"/>
    <w:qFormat/>
    <w:uiPriority w:val="0"/>
    <w:rPr>
      <w:b/>
      <w:bCs/>
      <w:kern w:val="2"/>
      <w:sz w:val="21"/>
      <w:szCs w:val="24"/>
    </w:rPr>
  </w:style>
  <w:style w:type="character" w:customStyle="1" w:styleId="31">
    <w:name w:val="页眉 字符"/>
    <w:link w:val="9"/>
    <w:qFormat/>
    <w:uiPriority w:val="0"/>
    <w:rPr>
      <w:kern w:val="2"/>
      <w:sz w:val="18"/>
      <w:szCs w:val="18"/>
    </w:rPr>
  </w:style>
  <w:style w:type="character" w:customStyle="1" w:styleId="32">
    <w:name w:val="font01"/>
    <w:basedOn w:val="15"/>
    <w:qFormat/>
    <w:uiPriority w:val="0"/>
    <w:rPr>
      <w:rFonts w:hint="default" w:ascii="Arial" w:hAnsi="Arial" w:cs="Arial"/>
      <w:color w:val="000000"/>
      <w:sz w:val="18"/>
      <w:szCs w:val="18"/>
      <w:u w:val="none"/>
    </w:rPr>
  </w:style>
  <w:style w:type="character" w:customStyle="1" w:styleId="33">
    <w:name w:val="font51"/>
    <w:basedOn w:val="15"/>
    <w:qFormat/>
    <w:uiPriority w:val="0"/>
    <w:rPr>
      <w:rFonts w:hint="eastAsia" w:ascii="宋体" w:hAnsi="宋体" w:eastAsia="宋体" w:cs="宋体"/>
      <w:color w:val="000000"/>
      <w:sz w:val="18"/>
      <w:szCs w:val="18"/>
      <w:u w:val="none"/>
    </w:rPr>
  </w:style>
  <w:style w:type="character" w:customStyle="1" w:styleId="34">
    <w:name w:val="font71"/>
    <w:basedOn w:val="15"/>
    <w:qFormat/>
    <w:uiPriority w:val="0"/>
    <w:rPr>
      <w:rFonts w:hint="eastAsia" w:ascii="宋体" w:hAnsi="宋体" w:eastAsia="宋体" w:cs="宋体"/>
      <w:color w:val="000000"/>
      <w:sz w:val="20"/>
      <w:szCs w:val="20"/>
      <w:u w:val="none"/>
    </w:rPr>
  </w:style>
  <w:style w:type="character" w:customStyle="1" w:styleId="35">
    <w:name w:val="font61"/>
    <w:basedOn w:val="15"/>
    <w:qFormat/>
    <w:uiPriority w:val="0"/>
    <w:rPr>
      <w:rFonts w:hint="eastAsia" w:ascii="宋体" w:hAnsi="宋体" w:eastAsia="宋体" w:cs="宋体"/>
      <w:color w:val="000000"/>
      <w:sz w:val="20"/>
      <w:szCs w:val="20"/>
      <w:u w:val="none"/>
    </w:rPr>
  </w:style>
  <w:style w:type="character" w:customStyle="1" w:styleId="36">
    <w:name w:val="font21"/>
    <w:basedOn w:val="15"/>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8.jpeg"/><Relationship Id="rId45" Type="http://schemas.openxmlformats.org/officeDocument/2006/relationships/image" Target="media/image37.jpeg"/><Relationship Id="rId44" Type="http://schemas.openxmlformats.org/officeDocument/2006/relationships/image" Target="media/image36.jpe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0029;&#27700;(2020)\&#30417;&#31649;&#25253;&#21578;\&#30417;&#31649;&#26376;&#25253;\201910\&#20809;&#22823;&#183;&#26032;&#23433;2&#21495;&#38598;&#21512;&#36164;&#37329;&#20449;&#25176;&#35745;&#21010;-&#30417;&#31649;&#25253;&#21578;-2019&#24180;10&#26376;.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光大·新安2号集合资金信托计划-监管报告-2019年10月.doc</Template>
  <Company>WIN</Company>
  <Pages>1</Pages>
  <Words>16457</Words>
  <Characters>93811</Characters>
  <Lines>781</Lines>
  <Paragraphs>220</Paragraphs>
  <TotalTime>11</TotalTime>
  <ScaleCrop>false</ScaleCrop>
  <LinksUpToDate>false</LinksUpToDate>
  <CharactersWithSpaces>110048</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2021-05-18T00:42:00Z</dcterms:created>
  <dc:creator>zhenny</dc:creator>
  <cp:lastModifiedBy>蒙yuan</cp:lastModifiedBy>
  <dcterms:modified xsi:type="dcterms:W3CDTF">2021-06-09T10:00:22Z</dcterms:modified>
  <dc:title>信托计划监管报告</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09C37BC7F7AB48C0A9AD35B31A80E5BA</vt:lpwstr>
  </property>
</Properties>
</file>