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rPr>
          <w:rFonts w:ascii="仿宋" w:hAnsi="仿宋" w:eastAsia="仿宋"/>
          <w:b/>
          <w:sz w:val="36"/>
          <w:szCs w:val="36"/>
        </w:rPr>
      </w:pPr>
    </w:p>
    <w:p>
      <w:pPr>
        <w:jc w:val="center"/>
        <w:outlineLvl w:val="0"/>
        <w:rPr>
          <w:rFonts w:ascii="仿宋" w:hAnsi="仿宋" w:eastAsia="仿宋"/>
          <w:b/>
          <w:sz w:val="36"/>
          <w:szCs w:val="36"/>
        </w:rPr>
      </w:pPr>
      <w:bookmarkStart w:id="0" w:name="_Toc2836"/>
      <w:bookmarkStart w:id="1" w:name="_Toc15603"/>
      <w:r>
        <w:rPr>
          <w:rFonts w:hint="eastAsia" w:ascii="仿宋" w:hAnsi="仿宋" w:eastAsia="仿宋"/>
          <w:b/>
          <w:sz w:val="36"/>
          <w:szCs w:val="36"/>
        </w:rPr>
        <w:t>中航信托·天启【2020】4</w:t>
      </w:r>
      <w:r>
        <w:rPr>
          <w:rFonts w:ascii="仿宋" w:hAnsi="仿宋" w:eastAsia="仿宋"/>
          <w:b/>
          <w:sz w:val="36"/>
          <w:szCs w:val="36"/>
        </w:rPr>
        <w:t>07</w:t>
      </w:r>
      <w:r>
        <w:rPr>
          <w:rFonts w:hint="eastAsia" w:ascii="仿宋" w:hAnsi="仿宋" w:eastAsia="仿宋"/>
          <w:b/>
          <w:sz w:val="36"/>
          <w:szCs w:val="36"/>
        </w:rPr>
        <w:t>号江苏镇江恒仁项目股权投资集合资金信托计划入场报告</w:t>
      </w:r>
      <w:bookmarkEnd w:id="0"/>
      <w:bookmarkEnd w:id="1"/>
    </w:p>
    <w:p/>
    <w:p/>
    <w:p/>
    <w:p/>
    <w:p/>
    <w:p/>
    <w:p/>
    <w:p/>
    <w:p/>
    <w:p/>
    <w:p/>
    <w:p/>
    <w:p/>
    <w:p/>
    <w:p/>
    <w:p/>
    <w:p/>
    <w:p/>
    <w:p/>
    <w:p>
      <w:pPr>
        <w:ind w:firstLine="280" w:firstLineChars="100"/>
        <w:jc w:val="center"/>
        <w:rPr>
          <w:sz w:val="28"/>
          <w:szCs w:val="28"/>
        </w:rPr>
      </w:pPr>
      <w:r>
        <w:rPr>
          <w:rFonts w:hint="eastAsia"/>
          <w:sz w:val="28"/>
          <w:szCs w:val="28"/>
        </w:rPr>
        <w:t>北京康信君安资产管理有限公司</w:t>
      </w:r>
    </w:p>
    <w:p>
      <w:bookmarkStart w:id="14" w:name="_GoBack"/>
      <w:bookmarkEnd w:id="14"/>
    </w:p>
    <w:p>
      <w:pPr>
        <w:pStyle w:val="2"/>
        <w:ind w:firstLine="3570" w:firstLineChars="1700"/>
      </w:pPr>
      <w:r>
        <w:rPr>
          <w:rFonts w:hint="eastAsia"/>
        </w:rPr>
        <w:t>2020年</w:t>
      </w:r>
      <w:r>
        <w:t>9</w:t>
      </w:r>
      <w:r>
        <w:rPr>
          <w:rFonts w:hint="eastAsia"/>
        </w:rPr>
        <w:t>月</w:t>
      </w:r>
      <w:r>
        <w:t>7</w:t>
      </w:r>
      <w:r>
        <w:rPr>
          <w:rFonts w:hint="eastAsia"/>
        </w:rPr>
        <w:t>日</w:t>
      </w:r>
    </w:p>
    <w:p/>
    <w:sdt>
      <w:sdtPr>
        <w:rPr>
          <w:rFonts w:ascii="宋体" w:hAnsi="宋体" w:eastAsia="宋体"/>
        </w:rPr>
        <w:id w:val="147469111"/>
        <w15:color w:val="DBDBDB"/>
        <w:docPartObj>
          <w:docPartGallery w:val="Table of Contents"/>
          <w:docPartUnique/>
        </w:docPartObj>
      </w:sdtPr>
      <w:sdtEndPr>
        <w:rPr>
          <w:rFonts w:ascii="Arial" w:hAnsi="Arial" w:cs="Arial" w:eastAsiaTheme="minorEastAsia"/>
          <w:b/>
          <w:bCs/>
          <w:kern w:val="44"/>
          <w:szCs w:val="21"/>
        </w:rPr>
      </w:sdtEndPr>
      <w:sdtContent>
        <w:p>
          <w:pPr>
            <w:jc w:val="center"/>
          </w:pPr>
        </w:p>
        <w:p>
          <w:pPr>
            <w:pStyle w:val="10"/>
            <w:tabs>
              <w:tab w:val="right" w:leader="dot" w:pos="8306"/>
            </w:tabs>
            <w:jc w:val="center"/>
            <w:rPr>
              <w:rFonts w:ascii="Arial" w:hAnsi="Arial" w:cs="Arial"/>
              <w:b/>
              <w:kern w:val="44"/>
              <w:sz w:val="28"/>
              <w:szCs w:val="28"/>
            </w:rPr>
          </w:pPr>
          <w:r>
            <w:rPr>
              <w:rFonts w:hint="eastAsia" w:ascii="Arial" w:hAnsi="Arial" w:cs="Arial"/>
              <w:b/>
              <w:kern w:val="44"/>
              <w:sz w:val="28"/>
              <w:szCs w:val="28"/>
            </w:rPr>
            <w:t>目录</w:t>
          </w:r>
        </w:p>
        <w:p>
          <w:pPr>
            <w:pStyle w:val="10"/>
            <w:tabs>
              <w:tab w:val="right" w:leader="dot" w:pos="8306"/>
            </w:tabs>
            <w:rPr>
              <w:rFonts w:ascii="Arial" w:hAnsi="Arial" w:cs="Arial"/>
              <w:bCs/>
              <w:kern w:val="44"/>
              <w:szCs w:val="21"/>
            </w:rPr>
          </w:pPr>
        </w:p>
        <w:p>
          <w:pPr>
            <w:pStyle w:val="10"/>
            <w:tabs>
              <w:tab w:val="right" w:leader="dot" w:pos="8306"/>
            </w:tabs>
            <w:spacing w:line="360" w:lineRule="auto"/>
            <w:rPr>
              <w:rFonts w:ascii="Arial" w:hAnsi="Arial" w:cs="Arial" w:eastAsiaTheme="minorEastAsia"/>
              <w:sz w:val="21"/>
              <w:szCs w:val="21"/>
            </w:rPr>
          </w:pPr>
          <w:r>
            <w:rPr>
              <w:rFonts w:ascii="Arial" w:hAnsi="Arial" w:cs="Arial"/>
              <w:bCs/>
              <w:kern w:val="44"/>
              <w:szCs w:val="21"/>
            </w:rPr>
            <w:fldChar w:fldCharType="begin"/>
          </w:r>
          <w:r>
            <w:rPr>
              <w:rFonts w:ascii="Arial" w:hAnsi="Arial" w:cs="Arial"/>
              <w:bCs/>
              <w:kern w:val="44"/>
              <w:szCs w:val="21"/>
            </w:rPr>
            <w:instrText xml:space="preserve">TOC \o "1-2" \h \u </w:instrText>
          </w:r>
          <w:r>
            <w:rPr>
              <w:rFonts w:ascii="Arial" w:hAnsi="Arial" w:cs="Arial"/>
              <w:bCs/>
              <w:kern w:val="44"/>
              <w:szCs w:val="21"/>
            </w:rPr>
            <w:fldChar w:fldCharType="separate"/>
          </w:r>
          <w:r>
            <w:fldChar w:fldCharType="begin"/>
          </w:r>
          <w:r>
            <w:instrText xml:space="preserve"> HYPERLINK \l "_Toc5071" </w:instrText>
          </w:r>
          <w:r>
            <w:fldChar w:fldCharType="separate"/>
          </w:r>
          <w:r>
            <w:rPr>
              <w:rFonts w:ascii="Arial" w:hAnsi="Arial" w:cs="Arial" w:eastAsiaTheme="minorEastAsia"/>
              <w:sz w:val="21"/>
              <w:szCs w:val="21"/>
            </w:rPr>
            <w:t>一、 项目地块基本情况</w:t>
          </w:r>
          <w:r>
            <w:rPr>
              <w:rFonts w:ascii="Arial" w:hAnsi="Arial" w:cs="Arial" w:eastAsiaTheme="minorEastAsia"/>
              <w:sz w:val="21"/>
              <w:szCs w:val="21"/>
            </w:rPr>
            <w:tab/>
          </w:r>
          <w:r>
            <w:rPr>
              <w:rFonts w:ascii="Arial" w:hAnsi="Arial" w:cs="Arial" w:eastAsiaTheme="minorEastAsia"/>
              <w:sz w:val="21"/>
              <w:szCs w:val="21"/>
            </w:rPr>
            <w:fldChar w:fldCharType="begin"/>
          </w:r>
          <w:r>
            <w:rPr>
              <w:rFonts w:ascii="Arial" w:hAnsi="Arial" w:cs="Arial" w:eastAsiaTheme="minorEastAsia"/>
              <w:sz w:val="21"/>
              <w:szCs w:val="21"/>
            </w:rPr>
            <w:instrText xml:space="preserve"> PAGEREF _Toc5071 </w:instrText>
          </w:r>
          <w:r>
            <w:rPr>
              <w:rFonts w:ascii="Arial" w:hAnsi="Arial" w:cs="Arial" w:eastAsiaTheme="minorEastAsia"/>
              <w:sz w:val="21"/>
              <w:szCs w:val="21"/>
            </w:rPr>
            <w:fldChar w:fldCharType="separate"/>
          </w:r>
          <w:r>
            <w:rPr>
              <w:rFonts w:ascii="Arial" w:hAnsi="Arial" w:cs="Arial" w:eastAsiaTheme="minorEastAsia"/>
              <w:sz w:val="21"/>
              <w:szCs w:val="21"/>
            </w:rPr>
            <w:t>1</w:t>
          </w:r>
          <w:r>
            <w:rPr>
              <w:rFonts w:ascii="Arial" w:hAnsi="Arial" w:cs="Arial" w:eastAsiaTheme="minorEastAsia"/>
              <w:sz w:val="21"/>
              <w:szCs w:val="21"/>
            </w:rPr>
            <w:fldChar w:fldCharType="end"/>
          </w:r>
          <w:r>
            <w:rPr>
              <w:rFonts w:ascii="Arial" w:hAnsi="Arial" w:cs="Arial" w:eastAsiaTheme="minorEastAsia"/>
              <w:sz w:val="21"/>
              <w:szCs w:val="21"/>
            </w:rPr>
            <w:fldChar w:fldCharType="end"/>
          </w:r>
        </w:p>
        <w:p>
          <w:pPr>
            <w:pStyle w:val="10"/>
            <w:tabs>
              <w:tab w:val="right" w:leader="dot" w:pos="8306"/>
            </w:tabs>
            <w:spacing w:line="360" w:lineRule="auto"/>
            <w:rPr>
              <w:rFonts w:ascii="Arial" w:hAnsi="Arial" w:cs="Arial" w:eastAsiaTheme="minorEastAsia"/>
              <w:sz w:val="21"/>
              <w:szCs w:val="21"/>
            </w:rPr>
          </w:pPr>
          <w:r>
            <w:fldChar w:fldCharType="begin"/>
          </w:r>
          <w:r>
            <w:instrText xml:space="preserve"> HYPERLINK \l "_Toc13727" </w:instrText>
          </w:r>
          <w:r>
            <w:fldChar w:fldCharType="separate"/>
          </w:r>
          <w:r>
            <w:rPr>
              <w:rFonts w:ascii="Arial" w:hAnsi="Arial" w:cs="Arial" w:eastAsiaTheme="minorEastAsia"/>
              <w:sz w:val="21"/>
              <w:szCs w:val="21"/>
            </w:rPr>
            <w:t>二、 项目公司基本信息</w:t>
          </w:r>
          <w:r>
            <w:rPr>
              <w:rFonts w:ascii="Arial" w:hAnsi="Arial" w:cs="Arial" w:eastAsiaTheme="minorEastAsia"/>
              <w:sz w:val="21"/>
              <w:szCs w:val="21"/>
            </w:rPr>
            <w:tab/>
          </w:r>
          <w:r>
            <w:rPr>
              <w:rFonts w:ascii="Arial" w:hAnsi="Arial" w:cs="Arial" w:eastAsiaTheme="minorEastAsia"/>
              <w:sz w:val="21"/>
              <w:szCs w:val="21"/>
            </w:rPr>
            <w:t>2</w:t>
          </w:r>
          <w:r>
            <w:rPr>
              <w:rFonts w:ascii="Arial" w:hAnsi="Arial" w:cs="Arial" w:eastAsiaTheme="minorEastAsia"/>
              <w:sz w:val="21"/>
              <w:szCs w:val="21"/>
            </w:rPr>
            <w:fldChar w:fldCharType="end"/>
          </w:r>
        </w:p>
        <w:p>
          <w:pPr>
            <w:pStyle w:val="10"/>
            <w:tabs>
              <w:tab w:val="right" w:leader="dot" w:pos="8306"/>
            </w:tabs>
            <w:spacing w:line="360" w:lineRule="auto"/>
            <w:rPr>
              <w:rFonts w:ascii="Arial" w:hAnsi="Arial" w:cs="Arial" w:eastAsiaTheme="minorEastAsia"/>
              <w:sz w:val="21"/>
              <w:szCs w:val="21"/>
            </w:rPr>
          </w:pPr>
          <w:r>
            <w:fldChar w:fldCharType="begin"/>
          </w:r>
          <w:r>
            <w:instrText xml:space="preserve"> HYPERLINK \l "_Toc32568" </w:instrText>
          </w:r>
          <w:r>
            <w:fldChar w:fldCharType="separate"/>
          </w:r>
          <w:r>
            <w:rPr>
              <w:rFonts w:ascii="Arial" w:hAnsi="Arial" w:cs="Arial" w:eastAsiaTheme="minorEastAsia"/>
              <w:sz w:val="21"/>
              <w:szCs w:val="21"/>
            </w:rPr>
            <w:t>三、 竞品分析</w:t>
          </w:r>
          <w:r>
            <w:rPr>
              <w:rFonts w:ascii="Arial" w:hAnsi="Arial" w:cs="Arial" w:eastAsiaTheme="minorEastAsia"/>
              <w:sz w:val="21"/>
              <w:szCs w:val="21"/>
            </w:rPr>
            <w:tab/>
          </w:r>
          <w:r>
            <w:rPr>
              <w:rFonts w:ascii="Arial" w:hAnsi="Arial" w:cs="Arial" w:eastAsiaTheme="minorEastAsia"/>
              <w:sz w:val="21"/>
              <w:szCs w:val="21"/>
            </w:rPr>
            <w:t>3</w:t>
          </w:r>
          <w:r>
            <w:rPr>
              <w:rFonts w:ascii="Arial" w:hAnsi="Arial" w:cs="Arial" w:eastAsiaTheme="minorEastAsia"/>
              <w:sz w:val="21"/>
              <w:szCs w:val="21"/>
            </w:rPr>
            <w:fldChar w:fldCharType="end"/>
          </w:r>
        </w:p>
        <w:p>
          <w:pPr>
            <w:pStyle w:val="10"/>
            <w:tabs>
              <w:tab w:val="right" w:leader="dot" w:pos="8306"/>
            </w:tabs>
            <w:spacing w:line="360" w:lineRule="auto"/>
            <w:rPr>
              <w:rFonts w:ascii="Arial" w:hAnsi="Arial" w:cs="Arial" w:eastAsiaTheme="minorEastAsia"/>
              <w:sz w:val="21"/>
              <w:szCs w:val="21"/>
            </w:rPr>
          </w:pPr>
          <w:r>
            <w:fldChar w:fldCharType="begin"/>
          </w:r>
          <w:r>
            <w:instrText xml:space="preserve"> HYPERLINK \l "_Toc28358" </w:instrText>
          </w:r>
          <w:r>
            <w:fldChar w:fldCharType="separate"/>
          </w:r>
          <w:r>
            <w:rPr>
              <w:rFonts w:ascii="Arial" w:hAnsi="Arial" w:cs="Arial" w:eastAsiaTheme="minorEastAsia"/>
              <w:sz w:val="21"/>
              <w:szCs w:val="21"/>
            </w:rPr>
            <w:t>四、入场流程</w:t>
          </w:r>
          <w:r>
            <w:rPr>
              <w:rFonts w:ascii="Arial" w:hAnsi="Arial" w:cs="Arial" w:eastAsiaTheme="minorEastAsia"/>
              <w:sz w:val="21"/>
              <w:szCs w:val="21"/>
            </w:rPr>
            <w:tab/>
          </w:r>
          <w:r>
            <w:rPr>
              <w:rFonts w:ascii="Arial" w:hAnsi="Arial" w:cs="Arial" w:eastAsiaTheme="minorEastAsia"/>
              <w:sz w:val="21"/>
              <w:szCs w:val="21"/>
            </w:rPr>
            <w:t>4</w:t>
          </w:r>
          <w:r>
            <w:rPr>
              <w:rFonts w:ascii="Arial" w:hAnsi="Arial" w:cs="Arial" w:eastAsiaTheme="minorEastAsia"/>
              <w:sz w:val="21"/>
              <w:szCs w:val="21"/>
            </w:rPr>
            <w:fldChar w:fldCharType="end"/>
          </w:r>
        </w:p>
        <w:p>
          <w:pPr>
            <w:pStyle w:val="12"/>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"_Toc28352" </w:instrText>
          </w:r>
          <w:r>
            <w:fldChar w:fldCharType="separate"/>
          </w:r>
          <w:r>
            <w:rPr>
              <w:rFonts w:ascii="Arial" w:hAnsi="Arial" w:cs="Arial" w:eastAsiaTheme="minorEastAsia"/>
              <w:sz w:val="21"/>
              <w:szCs w:val="21"/>
            </w:rPr>
            <w:t>1、 交接前流程沟通</w:t>
          </w:r>
          <w:r>
            <w:rPr>
              <w:rFonts w:ascii="Arial" w:hAnsi="Arial" w:cs="Arial" w:eastAsiaTheme="minorEastAsia"/>
              <w:sz w:val="21"/>
              <w:szCs w:val="21"/>
            </w:rPr>
            <w:tab/>
          </w:r>
          <w:r>
            <w:rPr>
              <w:rFonts w:ascii="Arial" w:hAnsi="Arial" w:cs="Arial" w:eastAsiaTheme="minorEastAsia"/>
              <w:sz w:val="21"/>
              <w:szCs w:val="21"/>
            </w:rPr>
            <w:t>4</w:t>
          </w:r>
          <w:r>
            <w:rPr>
              <w:rFonts w:ascii="Arial" w:hAnsi="Arial" w:cs="Arial" w:eastAsiaTheme="minorEastAsia"/>
              <w:sz w:val="21"/>
              <w:szCs w:val="21"/>
            </w:rPr>
            <w:fldChar w:fldCharType="end"/>
          </w:r>
        </w:p>
        <w:p>
          <w:pPr>
            <w:pStyle w:val="12"/>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"_Toc10195" </w:instrText>
          </w:r>
          <w:r>
            <w:fldChar w:fldCharType="separate"/>
          </w:r>
          <w:r>
            <w:rPr>
              <w:rFonts w:ascii="Arial" w:hAnsi="Arial" w:cs="Arial" w:eastAsiaTheme="minorEastAsia"/>
              <w:sz w:val="21"/>
              <w:szCs w:val="21"/>
            </w:rPr>
            <w:t>2、 项目现场</w:t>
          </w:r>
          <w:r>
            <w:rPr>
              <w:rFonts w:ascii="Arial" w:hAnsi="Arial" w:cs="Arial" w:eastAsiaTheme="minorEastAsia"/>
              <w:sz w:val="21"/>
              <w:szCs w:val="21"/>
            </w:rPr>
            <w:tab/>
          </w:r>
          <w:r>
            <w:rPr>
              <w:rFonts w:ascii="Arial" w:hAnsi="Arial" w:cs="Arial" w:eastAsiaTheme="minorEastAsia"/>
              <w:sz w:val="21"/>
              <w:szCs w:val="21"/>
            </w:rPr>
            <w:t>5</w:t>
          </w:r>
          <w:r>
            <w:rPr>
              <w:rFonts w:ascii="Arial" w:hAnsi="Arial" w:cs="Arial" w:eastAsiaTheme="minorEastAsia"/>
              <w:sz w:val="21"/>
              <w:szCs w:val="21"/>
            </w:rPr>
            <w:fldChar w:fldCharType="end"/>
          </w:r>
        </w:p>
        <w:p>
          <w:pPr>
            <w:pStyle w:val="12"/>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"_Toc8898" </w:instrText>
          </w:r>
          <w:r>
            <w:fldChar w:fldCharType="separate"/>
          </w:r>
          <w:r>
            <w:rPr>
              <w:rFonts w:ascii="Arial" w:hAnsi="Arial" w:cs="Arial" w:eastAsiaTheme="minorEastAsia"/>
              <w:sz w:val="21"/>
              <w:szCs w:val="21"/>
            </w:rPr>
            <w:t>3、 印鉴核验</w:t>
          </w:r>
          <w:r>
            <w:rPr>
              <w:rFonts w:ascii="Arial" w:hAnsi="Arial" w:cs="Arial" w:eastAsiaTheme="minorEastAsia"/>
              <w:sz w:val="21"/>
              <w:szCs w:val="21"/>
            </w:rPr>
            <w:tab/>
          </w:r>
          <w:r>
            <w:rPr>
              <w:rFonts w:ascii="Arial" w:hAnsi="Arial" w:cs="Arial" w:eastAsiaTheme="minorEastAsia"/>
              <w:sz w:val="21"/>
              <w:szCs w:val="21"/>
            </w:rPr>
            <w:t>7</w:t>
          </w:r>
          <w:r>
            <w:rPr>
              <w:rFonts w:ascii="Arial" w:hAnsi="Arial" w:cs="Arial" w:eastAsiaTheme="minorEastAsia"/>
              <w:sz w:val="21"/>
              <w:szCs w:val="21"/>
            </w:rPr>
            <w:fldChar w:fldCharType="end"/>
          </w:r>
        </w:p>
        <w:p>
          <w:pPr>
            <w:pStyle w:val="12"/>
            <w:tabs>
              <w:tab w:val="right" w:leader="dot" w:pos="8306"/>
            </w:tabs>
            <w:spacing w:line="360" w:lineRule="auto"/>
            <w:ind w:left="420"/>
            <w:rPr>
              <w:rFonts w:ascii="Arial" w:hAnsi="Arial" w:cs="Arial" w:eastAsiaTheme="minorEastAsia"/>
              <w:sz w:val="21"/>
              <w:szCs w:val="21"/>
            </w:rPr>
          </w:pPr>
          <w:r>
            <w:fldChar w:fldCharType="begin"/>
          </w:r>
          <w:r>
            <w:instrText xml:space="preserve"> HYPERLINK \l "_Toc3054" </w:instrText>
          </w:r>
          <w:r>
            <w:fldChar w:fldCharType="separate"/>
          </w:r>
          <w:r>
            <w:rPr>
              <w:rFonts w:ascii="Arial" w:hAnsi="Arial" w:cs="Arial" w:eastAsiaTheme="minorEastAsia"/>
              <w:sz w:val="21"/>
              <w:szCs w:val="21"/>
            </w:rPr>
            <w:t>4、 银行账户信息查询</w:t>
          </w:r>
          <w:r>
            <w:rPr>
              <w:rFonts w:ascii="Arial" w:hAnsi="Arial" w:cs="Arial" w:eastAsiaTheme="minorEastAsia"/>
              <w:sz w:val="21"/>
              <w:szCs w:val="21"/>
            </w:rPr>
            <w:tab/>
          </w:r>
          <w:r>
            <w:rPr>
              <w:rFonts w:ascii="Arial" w:hAnsi="Arial" w:cs="Arial" w:eastAsiaTheme="minorEastAsia"/>
              <w:sz w:val="21"/>
              <w:szCs w:val="21"/>
            </w:rPr>
            <w:t>7</w:t>
          </w:r>
          <w:r>
            <w:rPr>
              <w:rFonts w:ascii="Arial" w:hAnsi="Arial" w:cs="Arial" w:eastAsiaTheme="minorEastAsia"/>
              <w:sz w:val="21"/>
              <w:szCs w:val="21"/>
            </w:rPr>
            <w:fldChar w:fldCharType="end"/>
          </w:r>
        </w:p>
        <w:p>
          <w:pPr>
            <w:pStyle w:val="12"/>
            <w:tabs>
              <w:tab w:val="right" w:leader="dot" w:pos="8306"/>
            </w:tabs>
            <w:spacing w:line="360" w:lineRule="auto"/>
            <w:ind w:left="420"/>
          </w:pPr>
          <w:r>
            <w:fldChar w:fldCharType="begin"/>
          </w:r>
          <w:r>
            <w:instrText xml:space="preserve"> HYPERLINK \l "_Toc7477" </w:instrText>
          </w:r>
          <w:r>
            <w:fldChar w:fldCharType="separate"/>
          </w:r>
          <w:r>
            <w:rPr>
              <w:rFonts w:ascii="Arial" w:hAnsi="Arial" w:cs="Arial" w:eastAsiaTheme="minorEastAsia"/>
              <w:sz w:val="21"/>
              <w:szCs w:val="21"/>
            </w:rPr>
            <w:t>5、 共管交接</w:t>
          </w:r>
          <w:r>
            <w:rPr>
              <w:rFonts w:ascii="Arial" w:hAnsi="Arial" w:cs="Arial" w:eastAsiaTheme="minorEastAsia"/>
              <w:sz w:val="21"/>
              <w:szCs w:val="21"/>
            </w:rPr>
            <w:tab/>
          </w:r>
          <w:r>
            <w:rPr>
              <w:rFonts w:ascii="Arial" w:hAnsi="Arial" w:cs="Arial" w:eastAsiaTheme="minorEastAsia"/>
              <w:sz w:val="21"/>
              <w:szCs w:val="21"/>
            </w:rPr>
            <w:t>8</w:t>
          </w:r>
          <w:r>
            <w:rPr>
              <w:rFonts w:ascii="Arial" w:hAnsi="Arial" w:cs="Arial" w:eastAsiaTheme="minorEastAsia"/>
              <w:sz w:val="21"/>
              <w:szCs w:val="21"/>
            </w:rPr>
            <w:fldChar w:fldCharType="end"/>
          </w:r>
        </w:p>
        <w:p>
          <w:pPr>
            <w:spacing w:line="360" w:lineRule="auto"/>
            <w:jc w:val="left"/>
            <w:rPr>
              <w:rFonts w:ascii="Arial" w:hAnsi="Arial" w:cs="Arial"/>
              <w:bCs/>
              <w:kern w:val="44"/>
              <w:szCs w:val="21"/>
            </w:rPr>
          </w:pPr>
          <w:r>
            <w:rPr>
              <w:rFonts w:ascii="Arial" w:hAnsi="Arial" w:cs="Arial"/>
              <w:b/>
              <w:bCs/>
              <w:kern w:val="44"/>
              <w:szCs w:val="21"/>
            </w:rPr>
            <w:fldChar w:fldCharType="end"/>
          </w:r>
        </w:p>
      </w:sdtContent>
    </w:sdt>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pPr>
    </w:p>
    <w:p>
      <w:pPr>
        <w:spacing w:line="360" w:lineRule="auto"/>
        <w:jc w:val="left"/>
        <w:rPr>
          <w:rFonts w:ascii="Arial" w:hAnsi="Arial" w:cs="Arial"/>
          <w:bCs/>
          <w:kern w:val="44"/>
          <w:szCs w:val="21"/>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spacing w:line="360" w:lineRule="auto"/>
        <w:jc w:val="left"/>
        <w:rPr>
          <w:rFonts w:ascii="Arial" w:hAnsi="Arial" w:cs="Arial"/>
          <w:bCs/>
          <w:kern w:val="44"/>
          <w:sz w:val="24"/>
        </w:rPr>
      </w:pPr>
      <w:r>
        <w:rPr>
          <w:rFonts w:hint="eastAsia" w:ascii="Arial" w:hAnsi="Arial" w:cs="Arial"/>
          <w:bCs/>
          <w:kern w:val="44"/>
          <w:sz w:val="24"/>
        </w:rPr>
        <w:t>为了方便阅读之目的，本报告中将部分名称简写为：</w:t>
      </w:r>
    </w:p>
    <w:p>
      <w:pPr>
        <w:numPr>
          <w:ilvl w:val="255"/>
          <w:numId w:val="0"/>
        </w:numPr>
        <w:spacing w:line="360" w:lineRule="auto"/>
        <w:jc w:val="left"/>
        <w:rPr>
          <w:rFonts w:ascii="Arial" w:hAnsi="Arial" w:cs="Arial"/>
          <w:bCs/>
          <w:kern w:val="44"/>
          <w:sz w:val="24"/>
        </w:rPr>
      </w:pPr>
      <w:r>
        <w:rPr>
          <w:rFonts w:hint="eastAsia" w:ascii="Arial" w:hAnsi="Arial" w:cs="Arial"/>
          <w:bCs/>
          <w:kern w:val="44"/>
          <w:sz w:val="24"/>
        </w:rPr>
        <w:t>·项目公司：镇江恒仁房地产开发有限公司</w:t>
      </w:r>
    </w:p>
    <w:p>
      <w:pPr>
        <w:numPr>
          <w:ilvl w:val="255"/>
          <w:numId w:val="0"/>
        </w:numPr>
        <w:spacing w:line="360" w:lineRule="auto"/>
        <w:jc w:val="left"/>
        <w:rPr>
          <w:rFonts w:ascii="Arial" w:hAnsi="Arial" w:cs="Arial"/>
          <w:bCs/>
          <w:kern w:val="44"/>
          <w:sz w:val="24"/>
        </w:rPr>
      </w:pPr>
      <w:r>
        <w:rPr>
          <w:rFonts w:ascii="Arial" w:hAnsi="Arial" w:cs="Arial"/>
          <w:bCs/>
          <w:kern w:val="44"/>
          <w:sz w:val="24"/>
        </w:rPr>
        <w:t>·</w:t>
      </w:r>
      <w:r>
        <w:rPr>
          <w:rFonts w:hint="eastAsia" w:ascii="Arial" w:hAnsi="Arial" w:cs="Arial"/>
          <w:bCs/>
          <w:kern w:val="44"/>
          <w:sz w:val="24"/>
        </w:rPr>
        <w:t>中航信托：中航信托股份有限公司</w:t>
      </w:r>
    </w:p>
    <w:p>
      <w:pPr>
        <w:numPr>
          <w:ilvl w:val="255"/>
          <w:numId w:val="0"/>
        </w:numPr>
        <w:spacing w:line="360" w:lineRule="auto"/>
        <w:jc w:val="left"/>
        <w:rPr>
          <w:rFonts w:ascii="Arial" w:hAnsi="Arial" w:cs="Arial"/>
          <w:bCs/>
          <w:kern w:val="44"/>
          <w:szCs w:val="21"/>
        </w:rPr>
      </w:pPr>
      <w:r>
        <w:rPr>
          <w:rFonts w:hint="eastAsia" w:ascii="Arial" w:hAnsi="Arial" w:cs="Arial"/>
          <w:bCs/>
          <w:kern w:val="44"/>
          <w:sz w:val="24"/>
        </w:rPr>
        <w:t>恒大南京：恒大地产集团南京置业有限公</w:t>
      </w:r>
      <w:r>
        <w:rPr>
          <w:rFonts w:hint="eastAsia" w:asciiTheme="minorEastAsia" w:hAnsiTheme="minorEastAsia"/>
          <w:color w:val="000000" w:themeColor="text1"/>
          <w:sz w:val="24"/>
          <w14:textFill>
            <w14:solidFill>
              <w14:schemeClr w14:val="tx1"/>
            </w14:solidFill>
          </w14:textFill>
        </w:rPr>
        <w:t>司</w:t>
      </w:r>
    </w:p>
    <w:p>
      <w:pPr>
        <w:numPr>
          <w:ilvl w:val="255"/>
          <w:numId w:val="0"/>
        </w:numPr>
        <w:spacing w:line="360" w:lineRule="auto"/>
        <w:jc w:val="left"/>
        <w:rPr>
          <w:rFonts w:ascii="Arial" w:hAnsi="Arial" w:cs="Arial"/>
          <w:bCs/>
          <w:kern w:val="44"/>
          <w:szCs w:val="21"/>
        </w:rPr>
      </w:pPr>
    </w:p>
    <w:p>
      <w:pPr>
        <w:numPr>
          <w:ilvl w:val="0"/>
          <w:numId w:val="1"/>
        </w:numPr>
        <w:outlineLvl w:val="0"/>
        <w:rPr>
          <w:b/>
          <w:bCs/>
          <w:color w:val="000000" w:themeColor="text1"/>
          <w:sz w:val="28"/>
          <w:szCs w:val="28"/>
          <w14:textFill>
            <w14:solidFill>
              <w14:schemeClr w14:val="tx1"/>
            </w14:solidFill>
          </w14:textFill>
        </w:rPr>
      </w:pPr>
      <w:bookmarkStart w:id="2" w:name="_Toc5071"/>
      <w:r>
        <w:rPr>
          <w:rFonts w:hint="eastAsia"/>
          <w:b/>
          <w:bCs/>
          <w:sz w:val="28"/>
          <w:szCs w:val="28"/>
        </w:rPr>
        <w:t>项</w:t>
      </w:r>
      <w:r>
        <w:rPr>
          <w:rFonts w:hint="eastAsia"/>
          <w:b/>
          <w:bCs/>
          <w:color w:val="000000" w:themeColor="text1"/>
          <w:sz w:val="28"/>
          <w:szCs w:val="28"/>
          <w14:textFill>
            <w14:solidFill>
              <w14:schemeClr w14:val="tx1"/>
            </w14:solidFill>
          </w14:textFill>
        </w:rPr>
        <w:t>目地块基本情况</w:t>
      </w:r>
      <w:bookmarkEnd w:id="2"/>
    </w:p>
    <w:p>
      <w:pPr>
        <w:spacing w:line="360" w:lineRule="auto"/>
        <w:ind w:firstLine="420" w:firstLineChars="200"/>
        <w:jc w:val="left"/>
        <w:rPr>
          <w:rFonts w:ascii="Arial" w:hAnsi="Arial" w:cs="Arial"/>
          <w:color w:val="000000" w:themeColor="text1"/>
          <w:szCs w:val="21"/>
          <w14:textFill>
            <w14:solidFill>
              <w14:schemeClr w14:val="tx1"/>
            </w14:solidFill>
          </w14:textFill>
        </w:rPr>
      </w:pPr>
      <w:bookmarkStart w:id="3" w:name="_Toc13727"/>
      <w:r>
        <w:rPr>
          <w:rFonts w:ascii="Arial" w:hAnsi="Arial" w:cs="Arial"/>
          <w:color w:val="000000" w:themeColor="text1"/>
          <w:szCs w:val="21"/>
          <w14:textFill>
            <w14:solidFill>
              <w14:schemeClr w14:val="tx1"/>
            </w14:solidFill>
          </w14:textFill>
        </w:rPr>
        <w:drawing>
          <wp:inline distT="0" distB="0" distL="0" distR="0">
            <wp:extent cx="4892040" cy="3154680"/>
            <wp:effectExtent l="0" t="0" r="381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892518" cy="3154988"/>
                    </a:xfrm>
                    <a:prstGeom prst="rect">
                      <a:avLst/>
                    </a:prstGeom>
                  </pic:spPr>
                </pic:pic>
              </a:graphicData>
            </a:graphic>
          </wp:inline>
        </w:drawing>
      </w:r>
      <w:r>
        <w:rPr>
          <w:rFonts w:ascii="Arial" w:hAnsi="Arial" w:cs="Arial"/>
          <w:color w:val="000000" w:themeColor="text1"/>
          <w:szCs w:val="21"/>
          <w14:textFill>
            <w14:solidFill>
              <w14:schemeClr w14:val="tx1"/>
            </w14:solidFill>
          </w14:textFill>
        </w:rPr>
        <w:t xml:space="preserve">  </w:t>
      </w:r>
    </w:p>
    <w:p>
      <w:pPr>
        <w:spacing w:line="360" w:lineRule="auto"/>
        <w:ind w:firstLine="420" w:firstLineChars="200"/>
        <w:jc w:val="center"/>
        <w:rPr>
          <w:rFonts w:ascii="Arial" w:hAnsi="Arial" w:cs="Arial"/>
          <w:color w:val="000000" w:themeColor="text1"/>
          <w:szCs w:val="21"/>
          <w14:textFill>
            <w14:solidFill>
              <w14:schemeClr w14:val="tx1"/>
            </w14:solidFill>
          </w14:textFill>
        </w:rPr>
      </w:pPr>
      <w:r>
        <w:rPr>
          <w:rFonts w:hint="eastAsia" w:ascii="Arial" w:hAnsi="Arial" w:cs="Arial"/>
          <w:color w:val="000000" w:themeColor="text1"/>
          <w:szCs w:val="21"/>
          <w14:textFill>
            <w14:solidFill>
              <w14:schemeClr w14:val="tx1"/>
            </w14:solidFill>
          </w14:textFill>
        </w:rPr>
        <w:t>图1</w:t>
      </w:r>
      <w:r>
        <w:rPr>
          <w:rFonts w:ascii="Arial" w:hAnsi="Arial" w:cs="Arial"/>
          <w:color w:val="000000" w:themeColor="text1"/>
          <w:szCs w:val="21"/>
          <w14:textFill>
            <w14:solidFill>
              <w14:schemeClr w14:val="tx1"/>
            </w14:solidFill>
          </w14:textFill>
        </w:rPr>
        <w:t xml:space="preserve"> </w:t>
      </w:r>
      <w:r>
        <w:rPr>
          <w:rFonts w:hint="eastAsia" w:ascii="Arial" w:hAnsi="Arial" w:cs="Arial"/>
          <w:color w:val="000000" w:themeColor="text1"/>
          <w:szCs w:val="21"/>
          <w14:textFill>
            <w14:solidFill>
              <w14:schemeClr w14:val="tx1"/>
            </w14:solidFill>
          </w14:textFill>
        </w:rPr>
        <w:t>地理位置信息</w:t>
      </w:r>
    </w:p>
    <w:p>
      <w:pPr>
        <w:spacing w:line="360" w:lineRule="auto"/>
        <w:ind w:firstLine="420" w:firstLineChars="200"/>
        <w:jc w:val="left"/>
        <w:rPr>
          <w:rFonts w:asciiTheme="minorEastAsia" w:hAnsiTheme="minorEastAsia"/>
          <w:color w:val="000000" w:themeColor="text1"/>
          <w:sz w:val="24"/>
          <w14:textFill>
            <w14:solidFill>
              <w14:schemeClr w14:val="tx1"/>
            </w14:solidFill>
          </w14:textFill>
        </w:rPr>
      </w:pPr>
      <w:r>
        <w:rPr>
          <w:rFonts w:ascii="Arial" w:hAnsi="Arial" w:cs="Arial"/>
          <w:color w:val="000000" w:themeColor="text1"/>
          <w:szCs w:val="21"/>
          <w14:textFill>
            <w14:solidFill>
              <w14:schemeClr w14:val="tx1"/>
            </w14:solidFill>
          </w14:textFill>
        </w:rPr>
        <w:t>2020</w:t>
      </w:r>
      <w:r>
        <w:rPr>
          <w:rFonts w:hint="eastAsia" w:asciiTheme="minorEastAsia" w:hAnsiTheme="minorEastAsia"/>
          <w:color w:val="000000" w:themeColor="text1"/>
          <w:sz w:val="24"/>
          <w14:textFill>
            <w14:solidFill>
              <w14:schemeClr w14:val="tx1"/>
            </w14:solidFill>
          </w14:textFill>
        </w:rPr>
        <w:t>年</w:t>
      </w:r>
      <w:r>
        <w:rPr>
          <w:rFonts w:asciiTheme="minorEastAsia" w:hAnsiTheme="minorEastAsia"/>
          <w:color w:val="000000" w:themeColor="text1"/>
          <w:sz w:val="24"/>
          <w14:textFill>
            <w14:solidFill>
              <w14:schemeClr w14:val="tx1"/>
            </w14:solidFill>
          </w14:textFill>
        </w:rPr>
        <w:t>4</w:t>
      </w:r>
      <w:r>
        <w:rPr>
          <w:rFonts w:hint="eastAsia" w:asciiTheme="minorEastAsia" w:hAnsiTheme="minorEastAsia"/>
          <w:color w:val="000000" w:themeColor="text1"/>
          <w:sz w:val="24"/>
          <w14:textFill>
            <w14:solidFill>
              <w14:schemeClr w14:val="tx1"/>
            </w14:solidFill>
          </w14:textFill>
        </w:rPr>
        <w:t>月2</w:t>
      </w:r>
      <w:r>
        <w:rPr>
          <w:rFonts w:asciiTheme="minorEastAsia" w:hAnsiTheme="minorEastAsia"/>
          <w:color w:val="000000" w:themeColor="text1"/>
          <w:sz w:val="24"/>
          <w14:textFill>
            <w14:solidFill>
              <w14:schemeClr w14:val="tx1"/>
            </w14:solidFill>
          </w14:textFill>
        </w:rPr>
        <w:t>0</w:t>
      </w:r>
      <w:r>
        <w:rPr>
          <w:rFonts w:hint="eastAsia" w:asciiTheme="minorEastAsia" w:hAnsiTheme="minorEastAsia"/>
          <w:color w:val="000000" w:themeColor="text1"/>
          <w:sz w:val="24"/>
          <w14:textFill>
            <w14:solidFill>
              <w14:schemeClr w14:val="tx1"/>
            </w14:solidFill>
          </w14:textFill>
        </w:rPr>
        <w:t>日至4月3</w:t>
      </w:r>
      <w:r>
        <w:rPr>
          <w:rFonts w:asciiTheme="minorEastAsia" w:hAnsiTheme="minorEastAsia"/>
          <w:color w:val="000000" w:themeColor="text1"/>
          <w:sz w:val="24"/>
          <w14:textFill>
            <w14:solidFill>
              <w14:schemeClr w14:val="tx1"/>
            </w14:solidFill>
          </w14:textFill>
        </w:rPr>
        <w:t>0</w:t>
      </w:r>
      <w:r>
        <w:rPr>
          <w:rFonts w:hint="eastAsia" w:asciiTheme="minorEastAsia" w:hAnsiTheme="minorEastAsia"/>
          <w:color w:val="000000" w:themeColor="text1"/>
          <w:sz w:val="24"/>
          <w14:textFill>
            <w14:solidFill>
              <w14:schemeClr w14:val="tx1"/>
            </w14:solidFill>
          </w14:textFill>
        </w:rPr>
        <w:t>日，镇江市自然资源和规划局发布本级挂【2020】1号公告，挂出白龙山路以北、长山渠路以西【编号：</w:t>
      </w:r>
      <w:r>
        <w:rPr>
          <w:rFonts w:asciiTheme="minorEastAsia" w:hAnsiTheme="minorEastAsia"/>
          <w:color w:val="000000" w:themeColor="text1"/>
          <w:sz w:val="24"/>
          <w14:textFill>
            <w14:solidFill>
              <w14:schemeClr w14:val="tx1"/>
            </w14:solidFill>
          </w14:textFill>
        </w:rPr>
        <w:t>2020</w:t>
      </w:r>
      <w:r>
        <w:rPr>
          <w:rFonts w:hint="eastAsia" w:asciiTheme="minorEastAsia" w:hAnsiTheme="minorEastAsia"/>
          <w:color w:val="000000" w:themeColor="text1"/>
          <w:sz w:val="24"/>
          <w14:textFill>
            <w14:solidFill>
              <w14:schemeClr w14:val="tx1"/>
            </w14:solidFill>
          </w14:textFill>
        </w:rPr>
        <w:t>-</w:t>
      </w:r>
      <w:r>
        <w:rPr>
          <w:rFonts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w:t>
      </w:r>
      <w:r>
        <w:rPr>
          <w:rFonts w:asciiTheme="minorEastAsia" w:hAnsiTheme="minorEastAsia"/>
          <w:color w:val="000000" w:themeColor="text1"/>
          <w:sz w:val="24"/>
          <w14:textFill>
            <w14:solidFill>
              <w14:schemeClr w14:val="tx1"/>
            </w14:solidFill>
          </w14:textFill>
        </w:rPr>
        <w:t>1</w:t>
      </w:r>
      <w:r>
        <w:rPr>
          <w:rFonts w:hint="eastAsia" w:asciiTheme="minorEastAsia" w:hAnsiTheme="minorEastAsia"/>
          <w:color w:val="000000" w:themeColor="text1"/>
          <w:sz w:val="24"/>
          <w14:textFill>
            <w14:solidFill>
              <w14:schemeClr w14:val="tx1"/>
            </w14:solidFill>
          </w14:textFill>
        </w:rPr>
        <w:t>（G</w:t>
      </w:r>
      <w:r>
        <w:rPr>
          <w:rFonts w:asciiTheme="minorEastAsia" w:hAnsiTheme="minorEastAsia"/>
          <w:color w:val="000000" w:themeColor="text1"/>
          <w:sz w:val="24"/>
          <w14:textFill>
            <w14:solidFill>
              <w14:schemeClr w14:val="tx1"/>
            </w14:solidFill>
          </w14:textFill>
        </w:rPr>
        <w:t>2001</w:t>
      </w:r>
      <w:r>
        <w:rPr>
          <w:rFonts w:hint="eastAsia" w:asciiTheme="minorEastAsia" w:hAnsiTheme="minorEastAsia"/>
          <w:color w:val="000000" w:themeColor="text1"/>
          <w:sz w:val="24"/>
          <w14:textFill>
            <w14:solidFill>
              <w14:schemeClr w14:val="tx1"/>
            </w14:solidFill>
          </w14:textFill>
        </w:rPr>
        <w:t>）】城镇住宅地块，总面积</w:t>
      </w:r>
      <w:r>
        <w:rPr>
          <w:rFonts w:asciiTheme="minorEastAsia" w:hAnsiTheme="minorEastAsia"/>
          <w:color w:val="000000" w:themeColor="text1"/>
          <w:sz w:val="24"/>
          <w14:textFill>
            <w14:solidFill>
              <w14:schemeClr w14:val="tx1"/>
            </w14:solidFill>
          </w14:textFill>
        </w:rPr>
        <w:t>71,248.00</w:t>
      </w:r>
      <w:r>
        <w:rPr>
          <w:rFonts w:hint="eastAsia" w:asciiTheme="minorEastAsia" w:hAnsiTheme="minorEastAsia"/>
          <w:color w:val="000000" w:themeColor="text1"/>
          <w:sz w:val="24"/>
          <w14:textFill>
            <w14:solidFill>
              <w14:schemeClr w14:val="tx1"/>
            </w14:solidFill>
          </w14:textFill>
        </w:rPr>
        <w:t>㎡（1</w:t>
      </w:r>
      <w:r>
        <w:rPr>
          <w:rFonts w:asciiTheme="minorEastAsia" w:hAnsiTheme="minorEastAsia"/>
          <w:color w:val="000000" w:themeColor="text1"/>
          <w:sz w:val="24"/>
          <w14:textFill>
            <w14:solidFill>
              <w14:schemeClr w14:val="tx1"/>
            </w14:solidFill>
          </w14:textFill>
        </w:rPr>
        <w:t>07</w:t>
      </w:r>
      <w:r>
        <w:rPr>
          <w:rFonts w:hint="eastAsia" w:asciiTheme="minorEastAsia" w:hAnsiTheme="minorEastAsia"/>
          <w:color w:val="000000" w:themeColor="text1"/>
          <w:sz w:val="24"/>
          <w14:textFill>
            <w14:solidFill>
              <w14:schemeClr w14:val="tx1"/>
            </w14:solidFill>
          </w14:textFill>
        </w:rPr>
        <w:t>亩），总起报价</w:t>
      </w:r>
      <w:r>
        <w:rPr>
          <w:rFonts w:asciiTheme="minorEastAsia" w:hAnsiTheme="minorEastAsia"/>
          <w:color w:val="000000" w:themeColor="text1"/>
          <w:sz w:val="24"/>
          <w14:textFill>
            <w14:solidFill>
              <w14:schemeClr w14:val="tx1"/>
            </w14:solidFill>
          </w14:textFill>
        </w:rPr>
        <w:t>78,373.00</w:t>
      </w:r>
      <w:r>
        <w:rPr>
          <w:rFonts w:hint="eastAsia" w:asciiTheme="minorEastAsia" w:hAnsiTheme="minorEastAsia"/>
          <w:color w:val="000000" w:themeColor="text1"/>
          <w:sz w:val="24"/>
          <w14:textFill>
            <w14:solidFill>
              <w14:schemeClr w14:val="tx1"/>
            </w14:solidFill>
          </w14:textFill>
        </w:rPr>
        <w:t>万元（详见图</w:t>
      </w:r>
      <w:r>
        <w:rPr>
          <w:rFonts w:asciiTheme="minorEastAsia" w:hAnsiTheme="minorEastAsia"/>
          <w:color w:val="000000" w:themeColor="text1"/>
          <w:sz w:val="24"/>
          <w14:textFill>
            <w14:solidFill>
              <w14:schemeClr w14:val="tx1"/>
            </w14:solidFill>
          </w14:textFill>
        </w:rPr>
        <w:t>2</w:t>
      </w:r>
      <w:r>
        <w:rPr>
          <w:rFonts w:hint="eastAsia" w:asciiTheme="minorEastAsia" w:hAnsiTheme="minorEastAsia"/>
          <w:color w:val="000000" w:themeColor="text1"/>
          <w:sz w:val="24"/>
          <w14:textFill>
            <w14:solidFill>
              <w14:schemeClr w14:val="tx1"/>
            </w14:solidFill>
          </w14:textFill>
        </w:rPr>
        <w:t>）。</w:t>
      </w:r>
    </w:p>
    <w:p>
      <w:pPr>
        <w:spacing w:line="360" w:lineRule="auto"/>
        <w:jc w:val="lef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drawing>
          <wp:inline distT="0" distB="0" distL="0" distR="0">
            <wp:extent cx="5274310" cy="9525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952500"/>
                    </a:xfrm>
                    <a:prstGeom prst="rect">
                      <a:avLst/>
                    </a:prstGeom>
                  </pic:spPr>
                </pic:pic>
              </a:graphicData>
            </a:graphic>
          </wp:inline>
        </w:drawing>
      </w:r>
    </w:p>
    <w:p>
      <w:pPr>
        <w:spacing w:line="360" w:lineRule="auto"/>
        <w:ind w:firstLine="420" w:firstLineChars="200"/>
        <w:jc w:val="center"/>
      </w:pPr>
      <w:r>
        <w:rPr>
          <w:rFonts w:hint="eastAsia"/>
        </w:rPr>
        <w:t>图</w:t>
      </w:r>
      <w:r>
        <w:t>2</w:t>
      </w:r>
      <w:r>
        <w:rPr>
          <w:rFonts w:hint="eastAsia"/>
        </w:rPr>
        <w:t xml:space="preserve"> 地块挂牌信息</w:t>
      </w:r>
    </w:p>
    <w:p>
      <w:pPr>
        <w:wordWrap w:val="0"/>
        <w:spacing w:line="360" w:lineRule="auto"/>
        <w:ind w:firstLine="480" w:firstLineChars="200"/>
        <w:jc w:val="left"/>
        <w:rPr>
          <w:rFonts w:asciiTheme="minorEastAsia" w:hAnsiTheme="minorEastAsia"/>
          <w:color w:val="000000" w:themeColor="text1"/>
          <w:sz w:val="24"/>
          <w14:textFill>
            <w14:solidFill>
              <w14:schemeClr w14:val="tx1"/>
            </w14:solidFill>
          </w14:textFill>
        </w:rPr>
      </w:pPr>
      <w:r>
        <w:rPr>
          <w:rFonts w:hint="eastAsia" w:asciiTheme="minorEastAsia" w:hAnsiTheme="minorEastAsia"/>
          <w:color w:val="000000" w:themeColor="text1"/>
          <w:sz w:val="24"/>
          <w14:textFill>
            <w14:solidFill>
              <w14:schemeClr w14:val="tx1"/>
            </w14:solidFill>
          </w14:textFill>
        </w:rPr>
        <w:t>2020年6月5日，恒大南京竞得此地块，</w:t>
      </w:r>
      <w:r>
        <w:rPr>
          <w:rFonts w:hint="eastAsia" w:asciiTheme="minorEastAsia" w:hAnsiTheme="minorEastAsia"/>
          <w:sz w:val="24"/>
        </w:rPr>
        <w:t>成交总价</w:t>
      </w:r>
      <w:r>
        <w:rPr>
          <w:rFonts w:asciiTheme="minorEastAsia" w:hAnsiTheme="minorEastAsia"/>
          <w:sz w:val="24"/>
        </w:rPr>
        <w:t>79,940.46</w:t>
      </w:r>
      <w:r>
        <w:rPr>
          <w:rFonts w:hint="eastAsia" w:asciiTheme="minorEastAsia" w:hAnsiTheme="minorEastAsia"/>
          <w:sz w:val="24"/>
        </w:rPr>
        <w:t>万元，楼面价</w:t>
      </w:r>
      <w:r>
        <w:rPr>
          <w:rFonts w:asciiTheme="minorEastAsia" w:hAnsiTheme="minorEastAsia"/>
          <w:sz w:val="24"/>
        </w:rPr>
        <w:t>5,100</w:t>
      </w:r>
      <w:r>
        <w:rPr>
          <w:rFonts w:hint="eastAsia" w:asciiTheme="minorEastAsia" w:hAnsiTheme="minorEastAsia"/>
          <w:sz w:val="24"/>
        </w:rPr>
        <w:t>.00元/㎡</w:t>
      </w:r>
      <w:r>
        <w:rPr>
          <w:rFonts w:hint="eastAsia" w:asciiTheme="minorEastAsia" w:hAnsiTheme="minorEastAsia"/>
          <w:color w:val="000000" w:themeColor="text1"/>
          <w:sz w:val="24"/>
          <w14:textFill>
            <w14:solidFill>
              <w14:schemeClr w14:val="tx1"/>
            </w14:solidFill>
          </w14:textFill>
        </w:rPr>
        <w:t>。地块四至：东至长山渠路，南至白龙山路（未建），西至凤翔路，北至凤仪路。恒大南京已于2020年4月28日缴纳保证金15,675.</w:t>
      </w:r>
      <w:r>
        <w:rPr>
          <w:rFonts w:asciiTheme="minorEastAsia" w:hAnsiTheme="minorEastAsia"/>
          <w:color w:val="000000" w:themeColor="text1"/>
          <w:sz w:val="24"/>
          <w14:textFill>
            <w14:solidFill>
              <w14:schemeClr w14:val="tx1"/>
            </w14:solidFill>
          </w14:textFill>
        </w:rPr>
        <w:t>00</w:t>
      </w:r>
      <w:r>
        <w:rPr>
          <w:rFonts w:hint="eastAsia" w:asciiTheme="minorEastAsia" w:hAnsiTheme="minorEastAsia"/>
          <w:color w:val="000000" w:themeColor="text1"/>
          <w:sz w:val="24"/>
          <w14:textFill>
            <w14:solidFill>
              <w14:schemeClr w14:val="tx1"/>
            </w14:solidFill>
          </w14:textFill>
        </w:rPr>
        <w:t>万元。</w:t>
      </w:r>
    </w:p>
    <w:p>
      <w:pPr>
        <w:jc w:val="left"/>
        <w:outlineLvl w:val="0"/>
        <w:rPr>
          <w:b/>
          <w:bCs/>
          <w:sz w:val="28"/>
          <w:szCs w:val="28"/>
        </w:rPr>
      </w:pPr>
      <w:r>
        <w:rPr>
          <w:rFonts w:hint="eastAsia"/>
          <w:b/>
          <w:bCs/>
          <w:sz w:val="28"/>
          <w:szCs w:val="28"/>
        </w:rPr>
        <w:t>二、项目公司基本信息</w:t>
      </w:r>
      <w:bookmarkEnd w:id="3"/>
    </w:p>
    <w:p>
      <w:pPr>
        <w:spacing w:line="360" w:lineRule="auto"/>
        <w:ind w:firstLine="480" w:firstLineChars="200"/>
        <w:jc w:val="left"/>
        <w:rPr>
          <w:rFonts w:asciiTheme="minorEastAsia" w:hAnsiTheme="minorEastAsia"/>
          <w:sz w:val="24"/>
        </w:rPr>
      </w:pPr>
      <w:r>
        <w:rPr>
          <w:rFonts w:hint="eastAsia" w:asciiTheme="minorEastAsia" w:hAnsiTheme="minorEastAsia"/>
          <w:sz w:val="24"/>
        </w:rPr>
        <w:t>项目公司成立于2020年0</w:t>
      </w:r>
      <w:r>
        <w:rPr>
          <w:rFonts w:asciiTheme="minorEastAsia" w:hAnsiTheme="minorEastAsia"/>
          <w:sz w:val="24"/>
        </w:rPr>
        <w:t>6</w:t>
      </w:r>
      <w:r>
        <w:rPr>
          <w:rFonts w:hint="eastAsia" w:asciiTheme="minorEastAsia" w:hAnsiTheme="minorEastAsia"/>
          <w:sz w:val="24"/>
        </w:rPr>
        <w:t>月</w:t>
      </w:r>
      <w:r>
        <w:rPr>
          <w:rFonts w:asciiTheme="minorEastAsia" w:hAnsiTheme="minorEastAsia"/>
          <w:sz w:val="24"/>
        </w:rPr>
        <w:t>11</w:t>
      </w:r>
      <w:r>
        <w:rPr>
          <w:rFonts w:hint="eastAsia" w:asciiTheme="minorEastAsia" w:hAnsiTheme="minorEastAsia"/>
          <w:sz w:val="24"/>
        </w:rPr>
        <w:t>日，注册地位于镇江高新区润兴路2</w:t>
      </w:r>
      <w:r>
        <w:rPr>
          <w:rFonts w:asciiTheme="minorEastAsia" w:hAnsiTheme="minorEastAsia"/>
          <w:sz w:val="24"/>
        </w:rPr>
        <w:t>0</w:t>
      </w:r>
      <w:r>
        <w:rPr>
          <w:rFonts w:hint="eastAsia" w:asciiTheme="minorEastAsia" w:hAnsiTheme="minorEastAsia"/>
          <w:sz w:val="24"/>
        </w:rPr>
        <w:t>号金泰大厦3</w:t>
      </w:r>
      <w:r>
        <w:rPr>
          <w:rFonts w:asciiTheme="minorEastAsia" w:hAnsiTheme="minorEastAsia"/>
          <w:sz w:val="24"/>
        </w:rPr>
        <w:t>04</w:t>
      </w:r>
      <w:r>
        <w:rPr>
          <w:rFonts w:hint="eastAsia" w:asciiTheme="minorEastAsia" w:hAnsiTheme="minorEastAsia"/>
          <w:sz w:val="24"/>
        </w:rPr>
        <w:t>室，法定代表人是黄兆亚，为</w:t>
      </w:r>
      <w:r>
        <w:rPr>
          <w:rFonts w:hint="eastAsia" w:asciiTheme="minorEastAsia" w:hAnsiTheme="minorEastAsia"/>
          <w:color w:val="000000" w:themeColor="text1"/>
          <w:sz w:val="24"/>
          <w14:textFill>
            <w14:solidFill>
              <w14:schemeClr w14:val="tx1"/>
            </w14:solidFill>
          </w14:textFill>
        </w:rPr>
        <w:t>恒大南京全资子公司；2</w:t>
      </w:r>
      <w:r>
        <w:rPr>
          <w:rFonts w:asciiTheme="minorEastAsia" w:hAnsiTheme="minorEastAsia"/>
          <w:color w:val="000000" w:themeColor="text1"/>
          <w:sz w:val="24"/>
          <w14:textFill>
            <w14:solidFill>
              <w14:schemeClr w14:val="tx1"/>
            </w14:solidFill>
          </w14:textFill>
        </w:rPr>
        <w:t>020</w:t>
      </w:r>
      <w:r>
        <w:rPr>
          <w:rFonts w:hint="eastAsia" w:asciiTheme="minorEastAsia" w:hAnsiTheme="minorEastAsia"/>
          <w:color w:val="000000" w:themeColor="text1"/>
          <w:sz w:val="24"/>
          <w14:textFill>
            <w14:solidFill>
              <w14:schemeClr w14:val="tx1"/>
            </w14:solidFill>
          </w14:textFill>
        </w:rPr>
        <w:t>年8月2</w:t>
      </w:r>
      <w:r>
        <w:rPr>
          <w:rFonts w:asciiTheme="minorEastAsia" w:hAnsiTheme="minorEastAsia"/>
          <w:color w:val="000000" w:themeColor="text1"/>
          <w:sz w:val="24"/>
          <w14:textFill>
            <w14:solidFill>
              <w14:schemeClr w14:val="tx1"/>
            </w14:solidFill>
          </w14:textFill>
        </w:rPr>
        <w:t>8</w:t>
      </w:r>
      <w:r>
        <w:rPr>
          <w:rFonts w:hint="eastAsia" w:asciiTheme="minorEastAsia" w:hAnsiTheme="minorEastAsia"/>
          <w:color w:val="000000" w:themeColor="text1"/>
          <w:sz w:val="24"/>
          <w14:textFill>
            <w14:solidFill>
              <w14:schemeClr w14:val="tx1"/>
            </w14:solidFill>
          </w14:textFill>
        </w:rPr>
        <w:t>日通过增资方式恒大南京转让7</w:t>
      </w:r>
      <w:r>
        <w:rPr>
          <w:rFonts w:asciiTheme="minorEastAsia" w:hAnsiTheme="minorEastAsia"/>
          <w:color w:val="000000" w:themeColor="text1"/>
          <w:sz w:val="24"/>
          <w14:textFill>
            <w14:solidFill>
              <w14:schemeClr w14:val="tx1"/>
            </w14:solidFill>
          </w14:textFill>
        </w:rPr>
        <w:t>0</w:t>
      </w:r>
      <w:r>
        <w:rPr>
          <w:rFonts w:hint="eastAsia" w:asciiTheme="minorEastAsia" w:hAnsiTheme="minorEastAsia"/>
          <w:color w:val="000000" w:themeColor="text1"/>
          <w:sz w:val="24"/>
          <w14:textFill>
            <w14:solidFill>
              <w14:schemeClr w14:val="tx1"/>
            </w14:solidFill>
          </w14:textFill>
        </w:rPr>
        <w:t>%项目公司股权给深圳航邑投资合伙企业（有限合伙）</w:t>
      </w:r>
      <w:r>
        <w:rPr>
          <w:rFonts w:hint="eastAsia" w:asciiTheme="minorEastAsia" w:hAnsiTheme="minorEastAsia"/>
          <w:sz w:val="24"/>
        </w:rPr>
        <w:t>（详见图</w:t>
      </w:r>
      <w:r>
        <w:rPr>
          <w:rFonts w:asciiTheme="minorEastAsia" w:hAnsiTheme="minorEastAsia"/>
          <w:sz w:val="24"/>
        </w:rPr>
        <w:t>3</w:t>
      </w:r>
      <w:r>
        <w:rPr>
          <w:rFonts w:hint="eastAsia" w:asciiTheme="minorEastAsia" w:hAnsiTheme="minorEastAsia"/>
          <w:sz w:val="24"/>
        </w:rPr>
        <w:t>、图</w:t>
      </w:r>
      <w:r>
        <w:rPr>
          <w:rFonts w:asciiTheme="minorEastAsia" w:hAnsiTheme="minorEastAsia"/>
          <w:sz w:val="24"/>
        </w:rPr>
        <w:t>4</w:t>
      </w:r>
      <w:r>
        <w:rPr>
          <w:rFonts w:hint="eastAsia" w:asciiTheme="minorEastAsia" w:hAnsiTheme="minorEastAsia"/>
          <w:sz w:val="24"/>
        </w:rPr>
        <w:t>、图</w:t>
      </w:r>
      <w:r>
        <w:rPr>
          <w:rFonts w:asciiTheme="minorEastAsia" w:hAnsiTheme="minorEastAsia"/>
          <w:sz w:val="24"/>
        </w:rPr>
        <w:t>5</w:t>
      </w:r>
      <w:r>
        <w:rPr>
          <w:rFonts w:hint="eastAsia" w:asciiTheme="minorEastAsia" w:hAnsiTheme="minorEastAsia"/>
          <w:sz w:val="24"/>
        </w:rPr>
        <w:t>）。</w:t>
      </w:r>
    </w:p>
    <w:p>
      <w:pPr>
        <w:jc w:val="left"/>
      </w:pPr>
      <w:r>
        <w:rPr>
          <w:rFonts w:hint="eastAsia"/>
        </w:rPr>
        <w:t>（转下页）</w:t>
      </w:r>
    </w:p>
    <w:p>
      <w:pPr>
        <w:tabs>
          <w:tab w:val="left" w:pos="2738"/>
        </w:tabs>
        <w:jc w:val="left"/>
      </w:pPr>
      <w:r>
        <w:rPr>
          <w:rFonts w:hint="eastAsia"/>
        </w:rPr>
        <w:drawing>
          <wp:inline distT="0" distB="0" distL="0" distR="0">
            <wp:extent cx="5274310" cy="4984750"/>
            <wp:effectExtent l="0" t="0" r="254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4984750"/>
                    </a:xfrm>
                    <a:prstGeom prst="rect">
                      <a:avLst/>
                    </a:prstGeom>
                  </pic:spPr>
                </pic:pic>
              </a:graphicData>
            </a:graphic>
          </wp:inline>
        </w:drawing>
      </w:r>
    </w:p>
    <w:p>
      <w:pPr>
        <w:numPr>
          <w:ilvl w:val="255"/>
          <w:numId w:val="0"/>
        </w:numPr>
        <w:jc w:val="center"/>
      </w:pPr>
      <w:r>
        <w:rPr>
          <w:rFonts w:hint="eastAsia"/>
        </w:rPr>
        <w:t>图</w:t>
      </w:r>
      <w:r>
        <w:t>3</w:t>
      </w:r>
      <w:r>
        <w:rPr>
          <w:rFonts w:hint="eastAsia"/>
        </w:rPr>
        <w:t>工商注册信息-</w:t>
      </w:r>
      <w:r>
        <w:t>1</w:t>
      </w:r>
    </w:p>
    <w:p>
      <w:pPr>
        <w:numPr>
          <w:ilvl w:val="255"/>
          <w:numId w:val="0"/>
        </w:numPr>
        <w:jc w:val="left"/>
      </w:pPr>
      <w:r>
        <w:drawing>
          <wp:inline distT="0" distB="0" distL="0" distR="0">
            <wp:extent cx="5274310" cy="13335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333500"/>
                    </a:xfrm>
                    <a:prstGeom prst="rect">
                      <a:avLst/>
                    </a:prstGeom>
                  </pic:spPr>
                </pic:pic>
              </a:graphicData>
            </a:graphic>
          </wp:inline>
        </w:drawing>
      </w:r>
    </w:p>
    <w:p>
      <w:pPr>
        <w:jc w:val="center"/>
      </w:pPr>
      <w:bookmarkStart w:id="4" w:name="_Toc32568"/>
      <w:r>
        <w:rPr>
          <w:rFonts w:hint="eastAsia"/>
        </w:rPr>
        <w:t>图</w:t>
      </w:r>
      <w:r>
        <w:t>4</w:t>
      </w:r>
      <w:r>
        <w:rPr>
          <w:rFonts w:hint="eastAsia"/>
        </w:rPr>
        <w:t>工商注册信息-</w:t>
      </w:r>
      <w:r>
        <w:t>2</w:t>
      </w:r>
    </w:p>
    <w:p>
      <w:r>
        <w:rPr>
          <w:rFonts w:hint="eastAsia"/>
        </w:rPr>
        <w:drawing>
          <wp:inline distT="0" distB="0" distL="0" distR="0">
            <wp:extent cx="5274310" cy="301307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013075"/>
                    </a:xfrm>
                    <a:prstGeom prst="rect">
                      <a:avLst/>
                    </a:prstGeom>
                  </pic:spPr>
                </pic:pic>
              </a:graphicData>
            </a:graphic>
          </wp:inline>
        </w:drawing>
      </w:r>
    </w:p>
    <w:p>
      <w:pPr>
        <w:jc w:val="center"/>
      </w:pPr>
      <w:r>
        <w:rPr>
          <w:rFonts w:hint="eastAsia"/>
        </w:rPr>
        <w:t>图</w:t>
      </w:r>
      <w:r>
        <w:t>5</w:t>
      </w:r>
      <w:r>
        <w:rPr>
          <w:rFonts w:hint="eastAsia"/>
        </w:rPr>
        <w:t xml:space="preserve"> 股权穿透图</w:t>
      </w:r>
    </w:p>
    <w:p>
      <w:pPr>
        <w:jc w:val="left"/>
        <w:rPr>
          <w:b/>
          <w:bCs/>
          <w:sz w:val="28"/>
          <w:szCs w:val="28"/>
        </w:rPr>
      </w:pPr>
      <w:r>
        <w:rPr>
          <w:rFonts w:hint="eastAsia"/>
          <w:b/>
          <w:bCs/>
          <w:sz w:val="28"/>
          <w:szCs w:val="28"/>
        </w:rPr>
        <w:t>三、竞品分析</w:t>
      </w:r>
      <w:bookmarkEnd w:id="4"/>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项目周边可比在售项目主要包括万科红郡、万科沁园，楼盘位置</w:t>
      </w:r>
      <w:r>
        <w:rPr>
          <w:rFonts w:hint="eastAsia" w:asciiTheme="minorEastAsia" w:hAnsiTheme="minorEastAsia"/>
          <w:sz w:val="24"/>
        </w:rPr>
        <w:t>详见图</w:t>
      </w:r>
      <w:r>
        <w:rPr>
          <w:rFonts w:asciiTheme="minorEastAsia" w:hAnsiTheme="minorEastAsia"/>
          <w:sz w:val="24"/>
        </w:rPr>
        <w:t>6</w:t>
      </w:r>
      <w:r>
        <w:rPr>
          <w:rFonts w:hint="eastAsia" w:asciiTheme="minorEastAsia" w:hAnsiTheme="minorEastAsia"/>
          <w:sz w:val="24"/>
        </w:rPr>
        <w:t>。</w:t>
      </w:r>
    </w:p>
    <w:p>
      <w:pPr>
        <w:spacing w:line="360" w:lineRule="auto"/>
        <w:jc w:val="center"/>
      </w:pPr>
      <w:r>
        <w:drawing>
          <wp:inline distT="0" distB="0" distL="0" distR="0">
            <wp:extent cx="5274310" cy="367093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670935"/>
                    </a:xfrm>
                    <a:prstGeom prst="rect">
                      <a:avLst/>
                    </a:prstGeom>
                  </pic:spPr>
                </pic:pic>
              </a:graphicData>
            </a:graphic>
          </wp:inline>
        </w:drawing>
      </w:r>
    </w:p>
    <w:p>
      <w:pPr>
        <w:numPr>
          <w:ilvl w:val="255"/>
          <w:numId w:val="0"/>
        </w:numPr>
        <w:jc w:val="center"/>
      </w:pPr>
      <w:r>
        <w:rPr>
          <w:rFonts w:hint="eastAsia"/>
        </w:rPr>
        <w:t>图</w:t>
      </w:r>
      <w:r>
        <w:t>6</w:t>
      </w:r>
      <w:r>
        <w:rPr>
          <w:rFonts w:hint="eastAsia"/>
        </w:rPr>
        <w:t xml:space="preserve"> 项目周边在售楼盘位置</w:t>
      </w:r>
    </w:p>
    <w:p>
      <w:pPr>
        <w:numPr>
          <w:ilvl w:val="255"/>
          <w:numId w:val="0"/>
        </w:numPr>
        <w:jc w:val="center"/>
      </w:pPr>
    </w:p>
    <w:p>
      <w:pPr>
        <w:numPr>
          <w:ilvl w:val="255"/>
          <w:numId w:val="0"/>
        </w:numPr>
        <w:jc w:val="center"/>
      </w:pPr>
    </w:p>
    <w:p>
      <w:pPr>
        <w:spacing w:line="360" w:lineRule="auto"/>
        <w:ind w:firstLine="480" w:firstLineChars="200"/>
        <w:rPr>
          <w:sz w:val="24"/>
        </w:rPr>
      </w:pPr>
      <w:r>
        <w:rPr>
          <w:rFonts w:hint="eastAsia" w:asciiTheme="minorEastAsia" w:hAnsiTheme="minorEastAsia" w:cstheme="minorEastAsia"/>
          <w:sz w:val="24"/>
        </w:rPr>
        <w:t>详细对比表如下：</w:t>
      </w:r>
    </w:p>
    <w:tbl>
      <w:tblPr>
        <w:tblStyle w:val="6"/>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5"/>
        <w:gridCol w:w="3451"/>
        <w:gridCol w:w="3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5" w:type="dxa"/>
            <w:vAlign w:val="center"/>
          </w:tcPr>
          <w:p>
            <w:pPr>
              <w:spacing w:line="360" w:lineRule="auto"/>
              <w:jc w:val="center"/>
              <w:rPr>
                <w:sz w:val="24"/>
              </w:rPr>
            </w:pPr>
            <w:r>
              <w:rPr>
                <w:rFonts w:hint="eastAsia"/>
                <w:b/>
                <w:bCs/>
                <w:sz w:val="24"/>
              </w:rPr>
              <w:t>项  目</w:t>
            </w:r>
          </w:p>
        </w:tc>
        <w:tc>
          <w:tcPr>
            <w:tcW w:w="3451" w:type="dxa"/>
            <w:vAlign w:val="center"/>
          </w:tcPr>
          <w:p>
            <w:pPr>
              <w:spacing w:line="360" w:lineRule="auto"/>
              <w:jc w:val="center"/>
              <w:rPr>
                <w:sz w:val="24"/>
              </w:rPr>
            </w:pPr>
            <w:r>
              <w:rPr>
                <w:rFonts w:hint="eastAsia"/>
                <w:b/>
                <w:bCs/>
                <w:sz w:val="24"/>
              </w:rPr>
              <w:t>万科红郡</w:t>
            </w:r>
          </w:p>
        </w:tc>
        <w:tc>
          <w:tcPr>
            <w:tcW w:w="3499" w:type="dxa"/>
            <w:vAlign w:val="center"/>
          </w:tcPr>
          <w:p>
            <w:pPr>
              <w:spacing w:line="360" w:lineRule="auto"/>
              <w:jc w:val="center"/>
              <w:rPr>
                <w:sz w:val="24"/>
              </w:rPr>
            </w:pPr>
            <w:r>
              <w:rPr>
                <w:rFonts w:hint="eastAsia" w:cs="Arial" w:asciiTheme="minorEastAsia" w:hAnsiTheme="minorEastAsia"/>
                <w:b/>
                <w:bCs/>
                <w:sz w:val="24"/>
              </w:rPr>
              <w:t>万科沁园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5" w:type="dxa"/>
            <w:vAlign w:val="center"/>
          </w:tcPr>
          <w:p>
            <w:pPr>
              <w:spacing w:line="360" w:lineRule="auto"/>
              <w:jc w:val="center"/>
              <w:rPr>
                <w:sz w:val="24"/>
              </w:rPr>
            </w:pPr>
            <w:r>
              <w:rPr>
                <w:rFonts w:hint="eastAsia"/>
                <w:sz w:val="24"/>
              </w:rPr>
              <w:t>项目地址</w:t>
            </w:r>
          </w:p>
        </w:tc>
        <w:tc>
          <w:tcPr>
            <w:tcW w:w="3451" w:type="dxa"/>
            <w:vAlign w:val="center"/>
          </w:tcPr>
          <w:p>
            <w:pPr>
              <w:spacing w:line="360" w:lineRule="auto"/>
              <w:jc w:val="center"/>
              <w:rPr>
                <w:sz w:val="24"/>
              </w:rPr>
            </w:pPr>
            <w:r>
              <w:rPr>
                <w:rFonts w:hint="eastAsia"/>
                <w:sz w:val="24"/>
              </w:rPr>
              <w:t>檀山路10号万科魅力之城</w:t>
            </w:r>
          </w:p>
        </w:tc>
        <w:tc>
          <w:tcPr>
            <w:tcW w:w="3499" w:type="dxa"/>
            <w:vAlign w:val="center"/>
          </w:tcPr>
          <w:p>
            <w:pPr>
              <w:spacing w:line="360" w:lineRule="auto"/>
              <w:jc w:val="center"/>
              <w:rPr>
                <w:sz w:val="24"/>
              </w:rPr>
            </w:pPr>
            <w:r>
              <w:rPr>
                <w:rFonts w:hint="eastAsia"/>
                <w:sz w:val="24"/>
              </w:rPr>
              <w:t>檀山路10号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5" w:type="dxa"/>
            <w:vAlign w:val="center"/>
          </w:tcPr>
          <w:p>
            <w:pPr>
              <w:spacing w:line="360" w:lineRule="auto"/>
              <w:jc w:val="center"/>
              <w:rPr>
                <w:sz w:val="24"/>
              </w:rPr>
            </w:pPr>
            <w:r>
              <w:rPr>
                <w:rFonts w:hint="eastAsia"/>
                <w:sz w:val="24"/>
              </w:rPr>
              <w:t>开盘时间</w:t>
            </w:r>
          </w:p>
        </w:tc>
        <w:tc>
          <w:tcPr>
            <w:tcW w:w="3451" w:type="dxa"/>
            <w:vAlign w:val="center"/>
          </w:tcPr>
          <w:p>
            <w:pPr>
              <w:spacing w:line="360" w:lineRule="auto"/>
              <w:jc w:val="center"/>
              <w:rPr>
                <w:sz w:val="24"/>
              </w:rPr>
            </w:pPr>
            <w:r>
              <w:rPr>
                <w:rFonts w:hint="eastAsia"/>
                <w:sz w:val="24"/>
              </w:rPr>
              <w:t>2009年开盘</w:t>
            </w:r>
          </w:p>
        </w:tc>
        <w:tc>
          <w:tcPr>
            <w:tcW w:w="3499" w:type="dxa"/>
            <w:vAlign w:val="center"/>
          </w:tcPr>
          <w:p>
            <w:pPr>
              <w:spacing w:line="360" w:lineRule="auto"/>
              <w:jc w:val="center"/>
              <w:rPr>
                <w:sz w:val="24"/>
              </w:rPr>
            </w:pPr>
            <w:r>
              <w:rPr>
                <w:rFonts w:hint="eastAsia"/>
                <w:sz w:val="24"/>
              </w:rPr>
              <w:t>2010年开盘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5" w:type="dxa"/>
            <w:vAlign w:val="center"/>
          </w:tcPr>
          <w:p>
            <w:pPr>
              <w:spacing w:line="360" w:lineRule="auto"/>
              <w:jc w:val="center"/>
              <w:rPr>
                <w:sz w:val="24"/>
              </w:rPr>
            </w:pPr>
            <w:r>
              <w:rPr>
                <w:rFonts w:hint="eastAsia"/>
                <w:sz w:val="24"/>
              </w:rPr>
              <w:t>在售价格</w:t>
            </w:r>
          </w:p>
        </w:tc>
        <w:tc>
          <w:tcPr>
            <w:tcW w:w="3451" w:type="dxa"/>
            <w:vAlign w:val="center"/>
          </w:tcPr>
          <w:p>
            <w:pPr>
              <w:spacing w:line="360" w:lineRule="auto"/>
              <w:jc w:val="center"/>
              <w:rPr>
                <w:sz w:val="24"/>
              </w:rPr>
            </w:pPr>
            <w:r>
              <w:rPr>
                <w:rFonts w:hint="eastAsia"/>
                <w:sz w:val="24"/>
              </w:rPr>
              <w:t>15,302元/㎡</w:t>
            </w:r>
          </w:p>
        </w:tc>
        <w:tc>
          <w:tcPr>
            <w:tcW w:w="3499" w:type="dxa"/>
            <w:vAlign w:val="center"/>
          </w:tcPr>
          <w:p>
            <w:pPr>
              <w:spacing w:line="360" w:lineRule="auto"/>
              <w:jc w:val="center"/>
              <w:rPr>
                <w:sz w:val="24"/>
              </w:rPr>
            </w:pPr>
            <w:r>
              <w:rPr>
                <w:rFonts w:hint="eastAsia"/>
                <w:sz w:val="24"/>
              </w:rPr>
              <w:t>11,500-15,000元/㎡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5" w:type="dxa"/>
            <w:vAlign w:val="center"/>
          </w:tcPr>
          <w:p>
            <w:pPr>
              <w:spacing w:line="360" w:lineRule="auto"/>
              <w:jc w:val="center"/>
              <w:rPr>
                <w:sz w:val="24"/>
              </w:rPr>
            </w:pPr>
            <w:r>
              <w:rPr>
                <w:rFonts w:hint="eastAsia"/>
                <w:sz w:val="24"/>
              </w:rPr>
              <w:t>建筑面积</w:t>
            </w:r>
          </w:p>
        </w:tc>
        <w:tc>
          <w:tcPr>
            <w:tcW w:w="3451" w:type="dxa"/>
            <w:vAlign w:val="center"/>
          </w:tcPr>
          <w:p>
            <w:pPr>
              <w:spacing w:line="360" w:lineRule="auto"/>
              <w:jc w:val="center"/>
              <w:rPr>
                <w:sz w:val="24"/>
              </w:rPr>
            </w:pPr>
            <w:r>
              <w:rPr>
                <w:sz w:val="24"/>
              </w:rPr>
              <w:t>110</w:t>
            </w:r>
            <w:r>
              <w:rPr>
                <w:rFonts w:hint="eastAsia"/>
                <w:sz w:val="24"/>
              </w:rPr>
              <w:t>,</w:t>
            </w:r>
            <w:r>
              <w:rPr>
                <w:sz w:val="24"/>
              </w:rPr>
              <w:t>000</w:t>
            </w:r>
            <w:r>
              <w:rPr>
                <w:rFonts w:hint="eastAsia"/>
                <w:sz w:val="24"/>
              </w:rPr>
              <w:t>㎡</w:t>
            </w:r>
          </w:p>
        </w:tc>
        <w:tc>
          <w:tcPr>
            <w:tcW w:w="3499" w:type="dxa"/>
            <w:vAlign w:val="center"/>
          </w:tcPr>
          <w:p>
            <w:pPr>
              <w:spacing w:line="360" w:lineRule="auto"/>
              <w:jc w:val="center"/>
              <w:rPr>
                <w:sz w:val="24"/>
              </w:rPr>
            </w:pPr>
            <w:r>
              <w:rPr>
                <w:sz w:val="24"/>
              </w:rPr>
              <w:t>91</w:t>
            </w:r>
            <w:r>
              <w:rPr>
                <w:rFonts w:hint="eastAsia"/>
                <w:sz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5" w:type="dxa"/>
            <w:vAlign w:val="center"/>
          </w:tcPr>
          <w:p>
            <w:pPr>
              <w:spacing w:line="360" w:lineRule="auto"/>
              <w:jc w:val="center"/>
              <w:rPr>
                <w:sz w:val="24"/>
              </w:rPr>
            </w:pPr>
            <w:r>
              <w:rPr>
                <w:rFonts w:hint="eastAsia"/>
                <w:sz w:val="24"/>
              </w:rPr>
              <w:t>容积率</w:t>
            </w:r>
          </w:p>
        </w:tc>
        <w:tc>
          <w:tcPr>
            <w:tcW w:w="3451" w:type="dxa"/>
            <w:vAlign w:val="center"/>
          </w:tcPr>
          <w:p>
            <w:pPr>
              <w:spacing w:line="360" w:lineRule="auto"/>
              <w:jc w:val="center"/>
              <w:rPr>
                <w:sz w:val="24"/>
              </w:rPr>
            </w:pPr>
            <w:r>
              <w:rPr>
                <w:rFonts w:hint="eastAsia"/>
                <w:sz w:val="24"/>
              </w:rPr>
              <w:t>1</w:t>
            </w:r>
            <w:r>
              <w:rPr>
                <w:sz w:val="24"/>
              </w:rPr>
              <w:t>.74</w:t>
            </w:r>
          </w:p>
        </w:tc>
        <w:tc>
          <w:tcPr>
            <w:tcW w:w="3499" w:type="dxa"/>
            <w:vAlign w:val="center"/>
          </w:tcPr>
          <w:p>
            <w:pPr>
              <w:spacing w:line="360" w:lineRule="auto"/>
              <w:jc w:val="center"/>
              <w:rPr>
                <w:sz w:val="24"/>
              </w:rPr>
            </w:pPr>
            <w:r>
              <w:rPr>
                <w:rFonts w:hint="eastAsia"/>
                <w:sz w:val="24"/>
              </w:rPr>
              <w:t>4</w:t>
            </w:r>
            <w:r>
              <w:rPr>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1585" w:type="dxa"/>
            <w:vAlign w:val="center"/>
          </w:tcPr>
          <w:p>
            <w:pPr>
              <w:spacing w:line="360" w:lineRule="auto"/>
              <w:jc w:val="center"/>
              <w:rPr>
                <w:sz w:val="24"/>
              </w:rPr>
            </w:pPr>
          </w:p>
          <w:p>
            <w:pPr>
              <w:spacing w:line="360" w:lineRule="auto"/>
              <w:jc w:val="center"/>
              <w:rPr>
                <w:sz w:val="24"/>
              </w:rPr>
            </w:pPr>
            <w:r>
              <w:rPr>
                <w:rFonts w:hint="eastAsia"/>
                <w:sz w:val="24"/>
              </w:rPr>
              <w:t>产品户型</w:t>
            </w:r>
          </w:p>
        </w:tc>
        <w:tc>
          <w:tcPr>
            <w:tcW w:w="3451" w:type="dxa"/>
            <w:vAlign w:val="center"/>
          </w:tcPr>
          <w:p>
            <w:pPr>
              <w:spacing w:line="360" w:lineRule="auto"/>
              <w:jc w:val="center"/>
              <w:rPr>
                <w:sz w:val="24"/>
              </w:rPr>
            </w:pPr>
            <w:r>
              <w:rPr>
                <w:rFonts w:hint="eastAsia"/>
                <w:sz w:val="24"/>
              </w:rPr>
              <w:t>四室两厅两卫1</w:t>
            </w:r>
            <w:r>
              <w:rPr>
                <w:sz w:val="24"/>
              </w:rPr>
              <w:t>30</w:t>
            </w:r>
            <w:r>
              <w:rPr>
                <w:rFonts w:hint="eastAsia"/>
                <w:sz w:val="24"/>
              </w:rPr>
              <w:t>㎡</w:t>
            </w:r>
          </w:p>
          <w:p>
            <w:pPr>
              <w:spacing w:line="360" w:lineRule="auto"/>
              <w:jc w:val="center"/>
              <w:rPr>
                <w:sz w:val="24"/>
              </w:rPr>
            </w:pPr>
            <w:r>
              <w:rPr>
                <w:rFonts w:hint="eastAsia"/>
                <w:sz w:val="24"/>
              </w:rPr>
              <w:t>四室两厅两卫1</w:t>
            </w:r>
            <w:r>
              <w:rPr>
                <w:sz w:val="24"/>
              </w:rPr>
              <w:t>65</w:t>
            </w:r>
            <w:r>
              <w:rPr>
                <w:rFonts w:hint="eastAsia"/>
                <w:sz w:val="24"/>
              </w:rPr>
              <w:t>㎡</w:t>
            </w:r>
          </w:p>
          <w:p>
            <w:pPr>
              <w:spacing w:line="360" w:lineRule="auto"/>
              <w:jc w:val="center"/>
              <w:rPr>
                <w:sz w:val="24"/>
              </w:rPr>
            </w:pPr>
            <w:r>
              <w:rPr>
                <w:rFonts w:hint="eastAsia"/>
                <w:sz w:val="24"/>
              </w:rPr>
              <w:t>五室两厅两卫2</w:t>
            </w:r>
            <w:r>
              <w:rPr>
                <w:sz w:val="24"/>
              </w:rPr>
              <w:t>40</w:t>
            </w:r>
            <w:r>
              <w:rPr>
                <w:rFonts w:hint="eastAsia"/>
                <w:sz w:val="24"/>
              </w:rPr>
              <w:t>㎡</w:t>
            </w:r>
          </w:p>
        </w:tc>
        <w:tc>
          <w:tcPr>
            <w:tcW w:w="3499" w:type="dxa"/>
            <w:vAlign w:val="center"/>
          </w:tcPr>
          <w:p>
            <w:pPr>
              <w:spacing w:line="360" w:lineRule="auto"/>
              <w:jc w:val="center"/>
              <w:rPr>
                <w:sz w:val="24"/>
              </w:rPr>
            </w:pPr>
            <w:r>
              <w:rPr>
                <w:rFonts w:hint="eastAsia"/>
                <w:sz w:val="24"/>
              </w:rPr>
              <w:t>三室一厅一卫9</w:t>
            </w:r>
            <w:r>
              <w:rPr>
                <w:sz w:val="24"/>
              </w:rPr>
              <w:t>0</w:t>
            </w:r>
            <w:r>
              <w:rPr>
                <w:rFonts w:hint="eastAsia"/>
                <w:sz w:val="24"/>
              </w:rPr>
              <w:t>.</w:t>
            </w:r>
            <w:r>
              <w:rPr>
                <w:sz w:val="24"/>
              </w:rPr>
              <w:t>17</w:t>
            </w:r>
            <w:r>
              <w:rPr>
                <w:rFonts w:hint="eastAsia"/>
                <w:sz w:val="24"/>
              </w:rPr>
              <w:t>㎡</w:t>
            </w:r>
          </w:p>
          <w:p>
            <w:pPr>
              <w:spacing w:line="360" w:lineRule="auto"/>
              <w:jc w:val="center"/>
              <w:rPr>
                <w:sz w:val="24"/>
              </w:rPr>
            </w:pPr>
            <w:r>
              <w:rPr>
                <w:rFonts w:hint="eastAsia"/>
                <w:sz w:val="24"/>
              </w:rPr>
              <w:t>四室两厅两卫1</w:t>
            </w:r>
            <w:r>
              <w:rPr>
                <w:sz w:val="24"/>
              </w:rPr>
              <w:t>43.5</w:t>
            </w:r>
            <w:r>
              <w:rPr>
                <w:rFonts w:hint="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5" w:type="dxa"/>
            <w:vAlign w:val="center"/>
          </w:tcPr>
          <w:p>
            <w:pPr>
              <w:spacing w:line="360" w:lineRule="auto"/>
              <w:jc w:val="center"/>
              <w:rPr>
                <w:sz w:val="24"/>
              </w:rPr>
            </w:pPr>
            <w:r>
              <w:rPr>
                <w:rFonts w:hint="eastAsia"/>
                <w:sz w:val="24"/>
              </w:rPr>
              <w:t>装修标准</w:t>
            </w:r>
          </w:p>
        </w:tc>
        <w:tc>
          <w:tcPr>
            <w:tcW w:w="3451" w:type="dxa"/>
            <w:vAlign w:val="center"/>
          </w:tcPr>
          <w:p>
            <w:pPr>
              <w:spacing w:line="360" w:lineRule="auto"/>
              <w:jc w:val="center"/>
              <w:rPr>
                <w:sz w:val="24"/>
              </w:rPr>
            </w:pPr>
            <w:r>
              <w:rPr>
                <w:rFonts w:hint="eastAsia"/>
                <w:sz w:val="24"/>
              </w:rPr>
              <w:t>毛坯</w:t>
            </w:r>
          </w:p>
        </w:tc>
        <w:tc>
          <w:tcPr>
            <w:tcW w:w="3499" w:type="dxa"/>
            <w:vAlign w:val="center"/>
          </w:tcPr>
          <w:p>
            <w:pPr>
              <w:spacing w:line="360" w:lineRule="auto"/>
              <w:jc w:val="center"/>
              <w:rPr>
                <w:sz w:val="24"/>
              </w:rPr>
            </w:pPr>
            <w:r>
              <w:rPr>
                <w:rFonts w:hint="eastAsia"/>
                <w:sz w:val="24"/>
              </w:rPr>
              <w:t>精装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5" w:type="dxa"/>
            <w:vAlign w:val="center"/>
          </w:tcPr>
          <w:p>
            <w:pPr>
              <w:spacing w:line="360" w:lineRule="auto"/>
              <w:jc w:val="center"/>
              <w:rPr>
                <w:sz w:val="24"/>
              </w:rPr>
            </w:pPr>
            <w:r>
              <w:rPr>
                <w:rFonts w:hint="eastAsia"/>
                <w:sz w:val="24"/>
              </w:rPr>
              <w:t>住宅形态</w:t>
            </w:r>
          </w:p>
        </w:tc>
        <w:tc>
          <w:tcPr>
            <w:tcW w:w="3451" w:type="dxa"/>
            <w:vAlign w:val="center"/>
          </w:tcPr>
          <w:p>
            <w:pPr>
              <w:spacing w:line="360" w:lineRule="auto"/>
              <w:jc w:val="center"/>
              <w:rPr>
                <w:sz w:val="24"/>
              </w:rPr>
            </w:pPr>
            <w:r>
              <w:rPr>
                <w:rFonts w:hint="eastAsia"/>
                <w:sz w:val="24"/>
              </w:rPr>
              <w:t>多层</w:t>
            </w:r>
          </w:p>
        </w:tc>
        <w:tc>
          <w:tcPr>
            <w:tcW w:w="3499" w:type="dxa"/>
            <w:vAlign w:val="center"/>
          </w:tcPr>
          <w:p>
            <w:pPr>
              <w:spacing w:line="360" w:lineRule="auto"/>
              <w:jc w:val="center"/>
              <w:rPr>
                <w:sz w:val="24"/>
              </w:rPr>
            </w:pPr>
            <w:r>
              <w:rPr>
                <w:rFonts w:hint="eastAsia"/>
                <w:sz w:val="24"/>
              </w:rPr>
              <w:t>高层</w:t>
            </w:r>
          </w:p>
        </w:tc>
      </w:tr>
    </w:tbl>
    <w:p>
      <w:pPr>
        <w:spacing w:line="360" w:lineRule="auto"/>
        <w:ind w:firstLine="480" w:firstLineChars="200"/>
        <w:rPr>
          <w:rFonts w:cs="Arial" w:asciiTheme="minorEastAsia" w:hAnsiTheme="minorEastAsia"/>
          <w:sz w:val="24"/>
        </w:rPr>
      </w:pPr>
      <w:r>
        <w:rPr>
          <w:rFonts w:hint="eastAsia" w:cs="Arial" w:asciiTheme="minorEastAsia" w:hAnsiTheme="minorEastAsia"/>
          <w:sz w:val="24"/>
        </w:rPr>
        <w:t>周边竞品分析：周边当前竞品高层精装大致价格为12500元/平方米；购房客源分析：本项目客源以本地刚需客户及改善型客户为主。本地客群：多以周边客源为主，对区域认可度高，置业目的主要以婚房、首套改善型为主。价位结构：根据周边当前竞品楼盘的销售均价，以及对本板块价值的评估，预计本项目精装售价12800-13000元/平方米。本项目的产品定位符合客户群购房特点，价格定位参考周边在售楼盘，较为合理。</w:t>
      </w:r>
    </w:p>
    <w:p>
      <w:pPr>
        <w:outlineLvl w:val="0"/>
        <w:rPr>
          <w:sz w:val="28"/>
          <w:szCs w:val="28"/>
        </w:rPr>
      </w:pPr>
      <w:bookmarkStart w:id="5" w:name="_Toc28358"/>
      <w:r>
        <w:rPr>
          <w:rFonts w:hint="eastAsia"/>
          <w:b/>
          <w:bCs/>
          <w:sz w:val="28"/>
          <w:szCs w:val="28"/>
        </w:rPr>
        <w:t>四、入场流程</w:t>
      </w:r>
      <w:bookmarkEnd w:id="5"/>
    </w:p>
    <w:p>
      <w:pPr>
        <w:numPr>
          <w:ilvl w:val="0"/>
          <w:numId w:val="2"/>
        </w:numPr>
        <w:outlineLvl w:val="1"/>
        <w:rPr>
          <w:b/>
          <w:bCs/>
          <w:sz w:val="24"/>
        </w:rPr>
      </w:pPr>
      <w:bookmarkStart w:id="6" w:name="_Toc28352"/>
      <w:r>
        <w:rPr>
          <w:rFonts w:hint="eastAsia"/>
          <w:b/>
          <w:bCs/>
          <w:sz w:val="24"/>
        </w:rPr>
        <w:t>交接前流程沟通</w:t>
      </w:r>
      <w:bookmarkEnd w:id="6"/>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2020年</w:t>
      </w:r>
      <w:r>
        <w:rPr>
          <w:rFonts w:cs="Arial" w:asciiTheme="minorEastAsia" w:hAnsiTheme="minorEastAsia"/>
          <w:sz w:val="24"/>
        </w:rPr>
        <w:t>8</w:t>
      </w:r>
      <w:r>
        <w:rPr>
          <w:rFonts w:hint="eastAsia" w:cs="Arial" w:asciiTheme="minorEastAsia" w:hAnsiTheme="minorEastAsia"/>
          <w:sz w:val="24"/>
        </w:rPr>
        <w:t>月</w:t>
      </w:r>
      <w:r>
        <w:rPr>
          <w:rFonts w:cs="Arial" w:asciiTheme="minorEastAsia" w:hAnsiTheme="minorEastAsia"/>
          <w:sz w:val="24"/>
        </w:rPr>
        <w:t>31</w:t>
      </w:r>
      <w:r>
        <w:rPr>
          <w:rFonts w:hint="eastAsia" w:cs="Arial" w:asciiTheme="minorEastAsia" w:hAnsiTheme="minorEastAsia"/>
          <w:sz w:val="24"/>
        </w:rPr>
        <w:t>日上午</w:t>
      </w:r>
      <w:r>
        <w:rPr>
          <w:rFonts w:cs="Arial" w:asciiTheme="minorEastAsia" w:hAnsiTheme="minorEastAsia"/>
          <w:sz w:val="24"/>
        </w:rPr>
        <w:t>9</w:t>
      </w:r>
      <w:r>
        <w:rPr>
          <w:rFonts w:hint="eastAsia" w:cs="Arial" w:asciiTheme="minorEastAsia" w:hAnsiTheme="minorEastAsia"/>
          <w:sz w:val="24"/>
        </w:rPr>
        <w:t>时，我司入场主管、驻场人员与中航信托经理刘亦杏、恒大南京资金部许菲菲就交接事项进行沟通：</w:t>
      </w:r>
    </w:p>
    <w:p>
      <w:pPr>
        <w:numPr>
          <w:ilvl w:val="0"/>
          <w:numId w:val="3"/>
        </w:numPr>
        <w:spacing w:line="360" w:lineRule="auto"/>
        <w:ind w:firstLine="480" w:firstLineChars="200"/>
        <w:rPr>
          <w:rFonts w:cs="Arial" w:asciiTheme="minorEastAsia" w:hAnsiTheme="minorEastAsia"/>
          <w:sz w:val="24"/>
        </w:rPr>
      </w:pPr>
      <w:r>
        <w:rPr>
          <w:rFonts w:hint="eastAsia" w:cs="Arial" w:asciiTheme="minorEastAsia" w:hAnsiTheme="minorEastAsia"/>
          <w:sz w:val="24"/>
        </w:rPr>
        <w:t>首先对项目公司开户情况进行了解，</w:t>
      </w:r>
      <w:bookmarkStart w:id="7" w:name="_Hlk49995380"/>
      <w:r>
        <w:rPr>
          <w:rFonts w:hint="eastAsia" w:cs="Arial" w:asciiTheme="minorEastAsia" w:hAnsiTheme="minorEastAsia"/>
          <w:sz w:val="24"/>
        </w:rPr>
        <w:t>项目公司已经开立三个账户：中信银行基本户、农行一般户、民生银行一般户，且中信银行开了三个网银盾（制单盾、一级审核盾、二级审核盾）；</w:t>
      </w:r>
      <w:bookmarkEnd w:id="7"/>
    </w:p>
    <w:p>
      <w:pPr>
        <w:pStyle w:val="13"/>
        <w:numPr>
          <w:ilvl w:val="0"/>
          <w:numId w:val="3"/>
        </w:numPr>
        <w:spacing w:line="360" w:lineRule="auto"/>
        <w:ind w:firstLineChars="0"/>
        <w:rPr>
          <w:rFonts w:cs="Arial" w:asciiTheme="minorEastAsia" w:hAnsiTheme="minorEastAsia"/>
          <w:sz w:val="24"/>
        </w:rPr>
      </w:pPr>
      <w:r>
        <w:rPr>
          <w:rFonts w:hint="eastAsia" w:cs="Arial" w:asciiTheme="minorEastAsia" w:hAnsiTheme="minorEastAsia"/>
          <w:sz w:val="24"/>
        </w:rPr>
        <w:t>应项目公司业务要求，需要开通农行网银和三个网银盾</w:t>
      </w:r>
      <w:bookmarkStart w:id="8" w:name="_Hlk49995854"/>
      <w:r>
        <w:rPr>
          <w:rFonts w:hint="eastAsia" w:cs="Arial" w:asciiTheme="minorEastAsia" w:hAnsiTheme="minorEastAsia"/>
          <w:sz w:val="24"/>
        </w:rPr>
        <w:t>（制单盾、一级审核盾、二级审核盾）</w:t>
      </w:r>
      <w:bookmarkEnd w:id="8"/>
      <w:r>
        <w:rPr>
          <w:rFonts w:hint="eastAsia" w:cs="Arial" w:asciiTheme="minorEastAsia" w:hAnsiTheme="minorEastAsia"/>
          <w:sz w:val="24"/>
        </w:rPr>
        <w:t>；</w:t>
      </w:r>
    </w:p>
    <w:p>
      <w:pPr>
        <w:pStyle w:val="13"/>
        <w:numPr>
          <w:ilvl w:val="0"/>
          <w:numId w:val="3"/>
        </w:numPr>
        <w:spacing w:line="360" w:lineRule="auto"/>
        <w:ind w:firstLineChars="0"/>
        <w:rPr>
          <w:rFonts w:cs="Arial" w:asciiTheme="minorEastAsia" w:hAnsiTheme="minorEastAsia"/>
          <w:sz w:val="24"/>
        </w:rPr>
      </w:pPr>
      <w:r>
        <w:rPr>
          <w:rFonts w:hint="eastAsia" w:cs="Arial" w:asciiTheme="minorEastAsia" w:hAnsiTheme="minorEastAsia"/>
          <w:sz w:val="24"/>
        </w:rPr>
        <w:t>应信托要求和监管的必要性，三个账户需全部增加信托预留印鉴（中航信托刘亦杏人名章）；</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（4）我司入场主管、驻场人员、项目公司财务经理李锦及监察室陈杨对项目公司基础证照、印鉴、基本存款账户信息进行核对，并编制共管资料入场交接单。</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 xml:space="preserve">  </w:t>
      </w:r>
    </w:p>
    <w:p>
      <w:pPr>
        <w:numPr>
          <w:ilvl w:val="0"/>
          <w:numId w:val="2"/>
        </w:numPr>
        <w:outlineLvl w:val="1"/>
        <w:rPr>
          <w:b/>
          <w:bCs/>
          <w:sz w:val="24"/>
        </w:rPr>
      </w:pPr>
      <w:bookmarkStart w:id="9" w:name="_Toc10195"/>
      <w:r>
        <w:rPr>
          <w:rFonts w:hint="eastAsia"/>
          <w:b/>
          <w:bCs/>
          <w:sz w:val="24"/>
        </w:rPr>
        <w:t>项目现场</w:t>
      </w:r>
      <w:bookmarkEnd w:id="9"/>
    </w:p>
    <w:p>
      <w:pPr>
        <w:spacing w:line="360" w:lineRule="auto"/>
        <w:ind w:firstLine="480" w:firstLineChars="200"/>
        <w:rPr>
          <w:rFonts w:ascii="Arial" w:hAnsi="Arial" w:cs="Arial"/>
          <w:sz w:val="24"/>
        </w:rPr>
      </w:pPr>
      <w:r>
        <w:rPr>
          <w:rFonts w:hint="eastAsia" w:cs="Arial" w:asciiTheme="minorEastAsia" w:hAnsiTheme="minorEastAsia"/>
          <w:sz w:val="24"/>
        </w:rPr>
        <w:t>2020年</w:t>
      </w:r>
      <w:r>
        <w:rPr>
          <w:rFonts w:cs="Arial" w:asciiTheme="minorEastAsia" w:hAnsiTheme="minorEastAsia"/>
          <w:sz w:val="24"/>
        </w:rPr>
        <w:t>9</w:t>
      </w:r>
      <w:r>
        <w:rPr>
          <w:rFonts w:hint="eastAsia" w:cs="Arial" w:asciiTheme="minorEastAsia" w:hAnsiTheme="minorEastAsia"/>
          <w:sz w:val="24"/>
        </w:rPr>
        <w:t>月2日上午我司驻场人员前往项目现场进行核查（期间并无项目公司人员陪同），项目现场地块已经开始施工，地块周边围挡未全部设立（详见图</w:t>
      </w:r>
      <w:r>
        <w:rPr>
          <w:rFonts w:cs="Arial" w:asciiTheme="minorEastAsia" w:hAnsiTheme="minorEastAsia"/>
          <w:sz w:val="24"/>
        </w:rPr>
        <w:t>7</w:t>
      </w:r>
      <w:r>
        <w:rPr>
          <w:rFonts w:hint="eastAsia" w:cs="Arial" w:asciiTheme="minorEastAsia" w:hAnsiTheme="minorEastAsia"/>
          <w:sz w:val="24"/>
        </w:rPr>
        <w:t>、图</w:t>
      </w:r>
      <w:r>
        <w:rPr>
          <w:rFonts w:cs="Arial" w:asciiTheme="minorEastAsia" w:hAnsiTheme="minorEastAsia"/>
          <w:sz w:val="24"/>
        </w:rPr>
        <w:t>8</w:t>
      </w:r>
      <w:r>
        <w:rPr>
          <w:rFonts w:hint="eastAsia" w:cs="Arial" w:asciiTheme="minorEastAsia" w:hAnsiTheme="minorEastAsia"/>
          <w:sz w:val="24"/>
        </w:rPr>
        <w:t>、图9、图1</w:t>
      </w:r>
      <w:r>
        <w:rPr>
          <w:rFonts w:cs="Arial" w:asciiTheme="minorEastAsia" w:hAnsiTheme="minorEastAsia"/>
          <w:sz w:val="24"/>
        </w:rPr>
        <w:t>0</w:t>
      </w:r>
      <w:r>
        <w:rPr>
          <w:rFonts w:hint="eastAsia" w:cs="Arial" w:asciiTheme="minorEastAsia" w:hAnsiTheme="minorEastAsia"/>
          <w:sz w:val="24"/>
        </w:rPr>
        <w:t>）。</w:t>
      </w:r>
    </w:p>
    <w:p>
      <w:pPr>
        <w:spacing w:line="360" w:lineRule="auto"/>
        <w:ind w:firstLine="480" w:firstLineChars="200"/>
        <w:rPr>
          <w:rFonts w:ascii="Arial" w:hAnsi="Arial" w:cs="Arial"/>
          <w:sz w:val="24"/>
        </w:rPr>
      </w:pPr>
      <w:r>
        <w:rPr>
          <w:rFonts w:ascii="Arial" w:hAnsi="Arial" w:cs="Arial"/>
          <w:sz w:val="24"/>
        </w:rPr>
        <w:t>根据2014年6月25日住房和城乡建设部令第18号发布，2018年9月28日住房和城乡建设部令第42号修正的《建筑工程施工许可管理办法》第十二条 对于未取得施工许可证或者为规避办理施工许可证将工程项目分解后擅自施工的，由有管辖权的发证机关责令停止施工，限期改正，对建设单位处工程合同价款1%以上2%以下罚款；对施工单位处3万元以下罚款。</w:t>
      </w:r>
      <w:r>
        <w:rPr>
          <w:rFonts w:hint="eastAsia" w:ascii="Arial" w:hAnsi="Arial" w:cs="Arial"/>
          <w:sz w:val="24"/>
        </w:rPr>
        <w:t>项目有被罚款的风险存在。</w:t>
      </w:r>
    </w:p>
    <w:p>
      <w:pPr>
        <w:jc w:val="center"/>
        <w:rPr>
          <w:rFonts w:asciiTheme="minorEastAsia" w:hAnsiTheme="minorEastAsia"/>
          <w:sz w:val="24"/>
        </w:rPr>
      </w:pPr>
      <w:r>
        <w:rPr>
          <w:rFonts w:asciiTheme="minorEastAsia" w:hAnsiTheme="minorEastAsia"/>
          <w:sz w:val="24"/>
        </w:rPr>
        <w:drawing>
          <wp:inline distT="0" distB="0" distL="0" distR="0">
            <wp:extent cx="5274310" cy="395605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jc w:val="center"/>
        <w:rPr>
          <w:rFonts w:asciiTheme="minorEastAsia" w:hAnsiTheme="minorEastAsia"/>
          <w:szCs w:val="21"/>
        </w:rPr>
      </w:pPr>
      <w:r>
        <w:rPr>
          <w:rFonts w:hint="eastAsia"/>
          <w:szCs w:val="21"/>
        </w:rPr>
        <w:t>图</w:t>
      </w:r>
      <w:r>
        <w:rPr>
          <w:szCs w:val="21"/>
        </w:rPr>
        <w:t>7</w:t>
      </w:r>
      <w:r>
        <w:rPr>
          <w:rFonts w:hint="eastAsia"/>
          <w:szCs w:val="21"/>
        </w:rPr>
        <w:t xml:space="preserve">  售楼处主体结构施工</w:t>
      </w:r>
    </w:p>
    <w:p>
      <w:pPr>
        <w:rPr>
          <w:rFonts w:asciiTheme="minorEastAsia" w:hAnsiTheme="minorEastAsia"/>
          <w:sz w:val="24"/>
        </w:rPr>
      </w:pPr>
      <w:r>
        <w:rPr>
          <w:rFonts w:hint="eastAsia" w:asciiTheme="minorEastAsia" w:hAnsiTheme="minorEastAsia"/>
          <w:sz w:val="24"/>
        </w:rPr>
        <w:t xml:space="preserve">  </w:t>
      </w:r>
      <w:r>
        <w:rPr>
          <w:rFonts w:asciiTheme="minorEastAsia" w:hAnsiTheme="minorEastAsia"/>
          <w:sz w:val="24"/>
        </w:rPr>
        <w:drawing>
          <wp:inline distT="0" distB="0" distL="0" distR="0">
            <wp:extent cx="5274310" cy="3956050"/>
            <wp:effectExtent l="0" t="0" r="254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jc w:val="center"/>
        <w:rPr>
          <w:szCs w:val="21"/>
        </w:rPr>
      </w:pPr>
      <w:r>
        <w:rPr>
          <w:rFonts w:hint="eastAsia"/>
          <w:szCs w:val="21"/>
        </w:rPr>
        <w:t>图</w:t>
      </w:r>
      <w:r>
        <w:rPr>
          <w:szCs w:val="21"/>
        </w:rPr>
        <w:t>8</w:t>
      </w:r>
      <w:r>
        <w:rPr>
          <w:rFonts w:hint="eastAsia"/>
          <w:szCs w:val="21"/>
        </w:rPr>
        <w:t xml:space="preserve"> 项目现场土方开挖</w:t>
      </w:r>
    </w:p>
    <w:p>
      <w:pPr>
        <w:jc w:val="center"/>
        <w:rPr>
          <w:rFonts w:asciiTheme="minorEastAsia" w:hAnsiTheme="minorEastAsia"/>
          <w:szCs w:val="21"/>
        </w:rPr>
      </w:pPr>
      <w:r>
        <w:rPr>
          <w:rFonts w:hint="eastAsia" w:asciiTheme="minorEastAsia" w:hAnsiTheme="minorEastAsia"/>
          <w:szCs w:val="21"/>
        </w:rPr>
        <w:drawing>
          <wp:inline distT="0" distB="0" distL="0" distR="0">
            <wp:extent cx="5274310" cy="3956050"/>
            <wp:effectExtent l="0" t="0" r="254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jc w:val="center"/>
        <w:rPr>
          <w:rFonts w:asciiTheme="minorEastAsia" w:hAnsiTheme="minorEastAsia"/>
          <w:szCs w:val="21"/>
        </w:rPr>
      </w:pPr>
      <w:r>
        <w:rPr>
          <w:rFonts w:hint="eastAsia" w:asciiTheme="minorEastAsia" w:hAnsiTheme="minorEastAsia"/>
          <w:szCs w:val="21"/>
        </w:rPr>
        <w:t>图9</w:t>
      </w:r>
      <w:r>
        <w:rPr>
          <w:rFonts w:asciiTheme="minorEastAsia" w:hAnsiTheme="minorEastAsia"/>
          <w:szCs w:val="21"/>
        </w:rPr>
        <w:t xml:space="preserve"> </w:t>
      </w:r>
      <w:r>
        <w:rPr>
          <w:rFonts w:hint="eastAsia" w:asciiTheme="minorEastAsia" w:hAnsiTheme="minorEastAsia"/>
          <w:szCs w:val="21"/>
        </w:rPr>
        <w:t>项目现场西大门主体结构施工</w:t>
      </w:r>
      <w:r>
        <w:rPr>
          <w:rFonts w:asciiTheme="minorEastAsia" w:hAnsiTheme="minorEastAsia"/>
          <w:szCs w:val="21"/>
        </w:rPr>
        <w:drawing>
          <wp:inline distT="0" distB="0" distL="0" distR="0">
            <wp:extent cx="5274310" cy="3956050"/>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jc w:val="center"/>
        <w:rPr>
          <w:rFonts w:asciiTheme="minorEastAsia" w:hAnsiTheme="minorEastAsia"/>
          <w:szCs w:val="21"/>
        </w:rPr>
      </w:pPr>
      <w:r>
        <w:rPr>
          <w:rFonts w:hint="eastAsia" w:asciiTheme="minorEastAsia" w:hAnsiTheme="minorEastAsia"/>
          <w:szCs w:val="21"/>
        </w:rPr>
        <w:t>图1</w:t>
      </w:r>
      <w:r>
        <w:rPr>
          <w:rFonts w:asciiTheme="minorEastAsia" w:hAnsiTheme="minorEastAsia"/>
          <w:szCs w:val="21"/>
        </w:rPr>
        <w:t xml:space="preserve">0 </w:t>
      </w:r>
      <w:r>
        <w:rPr>
          <w:rFonts w:hint="eastAsia" w:asciiTheme="minorEastAsia" w:hAnsiTheme="minorEastAsia"/>
          <w:szCs w:val="21"/>
        </w:rPr>
        <w:t>南至地块</w:t>
      </w:r>
    </w:p>
    <w:p>
      <w:pPr>
        <w:numPr>
          <w:ilvl w:val="0"/>
          <w:numId w:val="2"/>
        </w:numPr>
        <w:outlineLvl w:val="1"/>
        <w:rPr>
          <w:b/>
          <w:bCs/>
          <w:sz w:val="24"/>
        </w:rPr>
      </w:pPr>
      <w:bookmarkStart w:id="10" w:name="_Toc8898"/>
      <w:r>
        <w:rPr>
          <w:rFonts w:hint="eastAsia"/>
          <w:b/>
          <w:bCs/>
          <w:sz w:val="24"/>
        </w:rPr>
        <w:t>印鉴核验</w:t>
      </w:r>
      <w:bookmarkEnd w:id="10"/>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项目公司共有5枚印鉴章（非芯片章），分别为：公章、财务专用章、法人章、合同专用章、发票专用章；2020年</w:t>
      </w:r>
      <w:r>
        <w:rPr>
          <w:rFonts w:cs="Arial" w:asciiTheme="minorEastAsia" w:hAnsiTheme="minorEastAsia"/>
          <w:sz w:val="24"/>
        </w:rPr>
        <w:t>8</w:t>
      </w:r>
      <w:r>
        <w:rPr>
          <w:rFonts w:hint="eastAsia" w:cs="Arial" w:asciiTheme="minorEastAsia" w:hAnsiTheme="minorEastAsia"/>
          <w:sz w:val="24"/>
        </w:rPr>
        <w:t>月3</w:t>
      </w:r>
      <w:r>
        <w:rPr>
          <w:rFonts w:cs="Arial" w:asciiTheme="minorEastAsia" w:hAnsiTheme="minorEastAsia"/>
          <w:sz w:val="24"/>
        </w:rPr>
        <w:t>1</w:t>
      </w:r>
      <w:r>
        <w:rPr>
          <w:rFonts w:hint="eastAsia" w:cs="Arial" w:asciiTheme="minorEastAsia" w:hAnsiTheme="minorEastAsia"/>
          <w:sz w:val="24"/>
        </w:rPr>
        <w:t>日下午我司驻场人员、中航信托经理刘亦杏、恒大南京许菲菲及项目公司监察室陈杨前往刻章店核验印鉴；因刻章店系统更名，以前月份的备案资料无法提取查询，经沟通我们一行直接去镇江市政务服务中心公安局印章备案窗口核验，经核验印章真实，但窗口没有回执证明，也不允许拍照。</w:t>
      </w:r>
    </w:p>
    <w:p>
      <w:pPr>
        <w:numPr>
          <w:ilvl w:val="0"/>
          <w:numId w:val="2"/>
        </w:numPr>
        <w:spacing w:line="360" w:lineRule="auto"/>
        <w:outlineLvl w:val="1"/>
        <w:rPr>
          <w:b/>
          <w:bCs/>
          <w:sz w:val="24"/>
        </w:rPr>
      </w:pPr>
      <w:bookmarkStart w:id="11" w:name="_Toc3054"/>
      <w:r>
        <w:rPr>
          <w:rFonts w:hint="eastAsia"/>
          <w:b/>
          <w:bCs/>
          <w:sz w:val="24"/>
        </w:rPr>
        <w:t>银行账户信息查询</w:t>
      </w:r>
      <w:bookmarkEnd w:id="11"/>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2020年</w:t>
      </w:r>
      <w:r>
        <w:rPr>
          <w:rFonts w:cs="Arial" w:asciiTheme="minorEastAsia" w:hAnsiTheme="minorEastAsia"/>
          <w:sz w:val="24"/>
        </w:rPr>
        <w:t>8</w:t>
      </w:r>
      <w:r>
        <w:rPr>
          <w:rFonts w:hint="eastAsia" w:cs="Arial" w:asciiTheme="minorEastAsia" w:hAnsiTheme="minorEastAsia"/>
          <w:sz w:val="24"/>
        </w:rPr>
        <w:t>月3</w:t>
      </w:r>
      <w:r>
        <w:rPr>
          <w:rFonts w:cs="Arial" w:asciiTheme="minorEastAsia" w:hAnsiTheme="minorEastAsia"/>
          <w:sz w:val="24"/>
        </w:rPr>
        <w:t>1</w:t>
      </w:r>
      <w:r>
        <w:rPr>
          <w:rFonts w:hint="eastAsia" w:cs="Arial" w:asciiTheme="minorEastAsia" w:hAnsiTheme="minorEastAsia"/>
          <w:sz w:val="24"/>
        </w:rPr>
        <w:t>日上午我司入场主管、驻场人员、中航信托经理刘亦杏、恒大南京许菲菲、项目公司出纳梁慧娴前往基本户银行-中信银行核验预留印鉴及开户情况，并打印出已开立银行结算账户清单。</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（1）经核实项目公司银行预留印鉴为公章、财务专用章、法人章、人名章，且与备案系统一致；</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（2）项目公司开立了三个账户：中信银行基本户、农行一般户、民生银行一般户，（开户行：中信银行股份有限公司镇江分行、账号：</w:t>
      </w:r>
      <w:r>
        <w:rPr>
          <w:rFonts w:cs="Arial" w:asciiTheme="minorEastAsia" w:hAnsiTheme="minorEastAsia"/>
          <w:sz w:val="24"/>
        </w:rPr>
        <w:t>8110501013101553440</w:t>
      </w:r>
      <w:r>
        <w:rPr>
          <w:rFonts w:hint="eastAsia" w:cs="Arial" w:asciiTheme="minorEastAsia" w:hAnsiTheme="minorEastAsia"/>
          <w:sz w:val="24"/>
        </w:rPr>
        <w:t>、账户余额：</w:t>
      </w:r>
      <w:r>
        <w:rPr>
          <w:rFonts w:cs="Arial" w:asciiTheme="minorEastAsia" w:hAnsiTheme="minorEastAsia"/>
          <w:sz w:val="24"/>
        </w:rPr>
        <w:t>512.52</w:t>
      </w:r>
      <w:r>
        <w:rPr>
          <w:rFonts w:hint="eastAsia" w:cs="Arial" w:asciiTheme="minorEastAsia" w:hAnsiTheme="minorEastAsia"/>
          <w:sz w:val="24"/>
        </w:rPr>
        <w:t>元；开户行：中国农业银行股份有限公司镇江青年广场支行、账号:</w:t>
      </w:r>
      <w:r>
        <w:t xml:space="preserve"> </w:t>
      </w:r>
      <w:r>
        <w:rPr>
          <w:rFonts w:cs="Arial" w:asciiTheme="minorEastAsia" w:hAnsiTheme="minorEastAsia"/>
          <w:sz w:val="24"/>
        </w:rPr>
        <w:t>10313201040007227</w:t>
      </w:r>
      <w:r>
        <w:rPr>
          <w:rFonts w:hint="eastAsia" w:cs="Arial" w:asciiTheme="minorEastAsia" w:hAnsiTheme="minorEastAsia"/>
          <w:sz w:val="24"/>
        </w:rPr>
        <w:t>、账户余额：0元；开户行：中国民生银行股份有限公司镇江润州支行、账号：6</w:t>
      </w:r>
      <w:r>
        <w:rPr>
          <w:rFonts w:cs="Arial" w:asciiTheme="minorEastAsia" w:hAnsiTheme="minorEastAsia"/>
          <w:sz w:val="24"/>
        </w:rPr>
        <w:t>32319312</w:t>
      </w:r>
      <w:r>
        <w:rPr>
          <w:rFonts w:hint="eastAsia" w:cs="Arial" w:asciiTheme="minorEastAsia" w:hAnsiTheme="minorEastAsia"/>
          <w:sz w:val="24"/>
        </w:rPr>
        <w:t>、账户余额：0元）。</w:t>
      </w:r>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（3）经核实项目公司只开了中信银行基本户网银和</w:t>
      </w:r>
      <w:bookmarkStart w:id="12" w:name="_Hlk49996016"/>
      <w:r>
        <w:rPr>
          <w:rFonts w:hint="eastAsia" w:cs="Arial" w:asciiTheme="minorEastAsia" w:hAnsiTheme="minorEastAsia"/>
          <w:sz w:val="24"/>
        </w:rPr>
        <w:t>三个网银盾（制单盾、一级审核盾、二级审核盾）</w:t>
      </w:r>
      <w:bookmarkEnd w:id="12"/>
      <w:r>
        <w:rPr>
          <w:rFonts w:hint="eastAsia" w:cs="Arial" w:asciiTheme="minorEastAsia" w:hAnsiTheme="minorEastAsia"/>
          <w:sz w:val="24"/>
        </w:rPr>
        <w:t>，应项目公司业务要求又开了农行网银和三个网银盾（制单盾、一级审核盾、二级审核盾），且此两个二级审核盾全部交接共管，另外，应信托和监管要求，所有银行账户增加了信托预留印鉴（中航信托经理刘亦杏的人名章）。</w:t>
      </w:r>
    </w:p>
    <w:p>
      <w:pPr>
        <w:numPr>
          <w:ilvl w:val="0"/>
          <w:numId w:val="2"/>
        </w:numPr>
        <w:outlineLvl w:val="1"/>
        <w:rPr>
          <w:b/>
          <w:bCs/>
          <w:sz w:val="24"/>
        </w:rPr>
      </w:pPr>
      <w:bookmarkStart w:id="13" w:name="_Toc7477"/>
      <w:r>
        <w:rPr>
          <w:rFonts w:hint="eastAsia"/>
          <w:b/>
          <w:bCs/>
          <w:sz w:val="24"/>
        </w:rPr>
        <w:t>共管交接</w:t>
      </w:r>
      <w:bookmarkEnd w:id="13"/>
    </w:p>
    <w:p>
      <w:pPr>
        <w:spacing w:line="360" w:lineRule="auto"/>
        <w:ind w:firstLine="480" w:firstLineChars="200"/>
        <w:rPr>
          <w:rFonts w:cs="Arial" w:asciiTheme="minorEastAsia" w:hAnsiTheme="minorEastAsia"/>
          <w:sz w:val="24"/>
        </w:rPr>
      </w:pPr>
      <w:r>
        <w:rPr>
          <w:rFonts w:hint="eastAsia" w:cs="Arial" w:asciiTheme="minorEastAsia" w:hAnsiTheme="minorEastAsia"/>
          <w:sz w:val="24"/>
        </w:rPr>
        <w:t>（1）2020年</w:t>
      </w:r>
      <w:r>
        <w:rPr>
          <w:rFonts w:cs="Arial" w:asciiTheme="minorEastAsia" w:hAnsiTheme="minorEastAsia"/>
          <w:sz w:val="24"/>
        </w:rPr>
        <w:t>8</w:t>
      </w:r>
      <w:r>
        <w:rPr>
          <w:rFonts w:hint="eastAsia" w:cs="Arial" w:asciiTheme="minorEastAsia" w:hAnsiTheme="minorEastAsia"/>
          <w:sz w:val="24"/>
        </w:rPr>
        <w:t>月3</w:t>
      </w:r>
      <w:r>
        <w:rPr>
          <w:rFonts w:cs="Arial" w:asciiTheme="minorEastAsia" w:hAnsiTheme="minorEastAsia"/>
          <w:sz w:val="24"/>
        </w:rPr>
        <w:t>1</w:t>
      </w:r>
      <w:r>
        <w:rPr>
          <w:rFonts w:hint="eastAsia" w:cs="Arial" w:asciiTheme="minorEastAsia" w:hAnsiTheme="minorEastAsia"/>
          <w:sz w:val="24"/>
        </w:rPr>
        <w:t>日晚上我司入场主管、驻场人员、中航信托经理刘亦杏、恒大南京许菲菲、项目公司财务经理李锦及监察室陈杨对共管资料进行了交接，交接单如下：</w:t>
      </w:r>
    </w:p>
    <w:p>
      <w:pPr>
        <w:jc w:val="center"/>
        <w:rPr>
          <w:sz w:val="28"/>
          <w:szCs w:val="28"/>
        </w:rPr>
      </w:pPr>
      <w:r>
        <w:rPr>
          <w:rFonts w:hint="eastAsia"/>
          <w:sz w:val="28"/>
          <w:szCs w:val="28"/>
        </w:rPr>
        <w:drawing>
          <wp:inline distT="0" distB="0" distL="0" distR="0">
            <wp:extent cx="4732020" cy="68046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732430" cy="6805250"/>
                    </a:xfrm>
                    <a:prstGeom prst="rect">
                      <a:avLst/>
                    </a:prstGeom>
                  </pic:spPr>
                </pic:pic>
              </a:graphicData>
            </a:graphic>
          </wp:inline>
        </w:drawing>
      </w:r>
    </w:p>
    <w:p>
      <w:pPr>
        <w:jc w:val="center"/>
        <w:rPr>
          <w:sz w:val="28"/>
          <w:szCs w:val="28"/>
        </w:rPr>
      </w:pPr>
      <w:r>
        <w:rPr>
          <w:rFonts w:hint="eastAsia"/>
          <w:sz w:val="28"/>
          <w:szCs w:val="28"/>
        </w:rPr>
        <w:drawing>
          <wp:inline distT="0" distB="0" distL="0" distR="0">
            <wp:extent cx="4746625" cy="55308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99826" cy="5593294"/>
                    </a:xfrm>
                    <a:prstGeom prst="rect">
                      <a:avLst/>
                    </a:prstGeom>
                  </pic:spPr>
                </pic:pic>
              </a:graphicData>
            </a:graphic>
          </wp:inline>
        </w:drawing>
      </w:r>
    </w:p>
    <w:p>
      <w:pPr>
        <w:jc w:val="center"/>
        <w:rPr>
          <w:sz w:val="28"/>
          <w:szCs w:val="28"/>
        </w:rPr>
      </w:pPr>
      <w:r>
        <w:rPr>
          <w:rFonts w:hint="eastAsia"/>
          <w:sz w:val="28"/>
          <w:szCs w:val="28"/>
        </w:rPr>
        <w:drawing>
          <wp:inline distT="0" distB="0" distL="0" distR="0">
            <wp:extent cx="4747260" cy="680466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747671" cy="6805250"/>
                    </a:xfrm>
                    <a:prstGeom prst="rect">
                      <a:avLst/>
                    </a:prstGeom>
                  </pic:spPr>
                </pic:pic>
              </a:graphicData>
            </a:graphic>
          </wp:inline>
        </w:drawing>
      </w:r>
    </w:p>
    <w:p>
      <w:pPr>
        <w:jc w:val="center"/>
        <w:rPr>
          <w:sz w:val="28"/>
          <w:szCs w:val="28"/>
        </w:rPr>
      </w:pPr>
      <w:r>
        <w:rPr>
          <w:rFonts w:hint="eastAsia"/>
          <w:sz w:val="28"/>
          <w:szCs w:val="28"/>
        </w:rPr>
        <w:drawing>
          <wp:inline distT="0" distB="0" distL="0" distR="0">
            <wp:extent cx="3666490" cy="5290820"/>
            <wp:effectExtent l="0" t="0" r="508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a:off x="0" y="0"/>
                      <a:ext cx="3666490" cy="5290820"/>
                    </a:xfrm>
                    <a:prstGeom prst="rect">
                      <a:avLst/>
                    </a:prstGeom>
                  </pic:spPr>
                </pic:pic>
              </a:graphicData>
            </a:graphic>
          </wp:inline>
        </w:drawing>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Vx3w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&#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JVx3wPAgAACQQAAA4AAAAAAAAAAQAgAAAA&#10;HwEAAGRycy9lMm9Eb2MueG1sUEsFBgAAAAAGAAYAWQEAAKAFAAAAAA==&#10;">
              <v:fill on="f" focussize="0,0"/>
              <v:stroke on="f" weight="0.5pt"/>
              <v:imagedata o:title=""/>
              <o:lock v:ext="edit" aspectratio="f"/>
              <v:textbox inset="0mm,0mm,0mm,0mm" style="mso-fit-shape-to-text:t;">
                <w:txbxContent>
                  <w:p>
                    <w:pPr>
                      <w:pStyle w:val="3"/>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posOffset>2606040</wp:posOffset>
              </wp:positionH>
              <wp:positionV relativeFrom="paragraph">
                <wp:posOffset>137795</wp:posOffset>
              </wp:positionV>
              <wp:extent cx="182880" cy="220980"/>
              <wp:effectExtent l="0" t="0" r="7620" b="7620"/>
              <wp:wrapNone/>
              <wp:docPr id="13" name="文本框 13"/>
              <wp:cNvGraphicFramePr/>
              <a:graphic xmlns:a="http://schemas.openxmlformats.org/drawingml/2006/main">
                <a:graphicData uri="http://schemas.microsoft.com/office/word/2010/wordprocessingShape">
                  <wps:wsp>
                    <wps:cNvSpPr txBox="1"/>
                    <wps:spPr>
                      <a:xfrm>
                        <a:off x="0" y="0"/>
                        <a:ext cx="182880" cy="220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2pt;margin-top:10.85pt;height:17.4pt;width:14.4pt;mso-position-horizontal-relative:margin;z-index:251658240;mso-width-relative:page;mso-height-relative:page;" filled="f" stroked="f" coordsize="21600,21600" o:gfxdata="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V7DgdgAAAAJAQAADwAAAAAA&#10;AAABACAAAAAiAAAAZHJzL2Rvd25yZXYueG1sUEsBAhQAFAAAAAgAh07iQE85U0QTAgAACQQAAA4A&#10;AAAAAAAAAQAgAAAAJwEAAGRycy9lMm9Eb2MueG1sUEsFBgAAAAAGAAYAWQEAAKwFAAAAAA==&#10;">
              <v:fill on="f" focussize="0,0"/>
              <v:stroke on="f" weight="0.5pt"/>
              <v:imagedata o:title=""/>
              <o:lock v:ext="edit" aspectratio="f"/>
              <v:textbox inset="0mm,0mm,0mm,0mm">
                <w:txbxContent>
                  <w:p>
                    <w:pPr>
                      <w:pStyle w:val="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楷体_GB2312" w:eastAsia="楷体_GB2312"/>
        <w:spacing w:val="-20"/>
        <w:sz w:val="24"/>
      </w:rPr>
    </w:pPr>
    <w:r>
      <w:rPr>
        <w:rFonts w:ascii="楷体_GB2312" w:eastAsia="楷体_GB2312"/>
        <w:spacing w:val="-20"/>
        <w:sz w:val="24"/>
      </w:rPr>
      <w:drawing>
        <wp:inline distT="0" distB="0" distL="0" distR="0">
          <wp:extent cx="5273675" cy="372110"/>
          <wp:effectExtent l="0" t="0" r="952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273675" cy="37211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811CDD"/>
    <w:multiLevelType w:val="singleLevel"/>
    <w:tmpl w:val="95811CDD"/>
    <w:lvl w:ilvl="0" w:tentative="0">
      <w:start w:val="1"/>
      <w:numFmt w:val="decimal"/>
      <w:suff w:val="nothing"/>
      <w:lvlText w:val="%1、"/>
      <w:lvlJc w:val="left"/>
    </w:lvl>
  </w:abstractNum>
  <w:abstractNum w:abstractNumId="1">
    <w:nsid w:val="F54178CB"/>
    <w:multiLevelType w:val="singleLevel"/>
    <w:tmpl w:val="F54178CB"/>
    <w:lvl w:ilvl="0" w:tentative="0">
      <w:start w:val="1"/>
      <w:numFmt w:val="chineseCounting"/>
      <w:suff w:val="nothing"/>
      <w:lvlText w:val="%1、"/>
      <w:lvlJc w:val="left"/>
      <w:rPr>
        <w:rFonts w:hint="eastAsia"/>
      </w:rPr>
    </w:lvl>
  </w:abstractNum>
  <w:abstractNum w:abstractNumId="2">
    <w:nsid w:val="464B5C2C"/>
    <w:multiLevelType w:val="singleLevel"/>
    <w:tmpl w:val="464B5C2C"/>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681"/>
    <w:rsid w:val="00025854"/>
    <w:rsid w:val="00096253"/>
    <w:rsid w:val="000F13D0"/>
    <w:rsid w:val="000F1537"/>
    <w:rsid w:val="00170747"/>
    <w:rsid w:val="001A5737"/>
    <w:rsid w:val="001D1CBC"/>
    <w:rsid w:val="001F1F96"/>
    <w:rsid w:val="00256BB6"/>
    <w:rsid w:val="00291CC7"/>
    <w:rsid w:val="00300E88"/>
    <w:rsid w:val="00323EF6"/>
    <w:rsid w:val="003342C6"/>
    <w:rsid w:val="003522B5"/>
    <w:rsid w:val="003B7E5A"/>
    <w:rsid w:val="003C3B47"/>
    <w:rsid w:val="003E7ADB"/>
    <w:rsid w:val="00435859"/>
    <w:rsid w:val="004A01F9"/>
    <w:rsid w:val="004A3117"/>
    <w:rsid w:val="004B5144"/>
    <w:rsid w:val="004C57E0"/>
    <w:rsid w:val="005215A8"/>
    <w:rsid w:val="00557B07"/>
    <w:rsid w:val="00565E33"/>
    <w:rsid w:val="00574FE3"/>
    <w:rsid w:val="005E0F17"/>
    <w:rsid w:val="005E1AA6"/>
    <w:rsid w:val="00605251"/>
    <w:rsid w:val="0061362B"/>
    <w:rsid w:val="00675B68"/>
    <w:rsid w:val="00695C13"/>
    <w:rsid w:val="006B035A"/>
    <w:rsid w:val="006F1A84"/>
    <w:rsid w:val="006F1C18"/>
    <w:rsid w:val="006F4097"/>
    <w:rsid w:val="006F5ECE"/>
    <w:rsid w:val="00747110"/>
    <w:rsid w:val="00777C5A"/>
    <w:rsid w:val="007C0389"/>
    <w:rsid w:val="007C7FCD"/>
    <w:rsid w:val="00810D9E"/>
    <w:rsid w:val="0081244C"/>
    <w:rsid w:val="00815681"/>
    <w:rsid w:val="00820880"/>
    <w:rsid w:val="00831F5D"/>
    <w:rsid w:val="008350A4"/>
    <w:rsid w:val="008604AB"/>
    <w:rsid w:val="008C3924"/>
    <w:rsid w:val="00920804"/>
    <w:rsid w:val="00952520"/>
    <w:rsid w:val="00962734"/>
    <w:rsid w:val="0096355A"/>
    <w:rsid w:val="00967CA3"/>
    <w:rsid w:val="009C0690"/>
    <w:rsid w:val="009D48C5"/>
    <w:rsid w:val="00A33513"/>
    <w:rsid w:val="00AA02B2"/>
    <w:rsid w:val="00AB4360"/>
    <w:rsid w:val="00AB44B8"/>
    <w:rsid w:val="00AB6516"/>
    <w:rsid w:val="00AC1C7F"/>
    <w:rsid w:val="00AE59FF"/>
    <w:rsid w:val="00AF0985"/>
    <w:rsid w:val="00B35B56"/>
    <w:rsid w:val="00B36F7F"/>
    <w:rsid w:val="00B37E2F"/>
    <w:rsid w:val="00B72D31"/>
    <w:rsid w:val="00B84BFF"/>
    <w:rsid w:val="00BB1CF7"/>
    <w:rsid w:val="00BF0681"/>
    <w:rsid w:val="00C04ECA"/>
    <w:rsid w:val="00C11376"/>
    <w:rsid w:val="00C13B4D"/>
    <w:rsid w:val="00C31146"/>
    <w:rsid w:val="00C91471"/>
    <w:rsid w:val="00C93F69"/>
    <w:rsid w:val="00CA2DB9"/>
    <w:rsid w:val="00CE6CBB"/>
    <w:rsid w:val="00D261DB"/>
    <w:rsid w:val="00D45A1B"/>
    <w:rsid w:val="00DC67C8"/>
    <w:rsid w:val="00E16F73"/>
    <w:rsid w:val="00E57C4A"/>
    <w:rsid w:val="00EE03FD"/>
    <w:rsid w:val="00EE22CA"/>
    <w:rsid w:val="00EF7C6E"/>
    <w:rsid w:val="00F42EDB"/>
    <w:rsid w:val="00F63032"/>
    <w:rsid w:val="00F90FC0"/>
    <w:rsid w:val="00FC3D6C"/>
    <w:rsid w:val="05721B52"/>
    <w:rsid w:val="06406278"/>
    <w:rsid w:val="069367D5"/>
    <w:rsid w:val="0C263E59"/>
    <w:rsid w:val="1211363E"/>
    <w:rsid w:val="15087B06"/>
    <w:rsid w:val="18A704B0"/>
    <w:rsid w:val="1AE627C7"/>
    <w:rsid w:val="22955826"/>
    <w:rsid w:val="266B13AF"/>
    <w:rsid w:val="30EC4CC0"/>
    <w:rsid w:val="326D1D74"/>
    <w:rsid w:val="32E20806"/>
    <w:rsid w:val="33BE6837"/>
    <w:rsid w:val="3B2B05D8"/>
    <w:rsid w:val="42663006"/>
    <w:rsid w:val="49B65664"/>
    <w:rsid w:val="4A0E7463"/>
    <w:rsid w:val="4D9A69F9"/>
    <w:rsid w:val="4FE964A0"/>
    <w:rsid w:val="54F36899"/>
    <w:rsid w:val="552C0983"/>
    <w:rsid w:val="556D79F4"/>
    <w:rsid w:val="5D21422D"/>
    <w:rsid w:val="60956A3D"/>
    <w:rsid w:val="60FA27E6"/>
    <w:rsid w:val="68D13A70"/>
    <w:rsid w:val="6B0A3C7F"/>
    <w:rsid w:val="6C4305B6"/>
    <w:rsid w:val="6CD339F0"/>
    <w:rsid w:val="72BF376A"/>
    <w:rsid w:val="72C02A83"/>
    <w:rsid w:val="79B40972"/>
    <w:rsid w:val="7A921598"/>
    <w:rsid w:val="7FE30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0"/>
    <w:rPr>
      <w:b/>
    </w:rPr>
  </w:style>
  <w:style w:type="character" w:styleId="9">
    <w:name w:val="annotation reference"/>
    <w:basedOn w:val="7"/>
    <w:qFormat/>
    <w:uiPriority w:val="0"/>
    <w:rPr>
      <w:sz w:val="21"/>
      <w:szCs w:val="21"/>
    </w:rPr>
  </w:style>
  <w:style w:type="paragraph" w:customStyle="1" w:styleId="10">
    <w:name w:val="WPSOffice手动目录 1"/>
    <w:qFormat/>
    <w:uiPriority w:val="0"/>
    <w:rPr>
      <w:rFonts w:ascii="Times New Roman" w:hAnsi="Times New Roman" w:eastAsia="宋体" w:cs="Times New Roman"/>
      <w:lang w:val="en-US" w:eastAsia="zh-CN" w:bidi="ar-SA"/>
    </w:rPr>
  </w:style>
  <w:style w:type="paragraph" w:customStyle="1" w:styleId="11">
    <w:name w:val="数字"/>
    <w:basedOn w:val="1"/>
    <w:uiPriority w:val="0"/>
    <w:rPr>
      <w:sz w:val="18"/>
    </w:rPr>
  </w:style>
  <w:style w:type="paragraph" w:customStyle="1" w:styleId="12">
    <w:name w:val="WPSOffice手动目录 2"/>
    <w:uiPriority w:val="0"/>
    <w:pPr>
      <w:ind w:left="200" w:leftChars="200"/>
    </w:pPr>
    <w:rPr>
      <w:rFonts w:ascii="Times New Roman" w:hAnsi="Times New Roman" w:eastAsia="宋体" w:cs="Times New Roman"/>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444</Words>
  <Characters>2532</Characters>
  <Lines>21</Lines>
  <Paragraphs>5</Paragraphs>
  <TotalTime>23</TotalTime>
  <ScaleCrop>false</ScaleCrop>
  <LinksUpToDate>false</LinksUpToDate>
  <CharactersWithSpaces>2971</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2020-08-03T05:53:00Z</dcterms:created>
  <dc:creator>Yang</dc:creator>
  <cp:lastModifiedBy>卟说嗳</cp:lastModifiedBy>
  <dcterms:modified xsi:type="dcterms:W3CDTF">2020-09-08T07:46:10Z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