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400" w:lineRule="exact"/>
        <w:ind w:right="105" w:firstLine="708"/>
        <w:jc w:val="center"/>
        <w:rPr>
          <w:rFonts w:ascii="黑体" w:hAnsi="宋体" w:eastAsia="黑体"/>
          <w:sz w:val="32"/>
          <w:szCs w:val="32"/>
        </w:rPr>
      </w:pPr>
      <w:r>
        <w:rPr>
          <w:rFonts w:hint="eastAsia" w:ascii="黑体" w:hAnsi="宋体" w:eastAsia="黑体"/>
          <w:sz w:val="32"/>
          <w:szCs w:val="32"/>
        </w:rPr>
        <w:t>不动产估价委托合同</w:t>
      </w:r>
    </w:p>
    <w:p>
      <w:pPr>
        <w:spacing w:before="62" w:beforeLines="20" w:after="62" w:afterLines="20" w:line="400" w:lineRule="exact"/>
        <w:jc w:val="right"/>
        <w:rPr>
          <w:rFonts w:ascii="黑体" w:hAnsi="宋体" w:eastAsia="黑体"/>
          <w:szCs w:val="21"/>
        </w:rPr>
      </w:pPr>
      <w:r>
        <w:rPr>
          <w:rFonts w:hint="eastAsia" w:ascii="黑体" w:hAnsi="宋体" w:eastAsia="黑体"/>
          <w:szCs w:val="21"/>
        </w:rPr>
        <w:t>康正合字[202</w:t>
      </w:r>
      <w:r>
        <w:rPr>
          <w:rFonts w:hint="eastAsia" w:ascii="黑体" w:hAnsi="宋体" w:eastAsia="黑体"/>
          <w:szCs w:val="21"/>
          <w:lang w:val="en-US" w:eastAsia="zh-CN"/>
        </w:rPr>
        <w:t>0</w:t>
      </w:r>
      <w:r>
        <w:rPr>
          <w:rFonts w:hint="eastAsia" w:ascii="黑体" w:hAnsi="宋体" w:eastAsia="黑体"/>
          <w:szCs w:val="21"/>
        </w:rPr>
        <w:t>]</w:t>
      </w:r>
      <w:r>
        <w:rPr>
          <w:rFonts w:ascii="Tahoma" w:hAnsi="Tahoma" w:eastAsia="Tahoma" w:cs="Tahoma"/>
          <w:b w:val="0"/>
          <w:i w:val="0"/>
          <w:caps w:val="0"/>
          <w:color w:val="282828"/>
          <w:spacing w:val="0"/>
          <w:sz w:val="21"/>
          <w:szCs w:val="21"/>
          <w:shd w:val="clear" w:fill="FFFFFF"/>
        </w:rPr>
        <w:t>434</w:t>
      </w:r>
      <w:r>
        <w:rPr>
          <w:rFonts w:hint="eastAsia" w:ascii="黑体" w:hAnsi="宋体" w:eastAsia="黑体"/>
          <w:szCs w:val="21"/>
        </w:rPr>
        <w:t>号</w:t>
      </w:r>
    </w:p>
    <w:p>
      <w:pPr>
        <w:tabs>
          <w:tab w:val="left" w:pos="7560"/>
        </w:tabs>
        <w:spacing w:before="62" w:beforeLines="20" w:after="62" w:afterLines="20" w:line="480" w:lineRule="auto"/>
        <w:ind w:firstLine="482" w:firstLineChars="200"/>
        <w:rPr>
          <w:rFonts w:hint="eastAsia" w:ascii="宋体" w:hAnsi="宋体"/>
          <w:b/>
          <w:bCs/>
          <w:sz w:val="24"/>
          <w:szCs w:val="24"/>
        </w:rPr>
      </w:pPr>
    </w:p>
    <w:p>
      <w:pPr>
        <w:tabs>
          <w:tab w:val="left" w:pos="7560"/>
        </w:tabs>
        <w:spacing w:before="62" w:beforeLines="20" w:after="62" w:afterLines="20" w:line="480" w:lineRule="auto"/>
        <w:ind w:firstLine="482" w:firstLineChars="200"/>
        <w:rPr>
          <w:rFonts w:ascii="宋体" w:hAnsi="宋体"/>
          <w:sz w:val="24"/>
          <w:szCs w:val="24"/>
          <w:u w:val="single"/>
        </w:rPr>
      </w:pPr>
      <w:r>
        <w:rPr>
          <w:rFonts w:hint="eastAsia" w:ascii="宋体" w:hAnsi="宋体"/>
          <w:b/>
          <w:bCs/>
          <w:sz w:val="24"/>
          <w:szCs w:val="24"/>
        </w:rPr>
        <w:t>甲方（委托方）</w:t>
      </w:r>
      <w:r>
        <w:rPr>
          <w:rFonts w:hint="eastAsia" w:ascii="宋体" w:hAnsi="宋体"/>
          <w:sz w:val="24"/>
          <w:szCs w:val="24"/>
        </w:rPr>
        <w:t>：</w:t>
      </w:r>
      <w:r>
        <w:rPr>
          <w:rFonts w:hint="eastAsia" w:ascii="宋体" w:hAnsi="宋体"/>
          <w:bCs/>
          <w:sz w:val="24"/>
          <w:szCs w:val="24"/>
          <w:u w:val="single"/>
        </w:rPr>
        <w:t xml:space="preserve"> </w:t>
      </w:r>
      <w:r>
        <w:rPr>
          <w:rFonts w:hint="eastAsia" w:ascii="宋体" w:hAnsi="宋体"/>
          <w:b/>
          <w:bCs/>
          <w:sz w:val="24"/>
          <w:szCs w:val="24"/>
          <w:u w:val="single"/>
        </w:rPr>
        <w:t xml:space="preserve"> </w:t>
      </w:r>
      <w:r>
        <w:rPr>
          <w:rFonts w:hint="eastAsia" w:ascii="宋体" w:hAnsi="宋体"/>
          <w:b/>
          <w:sz w:val="24"/>
          <w:szCs w:val="24"/>
          <w:u w:val="single"/>
        </w:rPr>
        <w:t>北京龙湖置业有限公司</w:t>
      </w:r>
      <w:r>
        <w:rPr>
          <w:rFonts w:hint="eastAsia" w:ascii="宋体" w:hAnsi="宋体"/>
          <w:b/>
          <w:bCs/>
          <w:sz w:val="24"/>
          <w:szCs w:val="24"/>
          <w:u w:val="single"/>
        </w:rPr>
        <w:t xml:space="preserve">   </w:t>
      </w:r>
      <w:r>
        <w:rPr>
          <w:rFonts w:hint="eastAsia" w:ascii="宋体" w:hAnsi="宋体"/>
          <w:bCs/>
          <w:sz w:val="24"/>
          <w:szCs w:val="24"/>
          <w:u w:val="single"/>
        </w:rPr>
        <w:t xml:space="preserve">                </w:t>
      </w:r>
    </w:p>
    <w:p>
      <w:pPr>
        <w:spacing w:before="62" w:beforeLines="20" w:after="62" w:afterLines="20" w:line="480" w:lineRule="auto"/>
        <w:ind w:firstLine="482" w:firstLineChars="200"/>
        <w:rPr>
          <w:rFonts w:ascii="宋体" w:hAnsi="宋体"/>
          <w:b/>
          <w:bCs/>
          <w:sz w:val="24"/>
          <w:szCs w:val="24"/>
          <w:u w:val="single"/>
        </w:rPr>
      </w:pPr>
      <w:r>
        <w:rPr>
          <w:rFonts w:hint="eastAsia" w:ascii="宋体" w:hAnsi="宋体"/>
          <w:b/>
          <w:bCs/>
          <w:sz w:val="24"/>
          <w:szCs w:val="24"/>
        </w:rPr>
        <w:t>乙方（受托方）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b/>
          <w:sz w:val="24"/>
          <w:szCs w:val="24"/>
          <w:u w:val="single"/>
        </w:rPr>
        <w:t>北京</w:t>
      </w:r>
      <w:r>
        <w:rPr>
          <w:rFonts w:hint="eastAsia" w:ascii="宋体" w:hAnsi="宋体"/>
          <w:b/>
          <w:bCs/>
          <w:sz w:val="24"/>
          <w:szCs w:val="24"/>
          <w:u w:val="single"/>
        </w:rPr>
        <w:t xml:space="preserve">康正宏基房地产评估有限公司  </w:t>
      </w:r>
      <w:r>
        <w:rPr>
          <w:rFonts w:hint="eastAsia" w:ascii="宋体" w:hAnsi="宋体"/>
          <w:bCs/>
          <w:sz w:val="24"/>
          <w:szCs w:val="24"/>
          <w:u w:val="single"/>
        </w:rPr>
        <w:t xml:space="preserve">      </w:t>
      </w:r>
      <w:r>
        <w:rPr>
          <w:rFonts w:ascii="宋体" w:hAnsi="宋体"/>
          <w:bCs/>
          <w:sz w:val="24"/>
          <w:szCs w:val="24"/>
          <w:u w:val="single"/>
        </w:rPr>
        <w:t xml:space="preserve"> </w:t>
      </w:r>
    </w:p>
    <w:p>
      <w:pPr>
        <w:spacing w:line="400" w:lineRule="exact"/>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依照《中华人民共和国合同法》、《中华人民共和国资产评估法》等法律、行政法规，经双方平等协商，特订立本合同，以资共同信守。</w:t>
      </w:r>
    </w:p>
    <w:p>
      <w:pPr>
        <w:spacing w:line="400" w:lineRule="exact"/>
        <w:ind w:firstLine="480" w:firstLineChars="200"/>
        <w:rPr>
          <w:rFonts w:ascii="宋体" w:hAnsi="宋体"/>
          <w:sz w:val="24"/>
          <w:szCs w:val="24"/>
          <w:u w:val="single"/>
        </w:rPr>
      </w:pPr>
    </w:p>
    <w:p>
      <w:pPr>
        <w:spacing w:after="62" w:afterLines="20" w:line="480" w:lineRule="auto"/>
        <w:ind w:firstLine="482" w:firstLineChars="200"/>
        <w:rPr>
          <w:rFonts w:ascii="宋体" w:hAnsi="宋体"/>
          <w:b/>
          <w:sz w:val="24"/>
          <w:szCs w:val="24"/>
        </w:rPr>
      </w:pPr>
      <w:r>
        <w:rPr>
          <w:rFonts w:hint="eastAsia" w:ascii="宋体" w:hAnsi="宋体"/>
          <w:b/>
          <w:sz w:val="24"/>
          <w:szCs w:val="24"/>
        </w:rPr>
        <w:t>一、委托估价项目名称：</w:t>
      </w:r>
      <w:r>
        <w:rPr>
          <w:rFonts w:ascii="宋体" w:hAnsi="宋体"/>
          <w:b/>
          <w:sz w:val="24"/>
          <w:szCs w:val="24"/>
          <w:u w:val="single"/>
        </w:rPr>
        <w:t xml:space="preserve"> </w:t>
      </w:r>
      <w:r>
        <w:rPr>
          <w:rFonts w:hint="eastAsia" w:ascii="宋体" w:hAnsi="宋体"/>
          <w:b/>
          <w:sz w:val="24"/>
          <w:szCs w:val="24"/>
          <w:u w:val="single"/>
        </w:rPr>
        <w:t>北京市海淀区颐和园路200号等5幢商业用房房地产抵押价值评估</w:t>
      </w:r>
      <w:r>
        <w:rPr>
          <w:rFonts w:ascii="宋体" w:hAnsi="宋体"/>
          <w:b/>
          <w:sz w:val="24"/>
          <w:szCs w:val="24"/>
          <w:u w:val="single"/>
        </w:rPr>
        <w:t xml:space="preserve"> </w:t>
      </w:r>
      <w:r>
        <w:rPr>
          <w:rFonts w:hint="eastAsia" w:ascii="宋体" w:hAnsi="宋体"/>
          <w:b/>
          <w:sz w:val="24"/>
          <w:szCs w:val="24"/>
          <w:u w:val="single"/>
        </w:rPr>
        <w:t xml:space="preserve">                                                 </w:t>
      </w:r>
    </w:p>
    <w:p>
      <w:pPr>
        <w:spacing w:before="62" w:beforeLines="20" w:after="62" w:afterLines="20" w:line="480" w:lineRule="auto"/>
        <w:ind w:firstLine="482" w:firstLineChars="200"/>
        <w:rPr>
          <w:rFonts w:ascii="宋体" w:hAnsi="宋体"/>
          <w:b/>
          <w:sz w:val="24"/>
          <w:szCs w:val="24"/>
          <w:u w:val="single"/>
        </w:rPr>
      </w:pPr>
      <w:r>
        <w:rPr>
          <w:rFonts w:hint="eastAsia" w:ascii="宋体" w:hAnsi="宋体"/>
          <w:b/>
          <w:sz w:val="24"/>
          <w:szCs w:val="24"/>
        </w:rPr>
        <w:t>二、估价目的</w:t>
      </w:r>
      <w:r>
        <w:rPr>
          <w:rFonts w:hint="eastAsia" w:ascii="宋体" w:hAnsi="宋体"/>
          <w:sz w:val="24"/>
          <w:szCs w:val="24"/>
        </w:rPr>
        <w:t>：</w:t>
      </w:r>
      <w:r>
        <w:rPr>
          <w:rFonts w:ascii="宋体" w:hAnsi="宋体"/>
          <w:b/>
          <w:sz w:val="24"/>
          <w:szCs w:val="24"/>
          <w:u w:val="single"/>
        </w:rPr>
        <w:t xml:space="preserve"> </w:t>
      </w:r>
      <w:r>
        <w:rPr>
          <w:rFonts w:hint="eastAsia" w:ascii="宋体" w:hAnsi="宋体"/>
          <w:b/>
          <w:sz w:val="24"/>
          <w:szCs w:val="24"/>
          <w:u w:val="single"/>
        </w:rPr>
        <w:t xml:space="preserve">为估价委托人在向金融机构（中国工商银行股份有限公司北京分行南礼士路支行）办理贷款手续过程中，确定房地产抵押贷款额度提供参考依据而评估房地产抵押价值。      </w:t>
      </w:r>
    </w:p>
    <w:p>
      <w:pPr>
        <w:pStyle w:val="11"/>
        <w:spacing w:before="62" w:beforeLines="20" w:after="62" w:afterLines="20" w:line="480" w:lineRule="auto"/>
        <w:ind w:firstLine="482" w:firstLineChars="200"/>
        <w:rPr>
          <w:szCs w:val="24"/>
        </w:rPr>
      </w:pPr>
      <w:r>
        <w:rPr>
          <w:rFonts w:hint="eastAsia"/>
          <w:szCs w:val="24"/>
        </w:rPr>
        <w:t>三、估价对象和估价范围：</w:t>
      </w:r>
      <w:r>
        <w:rPr>
          <w:b w:val="0"/>
          <w:szCs w:val="24"/>
          <w:u w:val="single"/>
        </w:rPr>
        <w:t xml:space="preserve"> </w:t>
      </w:r>
      <w:r>
        <w:rPr>
          <w:rFonts w:hint="eastAsia" w:ascii="宋体" w:hAnsi="宋体"/>
          <w:b/>
          <w:sz w:val="24"/>
          <w:szCs w:val="24"/>
          <w:u w:val="single"/>
        </w:rPr>
        <w:t>北京市海淀区颐和园路200号等5幢商业用房房地</w:t>
      </w:r>
      <w:r>
        <w:rPr>
          <w:rFonts w:hint="eastAsia"/>
          <w:b/>
          <w:sz w:val="24"/>
          <w:szCs w:val="24"/>
          <w:u w:val="single"/>
          <w:lang w:eastAsia="zh-CN"/>
        </w:rPr>
        <w:t>产</w:t>
      </w:r>
      <w:bookmarkStart w:id="0" w:name="_GoBack"/>
      <w:bookmarkEnd w:id="0"/>
      <w:r>
        <w:rPr>
          <w:rFonts w:hint="eastAsia"/>
          <w:b w:val="0"/>
          <w:szCs w:val="24"/>
          <w:u w:val="single"/>
        </w:rPr>
        <w:t xml:space="preserve">                                          </w:t>
      </w:r>
    </w:p>
    <w:p>
      <w:pPr>
        <w:spacing w:before="62" w:beforeLines="20" w:after="62" w:afterLines="20" w:line="480" w:lineRule="auto"/>
        <w:ind w:firstLine="482" w:firstLineChars="200"/>
        <w:rPr>
          <w:rFonts w:ascii="宋体" w:hAnsi="宋体"/>
          <w:sz w:val="24"/>
          <w:szCs w:val="24"/>
        </w:rPr>
      </w:pPr>
      <w:r>
        <w:rPr>
          <w:rFonts w:hint="eastAsia" w:ascii="宋体" w:hAnsi="宋体"/>
          <w:b/>
          <w:sz w:val="24"/>
          <w:szCs w:val="24"/>
        </w:rPr>
        <w:t>四、价值时点：</w:t>
      </w:r>
      <w:r>
        <w:rPr>
          <w:rFonts w:ascii="宋体" w:hAnsi="宋体"/>
          <w:b/>
          <w:sz w:val="24"/>
          <w:szCs w:val="24"/>
          <w:u w:val="single"/>
        </w:rPr>
        <w:t xml:space="preserve"> </w:t>
      </w:r>
      <w:r>
        <w:rPr>
          <w:rFonts w:hint="eastAsia" w:ascii="宋体" w:hAnsi="宋体"/>
          <w:b/>
          <w:sz w:val="24"/>
          <w:szCs w:val="24"/>
          <w:u w:val="single"/>
        </w:rPr>
        <w:t>2020</w:t>
      </w:r>
      <w:r>
        <w:rPr>
          <w:rFonts w:ascii="宋体" w:hAnsi="宋体"/>
          <w:b/>
          <w:sz w:val="24"/>
          <w:szCs w:val="24"/>
          <w:u w:val="single"/>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1</w:t>
      </w:r>
      <w:r>
        <w:rPr>
          <w:rFonts w:hint="eastAsia" w:ascii="宋体" w:hAnsi="宋体"/>
          <w:b/>
          <w:sz w:val="24"/>
          <w:szCs w:val="24"/>
          <w:u w:val="single"/>
          <w:lang w:val="en-US" w:eastAsia="zh-CN"/>
        </w:rPr>
        <w:t>2</w:t>
      </w:r>
      <w:r>
        <w:rPr>
          <w:rFonts w:hint="eastAsia" w:ascii="宋体" w:hAnsi="宋体"/>
          <w:b/>
          <w:sz w:val="24"/>
          <w:szCs w:val="24"/>
          <w:u w:val="single"/>
        </w:rPr>
        <w:t xml:space="preserve"> </w:t>
      </w:r>
      <w:r>
        <w:rPr>
          <w:rFonts w:hint="eastAsia" w:ascii="宋体" w:hAnsi="宋体"/>
          <w:b/>
          <w:sz w:val="24"/>
          <w:szCs w:val="24"/>
        </w:rPr>
        <w:t>月</w:t>
      </w:r>
      <w:r>
        <w:rPr>
          <w:rFonts w:ascii="宋体" w:hAnsi="宋体"/>
          <w:b/>
          <w:sz w:val="24"/>
          <w:szCs w:val="24"/>
          <w:u w:val="single"/>
        </w:rPr>
        <w:t xml:space="preserve"> </w:t>
      </w:r>
      <w:r>
        <w:rPr>
          <w:rFonts w:hint="eastAsia" w:ascii="宋体" w:hAnsi="宋体"/>
          <w:b/>
          <w:sz w:val="24"/>
          <w:szCs w:val="24"/>
          <w:u w:val="single"/>
          <w:lang w:val="en-US" w:eastAsia="zh-CN"/>
        </w:rPr>
        <w:t>2</w:t>
      </w:r>
      <w:r>
        <w:rPr>
          <w:rFonts w:hint="eastAsia" w:ascii="宋体" w:hAnsi="宋体"/>
          <w:b/>
          <w:sz w:val="24"/>
          <w:szCs w:val="24"/>
          <w:u w:val="single"/>
          <w:lang w:val="en-US" w:eastAsia="zh-CN"/>
        </w:rPr>
        <w:t>5</w:t>
      </w:r>
      <w:r>
        <w:rPr>
          <w:rFonts w:hint="eastAsia" w:ascii="宋体" w:hAnsi="宋体"/>
          <w:b/>
          <w:sz w:val="24"/>
          <w:szCs w:val="24"/>
          <w:u w:val="single"/>
        </w:rPr>
        <w:t xml:space="preserve"> </w:t>
      </w:r>
      <w:r>
        <w:rPr>
          <w:rFonts w:hint="eastAsia" w:ascii="宋体" w:hAnsi="宋体"/>
          <w:b/>
          <w:sz w:val="24"/>
          <w:szCs w:val="24"/>
        </w:rPr>
        <w:t>日</w:t>
      </w:r>
      <w:r>
        <w:rPr>
          <w:rFonts w:ascii="宋体" w:hAnsi="宋体"/>
          <w:b/>
          <w:sz w:val="24"/>
          <w:szCs w:val="24"/>
        </w:rPr>
        <w:t xml:space="preserve"> </w:t>
      </w:r>
    </w:p>
    <w:p>
      <w:pPr>
        <w:spacing w:before="62" w:beforeLines="20" w:after="62" w:afterLines="20" w:line="480" w:lineRule="auto"/>
        <w:ind w:firstLine="482" w:firstLineChars="200"/>
        <w:rPr>
          <w:rFonts w:ascii="宋体" w:hAnsi="宋体"/>
          <w:sz w:val="24"/>
          <w:szCs w:val="24"/>
        </w:rPr>
      </w:pPr>
      <w:r>
        <w:rPr>
          <w:rFonts w:hint="eastAsia" w:ascii="宋体" w:hAnsi="宋体"/>
          <w:b/>
          <w:sz w:val="24"/>
          <w:szCs w:val="24"/>
        </w:rPr>
        <w:t>五、价值类型：</w:t>
      </w:r>
      <w:r>
        <w:rPr>
          <w:rFonts w:hint="eastAsia" w:ascii="宋体" w:hAnsi="宋体"/>
          <w:b/>
          <w:sz w:val="24"/>
          <w:szCs w:val="24"/>
          <w:u w:val="single"/>
        </w:rPr>
        <w:t xml:space="preserve">  抵押价值  </w:t>
      </w:r>
    </w:p>
    <w:p>
      <w:pPr>
        <w:spacing w:before="62" w:beforeLines="20" w:after="62" w:afterLines="20" w:line="400" w:lineRule="exact"/>
        <w:ind w:firstLine="482" w:firstLineChars="200"/>
        <w:rPr>
          <w:rFonts w:ascii="宋体" w:hAnsi="宋体"/>
          <w:b/>
          <w:sz w:val="24"/>
          <w:szCs w:val="24"/>
        </w:rPr>
      </w:pPr>
    </w:p>
    <w:p>
      <w:pPr>
        <w:spacing w:before="62" w:beforeLines="20" w:after="62" w:afterLines="20" w:line="400" w:lineRule="exact"/>
        <w:ind w:firstLine="482" w:firstLineChars="200"/>
        <w:rPr>
          <w:rFonts w:ascii="宋体" w:hAnsi="宋体"/>
          <w:sz w:val="24"/>
          <w:szCs w:val="24"/>
        </w:rPr>
      </w:pPr>
      <w:r>
        <w:rPr>
          <w:rFonts w:hint="eastAsia" w:ascii="宋体" w:hAnsi="宋体"/>
          <w:b/>
          <w:sz w:val="24"/>
          <w:szCs w:val="24"/>
        </w:rPr>
        <w:t>六、评估业务完成期限</w:t>
      </w:r>
    </w:p>
    <w:p>
      <w:pPr>
        <w:spacing w:before="62" w:beforeLines="20" w:after="62" w:afterLines="20" w:line="360" w:lineRule="auto"/>
        <w:ind w:firstLine="480" w:firstLineChars="200"/>
        <w:rPr>
          <w:rFonts w:ascii="宋体" w:hAnsi="宋体"/>
          <w:sz w:val="24"/>
          <w:szCs w:val="24"/>
        </w:rPr>
      </w:pPr>
      <w:r>
        <w:rPr>
          <w:rFonts w:hint="eastAsia" w:ascii="宋体" w:hAnsi="宋体"/>
          <w:sz w:val="24"/>
          <w:szCs w:val="24"/>
        </w:rPr>
        <w:t>根据不动产估价工作时间安排，甲方应先期准备或指定不动产权利人、此次经济行为相关方提供乙方估价所需的不动产权属证明及其他相关资料，并于_</w:t>
      </w:r>
      <w:r>
        <w:rPr>
          <w:rFonts w:hint="eastAsia" w:ascii="宋体" w:hAnsi="宋体"/>
          <w:sz w:val="24"/>
          <w:szCs w:val="24"/>
          <w:u w:val="single"/>
        </w:rPr>
        <w:t>_/</w:t>
      </w:r>
      <w:r>
        <w:rPr>
          <w:rFonts w:hint="eastAsia" w:ascii="宋体" w:hAnsi="宋体"/>
          <w:sz w:val="24"/>
          <w:szCs w:val="24"/>
        </w:rPr>
        <w:t>__年_</w:t>
      </w:r>
      <w:r>
        <w:rPr>
          <w:rFonts w:hint="eastAsia" w:ascii="宋体" w:hAnsi="宋体"/>
          <w:sz w:val="24"/>
          <w:szCs w:val="24"/>
          <w:u w:val="single"/>
        </w:rPr>
        <w:t>_/_</w:t>
      </w:r>
      <w:r>
        <w:rPr>
          <w:rFonts w:hint="eastAsia" w:ascii="宋体" w:hAnsi="宋体"/>
          <w:sz w:val="24"/>
          <w:szCs w:val="24"/>
        </w:rPr>
        <w:t>_月__</w:t>
      </w:r>
      <w:r>
        <w:rPr>
          <w:rFonts w:hint="eastAsia" w:ascii="宋体" w:hAnsi="宋体"/>
          <w:sz w:val="24"/>
          <w:szCs w:val="24"/>
          <w:u w:val="single"/>
        </w:rPr>
        <w:t>_/_</w:t>
      </w:r>
      <w:r>
        <w:rPr>
          <w:rFonts w:hint="eastAsia" w:ascii="宋体" w:hAnsi="宋体"/>
          <w:sz w:val="24"/>
          <w:szCs w:val="24"/>
        </w:rPr>
        <w:t>_日以前将上述资料交给乙方。在正常情况下，乙方收到上述应提供的全部资料后，组织评估专业人员在</w:t>
      </w:r>
      <w:r>
        <w:rPr>
          <w:rFonts w:hint="eastAsia" w:ascii="宋体" w:hAnsi="宋体" w:cs="宋体"/>
          <w:sz w:val="24"/>
          <w:szCs w:val="24"/>
        </w:rPr>
        <w:t>十个工作日内</w:t>
      </w:r>
      <w:r>
        <w:rPr>
          <w:rFonts w:hint="eastAsia" w:ascii="宋体" w:hAnsi="宋体"/>
          <w:sz w:val="24"/>
          <w:szCs w:val="24"/>
        </w:rPr>
        <w:t>完成甲方委托的评估工作，并向甲方提交《不动产估价报告书》。若甲方（含其指定不动产权利人、此次经济行为相关方）不能及时提供资料，乙方可以顺延提交报告的时间。</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七、评估服务费及支付方式</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1.</w:t>
      </w:r>
      <w:r>
        <w:rPr>
          <w:rFonts w:hint="eastAsia"/>
          <w:sz w:val="24"/>
          <w:szCs w:val="24"/>
        </w:rPr>
        <w:t xml:space="preserve"> </w:t>
      </w:r>
      <w:r>
        <w:rPr>
          <w:rFonts w:hint="eastAsia" w:ascii="宋体" w:hAnsi="宋体"/>
          <w:sz w:val="24"/>
          <w:szCs w:val="24"/>
        </w:rPr>
        <w:t>参考原国家计委、建设部发布的《国家计委、建设部关于房地产中介服务收费的通知》（计价格第971号）相关规定、此次评估的特定目的及本项目评估工作的繁简程度，甲乙双方协商本次估价服务费合计为人民币</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万</w:t>
      </w:r>
      <w:r>
        <w:rPr>
          <w:rFonts w:hint="eastAsia" w:ascii="宋体" w:hAnsi="宋体"/>
          <w:bCs/>
          <w:sz w:val="24"/>
          <w:szCs w:val="24"/>
        </w:rPr>
        <w:t>元（人民币</w:t>
      </w:r>
      <w:r>
        <w:rPr>
          <w:rFonts w:hint="eastAsia" w:ascii="宋体" w:hAnsi="宋体"/>
          <w:bCs/>
          <w:sz w:val="24"/>
          <w:szCs w:val="24"/>
          <w:lang w:eastAsia="zh-CN"/>
        </w:rPr>
        <w:t>伍</w:t>
      </w:r>
      <w:r>
        <w:rPr>
          <w:rFonts w:hint="eastAsia" w:ascii="宋体" w:hAnsi="宋体"/>
          <w:bCs/>
          <w:sz w:val="24"/>
          <w:szCs w:val="24"/>
        </w:rPr>
        <w:t>万元整）</w:t>
      </w:r>
      <w:r>
        <w:rPr>
          <w:rFonts w:hint="eastAsia" w:ascii="宋体" w:hAnsi="宋体"/>
          <w:sz w:val="24"/>
          <w:szCs w:val="24"/>
        </w:rPr>
        <w:t>。差旅费用（包括乙方人员往来估价对象不动产所在地），由</w:t>
      </w:r>
      <w:r>
        <w:rPr>
          <w:rFonts w:hint="eastAsia" w:ascii="宋体" w:hAnsi="宋体"/>
          <w:sz w:val="24"/>
          <w:szCs w:val="24"/>
          <w:u w:val="single"/>
        </w:rPr>
        <w:t>/</w:t>
      </w:r>
      <w:r>
        <w:rPr>
          <w:rFonts w:hint="eastAsia" w:ascii="宋体" w:hAnsi="宋体"/>
          <w:sz w:val="24"/>
          <w:szCs w:val="24"/>
        </w:rPr>
        <w:t>支付，乙方工作人员在估价对象不动产所在地食宿、交通、必要的办公场所通讯费用由</w:t>
      </w:r>
      <w:r>
        <w:rPr>
          <w:rFonts w:hint="eastAsia" w:ascii="宋体" w:hAnsi="宋体"/>
          <w:sz w:val="24"/>
          <w:szCs w:val="24"/>
          <w:u w:val="single"/>
        </w:rPr>
        <w:t xml:space="preserve"> 乙方 </w:t>
      </w:r>
      <w:r>
        <w:rPr>
          <w:rFonts w:hint="eastAsia" w:ascii="宋体" w:hAnsi="宋体"/>
          <w:sz w:val="24"/>
          <w:szCs w:val="24"/>
        </w:rPr>
        <w:t>支付。</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2.支付方式：本合同经双方签章后</w:t>
      </w:r>
      <w:r>
        <w:rPr>
          <w:rFonts w:hint="eastAsia" w:ascii="宋体" w:hAnsi="宋体"/>
          <w:sz w:val="24"/>
          <w:szCs w:val="24"/>
          <w:u w:val="single"/>
        </w:rPr>
        <w:t xml:space="preserve"> /  </w:t>
      </w:r>
      <w:r>
        <w:rPr>
          <w:rFonts w:hint="eastAsia" w:ascii="宋体" w:hAnsi="宋体"/>
          <w:sz w:val="24"/>
          <w:szCs w:val="24"/>
        </w:rPr>
        <w:t>日内，甲方即支付给乙方</w:t>
      </w:r>
      <w:r>
        <w:rPr>
          <w:rFonts w:hint="eastAsia" w:ascii="宋体" w:hAnsi="宋体"/>
          <w:sz w:val="24"/>
          <w:szCs w:val="24"/>
          <w:u w:val="single"/>
        </w:rPr>
        <w:t xml:space="preserve"> / </w:t>
      </w:r>
      <w:r>
        <w:rPr>
          <w:rFonts w:hint="eastAsia" w:ascii="宋体" w:hAnsi="宋体"/>
          <w:sz w:val="24"/>
          <w:szCs w:val="24"/>
        </w:rPr>
        <w:t>万元作为定金；</w:t>
      </w:r>
      <w:r>
        <w:rPr>
          <w:rFonts w:hint="eastAsia" w:ascii="宋体" w:hAnsi="宋体" w:cs="宋体"/>
          <w:sz w:val="24"/>
          <w:szCs w:val="24"/>
        </w:rPr>
        <w:t>乙方提交正式《不动产估价报告书》三日内，</w:t>
      </w:r>
      <w:r>
        <w:rPr>
          <w:rFonts w:hint="eastAsia" w:ascii="宋体" w:hAnsi="宋体"/>
          <w:sz w:val="24"/>
          <w:szCs w:val="24"/>
        </w:rPr>
        <w:t>甲方支付给乙方人民币</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bCs/>
          <w:sz w:val="24"/>
          <w:szCs w:val="24"/>
        </w:rPr>
        <w:t>（人民币</w:t>
      </w:r>
      <w:r>
        <w:rPr>
          <w:rFonts w:hint="eastAsia" w:ascii="宋体" w:hAnsi="宋体"/>
          <w:bCs/>
          <w:sz w:val="24"/>
          <w:szCs w:val="24"/>
          <w:lang w:eastAsia="zh-CN"/>
        </w:rPr>
        <w:t>伍</w:t>
      </w:r>
      <w:r>
        <w:rPr>
          <w:rFonts w:hint="eastAsia" w:ascii="宋体" w:hAnsi="宋体"/>
          <w:bCs/>
          <w:sz w:val="24"/>
          <w:szCs w:val="24"/>
        </w:rPr>
        <w:t>万元整）</w:t>
      </w:r>
      <w:r>
        <w:rPr>
          <w:rFonts w:hint="eastAsia" w:ascii="宋体" w:hAnsi="宋体"/>
          <w:sz w:val="24"/>
          <w:szCs w:val="24"/>
        </w:rPr>
        <w:t>。乙方应在每次收款前提供等额的增值税专用发票。</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3.乙方账号如下：</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户    名：北京康正宏基房地产评估有限公司</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纳税人识别号：91110106722616974K</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开 户 行：交通银行北京中轴路支行</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开户账号：110060739012015026873</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行    号：交739</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地    址：北京市丰台区方庄芳城园一区16号楼2层2门配套公建01</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电    话：82253558</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八、双方的权利与义务</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（一） 甲方</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1.甲方应当对其（包括其指定的不动产权利人、此次经济行为相关方）提供的权属证明、财务会计信息和其他资料的真实性、完整性和合法性负责，按合同约定及时提供。</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2.甲方（包括其指定的不动产权利人、此次经济行为相关方）有责任配合乙方到有关部门查阅、抄录有关估价对象的资料；在乙方现场勘查及权属文件资料核查和验证工作时，应指定专业人员配合、提供方便。</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3.甲方自接到乙方提交的《不动产估价报告书》之日起五个工作日内，如对估价结果产生异议，且理由正当，可书面向乙方提出复估或重估申请。</w:t>
      </w:r>
    </w:p>
    <w:p>
      <w:pPr>
        <w:tabs>
          <w:tab w:val="left" w:pos="720"/>
        </w:tabs>
        <w:spacing w:before="62" w:beforeLines="20" w:after="62" w:afterLines="20" w:line="360" w:lineRule="auto"/>
        <w:ind w:firstLine="480" w:firstLineChars="200"/>
        <w:outlineLvl w:val="0"/>
        <w:rPr>
          <w:rFonts w:hint="eastAsia" w:ascii="宋体" w:hAnsi="宋体"/>
          <w:sz w:val="24"/>
          <w:szCs w:val="24"/>
        </w:rPr>
      </w:pPr>
      <w:r>
        <w:rPr>
          <w:rFonts w:hint="eastAsia" w:ascii="宋体" w:hAnsi="宋体"/>
          <w:sz w:val="24"/>
          <w:szCs w:val="24"/>
        </w:rPr>
        <w:t>4．甲方不得要求乙方出具虚假评估报告或者有其他非法干预评估结果情形。</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5.</w:t>
      </w:r>
      <w:r>
        <w:rPr>
          <w:rFonts w:hint="eastAsia"/>
        </w:rPr>
        <w:t xml:space="preserve"> </w:t>
      </w:r>
      <w:r>
        <w:rPr>
          <w:rFonts w:hint="eastAsia" w:ascii="宋体" w:hAnsi="宋体"/>
          <w:sz w:val="24"/>
          <w:szCs w:val="24"/>
        </w:rPr>
        <w:t>甲方有义务正确、恰当地使用《不动产估价报告书》。</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（二） 乙方</w:t>
      </w:r>
      <w:r>
        <w:rPr>
          <w:rFonts w:hint="eastAsia" w:ascii="宋体" w:hAnsi="宋体"/>
          <w:sz w:val="24"/>
          <w:szCs w:val="24"/>
        </w:rPr>
        <w:tab/>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1.乙方有权要求甲方提供与估价对象相关的权属证明、财务会计信息和其他资料，以及为执行公允的评估程序所需的必要协助。</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2.乙方应独立、客观、公正从事估价业务；认真执行法律和行政法规，对出具《不动产报告书》承担相应的法律责任。</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3.乙方应对收到的甲方所提供的有关估价对象的资料妥善保管并负保密之责，非经甲方同意不得擅自公开或泄露给他人。</w:t>
      </w:r>
    </w:p>
    <w:p>
      <w:pPr>
        <w:tabs>
          <w:tab w:val="left" w:pos="720"/>
        </w:tabs>
        <w:spacing w:before="62" w:beforeLines="20" w:after="62" w:afterLines="20" w:line="360" w:lineRule="auto"/>
        <w:ind w:firstLine="480" w:firstLineChars="200"/>
        <w:outlineLvl w:val="0"/>
        <w:rPr>
          <w:rFonts w:ascii="宋体" w:hAnsi="宋体"/>
          <w:sz w:val="24"/>
          <w:szCs w:val="24"/>
        </w:rPr>
      </w:pPr>
      <w:r>
        <w:rPr>
          <w:rFonts w:hint="eastAsia" w:ascii="宋体" w:hAnsi="宋体"/>
          <w:sz w:val="24"/>
          <w:szCs w:val="24"/>
        </w:rPr>
        <w:t>4．如适用，乙方应对甲方复估或重估书面申请后</w:t>
      </w:r>
      <w:r>
        <w:rPr>
          <w:rFonts w:hint="eastAsia" w:ascii="宋体" w:hAnsi="宋体" w:cs="宋体"/>
          <w:sz w:val="24"/>
          <w:szCs w:val="24"/>
        </w:rPr>
        <w:t>十个工作日内</w:t>
      </w:r>
      <w:r>
        <w:rPr>
          <w:rFonts w:hint="eastAsia" w:ascii="宋体" w:hAnsi="宋体"/>
          <w:sz w:val="24"/>
          <w:szCs w:val="24"/>
        </w:rPr>
        <w:t>完成估价对象的复估或重估报告书，交付甲方。</w:t>
      </w:r>
    </w:p>
    <w:p>
      <w:pPr>
        <w:pStyle w:val="4"/>
        <w:spacing w:before="62" w:beforeLines="20" w:after="62" w:afterLines="20"/>
        <w:ind w:firstLine="480" w:firstLineChars="200"/>
        <w:rPr>
          <w:rFonts w:ascii="宋体" w:hAnsi="宋体" w:eastAsia="宋体"/>
          <w:szCs w:val="24"/>
        </w:rPr>
      </w:pPr>
    </w:p>
    <w:p>
      <w:pPr>
        <w:tabs>
          <w:tab w:val="left" w:pos="720"/>
        </w:tabs>
        <w:spacing w:before="62" w:beforeLines="20" w:after="62" w:afterLines="20" w:line="400" w:lineRule="exact"/>
        <w:ind w:firstLine="482" w:firstLineChars="200"/>
        <w:rPr>
          <w:rFonts w:ascii="宋体" w:hAnsi="宋体"/>
          <w:sz w:val="24"/>
          <w:szCs w:val="24"/>
        </w:rPr>
      </w:pPr>
      <w:r>
        <w:rPr>
          <w:rFonts w:hint="eastAsia" w:ascii="宋体" w:hAnsi="宋体"/>
          <w:b/>
          <w:sz w:val="24"/>
          <w:szCs w:val="24"/>
        </w:rPr>
        <w:t>九、不动产估价报告书的使用者及使用范围</w:t>
      </w:r>
    </w:p>
    <w:p>
      <w:pPr>
        <w:tabs>
          <w:tab w:val="left" w:pos="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 xml:space="preserve">乙方履行本合同出具的《不动产估价报告书》的使用者为：甲方及法律法规规定的使用者。 </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《不动产估价报告书》仅供甲方及法律法规规定的使用者按本合同约定的估价目的使用，乙方对上述报告使用者不当使用《不动产估价报告书》所造成的后果不承担责任。</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如无法律法规规定，甲方未征得乙方事先书面同意，不得摘抄、引用或者披露《不动产估价报告书》的内容于任何公开媒体之上。</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如无法律法规规定，乙方未经甲方事先书面，不得将《不动产估价报告书》的内容向第三方提供或者公开。</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十、违约责任</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一）甲、乙双方按照《中华人民共和国合同法》、《中华人民共和国资产评估法》的规定承担责任以及相应的违约责任。签约各方因不可抗力无法履行本合同的，根据不可抗力的影响，可以部分或者全部免除责任，法律另有规定的除外。</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（二）发生下列情形的，甲乙双方承担各自责任：</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1.甲方如未按上述条款规定的日期向乙方提供具备真实性、完整性和合法性要求的估价所必需资料，甲方应承担相应的法律责任，乙方可按甲方耽误的时间顺延《不动产估价报告书》的交付时间。</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2.甲方单方终止本合同，如乙方工作已经过半，甲方应向乙方支付全部估价服务费；乙方工作尚未过半，甲方应向乙方支付全部估价服务费的50%，或定金不予退还，上述两者之中取其高者。</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3.甲方如未按上述条款规定的时间向乙方支付估价服务费，以甲方应付款项为基数，从逾期之日起，每逾期一日，甲方向乙方支付应付款项的万分之六作为违约金。</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4.乙方如无正当理由，逾期交付《不动产估价报告书》，每逾期一日，乙方向甲方支付估价服务费的万分之六作为违约金。</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十一、保密条款</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本合同内容以及合同履行过程中的任何信息，甲乙双方及双方参与的人员应严格保密；未经对方书面同意，不得向任何第三方透露，法律法规要求披露的除外。</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十二、合同的变更、中止、解除</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本合同履行过程中，如发生《中华人民共和国合同法》、《中华人民共和国资产评估法》中允许变更或解除合同的情况，双方应依法或依约定变更或解除合同。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甲、乙双方发现相关事项约定不明确，或者履行估价程序受到限制需要增加、调整约定事项的，可以协商对合同相关条款进行变更，并签订补充合同或者重新签订合同。补充合同或者新的合同</w:t>
      </w:r>
      <w:r>
        <w:rPr>
          <w:rFonts w:ascii="宋体" w:hAnsi="宋体" w:eastAsia="宋体"/>
          <w:sz w:val="24"/>
          <w:szCs w:val="24"/>
        </w:rPr>
        <w:t>未达成前，</w:t>
      </w:r>
      <w:r>
        <w:rPr>
          <w:rFonts w:hint="eastAsia" w:ascii="宋体" w:hAnsi="宋体" w:eastAsia="宋体"/>
          <w:sz w:val="24"/>
          <w:szCs w:val="24"/>
        </w:rPr>
        <w:t>本合同</w:t>
      </w:r>
      <w:r>
        <w:rPr>
          <w:rFonts w:ascii="宋体" w:hAnsi="宋体" w:eastAsia="宋体"/>
          <w:sz w:val="24"/>
          <w:szCs w:val="24"/>
        </w:rPr>
        <w:t>仍然有效</w:t>
      </w:r>
      <w:r>
        <w:rPr>
          <w:rFonts w:hint="eastAsia" w:ascii="宋体" w:hAnsi="宋体" w:eastAsia="宋体"/>
          <w:sz w:val="24"/>
          <w:szCs w:val="24"/>
        </w:rPr>
        <w:t xml:space="preserve">。   </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本合同签订后，估价目的、估价对象、价值时点发生变化，或者估价范围发生重大变化，甲、乙双方应签订补充合同或者重新签订合同。</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hint="eastAsia" w:ascii="宋体" w:hAnsi="宋体" w:eastAsia="宋体"/>
          <w:sz w:val="24"/>
          <w:szCs w:val="24"/>
        </w:rPr>
        <w:t>当估价程序所受限制对与估价目的相对应的估价结论构成重大影响时，乙方可以中止履行合同；相关限制无法排除时，乙方可以解除合同。</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合同解除后，乙方根据已完成的工作量与甲方协商确定应收取或者退回的评估服务费。</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b/>
          <w:sz w:val="24"/>
          <w:szCs w:val="24"/>
        </w:rPr>
      </w:pPr>
      <w:r>
        <w:rPr>
          <w:rFonts w:hint="eastAsia" w:ascii="宋体" w:hAnsi="宋体"/>
          <w:b/>
          <w:sz w:val="24"/>
          <w:szCs w:val="24"/>
        </w:rPr>
        <w:t>十三、争议的解决</w:t>
      </w:r>
    </w:p>
    <w:p>
      <w:pPr>
        <w:pStyle w:val="3"/>
        <w:snapToGrid w:val="0"/>
        <w:spacing w:before="62" w:beforeLines="20" w:after="62" w:afterLines="20" w:line="360" w:lineRule="auto"/>
        <w:ind w:firstLine="480" w:firstLineChars="200"/>
        <w:jc w:val="both"/>
        <w:rPr>
          <w:rFonts w:ascii="宋体" w:hAnsi="宋体" w:eastAsia="宋体"/>
          <w:sz w:val="24"/>
          <w:szCs w:val="24"/>
        </w:rPr>
      </w:pPr>
      <w:r>
        <w:rPr>
          <w:rFonts w:ascii="宋体" w:hAnsi="宋体" w:eastAsia="宋体"/>
          <w:sz w:val="24"/>
          <w:szCs w:val="24"/>
        </w:rPr>
        <w:t>凡因本</w:t>
      </w:r>
      <w:r>
        <w:rPr>
          <w:rFonts w:hint="eastAsia" w:ascii="宋体" w:hAnsi="宋体" w:eastAsia="宋体"/>
          <w:sz w:val="24"/>
          <w:szCs w:val="24"/>
        </w:rPr>
        <w:t>合同</w:t>
      </w:r>
      <w:r>
        <w:rPr>
          <w:rFonts w:ascii="宋体" w:hAnsi="宋体" w:eastAsia="宋体"/>
          <w:sz w:val="24"/>
          <w:szCs w:val="24"/>
        </w:rPr>
        <w:t>或与本</w:t>
      </w:r>
      <w:r>
        <w:rPr>
          <w:rFonts w:hint="eastAsia" w:ascii="宋体" w:hAnsi="宋体" w:eastAsia="宋体"/>
          <w:sz w:val="24"/>
          <w:szCs w:val="24"/>
        </w:rPr>
        <w:t>合同</w:t>
      </w:r>
      <w:r>
        <w:rPr>
          <w:rFonts w:ascii="宋体" w:hAnsi="宋体" w:eastAsia="宋体"/>
          <w:sz w:val="24"/>
          <w:szCs w:val="24"/>
        </w:rPr>
        <w:t>有关的一切争议，</w:t>
      </w:r>
      <w:r>
        <w:rPr>
          <w:rFonts w:hint="eastAsia" w:ascii="宋体" w:hAnsi="宋体" w:eastAsia="宋体"/>
          <w:sz w:val="24"/>
          <w:szCs w:val="24"/>
        </w:rPr>
        <w:t>甲、乙双</w:t>
      </w:r>
      <w:r>
        <w:rPr>
          <w:rFonts w:ascii="宋体" w:hAnsi="宋体" w:eastAsia="宋体"/>
          <w:sz w:val="24"/>
          <w:szCs w:val="24"/>
        </w:rPr>
        <w:t>方应友好协商解决</w:t>
      </w:r>
      <w:r>
        <w:rPr>
          <w:rFonts w:hint="eastAsia" w:ascii="宋体" w:hAnsi="宋体" w:eastAsia="宋体"/>
          <w:sz w:val="24"/>
          <w:szCs w:val="24"/>
        </w:rPr>
        <w:t>；</w:t>
      </w:r>
      <w:r>
        <w:rPr>
          <w:rFonts w:ascii="宋体" w:hAnsi="宋体" w:eastAsia="宋体"/>
          <w:sz w:val="24"/>
          <w:szCs w:val="24"/>
        </w:rPr>
        <w:t>协商不成的，</w:t>
      </w:r>
      <w:r>
        <w:rPr>
          <w:rFonts w:hint="eastAsia" w:ascii="宋体" w:hAnsi="宋体" w:eastAsia="宋体"/>
          <w:sz w:val="24"/>
          <w:szCs w:val="24"/>
        </w:rPr>
        <w:t>任何一方均有权向自己住所地人民法院提起诉讼，接受第一立案法院管辖</w:t>
      </w:r>
      <w:r>
        <w:rPr>
          <w:rFonts w:ascii="宋体" w:hAnsi="宋体" w:eastAsia="宋体"/>
          <w:sz w:val="24"/>
          <w:szCs w:val="24"/>
        </w:rPr>
        <w:t>。</w:t>
      </w:r>
    </w:p>
    <w:p>
      <w:pPr>
        <w:tabs>
          <w:tab w:val="left" w:pos="720"/>
          <w:tab w:val="left" w:pos="5595"/>
        </w:tabs>
        <w:spacing w:before="62" w:beforeLines="20" w:after="62" w:afterLines="20" w:line="400" w:lineRule="exact"/>
        <w:ind w:firstLine="482" w:firstLineChars="200"/>
        <w:rPr>
          <w:rFonts w:ascii="宋体" w:hAnsi="宋体"/>
          <w:b/>
          <w:sz w:val="24"/>
          <w:szCs w:val="24"/>
        </w:rPr>
      </w:pPr>
    </w:p>
    <w:p>
      <w:pPr>
        <w:tabs>
          <w:tab w:val="left" w:pos="720"/>
          <w:tab w:val="left" w:pos="5595"/>
        </w:tabs>
        <w:spacing w:before="62" w:beforeLines="20" w:after="62" w:afterLines="20" w:line="400" w:lineRule="exact"/>
        <w:ind w:firstLine="482" w:firstLineChars="200"/>
        <w:rPr>
          <w:rFonts w:ascii="宋体" w:hAnsi="宋体"/>
          <w:sz w:val="24"/>
          <w:szCs w:val="24"/>
        </w:rPr>
      </w:pPr>
      <w:r>
        <w:rPr>
          <w:rFonts w:hint="eastAsia" w:ascii="宋体" w:hAnsi="宋体"/>
          <w:b/>
          <w:sz w:val="24"/>
          <w:szCs w:val="24"/>
        </w:rPr>
        <w:t>十四、合同有效期限</w:t>
      </w:r>
      <w:r>
        <w:rPr>
          <w:rFonts w:ascii="宋体" w:hAnsi="宋体"/>
          <w:b/>
          <w:sz w:val="24"/>
          <w:szCs w:val="24"/>
        </w:rPr>
        <w:tab/>
      </w:r>
    </w:p>
    <w:p>
      <w:pPr>
        <w:tabs>
          <w:tab w:val="left" w:pos="720"/>
        </w:tabs>
        <w:spacing w:before="62" w:beforeLines="20" w:after="62" w:afterLines="20" w:line="400" w:lineRule="exact"/>
        <w:ind w:firstLine="480" w:firstLineChars="200"/>
        <w:rPr>
          <w:rFonts w:ascii="宋体" w:hAnsi="宋体"/>
          <w:sz w:val="24"/>
          <w:szCs w:val="24"/>
        </w:rPr>
      </w:pPr>
      <w:r>
        <w:rPr>
          <w:rFonts w:hint="eastAsia" w:ascii="宋体" w:hAnsi="宋体"/>
          <w:sz w:val="24"/>
          <w:szCs w:val="24"/>
        </w:rPr>
        <w:t>本合同经甲、乙双方签章后生效，约定事项全部完成后终止。</w:t>
      </w:r>
    </w:p>
    <w:p>
      <w:pPr>
        <w:tabs>
          <w:tab w:val="left" w:pos="720"/>
        </w:tabs>
        <w:spacing w:before="62" w:beforeLines="20" w:after="62" w:afterLines="20" w:line="400" w:lineRule="exact"/>
        <w:ind w:firstLine="482" w:firstLineChars="200"/>
        <w:rPr>
          <w:rFonts w:ascii="宋体" w:hAnsi="宋体"/>
          <w:b/>
          <w:sz w:val="24"/>
          <w:szCs w:val="24"/>
        </w:rPr>
      </w:pPr>
    </w:p>
    <w:p>
      <w:pPr>
        <w:tabs>
          <w:tab w:val="left" w:pos="720"/>
        </w:tabs>
        <w:spacing w:before="62" w:beforeLines="20" w:after="62" w:afterLines="20" w:line="400" w:lineRule="exact"/>
        <w:ind w:firstLine="482" w:firstLineChars="200"/>
        <w:rPr>
          <w:rFonts w:ascii="宋体" w:hAnsi="宋体"/>
          <w:sz w:val="24"/>
          <w:szCs w:val="24"/>
          <w:u w:val="single"/>
        </w:rPr>
      </w:pPr>
      <w:r>
        <w:rPr>
          <w:rFonts w:hint="eastAsia" w:ascii="宋体" w:hAnsi="宋体"/>
          <w:b/>
          <w:sz w:val="24"/>
          <w:szCs w:val="24"/>
        </w:rPr>
        <w:t>十五、对其他有关事项的约定</w:t>
      </w:r>
    </w:p>
    <w:p>
      <w:pPr>
        <w:tabs>
          <w:tab w:val="left" w:pos="720"/>
        </w:tabs>
        <w:spacing w:before="62" w:beforeLines="20" w:after="62" w:afterLines="20" w:line="360" w:lineRule="auto"/>
        <w:ind w:firstLine="480" w:firstLineChars="200"/>
        <w:rPr>
          <w:rFonts w:ascii="宋体" w:hAnsi="宋体"/>
          <w:sz w:val="24"/>
          <w:szCs w:val="24"/>
        </w:rPr>
      </w:pPr>
      <w:r>
        <w:rPr>
          <w:rFonts w:hint="eastAsia" w:ascii="宋体" w:hAnsi="宋体"/>
          <w:sz w:val="24"/>
          <w:szCs w:val="24"/>
        </w:rPr>
        <w:t>1．本合同一式</w:t>
      </w:r>
      <w:r>
        <w:rPr>
          <w:rFonts w:hint="eastAsia" w:ascii="宋体" w:hAnsi="宋体"/>
          <w:sz w:val="24"/>
          <w:szCs w:val="24"/>
          <w:u w:val="single"/>
        </w:rPr>
        <w:t xml:space="preserve"> 贰 </w:t>
      </w:r>
      <w:r>
        <w:rPr>
          <w:rFonts w:hint="eastAsia" w:ascii="宋体" w:hAnsi="宋体"/>
          <w:sz w:val="24"/>
          <w:szCs w:val="24"/>
        </w:rPr>
        <w:t>份，甲方持</w:t>
      </w:r>
      <w:r>
        <w:rPr>
          <w:rFonts w:hint="eastAsia" w:ascii="宋体" w:hAnsi="宋体"/>
          <w:sz w:val="24"/>
          <w:szCs w:val="24"/>
          <w:u w:val="single"/>
        </w:rPr>
        <w:t xml:space="preserve"> 壹 </w:t>
      </w:r>
      <w:r>
        <w:rPr>
          <w:rFonts w:hint="eastAsia" w:ascii="宋体" w:hAnsi="宋体"/>
          <w:sz w:val="24"/>
          <w:szCs w:val="24"/>
        </w:rPr>
        <w:t>份，乙方持</w:t>
      </w:r>
      <w:r>
        <w:rPr>
          <w:rFonts w:hint="eastAsia" w:ascii="宋体" w:hAnsi="宋体"/>
          <w:sz w:val="24"/>
          <w:szCs w:val="24"/>
          <w:u w:val="single"/>
        </w:rPr>
        <w:t xml:space="preserve"> 壹 </w:t>
      </w:r>
      <w:r>
        <w:rPr>
          <w:rFonts w:hint="eastAsia" w:ascii="宋体" w:hAnsi="宋体"/>
          <w:sz w:val="24"/>
          <w:szCs w:val="24"/>
        </w:rPr>
        <w:t>份。</w:t>
      </w:r>
    </w:p>
    <w:p>
      <w:pPr>
        <w:tabs>
          <w:tab w:val="left" w:pos="720"/>
        </w:tabs>
        <w:spacing w:before="62" w:beforeLines="20" w:after="62" w:afterLines="20" w:line="360" w:lineRule="auto"/>
        <w:ind w:firstLine="480" w:firstLineChars="200"/>
        <w:rPr>
          <w:rFonts w:hint="eastAsia" w:ascii="宋体" w:hAnsi="宋体"/>
          <w:sz w:val="24"/>
          <w:szCs w:val="24"/>
        </w:rPr>
      </w:pPr>
      <w:r>
        <w:rPr>
          <w:rFonts w:hint="eastAsia" w:ascii="宋体" w:hAnsi="宋体"/>
          <w:sz w:val="24"/>
          <w:szCs w:val="24"/>
        </w:rPr>
        <w:t>2．未尽事宜，由甲乙双方协商解决。可增订补充合同，补充合同与前所述条款发生冲突时，以补充合同为准。</w:t>
      </w:r>
    </w:p>
    <w:p>
      <w:pPr>
        <w:tabs>
          <w:tab w:val="left" w:pos="720"/>
        </w:tabs>
        <w:spacing w:before="62" w:beforeLines="20" w:after="62" w:afterLines="20" w:line="360" w:lineRule="auto"/>
        <w:ind w:firstLine="480" w:firstLineChars="200"/>
        <w:rPr>
          <w:rFonts w:hint="eastAsia" w:ascii="宋体" w:hAnsi="宋体"/>
          <w:sz w:val="24"/>
          <w:szCs w:val="24"/>
        </w:rPr>
      </w:pPr>
    </w:p>
    <w:p>
      <w:pPr>
        <w:tabs>
          <w:tab w:val="left" w:pos="720"/>
        </w:tabs>
        <w:spacing w:before="62" w:beforeLines="20" w:after="62" w:afterLines="20" w:line="360" w:lineRule="auto"/>
        <w:ind w:firstLine="480" w:firstLineChars="200"/>
        <w:rPr>
          <w:rFonts w:hint="eastAsia" w:ascii="楷体_GB2312" w:hAnsi="宋体" w:eastAsia="楷体_GB2312"/>
          <w:sz w:val="24"/>
          <w:szCs w:val="24"/>
        </w:rPr>
      </w:pPr>
      <w:r>
        <w:rPr>
          <w:rFonts w:hint="eastAsia" w:ascii="楷体_GB2312" w:hAnsi="宋体" w:eastAsia="楷体_GB2312"/>
          <w:sz w:val="24"/>
          <w:szCs w:val="24"/>
        </w:rPr>
        <w:t>（本页下方无正文）</w:t>
      </w:r>
    </w:p>
    <w:p>
      <w:pPr>
        <w:ind w:right="105" w:firstLine="496"/>
        <w:rPr>
          <w:sz w:val="24"/>
          <w:szCs w:val="24"/>
        </w:rPr>
      </w:pPr>
      <w:r>
        <w:rPr>
          <w:sz w:val="24"/>
          <w:szCs w:val="24"/>
        </w:rPr>
        <w:br w:type="page"/>
      </w:r>
    </w:p>
    <w:p>
      <w:pPr>
        <w:ind w:right="105" w:firstLine="496"/>
        <w:rPr>
          <w:rFonts w:hint="eastAsia"/>
          <w:sz w:val="24"/>
          <w:szCs w:val="24"/>
        </w:rPr>
      </w:pPr>
    </w:p>
    <w:p>
      <w:pPr>
        <w:tabs>
          <w:tab w:val="left" w:pos="720"/>
        </w:tabs>
        <w:spacing w:before="62" w:beforeLines="20" w:after="62" w:afterLines="20" w:line="360" w:lineRule="auto"/>
        <w:ind w:firstLine="480" w:firstLineChars="200"/>
        <w:rPr>
          <w:rFonts w:hint="eastAsia"/>
          <w:sz w:val="24"/>
          <w:szCs w:val="24"/>
        </w:rPr>
      </w:pPr>
      <w:r>
        <w:rPr>
          <w:rFonts w:hint="eastAsia" w:ascii="楷体_GB2312" w:hAnsi="宋体" w:eastAsia="楷体_GB2312"/>
          <w:sz w:val="24"/>
          <w:szCs w:val="24"/>
        </w:rPr>
        <w:t>（本页为盖章页）</w:t>
      </w:r>
    </w:p>
    <w:p>
      <w:pPr>
        <w:ind w:right="105" w:firstLine="496"/>
        <w:rPr>
          <w:rFonts w:hint="eastAsia"/>
          <w:sz w:val="24"/>
          <w:szCs w:val="24"/>
        </w:rPr>
      </w:pPr>
    </w:p>
    <w:p>
      <w:pPr>
        <w:ind w:right="105" w:firstLine="496"/>
        <w:rPr>
          <w:sz w:val="24"/>
          <w:szCs w:val="24"/>
        </w:rPr>
      </w:pPr>
    </w:p>
    <w:p>
      <w:pPr>
        <w:ind w:right="105" w:firstLine="496"/>
        <w:rPr>
          <w:sz w:val="24"/>
          <w:szCs w:val="24"/>
        </w:rPr>
      </w:pPr>
    </w:p>
    <w:p>
      <w:pPr>
        <w:spacing w:line="480" w:lineRule="auto"/>
        <w:ind w:right="108" w:firstLine="493"/>
        <w:rPr>
          <w:sz w:val="24"/>
          <w:szCs w:val="24"/>
        </w:rPr>
      </w:pPr>
      <w:r>
        <w:rPr>
          <w:rFonts w:hint="eastAsia"/>
          <w:sz w:val="24"/>
          <w:szCs w:val="24"/>
        </w:rPr>
        <w:t xml:space="preserve">甲方(盖章) ：                     </w:t>
      </w:r>
    </w:p>
    <w:p>
      <w:pPr>
        <w:spacing w:line="480" w:lineRule="auto"/>
        <w:ind w:right="108" w:firstLine="493"/>
        <w:rPr>
          <w:sz w:val="24"/>
          <w:szCs w:val="24"/>
        </w:rPr>
      </w:pPr>
      <w:r>
        <w:rPr>
          <w:rFonts w:hint="eastAsia"/>
          <w:sz w:val="24"/>
          <w:szCs w:val="24"/>
        </w:rPr>
        <w:t xml:space="preserve">法定代表人或授权代理人(签字) ：   </w:t>
      </w:r>
    </w:p>
    <w:p>
      <w:pPr>
        <w:spacing w:line="480" w:lineRule="auto"/>
        <w:ind w:right="108" w:firstLine="493"/>
        <w:rPr>
          <w:sz w:val="24"/>
          <w:szCs w:val="24"/>
        </w:rPr>
      </w:pPr>
      <w:r>
        <w:rPr>
          <w:rFonts w:hint="eastAsia"/>
          <w:sz w:val="24"/>
          <w:szCs w:val="24"/>
        </w:rPr>
        <w:t xml:space="preserve">联系地址：                      </w:t>
      </w:r>
    </w:p>
    <w:p>
      <w:pPr>
        <w:spacing w:line="480" w:lineRule="auto"/>
        <w:ind w:right="108" w:firstLine="493"/>
        <w:rPr>
          <w:sz w:val="24"/>
          <w:szCs w:val="24"/>
        </w:rPr>
      </w:pPr>
      <w:r>
        <w:rPr>
          <w:rFonts w:hint="eastAsia"/>
          <w:sz w:val="24"/>
          <w:szCs w:val="24"/>
        </w:rPr>
        <w:t xml:space="preserve">电话：                          </w:t>
      </w:r>
    </w:p>
    <w:p>
      <w:pPr>
        <w:spacing w:line="480" w:lineRule="auto"/>
        <w:ind w:right="108" w:firstLine="493"/>
        <w:rPr>
          <w:sz w:val="24"/>
          <w:szCs w:val="24"/>
        </w:rPr>
      </w:pPr>
      <w:r>
        <w:rPr>
          <w:rFonts w:hint="eastAsia"/>
          <w:sz w:val="24"/>
          <w:szCs w:val="24"/>
        </w:rPr>
        <w:t xml:space="preserve">       年   月   日   </w:t>
      </w:r>
    </w:p>
    <w:p>
      <w:pPr>
        <w:spacing w:line="480" w:lineRule="auto"/>
        <w:ind w:right="108" w:firstLine="493"/>
        <w:rPr>
          <w:rFonts w:hint="eastAsia"/>
          <w:sz w:val="24"/>
          <w:szCs w:val="24"/>
        </w:rPr>
      </w:pPr>
    </w:p>
    <w:p>
      <w:pPr>
        <w:spacing w:line="480" w:lineRule="auto"/>
        <w:ind w:right="108" w:firstLine="493"/>
        <w:rPr>
          <w:rFonts w:hint="eastAsia"/>
          <w:sz w:val="24"/>
          <w:szCs w:val="24"/>
        </w:rPr>
      </w:pPr>
    </w:p>
    <w:p>
      <w:pPr>
        <w:spacing w:line="480" w:lineRule="auto"/>
        <w:ind w:right="108" w:firstLine="493"/>
        <w:rPr>
          <w:sz w:val="24"/>
          <w:szCs w:val="24"/>
        </w:rPr>
      </w:pPr>
    </w:p>
    <w:p>
      <w:pPr>
        <w:spacing w:line="480" w:lineRule="auto"/>
        <w:ind w:right="108" w:firstLine="493"/>
        <w:rPr>
          <w:sz w:val="24"/>
          <w:szCs w:val="24"/>
        </w:rPr>
      </w:pPr>
      <w:r>
        <w:rPr>
          <w:rFonts w:hint="eastAsia"/>
          <w:sz w:val="24"/>
          <w:szCs w:val="24"/>
        </w:rPr>
        <w:t>乙方(盖章) ：</w:t>
      </w:r>
    </w:p>
    <w:p>
      <w:pPr>
        <w:spacing w:line="480" w:lineRule="auto"/>
        <w:ind w:right="108" w:firstLine="493"/>
        <w:rPr>
          <w:sz w:val="24"/>
          <w:szCs w:val="24"/>
        </w:rPr>
      </w:pPr>
      <w:r>
        <w:rPr>
          <w:rFonts w:hint="eastAsia"/>
          <w:sz w:val="24"/>
          <w:szCs w:val="24"/>
        </w:rPr>
        <w:t>法定代表人或授权代理人(签字) ：</w:t>
      </w:r>
    </w:p>
    <w:p>
      <w:pPr>
        <w:spacing w:line="480" w:lineRule="auto"/>
        <w:ind w:right="108" w:firstLine="493"/>
        <w:rPr>
          <w:sz w:val="24"/>
          <w:szCs w:val="24"/>
        </w:rPr>
      </w:pPr>
      <w:r>
        <w:rPr>
          <w:rFonts w:hint="eastAsia"/>
          <w:sz w:val="24"/>
          <w:szCs w:val="24"/>
        </w:rPr>
        <w:t>联系地址：</w:t>
      </w:r>
    </w:p>
    <w:p>
      <w:pPr>
        <w:spacing w:line="480" w:lineRule="auto"/>
        <w:ind w:right="108" w:firstLine="493"/>
        <w:rPr>
          <w:sz w:val="24"/>
          <w:szCs w:val="24"/>
        </w:rPr>
      </w:pPr>
      <w:r>
        <w:rPr>
          <w:rFonts w:hint="eastAsia"/>
          <w:sz w:val="24"/>
          <w:szCs w:val="24"/>
        </w:rPr>
        <w:t>电话：</w:t>
      </w:r>
    </w:p>
    <w:p>
      <w:pPr>
        <w:spacing w:line="480" w:lineRule="auto"/>
        <w:ind w:right="108" w:firstLine="493"/>
        <w:rPr>
          <w:sz w:val="24"/>
          <w:szCs w:val="24"/>
        </w:rPr>
      </w:pPr>
      <w:r>
        <w:rPr>
          <w:rFonts w:hint="eastAsia"/>
          <w:sz w:val="24"/>
          <w:szCs w:val="24"/>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6</w:t>
    </w:r>
    <w:r>
      <w:rPr>
        <w:b/>
        <w:sz w:val="24"/>
        <w:szCs w:val="24"/>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66A2"/>
    <w:rsid w:val="00086710"/>
    <w:rsid w:val="0009219B"/>
    <w:rsid w:val="000F3BC8"/>
    <w:rsid w:val="00116144"/>
    <w:rsid w:val="001570D8"/>
    <w:rsid w:val="00176CD6"/>
    <w:rsid w:val="001E3C50"/>
    <w:rsid w:val="002E52E4"/>
    <w:rsid w:val="002F2E8D"/>
    <w:rsid w:val="003543A6"/>
    <w:rsid w:val="00393456"/>
    <w:rsid w:val="003C3D51"/>
    <w:rsid w:val="003C4C14"/>
    <w:rsid w:val="003F2A53"/>
    <w:rsid w:val="003F6929"/>
    <w:rsid w:val="004049F9"/>
    <w:rsid w:val="00424644"/>
    <w:rsid w:val="00427355"/>
    <w:rsid w:val="00460EAE"/>
    <w:rsid w:val="00464648"/>
    <w:rsid w:val="00520F93"/>
    <w:rsid w:val="00526E13"/>
    <w:rsid w:val="00540F9F"/>
    <w:rsid w:val="00543A6A"/>
    <w:rsid w:val="00555B04"/>
    <w:rsid w:val="00594DD6"/>
    <w:rsid w:val="005B6011"/>
    <w:rsid w:val="00665EDC"/>
    <w:rsid w:val="007A2139"/>
    <w:rsid w:val="007D0891"/>
    <w:rsid w:val="007D2EC2"/>
    <w:rsid w:val="007F6C9B"/>
    <w:rsid w:val="0084111D"/>
    <w:rsid w:val="008832E8"/>
    <w:rsid w:val="008D4FDE"/>
    <w:rsid w:val="008E11D1"/>
    <w:rsid w:val="009117F5"/>
    <w:rsid w:val="0093106D"/>
    <w:rsid w:val="0096333A"/>
    <w:rsid w:val="0097385A"/>
    <w:rsid w:val="009A751B"/>
    <w:rsid w:val="00A07E06"/>
    <w:rsid w:val="00A22AF2"/>
    <w:rsid w:val="00A7312D"/>
    <w:rsid w:val="00B55B32"/>
    <w:rsid w:val="00BC6F2F"/>
    <w:rsid w:val="00BF223E"/>
    <w:rsid w:val="00C21946"/>
    <w:rsid w:val="00C84E2D"/>
    <w:rsid w:val="00CB09B2"/>
    <w:rsid w:val="00D64F94"/>
    <w:rsid w:val="00D70ECF"/>
    <w:rsid w:val="00DB7A4D"/>
    <w:rsid w:val="00E12B75"/>
    <w:rsid w:val="00EB48DF"/>
    <w:rsid w:val="00EB69BC"/>
    <w:rsid w:val="00EB7388"/>
    <w:rsid w:val="00F24AC2"/>
    <w:rsid w:val="00F33BC5"/>
    <w:rsid w:val="00F51651"/>
    <w:rsid w:val="00FC4782"/>
    <w:rsid w:val="00FD0271"/>
    <w:rsid w:val="0B3E71F6"/>
    <w:rsid w:val="337B23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1"/>
    <w:basedOn w:val="1"/>
    <w:next w:val="1"/>
    <w:link w:val="16"/>
    <w:qFormat/>
    <w:uiPriority w:val="9"/>
    <w:pPr>
      <w:keepNext/>
      <w:keepLines/>
      <w:widowControl/>
      <w:spacing w:before="340" w:after="330" w:line="578" w:lineRule="auto"/>
      <w:ind w:right="50" w:rightChars="50" w:firstLine="236" w:firstLineChars="236"/>
      <w:outlineLvl w:val="0"/>
    </w:pPr>
    <w:rPr>
      <w:rFonts w:ascii="Calibri" w:hAnsi="Calibri" w:eastAsia="宋体" w:cs="Times New Roman"/>
      <w:b/>
      <w:bCs/>
      <w:kern w:val="44"/>
      <w:sz w:val="44"/>
      <w:szCs w:val="44"/>
    </w:rPr>
  </w:style>
  <w:style w:type="character" w:default="1" w:styleId="13">
    <w:name w:val="Default Paragraph Font"/>
    <w:semiHidden/>
    <w:unhideWhenUsed/>
    <w:uiPriority w:val="1"/>
  </w:style>
  <w:style w:type="table" w:default="1" w:styleId="12">
    <w:name w:val="Normal Table"/>
    <w:semiHidden/>
    <w:unhideWhenUsed/>
    <w:uiPriority w:val="99"/>
    <w:tblPr>
      <w:tblStyle w:val="12"/>
      <w:tblCellMar>
        <w:top w:w="0" w:type="dxa"/>
        <w:left w:w="108" w:type="dxa"/>
        <w:bottom w:w="0" w:type="dxa"/>
        <w:right w:w="108" w:type="dxa"/>
      </w:tblCellMar>
    </w:tblPr>
    <w:trPr>
      <w:wBefore w:w="0" w:type="dxa"/>
    </w:trPr>
  </w:style>
  <w:style w:type="paragraph" w:styleId="3">
    <w:name w:val="annotation text"/>
    <w:basedOn w:val="1"/>
    <w:link w:val="20"/>
    <w:semiHidden/>
    <w:unhideWhenUsed/>
    <w:uiPriority w:val="0"/>
    <w:pPr>
      <w:jc w:val="left"/>
    </w:pPr>
    <w:rPr>
      <w:rFonts w:eastAsia="仿宋_GB2312"/>
      <w:sz w:val="30"/>
      <w:szCs w:val="30"/>
    </w:rPr>
  </w:style>
  <w:style w:type="paragraph" w:styleId="4">
    <w:name w:val="Body Text"/>
    <w:basedOn w:val="1"/>
    <w:link w:val="18"/>
    <w:uiPriority w:val="0"/>
    <w:pPr>
      <w:spacing w:before="120" w:after="120" w:line="400" w:lineRule="exact"/>
    </w:pPr>
    <w:rPr>
      <w:rFonts w:eastAsia="仿宋_GB2312"/>
      <w:sz w:val="24"/>
    </w:rPr>
  </w:style>
  <w:style w:type="paragraph" w:styleId="5">
    <w:name w:val="Body Text Indent"/>
    <w:basedOn w:val="1"/>
    <w:link w:val="17"/>
    <w:uiPriority w:val="0"/>
    <w:pPr>
      <w:tabs>
        <w:tab w:val="left" w:pos="720"/>
      </w:tabs>
      <w:spacing w:before="120" w:after="120" w:line="400" w:lineRule="exact"/>
      <w:ind w:left="360"/>
    </w:pPr>
    <w:rPr>
      <w:rFonts w:eastAsia="仿宋_GB2312"/>
      <w:sz w:val="24"/>
    </w:rPr>
  </w:style>
  <w:style w:type="paragraph" w:styleId="6">
    <w:name w:val="toc 3"/>
    <w:basedOn w:val="1"/>
    <w:next w:val="1"/>
    <w:semiHidden/>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7">
    <w:name w:val="footer"/>
    <w:basedOn w:val="1"/>
    <w:link w:val="22"/>
    <w:unhideWhenUsed/>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pPr>
      <w:widowControl/>
      <w:spacing w:after="100" w:line="276" w:lineRule="auto"/>
      <w:jc w:val="left"/>
    </w:pPr>
    <w:rPr>
      <w:rFonts w:ascii="Calibri" w:hAnsi="Calibri" w:eastAsia="宋体" w:cs="Times New Roman"/>
      <w:kern w:val="0"/>
      <w:sz w:val="22"/>
      <w:szCs w:val="22"/>
    </w:rPr>
  </w:style>
  <w:style w:type="paragraph" w:styleId="10">
    <w:name w:val="toc 2"/>
    <w:basedOn w:val="1"/>
    <w:next w:val="1"/>
    <w:semiHidden/>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1">
    <w:name w:val="Body Text 2"/>
    <w:basedOn w:val="1"/>
    <w:link w:val="19"/>
    <w:uiPriority w:val="0"/>
    <w:pPr>
      <w:spacing w:before="120" w:after="120" w:line="400" w:lineRule="exact"/>
    </w:pPr>
    <w:rPr>
      <w:rFonts w:ascii="宋体" w:hAnsi="宋体"/>
      <w:b/>
      <w:bCs/>
      <w:sz w:val="24"/>
    </w:rPr>
  </w:style>
  <w:style w:type="paragraph" w:styleId="14">
    <w:name w:val="List Paragraph"/>
    <w:basedOn w:val="1"/>
    <w:qFormat/>
    <w:uiPriority w:val="34"/>
    <w:pPr>
      <w:widowControl/>
      <w:ind w:right="50" w:rightChars="50" w:firstLine="420" w:firstLineChars="200"/>
    </w:pPr>
    <w:rPr>
      <w:rFonts w:ascii="Calibri" w:hAnsi="Calibri" w:eastAsia="宋体" w:cs="Times New Roman"/>
      <w:szCs w:val="22"/>
    </w:rPr>
  </w:style>
  <w:style w:type="paragraph" w:styleId="15">
    <w:name w:val=""/>
    <w:basedOn w:val="2"/>
    <w:next w:val="1"/>
    <w:qFormat/>
    <w:uiPriority w:val="39"/>
    <w:pPr>
      <w:spacing w:before="480" w:after="0" w:line="276" w:lineRule="auto"/>
      <w:ind w:right="0" w:rightChars="0" w:firstLine="0" w:firstLineChars="0"/>
      <w:jc w:val="left"/>
      <w:outlineLvl w:val="9"/>
    </w:pPr>
    <w:rPr>
      <w:rFonts w:ascii="Cambria" w:hAnsi="Cambria" w:eastAsia="宋体" w:cs="Times New Roman"/>
      <w:color w:val="365F91"/>
      <w:kern w:val="0"/>
      <w:sz w:val="28"/>
      <w:szCs w:val="28"/>
    </w:rPr>
  </w:style>
  <w:style w:type="character" w:customStyle="1" w:styleId="16">
    <w:name w:val="标题 1 Char"/>
    <w:link w:val="2"/>
    <w:uiPriority w:val="9"/>
    <w:rPr>
      <w:b/>
      <w:bCs/>
      <w:kern w:val="44"/>
      <w:sz w:val="44"/>
      <w:szCs w:val="44"/>
    </w:rPr>
  </w:style>
  <w:style w:type="character" w:customStyle="1" w:styleId="17">
    <w:name w:val="正文文本缩进 Char"/>
    <w:link w:val="5"/>
    <w:uiPriority w:val="0"/>
    <w:rPr>
      <w:rFonts w:ascii="Times New Roman" w:hAnsi="Times New Roman" w:eastAsia="仿宋_GB2312" w:cs="Times New Roman"/>
      <w:sz w:val="24"/>
      <w:szCs w:val="20"/>
    </w:rPr>
  </w:style>
  <w:style w:type="character" w:customStyle="1" w:styleId="18">
    <w:name w:val="正文文本 Char"/>
    <w:link w:val="4"/>
    <w:uiPriority w:val="0"/>
    <w:rPr>
      <w:rFonts w:ascii="Times New Roman" w:hAnsi="Times New Roman" w:eastAsia="仿宋_GB2312" w:cs="Times New Roman"/>
      <w:sz w:val="24"/>
      <w:szCs w:val="20"/>
    </w:rPr>
  </w:style>
  <w:style w:type="character" w:customStyle="1" w:styleId="19">
    <w:name w:val="正文文本 2 Char"/>
    <w:link w:val="11"/>
    <w:uiPriority w:val="0"/>
    <w:rPr>
      <w:rFonts w:ascii="宋体" w:hAnsi="宋体" w:eastAsia="宋体" w:cs="Times New Roman"/>
      <w:b/>
      <w:bCs/>
      <w:sz w:val="24"/>
      <w:szCs w:val="20"/>
    </w:rPr>
  </w:style>
  <w:style w:type="character" w:customStyle="1" w:styleId="20">
    <w:name w:val="批注文字 Char"/>
    <w:link w:val="3"/>
    <w:semiHidden/>
    <w:uiPriority w:val="0"/>
    <w:rPr>
      <w:rFonts w:ascii="Times New Roman" w:hAnsi="Times New Roman" w:eastAsia="仿宋_GB2312" w:cs="Times New Roman"/>
      <w:sz w:val="30"/>
      <w:szCs w:val="30"/>
    </w:rPr>
  </w:style>
  <w:style w:type="character" w:customStyle="1" w:styleId="21">
    <w:name w:val="页眉 Char"/>
    <w:link w:val="8"/>
    <w:uiPriority w:val="99"/>
    <w:rPr>
      <w:rFonts w:ascii="Times New Roman" w:hAnsi="Times New Roman" w:eastAsia="宋体" w:cs="Times New Roman"/>
      <w:sz w:val="18"/>
      <w:szCs w:val="18"/>
    </w:rPr>
  </w:style>
  <w:style w:type="character" w:customStyle="1" w:styleId="22">
    <w:name w:val="页脚 Char"/>
    <w:link w:val="7"/>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495</Words>
  <Characters>2826</Characters>
  <Lines>23</Lines>
  <Paragraphs>6</Paragraphs>
  <TotalTime>28</TotalTime>
  <ScaleCrop>false</ScaleCrop>
  <LinksUpToDate>false</LinksUpToDate>
  <CharactersWithSpaces>3315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2019-01-07T07:00:00Z</dcterms:created>
  <dc:creator>topvaluer</dc:creator>
  <cp:lastModifiedBy>Administrator</cp:lastModifiedBy>
  <cp:lastPrinted>2016-12-07T02:30:00Z</cp:lastPrinted>
  <dcterms:modified xsi:type="dcterms:W3CDTF">2020-12-25T06:30:06Z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