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1B5" w:rsidRPr="00006B46" w:rsidRDefault="008471B5" w:rsidP="008471B5">
      <w:pPr>
        <w:spacing w:line="500" w:lineRule="exact"/>
        <w:jc w:val="left"/>
        <w:rPr>
          <w:rFonts w:ascii="Arial" w:eastAsia="宋体" w:hAnsi="Arial"/>
          <w:b/>
          <w:sz w:val="24"/>
          <w:szCs w:val="24"/>
        </w:rPr>
      </w:pPr>
      <w:r w:rsidRPr="00006B46">
        <w:rPr>
          <w:rFonts w:ascii="Arial" w:eastAsia="宋体" w:hAnsi="Arial" w:hint="eastAsia"/>
          <w:b/>
          <w:sz w:val="24"/>
          <w:szCs w:val="24"/>
        </w:rPr>
        <w:t>1.</w:t>
      </w:r>
      <w:r w:rsidR="00BD08AB" w:rsidRPr="00006B46">
        <w:rPr>
          <w:rFonts w:ascii="Arial" w:eastAsia="宋体" w:hAnsi="Arial" w:hint="eastAsia"/>
          <w:b/>
          <w:sz w:val="24"/>
          <w:szCs w:val="24"/>
        </w:rPr>
        <w:t>测算表</w:t>
      </w:r>
    </w:p>
    <w:p w:rsidR="00BD08AB" w:rsidRPr="00006B46" w:rsidRDefault="00BD08AB" w:rsidP="008471B5">
      <w:pPr>
        <w:spacing w:line="500" w:lineRule="exact"/>
        <w:jc w:val="left"/>
        <w:rPr>
          <w:rFonts w:ascii="Arial" w:eastAsia="宋体" w:hAnsi="Arial"/>
          <w:sz w:val="24"/>
          <w:szCs w:val="24"/>
        </w:rPr>
      </w:pPr>
      <w:r w:rsidRPr="00006B46">
        <w:rPr>
          <w:rFonts w:ascii="Arial" w:eastAsia="宋体" w:hAnsi="Arial" w:hint="eastAsia"/>
          <w:sz w:val="24"/>
          <w:szCs w:val="24"/>
        </w:rPr>
        <w:t>（</w:t>
      </w:r>
      <w:r w:rsidRPr="00006B46">
        <w:rPr>
          <w:rFonts w:ascii="Arial" w:eastAsia="宋体" w:hAnsi="Arial" w:hint="eastAsia"/>
          <w:sz w:val="24"/>
          <w:szCs w:val="24"/>
        </w:rPr>
        <w:t>1</w:t>
      </w:r>
      <w:r w:rsidRPr="00006B46">
        <w:rPr>
          <w:rFonts w:ascii="Arial" w:eastAsia="宋体" w:hAnsi="Arial" w:hint="eastAsia"/>
          <w:sz w:val="24"/>
          <w:szCs w:val="24"/>
        </w:rPr>
        <w:t>）剩余法与假设开发法两表测算过程统一，方法文字模</w:t>
      </w:r>
      <w:proofErr w:type="gramStart"/>
      <w:r w:rsidRPr="00006B46">
        <w:rPr>
          <w:rFonts w:ascii="Arial" w:eastAsia="宋体" w:hAnsi="Arial" w:hint="eastAsia"/>
          <w:sz w:val="24"/>
          <w:szCs w:val="24"/>
        </w:rPr>
        <w:t>版相应</w:t>
      </w:r>
      <w:proofErr w:type="gramEnd"/>
      <w:r w:rsidRPr="00006B46">
        <w:rPr>
          <w:rFonts w:ascii="Arial" w:eastAsia="宋体" w:hAnsi="Arial" w:hint="eastAsia"/>
          <w:sz w:val="24"/>
          <w:szCs w:val="24"/>
        </w:rPr>
        <w:t>调整。</w:t>
      </w:r>
    </w:p>
    <w:p w:rsidR="00BD08AB" w:rsidRDefault="00BD08AB" w:rsidP="008471B5">
      <w:pPr>
        <w:spacing w:line="500" w:lineRule="exact"/>
        <w:jc w:val="left"/>
        <w:rPr>
          <w:rFonts w:ascii="Arial" w:eastAsia="宋体" w:hAnsi="Arial" w:hint="eastAsia"/>
          <w:sz w:val="24"/>
          <w:szCs w:val="24"/>
        </w:rPr>
      </w:pPr>
      <w:r w:rsidRPr="00006B46">
        <w:rPr>
          <w:rFonts w:ascii="Arial" w:eastAsia="宋体" w:hAnsi="Arial" w:hint="eastAsia"/>
          <w:sz w:val="24"/>
          <w:szCs w:val="24"/>
        </w:rPr>
        <w:t>（</w:t>
      </w:r>
      <w:r w:rsidRPr="00006B46">
        <w:rPr>
          <w:rFonts w:ascii="Arial" w:eastAsia="宋体" w:hAnsi="Arial" w:hint="eastAsia"/>
          <w:sz w:val="24"/>
          <w:szCs w:val="24"/>
        </w:rPr>
        <w:t>2</w:t>
      </w:r>
      <w:r w:rsidRPr="00006B46">
        <w:rPr>
          <w:rFonts w:ascii="Arial" w:eastAsia="宋体" w:hAnsi="Arial" w:hint="eastAsia"/>
          <w:sz w:val="24"/>
          <w:szCs w:val="24"/>
        </w:rPr>
        <w:t>）基准地价系数修正</w:t>
      </w:r>
      <w:proofErr w:type="gramStart"/>
      <w:r w:rsidRPr="00006B46">
        <w:rPr>
          <w:rFonts w:ascii="Arial" w:eastAsia="宋体" w:hAnsi="Arial" w:hint="eastAsia"/>
          <w:sz w:val="24"/>
          <w:szCs w:val="24"/>
        </w:rPr>
        <w:t>法中期日</w:t>
      </w:r>
      <w:proofErr w:type="gramEnd"/>
      <w:r w:rsidRPr="00006B46">
        <w:rPr>
          <w:rFonts w:ascii="Arial" w:eastAsia="宋体" w:hAnsi="Arial" w:hint="eastAsia"/>
          <w:sz w:val="24"/>
          <w:szCs w:val="24"/>
        </w:rPr>
        <w:t>修正，增加了按公示地价指数计算的方式。公示地价指数为年度值，季度</w:t>
      </w:r>
      <w:proofErr w:type="gramStart"/>
      <w:r w:rsidRPr="00006B46">
        <w:rPr>
          <w:rFonts w:ascii="Arial" w:eastAsia="宋体" w:hAnsi="Arial" w:hint="eastAsia"/>
          <w:sz w:val="24"/>
          <w:szCs w:val="24"/>
        </w:rPr>
        <w:t>值按照</w:t>
      </w:r>
      <w:proofErr w:type="gramEnd"/>
      <w:r w:rsidRPr="00006B46">
        <w:rPr>
          <w:rFonts w:ascii="Arial" w:eastAsia="宋体" w:hAnsi="Arial" w:hint="eastAsia"/>
          <w:sz w:val="24"/>
          <w:szCs w:val="24"/>
        </w:rPr>
        <w:t>公示增长率推算。</w:t>
      </w:r>
    </w:p>
    <w:p w:rsidR="00EA1CE3" w:rsidRPr="00006B46" w:rsidRDefault="00EA1CE3" w:rsidP="00EA1CE3">
      <w:pPr>
        <w:spacing w:line="360" w:lineRule="auto"/>
        <w:jc w:val="left"/>
        <w:rPr>
          <w:rFonts w:ascii="Arial" w:eastAsia="宋体" w:hAnsi="Arial"/>
          <w:b/>
          <w:sz w:val="24"/>
          <w:szCs w:val="24"/>
        </w:rPr>
      </w:pPr>
      <w:r>
        <w:rPr>
          <w:rFonts w:ascii="Arial" w:eastAsia="宋体" w:hAnsi="Arial" w:hint="eastAsia"/>
          <w:b/>
          <w:sz w:val="24"/>
          <w:szCs w:val="24"/>
        </w:rPr>
        <w:t>2</w:t>
      </w:r>
      <w:r w:rsidRPr="00006B46">
        <w:rPr>
          <w:rFonts w:ascii="Arial" w:eastAsia="宋体" w:hAnsi="Arial" w:hint="eastAsia"/>
          <w:b/>
          <w:sz w:val="24"/>
          <w:szCs w:val="24"/>
        </w:rPr>
        <w:t>.</w:t>
      </w:r>
      <w:r w:rsidRPr="00006B46">
        <w:rPr>
          <w:rFonts w:ascii="Arial" w:eastAsia="宋体" w:hAnsi="Arial" w:hint="eastAsia"/>
          <w:b/>
          <w:sz w:val="24"/>
          <w:szCs w:val="24"/>
        </w:rPr>
        <w:t>审核中遇到的问题</w:t>
      </w:r>
    </w:p>
    <w:p w:rsidR="00EA1CE3" w:rsidRPr="00006B46" w:rsidRDefault="00EA1CE3" w:rsidP="00EA1CE3">
      <w:pPr>
        <w:spacing w:line="500" w:lineRule="exact"/>
        <w:jc w:val="left"/>
        <w:rPr>
          <w:rFonts w:ascii="Arial" w:eastAsia="宋体" w:hAnsi="Arial"/>
          <w:sz w:val="24"/>
          <w:szCs w:val="24"/>
        </w:rPr>
      </w:pPr>
      <w:r w:rsidRPr="00006B46">
        <w:rPr>
          <w:rFonts w:ascii="Arial" w:eastAsia="宋体" w:hAnsi="Arial" w:hint="eastAsia"/>
          <w:sz w:val="24"/>
          <w:szCs w:val="24"/>
        </w:rPr>
        <w:t>（</w:t>
      </w:r>
      <w:r w:rsidRPr="00006B46">
        <w:rPr>
          <w:rFonts w:ascii="Arial" w:eastAsia="宋体" w:hAnsi="Arial" w:hint="eastAsia"/>
          <w:sz w:val="24"/>
          <w:szCs w:val="24"/>
        </w:rPr>
        <w:t>1</w:t>
      </w:r>
      <w:r w:rsidRPr="00006B46">
        <w:rPr>
          <w:rFonts w:ascii="Arial" w:eastAsia="宋体" w:hAnsi="Arial" w:hint="eastAsia"/>
          <w:sz w:val="24"/>
          <w:szCs w:val="24"/>
        </w:rPr>
        <w:t>）流程缺失：</w:t>
      </w:r>
      <w:proofErr w:type="gramStart"/>
      <w:r w:rsidRPr="00006B46">
        <w:rPr>
          <w:rFonts w:ascii="Arial" w:eastAsia="宋体" w:hAnsi="Arial" w:hint="eastAsia"/>
          <w:sz w:val="24"/>
          <w:szCs w:val="24"/>
        </w:rPr>
        <w:t>交审时</w:t>
      </w:r>
      <w:proofErr w:type="gramEnd"/>
      <w:r w:rsidRPr="00006B46">
        <w:rPr>
          <w:rFonts w:ascii="Arial" w:eastAsia="宋体" w:hAnsi="Arial" w:hint="eastAsia"/>
          <w:sz w:val="24"/>
          <w:szCs w:val="24"/>
        </w:rPr>
        <w:t>无现场调查表。</w:t>
      </w:r>
    </w:p>
    <w:p w:rsidR="00EA1CE3" w:rsidRPr="00006B46" w:rsidRDefault="00EA1CE3" w:rsidP="00EA1CE3">
      <w:pPr>
        <w:spacing w:line="500" w:lineRule="exact"/>
        <w:jc w:val="left"/>
        <w:rPr>
          <w:rFonts w:ascii="Arial" w:eastAsia="宋体" w:hAnsi="Arial"/>
          <w:sz w:val="24"/>
          <w:szCs w:val="24"/>
        </w:rPr>
      </w:pPr>
      <w:r w:rsidRPr="00006B46">
        <w:rPr>
          <w:rFonts w:ascii="Arial" w:eastAsia="宋体" w:hAnsi="Arial" w:hint="eastAsia"/>
          <w:sz w:val="24"/>
          <w:szCs w:val="24"/>
        </w:rPr>
        <w:t>（</w:t>
      </w:r>
      <w:r w:rsidRPr="00006B46">
        <w:rPr>
          <w:rFonts w:ascii="Arial" w:eastAsia="宋体" w:hAnsi="Arial" w:hint="eastAsia"/>
          <w:sz w:val="24"/>
          <w:szCs w:val="24"/>
        </w:rPr>
        <w:t>2</w:t>
      </w:r>
      <w:r w:rsidRPr="00006B46">
        <w:rPr>
          <w:rFonts w:ascii="Arial" w:eastAsia="宋体" w:hAnsi="Arial" w:hint="eastAsia"/>
          <w:sz w:val="24"/>
          <w:szCs w:val="24"/>
        </w:rPr>
        <w:t>）仅出具结果报告时，需加强测算过程的检查。</w:t>
      </w:r>
    </w:p>
    <w:p w:rsidR="00EA1CE3" w:rsidRPr="00006B46" w:rsidRDefault="00EA1CE3" w:rsidP="00EA1CE3">
      <w:pPr>
        <w:spacing w:line="500" w:lineRule="exact"/>
        <w:jc w:val="left"/>
        <w:rPr>
          <w:rFonts w:ascii="Arial" w:eastAsia="宋体" w:hAnsi="Arial"/>
          <w:sz w:val="24"/>
          <w:szCs w:val="24"/>
        </w:rPr>
      </w:pPr>
      <w:r w:rsidRPr="00006B46">
        <w:rPr>
          <w:rFonts w:ascii="Arial" w:eastAsia="宋体" w:hAnsi="Arial" w:hint="eastAsia"/>
          <w:sz w:val="24"/>
          <w:szCs w:val="24"/>
        </w:rPr>
        <w:t>（</w:t>
      </w:r>
      <w:r w:rsidRPr="00006B46">
        <w:rPr>
          <w:rFonts w:ascii="Arial" w:eastAsia="宋体" w:hAnsi="Arial" w:hint="eastAsia"/>
          <w:sz w:val="24"/>
          <w:szCs w:val="24"/>
        </w:rPr>
        <w:t>3</w:t>
      </w:r>
      <w:r w:rsidRPr="00006B46">
        <w:rPr>
          <w:rFonts w:ascii="Arial" w:eastAsia="宋体" w:hAnsi="Arial" w:hint="eastAsia"/>
          <w:sz w:val="24"/>
          <w:szCs w:val="24"/>
        </w:rPr>
        <w:t>）近期发现的测算中出现的前后矛盾的地方：</w:t>
      </w:r>
    </w:p>
    <w:p w:rsidR="00EA1CE3" w:rsidRPr="00006B46" w:rsidRDefault="00EA1CE3" w:rsidP="00EA1CE3">
      <w:pPr>
        <w:spacing w:line="500" w:lineRule="exact"/>
        <w:jc w:val="left"/>
        <w:rPr>
          <w:rFonts w:ascii="Arial" w:eastAsia="宋体" w:hAnsi="Arial"/>
          <w:sz w:val="24"/>
          <w:szCs w:val="24"/>
        </w:rPr>
      </w:pPr>
      <w:r w:rsidRPr="00006B46">
        <w:rPr>
          <w:rFonts w:ascii="Arial" w:eastAsia="宋体" w:hAnsi="Arial" w:hint="eastAsia"/>
          <w:sz w:val="24"/>
          <w:szCs w:val="24"/>
        </w:rPr>
        <w:t>1</w:t>
      </w:r>
      <w:r w:rsidRPr="00006B46">
        <w:rPr>
          <w:rFonts w:ascii="Arial" w:eastAsia="宋体" w:hAnsi="Arial" w:hint="eastAsia"/>
          <w:sz w:val="24"/>
          <w:szCs w:val="24"/>
        </w:rPr>
        <w:t>）续建工期与工程形象进度</w:t>
      </w:r>
    </w:p>
    <w:p w:rsidR="00EA1CE3" w:rsidRPr="00006B46" w:rsidRDefault="00EA1CE3" w:rsidP="00EA1CE3">
      <w:pPr>
        <w:spacing w:line="500" w:lineRule="exact"/>
        <w:jc w:val="left"/>
        <w:rPr>
          <w:rFonts w:ascii="Arial" w:eastAsia="宋体" w:hAnsi="Arial"/>
          <w:sz w:val="24"/>
          <w:szCs w:val="24"/>
        </w:rPr>
      </w:pPr>
      <w:r w:rsidRPr="00006B46">
        <w:rPr>
          <w:rFonts w:ascii="Arial" w:eastAsia="宋体" w:hAnsi="Arial" w:hint="eastAsia"/>
          <w:sz w:val="24"/>
          <w:szCs w:val="24"/>
        </w:rPr>
        <w:t>2</w:t>
      </w:r>
      <w:r w:rsidRPr="00006B46">
        <w:rPr>
          <w:rFonts w:ascii="Arial" w:eastAsia="宋体" w:hAnsi="Arial" w:hint="eastAsia"/>
          <w:sz w:val="24"/>
          <w:szCs w:val="24"/>
        </w:rPr>
        <w:t>）周边同类用途用地比例与区域土地利用方向</w:t>
      </w:r>
    </w:p>
    <w:p w:rsidR="00EA1CE3" w:rsidRPr="00006B46" w:rsidRDefault="00EA1CE3" w:rsidP="00EA1CE3">
      <w:pPr>
        <w:spacing w:line="500" w:lineRule="exact"/>
        <w:jc w:val="left"/>
        <w:rPr>
          <w:rFonts w:ascii="Arial" w:eastAsia="宋体" w:hAnsi="Arial"/>
          <w:sz w:val="24"/>
          <w:szCs w:val="24"/>
        </w:rPr>
      </w:pPr>
      <w:r w:rsidRPr="00006B46">
        <w:rPr>
          <w:rFonts w:ascii="Arial" w:eastAsia="宋体" w:hAnsi="Arial" w:hint="eastAsia"/>
          <w:sz w:val="24"/>
          <w:szCs w:val="24"/>
        </w:rPr>
        <w:t>3</w:t>
      </w:r>
      <w:r w:rsidRPr="00006B46">
        <w:rPr>
          <w:rFonts w:ascii="Arial" w:eastAsia="宋体" w:hAnsi="Arial" w:hint="eastAsia"/>
          <w:sz w:val="24"/>
          <w:szCs w:val="24"/>
        </w:rPr>
        <w:t>）区域市场状况描述（市场环境、租金、空置率、发展前景等）与测算中相关数据的采用。</w:t>
      </w:r>
    </w:p>
    <w:p w:rsidR="00BD08AB" w:rsidRPr="00006B46" w:rsidRDefault="00EA1CE3" w:rsidP="008471B5">
      <w:pPr>
        <w:spacing w:line="500" w:lineRule="exact"/>
        <w:jc w:val="left"/>
        <w:rPr>
          <w:rFonts w:ascii="Arial" w:eastAsia="宋体" w:hAnsi="Arial"/>
          <w:b/>
          <w:sz w:val="24"/>
          <w:szCs w:val="24"/>
        </w:rPr>
      </w:pPr>
      <w:r>
        <w:rPr>
          <w:rFonts w:ascii="Arial" w:eastAsia="宋体" w:hAnsi="Arial" w:hint="eastAsia"/>
          <w:b/>
          <w:sz w:val="24"/>
          <w:szCs w:val="24"/>
        </w:rPr>
        <w:t>3</w:t>
      </w:r>
      <w:r w:rsidR="00BD08AB" w:rsidRPr="00006B46">
        <w:rPr>
          <w:rFonts w:ascii="Arial" w:eastAsia="宋体" w:hAnsi="Arial" w:hint="eastAsia"/>
          <w:b/>
          <w:sz w:val="24"/>
          <w:szCs w:val="24"/>
        </w:rPr>
        <w:t>.</w:t>
      </w:r>
      <w:r w:rsidR="00BD08AB" w:rsidRPr="00006B46">
        <w:rPr>
          <w:rFonts w:ascii="Arial" w:eastAsia="宋体" w:hAnsi="Arial" w:hint="eastAsia"/>
          <w:b/>
          <w:sz w:val="24"/>
          <w:szCs w:val="24"/>
        </w:rPr>
        <w:t>技术沟通</w:t>
      </w:r>
    </w:p>
    <w:p w:rsidR="00BD08AB" w:rsidRPr="0086571A" w:rsidRDefault="00BD08AB" w:rsidP="008471B5">
      <w:pPr>
        <w:spacing w:line="500" w:lineRule="exact"/>
        <w:jc w:val="left"/>
        <w:rPr>
          <w:rFonts w:ascii="Arial" w:eastAsia="宋体" w:hAnsi="Arial"/>
          <w:b/>
          <w:sz w:val="24"/>
          <w:szCs w:val="24"/>
        </w:rPr>
      </w:pPr>
      <w:r w:rsidRPr="0086571A">
        <w:rPr>
          <w:rFonts w:ascii="Arial" w:eastAsia="宋体" w:hAnsi="Arial" w:hint="eastAsia"/>
          <w:b/>
          <w:sz w:val="24"/>
          <w:szCs w:val="24"/>
        </w:rPr>
        <w:t>（</w:t>
      </w:r>
      <w:r w:rsidRPr="0086571A">
        <w:rPr>
          <w:rFonts w:ascii="Arial" w:eastAsia="宋体" w:hAnsi="Arial" w:hint="eastAsia"/>
          <w:b/>
          <w:sz w:val="24"/>
          <w:szCs w:val="24"/>
        </w:rPr>
        <w:t>1</w:t>
      </w:r>
      <w:r w:rsidRPr="0086571A">
        <w:rPr>
          <w:rFonts w:ascii="Arial" w:eastAsia="宋体" w:hAnsi="Arial" w:hint="eastAsia"/>
          <w:b/>
          <w:sz w:val="24"/>
          <w:szCs w:val="24"/>
        </w:rPr>
        <w:t>）工程造价信息的获取</w:t>
      </w:r>
    </w:p>
    <w:p w:rsidR="009912EC" w:rsidRPr="0086571A" w:rsidRDefault="0086571A" w:rsidP="008471B5">
      <w:pPr>
        <w:spacing w:line="500" w:lineRule="exact"/>
        <w:jc w:val="left"/>
        <w:rPr>
          <w:rStyle w:val="aa"/>
          <w:rFonts w:ascii="Arial" w:eastAsia="宋体" w:hAnsi="Arial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  <w:u w:val="single"/>
        </w:rPr>
        <w:t>·</w:t>
      </w:r>
      <w:r w:rsidR="009912EC" w:rsidRPr="0086571A">
        <w:rPr>
          <w:rFonts w:ascii="Arial" w:eastAsia="宋体" w:hAnsi="Arial" w:hint="eastAsia"/>
          <w:sz w:val="24"/>
          <w:szCs w:val="24"/>
          <w:u w:val="single"/>
        </w:rPr>
        <w:t>北京工程建设交易信息网：</w:t>
      </w:r>
      <w:hyperlink r:id="rId7" w:history="1">
        <w:r w:rsidRPr="0086571A">
          <w:rPr>
            <w:rStyle w:val="aa"/>
            <w:rFonts w:ascii="Arial" w:eastAsia="宋体" w:hAnsi="Arial"/>
            <w:sz w:val="24"/>
            <w:szCs w:val="24"/>
          </w:rPr>
          <w:t>http://www.bcactc.com/</w:t>
        </w:r>
      </w:hyperlink>
    </w:p>
    <w:p w:rsidR="0086571A" w:rsidRPr="0086571A" w:rsidRDefault="0086571A" w:rsidP="008471B5">
      <w:pPr>
        <w:spacing w:line="500" w:lineRule="exact"/>
        <w:jc w:val="left"/>
        <w:rPr>
          <w:rStyle w:val="aa"/>
          <w:rFonts w:ascii="Arial" w:eastAsia="宋体" w:hAnsi="Arial"/>
          <w:color w:val="000000" w:themeColor="text1"/>
          <w:szCs w:val="21"/>
          <w:u w:val="none"/>
        </w:rPr>
      </w:pPr>
      <w:r w:rsidRPr="0086571A">
        <w:rPr>
          <w:rStyle w:val="aa"/>
          <w:rFonts w:ascii="Arial" w:eastAsia="宋体" w:hAnsi="Arial" w:hint="eastAsia"/>
          <w:color w:val="000000" w:themeColor="text1"/>
          <w:szCs w:val="21"/>
          <w:u w:val="none"/>
        </w:rPr>
        <w:t>工程信息</w:t>
      </w:r>
      <w:r w:rsidRPr="0086571A">
        <w:rPr>
          <w:rStyle w:val="aa"/>
          <w:rFonts w:ascii="Arial" w:eastAsia="宋体" w:hAnsi="Arial" w:hint="eastAsia"/>
          <w:color w:val="000000" w:themeColor="text1"/>
          <w:szCs w:val="21"/>
          <w:u w:val="none"/>
        </w:rPr>
        <w:t>-</w:t>
      </w:r>
      <w:r w:rsidRPr="0086571A">
        <w:rPr>
          <w:rStyle w:val="aa"/>
          <w:rFonts w:ascii="Arial" w:eastAsia="宋体" w:hAnsi="Arial" w:hint="eastAsia"/>
          <w:color w:val="000000" w:themeColor="text1"/>
          <w:szCs w:val="21"/>
          <w:u w:val="none"/>
        </w:rPr>
        <w:t>招标公告</w:t>
      </w:r>
      <w:r w:rsidRPr="0086571A">
        <w:rPr>
          <w:rStyle w:val="aa"/>
          <w:rFonts w:ascii="Arial" w:eastAsia="宋体" w:hAnsi="Arial" w:hint="eastAsia"/>
          <w:color w:val="000000" w:themeColor="text1"/>
          <w:szCs w:val="21"/>
          <w:u w:val="none"/>
        </w:rPr>
        <w:t>-</w:t>
      </w:r>
      <w:r w:rsidRPr="0086571A">
        <w:rPr>
          <w:rStyle w:val="aa"/>
          <w:rFonts w:ascii="Arial" w:eastAsia="宋体" w:hAnsi="Arial" w:hint="eastAsia"/>
          <w:color w:val="000000" w:themeColor="text1"/>
          <w:szCs w:val="21"/>
          <w:u w:val="none"/>
        </w:rPr>
        <w:t>可获取信息：建设内容、面积、合同估算价</w:t>
      </w:r>
    </w:p>
    <w:p w:rsidR="0086571A" w:rsidRPr="0086571A" w:rsidRDefault="0086571A" w:rsidP="008471B5">
      <w:pPr>
        <w:spacing w:line="500" w:lineRule="exact"/>
        <w:jc w:val="left"/>
        <w:rPr>
          <w:rStyle w:val="aa"/>
          <w:color w:val="000000" w:themeColor="text1"/>
          <w:szCs w:val="21"/>
          <w:u w:val="none"/>
        </w:rPr>
      </w:pPr>
      <w:r w:rsidRPr="0086571A">
        <w:rPr>
          <w:rStyle w:val="aa"/>
          <w:rFonts w:ascii="Arial" w:eastAsia="宋体" w:hAnsi="Arial" w:hint="eastAsia"/>
          <w:color w:val="000000" w:themeColor="text1"/>
          <w:szCs w:val="21"/>
          <w:u w:val="none"/>
        </w:rPr>
        <w:t>交易数据</w:t>
      </w:r>
      <w:r w:rsidRPr="0086571A">
        <w:rPr>
          <w:rStyle w:val="aa"/>
          <w:rFonts w:ascii="Arial" w:eastAsia="宋体" w:hAnsi="Arial" w:hint="eastAsia"/>
          <w:color w:val="000000" w:themeColor="text1"/>
          <w:szCs w:val="21"/>
          <w:u w:val="none"/>
        </w:rPr>
        <w:t>-</w:t>
      </w:r>
      <w:r w:rsidRPr="0086571A">
        <w:rPr>
          <w:rStyle w:val="aa"/>
          <w:rFonts w:ascii="Arial" w:eastAsia="宋体" w:hAnsi="Arial" w:hint="eastAsia"/>
          <w:color w:val="000000" w:themeColor="text1"/>
          <w:szCs w:val="21"/>
          <w:u w:val="none"/>
        </w:rPr>
        <w:t>统计分析报告</w:t>
      </w:r>
      <w:r w:rsidRPr="0086571A">
        <w:rPr>
          <w:rStyle w:val="aa"/>
          <w:rFonts w:ascii="Arial" w:eastAsia="宋体" w:hAnsi="Arial" w:hint="eastAsia"/>
          <w:color w:val="000000" w:themeColor="text1"/>
          <w:szCs w:val="21"/>
          <w:u w:val="none"/>
        </w:rPr>
        <w:t>-</w:t>
      </w:r>
      <w:r w:rsidRPr="0086571A">
        <w:rPr>
          <w:rStyle w:val="aa"/>
          <w:rFonts w:ascii="Arial" w:eastAsia="宋体" w:hAnsi="Arial" w:hint="eastAsia"/>
          <w:color w:val="000000" w:themeColor="text1"/>
          <w:szCs w:val="21"/>
          <w:u w:val="none"/>
        </w:rPr>
        <w:t>可获取信息：工程案例造价分析</w:t>
      </w:r>
    </w:p>
    <w:p w:rsidR="009912EC" w:rsidRPr="0086571A" w:rsidRDefault="0086571A" w:rsidP="008471B5">
      <w:pPr>
        <w:spacing w:line="500" w:lineRule="exact"/>
        <w:jc w:val="left"/>
        <w:rPr>
          <w:rStyle w:val="aa"/>
          <w:rFonts w:ascii="Arial" w:eastAsia="宋体" w:hAnsi="Arial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  <w:u w:val="single"/>
        </w:rPr>
        <w:t>·</w:t>
      </w:r>
      <w:r w:rsidR="009912EC" w:rsidRPr="0086571A">
        <w:rPr>
          <w:rFonts w:ascii="Arial" w:eastAsia="宋体" w:hAnsi="Arial" w:hint="eastAsia"/>
          <w:sz w:val="24"/>
          <w:szCs w:val="24"/>
          <w:u w:val="single"/>
        </w:rPr>
        <w:t>中国建设工程造价信息网：</w:t>
      </w:r>
      <w:hyperlink r:id="rId8" w:history="1">
        <w:r w:rsidRPr="0086571A">
          <w:rPr>
            <w:rStyle w:val="aa"/>
            <w:rFonts w:ascii="Arial" w:eastAsia="宋体" w:hAnsi="Arial"/>
            <w:sz w:val="24"/>
            <w:szCs w:val="24"/>
          </w:rPr>
          <w:t>http://www.cecn.gov.cn/index.asp</w:t>
        </w:r>
      </w:hyperlink>
    </w:p>
    <w:p w:rsidR="0086571A" w:rsidRPr="0086571A" w:rsidRDefault="0086571A" w:rsidP="008471B5">
      <w:pPr>
        <w:spacing w:line="500" w:lineRule="exact"/>
        <w:jc w:val="left"/>
        <w:rPr>
          <w:rStyle w:val="aa"/>
          <w:color w:val="000000" w:themeColor="text1"/>
          <w:szCs w:val="21"/>
          <w:u w:val="none"/>
        </w:rPr>
      </w:pPr>
      <w:r w:rsidRPr="0086571A">
        <w:rPr>
          <w:rStyle w:val="aa"/>
          <w:rFonts w:ascii="Arial" w:eastAsia="宋体" w:hAnsi="Arial" w:hint="eastAsia"/>
          <w:color w:val="000000" w:themeColor="text1"/>
          <w:szCs w:val="21"/>
          <w:u w:val="none"/>
        </w:rPr>
        <w:t>造价信息</w:t>
      </w:r>
      <w:r w:rsidRPr="0086571A">
        <w:rPr>
          <w:rStyle w:val="aa"/>
          <w:rFonts w:ascii="Arial" w:eastAsia="宋体" w:hAnsi="Arial" w:hint="eastAsia"/>
          <w:color w:val="000000" w:themeColor="text1"/>
          <w:szCs w:val="21"/>
          <w:u w:val="none"/>
        </w:rPr>
        <w:t>-</w:t>
      </w:r>
      <w:r w:rsidRPr="0086571A">
        <w:rPr>
          <w:rStyle w:val="aa"/>
          <w:rFonts w:ascii="Arial" w:eastAsia="宋体" w:hAnsi="Arial" w:hint="eastAsia"/>
          <w:color w:val="000000" w:themeColor="text1"/>
          <w:szCs w:val="21"/>
          <w:u w:val="none"/>
        </w:rPr>
        <w:t>可获取信息：省会城市住宅建安成本（半年发布）</w:t>
      </w:r>
    </w:p>
    <w:p w:rsidR="009912EC" w:rsidRDefault="0086571A" w:rsidP="008471B5">
      <w:pPr>
        <w:spacing w:line="500" w:lineRule="exact"/>
        <w:jc w:val="left"/>
        <w:rPr>
          <w:rStyle w:val="aa"/>
          <w:rFonts w:ascii="Arial" w:eastAsia="宋体" w:hAnsi="Arial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  <w:u w:val="single"/>
        </w:rPr>
        <w:t>·</w:t>
      </w:r>
      <w:proofErr w:type="gramStart"/>
      <w:r w:rsidR="009912EC" w:rsidRPr="0086571A">
        <w:rPr>
          <w:rFonts w:ascii="Arial" w:eastAsia="宋体" w:hAnsi="Arial" w:hint="eastAsia"/>
          <w:sz w:val="24"/>
          <w:szCs w:val="24"/>
          <w:u w:val="single"/>
        </w:rPr>
        <w:t>筑龙网</w:t>
      </w:r>
      <w:proofErr w:type="gramEnd"/>
      <w:r w:rsidR="009912EC" w:rsidRPr="0086571A">
        <w:rPr>
          <w:rFonts w:ascii="Arial" w:eastAsia="宋体" w:hAnsi="Arial" w:hint="eastAsia"/>
          <w:sz w:val="24"/>
          <w:szCs w:val="24"/>
          <w:u w:val="single"/>
        </w:rPr>
        <w:t>：</w:t>
      </w:r>
      <w:hyperlink r:id="rId9" w:history="1">
        <w:r w:rsidR="009912EC" w:rsidRPr="0086571A">
          <w:rPr>
            <w:rStyle w:val="aa"/>
            <w:rFonts w:ascii="Arial" w:eastAsia="宋体" w:hAnsi="Arial"/>
            <w:sz w:val="24"/>
            <w:szCs w:val="24"/>
          </w:rPr>
          <w:t>http://www.zhulong.com/</w:t>
        </w:r>
      </w:hyperlink>
    </w:p>
    <w:p w:rsidR="0086571A" w:rsidRPr="0086571A" w:rsidRDefault="0086571A" w:rsidP="008471B5">
      <w:pPr>
        <w:spacing w:line="500" w:lineRule="exact"/>
        <w:jc w:val="left"/>
        <w:rPr>
          <w:rStyle w:val="aa"/>
          <w:rFonts w:ascii="Arial" w:eastAsia="宋体" w:hAnsi="Arial"/>
          <w:color w:val="000000" w:themeColor="text1"/>
          <w:szCs w:val="21"/>
          <w:u w:val="none"/>
        </w:rPr>
      </w:pPr>
      <w:r w:rsidRPr="0086571A">
        <w:rPr>
          <w:rStyle w:val="aa"/>
          <w:rFonts w:ascii="Arial" w:eastAsia="宋体" w:hAnsi="Arial" w:hint="eastAsia"/>
          <w:color w:val="000000" w:themeColor="text1"/>
          <w:szCs w:val="21"/>
          <w:u w:val="none"/>
        </w:rPr>
        <w:t>各类工程造价信息</w:t>
      </w:r>
    </w:p>
    <w:p w:rsidR="009912EC" w:rsidRDefault="0086571A" w:rsidP="008471B5">
      <w:pPr>
        <w:spacing w:line="500" w:lineRule="exact"/>
        <w:jc w:val="left"/>
        <w:rPr>
          <w:rStyle w:val="aa"/>
          <w:rFonts w:ascii="Arial" w:eastAsia="宋体" w:hAnsi="Arial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  <w:u w:val="single"/>
        </w:rPr>
        <w:t>·</w:t>
      </w:r>
      <w:r w:rsidR="009912EC" w:rsidRPr="0086571A">
        <w:rPr>
          <w:rFonts w:ascii="Arial" w:eastAsia="宋体" w:hAnsi="Arial" w:hint="eastAsia"/>
          <w:sz w:val="24"/>
          <w:szCs w:val="24"/>
          <w:u w:val="single"/>
        </w:rPr>
        <w:t>广联</w:t>
      </w:r>
      <w:proofErr w:type="gramStart"/>
      <w:r w:rsidR="009912EC" w:rsidRPr="0086571A">
        <w:rPr>
          <w:rFonts w:ascii="Arial" w:eastAsia="宋体" w:hAnsi="Arial" w:hint="eastAsia"/>
          <w:sz w:val="24"/>
          <w:szCs w:val="24"/>
          <w:u w:val="single"/>
        </w:rPr>
        <w:t>达指标网</w:t>
      </w:r>
      <w:proofErr w:type="gramEnd"/>
      <w:r w:rsidR="009912EC" w:rsidRPr="0086571A">
        <w:rPr>
          <w:rFonts w:ascii="Arial" w:eastAsia="宋体" w:hAnsi="Arial" w:hint="eastAsia"/>
          <w:sz w:val="24"/>
          <w:szCs w:val="24"/>
          <w:u w:val="single"/>
        </w:rPr>
        <w:t>：</w:t>
      </w:r>
      <w:hyperlink r:id="rId10" w:history="1">
        <w:r w:rsidR="009912EC" w:rsidRPr="0086571A">
          <w:rPr>
            <w:rStyle w:val="aa"/>
            <w:rFonts w:ascii="Arial" w:eastAsia="宋体" w:hAnsi="Arial"/>
            <w:sz w:val="24"/>
            <w:szCs w:val="24"/>
          </w:rPr>
          <w:t>http://www.gldzb.com/</w:t>
        </w:r>
      </w:hyperlink>
    </w:p>
    <w:p w:rsidR="0086571A" w:rsidRPr="0086571A" w:rsidRDefault="0086571A" w:rsidP="008471B5">
      <w:pPr>
        <w:spacing w:line="500" w:lineRule="exact"/>
        <w:jc w:val="left"/>
        <w:rPr>
          <w:rStyle w:val="aa"/>
          <w:rFonts w:ascii="Arial" w:eastAsia="宋体" w:hAnsi="Arial"/>
          <w:color w:val="000000" w:themeColor="text1"/>
          <w:szCs w:val="21"/>
          <w:u w:val="none"/>
        </w:rPr>
      </w:pPr>
      <w:r w:rsidRPr="0086571A">
        <w:rPr>
          <w:rStyle w:val="aa"/>
          <w:rFonts w:ascii="Arial" w:eastAsia="宋体" w:hAnsi="Arial" w:hint="eastAsia"/>
          <w:color w:val="000000" w:themeColor="text1"/>
          <w:szCs w:val="21"/>
          <w:u w:val="none"/>
        </w:rPr>
        <w:t>单项工程指标</w:t>
      </w:r>
      <w:r w:rsidRPr="0086571A">
        <w:rPr>
          <w:rStyle w:val="aa"/>
          <w:rFonts w:ascii="Arial" w:eastAsia="宋体" w:hAnsi="Arial" w:hint="eastAsia"/>
          <w:color w:val="000000" w:themeColor="text1"/>
          <w:szCs w:val="21"/>
          <w:u w:val="none"/>
        </w:rPr>
        <w:t>-</w:t>
      </w:r>
      <w:r w:rsidRPr="0086571A">
        <w:rPr>
          <w:rStyle w:val="aa"/>
          <w:rFonts w:ascii="Arial" w:eastAsia="宋体" w:hAnsi="Arial" w:hint="eastAsia"/>
          <w:color w:val="000000" w:themeColor="text1"/>
          <w:szCs w:val="21"/>
          <w:u w:val="none"/>
        </w:rPr>
        <w:t>可获取信息：可按地区、工程类别搜索案例信息</w:t>
      </w:r>
    </w:p>
    <w:p w:rsidR="0086571A" w:rsidRPr="0086571A" w:rsidRDefault="0086571A" w:rsidP="008471B5">
      <w:pPr>
        <w:spacing w:line="500" w:lineRule="exact"/>
        <w:jc w:val="left"/>
        <w:rPr>
          <w:rStyle w:val="aa"/>
          <w:rFonts w:ascii="Arial" w:eastAsia="宋体" w:hAnsi="Arial"/>
          <w:color w:val="000000" w:themeColor="text1"/>
          <w:szCs w:val="21"/>
          <w:u w:val="none"/>
        </w:rPr>
      </w:pPr>
      <w:r w:rsidRPr="0086571A">
        <w:rPr>
          <w:rStyle w:val="aa"/>
          <w:rFonts w:ascii="Arial" w:eastAsia="宋体" w:hAnsi="Arial" w:hint="eastAsia"/>
          <w:color w:val="000000" w:themeColor="text1"/>
          <w:szCs w:val="21"/>
          <w:u w:val="none"/>
        </w:rPr>
        <w:t>指标期刊</w:t>
      </w:r>
      <w:r w:rsidRPr="0086571A">
        <w:rPr>
          <w:rStyle w:val="aa"/>
          <w:rFonts w:ascii="Arial" w:eastAsia="宋体" w:hAnsi="Arial" w:hint="eastAsia"/>
          <w:color w:val="000000" w:themeColor="text1"/>
          <w:szCs w:val="21"/>
          <w:u w:val="none"/>
        </w:rPr>
        <w:t>-</w:t>
      </w:r>
      <w:r w:rsidRPr="0086571A">
        <w:rPr>
          <w:rStyle w:val="aa"/>
          <w:rFonts w:ascii="Arial" w:eastAsia="宋体" w:hAnsi="Arial" w:hint="eastAsia"/>
          <w:color w:val="000000" w:themeColor="text1"/>
          <w:szCs w:val="21"/>
          <w:u w:val="none"/>
        </w:rPr>
        <w:t>可获取信息：分类汇总的工程案例信息</w:t>
      </w:r>
    </w:p>
    <w:p w:rsidR="009912EC" w:rsidRDefault="0086571A" w:rsidP="008471B5">
      <w:pPr>
        <w:spacing w:line="500" w:lineRule="exact"/>
        <w:jc w:val="left"/>
        <w:rPr>
          <w:rFonts w:ascii="Arial" w:eastAsia="宋体" w:hAnsi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158939D" wp14:editId="4E23C7A6">
            <wp:simplePos x="0" y="0"/>
            <wp:positionH relativeFrom="column">
              <wp:posOffset>9525</wp:posOffset>
            </wp:positionH>
            <wp:positionV relativeFrom="paragraph">
              <wp:posOffset>371475</wp:posOffset>
            </wp:positionV>
            <wp:extent cx="3490595" cy="450215"/>
            <wp:effectExtent l="0" t="0" r="0" b="698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0595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2EC" w:rsidRPr="00006B46">
        <w:rPr>
          <w:rFonts w:ascii="Arial" w:eastAsia="宋体" w:hAnsi="Arial" w:hint="eastAsia"/>
          <w:sz w:val="24"/>
          <w:szCs w:val="24"/>
        </w:rPr>
        <w:t>表</w:t>
      </w:r>
      <w:proofErr w:type="gramStart"/>
      <w:r w:rsidR="004056B0">
        <w:rPr>
          <w:rFonts w:ascii="Arial" w:eastAsia="宋体" w:hAnsi="Arial"/>
          <w:sz w:val="24"/>
          <w:szCs w:val="24"/>
        </w:rPr>
        <w:t>”</w:t>
      </w:r>
      <w:proofErr w:type="gramEnd"/>
      <w:r w:rsidR="009912EC" w:rsidRPr="00006B46">
        <w:rPr>
          <w:rFonts w:ascii="Arial" w:eastAsia="宋体" w:hAnsi="Arial" w:hint="eastAsia"/>
          <w:sz w:val="24"/>
          <w:szCs w:val="24"/>
        </w:rPr>
        <w:t>主要参数计取依据</w:t>
      </w:r>
      <w:proofErr w:type="gramStart"/>
      <w:r w:rsidR="004056B0">
        <w:rPr>
          <w:rFonts w:ascii="Arial" w:eastAsia="宋体" w:hAnsi="Arial"/>
          <w:sz w:val="24"/>
          <w:szCs w:val="24"/>
        </w:rPr>
        <w:t>”</w:t>
      </w:r>
      <w:proofErr w:type="gramEnd"/>
      <w:r>
        <w:rPr>
          <w:rFonts w:ascii="Arial" w:eastAsia="宋体" w:hAnsi="Arial" w:hint="eastAsia"/>
          <w:sz w:val="24"/>
          <w:szCs w:val="24"/>
        </w:rPr>
        <w:t>中有上述信息</w:t>
      </w:r>
      <w:r w:rsidR="004056B0">
        <w:rPr>
          <w:rFonts w:ascii="Arial" w:eastAsia="宋体" w:hAnsi="Arial" w:hint="eastAsia"/>
          <w:sz w:val="24"/>
          <w:szCs w:val="24"/>
        </w:rPr>
        <w:t>的</w:t>
      </w:r>
      <w:r>
        <w:rPr>
          <w:rFonts w:ascii="Arial" w:eastAsia="宋体" w:hAnsi="Arial" w:hint="eastAsia"/>
          <w:sz w:val="24"/>
          <w:szCs w:val="24"/>
        </w:rPr>
        <w:t>汇总查阅，目前已入表的有省会城市造价指标和部分北京是工程案例造价信息。</w:t>
      </w:r>
    </w:p>
    <w:p w:rsidR="009912EC" w:rsidRPr="00266701" w:rsidRDefault="00266701" w:rsidP="008471B5">
      <w:pPr>
        <w:spacing w:line="500" w:lineRule="exact"/>
        <w:jc w:val="left"/>
        <w:rPr>
          <w:rFonts w:ascii="Arial" w:eastAsia="宋体" w:hAnsi="Arial"/>
          <w:sz w:val="24"/>
          <w:szCs w:val="24"/>
          <w:u w:val="single"/>
        </w:rPr>
      </w:pPr>
      <w:r w:rsidRPr="00266701">
        <w:rPr>
          <w:rFonts w:ascii="Arial" w:eastAsia="宋体" w:hAnsi="Arial" w:hint="eastAsia"/>
          <w:sz w:val="24"/>
          <w:szCs w:val="24"/>
          <w:u w:val="single"/>
        </w:rPr>
        <w:t>判断建安水平：建设内容、建筑类</w:t>
      </w:r>
      <w:r w:rsidR="005774B4">
        <w:rPr>
          <w:rFonts w:ascii="Arial" w:eastAsia="宋体" w:hAnsi="Arial" w:hint="eastAsia"/>
          <w:sz w:val="24"/>
          <w:szCs w:val="24"/>
          <w:u w:val="single"/>
        </w:rPr>
        <w:t>别</w:t>
      </w:r>
      <w:r w:rsidRPr="00266701">
        <w:rPr>
          <w:rFonts w:ascii="Arial" w:eastAsia="宋体" w:hAnsi="Arial" w:hint="eastAsia"/>
          <w:sz w:val="24"/>
          <w:szCs w:val="24"/>
          <w:u w:val="single"/>
        </w:rPr>
        <w:t>、层数</w:t>
      </w:r>
      <w:r>
        <w:rPr>
          <w:rFonts w:ascii="Arial" w:eastAsia="宋体" w:hAnsi="Arial" w:hint="eastAsia"/>
          <w:sz w:val="24"/>
          <w:szCs w:val="24"/>
          <w:u w:val="single"/>
        </w:rPr>
        <w:t>（</w:t>
      </w:r>
      <w:r w:rsidR="005774B4">
        <w:rPr>
          <w:rFonts w:ascii="宋体" w:eastAsia="宋体" w:hAnsi="宋体" w:hint="eastAsia"/>
          <w:sz w:val="24"/>
          <w:szCs w:val="24"/>
          <w:u w:val="single"/>
        </w:rPr>
        <w:t>*</w:t>
      </w:r>
      <w:r>
        <w:rPr>
          <w:rFonts w:ascii="Arial" w:eastAsia="宋体" w:hAnsi="Arial" w:hint="eastAsia"/>
          <w:sz w:val="24"/>
          <w:szCs w:val="24"/>
          <w:u w:val="single"/>
        </w:rPr>
        <w:t>地下层数）</w:t>
      </w:r>
      <w:r w:rsidRPr="00266701">
        <w:rPr>
          <w:rFonts w:ascii="Arial" w:eastAsia="宋体" w:hAnsi="Arial" w:hint="eastAsia"/>
          <w:sz w:val="24"/>
          <w:szCs w:val="24"/>
          <w:u w:val="single"/>
        </w:rPr>
        <w:t>、钢材与硂的单方用量。</w:t>
      </w:r>
    </w:p>
    <w:p w:rsidR="00BD08AB" w:rsidRDefault="00266701" w:rsidP="008471B5">
      <w:pPr>
        <w:spacing w:line="500" w:lineRule="exact"/>
        <w:jc w:val="left"/>
        <w:rPr>
          <w:rFonts w:ascii="Arial" w:eastAsia="宋体" w:hAnsi="Arial"/>
          <w:sz w:val="24"/>
          <w:szCs w:val="24"/>
        </w:rPr>
      </w:pPr>
      <w:r w:rsidRPr="0086571A">
        <w:rPr>
          <w:b/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2A1AD682" wp14:editId="62A40700">
            <wp:simplePos x="0" y="0"/>
            <wp:positionH relativeFrom="column">
              <wp:posOffset>13335</wp:posOffset>
            </wp:positionH>
            <wp:positionV relativeFrom="paragraph">
              <wp:posOffset>440690</wp:posOffset>
            </wp:positionV>
            <wp:extent cx="5273675" cy="2260600"/>
            <wp:effectExtent l="0" t="0" r="3175" b="635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8AB" w:rsidRPr="0086571A">
        <w:rPr>
          <w:rFonts w:ascii="Arial" w:eastAsia="宋体" w:hAnsi="Arial" w:hint="eastAsia"/>
          <w:b/>
          <w:sz w:val="24"/>
          <w:szCs w:val="24"/>
        </w:rPr>
        <w:t>（</w:t>
      </w:r>
      <w:r w:rsidR="00BD08AB" w:rsidRPr="0086571A">
        <w:rPr>
          <w:rFonts w:ascii="Arial" w:eastAsia="宋体" w:hAnsi="Arial" w:hint="eastAsia"/>
          <w:b/>
          <w:sz w:val="24"/>
          <w:szCs w:val="24"/>
        </w:rPr>
        <w:t>2</w:t>
      </w:r>
      <w:r w:rsidR="00BD08AB" w:rsidRPr="0086571A">
        <w:rPr>
          <w:rFonts w:ascii="Arial" w:eastAsia="宋体" w:hAnsi="Arial" w:hint="eastAsia"/>
          <w:b/>
          <w:sz w:val="24"/>
          <w:szCs w:val="24"/>
        </w:rPr>
        <w:t>）有关工程形象进度的确定</w:t>
      </w:r>
      <w:r w:rsidR="00BD08AB" w:rsidRPr="00006B46">
        <w:rPr>
          <w:rFonts w:ascii="Arial" w:eastAsia="宋体" w:hAnsi="Arial" w:hint="eastAsia"/>
          <w:sz w:val="24"/>
          <w:szCs w:val="24"/>
        </w:rPr>
        <w:t>（详见表</w:t>
      </w:r>
      <w:proofErr w:type="gramStart"/>
      <w:r w:rsidR="004056B0">
        <w:rPr>
          <w:rFonts w:ascii="Arial" w:eastAsia="宋体" w:hAnsi="Arial"/>
          <w:sz w:val="24"/>
          <w:szCs w:val="24"/>
        </w:rPr>
        <w:t>”</w:t>
      </w:r>
      <w:proofErr w:type="gramEnd"/>
      <w:r w:rsidR="00BD08AB" w:rsidRPr="00006B46">
        <w:rPr>
          <w:rFonts w:ascii="Arial" w:eastAsia="宋体" w:hAnsi="Arial" w:hint="eastAsia"/>
          <w:sz w:val="24"/>
          <w:szCs w:val="24"/>
        </w:rPr>
        <w:t>主要参数计取依据</w:t>
      </w:r>
      <w:proofErr w:type="gramStart"/>
      <w:r w:rsidR="004056B0">
        <w:rPr>
          <w:rFonts w:ascii="Arial" w:eastAsia="宋体" w:hAnsi="Arial"/>
          <w:sz w:val="24"/>
          <w:szCs w:val="24"/>
        </w:rPr>
        <w:t>”</w:t>
      </w:r>
      <w:proofErr w:type="gramEnd"/>
      <w:r w:rsidR="00BD08AB" w:rsidRPr="00006B46">
        <w:rPr>
          <w:rFonts w:ascii="Arial" w:eastAsia="宋体" w:hAnsi="Arial" w:hint="eastAsia"/>
          <w:sz w:val="24"/>
          <w:szCs w:val="24"/>
        </w:rPr>
        <w:t>）</w:t>
      </w:r>
    </w:p>
    <w:p w:rsidR="00EA1CE3" w:rsidRDefault="00EA1CE3" w:rsidP="008471B5">
      <w:pPr>
        <w:spacing w:line="500" w:lineRule="exact"/>
        <w:jc w:val="left"/>
        <w:rPr>
          <w:rFonts w:ascii="Arial" w:eastAsia="宋体" w:hAnsi="Arial" w:hint="eastAsia"/>
          <w:b/>
          <w:sz w:val="24"/>
          <w:szCs w:val="24"/>
        </w:rPr>
      </w:pPr>
    </w:p>
    <w:p w:rsidR="00266701" w:rsidRPr="0086571A" w:rsidRDefault="009E3677" w:rsidP="008471B5">
      <w:pPr>
        <w:spacing w:line="500" w:lineRule="exact"/>
        <w:jc w:val="left"/>
        <w:rPr>
          <w:rFonts w:ascii="Arial" w:eastAsia="宋体" w:hAnsi="Arial"/>
          <w:b/>
          <w:sz w:val="24"/>
          <w:szCs w:val="24"/>
        </w:rPr>
      </w:pPr>
      <w:bookmarkStart w:id="0" w:name="_GoBack"/>
      <w:bookmarkEnd w:id="0"/>
      <w:r w:rsidRPr="0086571A">
        <w:rPr>
          <w:rFonts w:ascii="Arial" w:eastAsia="宋体" w:hAnsi="Arial" w:hint="eastAsia"/>
          <w:b/>
          <w:sz w:val="24"/>
          <w:szCs w:val="24"/>
        </w:rPr>
        <w:t>（</w:t>
      </w:r>
      <w:r w:rsidRPr="0086571A">
        <w:rPr>
          <w:rFonts w:ascii="Arial" w:eastAsia="宋体" w:hAnsi="Arial" w:hint="eastAsia"/>
          <w:b/>
          <w:sz w:val="24"/>
          <w:szCs w:val="24"/>
        </w:rPr>
        <w:t>3</w:t>
      </w:r>
      <w:r w:rsidRPr="0086571A">
        <w:rPr>
          <w:rFonts w:ascii="Arial" w:eastAsia="宋体" w:hAnsi="Arial" w:hint="eastAsia"/>
          <w:b/>
          <w:sz w:val="24"/>
          <w:szCs w:val="24"/>
        </w:rPr>
        <w:t>）</w:t>
      </w:r>
      <w:r w:rsidR="00266701" w:rsidRPr="0086571A">
        <w:rPr>
          <w:rFonts w:ascii="Arial" w:eastAsia="宋体" w:hAnsi="Arial" w:hint="eastAsia"/>
          <w:b/>
          <w:sz w:val="24"/>
          <w:szCs w:val="24"/>
        </w:rPr>
        <w:t>收益法</w:t>
      </w:r>
    </w:p>
    <w:p w:rsidR="00266701" w:rsidRDefault="00266701" w:rsidP="008471B5">
      <w:pPr>
        <w:spacing w:line="500" w:lineRule="exact"/>
        <w:jc w:val="left"/>
        <w:rPr>
          <w:rFonts w:ascii="Arial" w:eastAsia="宋体" w:hAnsi="Arial"/>
          <w:sz w:val="24"/>
          <w:szCs w:val="24"/>
        </w:rPr>
      </w:pPr>
      <w:r>
        <w:rPr>
          <w:rFonts w:ascii="Arial" w:eastAsia="宋体" w:hAnsi="Arial" w:hint="eastAsia"/>
          <w:sz w:val="24"/>
          <w:szCs w:val="24"/>
        </w:rPr>
        <w:t>1</w:t>
      </w:r>
      <w:r>
        <w:rPr>
          <w:rFonts w:ascii="Arial" w:eastAsia="宋体" w:hAnsi="Arial" w:hint="eastAsia"/>
          <w:sz w:val="24"/>
          <w:szCs w:val="24"/>
        </w:rPr>
        <w:t>）收益法以租金作为收入的体系建立，相应经营费用部分中，个人名下房地产的税费是按个人出租进行设置。</w:t>
      </w:r>
      <w:r w:rsidR="005774B4">
        <w:rPr>
          <w:rFonts w:ascii="Arial" w:eastAsia="宋体" w:hAnsi="Arial"/>
          <w:sz w:val="24"/>
          <w:szCs w:val="24"/>
        </w:rPr>
        <w:t>B</w:t>
      </w:r>
      <w:r w:rsidR="005774B4">
        <w:rPr>
          <w:rFonts w:ascii="Arial" w:eastAsia="宋体" w:hAnsi="Arial" w:hint="eastAsia"/>
          <w:sz w:val="24"/>
          <w:szCs w:val="24"/>
        </w:rPr>
        <w:t>ug</w:t>
      </w:r>
      <w:r w:rsidR="005774B4">
        <w:rPr>
          <w:rFonts w:ascii="Arial" w:eastAsia="宋体" w:hAnsi="Arial" w:hint="eastAsia"/>
          <w:sz w:val="24"/>
          <w:szCs w:val="24"/>
        </w:rPr>
        <w:t>：个人名下大宗商业用房的操作问题。</w:t>
      </w:r>
    </w:p>
    <w:p w:rsidR="00266701" w:rsidRDefault="00266701" w:rsidP="008471B5">
      <w:pPr>
        <w:spacing w:line="500" w:lineRule="exact"/>
        <w:jc w:val="left"/>
        <w:rPr>
          <w:rFonts w:ascii="Arial" w:eastAsia="宋体" w:hAnsi="Arial"/>
          <w:sz w:val="24"/>
          <w:szCs w:val="24"/>
        </w:rPr>
      </w:pPr>
      <w:r>
        <w:rPr>
          <w:rFonts w:ascii="Arial" w:eastAsia="宋体" w:hAnsi="Arial" w:hint="eastAsia"/>
          <w:sz w:val="24"/>
          <w:szCs w:val="24"/>
        </w:rPr>
        <w:t>2</w:t>
      </w:r>
      <w:r>
        <w:rPr>
          <w:rFonts w:ascii="Arial" w:eastAsia="宋体" w:hAnsi="Arial" w:hint="eastAsia"/>
          <w:sz w:val="24"/>
          <w:szCs w:val="24"/>
        </w:rPr>
        <w:t>）酒店类项目已按酒店经营模式合算了经营收入，无需将经营收入再折算为租金来计算年总收益。</w:t>
      </w:r>
    </w:p>
    <w:p w:rsidR="00006B46" w:rsidRPr="00006B46" w:rsidRDefault="00266701" w:rsidP="008471B5">
      <w:pPr>
        <w:spacing w:line="500" w:lineRule="exact"/>
        <w:jc w:val="left"/>
        <w:rPr>
          <w:rFonts w:ascii="Arial" w:eastAsia="宋体" w:hAnsi="Arial"/>
          <w:sz w:val="24"/>
          <w:szCs w:val="24"/>
        </w:rPr>
      </w:pPr>
      <w:r>
        <w:rPr>
          <w:rFonts w:ascii="Arial" w:eastAsia="宋体" w:hAnsi="Arial" w:hint="eastAsia"/>
          <w:sz w:val="24"/>
          <w:szCs w:val="24"/>
        </w:rPr>
        <w:t>3</w:t>
      </w:r>
      <w:r>
        <w:rPr>
          <w:rFonts w:ascii="Arial" w:eastAsia="宋体" w:hAnsi="Arial" w:hint="eastAsia"/>
          <w:sz w:val="24"/>
          <w:szCs w:val="24"/>
        </w:rPr>
        <w:t>）</w:t>
      </w:r>
      <w:r w:rsidR="003C5972" w:rsidRPr="00006B46">
        <w:rPr>
          <w:rFonts w:ascii="Arial" w:eastAsia="宋体" w:hAnsi="Arial" w:hint="eastAsia"/>
          <w:sz w:val="24"/>
          <w:szCs w:val="24"/>
        </w:rPr>
        <w:t>收益法中</w:t>
      </w:r>
      <w:r w:rsidR="00006B46" w:rsidRPr="00006B46">
        <w:rPr>
          <w:rFonts w:ascii="Arial" w:eastAsia="宋体" w:hAnsi="Arial" w:hint="eastAsia"/>
          <w:sz w:val="24"/>
          <w:szCs w:val="24"/>
        </w:rPr>
        <w:t>建筑物成新率</w:t>
      </w:r>
      <w:r w:rsidR="00006B46">
        <w:rPr>
          <w:rFonts w:ascii="Arial" w:eastAsia="宋体" w:hAnsi="Arial" w:hint="eastAsia"/>
          <w:sz w:val="24"/>
          <w:szCs w:val="24"/>
        </w:rPr>
        <w:t>计取</w:t>
      </w:r>
      <w:r w:rsidR="00006B46" w:rsidRPr="00006B46">
        <w:rPr>
          <w:rFonts w:ascii="Arial" w:eastAsia="宋体" w:hAnsi="Arial" w:hint="eastAsia"/>
          <w:color w:val="000000" w:themeColor="text1"/>
          <w:sz w:val="24"/>
          <w:szCs w:val="24"/>
        </w:rPr>
        <w:t>问题探讨</w:t>
      </w:r>
    </w:p>
    <w:p w:rsidR="00006B46" w:rsidRDefault="00006B46" w:rsidP="008471B5">
      <w:pPr>
        <w:spacing w:line="500" w:lineRule="exact"/>
        <w:jc w:val="left"/>
        <w:rPr>
          <w:rFonts w:ascii="Arial" w:eastAsia="宋体" w:hAnsi="Arial"/>
          <w:color w:val="000000" w:themeColor="text1"/>
          <w:sz w:val="24"/>
          <w:szCs w:val="24"/>
        </w:rPr>
      </w:pPr>
      <w:r w:rsidRPr="00006B46">
        <w:rPr>
          <w:rFonts w:ascii="Arial" w:eastAsia="宋体" w:hAnsi="Arial" w:hint="eastAsia"/>
          <w:color w:val="000000" w:themeColor="text1"/>
          <w:sz w:val="24"/>
          <w:szCs w:val="24"/>
        </w:rPr>
        <w:t>前提：</w:t>
      </w:r>
      <w:r>
        <w:rPr>
          <w:rFonts w:ascii="Arial" w:eastAsia="宋体" w:hAnsi="Arial" w:hint="eastAsia"/>
          <w:color w:val="000000" w:themeColor="text1"/>
          <w:sz w:val="24"/>
          <w:szCs w:val="24"/>
        </w:rPr>
        <w:t>收益期限通过土地使用年限和建筑物经济寿命确定。建筑物经济寿命是建筑物自建成起，在正常</w:t>
      </w:r>
      <w:r w:rsidRPr="00006B46">
        <w:rPr>
          <w:rFonts w:ascii="Arial" w:eastAsia="宋体" w:hAnsi="Arial" w:hint="eastAsia"/>
          <w:color w:val="000000" w:themeColor="text1"/>
          <w:sz w:val="24"/>
          <w:szCs w:val="24"/>
        </w:rPr>
        <w:t>使用和运营</w:t>
      </w:r>
      <w:r>
        <w:rPr>
          <w:rFonts w:ascii="Arial" w:eastAsia="宋体" w:hAnsi="Arial" w:hint="eastAsia"/>
          <w:color w:val="000000" w:themeColor="text1"/>
          <w:sz w:val="24"/>
          <w:szCs w:val="24"/>
        </w:rPr>
        <w:t>状态</w:t>
      </w:r>
      <w:r w:rsidRPr="00006B46">
        <w:rPr>
          <w:rFonts w:ascii="Arial" w:eastAsia="宋体" w:hAnsi="Arial" w:hint="eastAsia"/>
          <w:color w:val="000000" w:themeColor="text1"/>
          <w:sz w:val="24"/>
          <w:szCs w:val="24"/>
        </w:rPr>
        <w:t>下</w:t>
      </w:r>
      <w:r>
        <w:rPr>
          <w:rFonts w:ascii="Arial" w:eastAsia="宋体" w:hAnsi="Arial" w:hint="eastAsia"/>
          <w:color w:val="000000" w:themeColor="text1"/>
          <w:sz w:val="24"/>
          <w:szCs w:val="24"/>
        </w:rPr>
        <w:t>，收入大于运营费用持续的时间</w:t>
      </w:r>
      <w:r w:rsidRPr="00006B46">
        <w:rPr>
          <w:rFonts w:ascii="Arial" w:eastAsia="宋体" w:hAnsi="Arial" w:hint="eastAsia"/>
          <w:color w:val="000000" w:themeColor="text1"/>
          <w:sz w:val="24"/>
          <w:szCs w:val="24"/>
        </w:rPr>
        <w:t>。</w:t>
      </w:r>
    </w:p>
    <w:p w:rsidR="00006B46" w:rsidRPr="00006B46" w:rsidRDefault="00006B46" w:rsidP="008471B5">
      <w:pPr>
        <w:spacing w:line="500" w:lineRule="exact"/>
        <w:jc w:val="left"/>
        <w:rPr>
          <w:rFonts w:ascii="Arial" w:eastAsia="宋体" w:hAnsi="Arial"/>
          <w:color w:val="000000" w:themeColor="text1"/>
          <w:sz w:val="24"/>
          <w:szCs w:val="24"/>
        </w:rPr>
      </w:pPr>
      <w:r>
        <w:rPr>
          <w:rFonts w:ascii="Arial" w:eastAsia="宋体" w:hAnsi="Arial" w:hint="eastAsia"/>
          <w:color w:val="000000" w:themeColor="text1"/>
          <w:sz w:val="24"/>
          <w:szCs w:val="24"/>
        </w:rPr>
        <w:t>问题：在何种成新度下，建筑物可经过适当的维护保证正常使用，且运营费用（维修费）不超过收入？</w:t>
      </w:r>
    </w:p>
    <w:p w:rsidR="00006B46" w:rsidRPr="00006B46" w:rsidRDefault="0086571A" w:rsidP="008471B5">
      <w:pPr>
        <w:spacing w:line="500" w:lineRule="exact"/>
        <w:jc w:val="left"/>
        <w:rPr>
          <w:rFonts w:ascii="Arial" w:eastAsia="宋体" w:hAnsi="Arial"/>
          <w:color w:val="000000" w:themeColor="text1"/>
          <w:sz w:val="24"/>
          <w:szCs w:val="24"/>
        </w:rPr>
      </w:pPr>
      <w:r>
        <w:rPr>
          <w:rFonts w:ascii="Arial" w:eastAsia="宋体" w:hAnsi="Arial" w:hint="eastAsia"/>
          <w:sz w:val="24"/>
          <w:szCs w:val="24"/>
        </w:rPr>
        <w:t>A.</w:t>
      </w:r>
      <w:r w:rsidR="00006B46" w:rsidRPr="00006B46">
        <w:rPr>
          <w:rFonts w:ascii="Arial" w:eastAsia="宋体" w:hAnsi="Arial" w:hint="eastAsia"/>
          <w:color w:val="000000" w:themeColor="text1"/>
          <w:sz w:val="24"/>
          <w:szCs w:val="24"/>
        </w:rPr>
        <w:t>建筑物成新率：</w:t>
      </w:r>
    </w:p>
    <w:p w:rsidR="00006B46" w:rsidRDefault="00006B46" w:rsidP="008471B5">
      <w:pPr>
        <w:spacing w:line="500" w:lineRule="exact"/>
        <w:jc w:val="left"/>
        <w:rPr>
          <w:rFonts w:ascii="Arial" w:eastAsia="宋体" w:hAnsi="Arial"/>
          <w:color w:val="000000" w:themeColor="text1"/>
          <w:sz w:val="24"/>
          <w:szCs w:val="24"/>
          <w:u w:val="single"/>
        </w:rPr>
      </w:pPr>
      <w:r w:rsidRPr="00006B46">
        <w:rPr>
          <w:rFonts w:ascii="Arial" w:eastAsia="宋体" w:hAnsi="Arial" w:hint="eastAsia"/>
          <w:color w:val="000000" w:themeColor="text1"/>
          <w:sz w:val="24"/>
          <w:szCs w:val="24"/>
        </w:rPr>
        <w:t>直线折旧法计算成新率公式：</w:t>
      </w:r>
      <w:r w:rsidRPr="00C44CB8">
        <w:rPr>
          <w:rFonts w:ascii="Arial" w:eastAsia="宋体" w:hAnsi="Arial" w:hint="eastAsia"/>
          <w:color w:val="000000" w:themeColor="text1"/>
          <w:sz w:val="24"/>
          <w:szCs w:val="24"/>
          <w:u w:val="single"/>
        </w:rPr>
        <w:t>１</w:t>
      </w:r>
      <w:r w:rsidR="00C44CB8" w:rsidRPr="00C44CB8">
        <w:rPr>
          <w:rFonts w:ascii="宋体" w:eastAsia="宋体" w:hAnsi="宋体" w:cs="Arial"/>
          <w:color w:val="000000" w:themeColor="text1"/>
          <w:sz w:val="24"/>
          <w:szCs w:val="24"/>
          <w:u w:val="single"/>
        </w:rPr>
        <w:t>-</w:t>
      </w:r>
      <w:r w:rsidRPr="00C44CB8">
        <w:rPr>
          <w:rFonts w:ascii="宋体" w:eastAsia="宋体" w:hAnsi="宋体" w:hint="eastAsia"/>
          <w:color w:val="000000" w:themeColor="text1"/>
          <w:sz w:val="24"/>
          <w:szCs w:val="24"/>
          <w:u w:val="single"/>
        </w:rPr>
        <w:t>（１-</w:t>
      </w:r>
      <w:r w:rsidRPr="00C44CB8">
        <w:rPr>
          <w:rFonts w:ascii="Arial" w:eastAsia="宋体" w:hAnsi="Arial" w:hint="eastAsia"/>
          <w:color w:val="000000" w:themeColor="text1"/>
          <w:sz w:val="24"/>
          <w:szCs w:val="24"/>
          <w:u w:val="single"/>
        </w:rPr>
        <w:t>残值率）</w:t>
      </w:r>
      <w:r w:rsidR="00C44CB8">
        <w:rPr>
          <w:rFonts w:ascii="宋体" w:eastAsia="宋体" w:hAnsi="宋体" w:hint="eastAsia"/>
          <w:color w:val="000000" w:themeColor="text1"/>
          <w:sz w:val="24"/>
          <w:szCs w:val="24"/>
          <w:u w:val="single"/>
        </w:rPr>
        <w:t>×</w:t>
      </w:r>
      <w:r w:rsidRPr="00C44CB8">
        <w:rPr>
          <w:rFonts w:ascii="Arial" w:eastAsia="宋体" w:hAnsi="Arial" w:hint="eastAsia"/>
          <w:color w:val="000000" w:themeColor="text1"/>
          <w:sz w:val="24"/>
          <w:szCs w:val="24"/>
          <w:u w:val="single"/>
        </w:rPr>
        <w:t>有效年龄</w:t>
      </w:r>
      <w:r w:rsidR="00C44CB8" w:rsidRPr="00C44CB8">
        <w:rPr>
          <w:rFonts w:asciiTheme="minorEastAsia" w:hAnsiTheme="minorEastAsia" w:cs="Arial"/>
          <w:color w:val="000000" w:themeColor="text1"/>
          <w:sz w:val="24"/>
          <w:szCs w:val="24"/>
          <w:u w:val="single"/>
        </w:rPr>
        <w:t>÷</w:t>
      </w:r>
      <w:r w:rsidRPr="00C44CB8">
        <w:rPr>
          <w:rFonts w:ascii="Arial" w:eastAsia="宋体" w:hAnsi="Arial" w:hint="eastAsia"/>
          <w:color w:val="000000" w:themeColor="text1"/>
          <w:sz w:val="24"/>
          <w:szCs w:val="24"/>
          <w:u w:val="single"/>
        </w:rPr>
        <w:t>建筑物经济寿命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170"/>
        <w:gridCol w:w="3316"/>
        <w:gridCol w:w="3994"/>
      </w:tblGrid>
      <w:tr w:rsidR="0086571A" w:rsidRPr="009C442A" w:rsidTr="0086571A">
        <w:trPr>
          <w:trHeight w:val="372"/>
          <w:jc w:val="center"/>
        </w:trPr>
        <w:tc>
          <w:tcPr>
            <w:tcW w:w="1170" w:type="dxa"/>
            <w:vMerge w:val="restart"/>
          </w:tcPr>
          <w:p w:rsidR="0086571A" w:rsidRDefault="0086571A" w:rsidP="00006B46">
            <w:pPr>
              <w:jc w:val="left"/>
              <w:rPr>
                <w:rFonts w:ascii="Arial" w:eastAsia="宋体" w:hAnsi="Arial"/>
                <w:color w:val="000000" w:themeColor="text1"/>
                <w:szCs w:val="21"/>
              </w:rPr>
            </w:pPr>
            <w:r w:rsidRPr="009C442A">
              <w:rPr>
                <w:rFonts w:ascii="Arial" w:eastAsia="宋体" w:hAnsi="Arial" w:hint="eastAsia"/>
                <w:color w:val="000000" w:themeColor="text1"/>
                <w:szCs w:val="21"/>
              </w:rPr>
              <w:t>建筑物</w:t>
            </w:r>
          </w:p>
          <w:p w:rsidR="0086571A" w:rsidRPr="009C442A" w:rsidRDefault="0086571A" w:rsidP="00006B46">
            <w:pPr>
              <w:jc w:val="left"/>
              <w:rPr>
                <w:rFonts w:ascii="Arial" w:eastAsia="宋体" w:hAnsi="Arial"/>
                <w:color w:val="000000" w:themeColor="text1"/>
                <w:szCs w:val="21"/>
              </w:rPr>
            </w:pPr>
            <w:r w:rsidRPr="009C442A">
              <w:rPr>
                <w:rFonts w:ascii="Arial" w:eastAsia="宋体" w:hAnsi="Arial" w:hint="eastAsia"/>
                <w:color w:val="000000" w:themeColor="text1"/>
                <w:szCs w:val="21"/>
              </w:rPr>
              <w:t>寿命</w:t>
            </w:r>
          </w:p>
        </w:tc>
        <w:tc>
          <w:tcPr>
            <w:tcW w:w="3316" w:type="dxa"/>
          </w:tcPr>
          <w:p w:rsidR="0086571A" w:rsidRPr="009C442A" w:rsidRDefault="0086571A" w:rsidP="00006B46">
            <w:pPr>
              <w:jc w:val="left"/>
              <w:rPr>
                <w:rFonts w:ascii="Arial" w:eastAsia="宋体" w:hAnsi="Arial"/>
                <w:color w:val="000000" w:themeColor="text1"/>
                <w:szCs w:val="21"/>
              </w:rPr>
            </w:pPr>
            <w:r w:rsidRPr="009C442A">
              <w:rPr>
                <w:rFonts w:ascii="Arial" w:eastAsia="宋体" w:hAnsi="Arial" w:hint="eastAsia"/>
                <w:color w:val="000000" w:themeColor="text1"/>
                <w:szCs w:val="21"/>
              </w:rPr>
              <w:t>自然寿命</w:t>
            </w:r>
          </w:p>
        </w:tc>
        <w:tc>
          <w:tcPr>
            <w:tcW w:w="3994" w:type="dxa"/>
          </w:tcPr>
          <w:p w:rsidR="0086571A" w:rsidRPr="009C442A" w:rsidRDefault="0086571A" w:rsidP="00006B46">
            <w:pPr>
              <w:jc w:val="left"/>
              <w:rPr>
                <w:rFonts w:ascii="Arial" w:eastAsia="宋体" w:hAnsi="Arial"/>
                <w:color w:val="000000" w:themeColor="text1"/>
                <w:szCs w:val="21"/>
              </w:rPr>
            </w:pPr>
            <w:r w:rsidRPr="009C442A">
              <w:rPr>
                <w:rFonts w:ascii="Arial" w:eastAsia="宋体" w:hAnsi="Arial" w:hint="eastAsia"/>
                <w:color w:val="000000" w:themeColor="text1"/>
                <w:szCs w:val="21"/>
              </w:rPr>
              <w:t>经济寿命</w:t>
            </w:r>
          </w:p>
        </w:tc>
      </w:tr>
      <w:tr w:rsidR="0086571A" w:rsidRPr="009C442A" w:rsidTr="0086571A">
        <w:trPr>
          <w:jc w:val="center"/>
        </w:trPr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86571A" w:rsidRPr="009C442A" w:rsidRDefault="0086571A" w:rsidP="00006B46">
            <w:pPr>
              <w:jc w:val="left"/>
              <w:rPr>
                <w:rFonts w:ascii="Arial" w:eastAsia="宋体" w:hAnsi="Arial"/>
                <w:color w:val="000000" w:themeColor="text1"/>
                <w:szCs w:val="21"/>
              </w:rPr>
            </w:pPr>
          </w:p>
        </w:tc>
        <w:tc>
          <w:tcPr>
            <w:tcW w:w="3316" w:type="dxa"/>
          </w:tcPr>
          <w:p w:rsidR="0086571A" w:rsidRPr="009C442A" w:rsidRDefault="0086571A" w:rsidP="00006B46">
            <w:pPr>
              <w:spacing w:line="240" w:lineRule="exact"/>
              <w:jc w:val="left"/>
              <w:rPr>
                <w:rFonts w:ascii="Arial" w:eastAsia="宋体" w:hAnsi="Arial"/>
                <w:color w:val="000000" w:themeColor="text1"/>
                <w:szCs w:val="21"/>
              </w:rPr>
            </w:pPr>
            <w:r w:rsidRPr="009C442A">
              <w:rPr>
                <w:rFonts w:ascii="Arial" w:eastAsia="宋体" w:hAnsi="Arial" w:hint="eastAsia"/>
                <w:color w:val="000000" w:themeColor="text1"/>
                <w:szCs w:val="21"/>
              </w:rPr>
              <w:t>主要结构构件因自然老化或损坏而不能保证建筑物安全的时间</w:t>
            </w:r>
          </w:p>
          <w:p w:rsidR="0086571A" w:rsidRPr="009C442A" w:rsidRDefault="0086571A" w:rsidP="00006B46">
            <w:pPr>
              <w:spacing w:line="240" w:lineRule="exact"/>
              <w:jc w:val="left"/>
              <w:rPr>
                <w:rFonts w:ascii="Arial" w:eastAsia="宋体" w:hAnsi="Arial"/>
                <w:color w:val="000000" w:themeColor="text1"/>
                <w:szCs w:val="21"/>
              </w:rPr>
            </w:pPr>
            <w:r w:rsidRPr="009C442A">
              <w:rPr>
                <w:rFonts w:ascii="Arial" w:eastAsia="宋体" w:hAnsi="Arial" w:hint="eastAsia"/>
                <w:color w:val="000000" w:themeColor="text1"/>
                <w:szCs w:val="21"/>
              </w:rPr>
              <w:t>‘建筑物耐用年限’</w:t>
            </w:r>
          </w:p>
        </w:tc>
        <w:tc>
          <w:tcPr>
            <w:tcW w:w="3994" w:type="dxa"/>
          </w:tcPr>
          <w:p w:rsidR="0086571A" w:rsidRPr="009C442A" w:rsidRDefault="0086571A" w:rsidP="00006B46">
            <w:pPr>
              <w:spacing w:line="240" w:lineRule="exact"/>
              <w:jc w:val="left"/>
              <w:rPr>
                <w:rFonts w:ascii="Arial" w:eastAsia="宋体" w:hAnsi="Arial"/>
                <w:color w:val="000000" w:themeColor="text1"/>
                <w:szCs w:val="21"/>
              </w:rPr>
            </w:pPr>
            <w:r w:rsidRPr="009C442A">
              <w:rPr>
                <w:rFonts w:ascii="Arial" w:eastAsia="宋体" w:hAnsi="Arial" w:hint="eastAsia"/>
                <w:color w:val="000000" w:themeColor="text1"/>
                <w:szCs w:val="21"/>
              </w:rPr>
              <w:t>建筑物对房地产价值有贡献的时间，在正常市场和运营状况下，房地产产生的收入大于运营费用，净收益大于零的时间</w:t>
            </w:r>
          </w:p>
        </w:tc>
      </w:tr>
      <w:tr w:rsidR="00006B46" w:rsidRPr="009C442A" w:rsidTr="0086571A">
        <w:trPr>
          <w:jc w:val="center"/>
        </w:trPr>
        <w:tc>
          <w:tcPr>
            <w:tcW w:w="1170" w:type="dxa"/>
            <w:tcBorders>
              <w:top w:val="single" w:sz="4" w:space="0" w:color="auto"/>
            </w:tcBorders>
          </w:tcPr>
          <w:p w:rsidR="00006B46" w:rsidRPr="009C442A" w:rsidRDefault="00006B46" w:rsidP="00245D81">
            <w:pPr>
              <w:jc w:val="left"/>
              <w:rPr>
                <w:rFonts w:ascii="Arial" w:eastAsia="宋体" w:hAnsi="Arial"/>
                <w:color w:val="000000" w:themeColor="text1"/>
                <w:szCs w:val="21"/>
              </w:rPr>
            </w:pPr>
            <w:r w:rsidRPr="009C442A">
              <w:rPr>
                <w:rFonts w:ascii="Arial" w:eastAsia="宋体" w:hAnsi="Arial" w:hint="eastAsia"/>
                <w:color w:val="000000" w:themeColor="text1"/>
                <w:szCs w:val="21"/>
              </w:rPr>
              <w:t>年龄</w:t>
            </w:r>
          </w:p>
        </w:tc>
        <w:tc>
          <w:tcPr>
            <w:tcW w:w="3316" w:type="dxa"/>
          </w:tcPr>
          <w:p w:rsidR="00006B46" w:rsidRPr="009C442A" w:rsidRDefault="00006B46" w:rsidP="00245D81">
            <w:pPr>
              <w:jc w:val="left"/>
              <w:rPr>
                <w:rFonts w:ascii="Arial" w:eastAsia="宋体" w:hAnsi="Arial"/>
                <w:color w:val="000000" w:themeColor="text1"/>
                <w:szCs w:val="21"/>
              </w:rPr>
            </w:pPr>
            <w:r w:rsidRPr="009C442A">
              <w:rPr>
                <w:rFonts w:ascii="Arial" w:eastAsia="宋体" w:hAnsi="Arial" w:hint="eastAsia"/>
                <w:color w:val="000000" w:themeColor="text1"/>
                <w:szCs w:val="21"/>
              </w:rPr>
              <w:t>实际年龄</w:t>
            </w:r>
          </w:p>
        </w:tc>
        <w:tc>
          <w:tcPr>
            <w:tcW w:w="3994" w:type="dxa"/>
          </w:tcPr>
          <w:p w:rsidR="00006B46" w:rsidRPr="009C442A" w:rsidRDefault="00006B46" w:rsidP="00245D81">
            <w:pPr>
              <w:jc w:val="left"/>
              <w:rPr>
                <w:rFonts w:ascii="Arial" w:eastAsia="宋体" w:hAnsi="Arial"/>
                <w:color w:val="000000" w:themeColor="text1"/>
                <w:szCs w:val="21"/>
              </w:rPr>
            </w:pPr>
            <w:r w:rsidRPr="009C442A">
              <w:rPr>
                <w:rFonts w:ascii="Arial" w:eastAsia="宋体" w:hAnsi="Arial" w:hint="eastAsia"/>
                <w:color w:val="000000" w:themeColor="text1"/>
                <w:szCs w:val="21"/>
              </w:rPr>
              <w:t>有效年龄</w:t>
            </w:r>
          </w:p>
        </w:tc>
      </w:tr>
      <w:tr w:rsidR="00006B46" w:rsidRPr="009C442A" w:rsidTr="0086571A">
        <w:trPr>
          <w:jc w:val="center"/>
        </w:trPr>
        <w:tc>
          <w:tcPr>
            <w:tcW w:w="1170" w:type="dxa"/>
          </w:tcPr>
          <w:p w:rsidR="00006B46" w:rsidRPr="009C442A" w:rsidRDefault="00006B46" w:rsidP="00AC638A">
            <w:pPr>
              <w:jc w:val="left"/>
              <w:rPr>
                <w:rFonts w:ascii="Arial" w:eastAsia="宋体" w:hAnsi="Arial"/>
                <w:color w:val="000000" w:themeColor="text1"/>
                <w:szCs w:val="21"/>
              </w:rPr>
            </w:pPr>
            <w:r w:rsidRPr="009C442A">
              <w:rPr>
                <w:rFonts w:ascii="Arial" w:eastAsia="宋体" w:hAnsi="Arial" w:hint="eastAsia"/>
                <w:color w:val="000000" w:themeColor="text1"/>
                <w:szCs w:val="21"/>
              </w:rPr>
              <w:t>剩余寿命</w:t>
            </w:r>
          </w:p>
        </w:tc>
        <w:tc>
          <w:tcPr>
            <w:tcW w:w="3316" w:type="dxa"/>
          </w:tcPr>
          <w:p w:rsidR="00006B46" w:rsidRPr="009C442A" w:rsidRDefault="00006B46" w:rsidP="00AC638A">
            <w:pPr>
              <w:jc w:val="left"/>
              <w:rPr>
                <w:rFonts w:ascii="Arial" w:eastAsia="宋体" w:hAnsi="Arial"/>
                <w:color w:val="000000" w:themeColor="text1"/>
                <w:szCs w:val="21"/>
              </w:rPr>
            </w:pPr>
            <w:r w:rsidRPr="009C442A">
              <w:rPr>
                <w:rFonts w:ascii="Arial" w:eastAsia="宋体" w:hAnsi="Arial" w:hint="eastAsia"/>
                <w:color w:val="000000" w:themeColor="text1"/>
                <w:szCs w:val="21"/>
              </w:rPr>
              <w:t>剩余自然寿命</w:t>
            </w:r>
          </w:p>
        </w:tc>
        <w:tc>
          <w:tcPr>
            <w:tcW w:w="3994" w:type="dxa"/>
          </w:tcPr>
          <w:p w:rsidR="00006B46" w:rsidRPr="009C442A" w:rsidRDefault="00006B46" w:rsidP="00AC638A">
            <w:pPr>
              <w:jc w:val="left"/>
              <w:rPr>
                <w:rFonts w:ascii="Arial" w:eastAsia="宋体" w:hAnsi="Arial"/>
                <w:color w:val="000000" w:themeColor="text1"/>
                <w:szCs w:val="21"/>
              </w:rPr>
            </w:pPr>
            <w:r w:rsidRPr="009C442A">
              <w:rPr>
                <w:rFonts w:ascii="Arial" w:eastAsia="宋体" w:hAnsi="Arial" w:hint="eastAsia"/>
                <w:color w:val="000000" w:themeColor="text1"/>
                <w:szCs w:val="21"/>
              </w:rPr>
              <w:t>剩余经济寿命</w:t>
            </w:r>
          </w:p>
        </w:tc>
      </w:tr>
    </w:tbl>
    <w:p w:rsidR="00006B46" w:rsidRDefault="00006B46" w:rsidP="0086571A">
      <w:pPr>
        <w:spacing w:line="360" w:lineRule="auto"/>
        <w:jc w:val="left"/>
        <w:rPr>
          <w:rFonts w:ascii="Arial" w:eastAsia="宋体" w:hAnsi="Arial"/>
          <w:color w:val="000000" w:themeColor="text1"/>
          <w:sz w:val="24"/>
          <w:szCs w:val="24"/>
          <w:u w:val="single"/>
        </w:rPr>
      </w:pPr>
      <w:r w:rsidRPr="00006B46">
        <w:rPr>
          <w:rFonts w:ascii="Arial" w:eastAsia="宋体" w:hAnsi="Arial" w:hint="eastAsia"/>
          <w:color w:val="000000" w:themeColor="text1"/>
          <w:sz w:val="24"/>
          <w:szCs w:val="24"/>
          <w:u w:val="single"/>
        </w:rPr>
        <w:t>实际操作中通常采用自然寿命计算成新率。</w:t>
      </w:r>
    </w:p>
    <w:p w:rsidR="0086571A" w:rsidRDefault="00C44CB8" w:rsidP="0086571A">
      <w:pPr>
        <w:spacing w:line="360" w:lineRule="auto"/>
        <w:jc w:val="left"/>
        <w:rPr>
          <w:rFonts w:ascii="Arial" w:eastAsia="宋体" w:hAnsi="Arial"/>
          <w:color w:val="000000" w:themeColor="text1"/>
          <w:sz w:val="24"/>
          <w:szCs w:val="24"/>
        </w:rPr>
      </w:pPr>
      <w:r>
        <w:rPr>
          <w:rFonts w:ascii="Arial" w:eastAsia="宋体" w:hAnsi="Arial" w:hint="eastAsia"/>
          <w:color w:val="000000" w:themeColor="text1"/>
          <w:sz w:val="24"/>
          <w:szCs w:val="24"/>
        </w:rPr>
        <w:t>有关</w:t>
      </w:r>
      <w:r w:rsidRPr="00006B46">
        <w:rPr>
          <w:rFonts w:ascii="Arial" w:eastAsia="宋体" w:hAnsi="Arial" w:hint="eastAsia"/>
          <w:color w:val="000000" w:themeColor="text1"/>
          <w:sz w:val="24"/>
          <w:szCs w:val="24"/>
        </w:rPr>
        <w:t>建筑物成新评定</w:t>
      </w:r>
      <w:r>
        <w:rPr>
          <w:rFonts w:ascii="Arial" w:eastAsia="宋体" w:hAnsi="Arial" w:hint="eastAsia"/>
          <w:color w:val="000000" w:themeColor="text1"/>
          <w:sz w:val="24"/>
          <w:szCs w:val="24"/>
        </w:rPr>
        <w:t>：</w:t>
      </w:r>
      <w:r w:rsidR="00006B46" w:rsidRPr="00006B46">
        <w:rPr>
          <w:rFonts w:ascii="Arial" w:eastAsia="宋体" w:hAnsi="Arial" w:hint="eastAsia"/>
          <w:color w:val="000000" w:themeColor="text1"/>
          <w:sz w:val="24"/>
          <w:szCs w:val="24"/>
        </w:rPr>
        <w:t>建设部《房屋完损等级评定标准》（</w:t>
      </w:r>
      <w:r w:rsidR="00006B46" w:rsidRPr="00006B46">
        <w:rPr>
          <w:rFonts w:ascii="Arial" w:eastAsia="宋体" w:hAnsi="Arial" w:hint="eastAsia"/>
          <w:color w:val="000000" w:themeColor="text1"/>
          <w:sz w:val="24"/>
          <w:szCs w:val="24"/>
        </w:rPr>
        <w:t>1984</w:t>
      </w:r>
      <w:r w:rsidR="00006B46" w:rsidRPr="00006B46">
        <w:rPr>
          <w:rFonts w:ascii="Arial" w:eastAsia="宋体" w:hAnsi="Arial" w:hint="eastAsia"/>
          <w:color w:val="000000" w:themeColor="text1"/>
          <w:sz w:val="24"/>
          <w:szCs w:val="24"/>
        </w:rPr>
        <w:t>年）、《北京市房屋重置成新价评估技术标准》（</w:t>
      </w:r>
      <w:r w:rsidR="00006B46" w:rsidRPr="00006B46">
        <w:rPr>
          <w:rFonts w:ascii="Arial" w:eastAsia="宋体" w:hAnsi="Arial" w:hint="eastAsia"/>
          <w:color w:val="000000" w:themeColor="text1"/>
          <w:sz w:val="24"/>
          <w:szCs w:val="24"/>
        </w:rPr>
        <w:t>2016</w:t>
      </w:r>
      <w:r>
        <w:rPr>
          <w:rFonts w:ascii="Arial" w:eastAsia="宋体" w:hAnsi="Arial" w:hint="eastAsia"/>
          <w:color w:val="000000" w:themeColor="text1"/>
          <w:sz w:val="24"/>
          <w:szCs w:val="24"/>
        </w:rPr>
        <w:t>年）</w:t>
      </w:r>
      <w:r w:rsidR="00006B46" w:rsidRPr="00006B46">
        <w:rPr>
          <w:rFonts w:ascii="Arial" w:eastAsia="宋体" w:hAnsi="Arial" w:hint="eastAsia"/>
          <w:color w:val="000000" w:themeColor="text1"/>
          <w:sz w:val="24"/>
          <w:szCs w:val="24"/>
        </w:rPr>
        <w:t>。</w:t>
      </w:r>
    </w:p>
    <w:p w:rsidR="0086571A" w:rsidRDefault="0086571A" w:rsidP="0086571A">
      <w:pPr>
        <w:spacing w:line="360" w:lineRule="auto"/>
        <w:jc w:val="left"/>
        <w:rPr>
          <w:rFonts w:ascii="Arial" w:eastAsia="宋体" w:hAnsi="Arial"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57D4014" wp14:editId="6110428A">
            <wp:extent cx="5133975" cy="2704250"/>
            <wp:effectExtent l="0" t="0" r="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35602" cy="27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71A" w:rsidRDefault="0086571A" w:rsidP="0086571A">
      <w:pPr>
        <w:widowControl/>
        <w:spacing w:line="360" w:lineRule="auto"/>
        <w:jc w:val="lef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hint="eastAsia"/>
          <w:color w:val="000000" w:themeColor="text1"/>
          <w:sz w:val="24"/>
          <w:szCs w:val="24"/>
        </w:rPr>
        <w:t>B.</w:t>
      </w:r>
      <w:r w:rsidR="00006B46" w:rsidRPr="00006B46">
        <w:rPr>
          <w:rFonts w:ascii="Arial" w:eastAsia="宋体" w:hAnsi="Arial" w:hint="eastAsia"/>
          <w:sz w:val="24"/>
          <w:szCs w:val="24"/>
        </w:rPr>
        <w:t>收益法中建筑物成新率计算：</w:t>
      </w:r>
    </w:p>
    <w:p w:rsidR="0086571A" w:rsidRDefault="0086571A" w:rsidP="0086571A">
      <w:pPr>
        <w:widowControl/>
        <w:spacing w:line="360" w:lineRule="auto"/>
        <w:jc w:val="left"/>
        <w:rPr>
          <w:rFonts w:ascii="Arial" w:eastAsia="宋体" w:hAnsi="Arial"/>
          <w:sz w:val="24"/>
          <w:szCs w:val="24"/>
        </w:rPr>
      </w:pPr>
      <w:r>
        <w:rPr>
          <w:rFonts w:ascii="Arial" w:eastAsia="宋体" w:hAnsi="Arial" w:hint="eastAsia"/>
          <w:sz w:val="24"/>
          <w:szCs w:val="24"/>
        </w:rPr>
        <w:t>（</w:t>
      </w:r>
      <w:r>
        <w:rPr>
          <w:rFonts w:ascii="Arial" w:eastAsia="宋体" w:hAnsi="Arial" w:hint="eastAsia"/>
          <w:sz w:val="24"/>
          <w:szCs w:val="24"/>
        </w:rPr>
        <w:t>A</w:t>
      </w:r>
      <w:r>
        <w:rPr>
          <w:rFonts w:ascii="Arial" w:eastAsia="宋体" w:hAnsi="Arial" w:hint="eastAsia"/>
          <w:sz w:val="24"/>
          <w:szCs w:val="24"/>
        </w:rPr>
        <w:t>）</w:t>
      </w:r>
      <w:r w:rsidR="00006B46" w:rsidRPr="00006B46">
        <w:rPr>
          <w:rFonts w:ascii="Arial" w:eastAsia="宋体" w:hAnsi="Arial" w:hint="eastAsia"/>
          <w:sz w:val="24"/>
          <w:szCs w:val="24"/>
        </w:rPr>
        <w:t>价值时点下的建筑物成新率；</w:t>
      </w:r>
    </w:p>
    <w:p w:rsidR="0086571A" w:rsidRDefault="0086571A" w:rsidP="0086571A">
      <w:pPr>
        <w:widowControl/>
        <w:spacing w:line="360" w:lineRule="auto"/>
        <w:jc w:val="left"/>
        <w:rPr>
          <w:rFonts w:ascii="Arial" w:eastAsia="宋体" w:hAnsi="Arial"/>
          <w:sz w:val="24"/>
          <w:szCs w:val="24"/>
        </w:rPr>
      </w:pPr>
      <w:r>
        <w:rPr>
          <w:rFonts w:ascii="Arial" w:eastAsia="宋体" w:hAnsi="Arial" w:hint="eastAsia"/>
          <w:sz w:val="24"/>
          <w:szCs w:val="24"/>
        </w:rPr>
        <w:t>（</w:t>
      </w:r>
      <w:r>
        <w:rPr>
          <w:rFonts w:ascii="Arial" w:eastAsia="宋体" w:hAnsi="Arial" w:hint="eastAsia"/>
          <w:sz w:val="24"/>
          <w:szCs w:val="24"/>
        </w:rPr>
        <w:t>B</w:t>
      </w:r>
      <w:r>
        <w:rPr>
          <w:rFonts w:ascii="Arial" w:eastAsia="宋体" w:hAnsi="Arial" w:hint="eastAsia"/>
          <w:sz w:val="24"/>
          <w:szCs w:val="24"/>
        </w:rPr>
        <w:t>）</w:t>
      </w:r>
      <w:r w:rsidR="00006B46" w:rsidRPr="00006B46">
        <w:rPr>
          <w:rFonts w:ascii="Arial" w:eastAsia="宋体" w:hAnsi="Arial" w:hint="eastAsia"/>
          <w:sz w:val="24"/>
          <w:szCs w:val="24"/>
        </w:rPr>
        <w:t>租赁期结束时的建筑物成新率；</w:t>
      </w:r>
    </w:p>
    <w:p w:rsidR="00006B46" w:rsidRPr="00006B46" w:rsidRDefault="0086571A" w:rsidP="0086571A">
      <w:pPr>
        <w:widowControl/>
        <w:spacing w:line="360" w:lineRule="auto"/>
        <w:jc w:val="left"/>
        <w:rPr>
          <w:rFonts w:ascii="Arial" w:eastAsia="宋体" w:hAnsi="Arial"/>
          <w:color w:val="000000" w:themeColor="text1"/>
          <w:sz w:val="24"/>
          <w:szCs w:val="24"/>
        </w:rPr>
      </w:pPr>
      <w:r>
        <w:rPr>
          <w:rFonts w:ascii="Arial" w:eastAsia="宋体" w:hAnsi="Arial" w:hint="eastAsia"/>
          <w:sz w:val="24"/>
          <w:szCs w:val="24"/>
        </w:rPr>
        <w:t>（</w:t>
      </w:r>
      <w:r>
        <w:rPr>
          <w:rFonts w:ascii="Arial" w:eastAsia="宋体" w:hAnsi="Arial" w:hint="eastAsia"/>
          <w:sz w:val="24"/>
          <w:szCs w:val="24"/>
        </w:rPr>
        <w:t>C</w:t>
      </w:r>
      <w:r>
        <w:rPr>
          <w:rFonts w:ascii="Arial" w:eastAsia="宋体" w:hAnsi="Arial" w:hint="eastAsia"/>
          <w:sz w:val="24"/>
          <w:szCs w:val="24"/>
        </w:rPr>
        <w:t>）</w:t>
      </w:r>
      <w:r w:rsidR="00006B46" w:rsidRPr="00006B46">
        <w:rPr>
          <w:rFonts w:ascii="Arial" w:eastAsia="宋体" w:hAnsi="Arial" w:hint="eastAsia"/>
          <w:sz w:val="24"/>
          <w:szCs w:val="24"/>
        </w:rPr>
        <w:t>计算收益期外的建筑物残值的折现值时，判断收益期结束时的建筑物成新率。</w:t>
      </w:r>
    </w:p>
    <w:p w:rsidR="00006B46" w:rsidRPr="00006B46" w:rsidRDefault="0086571A" w:rsidP="0086571A">
      <w:pPr>
        <w:spacing w:line="360" w:lineRule="auto"/>
        <w:jc w:val="left"/>
        <w:rPr>
          <w:rFonts w:ascii="Arial" w:eastAsia="宋体" w:hAnsi="Arial"/>
          <w:color w:val="000000" w:themeColor="text1"/>
          <w:sz w:val="24"/>
          <w:szCs w:val="24"/>
        </w:rPr>
      </w:pPr>
      <w:r>
        <w:rPr>
          <w:rFonts w:ascii="Arial" w:eastAsia="宋体" w:hAnsi="Arial" w:hint="eastAsia"/>
          <w:color w:val="000000" w:themeColor="text1"/>
          <w:sz w:val="24"/>
          <w:szCs w:val="24"/>
        </w:rPr>
        <w:t>C.</w:t>
      </w:r>
      <w:r w:rsidR="005774B4">
        <w:rPr>
          <w:rFonts w:ascii="Arial" w:eastAsia="宋体" w:hAnsi="Arial" w:hint="eastAsia"/>
          <w:color w:val="000000" w:themeColor="text1"/>
          <w:sz w:val="24"/>
          <w:szCs w:val="24"/>
        </w:rPr>
        <w:t>注意</w:t>
      </w:r>
      <w:r w:rsidR="00006B46" w:rsidRPr="00006B46">
        <w:rPr>
          <w:rFonts w:ascii="Arial" w:eastAsia="宋体" w:hAnsi="Arial" w:hint="eastAsia"/>
          <w:color w:val="000000" w:themeColor="text1"/>
          <w:sz w:val="24"/>
          <w:szCs w:val="24"/>
        </w:rPr>
        <w:t>：</w:t>
      </w:r>
      <w:r w:rsidR="005774B4" w:rsidRPr="00006B46">
        <w:rPr>
          <w:rFonts w:ascii="Arial" w:eastAsia="宋体" w:hAnsi="Arial" w:hint="eastAsia"/>
          <w:color w:val="000000" w:themeColor="text1"/>
          <w:sz w:val="24"/>
          <w:szCs w:val="24"/>
        </w:rPr>
        <w:t>建筑物成新率的高低与维修费用取值的匹配关系；各估价方法间的匹配</w:t>
      </w:r>
      <w:r w:rsidR="005774B4">
        <w:rPr>
          <w:rFonts w:ascii="Arial" w:eastAsia="宋体" w:hAnsi="Arial" w:hint="eastAsia"/>
          <w:color w:val="000000" w:themeColor="text1"/>
          <w:sz w:val="24"/>
          <w:szCs w:val="24"/>
        </w:rPr>
        <w:t>。</w:t>
      </w:r>
    </w:p>
    <w:sectPr w:rsidR="00006B46" w:rsidRPr="00006B46" w:rsidSect="0047738B">
      <w:headerReference w:type="default" r:id="rId14"/>
      <w:footerReference w:type="default" r:id="rId15"/>
      <w:pgSz w:w="11906" w:h="16838"/>
      <w:pgMar w:top="1245" w:right="1800" w:bottom="1276" w:left="1800" w:header="851" w:footer="102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6F2" w:rsidRDefault="007946F2" w:rsidP="002433BC">
      <w:r>
        <w:separator/>
      </w:r>
    </w:p>
  </w:endnote>
  <w:endnote w:type="continuationSeparator" w:id="0">
    <w:p w:rsidR="007946F2" w:rsidRDefault="007946F2" w:rsidP="0024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49235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D6A23" w:rsidRDefault="001D6A23" w:rsidP="0047738B">
            <w:pPr>
              <w:pStyle w:val="a5"/>
              <w:pBdr>
                <w:top w:val="single" w:sz="4" w:space="1" w:color="auto"/>
              </w:pBdr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3E3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3E3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6F2" w:rsidRDefault="007946F2" w:rsidP="002433BC">
      <w:r>
        <w:separator/>
      </w:r>
    </w:p>
  </w:footnote>
  <w:footnote w:type="continuationSeparator" w:id="0">
    <w:p w:rsidR="007946F2" w:rsidRDefault="007946F2" w:rsidP="00243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9AA" w:rsidRPr="00A156D1" w:rsidRDefault="00A529AA" w:rsidP="009912EC">
    <w:pPr>
      <w:pStyle w:val="a4"/>
      <w:rPr>
        <w:rFonts w:ascii="Arial" w:hAnsi="Arial" w:cs="Arial"/>
        <w:b/>
        <w:color w:val="000000" w:themeColor="text1"/>
        <w:sz w:val="24"/>
      </w:rPr>
    </w:pPr>
    <w:r w:rsidRPr="00C95D6E">
      <w:rPr>
        <w:rFonts w:ascii="Arial" w:hAnsi="Arial" w:cs="Arial"/>
        <w:b/>
        <w:sz w:val="24"/>
      </w:rPr>
      <w:t>审核会需要交流事项</w:t>
    </w:r>
    <w:r>
      <w:rPr>
        <w:rFonts w:ascii="Arial" w:hAnsi="Arial" w:cs="Arial" w:hint="eastAsia"/>
        <w:b/>
        <w:sz w:val="24"/>
      </w:rPr>
      <w:t>（</w:t>
    </w:r>
    <w:r w:rsidR="00A156D1">
      <w:rPr>
        <w:rFonts w:ascii="Arial" w:hAnsi="Arial" w:cs="Arial" w:hint="eastAsia"/>
        <w:b/>
        <w:sz w:val="24"/>
      </w:rPr>
      <w:t>201</w:t>
    </w:r>
    <w:r w:rsidR="00A156D1">
      <w:rPr>
        <w:rFonts w:ascii="Arial" w:hAnsi="Arial" w:cs="Arial" w:hint="eastAsia"/>
        <w:b/>
        <w:color w:val="000000" w:themeColor="text1"/>
        <w:sz w:val="24"/>
      </w:rPr>
      <w:t>70</w:t>
    </w:r>
    <w:r w:rsidR="00B10C9B">
      <w:rPr>
        <w:rFonts w:ascii="Arial" w:hAnsi="Arial" w:cs="Arial" w:hint="eastAsia"/>
        <w:b/>
        <w:color w:val="000000" w:themeColor="text1"/>
        <w:sz w:val="24"/>
      </w:rPr>
      <w:t>0</w:t>
    </w:r>
    <w:r w:rsidR="009912EC">
      <w:rPr>
        <w:rFonts w:ascii="Arial" w:hAnsi="Arial" w:cs="Arial" w:hint="eastAsia"/>
        <w:b/>
        <w:color w:val="000000" w:themeColor="text1"/>
        <w:sz w:val="24"/>
      </w:rPr>
      <w:t>609</w:t>
    </w:r>
    <w:r>
      <w:rPr>
        <w:rFonts w:ascii="Arial" w:hAnsi="Arial" w:cs="Arial" w:hint="eastAsia"/>
        <w:b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B5"/>
    <w:rsid w:val="00002D16"/>
    <w:rsid w:val="00006B46"/>
    <w:rsid w:val="000861C6"/>
    <w:rsid w:val="001250A9"/>
    <w:rsid w:val="00130C07"/>
    <w:rsid w:val="00163FD3"/>
    <w:rsid w:val="001769CE"/>
    <w:rsid w:val="001D6A23"/>
    <w:rsid w:val="0022598D"/>
    <w:rsid w:val="002433BC"/>
    <w:rsid w:val="00266701"/>
    <w:rsid w:val="00274EAB"/>
    <w:rsid w:val="00291A5C"/>
    <w:rsid w:val="002A2430"/>
    <w:rsid w:val="002B191C"/>
    <w:rsid w:val="002E0FED"/>
    <w:rsid w:val="002E1009"/>
    <w:rsid w:val="00381B5B"/>
    <w:rsid w:val="003C5972"/>
    <w:rsid w:val="003C6566"/>
    <w:rsid w:val="003E5BF0"/>
    <w:rsid w:val="004056B0"/>
    <w:rsid w:val="004351E6"/>
    <w:rsid w:val="0047738B"/>
    <w:rsid w:val="005774B4"/>
    <w:rsid w:val="005D26A7"/>
    <w:rsid w:val="0060662A"/>
    <w:rsid w:val="0061451C"/>
    <w:rsid w:val="006328B5"/>
    <w:rsid w:val="006F7756"/>
    <w:rsid w:val="007517DD"/>
    <w:rsid w:val="00757B1D"/>
    <w:rsid w:val="00773DE4"/>
    <w:rsid w:val="007946F2"/>
    <w:rsid w:val="007952BD"/>
    <w:rsid w:val="00824947"/>
    <w:rsid w:val="008471B5"/>
    <w:rsid w:val="0086571A"/>
    <w:rsid w:val="00893E30"/>
    <w:rsid w:val="00896FC5"/>
    <w:rsid w:val="008A6894"/>
    <w:rsid w:val="0093299E"/>
    <w:rsid w:val="00954CA1"/>
    <w:rsid w:val="009912EC"/>
    <w:rsid w:val="009C43EF"/>
    <w:rsid w:val="009C442A"/>
    <w:rsid w:val="009E3677"/>
    <w:rsid w:val="00A072D2"/>
    <w:rsid w:val="00A13A1D"/>
    <w:rsid w:val="00A156D1"/>
    <w:rsid w:val="00A529AA"/>
    <w:rsid w:val="00A724CE"/>
    <w:rsid w:val="00A84F19"/>
    <w:rsid w:val="00A91738"/>
    <w:rsid w:val="00AD66DF"/>
    <w:rsid w:val="00B10C9B"/>
    <w:rsid w:val="00BD08AB"/>
    <w:rsid w:val="00BD3C69"/>
    <w:rsid w:val="00C44CB8"/>
    <w:rsid w:val="00D758BD"/>
    <w:rsid w:val="00DE207D"/>
    <w:rsid w:val="00EA1CE3"/>
    <w:rsid w:val="00ED4093"/>
    <w:rsid w:val="00ED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71B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471B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3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33B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33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33BC"/>
    <w:rPr>
      <w:sz w:val="18"/>
      <w:szCs w:val="18"/>
    </w:rPr>
  </w:style>
  <w:style w:type="character" w:styleId="a6">
    <w:name w:val="annotation reference"/>
    <w:semiHidden/>
    <w:rsid w:val="002433BC"/>
    <w:rPr>
      <w:sz w:val="21"/>
      <w:szCs w:val="21"/>
    </w:rPr>
  </w:style>
  <w:style w:type="paragraph" w:styleId="a7">
    <w:name w:val="annotation text"/>
    <w:basedOn w:val="a"/>
    <w:link w:val="Char2"/>
    <w:semiHidden/>
    <w:rsid w:val="002433BC"/>
    <w:pPr>
      <w:adjustRightInd w:val="0"/>
      <w:spacing w:line="360" w:lineRule="atLeast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2">
    <w:name w:val="批注文字 Char"/>
    <w:basedOn w:val="a0"/>
    <w:link w:val="a7"/>
    <w:semiHidden/>
    <w:rsid w:val="002433BC"/>
    <w:rPr>
      <w:rFonts w:ascii="Times New Roman" w:eastAsia="宋体" w:hAnsi="Times New Roman" w:cs="Times New Roman"/>
      <w:kern w:val="0"/>
      <w:sz w:val="24"/>
      <w:szCs w:val="20"/>
    </w:rPr>
  </w:style>
  <w:style w:type="paragraph" w:styleId="a8">
    <w:name w:val="Normal (Web)"/>
    <w:basedOn w:val="a"/>
    <w:uiPriority w:val="99"/>
    <w:semiHidden/>
    <w:unhideWhenUsed/>
    <w:rsid w:val="009E36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006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912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71B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471B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3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33B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33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33BC"/>
    <w:rPr>
      <w:sz w:val="18"/>
      <w:szCs w:val="18"/>
    </w:rPr>
  </w:style>
  <w:style w:type="character" w:styleId="a6">
    <w:name w:val="annotation reference"/>
    <w:semiHidden/>
    <w:rsid w:val="002433BC"/>
    <w:rPr>
      <w:sz w:val="21"/>
      <w:szCs w:val="21"/>
    </w:rPr>
  </w:style>
  <w:style w:type="paragraph" w:styleId="a7">
    <w:name w:val="annotation text"/>
    <w:basedOn w:val="a"/>
    <w:link w:val="Char2"/>
    <w:semiHidden/>
    <w:rsid w:val="002433BC"/>
    <w:pPr>
      <w:adjustRightInd w:val="0"/>
      <w:spacing w:line="360" w:lineRule="atLeast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2">
    <w:name w:val="批注文字 Char"/>
    <w:basedOn w:val="a0"/>
    <w:link w:val="a7"/>
    <w:semiHidden/>
    <w:rsid w:val="002433BC"/>
    <w:rPr>
      <w:rFonts w:ascii="Times New Roman" w:eastAsia="宋体" w:hAnsi="Times New Roman" w:cs="Times New Roman"/>
      <w:kern w:val="0"/>
      <w:sz w:val="24"/>
      <w:szCs w:val="20"/>
    </w:rPr>
  </w:style>
  <w:style w:type="paragraph" w:styleId="a8">
    <w:name w:val="Normal (Web)"/>
    <w:basedOn w:val="a"/>
    <w:uiPriority w:val="99"/>
    <w:semiHidden/>
    <w:unhideWhenUsed/>
    <w:rsid w:val="009E36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006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912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cn.gov.cn/index.asp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bcactc.com/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gldzb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hulong.com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1897</TotalTime>
  <Pages>1</Pages>
  <Words>224</Words>
  <Characters>1283</Characters>
  <Application>Microsoft Office Word</Application>
  <DocSecurity>0</DocSecurity>
  <Lines>10</Lines>
  <Paragraphs>3</Paragraphs>
  <ScaleCrop>false</ScaleCrop>
  <Company>CHINA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崔锴</dc:creator>
  <cp:keywords/>
  <dc:description/>
  <cp:lastModifiedBy>崔锴</cp:lastModifiedBy>
  <cp:revision>32</cp:revision>
  <cp:lastPrinted>2017-06-09T01:08:00Z</cp:lastPrinted>
  <dcterms:created xsi:type="dcterms:W3CDTF">2017-05-08T01:10:00Z</dcterms:created>
  <dcterms:modified xsi:type="dcterms:W3CDTF">2017-06-09T01:18:00Z</dcterms:modified>
</cp:coreProperties>
</file>