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Arial" w:hAnsi="Arial"/>
          <w:b/>
          <w:kern w:val="2"/>
          <w:szCs w:val="24"/>
        </w:rPr>
      </w:pPr>
      <w:r>
        <w:rPr>
          <w:rFonts w:hint="eastAsia" w:ascii="Arial" w:hAnsi="Arial" w:eastAsia="方正黑体简体" w:cs="Arial"/>
          <w:szCs w:val="24"/>
        </w:rPr>
        <w:t>康正评字2022-1-0716-F02DYGJ2号</w:t>
      </w:r>
    </w:p>
    <w:p>
      <w:pPr>
        <w:spacing w:line="480" w:lineRule="auto"/>
        <w:jc w:val="center"/>
        <w:rPr>
          <w:rFonts w:ascii="Arial" w:hAnsi="Arial"/>
          <w:b/>
          <w:kern w:val="2"/>
          <w:sz w:val="28"/>
          <w:szCs w:val="28"/>
        </w:rPr>
      </w:pPr>
      <w:r>
        <w:rPr>
          <w:rFonts w:ascii="Arial" w:hAnsi="Arial" w:eastAsia="方正黑体简体" w:cs="Arial"/>
          <w:sz w:val="28"/>
          <w:szCs w:val="28"/>
        </w:rPr>
        <w:t>关于</w:t>
      </w:r>
      <w:r>
        <w:rPr>
          <w:rFonts w:hint="eastAsia" w:ascii="Arial" w:hAnsi="Arial" w:eastAsia="方正黑体简体" w:cs="Arial"/>
          <w:sz w:val="28"/>
          <w:szCs w:val="28"/>
        </w:rPr>
        <w:t>“北京市昌平区回龙观镇回南路9号院19号楼1层01配套公建A配套公建（商业）房地产抵押价值评估</w:t>
      </w:r>
      <w:r>
        <w:rPr>
          <w:rFonts w:hint="eastAsia" w:ascii="方正黑体简体" w:hAnsi="Arial" w:eastAsia="方正黑体简体"/>
          <w:sz w:val="28"/>
          <w:szCs w:val="28"/>
        </w:rPr>
        <w:t>报告</w:t>
      </w:r>
      <w:r>
        <w:rPr>
          <w:rFonts w:hint="eastAsia" w:ascii="Arial" w:hAnsi="Arial" w:eastAsia="方正黑体简体" w:cs="Arial"/>
          <w:sz w:val="28"/>
          <w:szCs w:val="28"/>
        </w:rPr>
        <w:t>”</w:t>
      </w:r>
      <w:r>
        <w:rPr>
          <w:rFonts w:hint="eastAsia" w:ascii="方正黑体简体" w:hAnsi="Arial" w:eastAsia="方正黑体简体"/>
          <w:sz w:val="28"/>
          <w:szCs w:val="28"/>
        </w:rPr>
        <w:t>补充说明</w:t>
      </w:r>
    </w:p>
    <w:p>
      <w:pPr>
        <w:spacing w:line="480" w:lineRule="auto"/>
        <w:jc w:val="both"/>
        <w:rPr>
          <w:rFonts w:ascii="Arial" w:hAnsi="Arial" w:cs="Arial" w:eastAsiaTheme="minorEastAsia"/>
          <w:szCs w:val="24"/>
        </w:rPr>
      </w:pPr>
    </w:p>
    <w:p>
      <w:pPr>
        <w:spacing w:line="480" w:lineRule="auto"/>
        <w:jc w:val="both"/>
        <w:rPr>
          <w:rFonts w:ascii="Arial" w:hAnsi="Arial" w:cs="Arial" w:eastAsiaTheme="minorEastAsia"/>
          <w:szCs w:val="24"/>
        </w:rPr>
      </w:pPr>
      <w:bookmarkStart w:id="0" w:name="_GoBack"/>
      <w:bookmarkEnd w:id="0"/>
      <w:r>
        <w:rPr>
          <w:rFonts w:ascii="Arial" w:hAnsi="Arial" w:cs="Arial" w:eastAsiaTheme="minorEastAsia"/>
          <w:szCs w:val="24"/>
        </w:rPr>
        <w:t>中国工商银行股份有限公司北京九龙山支行：</w:t>
      </w:r>
    </w:p>
    <w:p>
      <w:pPr>
        <w:spacing w:line="480" w:lineRule="auto"/>
        <w:ind w:firstLine="480" w:firstLineChars="200"/>
        <w:jc w:val="both"/>
        <w:rPr>
          <w:rFonts w:hint="eastAsia" w:ascii="Arial" w:hAnsi="Arial" w:cs="Arial" w:eastAsiaTheme="minorEastAsia"/>
          <w:szCs w:val="24"/>
          <w:lang w:val="en-US" w:eastAsia="zh-CN"/>
        </w:rPr>
      </w:pPr>
      <w:r>
        <w:rPr>
          <w:rFonts w:ascii="Arial" w:hAnsi="Arial" w:cs="Arial" w:eastAsiaTheme="minorEastAsia"/>
          <w:szCs w:val="24"/>
        </w:rPr>
        <w:t>我司受贵行委托于202</w:t>
      </w:r>
      <w:r>
        <w:rPr>
          <w:rFonts w:hint="eastAsia" w:ascii="Arial" w:hAnsi="Arial" w:cs="Arial" w:eastAsiaTheme="minorEastAsia"/>
          <w:szCs w:val="24"/>
          <w:lang w:val="en-US" w:eastAsia="zh-CN"/>
        </w:rPr>
        <w:t>2</w:t>
      </w:r>
      <w:r>
        <w:rPr>
          <w:rFonts w:ascii="Arial" w:hAnsi="Arial" w:cs="Arial" w:eastAsiaTheme="minorEastAsia"/>
          <w:szCs w:val="24"/>
        </w:rPr>
        <w:t>年</w:t>
      </w:r>
      <w:r>
        <w:rPr>
          <w:rFonts w:hint="eastAsia" w:ascii="Arial" w:hAnsi="Arial" w:cs="Arial" w:eastAsiaTheme="minorEastAsia"/>
          <w:szCs w:val="24"/>
          <w:lang w:val="en-US" w:eastAsia="zh-CN"/>
        </w:rPr>
        <w:t>11</w:t>
      </w:r>
      <w:r>
        <w:rPr>
          <w:rFonts w:ascii="Arial" w:hAnsi="Arial" w:cs="Arial" w:eastAsiaTheme="minorEastAsia"/>
          <w:szCs w:val="24"/>
        </w:rPr>
        <w:t>月</w:t>
      </w:r>
      <w:r>
        <w:rPr>
          <w:rFonts w:hint="eastAsia" w:ascii="Arial" w:hAnsi="Arial" w:cs="Arial" w:eastAsiaTheme="minorEastAsia"/>
          <w:szCs w:val="24"/>
          <w:lang w:val="en-US" w:eastAsia="zh-CN"/>
        </w:rPr>
        <w:t>30</w:t>
      </w:r>
      <w:r>
        <w:rPr>
          <w:rFonts w:ascii="Arial" w:hAnsi="Arial" w:cs="Arial" w:eastAsiaTheme="minorEastAsia"/>
          <w:szCs w:val="24"/>
        </w:rPr>
        <w:t>日出具《房地产抵押估价报告》[康正评字</w:t>
      </w:r>
      <w:r>
        <w:rPr>
          <w:rFonts w:hint="eastAsia" w:ascii="Arial" w:hAnsi="Arial" w:cs="Arial" w:eastAsiaTheme="minorEastAsia"/>
          <w:szCs w:val="24"/>
        </w:rPr>
        <w:t>2022-1-0716-F01DYGJ2</w:t>
      </w:r>
      <w:r>
        <w:rPr>
          <w:rFonts w:ascii="Arial" w:hAnsi="Arial" w:cs="Arial" w:eastAsiaTheme="minorEastAsia"/>
          <w:szCs w:val="24"/>
        </w:rPr>
        <w:t>号]。</w:t>
      </w:r>
      <w:r>
        <w:rPr>
          <w:rFonts w:hint="eastAsia" w:ascii="Arial" w:hAnsi="Arial" w:cs="Arial" w:eastAsiaTheme="minorEastAsia"/>
          <w:szCs w:val="24"/>
        </w:rPr>
        <w:t>应</w:t>
      </w:r>
      <w:r>
        <w:rPr>
          <w:rFonts w:ascii="Arial" w:hAnsi="Arial" w:cs="Arial" w:eastAsiaTheme="minorEastAsia"/>
          <w:szCs w:val="24"/>
        </w:rPr>
        <w:t>贵行要求，</w:t>
      </w:r>
      <w:r>
        <w:rPr>
          <w:rFonts w:hint="eastAsia" w:ascii="Arial" w:hAnsi="Arial" w:cs="Arial" w:eastAsiaTheme="minorEastAsia"/>
          <w:szCs w:val="24"/>
          <w:lang w:val="en-US" w:eastAsia="zh-CN"/>
        </w:rPr>
        <w:t>提供该净值说明：</w:t>
      </w:r>
    </w:p>
    <w:p>
      <w:pPr>
        <w:spacing w:line="480" w:lineRule="auto"/>
        <w:ind w:firstLine="480" w:firstLineChars="200"/>
        <w:jc w:val="both"/>
        <w:rPr>
          <w:rFonts w:hint="eastAsia" w:ascii="Arial" w:hAnsi="Arial" w:cs="Arial" w:eastAsiaTheme="minorEastAsia"/>
          <w:szCs w:val="24"/>
          <w:lang w:val="en-US" w:eastAsia="zh-CN"/>
        </w:rPr>
      </w:pPr>
      <w:r>
        <w:rPr>
          <w:rFonts w:hint="default" w:ascii="Arial" w:hAnsi="Arial" w:cs="Arial" w:eastAsiaTheme="minorEastAsia"/>
          <w:szCs w:val="24"/>
          <w:lang w:val="en-US" w:eastAsia="zh-CN"/>
        </w:rPr>
        <w:t>由于不动产权利人未能提供房产原值，本次土地增值税计取方式按照《北京市地方税务局土地增值税清算管理规程》第45条，核定征收率原则上不得低于5%计算。</w:t>
      </w:r>
      <w:r>
        <w:rPr>
          <w:rFonts w:hint="eastAsia" w:ascii="Arial" w:hAnsi="Arial" w:cs="Arial" w:eastAsiaTheme="minorEastAsia"/>
          <w:szCs w:val="24"/>
          <w:lang w:val="en-US" w:eastAsia="zh-CN"/>
        </w:rPr>
        <w:t>则有：</w:t>
      </w:r>
    </w:p>
    <w:p>
      <w:pPr>
        <w:spacing w:line="240" w:lineRule="auto"/>
        <w:jc w:val="center"/>
        <w:rPr>
          <w:rFonts w:hint="eastAsia" w:ascii="方正黑体简体" w:hAnsi="Arial" w:eastAsia="方正黑体简体" w:cs="Arial"/>
          <w:bCs/>
          <w:szCs w:val="24"/>
        </w:rPr>
      </w:pPr>
      <w:r>
        <w:rPr>
          <w:rFonts w:hint="eastAsia" w:ascii="方正黑体简体" w:hAnsi="Arial" w:eastAsia="方正黑体简体" w:cs="Arial"/>
          <w:bCs/>
          <w:szCs w:val="24"/>
        </w:rPr>
        <w:t>预计处置时需缴纳的各项地价、税费清单计算明细表（1803号）</w:t>
      </w:r>
    </w:p>
    <w:tbl>
      <w:tblPr>
        <w:tblStyle w:val="4"/>
        <w:tblW w:w="9299" w:type="dxa"/>
        <w:jc w:val="center"/>
        <w:tblBorders>
          <w:top w:val="thinThickThinSmallGap" w:color="404040" w:sz="12" w:space="0"/>
          <w:left w:val="dotted" w:color="404040" w:sz="4" w:space="0"/>
          <w:bottom w:val="thinThickThinSmallGap" w:color="404040" w:sz="12" w:space="0"/>
          <w:right w:val="dotted" w:color="404040" w:sz="4" w:space="0"/>
          <w:insideH w:val="dotted" w:color="404040" w:sz="4" w:space="0"/>
          <w:insideV w:val="dotted" w:color="404040" w:sz="2" w:space="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567"/>
        <w:gridCol w:w="1418"/>
        <w:gridCol w:w="1134"/>
        <w:gridCol w:w="1559"/>
        <w:gridCol w:w="3544"/>
        <w:gridCol w:w="1077"/>
      </w:tblGrid>
      <w:tr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center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估价对象基本情况</w:t>
            </w:r>
          </w:p>
        </w:tc>
      </w:tr>
      <w:tr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估价对象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北京市昌平区回龙观镇回南路9号院19号楼1层01配套公建A配套公建（商业）房地产</w:t>
            </w:r>
          </w:p>
        </w:tc>
      </w:tr>
      <w:tr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价值时点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202</w:t>
            </w:r>
            <w:r>
              <w:rPr>
                <w:rFonts w:hint="eastAsia" w:ascii="Arial" w:hAnsi="Arial" w:eastAsia="华文细黑" w:cs="Arial"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年1</w:t>
            </w:r>
            <w:r>
              <w:rPr>
                <w:rFonts w:hint="eastAsia" w:ascii="Arial" w:hAnsi="Arial" w:eastAsia="华文细黑" w:cs="Arial"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月</w:t>
            </w:r>
            <w:r>
              <w:rPr>
                <w:rFonts w:hint="eastAsia" w:ascii="Arial" w:hAnsi="Arial" w:eastAsia="华文细黑" w:cs="Arial"/>
                <w:bCs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日</w:t>
            </w:r>
          </w:p>
        </w:tc>
      </w:tr>
      <w:tr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评估总值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hint="default" w:ascii="Arial" w:hAnsi="Arial" w:eastAsia="华文细黑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18"/>
                <w:lang w:val="en-US" w:eastAsia="zh-CN"/>
              </w:rPr>
              <w:t>2300</w:t>
            </w:r>
          </w:p>
        </w:tc>
      </w:tr>
      <w:tr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抵押价值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hint="default" w:ascii="Arial" w:hAnsi="Arial" w:eastAsia="华文细黑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18"/>
                <w:lang w:val="en-US" w:eastAsia="zh-CN"/>
              </w:rPr>
              <w:t>2300</w:t>
            </w:r>
          </w:p>
        </w:tc>
      </w:tr>
      <w:tr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处置时需缴纳的相关税费</w:t>
            </w:r>
          </w:p>
        </w:tc>
      </w:tr>
      <w:tr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金额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ascii="Arial" w:hAnsi="Arial" w:eastAsia="华文细黑" w:cs="Arial"/>
                <w:bCs/>
                <w:sz w:val="18"/>
                <w:szCs w:val="18"/>
              </w:rPr>
              <w:t>税（费）率</w:t>
            </w:r>
          </w:p>
        </w:tc>
      </w:tr>
      <w:tr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1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增值税及附加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销售</w:t>
            </w:r>
            <w:r>
              <w:rPr>
                <w:rFonts w:ascii="Arial" w:hAnsi="Arial" w:eastAsia="华文细黑" w:cs="Arial"/>
                <w:sz w:val="18"/>
                <w:szCs w:val="18"/>
              </w:rPr>
              <w:t>额×税（费）率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/（1+5%）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>
            <w:pPr>
              <w:widowControl/>
              <w:overflowPunct w:val="0"/>
              <w:adjustRightInd/>
              <w:spacing w:line="240" w:lineRule="exact"/>
              <w:rPr>
                <w:rFonts w:ascii="Arial" w:hAnsi="Arial" w:eastAsia="华文细黑" w:cs="宋体"/>
                <w:sz w:val="18"/>
                <w:szCs w:val="21"/>
              </w:rPr>
            </w:pPr>
            <w:r>
              <w:rPr>
                <w:rFonts w:hint="eastAsia" w:ascii="Arial" w:hAnsi="Arial" w:eastAsia="华文细黑" w:cs="宋体"/>
                <w:sz w:val="18"/>
                <w:szCs w:val="21"/>
              </w:rPr>
              <w:t>5.</w:t>
            </w:r>
            <w:r>
              <w:rPr>
                <w:rFonts w:hint="eastAsia" w:ascii="Arial" w:hAnsi="Arial" w:eastAsia="华文细黑" w:cs="宋体"/>
                <w:sz w:val="18"/>
                <w:szCs w:val="21"/>
                <w:lang w:val="en-US" w:eastAsia="zh-CN"/>
              </w:rPr>
              <w:t>5</w:t>
            </w:r>
            <w:r>
              <w:rPr>
                <w:rFonts w:hint="eastAsia" w:ascii="Arial" w:hAnsi="Arial" w:eastAsia="华文细黑" w:cs="宋体"/>
                <w:sz w:val="18"/>
                <w:szCs w:val="21"/>
              </w:rPr>
              <w:t>%</w:t>
            </w:r>
          </w:p>
        </w:tc>
      </w:tr>
      <w:tr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印花税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销售</w:t>
            </w:r>
            <w:r>
              <w:rPr>
                <w:rFonts w:ascii="Arial" w:hAnsi="Arial" w:eastAsia="华文细黑" w:cs="Arial"/>
                <w:sz w:val="18"/>
                <w:szCs w:val="18"/>
              </w:rPr>
              <w:t>额×税率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>
            <w:pPr>
              <w:widowControl/>
              <w:overflowPunct w:val="0"/>
              <w:adjustRightInd/>
              <w:spacing w:line="240" w:lineRule="exact"/>
              <w:rPr>
                <w:rFonts w:ascii="Arial" w:hAnsi="Arial" w:eastAsia="华文细黑" w:cs="宋体"/>
                <w:sz w:val="18"/>
                <w:szCs w:val="21"/>
              </w:rPr>
            </w:pPr>
            <w:r>
              <w:rPr>
                <w:rFonts w:hint="eastAsia" w:ascii="Arial" w:hAnsi="Arial" w:eastAsia="华文细黑" w:cs="宋体"/>
                <w:sz w:val="18"/>
                <w:szCs w:val="21"/>
              </w:rPr>
              <w:t>0.05%</w:t>
            </w:r>
          </w:p>
        </w:tc>
      </w:tr>
      <w:tr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3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土地增值税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销售</w:t>
            </w:r>
            <w:r>
              <w:rPr>
                <w:rFonts w:ascii="Arial" w:hAnsi="Arial" w:eastAsia="华文细黑" w:cs="Arial"/>
                <w:sz w:val="18"/>
                <w:szCs w:val="18"/>
              </w:rPr>
              <w:t xml:space="preserve">额×税（费）率 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/（1+5%）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5%</w:t>
            </w:r>
          </w:p>
        </w:tc>
      </w:tr>
      <w:tr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个人所得税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3544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hint="eastAsia"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销售</w:t>
            </w:r>
            <w:r>
              <w:rPr>
                <w:rFonts w:ascii="Arial" w:hAnsi="Arial" w:eastAsia="华文细黑" w:cs="Arial"/>
                <w:sz w:val="18"/>
                <w:szCs w:val="18"/>
              </w:rPr>
              <w:t>额×税（费）率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1%</w:t>
            </w:r>
          </w:p>
        </w:tc>
      </w:tr>
      <w:tr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合计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小写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231</w:t>
            </w:r>
          </w:p>
        </w:tc>
      </w:tr>
      <w:tr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大写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贰佰叁拾壹万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元整</w:t>
            </w:r>
          </w:p>
        </w:tc>
      </w:tr>
      <w:tr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抵押净值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小写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2069</w:t>
            </w:r>
          </w:p>
        </w:tc>
      </w:tr>
      <w:tr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大写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贰仟零陆拾玖万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元整</w:t>
            </w:r>
          </w:p>
        </w:tc>
      </w:tr>
      <w:tr>
        <w:tblPrEx>
          <w:tblBorders>
            <w:top w:val="thinThickThinSmallGap" w:color="404040" w:sz="12" w:space="0"/>
            <w:left w:val="dotted" w:color="404040" w:sz="4" w:space="0"/>
            <w:bottom w:val="thinThickThinSmallGap" w:color="404040" w:sz="12" w:space="0"/>
            <w:right w:val="dotted" w:color="404040" w:sz="4" w:space="0"/>
            <w:insideH w:val="dotted" w:color="404040" w:sz="4" w:space="0"/>
            <w:insideV w:val="dotted" w:color="404040" w:sz="2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抵押净值单价</w:t>
            </w:r>
          </w:p>
        </w:tc>
        <w:tc>
          <w:tcPr>
            <w:tcW w:w="6180" w:type="dxa"/>
            <w:gridSpan w:val="3"/>
            <w:shd w:val="clear" w:color="auto" w:fill="auto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32121</w:t>
            </w:r>
          </w:p>
        </w:tc>
      </w:tr>
    </w:tbl>
    <w:p>
      <w:pPr>
        <w:widowControl/>
        <w:adjustRightInd/>
        <w:spacing w:line="240" w:lineRule="auto"/>
        <w:jc w:val="both"/>
        <w:rPr>
          <w:rFonts w:hint="eastAsia" w:ascii="Arial" w:hAnsi="Arial" w:eastAsia="华文细黑" w:cs="Arial"/>
          <w:sz w:val="18"/>
          <w:szCs w:val="18"/>
        </w:rPr>
      </w:pPr>
      <w:r>
        <w:rPr>
          <w:rFonts w:ascii="Arial" w:hAnsi="Arial" w:eastAsia="华文细黑" w:cs="Arial"/>
          <w:sz w:val="18"/>
          <w:szCs w:val="18"/>
        </w:rPr>
        <w:t>单位：万元、元/平方米</w:t>
      </w:r>
    </w:p>
    <w:p>
      <w:pPr>
        <w:spacing w:line="240" w:lineRule="auto"/>
        <w:jc w:val="both"/>
        <w:rPr>
          <w:rFonts w:hint="default" w:ascii="Arial" w:hAnsi="Arial" w:cs="Arial" w:eastAsiaTheme="minorEastAsia"/>
          <w:szCs w:val="24"/>
          <w:lang w:val="en-US" w:eastAsia="zh-CN"/>
        </w:rPr>
      </w:pPr>
      <w:r>
        <w:rPr>
          <w:rFonts w:ascii="Arial" w:hAnsi="Arial" w:eastAsia="华文细黑" w:cs="Arial"/>
          <w:sz w:val="18"/>
          <w:szCs w:val="18"/>
        </w:rPr>
        <w:t>注：依据现行税费表调整</w:t>
      </w:r>
      <w:r>
        <w:rPr>
          <w:rFonts w:hint="eastAsia" w:ascii="Arial" w:hAnsi="Arial" w:eastAsia="华文细黑" w:cs="Arial"/>
          <w:sz w:val="18"/>
          <w:szCs w:val="18"/>
        </w:rPr>
        <w:t>。</w:t>
      </w:r>
    </w:p>
    <w:p>
      <w:pPr>
        <w:spacing w:line="480" w:lineRule="auto"/>
        <w:ind w:firstLine="480" w:firstLineChars="200"/>
        <w:jc w:val="both"/>
        <w:rPr>
          <w:rFonts w:ascii="Arial" w:hAnsi="Arial" w:eastAsia="方正黑体简体" w:cs="Arial"/>
          <w:szCs w:val="24"/>
        </w:rPr>
      </w:pPr>
      <w:r>
        <w:rPr>
          <w:rFonts w:ascii="Arial" w:hAnsi="Arial" w:cs="Arial" w:eastAsiaTheme="minorEastAsia"/>
          <w:szCs w:val="24"/>
        </w:rPr>
        <w:t>净值结果详见</w:t>
      </w:r>
      <w:r>
        <w:rPr>
          <w:rFonts w:hint="eastAsia" w:ascii="Arial" w:hAnsi="Arial" w:cs="Arial" w:eastAsiaTheme="minorEastAsia"/>
          <w:szCs w:val="24"/>
        </w:rPr>
        <w:t>估价结果一览表</w:t>
      </w:r>
      <w:r>
        <w:rPr>
          <w:rFonts w:ascii="Arial" w:hAnsi="Arial" w:cs="Arial" w:eastAsiaTheme="minorEastAsia"/>
          <w:szCs w:val="24"/>
        </w:rPr>
        <w:t>：</w:t>
      </w:r>
    </w:p>
    <w:p>
      <w:pPr>
        <w:spacing w:line="240" w:lineRule="auto"/>
        <w:jc w:val="center"/>
        <w:rPr>
          <w:rFonts w:hint="eastAsia" w:ascii="Arial" w:hAnsi="Arial" w:eastAsia="方正黑体简体"/>
          <w:szCs w:val="24"/>
        </w:rPr>
      </w:pPr>
      <w:r>
        <w:rPr>
          <w:rFonts w:hint="eastAsia" w:ascii="Arial" w:hAnsi="Arial" w:eastAsia="方正黑体简体"/>
          <w:szCs w:val="24"/>
        </w:rPr>
        <w:t>估价结果一览表</w:t>
      </w:r>
    </w:p>
    <w:p>
      <w:pPr>
        <w:spacing w:line="240" w:lineRule="auto"/>
        <w:jc w:val="center"/>
        <w:rPr>
          <w:rFonts w:ascii="Arial" w:hAnsi="Arial" w:eastAsia="方正黑体简体"/>
          <w:szCs w:val="24"/>
        </w:rPr>
      </w:pPr>
      <w:r>
        <w:rPr>
          <w:rFonts w:hint="eastAsia" w:ascii="Arial" w:hAnsi="Arial" w:eastAsia="方正黑体简体"/>
          <w:szCs w:val="24"/>
        </w:rPr>
        <w:t>结果表</w:t>
      </w:r>
      <w:r>
        <w:rPr>
          <w:rFonts w:ascii="Arial" w:hAnsi="Arial" w:eastAsia="方正黑体简体"/>
          <w:szCs w:val="24"/>
        </w:rPr>
        <w:t>-1</w:t>
      </w:r>
      <w:r>
        <w:rPr>
          <w:rFonts w:hint="eastAsia" w:ascii="Arial" w:hAnsi="Arial" w:eastAsia="方正黑体简体" w:cs="Arial"/>
          <w:szCs w:val="24"/>
        </w:rPr>
        <w:t>（房地产价值）</w:t>
      </w:r>
    </w:p>
    <w:tbl>
      <w:tblPr>
        <w:tblStyle w:val="4"/>
        <w:tblW w:w="9300" w:type="dxa"/>
        <w:jc w:val="center"/>
        <w:tblBorders>
          <w:top w:val="thinThickThinSmallGap" w:color="404040" w:sz="12" w:space="0"/>
          <w:left w:val="dotted" w:color="404040" w:sz="2" w:space="0"/>
          <w:bottom w:val="thinThickThinSmallGap" w:color="404040" w:sz="12" w:space="0"/>
          <w:right w:val="dotted" w:color="404040" w:sz="2" w:space="0"/>
          <w:insideH w:val="dotted" w:color="404040" w:sz="2" w:space="0"/>
          <w:insideV w:val="dotted" w:color="404040" w:sz="2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325"/>
        <w:gridCol w:w="2354"/>
        <w:gridCol w:w="2410"/>
        <w:gridCol w:w="2211"/>
      </w:tblGrid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4679" w:type="dxa"/>
            <w:gridSpan w:val="2"/>
            <w:tcBorders>
              <w:top w:val="thinThickThinSmallGap" w:color="404040" w:sz="12" w:space="0"/>
              <w:left w:val="dotted" w:color="404040" w:sz="2" w:space="0"/>
              <w:bottom w:val="dotted" w:color="404040" w:sz="2" w:space="0"/>
              <w:right w:val="dotted" w:color="404040" w:sz="2" w:space="0"/>
              <w:tl2br w:val="single" w:color="7F7F7F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righ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估价方法</w:t>
            </w:r>
          </w:p>
          <w:p>
            <w:pPr>
              <w:spacing w:line="240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估价对象及结果</w:t>
            </w:r>
          </w:p>
        </w:tc>
        <w:tc>
          <w:tcPr>
            <w:tcW w:w="2410" w:type="dxa"/>
            <w:tcBorders>
              <w:top w:val="thinThickThinSmallGap" w:color="404040" w:sz="1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hint="eastAsia"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比较法</w:t>
            </w:r>
          </w:p>
        </w:tc>
        <w:tc>
          <w:tcPr>
            <w:tcW w:w="2211" w:type="dxa"/>
            <w:tcBorders>
              <w:top w:val="thinThickThinSmallGap" w:color="404040" w:sz="1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hint="eastAsia"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收益法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2325" w:type="dxa"/>
            <w:vMerge w:val="restart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测算结果</w:t>
            </w:r>
          </w:p>
        </w:tc>
        <w:tc>
          <w:tcPr>
            <w:tcW w:w="235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总价</w:t>
            </w:r>
          </w:p>
        </w:tc>
        <w:tc>
          <w:tcPr>
            <w:tcW w:w="2410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2673</w:t>
            </w:r>
          </w:p>
        </w:tc>
        <w:tc>
          <w:tcPr>
            <w:tcW w:w="2211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2052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2325" w:type="dxa"/>
            <w:vMerge w:val="continue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auto"/>
              <w:rPr>
                <w:rFonts w:ascii="Arial" w:hAnsi="Arial" w:eastAsia="华文细黑" w:cs="宋体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单价</w:t>
            </w:r>
          </w:p>
        </w:tc>
        <w:tc>
          <w:tcPr>
            <w:tcW w:w="2410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41496</w:t>
            </w:r>
          </w:p>
        </w:tc>
        <w:tc>
          <w:tcPr>
            <w:tcW w:w="2211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31859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2325" w:type="dxa"/>
            <w:vMerge w:val="restart"/>
            <w:tcBorders>
              <w:top w:val="dotted" w:color="404040" w:sz="2" w:space="0"/>
              <w:left w:val="dotted" w:color="404040" w:sz="2" w:space="0"/>
              <w:bottom w:val="thinThickThinSmallGap" w:color="404040" w:sz="1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评估价值</w:t>
            </w:r>
          </w:p>
        </w:tc>
        <w:tc>
          <w:tcPr>
            <w:tcW w:w="2354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总价</w:t>
            </w:r>
          </w:p>
        </w:tc>
        <w:tc>
          <w:tcPr>
            <w:tcW w:w="4621" w:type="dxa"/>
            <w:gridSpan w:val="2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2300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2325" w:type="dxa"/>
            <w:vMerge w:val="continue"/>
            <w:tcBorders>
              <w:top w:val="dotted" w:color="404040" w:sz="2" w:space="0"/>
              <w:left w:val="dotted" w:color="404040" w:sz="2" w:space="0"/>
              <w:bottom w:val="thinThickThinSmallGap" w:color="404040" w:sz="1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auto"/>
              <w:rPr>
                <w:rFonts w:ascii="Arial" w:hAnsi="Arial" w:eastAsia="华文细黑" w:cs="宋体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dotted" w:color="404040" w:sz="2" w:space="0"/>
              <w:left w:val="dotted" w:color="404040" w:sz="2" w:space="0"/>
              <w:bottom w:val="thinThickThinSmallGap" w:color="404040" w:sz="1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单价</w:t>
            </w:r>
          </w:p>
        </w:tc>
        <w:tc>
          <w:tcPr>
            <w:tcW w:w="4621" w:type="dxa"/>
            <w:gridSpan w:val="2"/>
            <w:tcBorders>
              <w:top w:val="dotted" w:color="404040" w:sz="2" w:space="0"/>
              <w:left w:val="dotted" w:color="404040" w:sz="2" w:space="0"/>
              <w:bottom w:val="thinThickThinSmallGap" w:color="404040" w:sz="1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35714</w:t>
            </w:r>
          </w:p>
        </w:tc>
      </w:tr>
    </w:tbl>
    <w:p>
      <w:pPr>
        <w:spacing w:line="360" w:lineRule="auto"/>
        <w:ind w:right="17"/>
        <w:rPr>
          <w:rFonts w:ascii="Arial" w:hAnsi="Arial" w:eastAsia="华文细黑" w:cs="Arial"/>
          <w:sz w:val="18"/>
          <w:szCs w:val="18"/>
        </w:rPr>
      </w:pPr>
      <w:r>
        <w:rPr>
          <w:rFonts w:hint="eastAsia" w:ascii="Arial" w:hAnsi="Arial" w:eastAsia="华文细黑"/>
          <w:sz w:val="18"/>
          <w:szCs w:val="18"/>
        </w:rPr>
        <w:t>单位：</w:t>
      </w:r>
      <w:r>
        <w:rPr>
          <w:rFonts w:hint="eastAsia" w:ascii="Arial" w:hAnsi="Arial" w:eastAsia="华文细黑" w:cs="Arial"/>
          <w:sz w:val="18"/>
          <w:szCs w:val="18"/>
        </w:rPr>
        <w:t>万元、元</w:t>
      </w:r>
      <w:r>
        <w:rPr>
          <w:rFonts w:ascii="Arial" w:hAnsi="Arial" w:eastAsia="华文细黑" w:cs="Arial"/>
          <w:sz w:val="18"/>
          <w:szCs w:val="18"/>
        </w:rPr>
        <w:t>/</w:t>
      </w:r>
      <w:r>
        <w:rPr>
          <w:rFonts w:hint="eastAsia" w:ascii="Arial" w:hAnsi="Arial" w:eastAsia="华文细黑" w:cs="Arial"/>
          <w:sz w:val="18"/>
          <w:szCs w:val="18"/>
        </w:rPr>
        <w:t>平方米（币种：人民币）</w:t>
      </w:r>
    </w:p>
    <w:p>
      <w:pPr>
        <w:spacing w:line="240" w:lineRule="auto"/>
        <w:jc w:val="center"/>
        <w:rPr>
          <w:rFonts w:ascii="Arial" w:hAnsi="Arial" w:eastAsia="方正黑体简体"/>
          <w:szCs w:val="24"/>
        </w:rPr>
      </w:pPr>
      <w:r>
        <w:rPr>
          <w:rFonts w:hint="eastAsia" w:ascii="Arial" w:hAnsi="Arial" w:eastAsia="方正黑体简体" w:cs="Arial"/>
          <w:szCs w:val="24"/>
        </w:rPr>
        <w:t>结果表</w:t>
      </w:r>
      <w:r>
        <w:rPr>
          <w:rFonts w:ascii="Arial" w:hAnsi="Arial" w:eastAsia="方正黑体简体" w:cs="Arial"/>
          <w:szCs w:val="24"/>
        </w:rPr>
        <w:t>-2</w:t>
      </w:r>
      <w:r>
        <w:rPr>
          <w:rFonts w:hint="eastAsia" w:ascii="Arial" w:hAnsi="Arial" w:eastAsia="方正黑体简体" w:cs="Arial"/>
          <w:szCs w:val="24"/>
        </w:rPr>
        <w:t>（房地产抵押价值）</w:t>
      </w:r>
    </w:p>
    <w:tbl>
      <w:tblPr>
        <w:tblStyle w:val="4"/>
        <w:tblW w:w="9300" w:type="dxa"/>
        <w:jc w:val="center"/>
        <w:tblBorders>
          <w:top w:val="thinThickThinSmallGap" w:color="404040" w:sz="12" w:space="0"/>
          <w:left w:val="dotted" w:color="404040" w:sz="2" w:space="0"/>
          <w:bottom w:val="thinThickThinSmallGap" w:color="404040" w:sz="12" w:space="0"/>
          <w:right w:val="dotted" w:color="404040" w:sz="2" w:space="0"/>
          <w:insideH w:val="dotted" w:color="404040" w:sz="2" w:space="0"/>
          <w:insideV w:val="dotted" w:color="404040" w:sz="2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3687"/>
        <w:gridCol w:w="992"/>
        <w:gridCol w:w="4621"/>
      </w:tblGrid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4679" w:type="dxa"/>
            <w:gridSpan w:val="2"/>
            <w:tcBorders>
              <w:top w:val="thinThickThinSmallGap" w:color="404040" w:sz="1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bCs/>
                <w:sz w:val="18"/>
                <w:szCs w:val="24"/>
              </w:rPr>
            </w:pPr>
            <w:r>
              <w:rPr>
                <w:rFonts w:hint="eastAsia" w:ascii="Arial" w:hAnsi="Arial" w:eastAsia="华文细黑" w:cs="宋体"/>
                <w:bCs/>
                <w:sz w:val="18"/>
                <w:szCs w:val="24"/>
              </w:rPr>
              <w:t>抵押物名称</w:t>
            </w:r>
          </w:p>
        </w:tc>
        <w:tc>
          <w:tcPr>
            <w:tcW w:w="4621" w:type="dxa"/>
            <w:tcBorders>
              <w:top w:val="thinThickThinSmallGap" w:color="404040" w:sz="1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bCs/>
                <w:sz w:val="18"/>
                <w:szCs w:val="24"/>
              </w:rPr>
            </w:pPr>
            <w:r>
              <w:rPr>
                <w:rFonts w:hint="eastAsia" w:ascii="Arial" w:hAnsi="Arial" w:eastAsia="华文细黑" w:cs="宋体"/>
                <w:bCs/>
                <w:sz w:val="18"/>
                <w:szCs w:val="24"/>
              </w:rPr>
              <w:t>建筑面积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4679" w:type="dxa"/>
            <w:gridSpan w:val="2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/>
                <w:sz w:val="18"/>
                <w:szCs w:val="18"/>
              </w:rPr>
            </w:pPr>
            <w:r>
              <w:rPr>
                <w:rFonts w:hint="eastAsia" w:ascii="Arial" w:hAnsi="Arial" w:eastAsia="华文细黑"/>
                <w:kern w:val="2"/>
                <w:sz w:val="18"/>
                <w:szCs w:val="18"/>
              </w:rPr>
              <w:t>北京市昌平区回龙观镇回南路9号院19号楼1层01配套公建A配套公建（商业）房地产</w:t>
            </w:r>
          </w:p>
        </w:tc>
        <w:tc>
          <w:tcPr>
            <w:tcW w:w="4621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bCs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18"/>
              </w:rPr>
              <w:t>644.12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3687" w:type="dxa"/>
            <w:vMerge w:val="restart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bCs/>
                <w:sz w:val="18"/>
                <w:szCs w:val="24"/>
              </w:rPr>
            </w:pPr>
            <w:r>
              <w:rPr>
                <w:rFonts w:ascii="Arial" w:hAnsi="Arial" w:eastAsia="华文细黑" w:cs="宋体"/>
                <w:bCs/>
                <w:sz w:val="18"/>
                <w:szCs w:val="24"/>
              </w:rPr>
              <w:t>1.</w:t>
            </w:r>
            <w:r>
              <w:rPr>
                <w:rFonts w:hint="eastAsia" w:ascii="Arial" w:hAnsi="Arial" w:eastAsia="华文细黑" w:cs="宋体"/>
                <w:bCs/>
                <w:sz w:val="18"/>
                <w:szCs w:val="24"/>
              </w:rPr>
              <w:t>房地产价值</w:t>
            </w:r>
          </w:p>
        </w:tc>
        <w:tc>
          <w:tcPr>
            <w:tcW w:w="992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bCs/>
                <w:sz w:val="18"/>
                <w:szCs w:val="24"/>
              </w:rPr>
            </w:pPr>
            <w:r>
              <w:rPr>
                <w:rFonts w:hint="eastAsia" w:ascii="Arial" w:hAnsi="Arial" w:eastAsia="华文细黑"/>
                <w:sz w:val="18"/>
              </w:rPr>
              <w:t>总价</w:t>
            </w:r>
          </w:p>
        </w:tc>
        <w:tc>
          <w:tcPr>
            <w:tcW w:w="4621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bCs/>
                <w:sz w:val="18"/>
                <w:szCs w:val="24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24"/>
              </w:rPr>
              <w:t>2300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3687" w:type="dxa"/>
            <w:vMerge w:val="continue"/>
            <w:tcBorders>
              <w:left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bCs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hint="eastAsia" w:ascii="Arial" w:hAnsi="Arial" w:eastAsia="华文细黑"/>
                <w:sz w:val="18"/>
              </w:rPr>
            </w:pPr>
            <w:r>
              <w:rPr>
                <w:rFonts w:hint="eastAsia" w:ascii="Arial" w:hAnsi="Arial" w:eastAsia="华文细黑"/>
                <w:sz w:val="18"/>
              </w:rPr>
              <w:t>大写金额</w:t>
            </w:r>
          </w:p>
        </w:tc>
        <w:tc>
          <w:tcPr>
            <w:tcW w:w="4621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bCs/>
                <w:sz w:val="18"/>
                <w:szCs w:val="24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24"/>
              </w:rPr>
              <w:t>贰仟叁佰万元整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3687" w:type="dxa"/>
            <w:vMerge w:val="continue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auto"/>
              <w:rPr>
                <w:rFonts w:ascii="Arial" w:hAnsi="Arial" w:eastAsia="华文细黑" w:cs="宋体"/>
                <w:bCs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sz w:val="18"/>
                <w:szCs w:val="24"/>
              </w:rPr>
            </w:pPr>
            <w:r>
              <w:rPr>
                <w:rFonts w:hint="eastAsia" w:ascii="Arial" w:hAnsi="Arial" w:eastAsia="华文细黑" w:cs="宋体"/>
                <w:sz w:val="18"/>
                <w:szCs w:val="24"/>
              </w:rPr>
              <w:t>单价</w:t>
            </w:r>
          </w:p>
        </w:tc>
        <w:tc>
          <w:tcPr>
            <w:tcW w:w="4621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bCs/>
                <w:sz w:val="18"/>
                <w:szCs w:val="24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24"/>
              </w:rPr>
              <w:t>35714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3687" w:type="dxa"/>
            <w:vMerge w:val="restart"/>
            <w:tcBorders>
              <w:top w:val="dotted" w:color="404040" w:sz="2" w:space="0"/>
              <w:left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bCs/>
                <w:sz w:val="18"/>
                <w:szCs w:val="24"/>
              </w:rPr>
            </w:pPr>
            <w:r>
              <w:rPr>
                <w:rFonts w:ascii="Arial" w:hAnsi="Arial" w:eastAsia="华文细黑" w:cs="宋体"/>
                <w:bCs/>
                <w:sz w:val="18"/>
                <w:szCs w:val="24"/>
              </w:rPr>
              <w:t>2.</w:t>
            </w:r>
            <w:r>
              <w:rPr>
                <w:rFonts w:hint="eastAsia" w:ascii="Arial" w:hAnsi="Arial" w:eastAsia="华文细黑" w:cs="宋体"/>
                <w:bCs/>
                <w:sz w:val="18"/>
                <w:szCs w:val="24"/>
              </w:rPr>
              <w:t>估价师所知悉的法定优先受偿款</w:t>
            </w:r>
          </w:p>
        </w:tc>
        <w:tc>
          <w:tcPr>
            <w:tcW w:w="992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bCs/>
                <w:sz w:val="18"/>
                <w:szCs w:val="24"/>
              </w:rPr>
            </w:pPr>
            <w:r>
              <w:rPr>
                <w:rFonts w:hint="eastAsia" w:ascii="Arial" w:hAnsi="Arial" w:eastAsia="华文细黑"/>
                <w:sz w:val="18"/>
              </w:rPr>
              <w:t>总额</w:t>
            </w:r>
          </w:p>
        </w:tc>
        <w:tc>
          <w:tcPr>
            <w:tcW w:w="4621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hint="eastAsia" w:ascii="Arial" w:hAnsi="Arial" w:eastAsia="华文细黑" w:cs="Arial"/>
                <w:bCs/>
                <w:sz w:val="18"/>
                <w:szCs w:val="24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24"/>
              </w:rPr>
              <w:t>0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3687" w:type="dxa"/>
            <w:vMerge w:val="continue"/>
            <w:tcBorders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bCs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hint="eastAsia" w:ascii="Arial" w:hAnsi="Arial" w:eastAsia="华文细黑"/>
                <w:sz w:val="18"/>
              </w:rPr>
            </w:pPr>
            <w:r>
              <w:rPr>
                <w:rFonts w:hint="eastAsia" w:ascii="Arial" w:hAnsi="Arial" w:eastAsia="华文细黑"/>
                <w:sz w:val="18"/>
              </w:rPr>
              <w:t>大写金额</w:t>
            </w:r>
          </w:p>
        </w:tc>
        <w:tc>
          <w:tcPr>
            <w:tcW w:w="4621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hint="eastAsia" w:ascii="Arial" w:hAnsi="Arial" w:eastAsia="华文细黑" w:cs="Arial"/>
                <w:bCs/>
                <w:sz w:val="18"/>
                <w:szCs w:val="24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24"/>
              </w:rPr>
              <w:t>零元整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3687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sz w:val="18"/>
                <w:szCs w:val="24"/>
              </w:rPr>
            </w:pPr>
            <w:r>
              <w:rPr>
                <w:rFonts w:hint="eastAsia" w:ascii="Arial" w:hAnsi="Arial" w:eastAsia="华文细黑" w:cs="宋体"/>
                <w:sz w:val="18"/>
                <w:szCs w:val="24"/>
              </w:rPr>
              <w:t>（</w:t>
            </w:r>
            <w:r>
              <w:rPr>
                <w:rFonts w:ascii="Arial" w:hAnsi="Arial" w:eastAsia="华文细黑" w:cs="宋体"/>
                <w:sz w:val="18"/>
                <w:szCs w:val="24"/>
              </w:rPr>
              <w:t>1</w:t>
            </w:r>
            <w:r>
              <w:rPr>
                <w:rFonts w:hint="eastAsia" w:ascii="Arial" w:hAnsi="Arial" w:eastAsia="华文细黑" w:cs="宋体"/>
                <w:sz w:val="18"/>
                <w:szCs w:val="24"/>
              </w:rPr>
              <w:t>）已抵押担保的债权数额</w:t>
            </w:r>
          </w:p>
        </w:tc>
        <w:tc>
          <w:tcPr>
            <w:tcW w:w="992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spacing w:line="240" w:lineRule="exact"/>
            </w:pPr>
            <w:r>
              <w:rPr>
                <w:rFonts w:hint="eastAsia" w:ascii="Arial" w:hAnsi="Arial" w:eastAsia="华文细黑"/>
                <w:sz w:val="18"/>
              </w:rPr>
              <w:t>总额</w:t>
            </w:r>
          </w:p>
        </w:tc>
        <w:tc>
          <w:tcPr>
            <w:tcW w:w="4621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hint="eastAsia" w:ascii="Arial" w:hAnsi="Arial" w:eastAsia="华文细黑" w:cs="Arial"/>
                <w:sz w:val="18"/>
                <w:szCs w:val="24"/>
              </w:rPr>
            </w:pPr>
            <w:r>
              <w:rPr>
                <w:rFonts w:hint="eastAsia" w:ascii="Arial" w:hAnsi="Arial" w:eastAsia="华文细黑" w:cs="Arial"/>
                <w:sz w:val="18"/>
                <w:szCs w:val="24"/>
              </w:rPr>
              <w:t>0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3687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sz w:val="18"/>
                <w:szCs w:val="24"/>
              </w:rPr>
            </w:pPr>
            <w:r>
              <w:rPr>
                <w:rFonts w:hint="eastAsia" w:ascii="Arial" w:hAnsi="Arial" w:eastAsia="华文细黑" w:cs="宋体"/>
                <w:sz w:val="18"/>
                <w:szCs w:val="24"/>
              </w:rPr>
              <w:t>（</w:t>
            </w:r>
            <w:r>
              <w:rPr>
                <w:rFonts w:ascii="Arial" w:hAnsi="Arial" w:eastAsia="华文细黑" w:cs="宋体"/>
                <w:sz w:val="18"/>
                <w:szCs w:val="24"/>
              </w:rPr>
              <w:t>2</w:t>
            </w:r>
            <w:r>
              <w:rPr>
                <w:rFonts w:hint="eastAsia" w:ascii="Arial" w:hAnsi="Arial" w:eastAsia="华文细黑" w:cs="宋体"/>
                <w:sz w:val="18"/>
                <w:szCs w:val="24"/>
              </w:rPr>
              <w:t>）拖欠的建设工程价款</w:t>
            </w:r>
          </w:p>
        </w:tc>
        <w:tc>
          <w:tcPr>
            <w:tcW w:w="992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spacing w:line="240" w:lineRule="exact"/>
            </w:pPr>
            <w:r>
              <w:rPr>
                <w:rFonts w:hint="eastAsia" w:ascii="Arial" w:hAnsi="Arial" w:eastAsia="华文细黑"/>
                <w:sz w:val="18"/>
              </w:rPr>
              <w:t>总额</w:t>
            </w:r>
          </w:p>
        </w:tc>
        <w:tc>
          <w:tcPr>
            <w:tcW w:w="4621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hint="eastAsia" w:ascii="Arial" w:hAnsi="Arial" w:eastAsia="华文细黑" w:cs="Arial"/>
                <w:sz w:val="18"/>
                <w:szCs w:val="24"/>
              </w:rPr>
            </w:pPr>
            <w:r>
              <w:rPr>
                <w:rFonts w:hint="eastAsia" w:ascii="Arial" w:hAnsi="Arial" w:eastAsia="华文细黑" w:cs="Arial"/>
                <w:sz w:val="18"/>
                <w:szCs w:val="24"/>
              </w:rPr>
              <w:t>0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3687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sz w:val="18"/>
                <w:szCs w:val="24"/>
              </w:rPr>
            </w:pPr>
            <w:r>
              <w:rPr>
                <w:rFonts w:hint="eastAsia" w:ascii="Arial" w:hAnsi="Arial" w:eastAsia="华文细黑" w:cs="宋体"/>
                <w:sz w:val="18"/>
                <w:szCs w:val="24"/>
              </w:rPr>
              <w:t>（</w:t>
            </w:r>
            <w:r>
              <w:rPr>
                <w:rFonts w:ascii="Arial" w:hAnsi="Arial" w:eastAsia="华文细黑" w:cs="宋体"/>
                <w:sz w:val="18"/>
                <w:szCs w:val="24"/>
              </w:rPr>
              <w:t>3</w:t>
            </w:r>
            <w:r>
              <w:rPr>
                <w:rFonts w:hint="eastAsia" w:ascii="Arial" w:hAnsi="Arial" w:eastAsia="华文细黑" w:cs="宋体"/>
                <w:sz w:val="18"/>
                <w:szCs w:val="24"/>
              </w:rPr>
              <w:t>）其他法定优先受偿款</w:t>
            </w:r>
          </w:p>
        </w:tc>
        <w:tc>
          <w:tcPr>
            <w:tcW w:w="992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sz w:val="18"/>
                <w:szCs w:val="24"/>
              </w:rPr>
            </w:pPr>
            <w:r>
              <w:rPr>
                <w:rFonts w:hint="eastAsia" w:ascii="Arial" w:hAnsi="Arial" w:eastAsia="华文细黑"/>
                <w:sz w:val="18"/>
              </w:rPr>
              <w:t>总额</w:t>
            </w:r>
          </w:p>
        </w:tc>
        <w:tc>
          <w:tcPr>
            <w:tcW w:w="4621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hint="eastAsia" w:ascii="Arial" w:hAnsi="Arial" w:eastAsia="华文细黑" w:cs="Arial"/>
                <w:sz w:val="18"/>
                <w:szCs w:val="24"/>
              </w:rPr>
            </w:pPr>
            <w:r>
              <w:rPr>
                <w:rFonts w:hint="eastAsia" w:ascii="Arial" w:hAnsi="Arial" w:eastAsia="华文细黑" w:cs="Arial"/>
                <w:sz w:val="18"/>
                <w:szCs w:val="24"/>
              </w:rPr>
              <w:t>0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3687" w:type="dxa"/>
            <w:vMerge w:val="restart"/>
            <w:tcBorders>
              <w:top w:val="dotted" w:color="404040" w:sz="2" w:space="0"/>
              <w:left w:val="dotted" w:color="404040" w:sz="2" w:space="0"/>
              <w:bottom w:val="thinThickThinSmallGap" w:color="404040" w:sz="1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bCs/>
                <w:sz w:val="18"/>
                <w:szCs w:val="24"/>
              </w:rPr>
            </w:pPr>
            <w:r>
              <w:rPr>
                <w:rFonts w:ascii="Arial" w:hAnsi="Arial" w:eastAsia="华文细黑"/>
                <w:sz w:val="18"/>
              </w:rPr>
              <w:t>3.</w:t>
            </w:r>
            <w:r>
              <w:rPr>
                <w:rFonts w:hint="eastAsia" w:ascii="Arial" w:hAnsi="Arial" w:eastAsia="华文细黑"/>
                <w:sz w:val="18"/>
              </w:rPr>
              <w:t>房地产抵押价值</w:t>
            </w:r>
          </w:p>
        </w:tc>
        <w:tc>
          <w:tcPr>
            <w:tcW w:w="992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bCs/>
                <w:sz w:val="18"/>
                <w:szCs w:val="24"/>
              </w:rPr>
            </w:pPr>
            <w:r>
              <w:rPr>
                <w:rFonts w:hint="eastAsia" w:ascii="Arial" w:hAnsi="Arial" w:eastAsia="华文细黑"/>
                <w:sz w:val="18"/>
              </w:rPr>
              <w:t>总价</w:t>
            </w:r>
          </w:p>
        </w:tc>
        <w:tc>
          <w:tcPr>
            <w:tcW w:w="4621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bCs/>
                <w:sz w:val="18"/>
                <w:szCs w:val="24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24"/>
              </w:rPr>
              <w:t>2300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3687" w:type="dxa"/>
            <w:vMerge w:val="continue"/>
            <w:tcBorders>
              <w:left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/>
                <w:sz w:val="18"/>
              </w:rPr>
            </w:pPr>
          </w:p>
        </w:tc>
        <w:tc>
          <w:tcPr>
            <w:tcW w:w="992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hint="eastAsia" w:ascii="Arial" w:hAnsi="Arial" w:eastAsia="华文细黑"/>
                <w:sz w:val="18"/>
              </w:rPr>
            </w:pPr>
            <w:r>
              <w:rPr>
                <w:rFonts w:hint="eastAsia" w:ascii="Arial" w:hAnsi="Arial" w:eastAsia="华文细黑"/>
                <w:sz w:val="18"/>
              </w:rPr>
              <w:t>大写金额</w:t>
            </w:r>
          </w:p>
        </w:tc>
        <w:tc>
          <w:tcPr>
            <w:tcW w:w="4621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hint="eastAsia" w:ascii="Arial" w:hAnsi="Arial" w:eastAsia="华文细黑" w:cs="Arial"/>
                <w:bCs/>
                <w:sz w:val="18"/>
                <w:szCs w:val="24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24"/>
              </w:rPr>
              <w:t>贰仟叁佰万元整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3687" w:type="dxa"/>
            <w:vMerge w:val="continue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auto"/>
              <w:rPr>
                <w:rFonts w:ascii="Arial" w:hAnsi="Arial" w:eastAsia="华文细黑" w:cs="宋体"/>
                <w:bCs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宋体"/>
                <w:sz w:val="18"/>
                <w:szCs w:val="24"/>
              </w:rPr>
            </w:pPr>
            <w:r>
              <w:rPr>
                <w:rFonts w:hint="eastAsia" w:ascii="Arial" w:hAnsi="Arial" w:eastAsia="华文细黑" w:cs="宋体"/>
                <w:sz w:val="18"/>
                <w:szCs w:val="24"/>
              </w:rPr>
              <w:t>单价</w:t>
            </w:r>
          </w:p>
        </w:tc>
        <w:tc>
          <w:tcPr>
            <w:tcW w:w="4621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ascii="Arial" w:hAnsi="Arial" w:eastAsia="华文细黑" w:cs="Arial"/>
                <w:bCs/>
                <w:sz w:val="18"/>
                <w:szCs w:val="24"/>
              </w:rPr>
            </w:pPr>
            <w:r>
              <w:rPr>
                <w:rFonts w:hint="eastAsia" w:ascii="Arial" w:hAnsi="Arial" w:eastAsia="华文细黑" w:cs="Arial"/>
                <w:bCs/>
                <w:sz w:val="18"/>
                <w:szCs w:val="24"/>
              </w:rPr>
              <w:t>35714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3687" w:type="dxa"/>
            <w:vMerge w:val="restart"/>
            <w:tcBorders>
              <w:top w:val="dotted" w:color="404040" w:sz="2" w:space="0"/>
              <w:left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auto"/>
              <w:rPr>
                <w:rFonts w:hint="default" w:ascii="Arial" w:hAnsi="Arial" w:eastAsia="华文细黑" w:cs="宋体"/>
                <w:bCs/>
                <w:sz w:val="18"/>
                <w:szCs w:val="24"/>
                <w:lang w:val="en-US" w:eastAsia="zh-CN"/>
              </w:rPr>
            </w:pPr>
            <w:r>
              <w:rPr>
                <w:rFonts w:hint="eastAsia" w:ascii="Arial" w:hAnsi="Arial" w:eastAsia="华文细黑" w:cs="宋体"/>
                <w:bCs/>
                <w:sz w:val="18"/>
                <w:szCs w:val="24"/>
                <w:lang w:val="en-US" w:eastAsia="zh-CN"/>
              </w:rPr>
              <w:t>4抵押净值</w:t>
            </w:r>
          </w:p>
        </w:tc>
        <w:tc>
          <w:tcPr>
            <w:tcW w:w="992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hint="eastAsia" w:ascii="Arial" w:hAnsi="Arial" w:eastAsia="华文细黑" w:cs="宋体"/>
                <w:bCs/>
                <w:kern w:val="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华文细黑"/>
                <w:sz w:val="18"/>
              </w:rPr>
              <w:t>总价</w:t>
            </w:r>
          </w:p>
        </w:tc>
        <w:tc>
          <w:tcPr>
            <w:tcW w:w="4621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hint="eastAsia" w:ascii="Arial" w:hAnsi="Arial" w:eastAsia="华文细黑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2069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3687" w:type="dxa"/>
            <w:vMerge w:val="continue"/>
            <w:tcBorders>
              <w:left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auto"/>
              <w:rPr>
                <w:rFonts w:ascii="Arial" w:hAnsi="Arial" w:eastAsia="华文细黑" w:cs="宋体"/>
                <w:bCs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hint="eastAsia" w:ascii="Arial" w:hAnsi="Arial" w:eastAsia="华文细黑" w:cs="Times New Roman"/>
                <w:kern w:val="0"/>
                <w:sz w:val="18"/>
                <w:szCs w:val="20"/>
                <w:lang w:val="en-US" w:eastAsia="zh-CN" w:bidi="ar-SA"/>
              </w:rPr>
            </w:pPr>
            <w:r>
              <w:rPr>
                <w:rFonts w:hint="eastAsia" w:ascii="Arial" w:hAnsi="Arial" w:eastAsia="华文细黑"/>
                <w:sz w:val="18"/>
              </w:rPr>
              <w:t>大写金额</w:t>
            </w:r>
          </w:p>
        </w:tc>
        <w:tc>
          <w:tcPr>
            <w:tcW w:w="4621" w:type="dxa"/>
            <w:tcBorders>
              <w:top w:val="dotted" w:color="404040" w:sz="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hint="eastAsia" w:ascii="Arial" w:hAnsi="Arial" w:eastAsia="华文细黑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贰仟零陆拾玖万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元整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3687" w:type="dxa"/>
            <w:vMerge w:val="continue"/>
            <w:tcBorders>
              <w:left w:val="dotted" w:color="404040" w:sz="2" w:space="0"/>
              <w:bottom w:val="thinThickThinSmallGap" w:color="404040" w:sz="1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auto"/>
              <w:rPr>
                <w:rFonts w:ascii="Arial" w:hAnsi="Arial" w:eastAsia="华文细黑" w:cs="宋体"/>
                <w:bCs/>
                <w:sz w:val="18"/>
                <w:szCs w:val="24"/>
              </w:rPr>
            </w:pPr>
          </w:p>
        </w:tc>
        <w:tc>
          <w:tcPr>
            <w:tcW w:w="992" w:type="dxa"/>
            <w:tcBorders>
              <w:top w:val="dotted" w:color="404040" w:sz="2" w:space="0"/>
              <w:left w:val="dotted" w:color="404040" w:sz="2" w:space="0"/>
              <w:bottom w:val="thinThickThinSmallGap" w:color="404040" w:sz="1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rPr>
                <w:rFonts w:hint="eastAsia" w:ascii="Arial" w:hAnsi="Arial" w:eastAsia="华文细黑" w:cs="宋体"/>
                <w:kern w:val="0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="华文细黑" w:cs="宋体"/>
                <w:sz w:val="18"/>
                <w:szCs w:val="24"/>
              </w:rPr>
              <w:t>单价</w:t>
            </w:r>
          </w:p>
        </w:tc>
        <w:tc>
          <w:tcPr>
            <w:tcW w:w="4621" w:type="dxa"/>
            <w:tcBorders>
              <w:top w:val="dotted" w:color="404040" w:sz="2" w:space="0"/>
              <w:left w:val="dotted" w:color="404040" w:sz="2" w:space="0"/>
              <w:bottom w:val="thinThickThinSmallGap" w:color="404040" w:sz="12" w:space="0"/>
              <w:right w:val="dotted" w:color="404040" w:sz="2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exact"/>
              <w:jc w:val="both"/>
              <w:rPr>
                <w:rFonts w:hint="eastAsia" w:ascii="Arial" w:hAnsi="Arial" w:eastAsia="华文细黑" w:cs="Arial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32121</w:t>
            </w:r>
          </w:p>
        </w:tc>
      </w:tr>
    </w:tbl>
    <w:p>
      <w:pPr>
        <w:rPr>
          <w:rFonts w:ascii="Arial" w:hAnsi="Arial" w:eastAsia="华文细黑" w:cs="Arial"/>
          <w:sz w:val="18"/>
          <w:szCs w:val="18"/>
        </w:rPr>
      </w:pPr>
      <w:r>
        <w:rPr>
          <w:rFonts w:hint="eastAsia" w:ascii="Arial" w:hAnsi="Arial" w:eastAsia="华文细黑"/>
          <w:sz w:val="18"/>
          <w:szCs w:val="18"/>
        </w:rPr>
        <w:t>单位：平方米、</w:t>
      </w:r>
      <w:r>
        <w:rPr>
          <w:rFonts w:hint="eastAsia" w:ascii="Arial" w:hAnsi="Arial" w:eastAsia="华文细黑" w:cs="Arial"/>
          <w:sz w:val="18"/>
          <w:szCs w:val="18"/>
        </w:rPr>
        <w:t>万元、元</w:t>
      </w:r>
      <w:r>
        <w:rPr>
          <w:rFonts w:ascii="Arial" w:hAnsi="Arial" w:eastAsia="华文细黑" w:cs="Arial"/>
          <w:sz w:val="18"/>
          <w:szCs w:val="18"/>
        </w:rPr>
        <w:t>/</w:t>
      </w:r>
      <w:r>
        <w:rPr>
          <w:rFonts w:hint="eastAsia" w:ascii="Arial" w:hAnsi="Arial" w:eastAsia="华文细黑" w:cs="Arial"/>
          <w:sz w:val="18"/>
          <w:szCs w:val="18"/>
        </w:rPr>
        <w:t>平方米（币种：人民币）</w:t>
      </w:r>
    </w:p>
    <w:p>
      <w:pPr>
        <w:rPr>
          <w:rFonts w:ascii="Arial" w:hAnsi="Arial" w:eastAsia="华文细黑" w:cs="Arial"/>
          <w:sz w:val="18"/>
          <w:szCs w:val="18"/>
        </w:rPr>
      </w:pPr>
    </w:p>
    <w:tbl>
      <w:tblPr>
        <w:tblStyle w:val="4"/>
        <w:tblW w:w="929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99" w:type="dxa"/>
            <w:shd w:val="clear" w:color="auto" w:fill="auto"/>
          </w:tcPr>
          <w:p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北京康正宏基房地产评估有限公司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9299" w:type="dxa"/>
            <w:shd w:val="clear" w:color="auto" w:fill="auto"/>
          </w:tcPr>
          <w:p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二</w:t>
            </w:r>
            <w:r>
              <w:rPr>
                <w:rFonts w:hint="eastAsia" w:ascii="Arial" w:hAnsi="Arial" w:cs="Arial"/>
                <w:color w:val="000000"/>
                <w:szCs w:val="21"/>
              </w:rPr>
              <w:t>○二四</w:t>
            </w:r>
            <w:r>
              <w:rPr>
                <w:rFonts w:ascii="Arial" w:hAnsi="Arial" w:cs="Arial"/>
                <w:color w:val="000000"/>
                <w:szCs w:val="21"/>
              </w:rPr>
              <w:t>年</w:t>
            </w:r>
            <w:r>
              <w:rPr>
                <w:rFonts w:hint="eastAsia" w:ascii="Arial" w:hAnsi="Arial" w:cs="Arial"/>
                <w:color w:val="000000"/>
                <w:szCs w:val="21"/>
                <w:lang w:val="en-US" w:eastAsia="zh-CN"/>
              </w:rPr>
              <w:t>三</w:t>
            </w:r>
            <w:r>
              <w:rPr>
                <w:rFonts w:hint="eastAsia" w:ascii="Arial" w:hAnsi="Arial" w:cs="Arial"/>
                <w:color w:val="000000"/>
                <w:szCs w:val="21"/>
              </w:rPr>
              <w:t>月</w:t>
            </w:r>
            <w:r>
              <w:rPr>
                <w:rFonts w:hint="eastAsia" w:ascii="Arial" w:hAnsi="Arial" w:cs="Arial"/>
                <w:color w:val="000000"/>
                <w:szCs w:val="21"/>
                <w:lang w:val="en-US" w:eastAsia="zh-CN"/>
              </w:rPr>
              <w:t>一</w:t>
            </w:r>
            <w:r>
              <w:rPr>
                <w:rFonts w:hint="eastAsia" w:ascii="Arial" w:hAnsi="Arial" w:cs="Arial"/>
                <w:color w:val="000000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ZTJmZjVmOWM2NzhhYmQ1MWFiOGNlMTI0NDU5NDkifQ=="/>
  </w:docVars>
  <w:rsids>
    <w:rsidRoot w:val="00F929E9"/>
    <w:rsid w:val="000F186B"/>
    <w:rsid w:val="001A49A2"/>
    <w:rsid w:val="00295C81"/>
    <w:rsid w:val="00435E32"/>
    <w:rsid w:val="00645B48"/>
    <w:rsid w:val="006B2E3D"/>
    <w:rsid w:val="00733067"/>
    <w:rsid w:val="00BE1227"/>
    <w:rsid w:val="00F929E9"/>
    <w:rsid w:val="17B21FE9"/>
    <w:rsid w:val="29B33833"/>
    <w:rsid w:val="2FEA50DD"/>
    <w:rsid w:val="3595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pacing w:line="360" w:lineRule="atLeast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315</Words>
  <Characters>1801</Characters>
  <Lines>15</Lines>
  <Paragraphs>4</Paragraphs>
  <TotalTime>1</TotalTime>
  <ScaleCrop>false</ScaleCrop>
  <LinksUpToDate>false</LinksUpToDate>
  <CharactersWithSpaces>2112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2024-02-20T03:22:00Z</dcterms:created>
  <dc:creator>a</dc:creator>
  <cp:lastModifiedBy>解国明</cp:lastModifiedBy>
  <dcterms:modified xsi:type="dcterms:W3CDTF">2024-03-01T07:14:44Z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925097F3344A4CDFA8396E491237B4F7_12</vt:lpwstr>
  </property>
</Properties>
</file>