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32EBC"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44"/>
          <w:szCs w:val="44"/>
        </w:rPr>
      </w:pPr>
    </w:p>
    <w:p w14:paraId="0064D9D0" w14:textId="77777777" w:rsidR="00F962E2" w:rsidRDefault="00F962E2">
      <w:pPr>
        <w:adjustRightInd w:val="0"/>
        <w:snapToGrid w:val="0"/>
        <w:spacing w:line="560" w:lineRule="exact"/>
        <w:jc w:val="center"/>
        <w:rPr>
          <w:rFonts w:ascii="仿宋_GB2312" w:eastAsia="仿宋_GB2312" w:hAnsi="仿宋_GB2312" w:cs="仿宋_GB2312" w:hint="eastAsia"/>
          <w:b/>
          <w:snapToGrid w:val="0"/>
          <w:spacing w:val="-30"/>
          <w:kern w:val="0"/>
          <w:sz w:val="44"/>
          <w:szCs w:val="44"/>
        </w:rPr>
      </w:pPr>
    </w:p>
    <w:p w14:paraId="3804A92D" w14:textId="77777777" w:rsidR="00F962E2" w:rsidRDefault="00F962E2">
      <w:pPr>
        <w:pStyle w:val="2"/>
      </w:pPr>
    </w:p>
    <w:p w14:paraId="25DAE80F" w14:textId="77777777" w:rsidR="00F962E2" w:rsidRDefault="00F962E2">
      <w:pPr>
        <w:pStyle w:val="2"/>
      </w:pPr>
    </w:p>
    <w:p w14:paraId="5A055EF7"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44"/>
          <w:szCs w:val="44"/>
        </w:rPr>
      </w:pPr>
    </w:p>
    <w:p w14:paraId="1B190991"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44"/>
          <w:szCs w:val="44"/>
        </w:rPr>
      </w:pPr>
    </w:p>
    <w:p w14:paraId="2A90BF5E" w14:textId="77777777" w:rsidR="00F962E2" w:rsidRDefault="007520CA">
      <w:pPr>
        <w:adjustRightInd w:val="0"/>
        <w:snapToGrid w:val="0"/>
        <w:spacing w:line="560" w:lineRule="exact"/>
        <w:jc w:val="center"/>
        <w:rPr>
          <w:rFonts w:ascii="方正小标宋简体" w:eastAsia="方正小标宋简体" w:hAnsi="仿宋_GB2312" w:cs="仿宋_GB2312" w:hint="eastAsia"/>
          <w:bCs/>
          <w:snapToGrid w:val="0"/>
          <w:spacing w:val="-30"/>
          <w:kern w:val="0"/>
          <w:sz w:val="44"/>
          <w:szCs w:val="44"/>
        </w:rPr>
      </w:pPr>
      <w:r w:rsidRPr="007520CA">
        <w:rPr>
          <w:rFonts w:ascii="方正小标宋简体" w:eastAsia="方正小标宋简体" w:hAnsi="仿宋_GB2312" w:cs="仿宋_GB2312" w:hint="eastAsia"/>
          <w:bCs/>
          <w:snapToGrid w:val="0"/>
          <w:spacing w:val="-30"/>
          <w:kern w:val="0"/>
          <w:sz w:val="44"/>
          <w:szCs w:val="44"/>
        </w:rPr>
        <w:t>收</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购</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补</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偿</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方</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案</w:t>
      </w:r>
      <w:r>
        <w:rPr>
          <w:rFonts w:ascii="方正小标宋简体" w:eastAsia="方正小标宋简体" w:hAnsi="仿宋_GB2312" w:cs="仿宋_GB2312" w:hint="eastAsia"/>
          <w:bCs/>
          <w:snapToGrid w:val="0"/>
          <w:spacing w:val="-30"/>
          <w:kern w:val="0"/>
          <w:sz w:val="44"/>
          <w:szCs w:val="44"/>
        </w:rPr>
        <w:t xml:space="preserve"> </w:t>
      </w:r>
      <w:proofErr w:type="gramStart"/>
      <w:r w:rsidRPr="007520CA">
        <w:rPr>
          <w:rFonts w:ascii="方正小标宋简体" w:eastAsia="方正小标宋简体" w:hAnsi="仿宋_GB2312" w:cs="仿宋_GB2312" w:hint="eastAsia"/>
          <w:bCs/>
          <w:snapToGrid w:val="0"/>
          <w:spacing w:val="-30"/>
          <w:kern w:val="0"/>
          <w:sz w:val="44"/>
          <w:szCs w:val="44"/>
        </w:rPr>
        <w:t>研</w:t>
      </w:r>
      <w:proofErr w:type="gramEnd"/>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究</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报</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告</w:t>
      </w:r>
    </w:p>
    <w:p w14:paraId="0E0A3BC3" w14:textId="77777777" w:rsidR="00F962E2" w:rsidRDefault="00F962E2">
      <w:pPr>
        <w:pStyle w:val="2"/>
      </w:pPr>
    </w:p>
    <w:p w14:paraId="39A36DAC" w14:textId="77777777" w:rsidR="00F962E2" w:rsidRDefault="00F962E2">
      <w:pPr>
        <w:adjustRightInd w:val="0"/>
        <w:snapToGrid w:val="0"/>
        <w:jc w:val="center"/>
        <w:rPr>
          <w:rFonts w:ascii="楷体_GB2312" w:eastAsia="楷体_GB2312" w:hAnsi="仿宋_GB2312" w:cs="仿宋_GB2312" w:hint="eastAsia"/>
          <w:b/>
          <w:bCs/>
          <w:sz w:val="32"/>
          <w:szCs w:val="32"/>
        </w:rPr>
      </w:pPr>
      <w:r>
        <w:rPr>
          <w:rFonts w:ascii="楷体_GB2312" w:eastAsia="楷体_GB2312" w:hAnsi="仿宋_GB2312" w:cs="仿宋_GB2312" w:hint="eastAsia"/>
          <w:b/>
          <w:bCs/>
          <w:sz w:val="32"/>
          <w:szCs w:val="32"/>
        </w:rPr>
        <w:t>（北京市</w:t>
      </w:r>
      <w:r w:rsidR="003947F4">
        <w:rPr>
          <w:rFonts w:ascii="楷体_GB2312" w:eastAsia="楷体_GB2312" w:hAnsi="仿宋_GB2312" w:cs="仿宋_GB2312" w:hint="eastAsia"/>
          <w:b/>
          <w:bCs/>
          <w:sz w:val="32"/>
          <w:szCs w:val="32"/>
        </w:rPr>
        <w:t>通州区半壁店大街23号居住用地</w:t>
      </w:r>
      <w:r w:rsidR="005C0A8F" w:rsidRPr="005C0A8F">
        <w:rPr>
          <w:rFonts w:ascii="楷体_GB2312" w:eastAsia="楷体_GB2312" w:hAnsi="仿宋_GB2312" w:cs="仿宋_GB2312" w:hint="eastAsia"/>
          <w:b/>
          <w:bCs/>
          <w:sz w:val="32"/>
          <w:szCs w:val="32"/>
        </w:rPr>
        <w:t>项目</w:t>
      </w:r>
      <w:r>
        <w:rPr>
          <w:rFonts w:ascii="楷体_GB2312" w:eastAsia="楷体_GB2312" w:hAnsi="仿宋_GB2312" w:cs="仿宋_GB2312" w:hint="eastAsia"/>
          <w:b/>
          <w:bCs/>
          <w:sz w:val="32"/>
          <w:szCs w:val="32"/>
        </w:rPr>
        <w:t>）</w:t>
      </w:r>
    </w:p>
    <w:p w14:paraId="4DB3446A" w14:textId="77777777" w:rsidR="00F962E2" w:rsidRDefault="00F962E2">
      <w:pPr>
        <w:pStyle w:val="2"/>
        <w:ind w:firstLine="763"/>
        <w:rPr>
          <w:rFonts w:ascii="仿宋_GB2312" w:eastAsia="仿宋_GB2312" w:hAnsi="仿宋_GB2312" w:cs="仿宋_GB2312" w:hint="eastAsia"/>
          <w:b/>
          <w:snapToGrid w:val="0"/>
          <w:spacing w:val="-30"/>
          <w:kern w:val="0"/>
          <w:sz w:val="44"/>
          <w:szCs w:val="44"/>
        </w:rPr>
      </w:pPr>
    </w:p>
    <w:p w14:paraId="715463AE" w14:textId="77777777" w:rsidR="00F962E2" w:rsidRDefault="00F962E2">
      <w:pPr>
        <w:pStyle w:val="2"/>
        <w:ind w:firstLine="763"/>
        <w:rPr>
          <w:rFonts w:ascii="仿宋_GB2312" w:eastAsia="仿宋_GB2312" w:hAnsi="仿宋_GB2312" w:cs="仿宋_GB2312" w:hint="eastAsia"/>
          <w:b/>
          <w:snapToGrid w:val="0"/>
          <w:spacing w:val="-30"/>
          <w:kern w:val="0"/>
          <w:sz w:val="44"/>
          <w:szCs w:val="44"/>
        </w:rPr>
      </w:pPr>
    </w:p>
    <w:p w14:paraId="4D810DDC" w14:textId="77777777" w:rsidR="00F962E2" w:rsidRDefault="00F962E2">
      <w:pPr>
        <w:adjustRightInd w:val="0"/>
        <w:snapToGrid w:val="0"/>
        <w:spacing w:line="560" w:lineRule="exact"/>
        <w:jc w:val="center"/>
        <w:rPr>
          <w:rFonts w:ascii="仿宋_GB2312" w:eastAsia="仿宋_GB2312" w:hAnsi="仿宋_GB2312" w:cs="仿宋_GB2312" w:hint="eastAsia"/>
          <w:b/>
          <w:snapToGrid w:val="0"/>
          <w:kern w:val="0"/>
          <w:sz w:val="32"/>
          <w:szCs w:val="32"/>
        </w:rPr>
      </w:pPr>
    </w:p>
    <w:p w14:paraId="6AFD904E" w14:textId="77777777" w:rsidR="00F962E2" w:rsidRDefault="00F962E2">
      <w:pPr>
        <w:adjustRightInd w:val="0"/>
        <w:snapToGrid w:val="0"/>
        <w:spacing w:line="560" w:lineRule="exact"/>
        <w:jc w:val="center"/>
        <w:rPr>
          <w:rFonts w:ascii="仿宋_GB2312" w:eastAsia="仿宋_GB2312" w:hAnsi="仿宋_GB2312" w:cs="仿宋_GB2312" w:hint="eastAsia"/>
          <w:b/>
          <w:snapToGrid w:val="0"/>
          <w:kern w:val="0"/>
          <w:sz w:val="32"/>
          <w:szCs w:val="32"/>
        </w:rPr>
      </w:pPr>
    </w:p>
    <w:p w14:paraId="1C95E2F2" w14:textId="77777777" w:rsidR="00F962E2" w:rsidRDefault="00F962E2">
      <w:pPr>
        <w:adjustRightInd w:val="0"/>
        <w:snapToGrid w:val="0"/>
        <w:spacing w:line="560" w:lineRule="exact"/>
        <w:jc w:val="center"/>
        <w:rPr>
          <w:rFonts w:ascii="仿宋_GB2312" w:eastAsia="仿宋_GB2312" w:hAnsi="仿宋_GB2312" w:cs="仿宋_GB2312" w:hint="eastAsia"/>
          <w:b/>
          <w:snapToGrid w:val="0"/>
          <w:kern w:val="0"/>
          <w:sz w:val="32"/>
          <w:szCs w:val="32"/>
        </w:rPr>
      </w:pPr>
    </w:p>
    <w:p w14:paraId="3D3012E4" w14:textId="77777777" w:rsidR="00F962E2" w:rsidRDefault="00F962E2">
      <w:pPr>
        <w:adjustRightInd w:val="0"/>
        <w:snapToGrid w:val="0"/>
        <w:spacing w:line="560" w:lineRule="exact"/>
        <w:jc w:val="center"/>
        <w:rPr>
          <w:rFonts w:ascii="仿宋_GB2312" w:eastAsia="仿宋_GB2312" w:hAnsi="仿宋_GB2312" w:cs="仿宋_GB2312" w:hint="eastAsia"/>
          <w:b/>
          <w:snapToGrid w:val="0"/>
          <w:kern w:val="0"/>
          <w:sz w:val="32"/>
          <w:szCs w:val="32"/>
        </w:rPr>
      </w:pPr>
    </w:p>
    <w:p w14:paraId="78517869" w14:textId="77777777" w:rsidR="00F962E2" w:rsidRDefault="00F962E2">
      <w:pPr>
        <w:adjustRightInd w:val="0"/>
        <w:snapToGrid w:val="0"/>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二O二</w:t>
      </w:r>
      <w:r w:rsidR="003947F4">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年十月</w:t>
      </w:r>
    </w:p>
    <w:p w14:paraId="68854E33"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pPr>
    </w:p>
    <w:p w14:paraId="5D15F6AF"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pPr>
    </w:p>
    <w:p w14:paraId="2EA57097"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pPr>
    </w:p>
    <w:p w14:paraId="1BDD229B"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pPr>
    </w:p>
    <w:p w14:paraId="0D854E4E"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sectPr w:rsidR="00F962E2">
          <w:footerReference w:type="default" r:id="rId6"/>
          <w:pgSz w:w="11906" w:h="16838"/>
          <w:pgMar w:top="992" w:right="1276" w:bottom="1440" w:left="709" w:header="851" w:footer="992" w:gutter="0"/>
          <w:cols w:space="720"/>
          <w:docGrid w:type="linesAndChars" w:linePitch="312"/>
        </w:sectPr>
      </w:pPr>
    </w:p>
    <w:p w14:paraId="4E19D071" w14:textId="77777777" w:rsidR="00F962E2" w:rsidRPr="0064134F" w:rsidRDefault="00F962E2">
      <w:pPr>
        <w:pStyle w:val="TOC"/>
        <w:jc w:val="center"/>
        <w:rPr>
          <w:rFonts w:ascii="方正小标宋简体" w:eastAsia="方正小标宋简体" w:hint="eastAsia"/>
          <w:color w:val="auto"/>
          <w:sz w:val="56"/>
          <w:szCs w:val="56"/>
        </w:rPr>
      </w:pPr>
      <w:r w:rsidRPr="0064134F">
        <w:rPr>
          <w:rFonts w:ascii="方正小标宋简体" w:eastAsia="方正小标宋简体" w:hint="eastAsia"/>
          <w:color w:val="auto"/>
          <w:sz w:val="56"/>
          <w:szCs w:val="56"/>
          <w:lang w:val="zh-CN"/>
        </w:rPr>
        <w:lastRenderedPageBreak/>
        <w:t>目录</w:t>
      </w:r>
    </w:p>
    <w:p w14:paraId="4F5E4B2D" w14:textId="77777777" w:rsidR="00AD75BE" w:rsidRDefault="00F962E2">
      <w:pPr>
        <w:pStyle w:val="TOC1"/>
        <w:tabs>
          <w:tab w:val="right" w:leader="dot" w:pos="9911"/>
        </w:tabs>
        <w:rPr>
          <w:rFonts w:ascii="等线" w:eastAsia="等线" w:hAnsi="等线" w:hint="eastAsia"/>
          <w:noProof/>
          <w:szCs w:val="22"/>
        </w:rPr>
      </w:pPr>
      <w:r>
        <w:rPr>
          <w:rFonts w:ascii="宋体" w:hAnsi="宋体"/>
          <w:sz w:val="44"/>
          <w:szCs w:val="44"/>
        </w:rPr>
        <w:fldChar w:fldCharType="begin"/>
      </w:r>
      <w:r>
        <w:rPr>
          <w:rFonts w:ascii="宋体" w:hAnsi="宋体"/>
          <w:sz w:val="44"/>
          <w:szCs w:val="44"/>
        </w:rPr>
        <w:instrText xml:space="preserve"> TOC \o "1-3" \h \z \u </w:instrText>
      </w:r>
      <w:r>
        <w:rPr>
          <w:rFonts w:ascii="宋体" w:hAnsi="宋体"/>
          <w:sz w:val="44"/>
          <w:szCs w:val="44"/>
        </w:rPr>
        <w:fldChar w:fldCharType="separate"/>
      </w:r>
      <w:hyperlink w:anchor="_Toc174720292" w:history="1">
        <w:r w:rsidR="00AD75BE" w:rsidRPr="00F95463">
          <w:rPr>
            <w:rStyle w:val="af2"/>
            <w:rFonts w:hint="eastAsia"/>
            <w:noProof/>
          </w:rPr>
          <w:t>一、项目基本情况</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_Toc174720292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1</w:t>
        </w:r>
        <w:r w:rsidR="00AD75BE">
          <w:rPr>
            <w:rFonts w:hint="eastAsia"/>
            <w:noProof/>
            <w:webHidden/>
          </w:rPr>
          <w:fldChar w:fldCharType="end"/>
        </w:r>
      </w:hyperlink>
    </w:p>
    <w:p w14:paraId="6F76EC2A" w14:textId="77777777" w:rsidR="00AD75BE" w:rsidRDefault="00000000">
      <w:pPr>
        <w:pStyle w:val="TOC2"/>
        <w:tabs>
          <w:tab w:val="right" w:leader="dot" w:pos="9911"/>
        </w:tabs>
        <w:rPr>
          <w:rFonts w:ascii="等线" w:eastAsia="等线" w:hAnsi="等线" w:hint="eastAsia"/>
          <w:noProof/>
          <w:szCs w:val="22"/>
        </w:rPr>
      </w:pPr>
      <w:hyperlink w:anchor="_Toc174720293" w:history="1">
        <w:r w:rsidR="00AD75BE" w:rsidRPr="00F95463">
          <w:rPr>
            <w:rStyle w:val="af2"/>
            <w:rFonts w:ascii="仿宋_GB2312" w:eastAsia="仿宋_GB2312" w:hint="eastAsia"/>
            <w:noProof/>
          </w:rPr>
          <w:t>（一）项目选址初判</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_Toc174720293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2</w:t>
        </w:r>
        <w:r w:rsidR="00AD75BE">
          <w:rPr>
            <w:rFonts w:hint="eastAsia"/>
            <w:noProof/>
            <w:webHidden/>
          </w:rPr>
          <w:fldChar w:fldCharType="end"/>
        </w:r>
      </w:hyperlink>
    </w:p>
    <w:p w14:paraId="404EF9E6" w14:textId="77777777" w:rsidR="00AD75BE" w:rsidRDefault="00000000">
      <w:pPr>
        <w:pStyle w:val="TOC2"/>
        <w:tabs>
          <w:tab w:val="right" w:leader="dot" w:pos="9911"/>
        </w:tabs>
        <w:rPr>
          <w:rFonts w:ascii="等线" w:eastAsia="等线" w:hAnsi="等线" w:hint="eastAsia"/>
          <w:noProof/>
          <w:szCs w:val="22"/>
        </w:rPr>
      </w:pPr>
      <w:hyperlink w:anchor="_Toc174720294" w:history="1">
        <w:r w:rsidR="00AD75BE" w:rsidRPr="00F95463">
          <w:rPr>
            <w:rStyle w:val="af2"/>
            <w:rFonts w:ascii="仿宋_GB2312" w:eastAsia="仿宋_GB2312" w:hint="eastAsia"/>
            <w:noProof/>
          </w:rPr>
          <w:t>（二）项目调研情况</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_Toc174720294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2</w:t>
        </w:r>
        <w:r w:rsidR="00AD75BE">
          <w:rPr>
            <w:rFonts w:hint="eastAsia"/>
            <w:noProof/>
            <w:webHidden/>
          </w:rPr>
          <w:fldChar w:fldCharType="end"/>
        </w:r>
      </w:hyperlink>
    </w:p>
    <w:p w14:paraId="30D5C319" w14:textId="77777777" w:rsidR="00AD75BE" w:rsidRDefault="00000000">
      <w:pPr>
        <w:pStyle w:val="TOC1"/>
        <w:tabs>
          <w:tab w:val="right" w:leader="dot" w:pos="9911"/>
        </w:tabs>
        <w:rPr>
          <w:rFonts w:ascii="等线" w:eastAsia="等线" w:hAnsi="等线" w:hint="eastAsia"/>
          <w:noProof/>
          <w:szCs w:val="22"/>
        </w:rPr>
      </w:pPr>
      <w:hyperlink w:anchor="_Toc174720297" w:history="1">
        <w:r w:rsidR="00AD75BE" w:rsidRPr="00F95463">
          <w:rPr>
            <w:rStyle w:val="af2"/>
            <w:rFonts w:hint="eastAsia"/>
            <w:noProof/>
          </w:rPr>
          <w:t>二、项目初步研究</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_Toc174720297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w:t>
        </w:r>
        <w:r w:rsidR="00AD75BE">
          <w:rPr>
            <w:rFonts w:hint="eastAsia"/>
            <w:noProof/>
            <w:webHidden/>
          </w:rPr>
          <w:fldChar w:fldCharType="end"/>
        </w:r>
      </w:hyperlink>
    </w:p>
    <w:p w14:paraId="13AA680E" w14:textId="77777777" w:rsidR="00AD75BE" w:rsidRDefault="00000000">
      <w:pPr>
        <w:pStyle w:val="TOC2"/>
        <w:tabs>
          <w:tab w:val="right" w:leader="dot" w:pos="9911"/>
        </w:tabs>
        <w:rPr>
          <w:rFonts w:ascii="等线" w:eastAsia="等线" w:hAnsi="等线" w:hint="eastAsia"/>
          <w:noProof/>
          <w:szCs w:val="22"/>
        </w:rPr>
      </w:pPr>
      <w:hyperlink w:anchor="_Toc174720298" w:history="1">
        <w:r w:rsidR="00AD75BE" w:rsidRPr="00F95463">
          <w:rPr>
            <w:rStyle w:val="af2"/>
            <w:rFonts w:ascii="仿宋_GB2312" w:eastAsia="仿宋_GB2312" w:hint="eastAsia"/>
            <w:noProof/>
          </w:rPr>
          <w:t>（一）选址与需求调研</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_Toc174720298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w:t>
        </w:r>
        <w:r w:rsidR="00AD75BE">
          <w:rPr>
            <w:rFonts w:hint="eastAsia"/>
            <w:noProof/>
            <w:webHidden/>
          </w:rPr>
          <w:fldChar w:fldCharType="end"/>
        </w:r>
      </w:hyperlink>
    </w:p>
    <w:p w14:paraId="0B66AFFD" w14:textId="77777777" w:rsidR="00AD75BE" w:rsidRDefault="00000000">
      <w:pPr>
        <w:pStyle w:val="TOC2"/>
        <w:tabs>
          <w:tab w:val="right" w:leader="dot" w:pos="9911"/>
        </w:tabs>
        <w:rPr>
          <w:rFonts w:ascii="等线" w:eastAsia="等线" w:hAnsi="等线" w:hint="eastAsia"/>
          <w:noProof/>
          <w:szCs w:val="22"/>
        </w:rPr>
      </w:pPr>
      <w:hyperlink w:anchor="_Toc174720299" w:history="1">
        <w:r w:rsidR="00AD75BE" w:rsidRPr="00F95463">
          <w:rPr>
            <w:rStyle w:val="af2"/>
            <w:rFonts w:ascii="仿宋_GB2312" w:eastAsia="仿宋_GB2312" w:hint="eastAsia"/>
            <w:noProof/>
          </w:rPr>
          <w:t>（二）现场踏勘</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_Toc174720299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w:t>
        </w:r>
        <w:r w:rsidR="00AD75BE">
          <w:rPr>
            <w:rFonts w:hint="eastAsia"/>
            <w:noProof/>
            <w:webHidden/>
          </w:rPr>
          <w:fldChar w:fldCharType="end"/>
        </w:r>
      </w:hyperlink>
    </w:p>
    <w:p w14:paraId="7D7A3AA6" w14:textId="77777777" w:rsidR="00AD75BE" w:rsidRDefault="00000000">
      <w:pPr>
        <w:pStyle w:val="TOC2"/>
        <w:tabs>
          <w:tab w:val="right" w:leader="dot" w:pos="9911"/>
        </w:tabs>
        <w:rPr>
          <w:rFonts w:ascii="等线" w:eastAsia="等线" w:hAnsi="等线" w:hint="eastAsia"/>
          <w:noProof/>
          <w:szCs w:val="22"/>
        </w:rPr>
      </w:pPr>
      <w:hyperlink w:anchor="_Toc174720300" w:history="1">
        <w:r w:rsidR="00AD75BE" w:rsidRPr="00F95463">
          <w:rPr>
            <w:rStyle w:val="af2"/>
            <w:rFonts w:ascii="仿宋_GB2312" w:eastAsia="仿宋_GB2312" w:hint="eastAsia"/>
            <w:noProof/>
          </w:rPr>
          <w:t>（三）收购补偿价格评估</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_Toc174720300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4</w:t>
        </w:r>
        <w:r w:rsidR="00AD75BE">
          <w:rPr>
            <w:rFonts w:hint="eastAsia"/>
            <w:noProof/>
            <w:webHidden/>
          </w:rPr>
          <w:fldChar w:fldCharType="end"/>
        </w:r>
      </w:hyperlink>
    </w:p>
    <w:p w14:paraId="5528E5EB" w14:textId="77777777" w:rsidR="00AD75BE" w:rsidRDefault="00000000">
      <w:pPr>
        <w:pStyle w:val="TOC1"/>
        <w:tabs>
          <w:tab w:val="right" w:leader="dot" w:pos="9911"/>
        </w:tabs>
        <w:rPr>
          <w:rFonts w:ascii="等线" w:eastAsia="等线" w:hAnsi="等线" w:hint="eastAsia"/>
          <w:noProof/>
          <w:szCs w:val="22"/>
        </w:rPr>
      </w:pPr>
      <w:hyperlink w:anchor="_Toc174720301" w:history="1">
        <w:r w:rsidR="00AD75BE" w:rsidRPr="00F95463">
          <w:rPr>
            <w:rStyle w:val="af2"/>
            <w:rFonts w:hint="eastAsia"/>
            <w:noProof/>
          </w:rPr>
          <w:t>三、市场分析</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_Toc174720301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5</w:t>
        </w:r>
        <w:r w:rsidR="00AD75BE">
          <w:rPr>
            <w:rFonts w:hint="eastAsia"/>
            <w:noProof/>
            <w:webHidden/>
          </w:rPr>
          <w:fldChar w:fldCharType="end"/>
        </w:r>
      </w:hyperlink>
    </w:p>
    <w:p w14:paraId="1D094CB4" w14:textId="77777777" w:rsidR="00AD75BE" w:rsidRDefault="00000000">
      <w:pPr>
        <w:pStyle w:val="TOC2"/>
        <w:tabs>
          <w:tab w:val="right" w:leader="dot" w:pos="9911"/>
        </w:tabs>
        <w:rPr>
          <w:rFonts w:ascii="等线" w:eastAsia="等线" w:hAnsi="等线" w:hint="eastAsia"/>
          <w:noProof/>
          <w:szCs w:val="22"/>
        </w:rPr>
      </w:pPr>
      <w:hyperlink w:anchor="_Toc174720302" w:history="1">
        <w:r w:rsidR="00AD75BE" w:rsidRPr="00F95463">
          <w:rPr>
            <w:rStyle w:val="af2"/>
            <w:rFonts w:ascii="仿宋_GB2312" w:eastAsia="仿宋_GB2312" w:hint="eastAsia"/>
            <w:noProof/>
          </w:rPr>
          <w:t>（一）土地市场</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_Toc174720302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5</w:t>
        </w:r>
        <w:r w:rsidR="00AD75BE">
          <w:rPr>
            <w:rFonts w:hint="eastAsia"/>
            <w:noProof/>
            <w:webHidden/>
          </w:rPr>
          <w:fldChar w:fldCharType="end"/>
        </w:r>
      </w:hyperlink>
    </w:p>
    <w:p w14:paraId="08D05130" w14:textId="77777777" w:rsidR="00AD75BE" w:rsidRDefault="00000000">
      <w:pPr>
        <w:pStyle w:val="TOC2"/>
        <w:tabs>
          <w:tab w:val="right" w:leader="dot" w:pos="9911"/>
        </w:tabs>
        <w:rPr>
          <w:rFonts w:ascii="等线" w:eastAsia="等线" w:hAnsi="等线" w:hint="eastAsia"/>
          <w:noProof/>
          <w:szCs w:val="22"/>
        </w:rPr>
      </w:pPr>
      <w:hyperlink w:anchor="_Toc174720303" w:history="1">
        <w:r w:rsidR="00AD75BE" w:rsidRPr="00F95463">
          <w:rPr>
            <w:rStyle w:val="af2"/>
            <w:rFonts w:ascii="仿宋_GB2312" w:eastAsia="仿宋_GB2312" w:hAnsi="仿宋_GB2312" w:cs="仿宋_GB2312" w:hint="eastAsia"/>
            <w:noProof/>
          </w:rPr>
          <w:t>（二）商品房住宅市场</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_Toc174720303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8</w:t>
        </w:r>
        <w:r w:rsidR="00AD75BE">
          <w:rPr>
            <w:rFonts w:hint="eastAsia"/>
            <w:noProof/>
            <w:webHidden/>
          </w:rPr>
          <w:fldChar w:fldCharType="end"/>
        </w:r>
      </w:hyperlink>
    </w:p>
    <w:p w14:paraId="3AC74FF7" w14:textId="77777777" w:rsidR="00AD75BE" w:rsidRDefault="00000000">
      <w:pPr>
        <w:pStyle w:val="TOC2"/>
        <w:tabs>
          <w:tab w:val="right" w:leader="dot" w:pos="9911"/>
        </w:tabs>
        <w:rPr>
          <w:rFonts w:ascii="等线" w:eastAsia="等线" w:hAnsi="等线" w:hint="eastAsia"/>
          <w:noProof/>
          <w:szCs w:val="22"/>
        </w:rPr>
      </w:pPr>
      <w:hyperlink w:anchor="_Toc174720304" w:history="1">
        <w:r w:rsidR="00AD75BE" w:rsidRPr="00F95463">
          <w:rPr>
            <w:rStyle w:val="af2"/>
            <w:rFonts w:ascii="仿宋_GB2312" w:eastAsia="仿宋_GB2312" w:hAnsi="仿宋_GB2312" w:cs="仿宋_GB2312" w:hint="eastAsia"/>
            <w:noProof/>
          </w:rPr>
          <w:t>（三）产业政策</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_Toc174720304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15</w:t>
        </w:r>
        <w:r w:rsidR="00AD75BE">
          <w:rPr>
            <w:rFonts w:hint="eastAsia"/>
            <w:noProof/>
            <w:webHidden/>
          </w:rPr>
          <w:fldChar w:fldCharType="end"/>
        </w:r>
      </w:hyperlink>
    </w:p>
    <w:p w14:paraId="0B53930C" w14:textId="77777777" w:rsidR="00AD75BE" w:rsidRDefault="00000000">
      <w:pPr>
        <w:pStyle w:val="TOC2"/>
        <w:tabs>
          <w:tab w:val="right" w:leader="dot" w:pos="9911"/>
        </w:tabs>
        <w:rPr>
          <w:rFonts w:ascii="等线" w:eastAsia="等线" w:hAnsi="等线" w:hint="eastAsia"/>
          <w:noProof/>
          <w:szCs w:val="22"/>
        </w:rPr>
      </w:pPr>
      <w:hyperlink w:anchor="_Toc174720305" w:history="1">
        <w:r w:rsidR="00AD75BE" w:rsidRPr="00F95463">
          <w:rPr>
            <w:rStyle w:val="af2"/>
            <w:rFonts w:ascii="仿宋_GB2312" w:eastAsia="仿宋_GB2312" w:hAnsi="仿宋_GB2312" w:cs="仿宋_GB2312" w:hint="eastAsia"/>
            <w:noProof/>
          </w:rPr>
          <w:t>（四）</w:t>
        </w:r>
        <w:r w:rsidR="00AD75BE" w:rsidRPr="00F95463">
          <w:rPr>
            <w:rStyle w:val="af2"/>
            <w:rFonts w:ascii="Arial" w:eastAsia="仿宋_GB2312" w:hAnsi="Arial" w:cs="Arial" w:hint="eastAsia"/>
            <w:noProof/>
          </w:rPr>
          <w:t>城市规划</w:t>
        </w:r>
        <w:r w:rsidR="00AD75BE" w:rsidRPr="00F95463">
          <w:rPr>
            <w:rStyle w:val="af2"/>
            <w:rFonts w:ascii="仿宋_GB2312" w:eastAsia="仿宋_GB2312" w:hAnsi="仿宋_GB2312" w:cs="仿宋_GB2312" w:hint="eastAsia"/>
            <w:noProof/>
          </w:rPr>
          <w:t>与发展目标</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_Toc174720305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24</w:t>
        </w:r>
        <w:r w:rsidR="00AD75BE">
          <w:rPr>
            <w:rFonts w:hint="eastAsia"/>
            <w:noProof/>
            <w:webHidden/>
          </w:rPr>
          <w:fldChar w:fldCharType="end"/>
        </w:r>
      </w:hyperlink>
    </w:p>
    <w:p w14:paraId="203CDE72" w14:textId="77777777" w:rsidR="00AD75BE" w:rsidRDefault="00000000">
      <w:pPr>
        <w:pStyle w:val="TOC2"/>
        <w:tabs>
          <w:tab w:val="right" w:leader="dot" w:pos="9911"/>
        </w:tabs>
        <w:rPr>
          <w:rFonts w:ascii="等线" w:eastAsia="等线" w:hAnsi="等线" w:hint="eastAsia"/>
          <w:noProof/>
          <w:szCs w:val="22"/>
        </w:rPr>
      </w:pPr>
      <w:hyperlink w:anchor="_Toc174720306" w:history="1">
        <w:r w:rsidR="00AD75BE" w:rsidRPr="00F95463">
          <w:rPr>
            <w:rStyle w:val="af2"/>
            <w:rFonts w:ascii="仿宋_GB2312" w:eastAsia="仿宋_GB2312" w:hAnsi="仿宋_GB2312" w:cs="仿宋_GB2312" w:hint="eastAsia"/>
            <w:noProof/>
          </w:rPr>
          <w:t>（五）城市经济发展运行状况</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_Toc174720306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27</w:t>
        </w:r>
        <w:r w:rsidR="00AD75BE">
          <w:rPr>
            <w:rFonts w:hint="eastAsia"/>
            <w:noProof/>
            <w:webHidden/>
          </w:rPr>
          <w:fldChar w:fldCharType="end"/>
        </w:r>
      </w:hyperlink>
    </w:p>
    <w:p w14:paraId="5A2E7FE6" w14:textId="77777777" w:rsidR="00AD75BE" w:rsidRDefault="00000000">
      <w:pPr>
        <w:pStyle w:val="TOC2"/>
        <w:tabs>
          <w:tab w:val="right" w:leader="dot" w:pos="9911"/>
        </w:tabs>
        <w:rPr>
          <w:rFonts w:ascii="等线" w:eastAsia="等线" w:hAnsi="等线" w:hint="eastAsia"/>
          <w:noProof/>
          <w:szCs w:val="22"/>
        </w:rPr>
      </w:pPr>
      <w:hyperlink w:anchor="_Toc174720308" w:history="1">
        <w:r w:rsidR="00AD75BE" w:rsidRPr="00F95463">
          <w:rPr>
            <w:rStyle w:val="af2"/>
            <w:rFonts w:ascii="仿宋_GB2312" w:eastAsia="仿宋_GB2312" w:hAnsi="仿宋_GB2312" w:cs="仿宋_GB2312" w:hint="eastAsia"/>
            <w:noProof/>
          </w:rPr>
          <w:t>（六）保障性租赁住房房地产市场状况</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_Toc174720308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30</w:t>
        </w:r>
        <w:r w:rsidR="00AD75BE">
          <w:rPr>
            <w:rFonts w:hint="eastAsia"/>
            <w:noProof/>
            <w:webHidden/>
          </w:rPr>
          <w:fldChar w:fldCharType="end"/>
        </w:r>
      </w:hyperlink>
    </w:p>
    <w:p w14:paraId="44ED7525" w14:textId="77777777" w:rsidR="00AD75BE" w:rsidRDefault="00000000">
      <w:pPr>
        <w:pStyle w:val="TOC2"/>
        <w:tabs>
          <w:tab w:val="right" w:leader="dot" w:pos="9911"/>
        </w:tabs>
        <w:rPr>
          <w:rFonts w:ascii="等线" w:eastAsia="等线" w:hAnsi="等线" w:hint="eastAsia"/>
          <w:noProof/>
          <w:szCs w:val="22"/>
        </w:rPr>
      </w:pPr>
      <w:hyperlink w:anchor="_Toc174720309" w:history="1">
        <w:r w:rsidR="00AD75BE" w:rsidRPr="00F95463">
          <w:rPr>
            <w:rStyle w:val="af2"/>
            <w:rFonts w:ascii="仿宋_GB2312" w:eastAsia="仿宋_GB2312" w:hAnsi="仿宋_GB2312" w:cs="仿宋_GB2312" w:hint="eastAsia"/>
            <w:noProof/>
          </w:rPr>
          <w:t>（七）区域因素</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_Toc174720309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31</w:t>
        </w:r>
        <w:r w:rsidR="00AD75BE">
          <w:rPr>
            <w:rFonts w:hint="eastAsia"/>
            <w:noProof/>
            <w:webHidden/>
          </w:rPr>
          <w:fldChar w:fldCharType="end"/>
        </w:r>
      </w:hyperlink>
    </w:p>
    <w:p w14:paraId="64B3D711" w14:textId="77777777" w:rsidR="00AD75BE" w:rsidRDefault="00000000">
      <w:pPr>
        <w:pStyle w:val="TOC2"/>
        <w:tabs>
          <w:tab w:val="right" w:leader="dot" w:pos="9911"/>
        </w:tabs>
        <w:rPr>
          <w:rFonts w:ascii="等线" w:eastAsia="等线" w:hAnsi="等线" w:hint="eastAsia"/>
          <w:noProof/>
          <w:szCs w:val="22"/>
        </w:rPr>
      </w:pPr>
      <w:hyperlink w:anchor="_Toc174720310" w:history="1">
        <w:r w:rsidR="00AD75BE" w:rsidRPr="00F95463">
          <w:rPr>
            <w:rStyle w:val="af2"/>
            <w:rFonts w:ascii="仿宋_GB2312" w:eastAsia="仿宋_GB2312" w:hAnsi="仿宋_GB2312" w:cs="仿宋_GB2312" w:hint="eastAsia"/>
            <w:noProof/>
          </w:rPr>
          <w:t>（八）个别因素</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_Toc174720310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34</w:t>
        </w:r>
        <w:r w:rsidR="00AD75BE">
          <w:rPr>
            <w:rFonts w:hint="eastAsia"/>
            <w:noProof/>
            <w:webHidden/>
          </w:rPr>
          <w:fldChar w:fldCharType="end"/>
        </w:r>
      </w:hyperlink>
    </w:p>
    <w:p w14:paraId="624EA414" w14:textId="77777777" w:rsidR="00AD75BE" w:rsidRDefault="00000000">
      <w:pPr>
        <w:pStyle w:val="TOC1"/>
        <w:tabs>
          <w:tab w:val="right" w:leader="dot" w:pos="9911"/>
        </w:tabs>
        <w:rPr>
          <w:rFonts w:ascii="等线" w:eastAsia="等线" w:hAnsi="等线" w:hint="eastAsia"/>
          <w:noProof/>
          <w:szCs w:val="22"/>
        </w:rPr>
      </w:pPr>
      <w:hyperlink w:anchor="_Toc174720311" w:history="1">
        <w:r w:rsidR="00AD75BE" w:rsidRPr="00F95463">
          <w:rPr>
            <w:rStyle w:val="af2"/>
            <w:rFonts w:hint="eastAsia"/>
            <w:noProof/>
          </w:rPr>
          <w:t>四、风险分析</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_Toc174720311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35</w:t>
        </w:r>
        <w:r w:rsidR="00AD75BE">
          <w:rPr>
            <w:rFonts w:hint="eastAsia"/>
            <w:noProof/>
            <w:webHidden/>
          </w:rPr>
          <w:fldChar w:fldCharType="end"/>
        </w:r>
      </w:hyperlink>
    </w:p>
    <w:p w14:paraId="7DF98B99" w14:textId="77777777" w:rsidR="00AD75BE" w:rsidRDefault="00000000">
      <w:pPr>
        <w:pStyle w:val="TOC2"/>
        <w:tabs>
          <w:tab w:val="right" w:leader="dot" w:pos="9911"/>
        </w:tabs>
        <w:rPr>
          <w:rFonts w:ascii="等线" w:eastAsia="等线" w:hAnsi="等线" w:hint="eastAsia"/>
          <w:noProof/>
          <w:szCs w:val="22"/>
        </w:rPr>
      </w:pPr>
      <w:hyperlink w:anchor="_Toc174720312" w:history="1">
        <w:r w:rsidR="00AD75BE" w:rsidRPr="00F95463">
          <w:rPr>
            <w:rStyle w:val="af2"/>
            <w:rFonts w:ascii="仿宋_GB2312" w:eastAsia="仿宋_GB2312" w:hint="eastAsia"/>
            <w:noProof/>
          </w:rPr>
          <w:t>（一）自然风险</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_Toc174720312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35</w:t>
        </w:r>
        <w:r w:rsidR="00AD75BE">
          <w:rPr>
            <w:rFonts w:hint="eastAsia"/>
            <w:noProof/>
            <w:webHidden/>
          </w:rPr>
          <w:fldChar w:fldCharType="end"/>
        </w:r>
      </w:hyperlink>
    </w:p>
    <w:p w14:paraId="696D61D8" w14:textId="77777777" w:rsidR="00AD75BE" w:rsidRDefault="00000000">
      <w:pPr>
        <w:pStyle w:val="TOC2"/>
        <w:tabs>
          <w:tab w:val="right" w:leader="dot" w:pos="9911"/>
        </w:tabs>
        <w:rPr>
          <w:rFonts w:ascii="等线" w:eastAsia="等线" w:hAnsi="等线" w:hint="eastAsia"/>
          <w:noProof/>
          <w:szCs w:val="22"/>
        </w:rPr>
      </w:pPr>
      <w:hyperlink w:anchor="_Toc174720313" w:history="1">
        <w:r w:rsidR="00AD75BE" w:rsidRPr="00F95463">
          <w:rPr>
            <w:rStyle w:val="af2"/>
            <w:rFonts w:ascii="仿宋_GB2312" w:eastAsia="仿宋_GB2312" w:hint="eastAsia"/>
            <w:noProof/>
          </w:rPr>
          <w:t>（二）规划指标实现风险</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_Toc174720313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35</w:t>
        </w:r>
        <w:r w:rsidR="00AD75BE">
          <w:rPr>
            <w:rFonts w:hint="eastAsia"/>
            <w:noProof/>
            <w:webHidden/>
          </w:rPr>
          <w:fldChar w:fldCharType="end"/>
        </w:r>
      </w:hyperlink>
    </w:p>
    <w:p w14:paraId="244F7FA6" w14:textId="77777777" w:rsidR="00AD75BE" w:rsidRDefault="00000000">
      <w:pPr>
        <w:pStyle w:val="TOC2"/>
        <w:tabs>
          <w:tab w:val="right" w:leader="dot" w:pos="9911"/>
        </w:tabs>
        <w:rPr>
          <w:rFonts w:ascii="等线" w:eastAsia="等线" w:hAnsi="等线" w:hint="eastAsia"/>
          <w:noProof/>
          <w:szCs w:val="22"/>
        </w:rPr>
      </w:pPr>
      <w:hyperlink w:anchor="_Toc174720314" w:history="1">
        <w:r w:rsidR="00AD75BE" w:rsidRPr="00F95463">
          <w:rPr>
            <w:rStyle w:val="af2"/>
            <w:rFonts w:ascii="仿宋_GB2312" w:eastAsia="仿宋_GB2312" w:hint="eastAsia"/>
            <w:noProof/>
          </w:rPr>
          <w:t>（三）建设风险</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_Toc174720314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35</w:t>
        </w:r>
        <w:r w:rsidR="00AD75BE">
          <w:rPr>
            <w:rFonts w:hint="eastAsia"/>
            <w:noProof/>
            <w:webHidden/>
          </w:rPr>
          <w:fldChar w:fldCharType="end"/>
        </w:r>
      </w:hyperlink>
    </w:p>
    <w:p w14:paraId="18E0D787" w14:textId="77777777" w:rsidR="00AD75BE" w:rsidRDefault="00000000">
      <w:pPr>
        <w:pStyle w:val="TOC2"/>
        <w:tabs>
          <w:tab w:val="right" w:leader="dot" w:pos="9911"/>
        </w:tabs>
        <w:rPr>
          <w:rFonts w:ascii="等线" w:eastAsia="等线" w:hAnsi="等线" w:hint="eastAsia"/>
          <w:noProof/>
          <w:szCs w:val="22"/>
        </w:rPr>
      </w:pPr>
      <w:hyperlink w:anchor="_Toc174720315" w:history="1">
        <w:r w:rsidR="00AD75BE" w:rsidRPr="00F95463">
          <w:rPr>
            <w:rStyle w:val="af2"/>
            <w:rFonts w:ascii="仿宋_GB2312" w:eastAsia="仿宋_GB2312" w:hint="eastAsia"/>
            <w:noProof/>
          </w:rPr>
          <w:t>（四）管理风险</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_Toc174720315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35</w:t>
        </w:r>
        <w:r w:rsidR="00AD75BE">
          <w:rPr>
            <w:rFonts w:hint="eastAsia"/>
            <w:noProof/>
            <w:webHidden/>
          </w:rPr>
          <w:fldChar w:fldCharType="end"/>
        </w:r>
      </w:hyperlink>
    </w:p>
    <w:p w14:paraId="04B90FD1" w14:textId="77777777" w:rsidR="00AD75BE" w:rsidRDefault="00000000">
      <w:pPr>
        <w:pStyle w:val="TOC1"/>
        <w:tabs>
          <w:tab w:val="right" w:leader="dot" w:pos="9911"/>
        </w:tabs>
        <w:rPr>
          <w:rFonts w:ascii="等线" w:eastAsia="等线" w:hAnsi="等线" w:hint="eastAsia"/>
          <w:noProof/>
          <w:szCs w:val="22"/>
        </w:rPr>
      </w:pPr>
      <w:hyperlink w:anchor="_Toc174720316" w:history="1">
        <w:r w:rsidR="00AD75BE" w:rsidRPr="00F95463">
          <w:rPr>
            <w:rStyle w:val="af2"/>
            <w:rFonts w:hint="eastAsia"/>
            <w:noProof/>
          </w:rPr>
          <w:t>五、正在开展的工作及存在的问题</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_Toc174720316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35</w:t>
        </w:r>
        <w:r w:rsidR="00AD75BE">
          <w:rPr>
            <w:rFonts w:hint="eastAsia"/>
            <w:noProof/>
            <w:webHidden/>
          </w:rPr>
          <w:fldChar w:fldCharType="end"/>
        </w:r>
      </w:hyperlink>
    </w:p>
    <w:p w14:paraId="4AA07A20" w14:textId="77777777" w:rsidR="00AD75BE" w:rsidRDefault="00000000">
      <w:pPr>
        <w:pStyle w:val="TOC2"/>
        <w:tabs>
          <w:tab w:val="right" w:leader="dot" w:pos="9911"/>
        </w:tabs>
        <w:rPr>
          <w:rFonts w:ascii="等线" w:eastAsia="等线" w:hAnsi="等线" w:hint="eastAsia"/>
          <w:noProof/>
          <w:szCs w:val="22"/>
        </w:rPr>
      </w:pPr>
      <w:hyperlink w:anchor="_Toc174720317" w:history="1">
        <w:r w:rsidR="00AD75BE" w:rsidRPr="00F95463">
          <w:rPr>
            <w:rStyle w:val="af2"/>
            <w:rFonts w:ascii="仿宋_GB2312" w:eastAsia="仿宋_GB2312" w:hAnsi="仿宋_GB2312" w:cs="仿宋_GB2312" w:hint="eastAsia"/>
            <w:noProof/>
          </w:rPr>
          <w:t>（一）项目尚未取得规划条件</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_Toc174720317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35</w:t>
        </w:r>
        <w:r w:rsidR="00AD75BE">
          <w:rPr>
            <w:rFonts w:hint="eastAsia"/>
            <w:noProof/>
            <w:webHidden/>
          </w:rPr>
          <w:fldChar w:fldCharType="end"/>
        </w:r>
      </w:hyperlink>
    </w:p>
    <w:p w14:paraId="0979F61E" w14:textId="77777777" w:rsidR="00AD75BE" w:rsidRDefault="00000000">
      <w:pPr>
        <w:pStyle w:val="TOC2"/>
        <w:tabs>
          <w:tab w:val="right" w:leader="dot" w:pos="9911"/>
        </w:tabs>
        <w:rPr>
          <w:rFonts w:ascii="等线" w:eastAsia="等线" w:hAnsi="等线" w:hint="eastAsia"/>
          <w:noProof/>
          <w:szCs w:val="22"/>
        </w:rPr>
      </w:pPr>
      <w:hyperlink w:anchor="_Toc174720318" w:history="1">
        <w:r w:rsidR="00AD75BE" w:rsidRPr="00F95463">
          <w:rPr>
            <w:rStyle w:val="af2"/>
            <w:rFonts w:ascii="仿宋_GB2312" w:eastAsia="仿宋_GB2312" w:hAnsi="仿宋_GB2312" w:cs="仿宋_GB2312" w:hint="eastAsia"/>
            <w:noProof/>
          </w:rPr>
          <w:t>（二）土地合作实施路径</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_Toc174720318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36</w:t>
        </w:r>
        <w:r w:rsidR="00AD75BE">
          <w:rPr>
            <w:rFonts w:hint="eastAsia"/>
            <w:noProof/>
            <w:webHidden/>
          </w:rPr>
          <w:fldChar w:fldCharType="end"/>
        </w:r>
      </w:hyperlink>
    </w:p>
    <w:p w14:paraId="26E3A43B" w14:textId="77777777" w:rsidR="00AD75BE" w:rsidRDefault="00000000">
      <w:pPr>
        <w:pStyle w:val="TOC1"/>
        <w:tabs>
          <w:tab w:val="right" w:leader="dot" w:pos="9911"/>
        </w:tabs>
        <w:rPr>
          <w:rFonts w:ascii="等线" w:eastAsia="等线" w:hAnsi="等线" w:hint="eastAsia"/>
          <w:noProof/>
          <w:szCs w:val="22"/>
        </w:rPr>
      </w:pPr>
      <w:hyperlink w:anchor="_Toc174720319" w:history="1">
        <w:r w:rsidR="00AD75BE" w:rsidRPr="00F95463">
          <w:rPr>
            <w:rStyle w:val="af2"/>
            <w:rFonts w:hint="eastAsia"/>
            <w:noProof/>
          </w:rPr>
          <w:t>六、工作建议</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_Toc174720319 \h</w:instrText>
        </w:r>
        <w:r w:rsidR="00AD75BE">
          <w:rPr>
            <w:rFonts w:hint="eastAsia"/>
            <w:noProof/>
            <w:webHidden/>
          </w:rPr>
          <w:instrText xml:space="preserve"> </w:instrText>
        </w:r>
        <w:r w:rsidR="00AD75BE">
          <w:rPr>
            <w:rFonts w:hint="eastAsia"/>
            <w:noProof/>
            <w:webHidden/>
          </w:rPr>
        </w:r>
        <w:r w:rsidR="00AD75BE">
          <w:rPr>
            <w:rFonts w:hint="eastAsia"/>
            <w:noProof/>
            <w:webHidden/>
          </w:rPr>
          <w:fldChar w:fldCharType="separate"/>
        </w:r>
        <w:r w:rsidR="00AD75BE">
          <w:rPr>
            <w:noProof/>
            <w:webHidden/>
          </w:rPr>
          <w:t>36</w:t>
        </w:r>
        <w:r w:rsidR="00AD75BE">
          <w:rPr>
            <w:rFonts w:hint="eastAsia"/>
            <w:noProof/>
            <w:webHidden/>
          </w:rPr>
          <w:fldChar w:fldCharType="end"/>
        </w:r>
      </w:hyperlink>
    </w:p>
    <w:p w14:paraId="06204248" w14:textId="77777777" w:rsidR="00F962E2" w:rsidRDefault="00F962E2">
      <w:r>
        <w:rPr>
          <w:rFonts w:ascii="宋体" w:hAnsi="宋体"/>
          <w:b/>
          <w:bCs/>
          <w:sz w:val="44"/>
          <w:szCs w:val="44"/>
          <w:lang w:val="zh-CN"/>
        </w:rPr>
        <w:fldChar w:fldCharType="end"/>
      </w:r>
    </w:p>
    <w:p w14:paraId="1E9B6547" w14:textId="77777777" w:rsidR="00F962E2" w:rsidRDefault="00F962E2">
      <w:pPr>
        <w:pStyle w:val="2"/>
        <w:ind w:leftChars="0" w:left="0" w:firstLineChars="0" w:firstLine="0"/>
        <w:rPr>
          <w:rFonts w:ascii="仿宋_GB2312" w:eastAsia="仿宋_GB2312" w:hAnsi="仿宋_GB2312" w:cs="仿宋_GB2312" w:hint="eastAsia"/>
          <w:b/>
          <w:snapToGrid w:val="0"/>
          <w:spacing w:val="-30"/>
          <w:kern w:val="0"/>
          <w:sz w:val="32"/>
          <w:szCs w:val="32"/>
        </w:rPr>
      </w:pPr>
    </w:p>
    <w:p w14:paraId="4A891335" w14:textId="77777777" w:rsidR="00F962E2" w:rsidRDefault="00F962E2">
      <w:pPr>
        <w:pStyle w:val="2"/>
        <w:ind w:firstLine="924"/>
        <w:rPr>
          <w:rFonts w:ascii="仿宋_GB2312" w:eastAsia="仿宋_GB2312" w:hAnsi="仿宋_GB2312" w:cs="仿宋_GB2312" w:hint="eastAsia"/>
          <w:b/>
          <w:snapToGrid w:val="0"/>
          <w:spacing w:val="-30"/>
          <w:kern w:val="0"/>
          <w:sz w:val="52"/>
          <w:szCs w:val="52"/>
        </w:rPr>
      </w:pPr>
    </w:p>
    <w:p w14:paraId="07B2BDDC" w14:textId="77777777" w:rsidR="00F962E2" w:rsidRDefault="00F962E2">
      <w:pPr>
        <w:pStyle w:val="2"/>
        <w:ind w:firstLine="924"/>
        <w:rPr>
          <w:rFonts w:ascii="仿宋_GB2312" w:eastAsia="仿宋_GB2312" w:hAnsi="仿宋_GB2312" w:cs="仿宋_GB2312" w:hint="eastAsia"/>
          <w:b/>
          <w:snapToGrid w:val="0"/>
          <w:spacing w:val="-30"/>
          <w:kern w:val="0"/>
          <w:sz w:val="52"/>
          <w:szCs w:val="52"/>
        </w:rPr>
      </w:pPr>
    </w:p>
    <w:p w14:paraId="6F2A6015" w14:textId="77777777" w:rsidR="00F962E2" w:rsidRDefault="00F962E2">
      <w:pPr>
        <w:pStyle w:val="2"/>
        <w:ind w:firstLine="924"/>
        <w:rPr>
          <w:rFonts w:ascii="仿宋_GB2312" w:eastAsia="仿宋_GB2312" w:hAnsi="仿宋_GB2312" w:cs="仿宋_GB2312" w:hint="eastAsia"/>
          <w:b/>
          <w:snapToGrid w:val="0"/>
          <w:spacing w:val="-30"/>
          <w:kern w:val="0"/>
          <w:sz w:val="52"/>
          <w:szCs w:val="52"/>
        </w:rPr>
      </w:pPr>
    </w:p>
    <w:p w14:paraId="47B50A8D" w14:textId="77777777" w:rsidR="00F962E2" w:rsidRDefault="00F962E2">
      <w:pPr>
        <w:pStyle w:val="2"/>
        <w:adjustRightInd w:val="0"/>
        <w:snapToGrid w:val="0"/>
        <w:spacing w:line="560" w:lineRule="exact"/>
        <w:ind w:leftChars="0" w:left="0" w:firstLineChars="0" w:firstLine="0"/>
        <w:rPr>
          <w:rFonts w:ascii="黑体" w:eastAsia="黑体" w:hAnsi="黑体" w:cs="黑体" w:hint="eastAsia"/>
          <w:sz w:val="32"/>
          <w:szCs w:val="32"/>
        </w:rPr>
        <w:sectPr w:rsidR="00F962E2">
          <w:footerReference w:type="default" r:id="rId7"/>
          <w:pgSz w:w="11906" w:h="16838"/>
          <w:pgMar w:top="992" w:right="1276" w:bottom="1440" w:left="709" w:header="851" w:footer="992" w:gutter="0"/>
          <w:cols w:space="720"/>
          <w:docGrid w:type="linesAndChars" w:linePitch="312"/>
        </w:sectPr>
      </w:pPr>
    </w:p>
    <w:p w14:paraId="0762A60F" w14:textId="77777777" w:rsidR="00F962E2" w:rsidRDefault="00F962E2">
      <w:pPr>
        <w:pStyle w:val="1"/>
      </w:pPr>
      <w:bookmarkStart w:id="0" w:name="_Toc1695"/>
      <w:bookmarkStart w:id="1" w:name="_Toc174720292"/>
      <w:r>
        <w:rPr>
          <w:rFonts w:hint="eastAsia"/>
        </w:rPr>
        <w:lastRenderedPageBreak/>
        <w:t>一、项目基本情况</w:t>
      </w:r>
      <w:bookmarkEnd w:id="0"/>
      <w:bookmarkEnd w:id="1"/>
    </w:p>
    <w:p w14:paraId="6E8930F6" w14:textId="0A895CF8" w:rsidR="00032424" w:rsidRPr="00032424" w:rsidRDefault="00FF7947" w:rsidP="00032424">
      <w:pPr>
        <w:jc w:val="center"/>
      </w:pPr>
      <w:r w:rsidRPr="00E31A60">
        <w:rPr>
          <w:noProof/>
        </w:rPr>
        <w:drawing>
          <wp:inline distT="0" distB="0" distL="0" distR="0" wp14:anchorId="2CC63F95" wp14:editId="3F1E5AAC">
            <wp:extent cx="5598795" cy="44938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8795" cy="4493895"/>
                    </a:xfrm>
                    <a:prstGeom prst="rect">
                      <a:avLst/>
                    </a:prstGeom>
                    <a:noFill/>
                    <a:ln>
                      <a:noFill/>
                    </a:ln>
                  </pic:spPr>
                </pic:pic>
              </a:graphicData>
            </a:graphic>
          </wp:inline>
        </w:drawing>
      </w:r>
    </w:p>
    <w:p w14:paraId="20285151" w14:textId="77777777" w:rsidR="003947F4" w:rsidRDefault="00F962E2" w:rsidP="005C0A8F">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项目位于</w:t>
      </w:r>
      <w:r w:rsidR="005C0A8F" w:rsidRPr="005C0A8F">
        <w:rPr>
          <w:rFonts w:ascii="仿宋_GB2312" w:eastAsia="仿宋_GB2312" w:hAnsi="仿宋_GB2312" w:cs="仿宋_GB2312" w:hint="eastAsia"/>
          <w:sz w:val="32"/>
          <w:szCs w:val="32"/>
        </w:rPr>
        <w:t>北京市</w:t>
      </w:r>
      <w:r w:rsidR="003947F4">
        <w:rPr>
          <w:rFonts w:ascii="仿宋_GB2312" w:eastAsia="仿宋_GB2312" w:hAnsi="仿宋_GB2312" w:cs="仿宋_GB2312" w:hint="eastAsia"/>
          <w:sz w:val="32"/>
          <w:szCs w:val="32"/>
        </w:rPr>
        <w:t>通州区半壁店大街23号居住用地</w:t>
      </w:r>
      <w:r w:rsidR="005C0A8F" w:rsidRPr="005C0A8F">
        <w:rPr>
          <w:rFonts w:ascii="仿宋_GB2312" w:eastAsia="仿宋_GB2312" w:hAnsi="仿宋_GB2312" w:cs="仿宋_GB2312" w:hint="eastAsia"/>
          <w:sz w:val="32"/>
          <w:szCs w:val="32"/>
        </w:rPr>
        <w:t>。</w:t>
      </w:r>
      <w:r w:rsidR="003947F4" w:rsidRPr="003947F4">
        <w:rPr>
          <w:rFonts w:ascii="仿宋_GB2312" w:eastAsia="仿宋_GB2312" w:hAnsi="仿宋_GB2312" w:cs="仿宋_GB2312"/>
          <w:sz w:val="32"/>
          <w:szCs w:val="32"/>
        </w:rPr>
        <w:t>该项目位于</w:t>
      </w:r>
      <w:r w:rsidR="003947F4" w:rsidRPr="003947F4">
        <w:rPr>
          <w:rFonts w:ascii="仿宋_GB2312" w:eastAsia="仿宋_GB2312" w:hAnsi="仿宋_GB2312" w:cs="仿宋_GB2312" w:hint="eastAsia"/>
          <w:sz w:val="32"/>
          <w:szCs w:val="32"/>
        </w:rPr>
        <w:t>北京市东五环外</w:t>
      </w:r>
      <w:r w:rsidR="003947F4" w:rsidRPr="003947F4">
        <w:rPr>
          <w:rFonts w:ascii="仿宋_GB2312" w:eastAsia="仿宋_GB2312" w:hAnsi="仿宋_GB2312" w:cs="仿宋_GB2312"/>
          <w:sz w:val="32"/>
          <w:szCs w:val="32"/>
        </w:rPr>
        <w:t>。现状四至为东至</w:t>
      </w:r>
      <w:r w:rsidR="003947F4" w:rsidRPr="003947F4">
        <w:rPr>
          <w:rFonts w:ascii="仿宋_GB2312" w:eastAsia="仿宋_GB2312" w:hAnsi="仿宋_GB2312" w:cs="仿宋_GB2312" w:hint="eastAsia"/>
          <w:sz w:val="32"/>
          <w:szCs w:val="32"/>
        </w:rPr>
        <w:t>怡乐中路</w:t>
      </w:r>
      <w:r w:rsidR="003947F4" w:rsidRPr="003947F4">
        <w:rPr>
          <w:rFonts w:ascii="仿宋_GB2312" w:eastAsia="仿宋_GB2312" w:hAnsi="仿宋_GB2312" w:cs="仿宋_GB2312"/>
          <w:sz w:val="32"/>
          <w:szCs w:val="32"/>
        </w:rPr>
        <w:t>，南至</w:t>
      </w:r>
      <w:proofErr w:type="gramStart"/>
      <w:r w:rsidR="003947F4" w:rsidRPr="003947F4">
        <w:rPr>
          <w:rFonts w:ascii="仿宋_GB2312" w:eastAsia="仿宋_GB2312" w:hAnsi="仿宋_GB2312" w:cs="仿宋_GB2312" w:hint="eastAsia"/>
          <w:sz w:val="32"/>
          <w:szCs w:val="32"/>
        </w:rPr>
        <w:t>京洲北二</w:t>
      </w:r>
      <w:proofErr w:type="gramEnd"/>
      <w:r w:rsidR="003947F4" w:rsidRPr="003947F4">
        <w:rPr>
          <w:rFonts w:ascii="仿宋_GB2312" w:eastAsia="仿宋_GB2312" w:hAnsi="仿宋_GB2312" w:cs="仿宋_GB2312" w:hint="eastAsia"/>
          <w:sz w:val="32"/>
          <w:szCs w:val="32"/>
        </w:rPr>
        <w:t>街</w:t>
      </w:r>
      <w:r w:rsidR="003947F4" w:rsidRPr="003947F4">
        <w:rPr>
          <w:rFonts w:ascii="仿宋_GB2312" w:eastAsia="仿宋_GB2312" w:hAnsi="仿宋_GB2312" w:cs="仿宋_GB2312"/>
          <w:sz w:val="32"/>
          <w:szCs w:val="32"/>
        </w:rPr>
        <w:t>，西至</w:t>
      </w:r>
      <w:r w:rsidR="003947F4" w:rsidRPr="003947F4">
        <w:rPr>
          <w:rFonts w:ascii="仿宋_GB2312" w:eastAsia="仿宋_GB2312" w:hAnsi="仿宋_GB2312" w:cs="仿宋_GB2312" w:hint="eastAsia"/>
          <w:sz w:val="32"/>
          <w:szCs w:val="32"/>
        </w:rPr>
        <w:t>半壁店恭和家园</w:t>
      </w:r>
      <w:r w:rsidR="003947F4" w:rsidRPr="003947F4">
        <w:rPr>
          <w:rFonts w:ascii="仿宋_GB2312" w:eastAsia="仿宋_GB2312" w:hAnsi="仿宋_GB2312" w:cs="仿宋_GB2312"/>
          <w:sz w:val="32"/>
          <w:szCs w:val="32"/>
        </w:rPr>
        <w:t>，北至</w:t>
      </w:r>
      <w:r w:rsidR="003947F4" w:rsidRPr="003947F4">
        <w:rPr>
          <w:rFonts w:ascii="仿宋_GB2312" w:eastAsia="仿宋_GB2312" w:hAnsi="仿宋_GB2312" w:cs="仿宋_GB2312" w:hint="eastAsia"/>
          <w:sz w:val="32"/>
          <w:szCs w:val="32"/>
        </w:rPr>
        <w:t>怡然世家</w:t>
      </w:r>
      <w:r w:rsidR="003947F4" w:rsidRPr="003947F4">
        <w:rPr>
          <w:rFonts w:ascii="仿宋_GB2312" w:eastAsia="仿宋_GB2312" w:hAnsi="仿宋_GB2312" w:cs="仿宋_GB2312"/>
          <w:sz w:val="32"/>
          <w:szCs w:val="32"/>
        </w:rPr>
        <w:t>。</w:t>
      </w:r>
      <w:r w:rsidR="003947F4" w:rsidRPr="003947F4">
        <w:rPr>
          <w:rFonts w:ascii="仿宋_GB2312" w:eastAsia="仿宋_GB2312" w:hAnsi="仿宋_GB2312" w:cs="仿宋_GB2312" w:hint="eastAsia"/>
          <w:sz w:val="32"/>
          <w:szCs w:val="32"/>
        </w:rPr>
        <w:t>咨询对象所属项目位于北京市基准地价住宅类六级地价区、商业类六级地价区。</w:t>
      </w:r>
      <w:r w:rsidR="003947F4" w:rsidRPr="003947F4">
        <w:rPr>
          <w:rFonts w:ascii="仿宋_GB2312" w:eastAsia="仿宋_GB2312" w:hAnsi="仿宋_GB2312" w:cs="仿宋_GB2312"/>
          <w:sz w:val="32"/>
          <w:szCs w:val="32"/>
        </w:rPr>
        <w:t>根据咨询委托人提供的资料及其介绍，本项目总建设用地规模（以下简称“土地面积”）为16162.6平方米，规划</w:t>
      </w:r>
      <w:r w:rsidR="003947F4" w:rsidRPr="003947F4">
        <w:rPr>
          <w:rFonts w:ascii="仿宋_GB2312" w:eastAsia="仿宋_GB2312" w:hAnsi="仿宋_GB2312" w:cs="仿宋_GB2312" w:hint="eastAsia"/>
          <w:sz w:val="32"/>
          <w:szCs w:val="32"/>
        </w:rPr>
        <w:t>地上</w:t>
      </w:r>
      <w:r w:rsidR="003947F4" w:rsidRPr="003947F4">
        <w:rPr>
          <w:rFonts w:ascii="仿宋_GB2312" w:eastAsia="仿宋_GB2312" w:hAnsi="仿宋_GB2312" w:cs="仿宋_GB2312"/>
          <w:sz w:val="32"/>
          <w:szCs w:val="32"/>
        </w:rPr>
        <w:t>建筑面积为</w:t>
      </w:r>
      <w:r w:rsidR="003947F4" w:rsidRPr="003947F4">
        <w:rPr>
          <w:rFonts w:ascii="仿宋_GB2312" w:eastAsia="仿宋_GB2312" w:hAnsi="仿宋_GB2312" w:cs="仿宋_GB2312" w:hint="eastAsia"/>
          <w:sz w:val="32"/>
          <w:szCs w:val="32"/>
        </w:rPr>
        <w:t>45110</w:t>
      </w:r>
      <w:r w:rsidR="003947F4" w:rsidRPr="003947F4">
        <w:rPr>
          <w:rFonts w:ascii="仿宋_GB2312" w:eastAsia="仿宋_GB2312" w:hAnsi="仿宋_GB2312" w:cs="仿宋_GB2312"/>
          <w:sz w:val="32"/>
          <w:szCs w:val="32"/>
        </w:rPr>
        <w:t>平方米，其中保租房建筑面积为</w:t>
      </w:r>
      <w:r w:rsidR="003947F4" w:rsidRPr="003947F4">
        <w:rPr>
          <w:rFonts w:ascii="仿宋_GB2312" w:eastAsia="仿宋_GB2312" w:hAnsi="仿宋_GB2312" w:cs="仿宋_GB2312" w:hint="eastAsia"/>
          <w:sz w:val="32"/>
          <w:szCs w:val="32"/>
        </w:rPr>
        <w:t>39690</w:t>
      </w:r>
      <w:r w:rsidR="003947F4" w:rsidRPr="003947F4">
        <w:rPr>
          <w:rFonts w:ascii="仿宋_GB2312" w:eastAsia="仿宋_GB2312" w:hAnsi="仿宋_GB2312" w:cs="仿宋_GB2312"/>
          <w:sz w:val="32"/>
          <w:szCs w:val="32"/>
        </w:rPr>
        <w:t>平方米，</w:t>
      </w:r>
      <w:r w:rsidR="003947F4" w:rsidRPr="003947F4">
        <w:rPr>
          <w:rFonts w:ascii="仿宋_GB2312" w:eastAsia="仿宋_GB2312" w:hAnsi="仿宋_GB2312" w:cs="仿宋_GB2312" w:hint="eastAsia"/>
          <w:sz w:val="32"/>
          <w:szCs w:val="32"/>
        </w:rPr>
        <w:t>地上</w:t>
      </w:r>
      <w:r w:rsidR="003947F4" w:rsidRPr="003947F4">
        <w:rPr>
          <w:rFonts w:ascii="仿宋_GB2312" w:eastAsia="仿宋_GB2312" w:hAnsi="仿宋_GB2312" w:cs="仿宋_GB2312"/>
          <w:sz w:val="32"/>
          <w:szCs w:val="32"/>
        </w:rPr>
        <w:t>商业建筑面积为</w:t>
      </w:r>
      <w:r w:rsidR="003947F4" w:rsidRPr="003947F4">
        <w:rPr>
          <w:rFonts w:ascii="仿宋_GB2312" w:eastAsia="仿宋_GB2312" w:hAnsi="仿宋_GB2312" w:cs="仿宋_GB2312" w:hint="eastAsia"/>
          <w:sz w:val="32"/>
          <w:szCs w:val="32"/>
        </w:rPr>
        <w:t>5420</w:t>
      </w:r>
      <w:r w:rsidR="003947F4" w:rsidRPr="003947F4">
        <w:rPr>
          <w:rFonts w:ascii="仿宋_GB2312" w:eastAsia="仿宋_GB2312" w:hAnsi="仿宋_GB2312" w:cs="仿宋_GB2312"/>
          <w:sz w:val="32"/>
          <w:szCs w:val="32"/>
        </w:rPr>
        <w:t>平方米，项目容积率为2.8。</w:t>
      </w:r>
      <w:r w:rsidR="003947F4" w:rsidRPr="003947F4">
        <w:rPr>
          <w:rFonts w:ascii="仿宋_GB2312" w:eastAsia="仿宋_GB2312" w:hAnsi="仿宋_GB2312" w:cs="仿宋_GB2312" w:hint="eastAsia"/>
          <w:sz w:val="32"/>
          <w:szCs w:val="32"/>
        </w:rPr>
        <w:t>地下</w:t>
      </w:r>
      <w:r w:rsidR="003947F4" w:rsidRPr="003947F4">
        <w:rPr>
          <w:rFonts w:ascii="仿宋_GB2312" w:eastAsia="仿宋_GB2312" w:hAnsi="仿宋_GB2312" w:cs="仿宋_GB2312"/>
          <w:sz w:val="32"/>
          <w:szCs w:val="32"/>
        </w:rPr>
        <w:t>商业建筑面积为</w:t>
      </w:r>
      <w:r w:rsidR="003947F4" w:rsidRPr="003947F4">
        <w:rPr>
          <w:rFonts w:ascii="仿宋_GB2312" w:eastAsia="仿宋_GB2312" w:hAnsi="仿宋_GB2312" w:cs="仿宋_GB2312" w:hint="eastAsia"/>
          <w:sz w:val="32"/>
          <w:szCs w:val="32"/>
        </w:rPr>
        <w:t>3550</w:t>
      </w:r>
      <w:r w:rsidR="003947F4" w:rsidRPr="003947F4">
        <w:rPr>
          <w:rFonts w:ascii="仿宋_GB2312" w:eastAsia="仿宋_GB2312" w:hAnsi="仿宋_GB2312" w:cs="仿宋_GB2312"/>
          <w:sz w:val="32"/>
          <w:szCs w:val="32"/>
        </w:rPr>
        <w:t>平方米，</w:t>
      </w:r>
      <w:r w:rsidR="003947F4" w:rsidRPr="003947F4">
        <w:rPr>
          <w:rFonts w:ascii="仿宋_GB2312" w:eastAsia="仿宋_GB2312" w:hAnsi="仿宋_GB2312" w:cs="仿宋_GB2312" w:hint="eastAsia"/>
          <w:sz w:val="32"/>
          <w:szCs w:val="32"/>
        </w:rPr>
        <w:t>地下车库</w:t>
      </w:r>
      <w:r w:rsidR="003947F4" w:rsidRPr="003947F4">
        <w:rPr>
          <w:rFonts w:ascii="仿宋_GB2312" w:eastAsia="仿宋_GB2312" w:hAnsi="仿宋_GB2312" w:cs="仿宋_GB2312"/>
          <w:sz w:val="32"/>
          <w:szCs w:val="32"/>
        </w:rPr>
        <w:t>建筑面积为</w:t>
      </w:r>
      <w:r w:rsidR="003947F4" w:rsidRPr="003947F4">
        <w:rPr>
          <w:rFonts w:ascii="仿宋_GB2312" w:eastAsia="仿宋_GB2312" w:hAnsi="仿宋_GB2312" w:cs="仿宋_GB2312" w:hint="eastAsia"/>
          <w:sz w:val="32"/>
          <w:szCs w:val="32"/>
        </w:rPr>
        <w:t>57100</w:t>
      </w:r>
      <w:r w:rsidR="003947F4" w:rsidRPr="003947F4">
        <w:rPr>
          <w:rFonts w:ascii="仿宋_GB2312" w:eastAsia="仿宋_GB2312" w:hAnsi="仿宋_GB2312" w:cs="仿宋_GB2312"/>
          <w:sz w:val="32"/>
          <w:szCs w:val="32"/>
        </w:rPr>
        <w:t>平方米</w:t>
      </w:r>
      <w:r w:rsidR="003947F4" w:rsidRPr="003947F4">
        <w:rPr>
          <w:rFonts w:ascii="仿宋_GB2312" w:eastAsia="仿宋_GB2312" w:hAnsi="仿宋_GB2312" w:cs="仿宋_GB2312" w:hint="eastAsia"/>
          <w:sz w:val="32"/>
          <w:szCs w:val="32"/>
        </w:rPr>
        <w:t>。另外项目需在独立用地上建设</w:t>
      </w:r>
      <w:r w:rsidR="003947F4" w:rsidRPr="003947F4">
        <w:rPr>
          <w:rFonts w:ascii="仿宋_GB2312" w:eastAsia="仿宋_GB2312" w:hAnsi="仿宋_GB2312" w:cs="仿宋_GB2312"/>
          <w:sz w:val="32"/>
          <w:szCs w:val="32"/>
        </w:rPr>
        <w:t>配套公服</w:t>
      </w:r>
      <w:r w:rsidR="003947F4" w:rsidRPr="003947F4">
        <w:rPr>
          <w:rFonts w:ascii="仿宋_GB2312" w:eastAsia="仿宋_GB2312" w:hAnsi="仿宋_GB2312" w:cs="仿宋_GB2312" w:hint="eastAsia"/>
          <w:sz w:val="32"/>
          <w:szCs w:val="32"/>
        </w:rPr>
        <w:t>设施，</w:t>
      </w:r>
      <w:r w:rsidR="003947F4" w:rsidRPr="003947F4">
        <w:rPr>
          <w:rFonts w:ascii="仿宋_GB2312" w:eastAsia="仿宋_GB2312" w:hAnsi="仿宋_GB2312" w:cs="仿宋_GB2312"/>
          <w:sz w:val="32"/>
          <w:szCs w:val="32"/>
        </w:rPr>
        <w:t>建筑面积为</w:t>
      </w:r>
      <w:r w:rsidR="003947F4" w:rsidRPr="003947F4">
        <w:rPr>
          <w:rFonts w:ascii="仿宋_GB2312" w:eastAsia="仿宋_GB2312" w:hAnsi="仿宋_GB2312" w:cs="仿宋_GB2312" w:hint="eastAsia"/>
          <w:sz w:val="32"/>
          <w:szCs w:val="32"/>
        </w:rPr>
        <w:t>15800</w:t>
      </w:r>
      <w:r w:rsidR="003947F4" w:rsidRPr="003947F4">
        <w:rPr>
          <w:rFonts w:ascii="仿宋_GB2312" w:eastAsia="仿宋_GB2312" w:hAnsi="仿宋_GB2312" w:cs="仿宋_GB2312"/>
          <w:sz w:val="32"/>
          <w:szCs w:val="32"/>
        </w:rPr>
        <w:t>平方米</w:t>
      </w:r>
      <w:r w:rsidR="003947F4" w:rsidRPr="003947F4">
        <w:rPr>
          <w:rFonts w:ascii="仿宋_GB2312" w:eastAsia="仿宋_GB2312" w:hAnsi="仿宋_GB2312" w:cs="仿宋_GB2312" w:hint="eastAsia"/>
          <w:sz w:val="32"/>
          <w:szCs w:val="32"/>
        </w:rPr>
        <w:t>，土地面积为7900平方米。</w:t>
      </w:r>
    </w:p>
    <w:p w14:paraId="45C46552" w14:textId="77777777" w:rsidR="00F962E2" w:rsidRDefault="00720466" w:rsidP="005C0A8F">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根据委托人介绍，</w:t>
      </w:r>
      <w:r w:rsidRPr="00C640B0">
        <w:rPr>
          <w:rFonts w:ascii="仿宋_GB2312" w:eastAsia="仿宋_GB2312" w:hAnsi="仿宋_GB2312" w:cs="仿宋_GB2312" w:hint="eastAsia"/>
          <w:sz w:val="32"/>
          <w:szCs w:val="32"/>
        </w:rPr>
        <w:t>确定选址</w:t>
      </w:r>
      <w:r>
        <w:rPr>
          <w:rFonts w:ascii="仿宋_GB2312" w:eastAsia="仿宋_GB2312" w:hAnsi="仿宋_GB2312" w:cs="仿宋_GB2312" w:hint="eastAsia"/>
          <w:sz w:val="32"/>
          <w:szCs w:val="32"/>
        </w:rPr>
        <w:t>通州区半壁店大街23号</w:t>
      </w:r>
      <w:r w:rsidRPr="00C640B0">
        <w:rPr>
          <w:rFonts w:ascii="仿宋_GB2312" w:eastAsia="仿宋_GB2312" w:hAnsi="仿宋_GB2312" w:cs="仿宋_GB2312" w:hint="eastAsia"/>
          <w:sz w:val="32"/>
          <w:szCs w:val="32"/>
        </w:rPr>
        <w:t>保租房项目，建</w:t>
      </w:r>
      <w:r w:rsidRPr="00C640B0">
        <w:rPr>
          <w:rFonts w:ascii="仿宋_GB2312" w:eastAsia="仿宋_GB2312" w:hAnsi="仿宋_GB2312" w:cs="仿宋_GB2312" w:hint="eastAsia"/>
          <w:sz w:val="32"/>
          <w:szCs w:val="32"/>
        </w:rPr>
        <w:lastRenderedPageBreak/>
        <w:t>议由中心直接投资、</w:t>
      </w:r>
      <w:r>
        <w:rPr>
          <w:rFonts w:ascii="仿宋_GB2312" w:eastAsia="仿宋_GB2312" w:hAnsi="仿宋_GB2312" w:cs="仿宋_GB2312" w:hint="eastAsia"/>
          <w:sz w:val="32"/>
          <w:szCs w:val="32"/>
        </w:rPr>
        <w:t>由区域运营</w:t>
      </w:r>
      <w:r w:rsidRPr="00C640B0">
        <w:rPr>
          <w:rFonts w:ascii="仿宋_GB2312" w:eastAsia="仿宋_GB2312" w:hAnsi="仿宋_GB2312" w:cs="仿宋_GB2312" w:hint="eastAsia"/>
          <w:sz w:val="32"/>
          <w:szCs w:val="32"/>
        </w:rPr>
        <w:t>公司负责后期运营；依据项目投资方案，建立平衡机制，</w:t>
      </w:r>
      <w:r>
        <w:rPr>
          <w:rFonts w:ascii="仿宋_GB2312" w:eastAsia="仿宋_GB2312" w:hAnsi="仿宋_GB2312" w:cs="仿宋_GB2312" w:hint="eastAsia"/>
          <w:sz w:val="32"/>
          <w:szCs w:val="32"/>
        </w:rPr>
        <w:t>积极履行投资后评估工作，并</w:t>
      </w:r>
      <w:r w:rsidRPr="00C640B0">
        <w:rPr>
          <w:rFonts w:ascii="仿宋_GB2312" w:eastAsia="仿宋_GB2312" w:hAnsi="仿宋_GB2312" w:cs="仿宋_GB2312" w:hint="eastAsia"/>
          <w:sz w:val="32"/>
          <w:szCs w:val="32"/>
        </w:rPr>
        <w:t>依据实际运营情况，建立评审机制确定运营方案，促进项目可持续发展。</w:t>
      </w:r>
    </w:p>
    <w:p w14:paraId="1A6FCCEA" w14:textId="77777777" w:rsidR="00F962E2" w:rsidRPr="00CC2F17" w:rsidRDefault="00F962E2">
      <w:pPr>
        <w:pStyle w:val="20"/>
        <w:ind w:firstLine="643"/>
        <w:rPr>
          <w:rFonts w:ascii="仿宋_GB2312" w:eastAsia="仿宋_GB2312"/>
        </w:rPr>
      </w:pPr>
      <w:bookmarkStart w:id="2" w:name="_Toc11491"/>
      <w:bookmarkStart w:id="3" w:name="_Toc174720293"/>
      <w:r w:rsidRPr="00CC2F17">
        <w:rPr>
          <w:rFonts w:ascii="仿宋_GB2312" w:eastAsia="仿宋_GB2312" w:hint="eastAsia"/>
        </w:rPr>
        <w:t>（一）项目选址初判</w:t>
      </w:r>
      <w:bookmarkEnd w:id="2"/>
      <w:bookmarkEnd w:id="3"/>
    </w:p>
    <w:p w14:paraId="4E14E37B" w14:textId="77777777" w:rsidR="00F962E2" w:rsidRDefault="00F962E2">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项目位于北京市</w:t>
      </w:r>
      <w:r w:rsidR="003947F4">
        <w:rPr>
          <w:rFonts w:ascii="仿宋_GB2312" w:eastAsia="仿宋_GB2312" w:hAnsi="仿宋_GB2312" w:cs="仿宋_GB2312" w:hint="eastAsia"/>
          <w:sz w:val="32"/>
          <w:szCs w:val="32"/>
        </w:rPr>
        <w:t>通州</w:t>
      </w:r>
      <w:r>
        <w:rPr>
          <w:rFonts w:ascii="仿宋_GB2312" w:eastAsia="仿宋_GB2312" w:hAnsi="仿宋_GB2312" w:cs="仿宋_GB2312" w:hint="eastAsia"/>
          <w:sz w:val="32"/>
          <w:szCs w:val="32"/>
        </w:rPr>
        <w:t>区</w:t>
      </w:r>
      <w:r w:rsidR="003947F4">
        <w:rPr>
          <w:rFonts w:ascii="仿宋_GB2312" w:eastAsia="仿宋_GB2312" w:hAnsi="仿宋_GB2312" w:cs="仿宋_GB2312" w:hint="eastAsia"/>
          <w:sz w:val="32"/>
          <w:szCs w:val="32"/>
        </w:rPr>
        <w:t>九棵树</w:t>
      </w:r>
      <w:r>
        <w:rPr>
          <w:rFonts w:ascii="仿宋_GB2312" w:eastAsia="仿宋_GB2312" w:hAnsi="仿宋_GB2312" w:cs="仿宋_GB2312" w:hint="eastAsia"/>
          <w:sz w:val="32"/>
          <w:szCs w:val="32"/>
        </w:rPr>
        <w:t>地区，</w:t>
      </w:r>
      <w:r w:rsidR="003947F4" w:rsidRPr="003947F4">
        <w:rPr>
          <w:rFonts w:ascii="仿宋_GB2312" w:eastAsia="仿宋_GB2312" w:hAnsi="仿宋_GB2312" w:cs="仿宋_GB2312"/>
          <w:sz w:val="32"/>
          <w:szCs w:val="32"/>
        </w:rPr>
        <w:t>东至</w:t>
      </w:r>
      <w:r w:rsidR="003947F4" w:rsidRPr="003947F4">
        <w:rPr>
          <w:rFonts w:ascii="仿宋_GB2312" w:eastAsia="仿宋_GB2312" w:hAnsi="仿宋_GB2312" w:cs="仿宋_GB2312" w:hint="eastAsia"/>
          <w:sz w:val="32"/>
          <w:szCs w:val="32"/>
        </w:rPr>
        <w:t>怡乐中路</w:t>
      </w:r>
      <w:r w:rsidR="003947F4" w:rsidRPr="003947F4">
        <w:rPr>
          <w:rFonts w:ascii="仿宋_GB2312" w:eastAsia="仿宋_GB2312" w:hAnsi="仿宋_GB2312" w:cs="仿宋_GB2312"/>
          <w:sz w:val="32"/>
          <w:szCs w:val="32"/>
        </w:rPr>
        <w:t>，南至</w:t>
      </w:r>
      <w:proofErr w:type="gramStart"/>
      <w:r w:rsidR="003947F4" w:rsidRPr="003947F4">
        <w:rPr>
          <w:rFonts w:ascii="仿宋_GB2312" w:eastAsia="仿宋_GB2312" w:hAnsi="仿宋_GB2312" w:cs="仿宋_GB2312" w:hint="eastAsia"/>
          <w:sz w:val="32"/>
          <w:szCs w:val="32"/>
        </w:rPr>
        <w:t>京洲北二</w:t>
      </w:r>
      <w:proofErr w:type="gramEnd"/>
      <w:r w:rsidR="003947F4" w:rsidRPr="003947F4">
        <w:rPr>
          <w:rFonts w:ascii="仿宋_GB2312" w:eastAsia="仿宋_GB2312" w:hAnsi="仿宋_GB2312" w:cs="仿宋_GB2312" w:hint="eastAsia"/>
          <w:sz w:val="32"/>
          <w:szCs w:val="32"/>
        </w:rPr>
        <w:t>街</w:t>
      </w:r>
      <w:r w:rsidR="003947F4" w:rsidRPr="003947F4">
        <w:rPr>
          <w:rFonts w:ascii="仿宋_GB2312" w:eastAsia="仿宋_GB2312" w:hAnsi="仿宋_GB2312" w:cs="仿宋_GB2312"/>
          <w:sz w:val="32"/>
          <w:szCs w:val="32"/>
        </w:rPr>
        <w:t>，西至</w:t>
      </w:r>
      <w:r w:rsidR="003947F4" w:rsidRPr="003947F4">
        <w:rPr>
          <w:rFonts w:ascii="仿宋_GB2312" w:eastAsia="仿宋_GB2312" w:hAnsi="仿宋_GB2312" w:cs="仿宋_GB2312" w:hint="eastAsia"/>
          <w:sz w:val="32"/>
          <w:szCs w:val="32"/>
        </w:rPr>
        <w:t>半壁店恭和家园</w:t>
      </w:r>
      <w:r w:rsidR="003947F4" w:rsidRPr="003947F4">
        <w:rPr>
          <w:rFonts w:ascii="仿宋_GB2312" w:eastAsia="仿宋_GB2312" w:hAnsi="仿宋_GB2312" w:cs="仿宋_GB2312"/>
          <w:sz w:val="32"/>
          <w:szCs w:val="32"/>
        </w:rPr>
        <w:t>，北至</w:t>
      </w:r>
      <w:r w:rsidR="003947F4" w:rsidRPr="003947F4">
        <w:rPr>
          <w:rFonts w:ascii="仿宋_GB2312" w:eastAsia="仿宋_GB2312" w:hAnsi="仿宋_GB2312" w:cs="仿宋_GB2312" w:hint="eastAsia"/>
          <w:sz w:val="32"/>
          <w:szCs w:val="32"/>
        </w:rPr>
        <w:t>怡然世家</w:t>
      </w:r>
      <w:r>
        <w:rPr>
          <w:rFonts w:ascii="仿宋_GB2312" w:eastAsia="仿宋_GB2312" w:hAnsi="仿宋_GB2312" w:cs="仿宋_GB2312" w:hint="eastAsia"/>
          <w:sz w:val="32"/>
          <w:szCs w:val="32"/>
        </w:rPr>
        <w:t>。</w:t>
      </w:r>
    </w:p>
    <w:p w14:paraId="1267C18C" w14:textId="77777777" w:rsidR="00F962E2" w:rsidRPr="003947F4" w:rsidRDefault="00F962E2">
      <w:pPr>
        <w:adjustRightInd w:val="0"/>
        <w:snapToGrid w:val="0"/>
        <w:jc w:val="center"/>
        <w:rPr>
          <w:rFonts w:ascii="仿宋_GB2312" w:eastAsia="仿宋_GB2312" w:hAnsi="仿宋_GB2312" w:cs="仿宋_GB2312" w:hint="eastAsia"/>
          <w:sz w:val="32"/>
          <w:szCs w:val="32"/>
        </w:rPr>
      </w:pPr>
    </w:p>
    <w:p w14:paraId="3178E5DC" w14:textId="77777777" w:rsidR="00CE5D63" w:rsidRDefault="00F962E2" w:rsidP="008841AA">
      <w:pPr>
        <w:pStyle w:val="20"/>
        <w:ind w:firstLine="643"/>
        <w:rPr>
          <w:rFonts w:ascii="仿宋_GB2312" w:eastAsia="仿宋_GB2312"/>
        </w:rPr>
      </w:pPr>
      <w:bookmarkStart w:id="4" w:name="_Toc27968"/>
      <w:bookmarkStart w:id="5" w:name="_Toc174720294"/>
      <w:r w:rsidRPr="00CC2F17">
        <w:rPr>
          <w:rFonts w:ascii="仿宋_GB2312" w:eastAsia="仿宋_GB2312" w:hint="eastAsia"/>
        </w:rPr>
        <w:t>（二）项目调研情况</w:t>
      </w:r>
      <w:bookmarkEnd w:id="4"/>
      <w:bookmarkEnd w:id="5"/>
    </w:p>
    <w:p w14:paraId="06170623" w14:textId="77777777" w:rsidR="008841AA" w:rsidRPr="00CE5D63" w:rsidRDefault="00F962E2" w:rsidP="008841AA">
      <w:pPr>
        <w:pStyle w:val="20"/>
        <w:rPr>
          <w:rFonts w:ascii="仿宋_GB2312" w:eastAsia="仿宋_GB2312" w:hAnsi="仿宋_GB2312" w:cs="仿宋_GB2312" w:hint="eastAsia"/>
          <w:b w:val="0"/>
          <w:bCs w:val="0"/>
        </w:rPr>
      </w:pPr>
      <w:bookmarkStart w:id="6" w:name="_Toc174717012"/>
      <w:bookmarkStart w:id="7" w:name="_Toc174720295"/>
      <w:r w:rsidRPr="00CE5D63">
        <w:rPr>
          <w:rFonts w:ascii="仿宋_GB2312" w:eastAsia="仿宋_GB2312" w:hAnsi="仿宋_GB2312" w:cs="仿宋_GB2312" w:hint="eastAsia"/>
          <w:b w:val="0"/>
          <w:bCs w:val="0"/>
        </w:rPr>
        <w:t>项目</w:t>
      </w:r>
      <w:r w:rsidR="00470B7A" w:rsidRPr="00CE5D63">
        <w:rPr>
          <w:rFonts w:ascii="仿宋_GB2312" w:eastAsia="仿宋_GB2312" w:hAnsi="仿宋_GB2312" w:cs="仿宋_GB2312" w:hint="eastAsia"/>
          <w:b w:val="0"/>
          <w:bCs w:val="0"/>
        </w:rPr>
        <w:t>周边有</w:t>
      </w:r>
      <w:r w:rsidR="005A044D" w:rsidRPr="00CE5D63">
        <w:rPr>
          <w:rFonts w:ascii="仿宋_GB2312" w:eastAsia="仿宋_GB2312" w:hAnsi="仿宋_GB2312" w:cs="仿宋_GB2312" w:hint="eastAsia"/>
          <w:b w:val="0"/>
          <w:bCs w:val="0"/>
        </w:rPr>
        <w:t>通景园、中泽家园</w:t>
      </w:r>
      <w:r w:rsidR="00133307" w:rsidRPr="00CE5D63">
        <w:rPr>
          <w:rFonts w:ascii="仿宋_GB2312" w:eastAsia="仿宋_GB2312" w:hAnsi="仿宋_GB2312" w:cs="仿宋_GB2312" w:hint="eastAsia"/>
          <w:b w:val="0"/>
          <w:bCs w:val="0"/>
        </w:rPr>
        <w:t>、大方居、龙湖花盛香</w:t>
      </w:r>
      <w:proofErr w:type="gramStart"/>
      <w:r w:rsidR="00133307" w:rsidRPr="00CE5D63">
        <w:rPr>
          <w:rFonts w:ascii="仿宋_GB2312" w:eastAsia="仿宋_GB2312" w:hAnsi="仿宋_GB2312" w:cs="仿宋_GB2312" w:hint="eastAsia"/>
          <w:b w:val="0"/>
          <w:bCs w:val="0"/>
        </w:rPr>
        <w:t>醍</w:t>
      </w:r>
      <w:proofErr w:type="gramEnd"/>
      <w:r w:rsidR="00470B7A" w:rsidRPr="00CE5D63">
        <w:rPr>
          <w:rFonts w:ascii="仿宋_GB2312" w:eastAsia="仿宋_GB2312" w:hAnsi="仿宋_GB2312" w:cs="仿宋_GB2312" w:hint="eastAsia"/>
          <w:b w:val="0"/>
          <w:bCs w:val="0"/>
        </w:rPr>
        <w:t>等社区，综合评价居住社区成熟度较好。周边有</w:t>
      </w:r>
      <w:r w:rsidR="00133307" w:rsidRPr="00CE5D63">
        <w:rPr>
          <w:rFonts w:ascii="仿宋_GB2312" w:eastAsia="仿宋_GB2312" w:hAnsi="仿宋_GB2312" w:cs="仿宋_GB2312" w:hint="eastAsia"/>
          <w:b w:val="0"/>
          <w:bCs w:val="0"/>
        </w:rPr>
        <w:t>316</w:t>
      </w:r>
      <w:r w:rsidR="00470B7A" w:rsidRPr="00CE5D63">
        <w:rPr>
          <w:rFonts w:ascii="仿宋_GB2312" w:eastAsia="仿宋_GB2312" w:hAnsi="仿宋_GB2312" w:cs="仿宋_GB2312" w:hint="eastAsia"/>
          <w:b w:val="0"/>
          <w:bCs w:val="0"/>
        </w:rPr>
        <w:t>路、3</w:t>
      </w:r>
      <w:r w:rsidR="00133307" w:rsidRPr="00CE5D63">
        <w:rPr>
          <w:rFonts w:ascii="仿宋_GB2312" w:eastAsia="仿宋_GB2312" w:hAnsi="仿宋_GB2312" w:cs="仿宋_GB2312" w:hint="eastAsia"/>
          <w:b w:val="0"/>
          <w:bCs w:val="0"/>
        </w:rPr>
        <w:t>72</w:t>
      </w:r>
      <w:r w:rsidR="00470B7A" w:rsidRPr="00CE5D63">
        <w:rPr>
          <w:rFonts w:ascii="仿宋_GB2312" w:eastAsia="仿宋_GB2312" w:hAnsi="仿宋_GB2312" w:cs="仿宋_GB2312" w:hint="eastAsia"/>
          <w:b w:val="0"/>
          <w:bCs w:val="0"/>
        </w:rPr>
        <w:t>路</w:t>
      </w:r>
      <w:r w:rsidR="00133307" w:rsidRPr="00CE5D63">
        <w:rPr>
          <w:rFonts w:ascii="仿宋_GB2312" w:eastAsia="仿宋_GB2312" w:hAnsi="仿宋_GB2312" w:cs="仿宋_GB2312" w:hint="eastAsia"/>
          <w:b w:val="0"/>
          <w:bCs w:val="0"/>
        </w:rPr>
        <w:t>、582路、T19</w:t>
      </w:r>
      <w:r w:rsidR="00470B7A" w:rsidRPr="00CE5D63">
        <w:rPr>
          <w:rFonts w:ascii="仿宋_GB2312" w:eastAsia="仿宋_GB2312" w:hAnsi="仿宋_GB2312" w:cs="仿宋_GB2312" w:hint="eastAsia"/>
          <w:b w:val="0"/>
          <w:bCs w:val="0"/>
        </w:rPr>
        <w:t>路、</w:t>
      </w:r>
      <w:bookmarkEnd w:id="6"/>
      <w:bookmarkEnd w:id="7"/>
    </w:p>
    <w:p w14:paraId="3C531EB1" w14:textId="77777777" w:rsidR="00F962E2" w:rsidRPr="00CE5D63" w:rsidRDefault="00133307" w:rsidP="008841AA">
      <w:pPr>
        <w:pStyle w:val="20"/>
        <w:rPr>
          <w:rFonts w:ascii="仿宋_GB2312" w:eastAsia="仿宋_GB2312" w:hAnsi="仿宋_GB2312" w:cs="仿宋_GB2312" w:hint="eastAsia"/>
          <w:b w:val="0"/>
          <w:bCs w:val="0"/>
        </w:rPr>
      </w:pPr>
      <w:bookmarkStart w:id="8" w:name="_Toc174717013"/>
      <w:bookmarkStart w:id="9" w:name="_Toc174720296"/>
      <w:r w:rsidRPr="00CE5D63">
        <w:rPr>
          <w:rFonts w:ascii="仿宋_GB2312" w:eastAsia="仿宋_GB2312" w:hAnsi="仿宋_GB2312" w:cs="仿宋_GB2312" w:hint="eastAsia"/>
          <w:b w:val="0"/>
          <w:bCs w:val="0"/>
        </w:rPr>
        <w:t>T36</w:t>
      </w:r>
      <w:r w:rsidR="00470B7A" w:rsidRPr="00CE5D63">
        <w:rPr>
          <w:rFonts w:ascii="仿宋_GB2312" w:eastAsia="仿宋_GB2312" w:hAnsi="仿宋_GB2312" w:cs="仿宋_GB2312" w:hint="eastAsia"/>
          <w:b w:val="0"/>
          <w:bCs w:val="0"/>
        </w:rPr>
        <w:t>路、</w:t>
      </w:r>
      <w:r w:rsidRPr="00CE5D63">
        <w:rPr>
          <w:rFonts w:ascii="仿宋_GB2312" w:eastAsia="仿宋_GB2312" w:hAnsi="仿宋_GB2312" w:cs="仿宋_GB2312" w:hint="eastAsia"/>
          <w:b w:val="0"/>
          <w:bCs w:val="0"/>
        </w:rPr>
        <w:t>T113</w:t>
      </w:r>
      <w:r w:rsidR="00470B7A" w:rsidRPr="00CE5D63">
        <w:rPr>
          <w:rFonts w:ascii="仿宋_GB2312" w:eastAsia="仿宋_GB2312" w:hAnsi="仿宋_GB2312" w:cs="仿宋_GB2312" w:hint="eastAsia"/>
          <w:b w:val="0"/>
          <w:bCs w:val="0"/>
        </w:rPr>
        <w:t>路等多条公交线路，</w:t>
      </w:r>
      <w:r w:rsidRPr="00CE5D63">
        <w:rPr>
          <w:rFonts w:ascii="仿宋_GB2312" w:eastAsia="仿宋_GB2312" w:hAnsi="仿宋_GB2312" w:cs="仿宋_GB2312" w:hint="eastAsia"/>
          <w:b w:val="0"/>
          <w:bCs w:val="0"/>
        </w:rPr>
        <w:t>地铁八通线果园站</w:t>
      </w:r>
      <w:r w:rsidR="00470B7A" w:rsidRPr="00CE5D63">
        <w:rPr>
          <w:rFonts w:ascii="仿宋_GB2312" w:eastAsia="仿宋_GB2312" w:hAnsi="仿宋_GB2312" w:cs="仿宋_GB2312" w:hint="eastAsia"/>
          <w:b w:val="0"/>
          <w:bCs w:val="0"/>
        </w:rPr>
        <w:t>，综合评价交通便捷度</w:t>
      </w:r>
      <w:r w:rsidR="00524506" w:rsidRPr="00CE5D63">
        <w:rPr>
          <w:rFonts w:ascii="仿宋_GB2312" w:eastAsia="仿宋_GB2312" w:hAnsi="仿宋_GB2312" w:cs="仿宋_GB2312" w:hint="eastAsia"/>
          <w:b w:val="0"/>
          <w:bCs w:val="0"/>
        </w:rPr>
        <w:t>较好</w:t>
      </w:r>
      <w:r w:rsidR="00470B7A" w:rsidRPr="00CE5D63">
        <w:rPr>
          <w:rFonts w:ascii="仿宋_GB2312" w:eastAsia="仿宋_GB2312" w:hAnsi="仿宋_GB2312" w:cs="仿宋_GB2312" w:hint="eastAsia"/>
          <w:b w:val="0"/>
          <w:bCs w:val="0"/>
        </w:rPr>
        <w:t>。以咨询对象为圆心半径2公里范围内有</w:t>
      </w:r>
      <w:r w:rsidR="00524506" w:rsidRPr="00CE5D63">
        <w:rPr>
          <w:rFonts w:ascii="仿宋_GB2312" w:eastAsia="仿宋_GB2312" w:hAnsi="仿宋_GB2312" w:cs="仿宋_GB2312" w:hint="eastAsia"/>
          <w:b w:val="0"/>
          <w:bCs w:val="0"/>
        </w:rPr>
        <w:t>永辉超市、物美超市</w:t>
      </w:r>
      <w:r w:rsidR="00470B7A" w:rsidRPr="00CE5D63">
        <w:rPr>
          <w:rFonts w:ascii="仿宋_GB2312" w:eastAsia="仿宋_GB2312" w:hAnsi="仿宋_GB2312" w:cs="仿宋_GB2312" w:hint="eastAsia"/>
          <w:b w:val="0"/>
          <w:bCs w:val="0"/>
        </w:rPr>
        <w:t>、</w:t>
      </w:r>
      <w:r w:rsidR="00A410FD" w:rsidRPr="00CE5D63">
        <w:rPr>
          <w:rFonts w:ascii="仿宋_GB2312" w:eastAsia="仿宋_GB2312" w:hAnsi="仿宋_GB2312" w:cs="仿宋_GB2312" w:hint="eastAsia"/>
          <w:b w:val="0"/>
          <w:bCs w:val="0"/>
        </w:rPr>
        <w:t>强力家居市场、</w:t>
      </w:r>
      <w:r w:rsidR="006F26CE" w:rsidRPr="00CE5D63">
        <w:rPr>
          <w:rFonts w:ascii="仿宋_GB2312" w:eastAsia="仿宋_GB2312" w:hAnsi="仿宋_GB2312" w:cs="仿宋_GB2312" w:hint="eastAsia"/>
          <w:b w:val="0"/>
          <w:bCs w:val="0"/>
        </w:rPr>
        <w:t>北京中医药大学东直门医院通州院区、梨园恭和</w:t>
      </w:r>
      <w:r w:rsidR="00470B7A" w:rsidRPr="00CE5D63">
        <w:rPr>
          <w:rFonts w:ascii="仿宋_GB2312" w:eastAsia="仿宋_GB2312" w:hAnsi="仿宋_GB2312" w:cs="仿宋_GB2312" w:hint="eastAsia"/>
          <w:b w:val="0"/>
          <w:bCs w:val="0"/>
        </w:rPr>
        <w:t>社区卫生服务中心、</w:t>
      </w:r>
      <w:r w:rsidR="006F26CE" w:rsidRPr="00CE5D63">
        <w:rPr>
          <w:rFonts w:ascii="仿宋_GB2312" w:eastAsia="仿宋_GB2312" w:hAnsi="仿宋_GB2312" w:cs="仿宋_GB2312" w:hint="eastAsia"/>
          <w:b w:val="0"/>
          <w:bCs w:val="0"/>
        </w:rPr>
        <w:t>中国工商银行、中国民生银行、中国邮政储蓄银行、</w:t>
      </w:r>
      <w:r w:rsidR="00A63B23" w:rsidRPr="00CE5D63">
        <w:rPr>
          <w:rFonts w:ascii="仿宋_GB2312" w:eastAsia="仿宋_GB2312" w:hAnsi="仿宋_GB2312" w:cs="仿宋_GB2312" w:hint="eastAsia"/>
          <w:b w:val="0"/>
          <w:bCs w:val="0"/>
        </w:rPr>
        <w:t>通州区运河中学、潞河中学附属学校</w:t>
      </w:r>
      <w:r w:rsidR="00A410FD" w:rsidRPr="00CE5D63">
        <w:rPr>
          <w:rFonts w:ascii="仿宋_GB2312" w:eastAsia="仿宋_GB2312" w:hAnsi="仿宋_GB2312" w:cs="仿宋_GB2312" w:hint="eastAsia"/>
          <w:b w:val="0"/>
          <w:bCs w:val="0"/>
        </w:rPr>
        <w:t>、</w:t>
      </w:r>
      <w:r w:rsidR="00A66DAC" w:rsidRPr="00CE5D63">
        <w:rPr>
          <w:rFonts w:ascii="仿宋_GB2312" w:eastAsia="仿宋_GB2312" w:hAnsi="仿宋_GB2312" w:cs="仿宋_GB2312" w:hint="eastAsia"/>
          <w:b w:val="0"/>
          <w:bCs w:val="0"/>
        </w:rPr>
        <w:t>思</w:t>
      </w:r>
      <w:proofErr w:type="gramStart"/>
      <w:r w:rsidR="00A66DAC" w:rsidRPr="00CE5D63">
        <w:rPr>
          <w:rFonts w:ascii="仿宋_GB2312" w:eastAsia="仿宋_GB2312" w:hAnsi="仿宋_GB2312" w:cs="仿宋_GB2312" w:hint="eastAsia"/>
          <w:b w:val="0"/>
          <w:bCs w:val="0"/>
        </w:rPr>
        <w:t>玛特</w:t>
      </w:r>
      <w:proofErr w:type="gramEnd"/>
      <w:r w:rsidR="00A66DAC" w:rsidRPr="00CE5D63">
        <w:rPr>
          <w:rFonts w:ascii="仿宋_GB2312" w:eastAsia="仿宋_GB2312" w:hAnsi="仿宋_GB2312" w:cs="仿宋_GB2312" w:hint="eastAsia"/>
          <w:b w:val="0"/>
          <w:bCs w:val="0"/>
        </w:rPr>
        <w:t>国际幼儿园</w:t>
      </w:r>
      <w:r w:rsidR="00470B7A" w:rsidRPr="00CE5D63">
        <w:rPr>
          <w:rFonts w:ascii="仿宋_GB2312" w:eastAsia="仿宋_GB2312" w:hAnsi="仿宋_GB2312" w:cs="仿宋_GB2312" w:hint="eastAsia"/>
          <w:b w:val="0"/>
          <w:bCs w:val="0"/>
        </w:rPr>
        <w:t>等公共配套设施，公共配套设施完备程度较高。区域内有</w:t>
      </w:r>
      <w:r w:rsidR="00A410FD" w:rsidRPr="00CE5D63">
        <w:rPr>
          <w:rFonts w:ascii="仿宋_GB2312" w:eastAsia="仿宋_GB2312" w:hAnsi="仿宋_GB2312" w:cs="仿宋_GB2312" w:hint="eastAsia"/>
          <w:b w:val="0"/>
          <w:bCs w:val="0"/>
        </w:rPr>
        <w:t>西小马</w:t>
      </w:r>
      <w:r w:rsidR="00470B7A" w:rsidRPr="00CE5D63">
        <w:rPr>
          <w:rFonts w:ascii="仿宋_GB2312" w:eastAsia="仿宋_GB2312" w:hAnsi="仿宋_GB2312" w:cs="仿宋_GB2312" w:hint="eastAsia"/>
          <w:b w:val="0"/>
          <w:bCs w:val="0"/>
        </w:rPr>
        <w:t>公园、</w:t>
      </w:r>
      <w:r w:rsidR="00A410FD" w:rsidRPr="00CE5D63">
        <w:rPr>
          <w:rFonts w:ascii="仿宋_GB2312" w:eastAsia="仿宋_GB2312" w:hAnsi="仿宋_GB2312" w:cs="仿宋_GB2312" w:hint="eastAsia"/>
          <w:b w:val="0"/>
          <w:bCs w:val="0"/>
        </w:rPr>
        <w:t>通州云景公园、梨园文化休闲公园</w:t>
      </w:r>
      <w:r w:rsidR="00470B7A" w:rsidRPr="00CE5D63">
        <w:rPr>
          <w:rFonts w:ascii="仿宋_GB2312" w:eastAsia="仿宋_GB2312" w:hAnsi="仿宋_GB2312" w:cs="仿宋_GB2312" w:hint="eastAsia"/>
          <w:b w:val="0"/>
          <w:bCs w:val="0"/>
        </w:rPr>
        <w:t>等自然景观，</w:t>
      </w:r>
      <w:r w:rsidR="00A410FD" w:rsidRPr="00CE5D63">
        <w:rPr>
          <w:rFonts w:ascii="仿宋_GB2312" w:eastAsia="仿宋_GB2312" w:hAnsi="仿宋_GB2312" w:cs="仿宋_GB2312" w:hint="eastAsia"/>
          <w:b w:val="0"/>
          <w:bCs w:val="0"/>
        </w:rPr>
        <w:t>大</w:t>
      </w:r>
      <w:proofErr w:type="gramStart"/>
      <w:r w:rsidR="00A410FD" w:rsidRPr="00CE5D63">
        <w:rPr>
          <w:rFonts w:ascii="仿宋_GB2312" w:eastAsia="仿宋_GB2312" w:hAnsi="仿宋_GB2312" w:cs="仿宋_GB2312" w:hint="eastAsia"/>
          <w:b w:val="0"/>
          <w:bCs w:val="0"/>
        </w:rPr>
        <w:t>稿国际</w:t>
      </w:r>
      <w:proofErr w:type="gramEnd"/>
      <w:r w:rsidR="00A410FD" w:rsidRPr="00CE5D63">
        <w:rPr>
          <w:rFonts w:ascii="仿宋_GB2312" w:eastAsia="仿宋_GB2312" w:hAnsi="仿宋_GB2312" w:cs="仿宋_GB2312" w:hint="eastAsia"/>
          <w:b w:val="0"/>
          <w:bCs w:val="0"/>
        </w:rPr>
        <w:t>艺术区</w:t>
      </w:r>
      <w:r w:rsidR="00470B7A" w:rsidRPr="00CE5D63">
        <w:rPr>
          <w:rFonts w:ascii="仿宋_GB2312" w:eastAsia="仿宋_GB2312" w:hAnsi="仿宋_GB2312" w:cs="仿宋_GB2312" w:hint="eastAsia"/>
          <w:b w:val="0"/>
          <w:bCs w:val="0"/>
        </w:rPr>
        <w:t>等人文设施，综合评价环境状况较好。总体评价影响咨询对象的区位状况较好。</w:t>
      </w:r>
      <w:bookmarkEnd w:id="8"/>
      <w:bookmarkEnd w:id="9"/>
    </w:p>
    <w:p w14:paraId="5BCD4C0F" w14:textId="77777777" w:rsidR="00F962E2" w:rsidRDefault="00F962E2">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尚未就建设住宅项目对周边市政荷载的需求进行分析。</w:t>
      </w:r>
    </w:p>
    <w:p w14:paraId="6DEBBA88" w14:textId="77777777" w:rsidR="00720466" w:rsidRPr="00720466" w:rsidRDefault="00720466" w:rsidP="00720466">
      <w:pPr>
        <w:pStyle w:val="2"/>
        <w:ind w:leftChars="0" w:left="0" w:firstLineChars="0" w:firstLine="0"/>
        <w:rPr>
          <w:rFonts w:ascii="仿宋_GB2312" w:eastAsia="仿宋_GB2312" w:hAnsi="仿宋_GB2312" w:cs="仿宋_GB2312" w:hint="eastAsia"/>
          <w:sz w:val="32"/>
          <w:szCs w:val="32"/>
        </w:rPr>
      </w:pPr>
      <w:r w:rsidRPr="00720466">
        <w:rPr>
          <w:rFonts w:ascii="仿宋_GB2312" w:eastAsia="仿宋_GB2312" w:hAnsi="仿宋_GB2312" w:cs="仿宋_GB2312" w:hint="eastAsia"/>
          <w:sz w:val="32"/>
          <w:szCs w:val="32"/>
        </w:rPr>
        <w:t>（转下页）</w:t>
      </w:r>
    </w:p>
    <w:p w14:paraId="075FE081" w14:textId="0786B205" w:rsidR="00F962E2" w:rsidRDefault="00FF7947">
      <w:pPr>
        <w:pStyle w:val="2"/>
        <w:ind w:leftChars="0" w:left="0" w:firstLineChars="0" w:firstLine="0"/>
        <w:jc w:val="center"/>
      </w:pPr>
      <w:r w:rsidRPr="00B62FCF">
        <w:rPr>
          <w:noProof/>
        </w:rPr>
        <w:lastRenderedPageBreak/>
        <w:drawing>
          <wp:inline distT="0" distB="0" distL="0" distR="0" wp14:anchorId="4C820893" wp14:editId="65EA2C03">
            <wp:extent cx="4615815" cy="332041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5815" cy="3320415"/>
                    </a:xfrm>
                    <a:prstGeom prst="rect">
                      <a:avLst/>
                    </a:prstGeom>
                    <a:noFill/>
                    <a:ln>
                      <a:noFill/>
                    </a:ln>
                  </pic:spPr>
                </pic:pic>
              </a:graphicData>
            </a:graphic>
          </wp:inline>
        </w:drawing>
      </w:r>
    </w:p>
    <w:p w14:paraId="04347A53" w14:textId="77777777" w:rsidR="00F962E2" w:rsidRDefault="00F962E2">
      <w:pPr>
        <w:pStyle w:val="1"/>
      </w:pPr>
      <w:bookmarkStart w:id="10" w:name="_Toc174720297"/>
      <w:bookmarkStart w:id="11" w:name="_Toc16707"/>
      <w:r>
        <w:rPr>
          <w:rFonts w:hint="eastAsia"/>
        </w:rPr>
        <w:t>二、项目初步研究</w:t>
      </w:r>
      <w:bookmarkEnd w:id="10"/>
    </w:p>
    <w:p w14:paraId="6C45843D" w14:textId="77777777" w:rsidR="001B70F2" w:rsidRDefault="001B70F2" w:rsidP="001B70F2">
      <w:pPr>
        <w:pStyle w:val="20"/>
        <w:ind w:firstLine="643"/>
        <w:rPr>
          <w:rFonts w:ascii="仿宋_GB2312" w:eastAsia="仿宋_GB2312"/>
        </w:rPr>
      </w:pPr>
      <w:bookmarkStart w:id="12" w:name="_Toc174720298"/>
      <w:r w:rsidRPr="00CC2F17">
        <w:rPr>
          <w:rFonts w:ascii="仿宋_GB2312" w:eastAsia="仿宋_GB2312" w:hint="eastAsia"/>
        </w:rPr>
        <w:t>（一）选址与需求调研</w:t>
      </w:r>
      <w:bookmarkEnd w:id="12"/>
    </w:p>
    <w:p w14:paraId="41EEF9F1" w14:textId="2FFEF125" w:rsidR="008311E4" w:rsidRPr="008311E4" w:rsidRDefault="00FF7947" w:rsidP="008311E4">
      <w:pPr>
        <w:jc w:val="center"/>
      </w:pPr>
      <w:r w:rsidRPr="00E31A60">
        <w:rPr>
          <w:noProof/>
        </w:rPr>
        <w:drawing>
          <wp:inline distT="0" distB="0" distL="0" distR="0" wp14:anchorId="338FDA40" wp14:editId="57AD5767">
            <wp:extent cx="5828665" cy="453263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665" cy="4532630"/>
                    </a:xfrm>
                    <a:prstGeom prst="rect">
                      <a:avLst/>
                    </a:prstGeom>
                    <a:noFill/>
                    <a:ln>
                      <a:noFill/>
                    </a:ln>
                  </pic:spPr>
                </pic:pic>
              </a:graphicData>
            </a:graphic>
          </wp:inline>
        </w:drawing>
      </w:r>
    </w:p>
    <w:p w14:paraId="07F76E0B" w14:textId="77777777" w:rsidR="00544A1A" w:rsidRDefault="00F962E2" w:rsidP="005134AC">
      <w:pPr>
        <w:adjustRightInd w:val="0"/>
        <w:snapToGrid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按照北京市总体规划的减量要求，</w:t>
      </w:r>
      <w:r w:rsidR="00544A1A" w:rsidRPr="00544A1A">
        <w:rPr>
          <w:rFonts w:ascii="仿宋_GB2312" w:eastAsia="仿宋_GB2312" w:hAnsi="仿宋_GB2312" w:cs="仿宋_GB2312" w:hint="eastAsia"/>
          <w:sz w:val="32"/>
          <w:szCs w:val="32"/>
        </w:rPr>
        <w:t>北京城市副中心控制性详细规划</w:t>
      </w:r>
      <w:r>
        <w:rPr>
          <w:rFonts w:ascii="仿宋_GB2312" w:eastAsia="仿宋_GB2312" w:hAnsi="仿宋_GB2312" w:cs="仿宋_GB2312" w:hint="eastAsia"/>
          <w:sz w:val="32"/>
          <w:szCs w:val="32"/>
        </w:rPr>
        <w:lastRenderedPageBreak/>
        <w:t>中，</w:t>
      </w:r>
      <w:r w:rsidR="00544A1A" w:rsidRPr="00544A1A">
        <w:rPr>
          <w:rFonts w:ascii="仿宋_GB2312" w:eastAsia="仿宋_GB2312" w:hAnsi="仿宋_GB2312" w:cs="仿宋_GB2312" w:hint="eastAsia"/>
          <w:sz w:val="32"/>
          <w:szCs w:val="32"/>
        </w:rPr>
        <w:t>严控城镇开发强度。划定生态控制线和城市开发边界，促进城乡建设用地减量集约发展，核减与重要区域生态廊道冲突的城镇建设组团规模，严禁在交界地区大规模开发房地产。在</w:t>
      </w:r>
      <w:proofErr w:type="gramStart"/>
      <w:r w:rsidR="00544A1A" w:rsidRPr="00544A1A">
        <w:rPr>
          <w:rFonts w:ascii="仿宋_GB2312" w:eastAsia="仿宋_GB2312" w:hAnsi="仿宋_GB2312" w:cs="仿宋_GB2312" w:hint="eastAsia"/>
          <w:sz w:val="32"/>
          <w:szCs w:val="32"/>
        </w:rPr>
        <w:t>廊坊北</w:t>
      </w:r>
      <w:proofErr w:type="gramEnd"/>
      <w:r w:rsidR="00544A1A" w:rsidRPr="00544A1A">
        <w:rPr>
          <w:rFonts w:ascii="仿宋_GB2312" w:eastAsia="仿宋_GB2312" w:hAnsi="仿宋_GB2312" w:cs="仿宋_GB2312" w:hint="eastAsia"/>
          <w:sz w:val="32"/>
          <w:szCs w:val="32"/>
        </w:rPr>
        <w:t>三县地区重要功能组团适度预留战略留白节点。</w:t>
      </w:r>
    </w:p>
    <w:p w14:paraId="3A454728" w14:textId="77777777" w:rsidR="005134AC" w:rsidRPr="005134AC" w:rsidRDefault="005134AC" w:rsidP="005134AC">
      <w:pPr>
        <w:pStyle w:val="2"/>
        <w:adjustRightInd w:val="0"/>
        <w:snapToGrid w:val="0"/>
        <w:spacing w:line="360" w:lineRule="auto"/>
        <w:ind w:leftChars="0" w:left="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十四五期间，通州区将</w:t>
      </w:r>
      <w:r w:rsidRPr="005134AC">
        <w:rPr>
          <w:rFonts w:ascii="仿宋_GB2312" w:eastAsia="仿宋_GB2312" w:hAnsi="仿宋_GB2312" w:cs="仿宋_GB2312"/>
          <w:sz w:val="32"/>
          <w:szCs w:val="32"/>
        </w:rPr>
        <w:t>深入落实《北京城市副中心控制性详细规划实施工作方案（2023年—2025年）》96项任务，扎实推进区级重点任务清单落实落地，编制城市建设实施导则体系，推动《北京城市副中心（通州区）非建设空间规划及镇村实施指引（2021年—2035年）》落地实施。加快运河商务区重点组团建设，力争累计完工500万平方米。积极推进环球主题公园后续项目及二期谋划研究。实现文化旅游区“湾里”项目全部完工、通马路综合交通枢纽和环球影城北综合交通枢纽项目主体结构完工，力促海昌海洋公园、城市运动中心等项目落地开工。延伸发展IP设计、动漫游戏、演艺娱乐等</w:t>
      </w:r>
      <w:proofErr w:type="gramStart"/>
      <w:r w:rsidRPr="005134AC">
        <w:rPr>
          <w:rFonts w:ascii="仿宋_GB2312" w:eastAsia="仿宋_GB2312" w:hAnsi="仿宋_GB2312" w:cs="仿宋_GB2312"/>
          <w:sz w:val="32"/>
          <w:szCs w:val="32"/>
        </w:rPr>
        <w:t>文旅产业</w:t>
      </w:r>
      <w:proofErr w:type="gramEnd"/>
      <w:r w:rsidRPr="005134AC">
        <w:rPr>
          <w:rFonts w:ascii="仿宋_GB2312" w:eastAsia="仿宋_GB2312" w:hAnsi="仿宋_GB2312" w:cs="仿宋_GB2312"/>
          <w:sz w:val="32"/>
          <w:szCs w:val="32"/>
        </w:rPr>
        <w:t>链条，推动北部产业带规划建设，最大限度释放环球主题公园溢出效应。确保六环高线公园、地铁6号线南延、轨道交通101线等顺利实施，打造“轨道+土地”示范样板项目。</w:t>
      </w:r>
      <w:proofErr w:type="gramStart"/>
      <w:r w:rsidRPr="005134AC">
        <w:rPr>
          <w:rFonts w:ascii="仿宋_GB2312" w:eastAsia="仿宋_GB2312" w:hAnsi="仿宋_GB2312" w:cs="仿宋_GB2312"/>
          <w:sz w:val="32"/>
          <w:szCs w:val="32"/>
        </w:rPr>
        <w:t>推动路县</w:t>
      </w:r>
      <w:proofErr w:type="gramEnd"/>
      <w:r w:rsidRPr="005134AC">
        <w:rPr>
          <w:rFonts w:ascii="仿宋_GB2312" w:eastAsia="仿宋_GB2312" w:hAnsi="仿宋_GB2312" w:cs="仿宋_GB2312"/>
          <w:sz w:val="32"/>
          <w:szCs w:val="32"/>
        </w:rPr>
        <w:t>故城遗址保护展示工程完工并向公众开放、副中心</w:t>
      </w:r>
      <w:proofErr w:type="gramStart"/>
      <w:r w:rsidRPr="005134AC">
        <w:rPr>
          <w:rFonts w:ascii="仿宋_GB2312" w:eastAsia="仿宋_GB2312" w:hAnsi="仿宋_GB2312" w:cs="仿宋_GB2312"/>
          <w:sz w:val="32"/>
          <w:szCs w:val="32"/>
        </w:rPr>
        <w:t>站综合</w:t>
      </w:r>
      <w:proofErr w:type="gramEnd"/>
      <w:r w:rsidRPr="005134AC">
        <w:rPr>
          <w:rFonts w:ascii="仿宋_GB2312" w:eastAsia="仿宋_GB2312" w:hAnsi="仿宋_GB2312" w:cs="仿宋_GB2312"/>
          <w:sz w:val="32"/>
          <w:szCs w:val="32"/>
        </w:rPr>
        <w:t>交通枢纽主体工程基本完工、东六环入地改造具备通车条件。</w:t>
      </w:r>
    </w:p>
    <w:p w14:paraId="0EC794FD" w14:textId="77777777" w:rsidR="005134AC" w:rsidRPr="005134AC" w:rsidRDefault="005134AC" w:rsidP="005134AC">
      <w:pPr>
        <w:pStyle w:val="2"/>
        <w:adjustRightInd w:val="0"/>
        <w:snapToGrid w:val="0"/>
        <w:spacing w:line="360" w:lineRule="auto"/>
        <w:ind w:leftChars="0" w:left="0" w:firstLine="640"/>
        <w:rPr>
          <w:rFonts w:ascii="仿宋_GB2312" w:eastAsia="仿宋_GB2312" w:hAnsi="仿宋_GB2312" w:cs="仿宋_GB2312" w:hint="eastAsia"/>
          <w:sz w:val="32"/>
          <w:szCs w:val="32"/>
        </w:rPr>
      </w:pPr>
      <w:r w:rsidRPr="005134AC">
        <w:rPr>
          <w:rFonts w:ascii="仿宋_GB2312" w:eastAsia="仿宋_GB2312" w:hAnsi="仿宋_GB2312" w:cs="仿宋_GB2312"/>
          <w:sz w:val="32"/>
          <w:szCs w:val="32"/>
        </w:rPr>
        <w:t>有序有效承接</w:t>
      </w:r>
      <w:proofErr w:type="gramStart"/>
      <w:r w:rsidRPr="005134AC">
        <w:rPr>
          <w:rFonts w:ascii="仿宋_GB2312" w:eastAsia="仿宋_GB2312" w:hAnsi="仿宋_GB2312" w:cs="仿宋_GB2312"/>
          <w:sz w:val="32"/>
          <w:szCs w:val="32"/>
        </w:rPr>
        <w:t>非首都</w:t>
      </w:r>
      <w:proofErr w:type="gramEnd"/>
      <w:r w:rsidRPr="005134AC">
        <w:rPr>
          <w:rFonts w:ascii="仿宋_GB2312" w:eastAsia="仿宋_GB2312" w:hAnsi="仿宋_GB2312" w:cs="仿宋_GB2312"/>
          <w:sz w:val="32"/>
          <w:szCs w:val="32"/>
        </w:rPr>
        <w:t>功能疏解。全力做好行政办公区服务保障，确保中国人民大学通州新校区一期、</w:t>
      </w:r>
      <w:proofErr w:type="gramStart"/>
      <w:r w:rsidRPr="005134AC">
        <w:rPr>
          <w:rFonts w:ascii="仿宋_GB2312" w:eastAsia="仿宋_GB2312" w:hAnsi="仿宋_GB2312" w:cs="仿宋_GB2312"/>
          <w:sz w:val="32"/>
          <w:szCs w:val="32"/>
        </w:rPr>
        <w:t>六合村住房</w:t>
      </w:r>
      <w:proofErr w:type="gramEnd"/>
      <w:r w:rsidRPr="005134AC">
        <w:rPr>
          <w:rFonts w:ascii="仿宋_GB2312" w:eastAsia="仿宋_GB2312" w:hAnsi="仿宋_GB2312" w:cs="仿宋_GB2312"/>
          <w:sz w:val="32"/>
          <w:szCs w:val="32"/>
        </w:rPr>
        <w:t>项目、安贞医院通州院区、</w:t>
      </w:r>
      <w:proofErr w:type="gramStart"/>
      <w:r w:rsidRPr="005134AC">
        <w:rPr>
          <w:rFonts w:ascii="仿宋_GB2312" w:eastAsia="仿宋_GB2312" w:hAnsi="仿宋_GB2312" w:cs="仿宋_GB2312"/>
          <w:sz w:val="32"/>
          <w:szCs w:val="32"/>
        </w:rPr>
        <w:t>创意园</w:t>
      </w:r>
      <w:proofErr w:type="gramEnd"/>
      <w:r w:rsidRPr="005134AC">
        <w:rPr>
          <w:rFonts w:ascii="仿宋_GB2312" w:eastAsia="仿宋_GB2312" w:hAnsi="仿宋_GB2312" w:cs="仿宋_GB2312"/>
          <w:sz w:val="32"/>
          <w:szCs w:val="32"/>
        </w:rPr>
        <w:t>220千伏变电站等投入使用，加快建设清华大学通州金融发展与人才培养基地、</w:t>
      </w:r>
      <w:proofErr w:type="gramStart"/>
      <w:r w:rsidRPr="005134AC">
        <w:rPr>
          <w:rFonts w:ascii="仿宋_GB2312" w:eastAsia="仿宋_GB2312" w:hAnsi="仿宋_GB2312" w:cs="仿宋_GB2312"/>
          <w:sz w:val="32"/>
          <w:szCs w:val="32"/>
        </w:rPr>
        <w:t>首儿所</w:t>
      </w:r>
      <w:proofErr w:type="gramEnd"/>
      <w:r w:rsidRPr="005134AC">
        <w:rPr>
          <w:rFonts w:ascii="仿宋_GB2312" w:eastAsia="仿宋_GB2312" w:hAnsi="仿宋_GB2312" w:cs="仿宋_GB2312"/>
          <w:sz w:val="32"/>
          <w:szCs w:val="32"/>
        </w:rPr>
        <w:t>通州院区、</w:t>
      </w:r>
      <w:proofErr w:type="gramStart"/>
      <w:r w:rsidRPr="005134AC">
        <w:rPr>
          <w:rFonts w:ascii="仿宋_GB2312" w:eastAsia="仿宋_GB2312" w:hAnsi="仿宋_GB2312" w:cs="仿宋_GB2312"/>
          <w:sz w:val="32"/>
          <w:szCs w:val="32"/>
        </w:rPr>
        <w:t>市疾控中心</w:t>
      </w:r>
      <w:proofErr w:type="gramEnd"/>
      <w:r w:rsidRPr="005134AC">
        <w:rPr>
          <w:rFonts w:ascii="仿宋_GB2312" w:eastAsia="仿宋_GB2312" w:hAnsi="仿宋_GB2312" w:cs="仿宋_GB2312"/>
          <w:sz w:val="32"/>
          <w:szCs w:val="32"/>
        </w:rPr>
        <w:t>，推进行政办公区步行和自行车系统示范段工程建设。</w:t>
      </w:r>
      <w:proofErr w:type="gramStart"/>
      <w:r w:rsidRPr="005134AC">
        <w:rPr>
          <w:rFonts w:ascii="仿宋_GB2312" w:eastAsia="仿宋_GB2312" w:hAnsi="仿宋_GB2312" w:cs="仿宋_GB2312"/>
          <w:sz w:val="32"/>
          <w:szCs w:val="32"/>
        </w:rPr>
        <w:t>与雄安新区</w:t>
      </w:r>
      <w:proofErr w:type="gramEnd"/>
      <w:r w:rsidRPr="005134AC">
        <w:rPr>
          <w:rFonts w:ascii="仿宋_GB2312" w:eastAsia="仿宋_GB2312" w:hAnsi="仿宋_GB2312" w:cs="仿宋_GB2312"/>
          <w:sz w:val="32"/>
          <w:szCs w:val="32"/>
        </w:rPr>
        <w:t>在更宽领域、更深层次上加强交流对接、深化务实合作，共同探索产业承接、投融资机制、土地管控</w:t>
      </w:r>
      <w:r w:rsidRPr="005134AC">
        <w:rPr>
          <w:rFonts w:ascii="仿宋_GB2312" w:eastAsia="仿宋_GB2312" w:hAnsi="仿宋_GB2312" w:cs="仿宋_GB2312"/>
          <w:sz w:val="32"/>
          <w:szCs w:val="32"/>
        </w:rPr>
        <w:lastRenderedPageBreak/>
        <w:t>等方面的创新政策和改革试点。积极承接</w:t>
      </w:r>
      <w:proofErr w:type="gramStart"/>
      <w:r w:rsidRPr="005134AC">
        <w:rPr>
          <w:rFonts w:ascii="仿宋_GB2312" w:eastAsia="仿宋_GB2312" w:hAnsi="仿宋_GB2312" w:cs="仿宋_GB2312"/>
          <w:sz w:val="32"/>
          <w:szCs w:val="32"/>
        </w:rPr>
        <w:t>一批央企二三级</w:t>
      </w:r>
      <w:proofErr w:type="gramEnd"/>
      <w:r w:rsidRPr="005134AC">
        <w:rPr>
          <w:rFonts w:ascii="仿宋_GB2312" w:eastAsia="仿宋_GB2312" w:hAnsi="仿宋_GB2312" w:cs="仿宋_GB2312"/>
          <w:sz w:val="32"/>
          <w:szCs w:val="32"/>
        </w:rPr>
        <w:t>公司落户。确保北投大厦竣工投用、</w:t>
      </w:r>
      <w:proofErr w:type="gramStart"/>
      <w:r w:rsidRPr="005134AC">
        <w:rPr>
          <w:rFonts w:ascii="仿宋_GB2312" w:eastAsia="仿宋_GB2312" w:hAnsi="仿宋_GB2312" w:cs="仿宋_GB2312"/>
          <w:sz w:val="32"/>
          <w:szCs w:val="32"/>
        </w:rPr>
        <w:t>首旅集团</w:t>
      </w:r>
      <w:proofErr w:type="gramEnd"/>
      <w:r w:rsidRPr="005134AC">
        <w:rPr>
          <w:rFonts w:ascii="仿宋_GB2312" w:eastAsia="仿宋_GB2312" w:hAnsi="仿宋_GB2312" w:cs="仿宋_GB2312"/>
          <w:sz w:val="32"/>
          <w:szCs w:val="32"/>
        </w:rPr>
        <w:t>总部大厦主体结构完工，加快建设华夏银行总部大厦，扎实做好第二批市属国企搬迁服务。持续优化“四区结对”机制，加快承接中心城区优质溢出资源。</w:t>
      </w:r>
    </w:p>
    <w:p w14:paraId="19AB5E04" w14:textId="77777777" w:rsidR="005134AC" w:rsidRPr="005134AC" w:rsidRDefault="005134AC" w:rsidP="005134AC">
      <w:pPr>
        <w:pStyle w:val="2"/>
        <w:adjustRightInd w:val="0"/>
        <w:snapToGrid w:val="0"/>
        <w:spacing w:line="360" w:lineRule="auto"/>
        <w:ind w:leftChars="0" w:left="0" w:firstLine="640"/>
        <w:rPr>
          <w:rFonts w:ascii="仿宋_GB2312" w:eastAsia="仿宋_GB2312" w:hAnsi="仿宋_GB2312" w:cs="仿宋_GB2312" w:hint="eastAsia"/>
          <w:sz w:val="32"/>
          <w:szCs w:val="32"/>
        </w:rPr>
      </w:pPr>
      <w:r w:rsidRPr="005134AC">
        <w:rPr>
          <w:rFonts w:ascii="仿宋_GB2312" w:eastAsia="仿宋_GB2312" w:hAnsi="仿宋_GB2312" w:cs="仿宋_GB2312"/>
          <w:sz w:val="32"/>
          <w:szCs w:val="32"/>
        </w:rPr>
        <w:t>聚焦“购物车”打造消费新增长极。精准实施“一圈</w:t>
      </w:r>
      <w:proofErr w:type="gramStart"/>
      <w:r w:rsidRPr="005134AC">
        <w:rPr>
          <w:rFonts w:ascii="仿宋_GB2312" w:eastAsia="仿宋_GB2312" w:hAnsi="仿宋_GB2312" w:cs="仿宋_GB2312"/>
          <w:sz w:val="32"/>
          <w:szCs w:val="32"/>
        </w:rPr>
        <w:t>一</w:t>
      </w:r>
      <w:proofErr w:type="gramEnd"/>
      <w:r w:rsidRPr="005134AC">
        <w:rPr>
          <w:rFonts w:ascii="仿宋_GB2312" w:eastAsia="仿宋_GB2312" w:hAnsi="仿宋_GB2312" w:cs="仿宋_GB2312"/>
          <w:sz w:val="32"/>
          <w:szCs w:val="32"/>
        </w:rPr>
        <w:t>策”，优化提升九棵树等商圈及周边消费环境。力促山</w:t>
      </w:r>
      <w:proofErr w:type="gramStart"/>
      <w:r w:rsidRPr="005134AC">
        <w:rPr>
          <w:rFonts w:ascii="仿宋_GB2312" w:eastAsia="仿宋_GB2312" w:hAnsi="仿宋_GB2312" w:cs="仿宋_GB2312"/>
          <w:sz w:val="32"/>
          <w:szCs w:val="32"/>
        </w:rPr>
        <w:t>姆</w:t>
      </w:r>
      <w:proofErr w:type="gramEnd"/>
      <w:r w:rsidRPr="005134AC">
        <w:rPr>
          <w:rFonts w:ascii="仿宋_GB2312" w:eastAsia="仿宋_GB2312" w:hAnsi="仿宋_GB2312" w:cs="仿宋_GB2312"/>
          <w:sz w:val="32"/>
          <w:szCs w:val="32"/>
        </w:rPr>
        <w:t>会员店、大悦城签约落地。不断拓展万象汇、城市绿心及三大建筑等消费功能承载空间。高标准建设“环球影城×大运河”国际消费体验区，打造一批“文化+”“体育+”“演艺+”等特色消费品牌，加快实施萧</w:t>
      </w:r>
      <w:proofErr w:type="gramStart"/>
      <w:r w:rsidRPr="005134AC">
        <w:rPr>
          <w:rFonts w:ascii="仿宋_GB2312" w:eastAsia="仿宋_GB2312" w:hAnsi="仿宋_GB2312" w:cs="仿宋_GB2312"/>
          <w:sz w:val="32"/>
          <w:szCs w:val="32"/>
        </w:rPr>
        <w:t>太后河</w:t>
      </w:r>
      <w:proofErr w:type="gramEnd"/>
      <w:r w:rsidRPr="005134AC">
        <w:rPr>
          <w:rFonts w:ascii="仿宋_GB2312" w:eastAsia="仿宋_GB2312" w:hAnsi="仿宋_GB2312" w:cs="仿宋_GB2312"/>
          <w:sz w:val="32"/>
          <w:szCs w:val="32"/>
        </w:rPr>
        <w:t>等水系通航项目，打通活力水上通道，促进</w:t>
      </w:r>
      <w:proofErr w:type="gramStart"/>
      <w:r w:rsidRPr="005134AC">
        <w:rPr>
          <w:rFonts w:ascii="仿宋_GB2312" w:eastAsia="仿宋_GB2312" w:hAnsi="仿宋_GB2312" w:cs="仿宋_GB2312"/>
          <w:sz w:val="32"/>
          <w:szCs w:val="32"/>
        </w:rPr>
        <w:t>文旅商体消费</w:t>
      </w:r>
      <w:proofErr w:type="gramEnd"/>
      <w:r w:rsidRPr="005134AC">
        <w:rPr>
          <w:rFonts w:ascii="仿宋_GB2312" w:eastAsia="仿宋_GB2312" w:hAnsi="仿宋_GB2312" w:cs="仿宋_GB2312"/>
          <w:sz w:val="32"/>
          <w:szCs w:val="32"/>
        </w:rPr>
        <w:t>融合发展，加快实现副中心“既有名又有趣”。</w:t>
      </w:r>
    </w:p>
    <w:p w14:paraId="5E428A74" w14:textId="77777777" w:rsidR="0073367E" w:rsidRPr="0073367E" w:rsidRDefault="005134AC" w:rsidP="005134AC">
      <w:pPr>
        <w:pStyle w:val="2"/>
        <w:adjustRightInd w:val="0"/>
        <w:snapToGrid w:val="0"/>
        <w:spacing w:line="360" w:lineRule="auto"/>
        <w:ind w:leftChars="0" w:left="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随着地区经济的不断发展，通州区政策性住房市场也成正向增长的态势，</w:t>
      </w:r>
      <w:r w:rsidR="0073367E" w:rsidRPr="0073367E">
        <w:rPr>
          <w:rFonts w:ascii="仿宋_GB2312" w:eastAsia="仿宋_GB2312" w:hAnsi="仿宋_GB2312" w:cs="仿宋_GB2312" w:hint="eastAsia"/>
          <w:sz w:val="32"/>
          <w:szCs w:val="32"/>
        </w:rPr>
        <w:t>近年来，城市副中心不断加大住房保障力度，努力建设宜居之城。坚持房子是用来住的、不是用来炒的定位，建立了以政府为主提供基本保障、以市场为主满足多层次需求、以推进职住平衡为基本原则的住房供应体系。</w:t>
      </w:r>
    </w:p>
    <w:p w14:paraId="39C67D86" w14:textId="77777777" w:rsidR="0073367E" w:rsidRPr="0073367E" w:rsidRDefault="0073367E" w:rsidP="005134AC">
      <w:pPr>
        <w:pStyle w:val="2"/>
        <w:adjustRightInd w:val="0"/>
        <w:snapToGrid w:val="0"/>
        <w:spacing w:line="360" w:lineRule="auto"/>
        <w:ind w:leftChars="0" w:left="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截至2023年10月</w:t>
      </w:r>
      <w:r w:rsidRPr="0073367E">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通州区</w:t>
      </w:r>
      <w:r w:rsidRPr="0073367E">
        <w:rPr>
          <w:rFonts w:ascii="仿宋_GB2312" w:eastAsia="仿宋_GB2312" w:hAnsi="仿宋_GB2312" w:cs="仿宋_GB2312" w:hint="eastAsia"/>
          <w:sz w:val="32"/>
          <w:szCs w:val="32"/>
        </w:rPr>
        <w:t>各类政策性住房项目已惠及群众约45万人，城市副中心正朝着国际一流的</w:t>
      </w:r>
      <w:proofErr w:type="gramStart"/>
      <w:r w:rsidRPr="0073367E">
        <w:rPr>
          <w:rFonts w:ascii="仿宋_GB2312" w:eastAsia="仿宋_GB2312" w:hAnsi="仿宋_GB2312" w:cs="仿宋_GB2312" w:hint="eastAsia"/>
          <w:sz w:val="32"/>
          <w:szCs w:val="32"/>
        </w:rPr>
        <w:t>和谐宜</w:t>
      </w:r>
      <w:proofErr w:type="gramEnd"/>
      <w:r w:rsidRPr="0073367E">
        <w:rPr>
          <w:rFonts w:ascii="仿宋_GB2312" w:eastAsia="仿宋_GB2312" w:hAnsi="仿宋_GB2312" w:cs="仿宋_GB2312" w:hint="eastAsia"/>
          <w:sz w:val="32"/>
          <w:szCs w:val="32"/>
        </w:rPr>
        <w:t>居之都示范区稳步迈进。</w:t>
      </w:r>
    </w:p>
    <w:p w14:paraId="0ECA616A" w14:textId="77777777" w:rsidR="00CE5D63" w:rsidRPr="00CC2F17" w:rsidRDefault="00CE5D63" w:rsidP="00CE5D63">
      <w:pPr>
        <w:pStyle w:val="20"/>
        <w:ind w:firstLine="643"/>
        <w:rPr>
          <w:rFonts w:ascii="仿宋_GB2312" w:eastAsia="仿宋_GB2312"/>
        </w:rPr>
      </w:pPr>
      <w:bookmarkStart w:id="13" w:name="_Toc174720299"/>
      <w:r w:rsidRPr="00CC2F17">
        <w:rPr>
          <w:rFonts w:ascii="仿宋_GB2312" w:eastAsia="仿宋_GB2312" w:hint="eastAsia"/>
        </w:rPr>
        <w:t>（</w:t>
      </w:r>
      <w:r>
        <w:rPr>
          <w:rFonts w:ascii="仿宋_GB2312" w:eastAsia="仿宋_GB2312" w:hint="eastAsia"/>
        </w:rPr>
        <w:t>二</w:t>
      </w:r>
      <w:r w:rsidRPr="00CC2F17">
        <w:rPr>
          <w:rFonts w:ascii="仿宋_GB2312" w:eastAsia="仿宋_GB2312" w:hint="eastAsia"/>
        </w:rPr>
        <w:t>）现场踏勘</w:t>
      </w:r>
      <w:bookmarkEnd w:id="13"/>
    </w:p>
    <w:p w14:paraId="0507C9EC" w14:textId="77777777" w:rsidR="00CE5D63" w:rsidRDefault="00CE5D63" w:rsidP="00CE5D63">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受疫情等影响，项目用地目前已停工。</w:t>
      </w:r>
    </w:p>
    <w:p w14:paraId="16DA0EDF" w14:textId="6FB7DDC8" w:rsidR="00CE5D63" w:rsidRDefault="00FF7947" w:rsidP="00CE5D63">
      <w:pPr>
        <w:adjustRightInd w:val="0"/>
        <w:snapToGrid w:val="0"/>
        <w:jc w:val="center"/>
        <w:rPr>
          <w:rFonts w:ascii="仿宋_GB2312" w:eastAsia="仿宋_GB2312" w:hAnsi="仿宋_GB2312" w:cs="仿宋_GB2312" w:hint="eastAsia"/>
          <w:sz w:val="32"/>
          <w:szCs w:val="32"/>
        </w:rPr>
      </w:pPr>
      <w:r w:rsidRPr="00E31A60">
        <w:rPr>
          <w:noProof/>
        </w:rPr>
        <w:lastRenderedPageBreak/>
        <w:drawing>
          <wp:inline distT="0" distB="0" distL="0" distR="0" wp14:anchorId="30B4A3D7" wp14:editId="33693384">
            <wp:extent cx="4968240" cy="356933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240" cy="3569335"/>
                    </a:xfrm>
                    <a:prstGeom prst="rect">
                      <a:avLst/>
                    </a:prstGeom>
                    <a:noFill/>
                    <a:ln>
                      <a:noFill/>
                    </a:ln>
                  </pic:spPr>
                </pic:pic>
              </a:graphicData>
            </a:graphic>
          </wp:inline>
        </w:drawing>
      </w:r>
    </w:p>
    <w:p w14:paraId="467933F7" w14:textId="77777777" w:rsidR="00CE5D63" w:rsidRPr="00CE5D63" w:rsidRDefault="00CE5D63" w:rsidP="00CE5D63">
      <w:pPr>
        <w:pStyle w:val="2"/>
      </w:pPr>
    </w:p>
    <w:p w14:paraId="32CB51FD" w14:textId="77777777" w:rsidR="001B70F2" w:rsidRPr="00CC2F17" w:rsidRDefault="001B70F2" w:rsidP="001B70F2">
      <w:pPr>
        <w:pStyle w:val="20"/>
        <w:ind w:firstLine="643"/>
        <w:rPr>
          <w:rFonts w:ascii="仿宋_GB2312" w:eastAsia="仿宋_GB2312"/>
        </w:rPr>
      </w:pPr>
      <w:bookmarkStart w:id="14" w:name="_Toc174720300"/>
      <w:r w:rsidRPr="00CC2F17">
        <w:rPr>
          <w:rFonts w:ascii="仿宋_GB2312" w:eastAsia="仿宋_GB2312" w:hint="eastAsia"/>
        </w:rPr>
        <w:t>（</w:t>
      </w:r>
      <w:r w:rsidR="00CE5D63">
        <w:rPr>
          <w:rFonts w:ascii="仿宋_GB2312" w:eastAsia="仿宋_GB2312" w:hint="eastAsia"/>
        </w:rPr>
        <w:t>三</w:t>
      </w:r>
      <w:r w:rsidRPr="00CC2F17">
        <w:rPr>
          <w:rFonts w:ascii="仿宋_GB2312" w:eastAsia="仿宋_GB2312" w:hint="eastAsia"/>
        </w:rPr>
        <w:t>）</w:t>
      </w:r>
      <w:r w:rsidR="00544A1A">
        <w:rPr>
          <w:rFonts w:ascii="仿宋_GB2312" w:eastAsia="仿宋_GB2312" w:hint="eastAsia"/>
        </w:rPr>
        <w:t>收购补偿</w:t>
      </w:r>
      <w:r w:rsidRPr="00CC2F17">
        <w:rPr>
          <w:rFonts w:ascii="仿宋_GB2312" w:eastAsia="仿宋_GB2312" w:hint="eastAsia"/>
        </w:rPr>
        <w:t>价格评估</w:t>
      </w:r>
      <w:bookmarkEnd w:id="14"/>
    </w:p>
    <w:p w14:paraId="3D1526C9" w14:textId="132F4583" w:rsidR="00F962E2" w:rsidRDefault="00F962E2" w:rsidP="001B70F2">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根据项目调研情况</w:t>
      </w:r>
      <w:r w:rsidR="00544A1A">
        <w:rPr>
          <w:rFonts w:ascii="仿宋_GB2312" w:eastAsia="仿宋_GB2312" w:hAnsi="仿宋_GB2312" w:cs="仿宋_GB2312" w:hint="eastAsia"/>
          <w:sz w:val="32"/>
          <w:szCs w:val="32"/>
        </w:rPr>
        <w:t>及</w:t>
      </w:r>
      <w:r w:rsidR="0081363E">
        <w:rPr>
          <w:rFonts w:ascii="Arial" w:eastAsia="仿宋_GB2312" w:hAnsi="Arial" w:cs="Arial"/>
          <w:sz w:val="32"/>
          <w:szCs w:val="32"/>
        </w:rPr>
        <w:t>咨询委托人</w:t>
      </w:r>
      <w:r w:rsidR="00544A1A" w:rsidRPr="008B777D">
        <w:rPr>
          <w:rFonts w:ascii="Arial" w:eastAsia="仿宋_GB2312" w:hAnsi="Arial" w:cs="Arial"/>
          <w:sz w:val="32"/>
          <w:szCs w:val="32"/>
        </w:rPr>
        <w:t>提供的资料对项目进行测算</w:t>
      </w:r>
      <w:r>
        <w:rPr>
          <w:rFonts w:ascii="仿宋_GB2312" w:eastAsia="仿宋_GB2312" w:hAnsi="仿宋_GB2312" w:cs="仿宋_GB2312" w:hint="eastAsia"/>
          <w:sz w:val="32"/>
          <w:szCs w:val="32"/>
        </w:rPr>
        <w:t>:</w:t>
      </w:r>
    </w:p>
    <w:p w14:paraId="6F7DB89F" w14:textId="77777777" w:rsidR="00544A1A" w:rsidRPr="00544A1A" w:rsidRDefault="00544A1A" w:rsidP="00544A1A">
      <w:pPr>
        <w:spacing w:line="480" w:lineRule="auto"/>
        <w:ind w:firstLine="420"/>
        <w:rPr>
          <w:rFonts w:ascii="仿宋_GB2312" w:eastAsia="仿宋_GB2312" w:hAnsi="仿宋_GB2312" w:cs="仿宋_GB2312" w:hint="eastAsia"/>
          <w:sz w:val="32"/>
          <w:szCs w:val="32"/>
        </w:rPr>
      </w:pPr>
      <w:r w:rsidRPr="00544A1A">
        <w:rPr>
          <w:rFonts w:ascii="仿宋_GB2312" w:eastAsia="仿宋_GB2312" w:hAnsi="仿宋_GB2312" w:cs="仿宋_GB2312"/>
          <w:sz w:val="32"/>
          <w:szCs w:val="32"/>
        </w:rPr>
        <w:t>根据咨询委托人提供的资料及其介绍，本次咨询对象所属项目用途为</w:t>
      </w:r>
      <w:r w:rsidRPr="00544A1A">
        <w:rPr>
          <w:rFonts w:ascii="仿宋_GB2312" w:eastAsia="仿宋_GB2312" w:hAnsi="仿宋_GB2312" w:cs="仿宋_GB2312" w:hint="eastAsia"/>
          <w:sz w:val="32"/>
          <w:szCs w:val="32"/>
        </w:rPr>
        <w:t>住宅用地</w:t>
      </w:r>
      <w:r w:rsidRPr="00544A1A">
        <w:rPr>
          <w:rFonts w:ascii="仿宋_GB2312" w:eastAsia="仿宋_GB2312" w:hAnsi="仿宋_GB2312" w:cs="仿宋_GB2312"/>
          <w:sz w:val="32"/>
          <w:szCs w:val="32"/>
        </w:rPr>
        <w:t>，土地使用权类型为</w:t>
      </w:r>
      <w:r w:rsidRPr="00544A1A">
        <w:rPr>
          <w:rFonts w:ascii="仿宋_GB2312" w:eastAsia="仿宋_GB2312" w:hAnsi="仿宋_GB2312" w:cs="仿宋_GB2312" w:hint="eastAsia"/>
          <w:sz w:val="32"/>
          <w:szCs w:val="32"/>
        </w:rPr>
        <w:t>划拨</w:t>
      </w:r>
      <w:r w:rsidRPr="00544A1A">
        <w:rPr>
          <w:rFonts w:ascii="仿宋_GB2312" w:eastAsia="仿宋_GB2312" w:hAnsi="仿宋_GB2312" w:cs="仿宋_GB2312"/>
          <w:sz w:val="32"/>
          <w:szCs w:val="32"/>
        </w:rPr>
        <w:t>。</w:t>
      </w:r>
    </w:p>
    <w:p w14:paraId="4520902A" w14:textId="77777777" w:rsidR="00544A1A" w:rsidRPr="00544A1A" w:rsidRDefault="00544A1A" w:rsidP="00544A1A">
      <w:pPr>
        <w:spacing w:line="480" w:lineRule="auto"/>
        <w:ind w:firstLine="420"/>
        <w:rPr>
          <w:rFonts w:ascii="仿宋_GB2312" w:eastAsia="仿宋_GB2312" w:hAnsi="仿宋_GB2312" w:cs="仿宋_GB2312" w:hint="eastAsia"/>
          <w:sz w:val="32"/>
          <w:szCs w:val="32"/>
        </w:rPr>
      </w:pPr>
      <w:r w:rsidRPr="00544A1A">
        <w:rPr>
          <w:rFonts w:ascii="仿宋_GB2312" w:eastAsia="仿宋_GB2312" w:hAnsi="仿宋_GB2312" w:cs="仿宋_GB2312" w:hint="eastAsia"/>
          <w:sz w:val="32"/>
          <w:szCs w:val="32"/>
        </w:rPr>
        <w:t>根据评估专业人员调查，咨询对象所属住宅类六级地价区、商业类六级地价区，该级别土地开发程度为宗地红线外“</w:t>
      </w:r>
      <w:r w:rsidRPr="00544A1A">
        <w:rPr>
          <w:rFonts w:ascii="仿宋_GB2312" w:eastAsia="仿宋_GB2312" w:hAnsi="仿宋_GB2312" w:cs="仿宋_GB2312"/>
          <w:sz w:val="32"/>
          <w:szCs w:val="32"/>
        </w:rPr>
        <w:t>七通</w:t>
      </w:r>
      <w:r w:rsidRPr="00544A1A">
        <w:rPr>
          <w:rFonts w:ascii="仿宋_GB2312" w:eastAsia="仿宋_GB2312" w:hAnsi="仿宋_GB2312" w:cs="仿宋_GB2312" w:hint="eastAsia"/>
          <w:sz w:val="32"/>
          <w:szCs w:val="32"/>
        </w:rPr>
        <w:t>”（通路、通电、通讯、通上水、通下水、通燃气、通热）。</w:t>
      </w:r>
      <w:r w:rsidRPr="00544A1A">
        <w:rPr>
          <w:rFonts w:ascii="仿宋_GB2312" w:eastAsia="仿宋_GB2312" w:hAnsi="仿宋_GB2312" w:cs="仿宋_GB2312"/>
          <w:sz w:val="32"/>
          <w:szCs w:val="32"/>
        </w:rPr>
        <w:t>根据咨询委托人介绍，咨询对象供地开发程度为宗地红线外“七通”（通路、通电、通讯、通上水、通下水、通燃气、通热）。</w:t>
      </w:r>
      <w:r w:rsidRPr="00544A1A">
        <w:rPr>
          <w:rFonts w:ascii="仿宋_GB2312" w:eastAsia="仿宋_GB2312" w:hAnsi="仿宋_GB2312" w:cs="仿宋_GB2312" w:hint="eastAsia"/>
          <w:sz w:val="32"/>
          <w:szCs w:val="32"/>
        </w:rPr>
        <w:t>本次咨询设定土地开发程度为红线外市政基础设施达“</w:t>
      </w:r>
      <w:r w:rsidRPr="00544A1A">
        <w:rPr>
          <w:rFonts w:ascii="仿宋_GB2312" w:eastAsia="仿宋_GB2312" w:hAnsi="仿宋_GB2312" w:cs="仿宋_GB2312"/>
          <w:sz w:val="32"/>
          <w:szCs w:val="32"/>
        </w:rPr>
        <w:t>七通</w:t>
      </w:r>
      <w:r w:rsidRPr="00544A1A">
        <w:rPr>
          <w:rFonts w:ascii="仿宋_GB2312" w:eastAsia="仿宋_GB2312" w:hAnsi="仿宋_GB2312" w:cs="仿宋_GB2312" w:hint="eastAsia"/>
          <w:sz w:val="32"/>
          <w:szCs w:val="32"/>
        </w:rPr>
        <w:t>”（通路、通电、通讯、通上水、通下水、通燃气、通热）、宗地内“场地平整”。</w:t>
      </w:r>
    </w:p>
    <w:p w14:paraId="0D478463" w14:textId="77777777" w:rsidR="00544A1A" w:rsidRPr="00544A1A" w:rsidRDefault="00544A1A" w:rsidP="00544A1A">
      <w:pPr>
        <w:spacing w:line="480" w:lineRule="auto"/>
        <w:ind w:firstLine="420"/>
        <w:rPr>
          <w:rFonts w:ascii="仿宋_GB2312" w:eastAsia="仿宋_GB2312" w:hAnsi="仿宋_GB2312" w:cs="仿宋_GB2312" w:hint="eastAsia"/>
          <w:sz w:val="32"/>
          <w:szCs w:val="32"/>
        </w:rPr>
      </w:pPr>
      <w:r w:rsidRPr="00544A1A">
        <w:rPr>
          <w:rFonts w:ascii="仿宋_GB2312" w:eastAsia="仿宋_GB2312" w:hAnsi="仿宋_GB2312" w:cs="仿宋_GB2312"/>
          <w:sz w:val="32"/>
          <w:szCs w:val="32"/>
        </w:rPr>
        <w:t>根据咨询委托人提供的资料及其介绍，本项目土地面积为16162.6平方米，规划</w:t>
      </w:r>
      <w:r w:rsidRPr="00544A1A">
        <w:rPr>
          <w:rFonts w:ascii="仿宋_GB2312" w:eastAsia="仿宋_GB2312" w:hAnsi="仿宋_GB2312" w:cs="仿宋_GB2312" w:hint="eastAsia"/>
          <w:sz w:val="32"/>
          <w:szCs w:val="32"/>
        </w:rPr>
        <w:t>地上</w:t>
      </w:r>
      <w:r w:rsidRPr="00544A1A">
        <w:rPr>
          <w:rFonts w:ascii="仿宋_GB2312" w:eastAsia="仿宋_GB2312" w:hAnsi="仿宋_GB2312" w:cs="仿宋_GB2312"/>
          <w:sz w:val="32"/>
          <w:szCs w:val="32"/>
        </w:rPr>
        <w:t>建筑面积为</w:t>
      </w:r>
      <w:r w:rsidRPr="00544A1A">
        <w:rPr>
          <w:rFonts w:ascii="仿宋_GB2312" w:eastAsia="仿宋_GB2312" w:hAnsi="仿宋_GB2312" w:cs="仿宋_GB2312" w:hint="eastAsia"/>
          <w:sz w:val="32"/>
          <w:szCs w:val="32"/>
        </w:rPr>
        <w:t>45110</w:t>
      </w:r>
      <w:r w:rsidRPr="00544A1A">
        <w:rPr>
          <w:rFonts w:ascii="仿宋_GB2312" w:eastAsia="仿宋_GB2312" w:hAnsi="仿宋_GB2312" w:cs="仿宋_GB2312"/>
          <w:sz w:val="32"/>
          <w:szCs w:val="32"/>
        </w:rPr>
        <w:t>平方米，其中保租房建筑面积为</w:t>
      </w:r>
      <w:r w:rsidRPr="00544A1A">
        <w:rPr>
          <w:rFonts w:ascii="仿宋_GB2312" w:eastAsia="仿宋_GB2312" w:hAnsi="仿宋_GB2312" w:cs="仿宋_GB2312" w:hint="eastAsia"/>
          <w:sz w:val="32"/>
          <w:szCs w:val="32"/>
        </w:rPr>
        <w:t>39690</w:t>
      </w:r>
      <w:r w:rsidRPr="00544A1A">
        <w:rPr>
          <w:rFonts w:ascii="仿宋_GB2312" w:eastAsia="仿宋_GB2312" w:hAnsi="仿宋_GB2312" w:cs="仿宋_GB2312"/>
          <w:sz w:val="32"/>
          <w:szCs w:val="32"/>
        </w:rPr>
        <w:lastRenderedPageBreak/>
        <w:t>平方米，</w:t>
      </w:r>
      <w:r w:rsidRPr="00544A1A">
        <w:rPr>
          <w:rFonts w:ascii="仿宋_GB2312" w:eastAsia="仿宋_GB2312" w:hAnsi="仿宋_GB2312" w:cs="仿宋_GB2312" w:hint="eastAsia"/>
          <w:sz w:val="32"/>
          <w:szCs w:val="32"/>
        </w:rPr>
        <w:t>地上</w:t>
      </w:r>
      <w:r w:rsidRPr="00544A1A">
        <w:rPr>
          <w:rFonts w:ascii="仿宋_GB2312" w:eastAsia="仿宋_GB2312" w:hAnsi="仿宋_GB2312" w:cs="仿宋_GB2312"/>
          <w:sz w:val="32"/>
          <w:szCs w:val="32"/>
        </w:rPr>
        <w:t>商业建筑面积为</w:t>
      </w:r>
      <w:r w:rsidRPr="00544A1A">
        <w:rPr>
          <w:rFonts w:ascii="仿宋_GB2312" w:eastAsia="仿宋_GB2312" w:hAnsi="仿宋_GB2312" w:cs="仿宋_GB2312" w:hint="eastAsia"/>
          <w:sz w:val="32"/>
          <w:szCs w:val="32"/>
        </w:rPr>
        <w:t>5420</w:t>
      </w:r>
      <w:r w:rsidRPr="00544A1A">
        <w:rPr>
          <w:rFonts w:ascii="仿宋_GB2312" w:eastAsia="仿宋_GB2312" w:hAnsi="仿宋_GB2312" w:cs="仿宋_GB2312"/>
          <w:sz w:val="32"/>
          <w:szCs w:val="32"/>
        </w:rPr>
        <w:t>平方米，项目容积率为2.8。</w:t>
      </w:r>
      <w:r w:rsidRPr="00544A1A">
        <w:rPr>
          <w:rFonts w:ascii="仿宋_GB2312" w:eastAsia="仿宋_GB2312" w:hAnsi="仿宋_GB2312" w:cs="仿宋_GB2312" w:hint="eastAsia"/>
          <w:sz w:val="32"/>
          <w:szCs w:val="32"/>
        </w:rPr>
        <w:t>地下</w:t>
      </w:r>
      <w:r w:rsidRPr="00544A1A">
        <w:rPr>
          <w:rFonts w:ascii="仿宋_GB2312" w:eastAsia="仿宋_GB2312" w:hAnsi="仿宋_GB2312" w:cs="仿宋_GB2312"/>
          <w:sz w:val="32"/>
          <w:szCs w:val="32"/>
        </w:rPr>
        <w:t>商业建筑面积为</w:t>
      </w:r>
      <w:r w:rsidRPr="00544A1A">
        <w:rPr>
          <w:rFonts w:ascii="仿宋_GB2312" w:eastAsia="仿宋_GB2312" w:hAnsi="仿宋_GB2312" w:cs="仿宋_GB2312" w:hint="eastAsia"/>
          <w:sz w:val="32"/>
          <w:szCs w:val="32"/>
        </w:rPr>
        <w:t>3550</w:t>
      </w:r>
      <w:r w:rsidRPr="00544A1A">
        <w:rPr>
          <w:rFonts w:ascii="仿宋_GB2312" w:eastAsia="仿宋_GB2312" w:hAnsi="仿宋_GB2312" w:cs="仿宋_GB2312"/>
          <w:sz w:val="32"/>
          <w:szCs w:val="32"/>
        </w:rPr>
        <w:t>平方米，</w:t>
      </w:r>
      <w:r w:rsidRPr="00544A1A">
        <w:rPr>
          <w:rFonts w:ascii="仿宋_GB2312" w:eastAsia="仿宋_GB2312" w:hAnsi="仿宋_GB2312" w:cs="仿宋_GB2312" w:hint="eastAsia"/>
          <w:sz w:val="32"/>
          <w:szCs w:val="32"/>
        </w:rPr>
        <w:t>地下车库</w:t>
      </w:r>
      <w:r w:rsidRPr="00544A1A">
        <w:rPr>
          <w:rFonts w:ascii="仿宋_GB2312" w:eastAsia="仿宋_GB2312" w:hAnsi="仿宋_GB2312" w:cs="仿宋_GB2312"/>
          <w:sz w:val="32"/>
          <w:szCs w:val="32"/>
        </w:rPr>
        <w:t>建筑面积为</w:t>
      </w:r>
      <w:r w:rsidRPr="00544A1A">
        <w:rPr>
          <w:rFonts w:ascii="仿宋_GB2312" w:eastAsia="仿宋_GB2312" w:hAnsi="仿宋_GB2312" w:cs="仿宋_GB2312" w:hint="eastAsia"/>
          <w:sz w:val="32"/>
          <w:szCs w:val="32"/>
        </w:rPr>
        <w:t>57100</w:t>
      </w:r>
      <w:r w:rsidRPr="00544A1A">
        <w:rPr>
          <w:rFonts w:ascii="仿宋_GB2312" w:eastAsia="仿宋_GB2312" w:hAnsi="仿宋_GB2312" w:cs="仿宋_GB2312"/>
          <w:sz w:val="32"/>
          <w:szCs w:val="32"/>
        </w:rPr>
        <w:t>平方米</w:t>
      </w:r>
      <w:r w:rsidRPr="00544A1A">
        <w:rPr>
          <w:rFonts w:ascii="仿宋_GB2312" w:eastAsia="仿宋_GB2312" w:hAnsi="仿宋_GB2312" w:cs="仿宋_GB2312" w:hint="eastAsia"/>
          <w:sz w:val="32"/>
          <w:szCs w:val="32"/>
        </w:rPr>
        <w:t>。另外项目需在独立用地上建设</w:t>
      </w:r>
      <w:r w:rsidRPr="00544A1A">
        <w:rPr>
          <w:rFonts w:ascii="仿宋_GB2312" w:eastAsia="仿宋_GB2312" w:hAnsi="仿宋_GB2312" w:cs="仿宋_GB2312"/>
          <w:sz w:val="32"/>
          <w:szCs w:val="32"/>
        </w:rPr>
        <w:t>配套公服</w:t>
      </w:r>
      <w:r w:rsidRPr="00544A1A">
        <w:rPr>
          <w:rFonts w:ascii="仿宋_GB2312" w:eastAsia="仿宋_GB2312" w:hAnsi="仿宋_GB2312" w:cs="仿宋_GB2312" w:hint="eastAsia"/>
          <w:sz w:val="32"/>
          <w:szCs w:val="32"/>
        </w:rPr>
        <w:t>设施，</w:t>
      </w:r>
      <w:r w:rsidRPr="00544A1A">
        <w:rPr>
          <w:rFonts w:ascii="仿宋_GB2312" w:eastAsia="仿宋_GB2312" w:hAnsi="仿宋_GB2312" w:cs="仿宋_GB2312"/>
          <w:sz w:val="32"/>
          <w:szCs w:val="32"/>
        </w:rPr>
        <w:t>建筑面积为</w:t>
      </w:r>
      <w:r w:rsidRPr="00544A1A">
        <w:rPr>
          <w:rFonts w:ascii="仿宋_GB2312" w:eastAsia="仿宋_GB2312" w:hAnsi="仿宋_GB2312" w:cs="仿宋_GB2312" w:hint="eastAsia"/>
          <w:sz w:val="32"/>
          <w:szCs w:val="32"/>
        </w:rPr>
        <w:t>15800</w:t>
      </w:r>
      <w:r w:rsidRPr="00544A1A">
        <w:rPr>
          <w:rFonts w:ascii="仿宋_GB2312" w:eastAsia="仿宋_GB2312" w:hAnsi="仿宋_GB2312" w:cs="仿宋_GB2312"/>
          <w:sz w:val="32"/>
          <w:szCs w:val="32"/>
        </w:rPr>
        <w:t>平方米</w:t>
      </w:r>
      <w:bookmarkStart w:id="15" w:name="_Hlk170830766"/>
      <w:r w:rsidRPr="00544A1A">
        <w:rPr>
          <w:rFonts w:ascii="仿宋_GB2312" w:eastAsia="仿宋_GB2312" w:hAnsi="仿宋_GB2312" w:cs="仿宋_GB2312" w:hint="eastAsia"/>
          <w:sz w:val="32"/>
          <w:szCs w:val="32"/>
        </w:rPr>
        <w:t>，土地面积为7900平方米</w:t>
      </w:r>
      <w:bookmarkEnd w:id="15"/>
      <w:r w:rsidRPr="00544A1A">
        <w:rPr>
          <w:rFonts w:ascii="仿宋_GB2312" w:eastAsia="仿宋_GB2312" w:hAnsi="仿宋_GB2312" w:cs="仿宋_GB2312" w:hint="eastAsia"/>
          <w:sz w:val="32"/>
          <w:szCs w:val="32"/>
        </w:rPr>
        <w:t>。</w:t>
      </w:r>
    </w:p>
    <w:p w14:paraId="0BAE7760" w14:textId="77777777" w:rsidR="00544A1A" w:rsidRPr="00544A1A" w:rsidRDefault="00544A1A" w:rsidP="00544A1A">
      <w:pPr>
        <w:spacing w:line="480" w:lineRule="auto"/>
        <w:ind w:firstLine="420"/>
        <w:rPr>
          <w:rFonts w:ascii="仿宋_GB2312" w:eastAsia="仿宋_GB2312" w:hAnsi="仿宋_GB2312" w:cs="仿宋_GB2312" w:hint="eastAsia"/>
          <w:sz w:val="32"/>
          <w:szCs w:val="32"/>
        </w:rPr>
      </w:pPr>
      <w:r w:rsidRPr="00544A1A">
        <w:rPr>
          <w:rFonts w:ascii="仿宋_GB2312" w:eastAsia="仿宋_GB2312" w:hAnsi="仿宋_GB2312" w:cs="仿宋_GB2312"/>
          <w:sz w:val="32"/>
          <w:szCs w:val="32"/>
        </w:rPr>
        <w:t>本次咨询对象</w:t>
      </w:r>
      <w:r w:rsidRPr="00544A1A">
        <w:rPr>
          <w:rFonts w:ascii="仿宋_GB2312" w:eastAsia="仿宋_GB2312" w:hAnsi="仿宋_GB2312" w:cs="仿宋_GB2312" w:hint="eastAsia"/>
          <w:sz w:val="32"/>
          <w:szCs w:val="32"/>
        </w:rPr>
        <w:t>住宅用地</w:t>
      </w:r>
      <w:proofErr w:type="gramStart"/>
      <w:r w:rsidRPr="00544A1A">
        <w:rPr>
          <w:rFonts w:ascii="仿宋_GB2312" w:eastAsia="仿宋_GB2312" w:hAnsi="仿宋_GB2312" w:cs="仿宋_GB2312"/>
          <w:sz w:val="32"/>
          <w:szCs w:val="32"/>
        </w:rPr>
        <w:t>于</w:t>
      </w:r>
      <w:r w:rsidRPr="00544A1A">
        <w:rPr>
          <w:rFonts w:ascii="仿宋_GB2312" w:eastAsia="仿宋_GB2312" w:hAnsi="仿宋_GB2312" w:cs="仿宋_GB2312" w:hint="eastAsia"/>
          <w:sz w:val="32"/>
          <w:szCs w:val="32"/>
        </w:rPr>
        <w:t>咨询</w:t>
      </w:r>
      <w:proofErr w:type="gramEnd"/>
      <w:r w:rsidRPr="00544A1A">
        <w:rPr>
          <w:rFonts w:ascii="仿宋_GB2312" w:eastAsia="仿宋_GB2312" w:hAnsi="仿宋_GB2312" w:cs="仿宋_GB2312"/>
          <w:sz w:val="32"/>
          <w:szCs w:val="32"/>
        </w:rPr>
        <w:t>期日为</w:t>
      </w:r>
      <w:r w:rsidRPr="00544A1A">
        <w:rPr>
          <w:rFonts w:ascii="仿宋_GB2312" w:eastAsia="仿宋_GB2312" w:hAnsi="仿宋_GB2312" w:cs="仿宋_GB2312" w:hint="eastAsia"/>
          <w:sz w:val="32"/>
          <w:szCs w:val="32"/>
        </w:rPr>
        <w:t>划拨国有建设用地使用权</w:t>
      </w:r>
      <w:r w:rsidRPr="00544A1A">
        <w:rPr>
          <w:rFonts w:ascii="仿宋_GB2312" w:eastAsia="仿宋_GB2312" w:hAnsi="仿宋_GB2312" w:cs="仿宋_GB2312"/>
          <w:sz w:val="32"/>
          <w:szCs w:val="32"/>
        </w:rPr>
        <w:t>，考虑到本次</w:t>
      </w:r>
      <w:r w:rsidRPr="00544A1A">
        <w:rPr>
          <w:rFonts w:ascii="仿宋_GB2312" w:eastAsia="仿宋_GB2312" w:hAnsi="仿宋_GB2312" w:cs="仿宋_GB2312" w:hint="eastAsia"/>
          <w:sz w:val="32"/>
          <w:szCs w:val="32"/>
        </w:rPr>
        <w:t>咨询</w:t>
      </w:r>
      <w:r w:rsidRPr="00544A1A">
        <w:rPr>
          <w:rFonts w:ascii="仿宋_GB2312" w:eastAsia="仿宋_GB2312" w:hAnsi="仿宋_GB2312" w:cs="仿宋_GB2312"/>
          <w:sz w:val="32"/>
          <w:szCs w:val="32"/>
        </w:rPr>
        <w:t>目的，根据《中华人民共和国城镇国有土地使用权出让和转让暂行条例》[国务院令第55号]的有关规定，本次</w:t>
      </w:r>
      <w:r w:rsidRPr="00544A1A">
        <w:rPr>
          <w:rFonts w:ascii="仿宋_GB2312" w:eastAsia="仿宋_GB2312" w:hAnsi="仿宋_GB2312" w:cs="仿宋_GB2312" w:hint="eastAsia"/>
          <w:sz w:val="32"/>
          <w:szCs w:val="32"/>
        </w:rPr>
        <w:t>咨询</w:t>
      </w:r>
      <w:r w:rsidRPr="00544A1A">
        <w:rPr>
          <w:rFonts w:ascii="仿宋_GB2312" w:eastAsia="仿宋_GB2312" w:hAnsi="仿宋_GB2312" w:cs="仿宋_GB2312"/>
          <w:sz w:val="32"/>
          <w:szCs w:val="32"/>
        </w:rPr>
        <w:t>设定</w:t>
      </w:r>
      <w:r w:rsidRPr="00544A1A">
        <w:rPr>
          <w:rFonts w:ascii="仿宋_GB2312" w:eastAsia="仿宋_GB2312" w:hAnsi="仿宋_GB2312" w:cs="仿宋_GB2312" w:hint="eastAsia"/>
          <w:sz w:val="32"/>
          <w:szCs w:val="32"/>
        </w:rPr>
        <w:t>咨询对象</w:t>
      </w:r>
      <w:r w:rsidRPr="00544A1A">
        <w:rPr>
          <w:rFonts w:ascii="仿宋_GB2312" w:eastAsia="仿宋_GB2312" w:hAnsi="仿宋_GB2312" w:cs="仿宋_GB2312"/>
          <w:sz w:val="32"/>
          <w:szCs w:val="32"/>
        </w:rPr>
        <w:t>土地使用年限为</w:t>
      </w:r>
      <w:r w:rsidRPr="00544A1A">
        <w:rPr>
          <w:rFonts w:ascii="仿宋_GB2312" w:eastAsia="仿宋_GB2312" w:hAnsi="仿宋_GB2312" w:cs="仿宋_GB2312" w:hint="eastAsia"/>
          <w:sz w:val="32"/>
          <w:szCs w:val="32"/>
        </w:rPr>
        <w:t>住宅</w:t>
      </w:r>
      <w:r w:rsidRPr="00544A1A">
        <w:rPr>
          <w:rFonts w:ascii="仿宋_GB2312" w:eastAsia="仿宋_GB2312" w:hAnsi="仿宋_GB2312" w:cs="仿宋_GB2312"/>
          <w:sz w:val="32"/>
          <w:szCs w:val="32"/>
        </w:rPr>
        <w:t>用途法定最高使用年限</w:t>
      </w:r>
      <w:r w:rsidRPr="00544A1A">
        <w:rPr>
          <w:rFonts w:ascii="仿宋_GB2312" w:eastAsia="仿宋_GB2312" w:hAnsi="仿宋_GB2312" w:cs="仿宋_GB2312" w:hint="eastAsia"/>
          <w:sz w:val="32"/>
          <w:szCs w:val="32"/>
        </w:rPr>
        <w:t>70</w:t>
      </w:r>
      <w:r w:rsidRPr="00544A1A">
        <w:rPr>
          <w:rFonts w:ascii="仿宋_GB2312" w:eastAsia="仿宋_GB2312" w:hAnsi="仿宋_GB2312" w:cs="仿宋_GB2312"/>
          <w:sz w:val="32"/>
          <w:szCs w:val="32"/>
        </w:rPr>
        <w:t>年</w:t>
      </w:r>
      <w:r w:rsidRPr="00544A1A">
        <w:rPr>
          <w:rFonts w:ascii="仿宋_GB2312" w:eastAsia="仿宋_GB2312" w:hAnsi="仿宋_GB2312" w:cs="仿宋_GB2312" w:hint="eastAsia"/>
          <w:sz w:val="32"/>
          <w:szCs w:val="32"/>
        </w:rPr>
        <w:t>、地下车库</w:t>
      </w:r>
      <w:r w:rsidRPr="00544A1A">
        <w:rPr>
          <w:rFonts w:ascii="仿宋_GB2312" w:eastAsia="仿宋_GB2312" w:hAnsi="仿宋_GB2312" w:cs="仿宋_GB2312"/>
          <w:sz w:val="32"/>
          <w:szCs w:val="32"/>
        </w:rPr>
        <w:t>用途法定最高使用年限</w:t>
      </w:r>
      <w:r w:rsidRPr="00544A1A">
        <w:rPr>
          <w:rFonts w:ascii="仿宋_GB2312" w:eastAsia="仿宋_GB2312" w:hAnsi="仿宋_GB2312" w:cs="仿宋_GB2312" w:hint="eastAsia"/>
          <w:sz w:val="32"/>
          <w:szCs w:val="32"/>
        </w:rPr>
        <w:t>50</w:t>
      </w:r>
      <w:r w:rsidRPr="00544A1A">
        <w:rPr>
          <w:rFonts w:ascii="仿宋_GB2312" w:eastAsia="仿宋_GB2312" w:hAnsi="仿宋_GB2312" w:cs="仿宋_GB2312"/>
          <w:sz w:val="32"/>
          <w:szCs w:val="32"/>
        </w:rPr>
        <w:t>年。</w:t>
      </w:r>
    </w:p>
    <w:p w14:paraId="3F265433" w14:textId="77777777" w:rsidR="00544A1A" w:rsidRPr="00544A1A" w:rsidRDefault="00544A1A" w:rsidP="00544A1A">
      <w:pPr>
        <w:spacing w:line="480" w:lineRule="auto"/>
        <w:ind w:firstLine="420"/>
        <w:rPr>
          <w:rFonts w:ascii="仿宋_GB2312" w:eastAsia="仿宋_GB2312" w:hAnsi="仿宋_GB2312" w:cs="仿宋_GB2312" w:hint="eastAsia"/>
          <w:sz w:val="32"/>
          <w:szCs w:val="32"/>
        </w:rPr>
      </w:pPr>
      <w:r w:rsidRPr="00544A1A">
        <w:rPr>
          <w:rFonts w:ascii="仿宋_GB2312" w:eastAsia="仿宋_GB2312" w:hAnsi="仿宋_GB2312" w:cs="仿宋_GB2312" w:hint="eastAsia"/>
          <w:sz w:val="32"/>
          <w:szCs w:val="32"/>
        </w:rPr>
        <w:t>根据</w:t>
      </w:r>
      <w:r w:rsidRPr="00544A1A">
        <w:rPr>
          <w:rFonts w:ascii="仿宋_GB2312" w:eastAsia="仿宋_GB2312" w:hAnsi="仿宋_GB2312" w:cs="仿宋_GB2312"/>
          <w:sz w:val="32"/>
          <w:szCs w:val="32"/>
        </w:rPr>
        <w:t>咨询委托人</w:t>
      </w:r>
      <w:r w:rsidRPr="00544A1A">
        <w:rPr>
          <w:rFonts w:ascii="仿宋_GB2312" w:eastAsia="仿宋_GB2312" w:hAnsi="仿宋_GB2312" w:cs="仿宋_GB2312" w:hint="eastAsia"/>
          <w:sz w:val="32"/>
          <w:szCs w:val="32"/>
        </w:rPr>
        <w:t>介绍，咨询对象商业用地</w:t>
      </w:r>
      <w:proofErr w:type="gramStart"/>
      <w:r w:rsidRPr="00544A1A">
        <w:rPr>
          <w:rFonts w:ascii="仿宋_GB2312" w:eastAsia="仿宋_GB2312" w:hAnsi="仿宋_GB2312" w:cs="仿宋_GB2312"/>
          <w:sz w:val="32"/>
          <w:szCs w:val="32"/>
        </w:rPr>
        <w:t>于</w:t>
      </w:r>
      <w:r w:rsidRPr="00544A1A">
        <w:rPr>
          <w:rFonts w:ascii="仿宋_GB2312" w:eastAsia="仿宋_GB2312" w:hAnsi="仿宋_GB2312" w:cs="仿宋_GB2312" w:hint="eastAsia"/>
          <w:sz w:val="32"/>
          <w:szCs w:val="32"/>
        </w:rPr>
        <w:t>咨询</w:t>
      </w:r>
      <w:r w:rsidRPr="00544A1A">
        <w:rPr>
          <w:rFonts w:ascii="仿宋_GB2312" w:eastAsia="仿宋_GB2312" w:hAnsi="仿宋_GB2312" w:cs="仿宋_GB2312"/>
          <w:sz w:val="32"/>
          <w:szCs w:val="32"/>
        </w:rPr>
        <w:t>期日</w:t>
      </w:r>
      <w:r w:rsidRPr="00544A1A">
        <w:rPr>
          <w:rFonts w:ascii="仿宋_GB2312" w:eastAsia="仿宋_GB2312" w:hAnsi="仿宋_GB2312" w:cs="仿宋_GB2312" w:hint="eastAsia"/>
          <w:sz w:val="32"/>
          <w:szCs w:val="32"/>
        </w:rPr>
        <w:t>国有</w:t>
      </w:r>
      <w:proofErr w:type="gramEnd"/>
      <w:r w:rsidRPr="00544A1A">
        <w:rPr>
          <w:rFonts w:ascii="仿宋_GB2312" w:eastAsia="仿宋_GB2312" w:hAnsi="仿宋_GB2312" w:cs="仿宋_GB2312" w:hint="eastAsia"/>
          <w:sz w:val="32"/>
          <w:szCs w:val="32"/>
        </w:rPr>
        <w:t>建设用地使用权类型为出让，土地使用期限至2052年1月18日止，截至咨询期日，咨询对象商业</w:t>
      </w:r>
      <w:r w:rsidRPr="00544A1A">
        <w:rPr>
          <w:rFonts w:ascii="仿宋_GB2312" w:eastAsia="仿宋_GB2312" w:hAnsi="仿宋_GB2312" w:cs="仿宋_GB2312"/>
          <w:sz w:val="32"/>
          <w:szCs w:val="32"/>
        </w:rPr>
        <w:t>用途</w:t>
      </w:r>
      <w:r w:rsidRPr="00544A1A">
        <w:rPr>
          <w:rFonts w:ascii="仿宋_GB2312" w:eastAsia="仿宋_GB2312" w:hAnsi="仿宋_GB2312" w:cs="仿宋_GB2312" w:hint="eastAsia"/>
          <w:sz w:val="32"/>
          <w:szCs w:val="32"/>
        </w:rPr>
        <w:t>土地剩余</w:t>
      </w:r>
      <w:r w:rsidRPr="00544A1A">
        <w:rPr>
          <w:rFonts w:ascii="仿宋_GB2312" w:eastAsia="仿宋_GB2312" w:hAnsi="仿宋_GB2312" w:cs="仿宋_GB2312"/>
          <w:sz w:val="32"/>
          <w:szCs w:val="32"/>
        </w:rPr>
        <w:t>使用年限</w:t>
      </w:r>
      <w:r w:rsidRPr="00544A1A">
        <w:rPr>
          <w:rFonts w:ascii="仿宋_GB2312" w:eastAsia="仿宋_GB2312" w:hAnsi="仿宋_GB2312" w:cs="仿宋_GB2312" w:hint="eastAsia"/>
          <w:sz w:val="32"/>
          <w:szCs w:val="32"/>
        </w:rPr>
        <w:t>为28.27年，本次咨询设定咨询对象商业</w:t>
      </w:r>
      <w:r w:rsidRPr="00544A1A">
        <w:rPr>
          <w:rFonts w:ascii="仿宋_GB2312" w:eastAsia="仿宋_GB2312" w:hAnsi="仿宋_GB2312" w:cs="仿宋_GB2312"/>
          <w:sz w:val="32"/>
          <w:szCs w:val="32"/>
        </w:rPr>
        <w:t>用途</w:t>
      </w:r>
      <w:r w:rsidRPr="00544A1A">
        <w:rPr>
          <w:rFonts w:ascii="仿宋_GB2312" w:eastAsia="仿宋_GB2312" w:hAnsi="仿宋_GB2312" w:cs="仿宋_GB2312" w:hint="eastAsia"/>
          <w:sz w:val="32"/>
          <w:szCs w:val="32"/>
        </w:rPr>
        <w:t>土地剩余</w:t>
      </w:r>
      <w:r w:rsidRPr="00544A1A">
        <w:rPr>
          <w:rFonts w:ascii="仿宋_GB2312" w:eastAsia="仿宋_GB2312" w:hAnsi="仿宋_GB2312" w:cs="仿宋_GB2312"/>
          <w:sz w:val="32"/>
          <w:szCs w:val="32"/>
        </w:rPr>
        <w:t>使用年限</w:t>
      </w:r>
      <w:r w:rsidRPr="00544A1A">
        <w:rPr>
          <w:rFonts w:ascii="仿宋_GB2312" w:eastAsia="仿宋_GB2312" w:hAnsi="仿宋_GB2312" w:cs="仿宋_GB2312" w:hint="eastAsia"/>
          <w:sz w:val="32"/>
          <w:szCs w:val="32"/>
        </w:rPr>
        <w:t>为28.27年。</w:t>
      </w:r>
    </w:p>
    <w:p w14:paraId="3C78F674" w14:textId="77777777" w:rsidR="00F962E2" w:rsidRDefault="00544A1A" w:rsidP="00544A1A">
      <w:pPr>
        <w:adjustRightInd w:val="0"/>
        <w:snapToGrid w:val="0"/>
        <w:spacing w:line="560" w:lineRule="exact"/>
        <w:ind w:firstLineChars="200" w:firstLine="640"/>
        <w:rPr>
          <w:rFonts w:ascii="仿宋_GB2312" w:eastAsia="仿宋_GB2312" w:hAnsi="仿宋_GB2312" w:cs="仿宋_GB2312" w:hint="eastAsia"/>
          <w:sz w:val="32"/>
          <w:szCs w:val="32"/>
        </w:rPr>
      </w:pPr>
      <w:r w:rsidRPr="00544A1A">
        <w:rPr>
          <w:rFonts w:ascii="仿宋_GB2312" w:eastAsia="仿宋_GB2312" w:hAnsi="仿宋_GB2312" w:cs="仿宋_GB2312" w:hint="eastAsia"/>
          <w:sz w:val="32"/>
          <w:szCs w:val="32"/>
        </w:rPr>
        <w:t>根据咨询委托人介绍，咨询对象实际容积率为2.8，本次咨询设定咨询对象容积率为2.8。</w:t>
      </w:r>
    </w:p>
    <w:p w14:paraId="07939663" w14:textId="77777777" w:rsidR="00544A1A" w:rsidRPr="00544A1A" w:rsidRDefault="00544A1A" w:rsidP="00544A1A">
      <w:pPr>
        <w:pStyle w:val="2"/>
        <w:ind w:leftChars="0" w:left="0" w:firstLine="640"/>
        <w:rPr>
          <w:rFonts w:ascii="仿宋_GB2312" w:eastAsia="仿宋_GB2312" w:hAnsi="仿宋_GB2312" w:cs="仿宋_GB2312" w:hint="eastAsia"/>
          <w:sz w:val="32"/>
          <w:szCs w:val="32"/>
        </w:rPr>
      </w:pPr>
      <w:r w:rsidRPr="00544A1A">
        <w:rPr>
          <w:rFonts w:ascii="仿宋_GB2312" w:eastAsia="仿宋_GB2312" w:hAnsi="仿宋_GB2312" w:cs="仿宋_GB2312" w:hint="eastAsia"/>
          <w:sz w:val="32"/>
          <w:szCs w:val="32"/>
        </w:rPr>
        <w:t>评估专业人员根据本次咨询的目的，以咨询委托人提供的资料及要求为依据，采用科学的估算方法，在认真分析现有资料的基础上，通过仔细测算和认真分析各种影响房地产价格的因素，确定咨询对象在</w:t>
      </w:r>
      <w:r w:rsidRPr="00544A1A">
        <w:rPr>
          <w:rFonts w:ascii="仿宋_GB2312" w:eastAsia="仿宋_GB2312" w:hAnsi="仿宋_GB2312" w:cs="仿宋_GB2312"/>
          <w:sz w:val="32"/>
          <w:szCs w:val="32"/>
        </w:rPr>
        <w:t>2023年10月16日</w:t>
      </w:r>
      <w:r w:rsidRPr="00544A1A">
        <w:rPr>
          <w:rFonts w:ascii="仿宋_GB2312" w:eastAsia="仿宋_GB2312" w:hAnsi="仿宋_GB2312" w:cs="仿宋_GB2312" w:hint="eastAsia"/>
          <w:sz w:val="32"/>
          <w:szCs w:val="32"/>
        </w:rPr>
        <w:t>于设定条件下可能形成的土地使用权收购补偿价格约为18294万元（大写金额：</w:t>
      </w:r>
      <w:proofErr w:type="gramStart"/>
      <w:r w:rsidRPr="00544A1A">
        <w:rPr>
          <w:rFonts w:ascii="仿宋_GB2312" w:eastAsia="仿宋_GB2312" w:hAnsi="仿宋_GB2312" w:cs="仿宋_GB2312" w:hint="eastAsia"/>
          <w:sz w:val="32"/>
          <w:szCs w:val="32"/>
        </w:rPr>
        <w:t>壹亿捌仟贰佰玖拾肆万</w:t>
      </w:r>
      <w:proofErr w:type="gramEnd"/>
      <w:r w:rsidRPr="00544A1A">
        <w:rPr>
          <w:rFonts w:ascii="仿宋_GB2312" w:eastAsia="仿宋_GB2312" w:hAnsi="仿宋_GB2312" w:cs="仿宋_GB2312" w:hint="eastAsia"/>
          <w:sz w:val="32"/>
          <w:szCs w:val="32"/>
        </w:rPr>
        <w:t>元整）（币种：人民币）。</w:t>
      </w:r>
    </w:p>
    <w:p w14:paraId="43FD0A10" w14:textId="77777777" w:rsidR="004A2384" w:rsidRDefault="004A2384" w:rsidP="00963362">
      <w:pPr>
        <w:pStyle w:val="1"/>
      </w:pPr>
      <w:bookmarkStart w:id="16" w:name="_Toc174720301"/>
      <w:r>
        <w:rPr>
          <w:rFonts w:hint="eastAsia"/>
        </w:rPr>
        <w:t>三、市场分析</w:t>
      </w:r>
      <w:bookmarkEnd w:id="16"/>
    </w:p>
    <w:p w14:paraId="5D77E732" w14:textId="77777777" w:rsidR="00153CBF" w:rsidRPr="00153CBF" w:rsidRDefault="00153CBF" w:rsidP="00153CBF">
      <w:pPr>
        <w:pStyle w:val="20"/>
        <w:ind w:firstLine="643"/>
        <w:rPr>
          <w:rFonts w:ascii="仿宋_GB2312" w:eastAsia="仿宋_GB2312"/>
        </w:rPr>
      </w:pPr>
      <w:bookmarkStart w:id="17" w:name="_Toc174720302"/>
      <w:r w:rsidRPr="00153CBF">
        <w:rPr>
          <w:rFonts w:ascii="仿宋_GB2312" w:eastAsia="仿宋_GB2312"/>
        </w:rPr>
        <w:t>（</w:t>
      </w:r>
      <w:r w:rsidRPr="00153CBF">
        <w:rPr>
          <w:rFonts w:ascii="仿宋_GB2312" w:eastAsia="仿宋_GB2312" w:hint="eastAsia"/>
        </w:rPr>
        <w:t>一</w:t>
      </w:r>
      <w:r w:rsidRPr="00153CBF">
        <w:rPr>
          <w:rFonts w:ascii="仿宋_GB2312" w:eastAsia="仿宋_GB2312"/>
        </w:rPr>
        <w:t>）土地市场</w:t>
      </w:r>
      <w:bookmarkEnd w:id="17"/>
    </w:p>
    <w:p w14:paraId="5BED4BC5" w14:textId="77777777" w:rsidR="00153CBF" w:rsidRPr="00153CBF" w:rsidRDefault="00153CBF">
      <w:pPr>
        <w:widowControl/>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土地供应情况</w:t>
      </w:r>
    </w:p>
    <w:p w14:paraId="39809FE8" w14:textId="77777777" w:rsidR="00153CBF" w:rsidRPr="00153CBF" w:rsidRDefault="00153CBF">
      <w:pPr>
        <w:widowControl/>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lastRenderedPageBreak/>
        <w:t>2023年三季度北京商品住宅用地共推出14宗，累计供应</w:t>
      </w:r>
      <w:proofErr w:type="gramStart"/>
      <w:r w:rsidRPr="00153CBF">
        <w:rPr>
          <w:rFonts w:ascii="仿宋_GB2312" w:eastAsia="仿宋_GB2312" w:hAnsi="仿宋_GB2312" w:cs="仿宋_GB2312" w:hint="eastAsia"/>
          <w:sz w:val="32"/>
          <w:szCs w:val="32"/>
        </w:rPr>
        <w:t>规划建面</w:t>
      </w:r>
      <w:proofErr w:type="gramEnd"/>
      <w:r w:rsidRPr="00153CBF">
        <w:rPr>
          <w:rFonts w:ascii="仿宋_GB2312" w:eastAsia="仿宋_GB2312" w:hAnsi="仿宋_GB2312" w:cs="仿宋_GB2312" w:hint="eastAsia"/>
          <w:sz w:val="32"/>
          <w:szCs w:val="32"/>
        </w:rPr>
        <w:t>152.52万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，同比增长3%。三季度，北京累计成交12宗商品住宅用地，成交</w:t>
      </w:r>
      <w:proofErr w:type="gramStart"/>
      <w:r w:rsidRPr="00153CBF">
        <w:rPr>
          <w:rFonts w:ascii="仿宋_GB2312" w:eastAsia="仿宋_GB2312" w:hAnsi="仿宋_GB2312" w:cs="仿宋_GB2312" w:hint="eastAsia"/>
          <w:sz w:val="32"/>
          <w:szCs w:val="32"/>
        </w:rPr>
        <w:t>规划建面</w:t>
      </w:r>
      <w:proofErr w:type="gramEnd"/>
      <w:r w:rsidRPr="00153CBF">
        <w:rPr>
          <w:rFonts w:ascii="仿宋_GB2312" w:eastAsia="仿宋_GB2312" w:hAnsi="仿宋_GB2312" w:cs="仿宋_GB2312" w:hint="eastAsia"/>
          <w:sz w:val="32"/>
          <w:szCs w:val="32"/>
        </w:rPr>
        <w:t>140.97万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，同比下降4%。整体来看，2023年北京第二批次宅地延续缓慢入市节奏，三季度仅成交12宗宅地；截止到9月底，北京第二轮次</w:t>
      </w:r>
      <w:proofErr w:type="gramStart"/>
      <w:r w:rsidRPr="00153CBF">
        <w:rPr>
          <w:rFonts w:ascii="仿宋_GB2312" w:eastAsia="仿宋_GB2312" w:hAnsi="仿宋_GB2312" w:cs="仿宋_GB2312" w:hint="eastAsia"/>
          <w:sz w:val="32"/>
          <w:szCs w:val="32"/>
        </w:rPr>
        <w:t>拟供应</w:t>
      </w:r>
      <w:proofErr w:type="gramEnd"/>
      <w:r w:rsidRPr="00153CBF">
        <w:rPr>
          <w:rFonts w:ascii="仿宋_GB2312" w:eastAsia="仿宋_GB2312" w:hAnsi="仿宋_GB2312" w:cs="仿宋_GB2312" w:hint="eastAsia"/>
          <w:sz w:val="32"/>
          <w:szCs w:val="32"/>
        </w:rPr>
        <w:t>宅地共计成交14宗，另外房山长阳镇FS00-0101-0002、0003地块暂停出让。</w:t>
      </w:r>
    </w:p>
    <w:p w14:paraId="16834ADF" w14:textId="12E7C844" w:rsidR="00153CBF" w:rsidRPr="00153CBF" w:rsidRDefault="00FF7947">
      <w:pPr>
        <w:widowControl/>
        <w:overflowPunct w:val="0"/>
        <w:spacing w:line="48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1CFE39BD" wp14:editId="06FC2A19">
            <wp:extent cx="5906770" cy="34036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770" cy="3403600"/>
                    </a:xfrm>
                    <a:prstGeom prst="rect">
                      <a:avLst/>
                    </a:prstGeom>
                    <a:noFill/>
                    <a:ln>
                      <a:noFill/>
                    </a:ln>
                  </pic:spPr>
                </pic:pic>
              </a:graphicData>
            </a:graphic>
          </wp:inline>
        </w:drawing>
      </w:r>
    </w:p>
    <w:p w14:paraId="45DBFA58" w14:textId="77777777" w:rsidR="00153CBF" w:rsidRPr="00153CBF" w:rsidRDefault="00153CBF">
      <w:pPr>
        <w:widowControl/>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土地成交情况</w:t>
      </w:r>
    </w:p>
    <w:p w14:paraId="231FD7B0"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2023年三季度，北京市中心城区仅朝阳和石景山</w:t>
      </w:r>
      <w:proofErr w:type="gramStart"/>
      <w:r w:rsidRPr="00153CBF">
        <w:rPr>
          <w:rFonts w:ascii="仿宋_GB2312" w:eastAsia="仿宋_GB2312" w:hAnsi="仿宋_GB2312" w:cs="仿宋_GB2312" w:hint="eastAsia"/>
          <w:sz w:val="32"/>
          <w:szCs w:val="32"/>
        </w:rPr>
        <w:t>各成交</w:t>
      </w:r>
      <w:proofErr w:type="gramEnd"/>
      <w:r w:rsidRPr="00153CBF">
        <w:rPr>
          <w:rFonts w:ascii="仿宋_GB2312" w:eastAsia="仿宋_GB2312" w:hAnsi="仿宋_GB2312" w:cs="仿宋_GB2312" w:hint="eastAsia"/>
          <w:sz w:val="32"/>
          <w:szCs w:val="32"/>
        </w:rPr>
        <w:t>1宗宅地，累计成交</w:t>
      </w:r>
      <w:proofErr w:type="gramStart"/>
      <w:r w:rsidRPr="00153CBF">
        <w:rPr>
          <w:rFonts w:ascii="仿宋_GB2312" w:eastAsia="仿宋_GB2312" w:hAnsi="仿宋_GB2312" w:cs="仿宋_GB2312" w:hint="eastAsia"/>
          <w:sz w:val="32"/>
          <w:szCs w:val="32"/>
        </w:rPr>
        <w:t>规划建面</w:t>
      </w:r>
      <w:proofErr w:type="gramEnd"/>
      <w:r w:rsidRPr="00153CBF">
        <w:rPr>
          <w:rFonts w:ascii="仿宋_GB2312" w:eastAsia="仿宋_GB2312" w:hAnsi="仿宋_GB2312" w:cs="仿宋_GB2312" w:hint="eastAsia"/>
          <w:sz w:val="32"/>
          <w:szCs w:val="32"/>
        </w:rPr>
        <w:t>24.68万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，占比18%，较上年同期下降29个百分点。近郊依然为宅地供求的主要区域，累计成交112.21万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，占比为80%，较去年同期提升26个百分点；其中昌平、大兴为主力成交区域，成交规模分别为48.02万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和35.08万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，成交规模占比分别为34%和25%。</w:t>
      </w:r>
    </w:p>
    <w:p w14:paraId="17A24CFD"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从不同区域来看，近郊</w:t>
      </w:r>
      <w:proofErr w:type="gramStart"/>
      <w:r w:rsidRPr="00153CBF">
        <w:rPr>
          <w:rFonts w:ascii="仿宋_GB2312" w:eastAsia="仿宋_GB2312" w:hAnsi="仿宋_GB2312" w:cs="仿宋_GB2312" w:hint="eastAsia"/>
          <w:sz w:val="32"/>
          <w:szCs w:val="32"/>
        </w:rPr>
        <w:t>区成交</w:t>
      </w:r>
      <w:proofErr w:type="gramEnd"/>
      <w:r w:rsidRPr="00153CBF">
        <w:rPr>
          <w:rFonts w:ascii="仿宋_GB2312" w:eastAsia="仿宋_GB2312" w:hAnsi="仿宋_GB2312" w:cs="仿宋_GB2312" w:hint="eastAsia"/>
          <w:sz w:val="32"/>
          <w:szCs w:val="32"/>
        </w:rPr>
        <w:t>规模显著增长，其中昌平、大兴成交</w:t>
      </w:r>
      <w:r w:rsidRPr="00153CBF">
        <w:rPr>
          <w:rFonts w:ascii="仿宋_GB2312" w:eastAsia="仿宋_GB2312" w:hAnsi="仿宋_GB2312" w:cs="仿宋_GB2312" w:hint="eastAsia"/>
          <w:sz w:val="32"/>
          <w:szCs w:val="32"/>
        </w:rPr>
        <w:lastRenderedPageBreak/>
        <w:t>规模同比分别增长429%和211%，顺义、房山同比下滑；中心城区成交规模下降64%，石景山、朝阳同比增长，丰台、海淀本季度无宅地成交；远郊区仅延庆成交1宗宅地，同比降幅为71%。</w:t>
      </w:r>
    </w:p>
    <w:p w14:paraId="4870356A" w14:textId="1A9DDA60" w:rsidR="00153CBF" w:rsidRPr="00153CBF" w:rsidRDefault="00FF7947">
      <w:pPr>
        <w:overflowPunct w:val="0"/>
        <w:spacing w:line="36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5FF9B7D6" wp14:editId="5C288C5E">
            <wp:extent cx="5902325" cy="187261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2325" cy="1872615"/>
                    </a:xfrm>
                    <a:prstGeom prst="rect">
                      <a:avLst/>
                    </a:prstGeom>
                    <a:noFill/>
                    <a:ln>
                      <a:noFill/>
                    </a:ln>
                  </pic:spPr>
                </pic:pic>
              </a:graphicData>
            </a:graphic>
          </wp:inline>
        </w:drawing>
      </w:r>
    </w:p>
    <w:p w14:paraId="13BE037E" w14:textId="77777777" w:rsidR="00153CBF" w:rsidRPr="00153CBF" w:rsidRDefault="00153CBF">
      <w:pPr>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土地成交价格</w:t>
      </w:r>
    </w:p>
    <w:p w14:paraId="7B98C665" w14:textId="77777777" w:rsidR="00153CBF" w:rsidRPr="00153CBF" w:rsidRDefault="00153CBF">
      <w:pPr>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2023年三季度，北京宅地整体成交楼面均价27153元/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，受去年同期丰台、海淀等地块高楼面价基数影响，同比结构下降20%。溢价率方面，受朝阳十八里店、大兴三合庄、</w:t>
      </w:r>
      <w:proofErr w:type="gramStart"/>
      <w:r w:rsidRPr="00153CBF">
        <w:rPr>
          <w:rFonts w:ascii="仿宋_GB2312" w:eastAsia="仿宋_GB2312" w:hAnsi="仿宋_GB2312" w:cs="仿宋_GB2312" w:hint="eastAsia"/>
          <w:sz w:val="32"/>
          <w:szCs w:val="32"/>
        </w:rPr>
        <w:t>大兴西</w:t>
      </w:r>
      <w:proofErr w:type="gramEnd"/>
      <w:r w:rsidRPr="00153CBF">
        <w:rPr>
          <w:rFonts w:ascii="仿宋_GB2312" w:eastAsia="仿宋_GB2312" w:hAnsi="仿宋_GB2312" w:cs="仿宋_GB2312" w:hint="eastAsia"/>
          <w:sz w:val="32"/>
          <w:szCs w:val="32"/>
        </w:rPr>
        <w:t>红门、大兴新城以及昌平沙河高教</w:t>
      </w:r>
      <w:proofErr w:type="gramStart"/>
      <w:r w:rsidRPr="00153CBF">
        <w:rPr>
          <w:rFonts w:ascii="仿宋_GB2312" w:eastAsia="仿宋_GB2312" w:hAnsi="仿宋_GB2312" w:cs="仿宋_GB2312" w:hint="eastAsia"/>
          <w:sz w:val="32"/>
          <w:szCs w:val="32"/>
        </w:rPr>
        <w:t>地块高溢价带</w:t>
      </w:r>
      <w:proofErr w:type="gramEnd"/>
      <w:r w:rsidRPr="00153CBF">
        <w:rPr>
          <w:rFonts w:ascii="仿宋_GB2312" w:eastAsia="仿宋_GB2312" w:hAnsi="仿宋_GB2312" w:cs="仿宋_GB2312" w:hint="eastAsia"/>
          <w:sz w:val="32"/>
          <w:szCs w:val="32"/>
        </w:rPr>
        <w:t>动，北京三季度宅地成交溢价率8.0%，同比提高1.9个百分点。但整体来看市场热度依然分化明显，成交的12宗地块中，5宗地块触及地价上限，溢价率15%，其中朝阳十八里店678地块，共吸引34家</w:t>
      </w:r>
      <w:proofErr w:type="gramStart"/>
      <w:r w:rsidRPr="00153CBF">
        <w:rPr>
          <w:rFonts w:ascii="仿宋_GB2312" w:eastAsia="仿宋_GB2312" w:hAnsi="仿宋_GB2312" w:cs="仿宋_GB2312" w:hint="eastAsia"/>
          <w:sz w:val="32"/>
          <w:szCs w:val="32"/>
        </w:rPr>
        <w:t>房企参与</w:t>
      </w:r>
      <w:proofErr w:type="gramEnd"/>
      <w:r w:rsidRPr="00153CBF">
        <w:rPr>
          <w:rFonts w:ascii="仿宋_GB2312" w:eastAsia="仿宋_GB2312" w:hAnsi="仿宋_GB2312" w:cs="仿宋_GB2312" w:hint="eastAsia"/>
          <w:sz w:val="32"/>
          <w:szCs w:val="32"/>
        </w:rPr>
        <w:t>竞拍；而延庆、房山阎村、石景山新首钢国际人才社区等4宗地块均以底价成交。</w:t>
      </w:r>
    </w:p>
    <w:p w14:paraId="2F0017CA"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分区域来看，中心城区楼面均价相对较高，朝阳成交楼面均价5.2万元/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以上；近郊区域成交楼面价多介于1.5-3.5万/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之间，其中大兴、通州地价相对较高，均超3.4万元/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，昌平、顺义成交楼面价超2.1万元/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。从同比变化来看，顺义、石景山、通州成交楼面价同比上涨，昌平、房山、大兴成交楼面价同比略下跌。</w:t>
      </w:r>
    </w:p>
    <w:p w14:paraId="319D670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lastRenderedPageBreak/>
        <w:t>从各个区域宅地竞拍情况来看，朝阳、大兴地块竞争较为激烈，</w:t>
      </w:r>
      <w:proofErr w:type="gramStart"/>
      <w:r w:rsidRPr="00153CBF">
        <w:rPr>
          <w:rFonts w:ascii="仿宋_GB2312" w:eastAsia="仿宋_GB2312" w:hAnsi="仿宋_GB2312" w:cs="仿宋_GB2312" w:hint="eastAsia"/>
          <w:sz w:val="32"/>
          <w:szCs w:val="32"/>
        </w:rPr>
        <w:t>均触达</w:t>
      </w:r>
      <w:proofErr w:type="gramEnd"/>
      <w:r w:rsidRPr="00153CBF">
        <w:rPr>
          <w:rFonts w:ascii="仿宋_GB2312" w:eastAsia="仿宋_GB2312" w:hAnsi="仿宋_GB2312" w:cs="仿宋_GB2312" w:hint="eastAsia"/>
          <w:sz w:val="32"/>
          <w:szCs w:val="32"/>
        </w:rPr>
        <w:t>地价上限；昌平、通州部分地块竞争也较激烈；而石景山、房山、延庆地块均以底价成交。</w:t>
      </w:r>
    </w:p>
    <w:p w14:paraId="7E86CF7C" w14:textId="2FFF4C8D" w:rsidR="00153CBF" w:rsidRPr="00153CBF" w:rsidRDefault="00FF7947">
      <w:pPr>
        <w:widowControl/>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0A0E8515" wp14:editId="59DA8A7A">
            <wp:extent cx="5906770" cy="173101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770" cy="1731010"/>
                    </a:xfrm>
                    <a:prstGeom prst="rect">
                      <a:avLst/>
                    </a:prstGeom>
                    <a:noFill/>
                    <a:ln>
                      <a:noFill/>
                    </a:ln>
                  </pic:spPr>
                </pic:pic>
              </a:graphicData>
            </a:graphic>
          </wp:inline>
        </w:drawing>
      </w:r>
    </w:p>
    <w:p w14:paraId="14D2B49F"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供应计划</w:t>
      </w:r>
    </w:p>
    <w:p w14:paraId="7267F2E1"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2月22日，北京</w:t>
      </w:r>
      <w:proofErr w:type="gramStart"/>
      <w:r w:rsidRPr="00153CBF">
        <w:rPr>
          <w:rFonts w:ascii="仿宋_GB2312" w:eastAsia="仿宋_GB2312" w:hAnsi="仿宋_GB2312" w:cs="仿宋_GB2312" w:hint="eastAsia"/>
          <w:sz w:val="32"/>
          <w:szCs w:val="32"/>
        </w:rPr>
        <w:t>规</w:t>
      </w:r>
      <w:proofErr w:type="gramEnd"/>
      <w:r w:rsidRPr="00153CBF">
        <w:rPr>
          <w:rFonts w:ascii="仿宋_GB2312" w:eastAsia="仿宋_GB2312" w:hAnsi="仿宋_GB2312" w:cs="仿宋_GB2312" w:hint="eastAsia"/>
          <w:sz w:val="32"/>
          <w:szCs w:val="32"/>
        </w:rPr>
        <w:t>自委、</w:t>
      </w:r>
      <w:proofErr w:type="gramStart"/>
      <w:r w:rsidRPr="00153CBF">
        <w:rPr>
          <w:rFonts w:ascii="仿宋_GB2312" w:eastAsia="仿宋_GB2312" w:hAnsi="仿宋_GB2312" w:cs="仿宋_GB2312" w:hint="eastAsia"/>
          <w:sz w:val="32"/>
          <w:szCs w:val="32"/>
        </w:rPr>
        <w:t>北京发改委</w:t>
      </w:r>
      <w:proofErr w:type="gramEnd"/>
      <w:r w:rsidRPr="00153CBF">
        <w:rPr>
          <w:rFonts w:ascii="仿宋_GB2312" w:eastAsia="仿宋_GB2312" w:hAnsi="仿宋_GB2312" w:cs="仿宋_GB2312" w:hint="eastAsia"/>
          <w:sz w:val="32"/>
          <w:szCs w:val="32"/>
        </w:rPr>
        <w:t>联合发布《北京市2023年度建设用地供应计划》。计划安排建设用地供应总量3190-3630公顷，与2022年基本持平。其中，住宅用地1060公顷（产权住宅用地800公顷，租赁住宅用地260公顷）。从各区供应计划来看，供地重点向城市副中心和多点地区倾斜，促进土地资源合理配置。中心城区、生态涵养区的供应比例均保持在20%左右，城市副中心和多点地区供应比率稳定在60%左右。</w:t>
      </w:r>
    </w:p>
    <w:p w14:paraId="18DD87A5" w14:textId="77777777" w:rsidR="00153CBF" w:rsidRPr="00153CBF" w:rsidRDefault="00153CBF" w:rsidP="00153CBF">
      <w:pPr>
        <w:pStyle w:val="20"/>
        <w:ind w:firstLine="643"/>
        <w:rPr>
          <w:rFonts w:ascii="仿宋_GB2312" w:eastAsia="仿宋_GB2312" w:hAnsi="仿宋_GB2312" w:cs="仿宋_GB2312" w:hint="eastAsia"/>
        </w:rPr>
      </w:pPr>
      <w:bookmarkStart w:id="18" w:name="_Toc174720303"/>
      <w:r w:rsidRPr="00153CBF">
        <w:rPr>
          <w:rFonts w:ascii="仿宋_GB2312" w:eastAsia="仿宋_GB2312" w:hAnsi="仿宋_GB2312" w:cs="仿宋_GB2312"/>
        </w:rPr>
        <w:t>（</w:t>
      </w:r>
      <w:r>
        <w:rPr>
          <w:rFonts w:ascii="仿宋_GB2312" w:eastAsia="仿宋_GB2312" w:hAnsi="仿宋_GB2312" w:cs="仿宋_GB2312" w:hint="eastAsia"/>
        </w:rPr>
        <w:t>二</w:t>
      </w:r>
      <w:r w:rsidRPr="00153CBF">
        <w:rPr>
          <w:rFonts w:ascii="仿宋_GB2312" w:eastAsia="仿宋_GB2312" w:hAnsi="仿宋_GB2312" w:cs="仿宋_GB2312"/>
        </w:rPr>
        <w:t>）商品房住宅市场</w:t>
      </w:r>
      <w:bookmarkEnd w:id="18"/>
    </w:p>
    <w:p w14:paraId="05A9799F"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商品住宅供给状况</w:t>
      </w:r>
    </w:p>
    <w:p w14:paraId="51AB7079"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2023年三季度北京商品住宅（不含保障房）供应止跌回升，供应节奏有所加快，累计供应134万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下降31%，整体供应规模仍相对较低。分月度来看，7/8月北京新房入市节奏放缓，供应规模持续低位；9月进入传统营销周期，叠加新政利好，新房供应节奏明显加快。整体来看，2023年前三季度，北京宅地供求缓慢，影响新房入市节奏，新房</w:t>
      </w:r>
      <w:r w:rsidRPr="00153CBF">
        <w:rPr>
          <w:rFonts w:ascii="仿宋_GB2312" w:eastAsia="仿宋_GB2312" w:hAnsi="仿宋_GB2312" w:cs="仿宋_GB2312" w:hint="eastAsia"/>
          <w:sz w:val="32"/>
          <w:szCs w:val="32"/>
        </w:rPr>
        <w:lastRenderedPageBreak/>
        <w:t>供应整体相对疲软。</w:t>
      </w:r>
    </w:p>
    <w:p w14:paraId="3906B62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供求关系方面，2023年三季度商品住宅市场</w:t>
      </w:r>
      <w:proofErr w:type="gramStart"/>
      <w:r w:rsidRPr="00153CBF">
        <w:rPr>
          <w:rFonts w:ascii="仿宋_GB2312" w:eastAsia="仿宋_GB2312" w:hAnsi="仿宋_GB2312" w:cs="仿宋_GB2312" w:hint="eastAsia"/>
          <w:sz w:val="32"/>
          <w:szCs w:val="32"/>
        </w:rPr>
        <w:t>销供比</w:t>
      </w:r>
      <w:proofErr w:type="gramEnd"/>
      <w:r w:rsidRPr="00153CBF">
        <w:rPr>
          <w:rFonts w:ascii="仿宋_GB2312" w:eastAsia="仿宋_GB2312" w:hAnsi="仿宋_GB2312" w:cs="仿宋_GB2312" w:hint="eastAsia"/>
          <w:sz w:val="32"/>
          <w:szCs w:val="32"/>
        </w:rPr>
        <w:t>为1.17，整体处于供求弱平衡状态，已经连续四个季度呈现供不应求态势。预计随着1/2批次成交地块的逐步入市，四季度北京新房供应有望持续增长。</w:t>
      </w:r>
    </w:p>
    <w:p w14:paraId="518630EF" w14:textId="5706D4AF" w:rsidR="00153CBF" w:rsidRPr="00153CBF" w:rsidRDefault="00FF7947">
      <w:pPr>
        <w:overflowPunct w:val="0"/>
        <w:spacing w:line="36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6A141F2A" wp14:editId="2C1FB245">
            <wp:extent cx="5970270" cy="18192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270" cy="1819275"/>
                    </a:xfrm>
                    <a:prstGeom prst="rect">
                      <a:avLst/>
                    </a:prstGeom>
                    <a:noFill/>
                    <a:ln>
                      <a:noFill/>
                    </a:ln>
                  </pic:spPr>
                </pic:pic>
              </a:graphicData>
            </a:graphic>
          </wp:inline>
        </w:drawing>
      </w:r>
    </w:p>
    <w:p w14:paraId="241020F6"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截至9月底，北京商品住宅（不含保障房）库存量为1076万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，较二季度末和去年同期分别下降0.7%和15.7%，库存规模进一步回落；出清周期方面，2023年9月，北京商品住宅（不含保障房）出清周期为17.8个月，较二季度末下降0.3个月，但仍需警惕结构性库存风险。</w:t>
      </w:r>
    </w:p>
    <w:p w14:paraId="19CD3292" w14:textId="712EF92F" w:rsidR="00153CBF" w:rsidRPr="00153CBF" w:rsidRDefault="00FF7947">
      <w:pPr>
        <w:overflowPunct w:val="0"/>
        <w:spacing w:line="36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20FC725D" wp14:editId="0CC15D8F">
            <wp:extent cx="5989955" cy="198501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9955" cy="1985010"/>
                    </a:xfrm>
                    <a:prstGeom prst="rect">
                      <a:avLst/>
                    </a:prstGeom>
                    <a:noFill/>
                    <a:ln>
                      <a:noFill/>
                    </a:ln>
                  </pic:spPr>
                </pic:pic>
              </a:graphicData>
            </a:graphic>
          </wp:inline>
        </w:drawing>
      </w:r>
    </w:p>
    <w:p w14:paraId="7019BD2A"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商品住宅成交情况</w:t>
      </w:r>
    </w:p>
    <w:p w14:paraId="267AE1F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Pr="00153CBF">
        <w:rPr>
          <w:rFonts w:ascii="仿宋_GB2312" w:eastAsia="仿宋_GB2312" w:hAnsi="仿宋_GB2312" w:cs="仿宋_GB2312" w:hint="eastAsia"/>
          <w:sz w:val="32"/>
          <w:szCs w:val="32"/>
        </w:rPr>
        <w:t>成交量</w:t>
      </w:r>
    </w:p>
    <w:p w14:paraId="533B247B"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2023年三季度北京商品住宅成交规模同环比均回落，新政落地后，市场热度短期明显升高。受行业整体延续低迷影响，叠加供应相对疲软，</w:t>
      </w:r>
      <w:r w:rsidRPr="00153CBF">
        <w:rPr>
          <w:rFonts w:ascii="仿宋_GB2312" w:eastAsia="仿宋_GB2312" w:hAnsi="仿宋_GB2312" w:cs="仿宋_GB2312" w:hint="eastAsia"/>
          <w:sz w:val="32"/>
          <w:szCs w:val="32"/>
        </w:rPr>
        <w:lastRenderedPageBreak/>
        <w:t>三季度北京新房市场表现相对一般，累计成交规模为158万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，同比下降5%，环比下降13%；分月度来看，7/8月市场持续低温运行，成交规模持续下滑；9月初，“认房不认贷”</w:t>
      </w:r>
      <w:proofErr w:type="gramStart"/>
      <w:r w:rsidRPr="00153CBF">
        <w:rPr>
          <w:rFonts w:ascii="仿宋_GB2312" w:eastAsia="仿宋_GB2312" w:hAnsi="仿宋_GB2312" w:cs="仿宋_GB2312" w:hint="eastAsia"/>
          <w:sz w:val="32"/>
          <w:szCs w:val="32"/>
        </w:rPr>
        <w:t>新政超</w:t>
      </w:r>
      <w:proofErr w:type="gramEnd"/>
      <w:r w:rsidRPr="00153CBF">
        <w:rPr>
          <w:rFonts w:ascii="仿宋_GB2312" w:eastAsia="仿宋_GB2312" w:hAnsi="仿宋_GB2312" w:cs="仿宋_GB2312" w:hint="eastAsia"/>
          <w:sz w:val="32"/>
          <w:szCs w:val="32"/>
        </w:rPr>
        <w:t>预期落地，市场短期反应热度较高，带动成交规模低位回升。但随着需求释放动能减弱，9月下旬北京新房市场热度回落，多数项目到访和认购量均明显下滑，市场逐渐趋于平稳。</w:t>
      </w:r>
    </w:p>
    <w:p w14:paraId="1EF37088" w14:textId="6B91BAA0" w:rsidR="00153CBF" w:rsidRPr="00153CBF" w:rsidRDefault="00FF7947">
      <w:pPr>
        <w:widowControl/>
        <w:overflowPunct w:val="0"/>
        <w:spacing w:line="48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0FBC270A" wp14:editId="4F5784E2">
            <wp:extent cx="5941060" cy="184848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1848485"/>
                    </a:xfrm>
                    <a:prstGeom prst="rect">
                      <a:avLst/>
                    </a:prstGeom>
                    <a:noFill/>
                    <a:ln>
                      <a:noFill/>
                    </a:ln>
                  </pic:spPr>
                </pic:pic>
              </a:graphicData>
            </a:graphic>
          </wp:inline>
        </w:drawing>
      </w:r>
    </w:p>
    <w:p w14:paraId="7C30CFD1"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sidRPr="00153CBF">
        <w:rPr>
          <w:rFonts w:ascii="仿宋_GB2312" w:eastAsia="仿宋_GB2312" w:hAnsi="仿宋_GB2312" w:cs="仿宋_GB2312" w:hint="eastAsia"/>
          <w:sz w:val="32"/>
          <w:szCs w:val="32"/>
        </w:rPr>
        <w:t>成交价格</w:t>
      </w:r>
    </w:p>
    <w:p w14:paraId="77A190E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Pr="00153CBF">
        <w:rPr>
          <w:rFonts w:ascii="仿宋_GB2312" w:eastAsia="仿宋_GB2312" w:hAnsi="仿宋_GB2312" w:cs="仿宋_GB2312" w:hint="eastAsia"/>
          <w:sz w:val="32"/>
          <w:szCs w:val="32"/>
        </w:rPr>
        <w:t>成交价格</w:t>
      </w:r>
    </w:p>
    <w:p w14:paraId="0C40605C"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北京商品住宅成交价格同比涨幅持续低位，累计涨幅低于去年同期。伴随改善型项目持续入市、中高端产品成交增加，新建商品住宅价格结构性小幅上涨。整体来看，三季度北京新建商品住宅价格为44837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，同比上涨0.4%，涨幅处于2021年以来低位水平；累计来看，三季度商品住房价格累计上涨0.20%，涨幅继续收窄，较去年同期收窄0.21个百分点。</w:t>
      </w:r>
    </w:p>
    <w:p w14:paraId="1CBD61B2" w14:textId="45F43712" w:rsidR="00153CBF" w:rsidRPr="00153CBF" w:rsidRDefault="00FF7947">
      <w:pPr>
        <w:overflowPunct w:val="0"/>
        <w:spacing w:line="48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lastRenderedPageBreak/>
        <w:drawing>
          <wp:inline distT="0" distB="0" distL="0" distR="0" wp14:anchorId="40326886" wp14:editId="6D648FF9">
            <wp:extent cx="5906770" cy="193611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6770" cy="1936115"/>
                    </a:xfrm>
                    <a:prstGeom prst="rect">
                      <a:avLst/>
                    </a:prstGeom>
                    <a:noFill/>
                    <a:ln>
                      <a:noFill/>
                    </a:ln>
                  </pic:spPr>
                </pic:pic>
              </a:graphicData>
            </a:graphic>
          </wp:inline>
        </w:drawing>
      </w:r>
    </w:p>
    <w:p w14:paraId="2859ACF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sidRPr="00153CBF">
        <w:rPr>
          <w:rFonts w:ascii="仿宋_GB2312" w:eastAsia="仿宋_GB2312" w:hAnsi="仿宋_GB2312" w:cs="仿宋_GB2312" w:hint="eastAsia"/>
          <w:sz w:val="32"/>
          <w:szCs w:val="32"/>
        </w:rPr>
        <w:t>成交结构</w:t>
      </w:r>
    </w:p>
    <w:p w14:paraId="134CC47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90-200平米面积段的刚改和改善型产品为市场成交主力，成交套数占比达58.3%，占比提升7.1个百分点，增幅显著；成交总价段主要集中在800万以下的中低/中高价位，其中500万元以下中低价位产品同比减少5.0个百分点，但仍为成交主力，成交套数占比达46.6%；500-1000万元的中高价</w:t>
      </w:r>
      <w:proofErr w:type="gramStart"/>
      <w:r w:rsidRPr="00153CBF">
        <w:rPr>
          <w:rFonts w:ascii="仿宋_GB2312" w:eastAsia="仿宋_GB2312" w:hAnsi="仿宋_GB2312" w:cs="仿宋_GB2312" w:hint="eastAsia"/>
          <w:sz w:val="32"/>
          <w:szCs w:val="32"/>
        </w:rPr>
        <w:t>段成交</w:t>
      </w:r>
      <w:proofErr w:type="gramEnd"/>
      <w:r w:rsidRPr="00153CBF">
        <w:rPr>
          <w:rFonts w:ascii="仿宋_GB2312" w:eastAsia="仿宋_GB2312" w:hAnsi="仿宋_GB2312" w:cs="仿宋_GB2312" w:hint="eastAsia"/>
          <w:sz w:val="32"/>
          <w:szCs w:val="32"/>
        </w:rPr>
        <w:t>占比增加5.5个百分点至36.1%。</w:t>
      </w:r>
    </w:p>
    <w:p w14:paraId="0319C91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改善型需求逐步释放，在中高端产品供应提供带动下，新房成交逐步由中低面积段向中</w:t>
      </w:r>
      <w:proofErr w:type="gramStart"/>
      <w:r w:rsidRPr="00153CBF">
        <w:rPr>
          <w:rFonts w:ascii="仿宋_GB2312" w:eastAsia="仿宋_GB2312" w:hAnsi="仿宋_GB2312" w:cs="仿宋_GB2312" w:hint="eastAsia"/>
          <w:sz w:val="32"/>
          <w:szCs w:val="32"/>
        </w:rPr>
        <w:t>高面积段</w:t>
      </w:r>
      <w:proofErr w:type="gramEnd"/>
      <w:r w:rsidRPr="00153CBF">
        <w:rPr>
          <w:rFonts w:ascii="仿宋_GB2312" w:eastAsia="仿宋_GB2312" w:hAnsi="仿宋_GB2312" w:cs="仿宋_GB2312" w:hint="eastAsia"/>
          <w:sz w:val="32"/>
          <w:szCs w:val="32"/>
        </w:rPr>
        <w:t>转移，成交总价</w:t>
      </w:r>
      <w:proofErr w:type="gramStart"/>
      <w:r w:rsidRPr="00153CBF">
        <w:rPr>
          <w:rFonts w:ascii="仿宋_GB2312" w:eastAsia="仿宋_GB2312" w:hAnsi="仿宋_GB2312" w:cs="仿宋_GB2312" w:hint="eastAsia"/>
          <w:sz w:val="32"/>
          <w:szCs w:val="32"/>
        </w:rPr>
        <w:t>段逐步</w:t>
      </w:r>
      <w:proofErr w:type="gramEnd"/>
      <w:r w:rsidRPr="00153CBF">
        <w:rPr>
          <w:rFonts w:ascii="仿宋_GB2312" w:eastAsia="仿宋_GB2312" w:hAnsi="仿宋_GB2312" w:cs="仿宋_GB2312" w:hint="eastAsia"/>
          <w:sz w:val="32"/>
          <w:szCs w:val="32"/>
        </w:rPr>
        <w:t>由中低价位向中高价位产品转移，而</w:t>
      </w:r>
      <w:proofErr w:type="gramStart"/>
      <w:r w:rsidRPr="00153CBF">
        <w:rPr>
          <w:rFonts w:ascii="仿宋_GB2312" w:eastAsia="仿宋_GB2312" w:hAnsi="仿宋_GB2312" w:cs="仿宋_GB2312" w:hint="eastAsia"/>
          <w:sz w:val="32"/>
          <w:szCs w:val="32"/>
        </w:rPr>
        <w:t>高面积段</w:t>
      </w:r>
      <w:proofErr w:type="gramEnd"/>
      <w:r w:rsidRPr="00153CBF">
        <w:rPr>
          <w:rFonts w:ascii="仿宋_GB2312" w:eastAsia="仿宋_GB2312" w:hAnsi="仿宋_GB2312" w:cs="仿宋_GB2312" w:hint="eastAsia"/>
          <w:sz w:val="32"/>
          <w:szCs w:val="32"/>
        </w:rPr>
        <w:t>和高价格</w:t>
      </w:r>
      <w:proofErr w:type="gramStart"/>
      <w:r w:rsidRPr="00153CBF">
        <w:rPr>
          <w:rFonts w:ascii="仿宋_GB2312" w:eastAsia="仿宋_GB2312" w:hAnsi="仿宋_GB2312" w:cs="仿宋_GB2312" w:hint="eastAsia"/>
          <w:sz w:val="32"/>
          <w:szCs w:val="32"/>
        </w:rPr>
        <w:t>段产品</w:t>
      </w:r>
      <w:proofErr w:type="gramEnd"/>
      <w:r w:rsidRPr="00153CBF">
        <w:rPr>
          <w:rFonts w:ascii="仿宋_GB2312" w:eastAsia="仿宋_GB2312" w:hAnsi="仿宋_GB2312" w:cs="仿宋_GB2312" w:hint="eastAsia"/>
          <w:sz w:val="32"/>
          <w:szCs w:val="32"/>
        </w:rPr>
        <w:t>同比变化幅度较小。</w:t>
      </w:r>
    </w:p>
    <w:p w14:paraId="0F438817" w14:textId="242191C9" w:rsidR="00153CBF" w:rsidRPr="00153CBF" w:rsidRDefault="00FF7947">
      <w:pPr>
        <w:tabs>
          <w:tab w:val="left" w:pos="426"/>
        </w:tabs>
        <w:overflowPunct w:val="0"/>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68E0B7DE" wp14:editId="22F82148">
            <wp:extent cx="5906770" cy="18923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6770" cy="1892300"/>
                    </a:xfrm>
                    <a:prstGeom prst="rect">
                      <a:avLst/>
                    </a:prstGeom>
                    <a:noFill/>
                    <a:ln>
                      <a:noFill/>
                    </a:ln>
                  </pic:spPr>
                </pic:pic>
              </a:graphicData>
            </a:graphic>
          </wp:inline>
        </w:drawing>
      </w:r>
    </w:p>
    <w:p w14:paraId="2CC897F3"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sidRPr="00153CBF">
        <w:rPr>
          <w:rFonts w:ascii="仿宋_GB2312" w:eastAsia="仿宋_GB2312" w:hAnsi="仿宋_GB2312" w:cs="仿宋_GB2312" w:hint="eastAsia"/>
          <w:sz w:val="32"/>
          <w:szCs w:val="32"/>
        </w:rPr>
        <w:t>区域成交</w:t>
      </w:r>
    </w:p>
    <w:p w14:paraId="267A1B99"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从区域成交规模来看，近郊六区为北京商品住宅（不含保障房）成交主力区域。2023年三季度近郊六</w:t>
      </w:r>
      <w:proofErr w:type="gramStart"/>
      <w:r w:rsidRPr="00153CBF">
        <w:rPr>
          <w:rFonts w:ascii="仿宋_GB2312" w:eastAsia="仿宋_GB2312" w:hAnsi="仿宋_GB2312" w:cs="仿宋_GB2312" w:hint="eastAsia"/>
          <w:sz w:val="32"/>
          <w:szCs w:val="32"/>
        </w:rPr>
        <w:t>区成交</w:t>
      </w:r>
      <w:proofErr w:type="gramEnd"/>
      <w:r w:rsidRPr="00153CBF">
        <w:rPr>
          <w:rFonts w:ascii="仿宋_GB2312" w:eastAsia="仿宋_GB2312" w:hAnsi="仿宋_GB2312" w:cs="仿宋_GB2312" w:hint="eastAsia"/>
          <w:sz w:val="32"/>
          <w:szCs w:val="32"/>
        </w:rPr>
        <w:t>81.918万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，占比达52.0%，</w:t>
      </w:r>
      <w:r w:rsidRPr="00153CBF">
        <w:rPr>
          <w:rFonts w:ascii="仿宋_GB2312" w:eastAsia="仿宋_GB2312" w:hAnsi="仿宋_GB2312" w:cs="仿宋_GB2312" w:hint="eastAsia"/>
          <w:sz w:val="32"/>
          <w:szCs w:val="32"/>
        </w:rPr>
        <w:lastRenderedPageBreak/>
        <w:t>其中，顺义、昌平区域累计成交均超20万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，分居北京各区销售规模前两位；中心城区中丰台、朝阳表现较好，成交规模超17万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w:t>
      </w:r>
    </w:p>
    <w:p w14:paraId="358179A6"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从区域成交变化来看，中心成交规模同比增长，其中在中信国安</w:t>
      </w:r>
      <w:proofErr w:type="gramStart"/>
      <w:r w:rsidRPr="00153CBF">
        <w:rPr>
          <w:rFonts w:ascii="仿宋_GB2312" w:eastAsia="仿宋_GB2312" w:hAnsi="仿宋_GB2312" w:cs="仿宋_GB2312" w:hint="eastAsia"/>
          <w:sz w:val="32"/>
          <w:szCs w:val="32"/>
        </w:rPr>
        <w:t>府成交</w:t>
      </w:r>
      <w:proofErr w:type="gramEnd"/>
      <w:r w:rsidRPr="00153CBF">
        <w:rPr>
          <w:rFonts w:ascii="仿宋_GB2312" w:eastAsia="仿宋_GB2312" w:hAnsi="仿宋_GB2312" w:cs="仿宋_GB2312" w:hint="eastAsia"/>
          <w:sz w:val="32"/>
          <w:szCs w:val="32"/>
        </w:rPr>
        <w:t>带动下，西城区成交规模同比增长35倍，朝阳、丰台同比增幅均超10%，而海淀、石景山成交规模同比降幅较大。近郊和远郊区域的成交规模同比均不同程度的回落，近郊</w:t>
      </w:r>
      <w:proofErr w:type="gramStart"/>
      <w:r w:rsidRPr="00153CBF">
        <w:rPr>
          <w:rFonts w:ascii="仿宋_GB2312" w:eastAsia="仿宋_GB2312" w:hAnsi="仿宋_GB2312" w:cs="仿宋_GB2312" w:hint="eastAsia"/>
          <w:sz w:val="32"/>
          <w:szCs w:val="32"/>
        </w:rPr>
        <w:t>区成交</w:t>
      </w:r>
      <w:proofErr w:type="gramEnd"/>
      <w:r w:rsidRPr="00153CBF">
        <w:rPr>
          <w:rFonts w:ascii="仿宋_GB2312" w:eastAsia="仿宋_GB2312" w:hAnsi="仿宋_GB2312" w:cs="仿宋_GB2312" w:hint="eastAsia"/>
          <w:sz w:val="32"/>
          <w:szCs w:val="32"/>
        </w:rPr>
        <w:t>规模同比下降25%，其中大兴、门头沟同比降幅均超五成，顺义、昌平成交同比小幅增长；远郊</w:t>
      </w:r>
      <w:proofErr w:type="gramStart"/>
      <w:r w:rsidRPr="00153CBF">
        <w:rPr>
          <w:rFonts w:ascii="仿宋_GB2312" w:eastAsia="仿宋_GB2312" w:hAnsi="仿宋_GB2312" w:cs="仿宋_GB2312" w:hint="eastAsia"/>
          <w:sz w:val="32"/>
          <w:szCs w:val="32"/>
        </w:rPr>
        <w:t>区成交</w:t>
      </w:r>
      <w:proofErr w:type="gramEnd"/>
      <w:r w:rsidRPr="00153CBF">
        <w:rPr>
          <w:rFonts w:ascii="仿宋_GB2312" w:eastAsia="仿宋_GB2312" w:hAnsi="仿宋_GB2312" w:cs="仿宋_GB2312" w:hint="eastAsia"/>
          <w:sz w:val="32"/>
          <w:szCs w:val="32"/>
        </w:rPr>
        <w:t>规模同比下降28%，降幅最大，其中密云、延庆降幅均超四成。</w:t>
      </w:r>
    </w:p>
    <w:p w14:paraId="4324B091" w14:textId="034FB0E1" w:rsidR="00153CBF" w:rsidRPr="00153CBF" w:rsidRDefault="00FF7947">
      <w:pPr>
        <w:widowControl/>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0FFA9BAA" wp14:editId="0769DCFE">
            <wp:extent cx="5906770" cy="221996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6770" cy="2219960"/>
                    </a:xfrm>
                    <a:prstGeom prst="rect">
                      <a:avLst/>
                    </a:prstGeom>
                    <a:noFill/>
                    <a:ln>
                      <a:noFill/>
                    </a:ln>
                  </pic:spPr>
                </pic:pic>
              </a:graphicData>
            </a:graphic>
          </wp:inline>
        </w:drawing>
      </w:r>
    </w:p>
    <w:p w14:paraId="71968DA7"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从成交价格来看，2023年三季度中心城区商品住宅（不含保障房）成交均价最高，整体</w:t>
      </w:r>
      <w:proofErr w:type="gramStart"/>
      <w:r w:rsidRPr="00153CBF">
        <w:rPr>
          <w:rFonts w:ascii="仿宋_GB2312" w:eastAsia="仿宋_GB2312" w:hAnsi="仿宋_GB2312" w:cs="仿宋_GB2312" w:hint="eastAsia"/>
          <w:sz w:val="32"/>
          <w:szCs w:val="32"/>
        </w:rPr>
        <w:t>均价超</w:t>
      </w:r>
      <w:proofErr w:type="gramEnd"/>
      <w:r w:rsidRPr="00153CBF">
        <w:rPr>
          <w:rFonts w:ascii="仿宋_GB2312" w:eastAsia="仿宋_GB2312" w:hAnsi="仿宋_GB2312" w:cs="仿宋_GB2312" w:hint="eastAsia"/>
          <w:sz w:val="32"/>
          <w:szCs w:val="32"/>
        </w:rPr>
        <w:t>9万/平，其中东、西城成交均价均超11万元/平，远郊</w:t>
      </w:r>
      <w:proofErr w:type="gramStart"/>
      <w:r w:rsidRPr="00153CBF">
        <w:rPr>
          <w:rFonts w:ascii="仿宋_GB2312" w:eastAsia="仿宋_GB2312" w:hAnsi="仿宋_GB2312" w:cs="仿宋_GB2312" w:hint="eastAsia"/>
          <w:sz w:val="32"/>
          <w:szCs w:val="32"/>
        </w:rPr>
        <w:t>区整体</w:t>
      </w:r>
      <w:proofErr w:type="gramEnd"/>
      <w:r w:rsidRPr="00153CBF">
        <w:rPr>
          <w:rFonts w:ascii="仿宋_GB2312" w:eastAsia="仿宋_GB2312" w:hAnsi="仿宋_GB2312" w:cs="仿宋_GB2312" w:hint="eastAsia"/>
          <w:sz w:val="32"/>
          <w:szCs w:val="32"/>
        </w:rPr>
        <w:t>成交均价最低，整体均价</w:t>
      </w:r>
      <w:proofErr w:type="gramStart"/>
      <w:r w:rsidRPr="00153CBF">
        <w:rPr>
          <w:rFonts w:ascii="仿宋_GB2312" w:eastAsia="仿宋_GB2312" w:hAnsi="仿宋_GB2312" w:cs="仿宋_GB2312" w:hint="eastAsia"/>
          <w:sz w:val="32"/>
          <w:szCs w:val="32"/>
        </w:rPr>
        <w:t>不足3万</w:t>
      </w:r>
      <w:proofErr w:type="gramEnd"/>
      <w:r w:rsidRPr="00153CBF">
        <w:rPr>
          <w:rFonts w:ascii="仿宋_GB2312" w:eastAsia="仿宋_GB2312" w:hAnsi="仿宋_GB2312" w:cs="仿宋_GB2312" w:hint="eastAsia"/>
          <w:sz w:val="32"/>
          <w:szCs w:val="32"/>
        </w:rPr>
        <w:t>/平，其中延庆成交均价最低，成交均价为25792元/平方米。</w:t>
      </w:r>
    </w:p>
    <w:p w14:paraId="37C53DD9"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价格变化来看，2023年三季度，中心城区、近郊区、远郊区房价全面上涨，西城、门头沟成交价格同比结构性涨幅超两成；通州、密云、延庆成交均价同比涨幅超10%；而昌平、海淀、东城、怀柔、丰台房价均下跌。</w:t>
      </w:r>
    </w:p>
    <w:p w14:paraId="24E2832D" w14:textId="1B1D034B" w:rsidR="00153CBF" w:rsidRPr="00153CBF" w:rsidRDefault="00FF7947">
      <w:pPr>
        <w:widowControl/>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lastRenderedPageBreak/>
        <w:drawing>
          <wp:inline distT="0" distB="0" distL="0" distR="0" wp14:anchorId="1C327E56" wp14:editId="0316C1FF">
            <wp:extent cx="5897245" cy="209296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7245" cy="2092960"/>
                    </a:xfrm>
                    <a:prstGeom prst="rect">
                      <a:avLst/>
                    </a:prstGeom>
                    <a:noFill/>
                    <a:ln>
                      <a:noFill/>
                    </a:ln>
                  </pic:spPr>
                </pic:pic>
              </a:graphicData>
            </a:graphic>
          </wp:inline>
        </w:drawing>
      </w:r>
    </w:p>
    <w:p w14:paraId="20CF2AE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sidRPr="00153CBF">
        <w:rPr>
          <w:rFonts w:ascii="仿宋_GB2312" w:eastAsia="仿宋_GB2312" w:hAnsi="仿宋_GB2312" w:cs="仿宋_GB2312" w:hint="eastAsia"/>
          <w:sz w:val="32"/>
          <w:szCs w:val="32"/>
        </w:rPr>
        <w:t>存量房住宅市场</w:t>
      </w:r>
    </w:p>
    <w:p w14:paraId="46AE3D7B"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1）市场运行状况</w:t>
      </w:r>
    </w:p>
    <w:p w14:paraId="257975CC"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三季度北京存量房市场成交规模不及去年同期，但呈上升趋势。三季度北京存量房市场累计成交3.39万套，持续下滑，环比下降12%，同比下降15%。从月度趋势来看，存量</w:t>
      </w:r>
      <w:proofErr w:type="gramStart"/>
      <w:r w:rsidRPr="00153CBF">
        <w:rPr>
          <w:rFonts w:ascii="仿宋_GB2312" w:eastAsia="仿宋_GB2312" w:hAnsi="仿宋_GB2312" w:cs="仿宋_GB2312" w:hint="eastAsia"/>
          <w:sz w:val="32"/>
          <w:szCs w:val="32"/>
        </w:rPr>
        <w:t>房网签自</w:t>
      </w:r>
      <w:proofErr w:type="gramEnd"/>
      <w:r w:rsidRPr="00153CBF">
        <w:rPr>
          <w:rFonts w:ascii="仿宋_GB2312" w:eastAsia="仿宋_GB2312" w:hAnsi="仿宋_GB2312" w:cs="仿宋_GB2312" w:hint="eastAsia"/>
          <w:sz w:val="32"/>
          <w:szCs w:val="32"/>
        </w:rPr>
        <w:t>4月份后成交量逐步下探，在8月止跌回升，环比增幅4%。9月，受“认房不认贷”政策影响，存量房整体市场逐步回温，存量房挂牌量增加，环比增幅高达40%，带动成交规模大幅回升，在积压需求逐渐释放后，预计未来市场活跃度或将有所回落。</w:t>
      </w:r>
    </w:p>
    <w:p w14:paraId="3FA8CBFB"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三季度北京存量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均价约为61185元/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，同比持平，</w:t>
      </w:r>
      <w:proofErr w:type="gramStart"/>
      <w:r w:rsidRPr="00153CBF">
        <w:rPr>
          <w:rFonts w:ascii="仿宋_GB2312" w:eastAsia="仿宋_GB2312" w:hAnsi="仿宋_GB2312" w:cs="仿宋_GB2312" w:hint="eastAsia"/>
          <w:sz w:val="32"/>
          <w:szCs w:val="32"/>
        </w:rPr>
        <w:t>环比跌</w:t>
      </w:r>
      <w:proofErr w:type="gramEnd"/>
      <w:r w:rsidRPr="00153CBF">
        <w:rPr>
          <w:rFonts w:ascii="仿宋_GB2312" w:eastAsia="仿宋_GB2312" w:hAnsi="仿宋_GB2312" w:cs="仿宋_GB2312" w:hint="eastAsia"/>
          <w:sz w:val="32"/>
          <w:szCs w:val="32"/>
        </w:rPr>
        <w:t>1%。从月度趋势来看，受新政影响，北京存量房市场有回暖趋势，成交规模止跌，业主对后市预期提升，整体房价相对坚挺，月度呈现小幅波动态势。</w:t>
      </w:r>
    </w:p>
    <w:p w14:paraId="49A630DA" w14:textId="5DD7AA9A" w:rsidR="00153CBF" w:rsidRPr="00153CBF" w:rsidRDefault="00FF7947">
      <w:pPr>
        <w:tabs>
          <w:tab w:val="left" w:pos="426"/>
        </w:tabs>
        <w:overflowPunct w:val="0"/>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582557D9" wp14:editId="2DD84B90">
            <wp:extent cx="5902325" cy="16770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325" cy="1677035"/>
                    </a:xfrm>
                    <a:prstGeom prst="rect">
                      <a:avLst/>
                    </a:prstGeom>
                    <a:noFill/>
                    <a:ln>
                      <a:noFill/>
                    </a:ln>
                  </pic:spPr>
                </pic:pic>
              </a:graphicData>
            </a:graphic>
          </wp:inline>
        </w:drawing>
      </w:r>
    </w:p>
    <w:p w14:paraId="07ACFEC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w:t>
      </w:r>
      <w:r w:rsidRPr="00153CBF">
        <w:rPr>
          <w:rFonts w:ascii="仿宋_GB2312" w:eastAsia="仿宋_GB2312" w:hAnsi="仿宋_GB2312" w:cs="仿宋_GB2312" w:hint="eastAsia"/>
          <w:sz w:val="32"/>
          <w:szCs w:val="32"/>
        </w:rPr>
        <w:t>各区县统计</w:t>
      </w:r>
    </w:p>
    <w:p w14:paraId="12B6DB22"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分区域来看，三季度朝阳存量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规模较大，成交规模达71.55万平，居各区第一位；海淀、丰台、昌平成交面积均超过30万平，成交规模居第二梯队；另外，远郊的密云、平谷、怀柔、延庆以及近郊的门头沟存量房市场活跃度相对较低，成交规模均</w:t>
      </w:r>
      <w:proofErr w:type="gramStart"/>
      <w:r w:rsidRPr="00153CBF">
        <w:rPr>
          <w:rFonts w:ascii="仿宋_GB2312" w:eastAsia="仿宋_GB2312" w:hAnsi="仿宋_GB2312" w:cs="仿宋_GB2312" w:hint="eastAsia"/>
          <w:sz w:val="32"/>
          <w:szCs w:val="32"/>
        </w:rPr>
        <w:t>不足10万</w:t>
      </w:r>
      <w:proofErr w:type="gramEnd"/>
      <w:r w:rsidRPr="00153CBF">
        <w:rPr>
          <w:rFonts w:ascii="仿宋_GB2312" w:eastAsia="仿宋_GB2312" w:hAnsi="仿宋_GB2312" w:cs="仿宋_GB2312" w:hint="eastAsia"/>
          <w:sz w:val="32"/>
          <w:szCs w:val="32"/>
        </w:rPr>
        <w:t>平。从同比变化来看，三季度，除密云和怀柔，其他各区存量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规模同比均有所下降。其中，门头沟、东城、大兴、通州、房山同比跌幅均超20%。</w:t>
      </w:r>
    </w:p>
    <w:p w14:paraId="0C015BBB"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成交价格方面，三季度西城区成交价格最高，达122128元/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；其次为东城区，为111007元/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w:t>
      </w:r>
    </w:p>
    <w:p w14:paraId="2B28C723" w14:textId="6B635FA0" w:rsidR="00153CBF" w:rsidRPr="00153CBF" w:rsidRDefault="00FF7947">
      <w:pPr>
        <w:tabs>
          <w:tab w:val="left" w:pos="426"/>
        </w:tabs>
        <w:overflowPunct w:val="0"/>
        <w:spacing w:line="36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2BA7F8EC" wp14:editId="7A60B742">
            <wp:extent cx="5902325" cy="211264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325" cy="2112645"/>
                    </a:xfrm>
                    <a:prstGeom prst="rect">
                      <a:avLst/>
                    </a:prstGeom>
                    <a:noFill/>
                    <a:ln>
                      <a:noFill/>
                    </a:ln>
                  </pic:spPr>
                </pic:pic>
              </a:graphicData>
            </a:graphic>
          </wp:inline>
        </w:drawing>
      </w:r>
    </w:p>
    <w:p w14:paraId="566C5804"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整体来看，三季度北京存量房市场成交规模持续下滑，但9月份有回暖趋势，挂牌量持续增加，主要是因为9月份，北京“认房不认贷”落地后，市场情绪升温，购房者入市积极性高涨，存量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步伐加快。2023年三季度，存量房市场热度率先升温，但新房市场依然处于低位徘徊水平，保持较低交易量，存量房市场成交占比回升。存量房与新房成交套数比值达2.80，去年同期此数值为2.34；存量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套数占比达74%，较二季度有所提升；新房成交占比为26%，较去年同期回落4个百分点。</w:t>
      </w:r>
    </w:p>
    <w:p w14:paraId="1579642D"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lastRenderedPageBreak/>
        <w:t>（</w:t>
      </w:r>
      <w:r w:rsidR="0003437A">
        <w:rPr>
          <w:rFonts w:ascii="仿宋_GB2312" w:eastAsia="仿宋_GB2312" w:hAnsi="仿宋_GB2312" w:cs="仿宋_GB2312" w:hint="eastAsia"/>
          <w:sz w:val="32"/>
          <w:szCs w:val="32"/>
        </w:rPr>
        <w:t>3</w:t>
      </w:r>
      <w:r w:rsidRPr="00153CBF">
        <w:rPr>
          <w:rFonts w:ascii="仿宋_GB2312" w:eastAsia="仿宋_GB2312" w:hAnsi="仿宋_GB2312" w:cs="仿宋_GB2312" w:hint="eastAsia"/>
          <w:sz w:val="32"/>
          <w:szCs w:val="32"/>
        </w:rPr>
        <w:t>）未来市场预期</w:t>
      </w:r>
    </w:p>
    <w:p w14:paraId="6D04DA34" w14:textId="77777777" w:rsidR="00153CBF" w:rsidRPr="00153CBF" w:rsidRDefault="00153CBF">
      <w:pPr>
        <w:spacing w:line="360" w:lineRule="auto"/>
        <w:ind w:right="204"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整体来看当前北京市场信心有一定改善，存量房市场率先回暖。随着推动“认房不认贷”、取消二手房指导价等政策逐步落地，“限购放松”预期落空，政策</w:t>
      </w:r>
      <w:proofErr w:type="gramStart"/>
      <w:r w:rsidRPr="00153CBF">
        <w:rPr>
          <w:rFonts w:ascii="仿宋_GB2312" w:eastAsia="仿宋_GB2312" w:hAnsi="仿宋_GB2312" w:cs="仿宋_GB2312" w:hint="eastAsia"/>
          <w:sz w:val="32"/>
          <w:szCs w:val="32"/>
        </w:rPr>
        <w:t>端仍然</w:t>
      </w:r>
      <w:proofErr w:type="gramEnd"/>
      <w:r w:rsidRPr="00153CBF">
        <w:rPr>
          <w:rFonts w:ascii="仿宋_GB2312" w:eastAsia="仿宋_GB2312" w:hAnsi="仿宋_GB2312" w:cs="仿宋_GB2312" w:hint="eastAsia"/>
          <w:sz w:val="32"/>
          <w:szCs w:val="32"/>
        </w:rPr>
        <w:t>具备优化空间。随之而来，未来购房者对北京继续优化调控政策的预期较强，或造成观望情绪延续。</w:t>
      </w:r>
    </w:p>
    <w:p w14:paraId="6E33DE25" w14:textId="77777777" w:rsidR="00153CBF" w:rsidRPr="0018019C" w:rsidRDefault="0003437A" w:rsidP="0003437A">
      <w:pPr>
        <w:pStyle w:val="20"/>
        <w:ind w:firstLine="643"/>
        <w:rPr>
          <w:rFonts w:ascii="仿宋_GB2312" w:eastAsia="仿宋_GB2312" w:hAnsi="仿宋_GB2312" w:cs="仿宋_GB2312" w:hint="eastAsia"/>
        </w:rPr>
      </w:pPr>
      <w:bookmarkStart w:id="19" w:name="_Toc174720304"/>
      <w:r w:rsidRPr="0018019C">
        <w:rPr>
          <w:rFonts w:ascii="仿宋_GB2312" w:eastAsia="仿宋_GB2312" w:hAnsi="仿宋_GB2312" w:cs="仿宋_GB2312" w:hint="eastAsia"/>
        </w:rPr>
        <w:t>（三）</w:t>
      </w:r>
      <w:r w:rsidR="00153CBF" w:rsidRPr="0018019C">
        <w:rPr>
          <w:rFonts w:ascii="仿宋_GB2312" w:eastAsia="仿宋_GB2312" w:hAnsi="仿宋_GB2312" w:cs="仿宋_GB2312" w:hint="eastAsia"/>
        </w:rPr>
        <w:t>产业政策</w:t>
      </w:r>
      <w:bookmarkEnd w:id="19"/>
    </w:p>
    <w:p w14:paraId="56DE28F3" w14:textId="77777777" w:rsidR="0003437A" w:rsidRPr="00FF56F4" w:rsidRDefault="0003437A" w:rsidP="0003437A">
      <w:pPr>
        <w:overflowPunct w:val="0"/>
        <w:spacing w:line="360" w:lineRule="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23D5E7B1" w14:textId="77777777" w:rsidR="00153CBF" w:rsidRPr="00153CBF" w:rsidRDefault="0003437A">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00153CBF" w:rsidRPr="00153CBF">
        <w:rPr>
          <w:rFonts w:ascii="仿宋_GB2312" w:eastAsia="仿宋_GB2312" w:hAnsi="仿宋_GB2312" w:cs="仿宋_GB2312" w:hint="eastAsia"/>
          <w:sz w:val="32"/>
          <w:szCs w:val="32"/>
        </w:rPr>
        <w:t>全国</w:t>
      </w:r>
      <w:r>
        <w:rPr>
          <w:rFonts w:ascii="仿宋_GB2312" w:eastAsia="仿宋_GB2312" w:hAnsi="仿宋_GB2312" w:cs="仿宋_GB2312" w:hint="eastAsia"/>
          <w:sz w:val="32"/>
          <w:szCs w:val="32"/>
        </w:rPr>
        <w:t>政策</w:t>
      </w:r>
    </w:p>
    <w:p w14:paraId="60263CFA"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1月17日，全国住房和城乡建设工作会议在北京以视频形式召开。会议强调，2023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153CBF">
        <w:rPr>
          <w:rFonts w:ascii="仿宋_GB2312" w:eastAsia="仿宋_GB2312" w:hAnsi="仿宋_GB2312" w:cs="仿宋_GB2312" w:hint="eastAsia"/>
          <w:sz w:val="32"/>
          <w:szCs w:val="32"/>
        </w:rPr>
        <w:t>好综合</w:t>
      </w:r>
      <w:proofErr w:type="gramEnd"/>
      <w:r w:rsidRPr="00153CBF">
        <w:rPr>
          <w:rFonts w:ascii="仿宋_GB2312" w:eastAsia="仿宋_GB2312" w:hAnsi="仿宋_GB2312" w:cs="仿宋_GB2312" w:hint="eastAsia"/>
          <w:sz w:val="32"/>
          <w:szCs w:val="32"/>
        </w:rPr>
        <w:t>执法的统筹协调、督导服务作用。强化住房和城乡建设领域综合执法，依法查处违法违规问题。</w:t>
      </w:r>
      <w:r w:rsidRPr="00153CBF">
        <w:rPr>
          <w:rFonts w:ascii="仿宋_GB2312" w:eastAsia="仿宋_GB2312" w:hAnsi="仿宋_GB2312" w:cs="仿宋_GB2312" w:hint="eastAsia"/>
          <w:sz w:val="32"/>
          <w:szCs w:val="32"/>
        </w:rPr>
        <w:lastRenderedPageBreak/>
        <w:t>五是以提升现代生活条件为目标，建设宜</w:t>
      </w:r>
      <w:proofErr w:type="gramStart"/>
      <w:r w:rsidRPr="00153CBF">
        <w:rPr>
          <w:rFonts w:ascii="仿宋_GB2312" w:eastAsia="仿宋_GB2312" w:hAnsi="仿宋_GB2312" w:cs="仿宋_GB2312" w:hint="eastAsia"/>
          <w:sz w:val="32"/>
          <w:szCs w:val="32"/>
        </w:rPr>
        <w:t>居宜业</w:t>
      </w:r>
      <w:proofErr w:type="gramEnd"/>
      <w:r w:rsidRPr="00153CBF">
        <w:rPr>
          <w:rFonts w:ascii="仿宋_GB2312" w:eastAsia="仿宋_GB2312" w:hAnsi="仿宋_GB2312" w:cs="仿宋_GB2312" w:hint="eastAsia"/>
          <w:sz w:val="32"/>
          <w:szCs w:val="32"/>
        </w:rPr>
        <w:t>的美丽村镇。六是以建筑业工业化、数字化、绿色化为方向，不断提升建筑品质。七是以彰显地域特征、民族特色和时代风貌为核心，加强城乡历史文化保护传承。八是以协同推进降碳、减污、</w:t>
      </w:r>
      <w:proofErr w:type="gramStart"/>
      <w:r w:rsidRPr="00153CBF">
        <w:rPr>
          <w:rFonts w:ascii="仿宋_GB2312" w:eastAsia="仿宋_GB2312" w:hAnsi="仿宋_GB2312" w:cs="仿宋_GB2312" w:hint="eastAsia"/>
          <w:sz w:val="32"/>
          <w:szCs w:val="32"/>
        </w:rPr>
        <w:t>扩绿为</w:t>
      </w:r>
      <w:proofErr w:type="gramEnd"/>
      <w:r w:rsidRPr="00153CBF">
        <w:rPr>
          <w:rFonts w:ascii="仿宋_GB2312" w:eastAsia="仿宋_GB2312" w:hAnsi="仿宋_GB2312" w:cs="仿宋_GB2312" w:hint="eastAsia"/>
          <w:sz w:val="32"/>
          <w:szCs w:val="32"/>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35FE2E32"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bookmarkStart w:id="20" w:name="OLE_LINK13"/>
      <w:bookmarkStart w:id="21" w:name="OLE_LINK14"/>
      <w:r w:rsidRPr="00153CBF">
        <w:rPr>
          <w:rFonts w:ascii="仿宋_GB2312" w:eastAsia="仿宋_GB2312" w:hAnsi="仿宋_GB2312" w:cs="仿宋_GB2312" w:hint="eastAsia"/>
          <w:sz w:val="32"/>
          <w:szCs w:val="32"/>
        </w:rPr>
        <w:t>2023年3月5日全国两会召开。有关房地产业，两会政府报告从两个方面做出了部署。一是从供给端的安全角度，要有效防范化解优质</w:t>
      </w:r>
      <w:proofErr w:type="gramStart"/>
      <w:r w:rsidRPr="00153CBF">
        <w:rPr>
          <w:rFonts w:ascii="仿宋_GB2312" w:eastAsia="仿宋_GB2312" w:hAnsi="仿宋_GB2312" w:cs="仿宋_GB2312" w:hint="eastAsia"/>
          <w:sz w:val="32"/>
          <w:szCs w:val="32"/>
        </w:rPr>
        <w:t>头部房企</w:t>
      </w:r>
      <w:proofErr w:type="gramEnd"/>
      <w:r w:rsidRPr="00153CBF">
        <w:rPr>
          <w:rFonts w:ascii="仿宋_GB2312" w:eastAsia="仿宋_GB2312" w:hAnsi="仿宋_GB2312" w:cs="仿宋_GB2312" w:hint="eastAsia"/>
          <w:sz w:val="32"/>
          <w:szCs w:val="32"/>
        </w:rPr>
        <w:t>风险，改善资产负债状况，防止无序扩张，促进房地产业平稳发展。二是从需求端的满足角度，报告提出，要加强住房保障体系建设，支持刚性和改善性住房需求，解决好新市民、青年人等住房问题。</w:t>
      </w:r>
    </w:p>
    <w:bookmarkEnd w:id="20"/>
    <w:bookmarkEnd w:id="21"/>
    <w:p w14:paraId="733EF2CD"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21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0F59CF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2023年7月24日，中共中央政治局召开会议，分析研究了当前经济形势和经济工作，并向市场释放出积极信号。会议强调“要切实防范</w:t>
      </w:r>
      <w:r w:rsidRPr="00153CBF">
        <w:rPr>
          <w:rFonts w:ascii="仿宋_GB2312" w:eastAsia="仿宋_GB2312" w:hAnsi="仿宋_GB2312" w:cs="仿宋_GB2312" w:hint="eastAsia"/>
          <w:sz w:val="32"/>
          <w:szCs w:val="32"/>
        </w:rPr>
        <w:lastRenderedPageBreak/>
        <w:t>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994226C" w14:textId="77777777" w:rsidR="00153CBF" w:rsidRPr="00153CBF" w:rsidRDefault="0003437A">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2.地方政策</w:t>
      </w:r>
      <w:r w:rsidR="00153CBF" w:rsidRPr="00153CBF">
        <w:rPr>
          <w:rFonts w:ascii="仿宋_GB2312" w:eastAsia="仿宋_GB2312" w:hAnsi="仿宋_GB2312" w:cs="仿宋_GB2312" w:hint="eastAsia"/>
          <w:sz w:val="32"/>
          <w:szCs w:val="32"/>
        </w:rPr>
        <w:t>：</w:t>
      </w:r>
    </w:p>
    <w:p w14:paraId="42F96FE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2022年9月23日，北京市住建委和市</w:t>
      </w:r>
      <w:proofErr w:type="gramStart"/>
      <w:r w:rsidRPr="00153CBF">
        <w:rPr>
          <w:rFonts w:ascii="仿宋_GB2312" w:eastAsia="仿宋_GB2312" w:hAnsi="仿宋_GB2312" w:cs="仿宋_GB2312" w:hint="eastAsia"/>
          <w:sz w:val="32"/>
          <w:szCs w:val="32"/>
        </w:rPr>
        <w:t>规自委</w:t>
      </w:r>
      <w:proofErr w:type="gramEnd"/>
      <w:r w:rsidRPr="00153CBF">
        <w:rPr>
          <w:rFonts w:ascii="仿宋_GB2312" w:eastAsia="仿宋_GB2312" w:hAnsi="仿宋_GB2312" w:cs="仿宋_GB2312" w:hint="eastAsia"/>
          <w:sz w:val="32"/>
          <w:szCs w:val="32"/>
        </w:rPr>
        <w:t>联合发布关于试行存量房交易“连环单”业务并行办理的通知，提高存量房屋交易效率，支持购房家庭合理住房需求。</w:t>
      </w:r>
    </w:p>
    <w:p w14:paraId="76462B9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2022年9月30日，北京市人民政府印发《关于存量国有建设用地盘活利用的指导意见（试行）》，创新提出8项支持政策，明确在重点功能区及现状轨道站点周边，鼓励利用现状建筑改建保障性租赁住房。</w:t>
      </w:r>
    </w:p>
    <w:p w14:paraId="7D03D8D5"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2022年11月8日，北京市住建委、经开区管委、通州区政府联合发布通知，</w:t>
      </w:r>
      <w:proofErr w:type="gramStart"/>
      <w:r w:rsidRPr="00153CBF">
        <w:rPr>
          <w:rFonts w:ascii="仿宋_GB2312" w:eastAsia="仿宋_GB2312" w:hAnsi="仿宋_GB2312" w:cs="仿宋_GB2312" w:hint="eastAsia"/>
          <w:sz w:val="32"/>
          <w:szCs w:val="32"/>
        </w:rPr>
        <w:t>亦庄经开</w:t>
      </w:r>
      <w:proofErr w:type="gramEnd"/>
      <w:r w:rsidRPr="00153CBF">
        <w:rPr>
          <w:rFonts w:ascii="仿宋_GB2312" w:eastAsia="仿宋_GB2312" w:hAnsi="仿宋_GB2312" w:cs="仿宋_GB2312" w:hint="eastAsia"/>
          <w:sz w:val="32"/>
          <w:szCs w:val="32"/>
        </w:rPr>
        <w:t>区管理的台湖、马驹桥地区不再执行“双限”政策，仅执行北京其他区域的购房政策。</w:t>
      </w:r>
    </w:p>
    <w:p w14:paraId="17A2699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2023年1月1日，北京住房公积金管理中心发布《关于进一步优化住房公积金提取业务的通知》，为支持职工合理住房需求，解决新市民、青年人等全体住房困难，北京进一步优化提取业务办理。</w:t>
      </w:r>
    </w:p>
    <w:p w14:paraId="4CB9128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2023年4月10日，北京市住</w:t>
      </w:r>
      <w:proofErr w:type="gramStart"/>
      <w:r w:rsidRPr="00153CBF">
        <w:rPr>
          <w:rFonts w:ascii="仿宋_GB2312" w:eastAsia="仿宋_GB2312" w:hAnsi="仿宋_GB2312" w:cs="仿宋_GB2312" w:hint="eastAsia"/>
          <w:sz w:val="32"/>
          <w:szCs w:val="32"/>
        </w:rPr>
        <w:t>建委官网发布</w:t>
      </w:r>
      <w:proofErr w:type="gramEnd"/>
      <w:r w:rsidRPr="00153CBF">
        <w:rPr>
          <w:rFonts w:ascii="仿宋_GB2312" w:eastAsia="仿宋_GB2312" w:hAnsi="仿宋_GB2312" w:cs="仿宋_GB2312" w:hint="eastAsia"/>
          <w:sz w:val="32"/>
          <w:szCs w:val="32"/>
        </w:rPr>
        <w:t>《2023年市政府工作报告重点任务清单及实事事项一季度工作进展情况》，其中提到，多子女家庭和</w:t>
      </w:r>
      <w:proofErr w:type="gramStart"/>
      <w:r w:rsidRPr="00153CBF">
        <w:rPr>
          <w:rFonts w:ascii="仿宋_GB2312" w:eastAsia="仿宋_GB2312" w:hAnsi="仿宋_GB2312" w:cs="仿宋_GB2312" w:hint="eastAsia"/>
          <w:sz w:val="32"/>
          <w:szCs w:val="32"/>
        </w:rPr>
        <w:t>职住</w:t>
      </w:r>
      <w:proofErr w:type="gramEnd"/>
      <w:r w:rsidRPr="00153CBF">
        <w:rPr>
          <w:rFonts w:ascii="仿宋_GB2312" w:eastAsia="仿宋_GB2312" w:hAnsi="仿宋_GB2312" w:cs="仿宋_GB2312" w:hint="eastAsia"/>
          <w:sz w:val="32"/>
          <w:szCs w:val="32"/>
        </w:rPr>
        <w:t>平衡家庭购房支持政策按照“一区</w:t>
      </w:r>
      <w:proofErr w:type="gramStart"/>
      <w:r w:rsidRPr="00153CBF">
        <w:rPr>
          <w:rFonts w:ascii="仿宋_GB2312" w:eastAsia="仿宋_GB2312" w:hAnsi="仿宋_GB2312" w:cs="仿宋_GB2312" w:hint="eastAsia"/>
          <w:sz w:val="32"/>
          <w:szCs w:val="32"/>
        </w:rPr>
        <w:t>一</w:t>
      </w:r>
      <w:proofErr w:type="gramEnd"/>
      <w:r w:rsidRPr="00153CBF">
        <w:rPr>
          <w:rFonts w:ascii="仿宋_GB2312" w:eastAsia="仿宋_GB2312" w:hAnsi="仿宋_GB2312" w:cs="仿宋_GB2312" w:hint="eastAsia"/>
          <w:sz w:val="32"/>
          <w:szCs w:val="32"/>
        </w:rPr>
        <w:t>策”的方式由房山区试</w:t>
      </w:r>
      <w:r w:rsidRPr="00153CBF">
        <w:rPr>
          <w:rFonts w:ascii="仿宋_GB2312" w:eastAsia="仿宋_GB2312" w:hAnsi="仿宋_GB2312" w:cs="仿宋_GB2312" w:hint="eastAsia"/>
          <w:sz w:val="32"/>
          <w:szCs w:val="32"/>
        </w:rPr>
        <w:lastRenderedPageBreak/>
        <w:t>点。4月20日，</w:t>
      </w:r>
      <w:r w:rsidRPr="00153CBF">
        <w:rPr>
          <w:rFonts w:ascii="仿宋_GB2312" w:eastAsia="仿宋_GB2312" w:hAnsi="仿宋_GB2312" w:cs="仿宋_GB2312"/>
          <w:sz w:val="32"/>
          <w:szCs w:val="32"/>
        </w:rPr>
        <w:t>房山区正式发布了《房山区实施“聚源计划”引才聚才支持办法》</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推出“房山聚源计划”引才聚才十一条，涵盖资金奖励、引进落户、住房保障、子女教育、医疗健康等11个方面的利好举措。</w:t>
      </w:r>
      <w:r w:rsidRPr="00153CBF">
        <w:rPr>
          <w:rFonts w:ascii="仿宋_GB2312" w:eastAsia="仿宋_GB2312" w:hAnsi="仿宋_GB2312" w:cs="仿宋_GB2312" w:hint="eastAsia"/>
          <w:sz w:val="32"/>
          <w:szCs w:val="32"/>
        </w:rPr>
        <w:t>其中</w:t>
      </w:r>
      <w:r w:rsidRPr="00153CBF">
        <w:rPr>
          <w:rFonts w:ascii="仿宋_GB2312" w:eastAsia="仿宋_GB2312" w:hAnsi="仿宋_GB2312" w:cs="仿宋_GB2312"/>
          <w:sz w:val="32"/>
          <w:szCs w:val="32"/>
        </w:rPr>
        <w:t>，</w:t>
      </w:r>
      <w:r w:rsidRPr="00153CBF">
        <w:rPr>
          <w:rFonts w:ascii="仿宋_GB2312" w:eastAsia="仿宋_GB2312" w:hAnsi="仿宋_GB2312" w:cs="仿宋_GB2312" w:hint="eastAsia"/>
          <w:sz w:val="32"/>
          <w:szCs w:val="32"/>
        </w:rPr>
        <w:t>针对战略人才和领军人才</w:t>
      </w:r>
      <w:r w:rsidRPr="00153CBF">
        <w:rPr>
          <w:rFonts w:ascii="仿宋_GB2312" w:eastAsia="仿宋_GB2312" w:hAnsi="仿宋_GB2312" w:cs="仿宋_GB2312"/>
          <w:sz w:val="32"/>
          <w:szCs w:val="32"/>
        </w:rPr>
        <w:t>将最高一次性给予100万元和50万元资金奖励，提供最高100万元和50万元购房补贴或最高100%、50%租金补贴，优先推荐办理北京市户口，并提供子女教育、医疗健康、出入境便利及机场服务等。</w:t>
      </w:r>
    </w:p>
    <w:p w14:paraId="7308B4FC"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6月5日，北京住房公积金管理中心发布《关于进一步优化租房提取业务的通知》表示，租住北京市商品住房，未提供租房发票的，经告知承诺后，每人每月提取额度由1500元调整为2000元。其中，存在多子女家庭、租住公共租赁住房或保障性租赁住房等情况的，可按照实际月租金提取，不受月缴存额限制。</w:t>
      </w:r>
    </w:p>
    <w:p w14:paraId="30140FA0"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2023年7月10日，北京市住房城乡建设委发布《关于面向社会广泛征集我市保障性租赁住房意向实施项目的通知》，面向北京市全域广泛征集保租房意向实施项目，探索建立北京市首个保租房储备项目库。</w:t>
      </w:r>
      <w:proofErr w:type="gramStart"/>
      <w:r w:rsidRPr="00153CBF">
        <w:rPr>
          <w:rFonts w:ascii="仿宋_GB2312" w:eastAsia="仿宋_GB2312" w:hAnsi="仿宋_GB2312" w:cs="仿宋_GB2312" w:hint="eastAsia"/>
          <w:sz w:val="32"/>
          <w:szCs w:val="32"/>
        </w:rPr>
        <w:t>这次保租房</w:t>
      </w:r>
      <w:proofErr w:type="gramEnd"/>
      <w:r w:rsidRPr="00153CBF">
        <w:rPr>
          <w:rFonts w:ascii="仿宋_GB2312" w:eastAsia="仿宋_GB2312" w:hAnsi="仿宋_GB2312" w:cs="仿宋_GB2312" w:hint="eastAsia"/>
          <w:sz w:val="32"/>
          <w:szCs w:val="32"/>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w:t>
      </w:r>
      <w:r w:rsidRPr="00153CBF">
        <w:rPr>
          <w:rFonts w:ascii="仿宋_GB2312" w:eastAsia="仿宋_GB2312" w:hAnsi="仿宋_GB2312" w:cs="仿宋_GB2312" w:hint="eastAsia"/>
          <w:sz w:val="32"/>
          <w:szCs w:val="32"/>
        </w:rPr>
        <w:lastRenderedPageBreak/>
        <w:t>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CA82C25" w14:textId="77777777" w:rsidR="00153CBF" w:rsidRPr="00153CBF" w:rsidRDefault="00153CBF">
      <w:pPr>
        <w:overflowPunct w:val="0"/>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  税收政策：</w:t>
      </w:r>
    </w:p>
    <w:p w14:paraId="2AB231B4"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2023年，按照党中央、国务院决策部署，税务总局会同财政部等部门先后发布了一系列延续优化创新实施的税费优惠政策，根据《财政部 税务总局关于明确增值税小规模纳税人减免增值税等政策的公告》（2023年第1号）、《国家税务总局关于增值税小规模纳税人减免增值税等政策有关征管事项的公告》（2023年第1号），针对增值税小规模纳税人的优惠政策有：①增值税政策增值税小规模纳税人发生增值税应税销售行为，合计月销售额未超过10万元（以1个季度为1个纳税期的，季度销售额未超过30万元，下同）的，免征增值税。②自2023年1月1日至2023年12月31日，增值税小规模纳税人适用3%征收率的应税销售收入，减按1%征收率征收增值税；适用3%</w:t>
      </w:r>
      <w:proofErr w:type="gramStart"/>
      <w:r w:rsidRPr="00153CBF">
        <w:rPr>
          <w:rFonts w:ascii="仿宋_GB2312" w:eastAsia="仿宋_GB2312" w:hAnsi="仿宋_GB2312" w:cs="仿宋_GB2312" w:hint="eastAsia"/>
          <w:sz w:val="32"/>
          <w:szCs w:val="32"/>
        </w:rPr>
        <w:t>预征率</w:t>
      </w:r>
      <w:proofErr w:type="gramEnd"/>
      <w:r w:rsidRPr="00153CBF">
        <w:rPr>
          <w:rFonts w:ascii="仿宋_GB2312" w:eastAsia="仿宋_GB2312" w:hAnsi="仿宋_GB2312" w:cs="仿宋_GB2312" w:hint="eastAsia"/>
          <w:sz w:val="32"/>
          <w:szCs w:val="32"/>
        </w:rPr>
        <w:t>的预缴增值税项目，减按1%</w:t>
      </w:r>
      <w:proofErr w:type="gramStart"/>
      <w:r w:rsidRPr="00153CBF">
        <w:rPr>
          <w:rFonts w:ascii="仿宋_GB2312" w:eastAsia="仿宋_GB2312" w:hAnsi="仿宋_GB2312" w:cs="仿宋_GB2312" w:hint="eastAsia"/>
          <w:sz w:val="32"/>
          <w:szCs w:val="32"/>
        </w:rPr>
        <w:t>预征率</w:t>
      </w:r>
      <w:proofErr w:type="gramEnd"/>
      <w:r w:rsidRPr="00153CBF">
        <w:rPr>
          <w:rFonts w:ascii="仿宋_GB2312" w:eastAsia="仿宋_GB2312" w:hAnsi="仿宋_GB2312" w:cs="仿宋_GB2312" w:hint="eastAsia"/>
          <w:sz w:val="32"/>
          <w:szCs w:val="32"/>
        </w:rPr>
        <w:t>预缴增值税。</w:t>
      </w:r>
    </w:p>
    <w:p w14:paraId="11298AF4"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25日，国家税务总局发布《支持协调发展税费优惠政策指引》，从区域协同发展、城乡一体发展、物质文明和精神文明平衡发展、经济社会统筹发展等四个方面，梳理形成了涵盖216项支持协调发展的税费优惠政策指引。此次一揽子税收优惠，目的是通过全方位降成本，实现补短板，增强发展的平衡性、包容性、可持续性，意义重大。同时，此举也是贯彻落实7月24日中央政治局</w:t>
      </w:r>
      <w:proofErr w:type="gramStart"/>
      <w:r w:rsidRPr="00153CBF">
        <w:rPr>
          <w:rFonts w:ascii="仿宋_GB2312" w:eastAsia="仿宋_GB2312" w:hAnsi="仿宋_GB2312" w:cs="仿宋_GB2312" w:hint="eastAsia"/>
          <w:sz w:val="32"/>
          <w:szCs w:val="32"/>
        </w:rPr>
        <w:t>会议会议</w:t>
      </w:r>
      <w:proofErr w:type="gramEnd"/>
      <w:r w:rsidRPr="00153CBF">
        <w:rPr>
          <w:rFonts w:ascii="仿宋_GB2312" w:eastAsia="仿宋_GB2312" w:hAnsi="仿宋_GB2312" w:cs="仿宋_GB2312" w:hint="eastAsia"/>
          <w:sz w:val="32"/>
          <w:szCs w:val="32"/>
        </w:rPr>
        <w:t>提出的“积极扩大国内需求，发挥消费拉动经济增长的基础性作用”，尤其对于房地产</w:t>
      </w:r>
      <w:r w:rsidRPr="00153CBF">
        <w:rPr>
          <w:rFonts w:ascii="仿宋_GB2312" w:eastAsia="仿宋_GB2312" w:hAnsi="仿宋_GB2312" w:cs="仿宋_GB2312" w:hint="eastAsia"/>
          <w:sz w:val="32"/>
          <w:szCs w:val="32"/>
        </w:rPr>
        <w:lastRenderedPageBreak/>
        <w:t>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19条。</w:t>
      </w:r>
    </w:p>
    <w:p w14:paraId="01C46DD7"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8月18日，财政部、税务总局、住房城乡建设部联合发布《关于延续实施支持居民换购住房有关个人所得税政策的公告》，文件规定自2024年1月1日至2025年12月31日，对出售自有住房并在现住房出售后1年内在市场重新购买住房的纳税人，对其出售现住房已缴纳的个人所得</w:t>
      </w:r>
      <w:proofErr w:type="gramStart"/>
      <w:r w:rsidRPr="00153CBF">
        <w:rPr>
          <w:rFonts w:ascii="仿宋_GB2312" w:eastAsia="仿宋_GB2312" w:hAnsi="仿宋_GB2312" w:cs="仿宋_GB2312" w:hint="eastAsia"/>
          <w:sz w:val="32"/>
          <w:szCs w:val="32"/>
        </w:rPr>
        <w:t>税予以</w:t>
      </w:r>
      <w:proofErr w:type="gramEnd"/>
      <w:r w:rsidRPr="00153CBF">
        <w:rPr>
          <w:rFonts w:ascii="仿宋_GB2312" w:eastAsia="仿宋_GB2312" w:hAnsi="仿宋_GB2312" w:cs="仿宋_GB2312" w:hint="eastAsia"/>
          <w:sz w:val="32"/>
          <w:szCs w:val="32"/>
        </w:rPr>
        <w:t>退税优惠。</w:t>
      </w:r>
    </w:p>
    <w:p w14:paraId="67B6713F" w14:textId="77777777" w:rsidR="00153CBF" w:rsidRPr="00153CBF" w:rsidRDefault="00153CBF">
      <w:pPr>
        <w:overflowPunct w:val="0"/>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  金融政策：</w:t>
      </w:r>
    </w:p>
    <w:p w14:paraId="5D237B2B" w14:textId="77777777" w:rsidR="00153CBF" w:rsidRPr="00153CBF" w:rsidRDefault="0003437A">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00153CBF" w:rsidRPr="00153CBF">
        <w:rPr>
          <w:rFonts w:ascii="仿宋_GB2312" w:eastAsia="仿宋_GB2312" w:hAnsi="仿宋_GB2312" w:cs="仿宋_GB2312" w:hint="eastAsia"/>
          <w:sz w:val="32"/>
          <w:szCs w:val="32"/>
        </w:rPr>
        <w:t>全国</w:t>
      </w:r>
      <w:r>
        <w:rPr>
          <w:rFonts w:ascii="仿宋_GB2312" w:eastAsia="仿宋_GB2312" w:hAnsi="仿宋_GB2312" w:cs="仿宋_GB2312" w:hint="eastAsia"/>
          <w:sz w:val="32"/>
          <w:szCs w:val="32"/>
        </w:rPr>
        <w:t>政策</w:t>
      </w:r>
    </w:p>
    <w:p w14:paraId="3539061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2月8日，中国人民银行、中国银行保险监督管理委员会发布《关于保障性租赁住房有关贷款不纳入房地产贷款集中度管理的通知》，明确保障性租赁住房项目有关贷款不纳入房地产贷款集中度管理，鼓励银行业金融机构按照依法合</w:t>
      </w:r>
      <w:proofErr w:type="gramStart"/>
      <w:r w:rsidRPr="00153CBF">
        <w:rPr>
          <w:rFonts w:ascii="仿宋_GB2312" w:eastAsia="仿宋_GB2312" w:hAnsi="仿宋_GB2312" w:cs="仿宋_GB2312" w:hint="eastAsia"/>
          <w:sz w:val="32"/>
          <w:szCs w:val="32"/>
        </w:rPr>
        <w:t>规</w:t>
      </w:r>
      <w:proofErr w:type="gramEnd"/>
      <w:r w:rsidRPr="00153CBF">
        <w:rPr>
          <w:rFonts w:ascii="仿宋_GB2312" w:eastAsia="仿宋_GB2312" w:hAnsi="仿宋_GB2312" w:cs="仿宋_GB2312" w:hint="eastAsia"/>
          <w:sz w:val="32"/>
          <w:szCs w:val="32"/>
        </w:rPr>
        <w:t>、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67AADE7E"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2022年2月25日，中国银保监会、住房和城乡建设部发布《关于</w:t>
      </w:r>
      <w:r w:rsidRPr="00153CBF">
        <w:rPr>
          <w:rFonts w:ascii="仿宋_GB2312" w:eastAsia="仿宋_GB2312" w:hAnsi="仿宋_GB2312" w:cs="仿宋_GB2312" w:hint="eastAsia"/>
          <w:sz w:val="32"/>
          <w:szCs w:val="32"/>
        </w:rPr>
        <w:lastRenderedPageBreak/>
        <w:t>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21266E9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11月11日，人民银行、原银保监会联合印发《关于做好当前金融支持房地产市场平稳健康发展工作的通知》（“金融16条”），其中明确，通过人民银行“三支箭”、政策性银行专项借款等措施，加大对房地产企业流动性支持。</w:t>
      </w:r>
    </w:p>
    <w:p w14:paraId="5A6CDF55"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2022年12月23日，国务院常务会议召开，会议指出“落实稳经济一揽子政策措施，抓好填平补齐，确保全面落地。落实支持刚性和改善型住房需求，保交楼和房企融资等16条金融政策”。</w:t>
      </w:r>
    </w:p>
    <w:p w14:paraId="1DC0A93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2023年7月10日，中国人民银行、国家金融监督管理总局联合发布《关于延长金融支持房地产市场平稳健康发展有关政策期限的通知》（以下简称‘《通知》’），综合考虑当前房地产市场形势，为引导金</w:t>
      </w:r>
      <w:r w:rsidRPr="00153CBF">
        <w:rPr>
          <w:rFonts w:ascii="仿宋_GB2312" w:eastAsia="仿宋_GB2312" w:hAnsi="仿宋_GB2312" w:cs="仿宋_GB2312" w:hint="eastAsia"/>
          <w:sz w:val="32"/>
          <w:szCs w:val="32"/>
        </w:rPr>
        <w:lastRenderedPageBreak/>
        <w:t>融机构继续对房地产企业存量融资展期，加大保交</w:t>
      </w:r>
      <w:proofErr w:type="gramStart"/>
      <w:r w:rsidRPr="00153CBF">
        <w:rPr>
          <w:rFonts w:ascii="仿宋_GB2312" w:eastAsia="仿宋_GB2312" w:hAnsi="仿宋_GB2312" w:cs="仿宋_GB2312" w:hint="eastAsia"/>
          <w:sz w:val="32"/>
          <w:szCs w:val="32"/>
        </w:rPr>
        <w:t>楼金融</w:t>
      </w:r>
      <w:proofErr w:type="gramEnd"/>
      <w:r w:rsidRPr="00153CBF">
        <w:rPr>
          <w:rFonts w:ascii="仿宋_GB2312" w:eastAsia="仿宋_GB2312" w:hAnsi="仿宋_GB2312" w:cs="仿宋_GB2312" w:hint="eastAsia"/>
          <w:sz w:val="32"/>
          <w:szCs w:val="32"/>
        </w:rPr>
        <w:t>支持，将“金融16条”中两项有适用期限的政策统一延长至2024年12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2024年12月31日前到期的，可以允许超出原规定多展期1年，可不调整贷款分类，报送征信系统的贷款分类与之保持一致。二是对于商业银行按照《通知》要求，2024年12月31日前向专项借款支持项目发放的配套融资，在贷款期限内</w:t>
      </w:r>
      <w:proofErr w:type="gramStart"/>
      <w:r w:rsidRPr="00153CBF">
        <w:rPr>
          <w:rFonts w:ascii="仿宋_GB2312" w:eastAsia="仿宋_GB2312" w:hAnsi="仿宋_GB2312" w:cs="仿宋_GB2312" w:hint="eastAsia"/>
          <w:sz w:val="32"/>
          <w:szCs w:val="32"/>
        </w:rPr>
        <w:t>不</w:t>
      </w:r>
      <w:proofErr w:type="gramEnd"/>
      <w:r w:rsidRPr="00153CBF">
        <w:rPr>
          <w:rFonts w:ascii="仿宋_GB2312" w:eastAsia="仿宋_GB2312" w:hAnsi="仿宋_GB2312" w:cs="仿宋_GB2312" w:hint="eastAsia"/>
          <w:sz w:val="32"/>
          <w:szCs w:val="32"/>
        </w:rPr>
        <w:t>下调风险分类；对债务新老划断后的承</w:t>
      </w:r>
      <w:proofErr w:type="gramStart"/>
      <w:r w:rsidRPr="00153CBF">
        <w:rPr>
          <w:rFonts w:ascii="仿宋_GB2312" w:eastAsia="仿宋_GB2312" w:hAnsi="仿宋_GB2312" w:cs="仿宋_GB2312" w:hint="eastAsia"/>
          <w:sz w:val="32"/>
          <w:szCs w:val="32"/>
        </w:rPr>
        <w:t>贷主体按照</w:t>
      </w:r>
      <w:proofErr w:type="gramEnd"/>
      <w:r w:rsidRPr="00153CBF">
        <w:rPr>
          <w:rFonts w:ascii="仿宋_GB2312" w:eastAsia="仿宋_GB2312" w:hAnsi="仿宋_GB2312" w:cs="仿宋_GB2312" w:hint="eastAsia"/>
          <w:sz w:val="32"/>
          <w:szCs w:val="32"/>
        </w:rPr>
        <w:t>合格借款主体管理。对于新发放的配套融资形成不良的，相关机构和人员已尽职的，可予免责。除上述两条政策外，其他不涉及适用期限的政策长期有效。</w:t>
      </w:r>
    </w:p>
    <w:p w14:paraId="0328FEC0"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2023年8月25日，住房城乡建设部发布《关于优化个人住房贷款中住房套数认定标准的通知》。《</w:t>
      </w:r>
      <w:r w:rsidRPr="00153CBF">
        <w:rPr>
          <w:rFonts w:ascii="仿宋_GB2312" w:eastAsia="仿宋_GB2312" w:hAnsi="仿宋_GB2312" w:cs="仿宋_GB2312"/>
          <w:sz w:val="32"/>
          <w:szCs w:val="32"/>
        </w:rPr>
        <w:t>通知</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明确，</w:t>
      </w:r>
      <w:r w:rsidRPr="00153CBF">
        <w:rPr>
          <w:rFonts w:ascii="仿宋_GB2312" w:eastAsia="仿宋_GB2312" w:hAnsi="仿宋_GB2312" w:cs="仿宋_GB2312" w:hint="eastAsia"/>
          <w:sz w:val="32"/>
          <w:szCs w:val="32"/>
        </w:rPr>
        <w:t>为贯彻落实党中央、国务院决策部署，坚持房子是用来住的、不是用来炒的定位，因城施策用好政策工具箱，优化个人住房贷款中住房套数认定标准，更好满足居民刚性和改善性住房需求，</w:t>
      </w:r>
      <w:r w:rsidRPr="00153CBF">
        <w:rPr>
          <w:rFonts w:ascii="仿宋_GB2312" w:eastAsia="仿宋_GB2312" w:hAnsi="仿宋_GB2312" w:cs="仿宋_GB2312"/>
          <w:sz w:val="32"/>
          <w:szCs w:val="32"/>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proofErr w:type="gramStart"/>
      <w:r w:rsidRPr="00153CBF">
        <w:rPr>
          <w:rFonts w:ascii="仿宋_GB2312" w:eastAsia="仿宋_GB2312" w:hAnsi="仿宋_GB2312" w:cs="仿宋_GB2312"/>
          <w:sz w:val="32"/>
          <w:szCs w:val="32"/>
        </w:rPr>
        <w:t>一</w:t>
      </w:r>
      <w:proofErr w:type="gramEnd"/>
      <w:r w:rsidRPr="00153CBF">
        <w:rPr>
          <w:rFonts w:ascii="仿宋_GB2312" w:eastAsia="仿宋_GB2312" w:hAnsi="仿宋_GB2312" w:cs="仿宋_GB2312"/>
          <w:sz w:val="32"/>
          <w:szCs w:val="32"/>
        </w:rPr>
        <w:t>城</w:t>
      </w:r>
      <w:proofErr w:type="gramStart"/>
      <w:r w:rsidRPr="00153CBF">
        <w:rPr>
          <w:rFonts w:ascii="仿宋_GB2312" w:eastAsia="仿宋_GB2312" w:hAnsi="仿宋_GB2312" w:cs="仿宋_GB2312"/>
          <w:sz w:val="32"/>
          <w:szCs w:val="32"/>
        </w:rPr>
        <w:t>一</w:t>
      </w:r>
      <w:proofErr w:type="gramEnd"/>
      <w:r w:rsidRPr="00153CBF">
        <w:rPr>
          <w:rFonts w:ascii="仿宋_GB2312" w:eastAsia="仿宋_GB2312" w:hAnsi="仿宋_GB2312" w:cs="仿宋_GB2312"/>
          <w:sz w:val="32"/>
          <w:szCs w:val="32"/>
        </w:rPr>
        <w:t>策”工具箱，供城市自主选用</w:t>
      </w:r>
      <w:r w:rsidRPr="00153CBF">
        <w:rPr>
          <w:rFonts w:ascii="仿宋_GB2312" w:eastAsia="仿宋_GB2312" w:hAnsi="仿宋_GB2312" w:cs="仿宋_GB2312" w:hint="eastAsia"/>
          <w:sz w:val="32"/>
          <w:szCs w:val="32"/>
        </w:rPr>
        <w:t>。</w:t>
      </w:r>
    </w:p>
    <w:p w14:paraId="56C1B5B5"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2023年8月31日，中国人民银行、国家金融监督管理总局联合发布《关于调整优化差别化住房信贷政策的通知》和《关于降低存量首套</w:t>
      </w:r>
      <w:r w:rsidRPr="00153CBF">
        <w:rPr>
          <w:rFonts w:ascii="仿宋_GB2312" w:eastAsia="仿宋_GB2312" w:hAnsi="仿宋_GB2312" w:cs="仿宋_GB2312" w:hint="eastAsia"/>
          <w:sz w:val="32"/>
          <w:szCs w:val="32"/>
        </w:rPr>
        <w:lastRenderedPageBreak/>
        <w:t>住房贷款利率有关事项的通知》。其中，《关于调整优化差别化住房信贷政策的通知》明确了统一全国商业性个人住房贷款最低首付款比例政策下限。不再区分实施“限购”城市和不实施“限购”城市，首套住房和二套住房商业性个人住房贷款最低首付款比例政策下限统一为不低于20%和30%；将二套住房利率政策下限调整为不低于相应期限贷款市场报价利率（LPR）加20个基点。首套住房利率政策下限仍为不低于相应期限LPR减20个基点。《关于降低存量首套住房贷款利率有关事项的通知》明确了自2023年9月25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率（LPR）上的加点幅度，不得低于原贷款发放时所在城市首套住房商业性个人住房贷款利率政策下限。</w:t>
      </w:r>
    </w:p>
    <w:p w14:paraId="6064D62B" w14:textId="77777777" w:rsidR="00153CBF" w:rsidRPr="00153CBF" w:rsidRDefault="0003437A">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2.地方政策</w:t>
      </w:r>
    </w:p>
    <w:p w14:paraId="1779124E"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1月19日，人民银行召开22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1ABFF648"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2022年8月4日北京住建委发表《多措并举提升老年家庭居住品质营造全龄友好型社区》的文章，北京市再次明确提出要完善“三边四级”养老服务体系，加强</w:t>
      </w:r>
      <w:proofErr w:type="gramStart"/>
      <w:r w:rsidRPr="00153CBF">
        <w:rPr>
          <w:rFonts w:ascii="仿宋_GB2312" w:eastAsia="仿宋_GB2312" w:hAnsi="仿宋_GB2312" w:cs="仿宋_GB2312" w:hint="eastAsia"/>
          <w:sz w:val="32"/>
          <w:szCs w:val="32"/>
        </w:rPr>
        <w:t>适</w:t>
      </w:r>
      <w:proofErr w:type="gramEnd"/>
      <w:r w:rsidRPr="00153CBF">
        <w:rPr>
          <w:rFonts w:ascii="仿宋_GB2312" w:eastAsia="仿宋_GB2312" w:hAnsi="仿宋_GB2312" w:cs="仿宋_GB2312" w:hint="eastAsia"/>
          <w:sz w:val="32"/>
          <w:szCs w:val="32"/>
        </w:rPr>
        <w:t>老化改造，推进</w:t>
      </w:r>
      <w:proofErr w:type="gramStart"/>
      <w:r w:rsidRPr="00153CBF">
        <w:rPr>
          <w:rFonts w:ascii="仿宋_GB2312" w:eastAsia="仿宋_GB2312" w:hAnsi="仿宋_GB2312" w:cs="仿宋_GB2312" w:hint="eastAsia"/>
          <w:sz w:val="32"/>
          <w:szCs w:val="32"/>
        </w:rPr>
        <w:t>医</w:t>
      </w:r>
      <w:proofErr w:type="gramEnd"/>
      <w:r w:rsidRPr="00153CBF">
        <w:rPr>
          <w:rFonts w:ascii="仿宋_GB2312" w:eastAsia="仿宋_GB2312" w:hAnsi="仿宋_GB2312" w:cs="仿宋_GB2312" w:hint="eastAsia"/>
          <w:sz w:val="32"/>
          <w:szCs w:val="32"/>
        </w:rPr>
        <w:t>养结合，营造老年友好型社会氛围等工作任务。主要内容如下：今年在第二批次供地时，已选取</w:t>
      </w:r>
      <w:proofErr w:type="gramStart"/>
      <w:r w:rsidRPr="00153CBF">
        <w:rPr>
          <w:rFonts w:ascii="仿宋_GB2312" w:eastAsia="仿宋_GB2312" w:hAnsi="仿宋_GB2312" w:cs="仿宋_GB2312" w:hint="eastAsia"/>
          <w:sz w:val="32"/>
          <w:szCs w:val="32"/>
        </w:rPr>
        <w:t>昌平区平西</w:t>
      </w:r>
      <w:proofErr w:type="gramEnd"/>
      <w:r w:rsidRPr="00153CBF">
        <w:rPr>
          <w:rFonts w:ascii="仿宋_GB2312" w:eastAsia="仿宋_GB2312" w:hAnsi="仿宋_GB2312" w:cs="仿宋_GB2312" w:hint="eastAsia"/>
          <w:sz w:val="32"/>
          <w:szCs w:val="32"/>
        </w:rPr>
        <w:t>府、顺义区福环、顺义区薛大人庄等三宗地进行试点。对中心城</w:t>
      </w:r>
      <w:r w:rsidRPr="00153CBF">
        <w:rPr>
          <w:rFonts w:ascii="仿宋_GB2312" w:eastAsia="仿宋_GB2312" w:hAnsi="仿宋_GB2312" w:cs="仿宋_GB2312" w:hint="eastAsia"/>
          <w:sz w:val="32"/>
          <w:szCs w:val="32"/>
        </w:rPr>
        <w:lastRenderedPageBreak/>
        <w:t>区老年家庭（60周岁及以上）购买上述试点项目，并把户口迁至试点项目所在地的，给予一定的支持政策。包括：老年家庭名下无住房且无在途贷款的，购买试点项目普通住房执行首付比例35%、非普通住房执行首付比例40%，以及相应的贷款优惠利率；购买试点项目140平方米以下住房的，按首套房首付比例35%、二套房首付比例60%执行；其子女可作为共同借款人申请贷款。</w:t>
      </w:r>
    </w:p>
    <w:p w14:paraId="5157E79F" w14:textId="77777777" w:rsidR="00153CBF" w:rsidRPr="00153CBF" w:rsidRDefault="00153CBF">
      <w:pPr>
        <w:spacing w:line="360" w:lineRule="auto"/>
        <w:ind w:right="205"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9月1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345D92D5" w14:textId="77777777" w:rsidR="00153CBF" w:rsidRPr="00153CBF" w:rsidRDefault="0003437A" w:rsidP="006D27A9">
      <w:pPr>
        <w:pStyle w:val="20"/>
        <w:ind w:firstLine="643"/>
        <w:rPr>
          <w:rFonts w:ascii="仿宋_GB2312" w:eastAsia="仿宋_GB2312" w:hAnsi="仿宋_GB2312" w:cs="仿宋_GB2312" w:hint="eastAsia"/>
        </w:rPr>
      </w:pPr>
      <w:bookmarkStart w:id="22" w:name="_Toc174720305"/>
      <w:r>
        <w:rPr>
          <w:rFonts w:ascii="仿宋_GB2312" w:eastAsia="仿宋_GB2312" w:hAnsi="仿宋_GB2312" w:cs="仿宋_GB2312" w:hint="eastAsia"/>
        </w:rPr>
        <w:t>（四）</w:t>
      </w:r>
      <w:r w:rsidR="00153CBF" w:rsidRPr="006D27A9">
        <w:rPr>
          <w:rFonts w:ascii="Arial" w:eastAsia="仿宋_GB2312" w:hAnsi="Arial" w:cs="Arial" w:hint="eastAsia"/>
          <w:bCs w:val="0"/>
          <w:color w:val="000000"/>
        </w:rPr>
        <w:t>城市规划</w:t>
      </w:r>
      <w:r w:rsidR="00153CBF" w:rsidRPr="00153CBF">
        <w:rPr>
          <w:rFonts w:ascii="仿宋_GB2312" w:eastAsia="仿宋_GB2312" w:hAnsi="仿宋_GB2312" w:cs="仿宋_GB2312" w:hint="eastAsia"/>
        </w:rPr>
        <w:t>与发展目标</w:t>
      </w:r>
      <w:bookmarkEnd w:id="22"/>
    </w:p>
    <w:p w14:paraId="04D6C794" w14:textId="77777777" w:rsidR="00153CBF" w:rsidRPr="00153CBF" w:rsidRDefault="006D27A9">
      <w:pPr>
        <w:spacing w:line="360" w:lineRule="auto"/>
        <w:ind w:right="205"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00153CBF" w:rsidRPr="00153CBF">
        <w:rPr>
          <w:rFonts w:ascii="仿宋_GB2312" w:eastAsia="仿宋_GB2312" w:hAnsi="仿宋_GB2312" w:cs="仿宋_GB2312" w:hint="eastAsia"/>
          <w:sz w:val="32"/>
          <w:szCs w:val="32"/>
        </w:rPr>
        <w:t>《北京城市总体规划(2016年-2035年)》于2017年9月29日正式发布。新版总体规划以资源环境为硬约束，确定了人口总量上限、生态控制线、城市开发边界“三条红线”。通过</w:t>
      </w:r>
      <w:proofErr w:type="gramStart"/>
      <w:r w:rsidR="00153CBF" w:rsidRPr="00153CBF">
        <w:rPr>
          <w:rFonts w:ascii="仿宋_GB2312" w:eastAsia="仿宋_GB2312" w:hAnsi="仿宋_GB2312" w:cs="仿宋_GB2312" w:hint="eastAsia"/>
          <w:sz w:val="32"/>
          <w:szCs w:val="32"/>
        </w:rPr>
        <w:t>疏解非首都</w:t>
      </w:r>
      <w:proofErr w:type="gramEnd"/>
      <w:r w:rsidR="00153CBF" w:rsidRPr="00153CBF">
        <w:rPr>
          <w:rFonts w:ascii="仿宋_GB2312" w:eastAsia="仿宋_GB2312" w:hAnsi="仿宋_GB2312" w:cs="仿宋_GB2312" w:hint="eastAsia"/>
          <w:sz w:val="32"/>
          <w:szCs w:val="32"/>
        </w:rPr>
        <w:t>功能，实现人</w:t>
      </w:r>
      <w:proofErr w:type="gramStart"/>
      <w:r w:rsidR="00153CBF" w:rsidRPr="00153CBF">
        <w:rPr>
          <w:rFonts w:ascii="仿宋_GB2312" w:eastAsia="仿宋_GB2312" w:hAnsi="仿宋_GB2312" w:cs="仿宋_GB2312" w:hint="eastAsia"/>
          <w:sz w:val="32"/>
          <w:szCs w:val="32"/>
        </w:rPr>
        <w:t>随功能走</w:t>
      </w:r>
      <w:proofErr w:type="gramEnd"/>
      <w:r w:rsidR="00153CBF" w:rsidRPr="00153CBF">
        <w:rPr>
          <w:rFonts w:ascii="仿宋_GB2312" w:eastAsia="仿宋_GB2312" w:hAnsi="仿宋_GB2312" w:cs="仿宋_GB2312" w:hint="eastAsia"/>
          <w:sz w:val="32"/>
          <w:szCs w:val="32"/>
        </w:rPr>
        <w:t>、人</w:t>
      </w:r>
      <w:proofErr w:type="gramStart"/>
      <w:r w:rsidR="00153CBF" w:rsidRPr="00153CBF">
        <w:rPr>
          <w:rFonts w:ascii="仿宋_GB2312" w:eastAsia="仿宋_GB2312" w:hAnsi="仿宋_GB2312" w:cs="仿宋_GB2312" w:hint="eastAsia"/>
          <w:sz w:val="32"/>
          <w:szCs w:val="32"/>
        </w:rPr>
        <w:t>随产业</w:t>
      </w:r>
      <w:proofErr w:type="gramEnd"/>
      <w:r w:rsidR="00153CBF" w:rsidRPr="00153CBF">
        <w:rPr>
          <w:rFonts w:ascii="仿宋_GB2312" w:eastAsia="仿宋_GB2312" w:hAnsi="仿宋_GB2312" w:cs="仿宋_GB2312" w:hint="eastAsia"/>
          <w:sz w:val="32"/>
          <w:szCs w:val="32"/>
        </w:rPr>
        <w:t>走。北京市常住人口规模2020年控制在2300万人以内，2020年以后长期稳定在这一水平。到2035年，北京市生态控制区面积占市域面积的比例要提高到75%。到2020年，北京市城乡建设用地规模将由2015年的2921平方公里减到2860平方公里。</w:t>
      </w:r>
      <w:proofErr w:type="gramStart"/>
      <w:r w:rsidR="00153CBF" w:rsidRPr="00153CBF">
        <w:rPr>
          <w:rFonts w:ascii="仿宋_GB2312" w:eastAsia="仿宋_GB2312" w:hAnsi="仿宋_GB2312" w:cs="仿宋_GB2312" w:hint="eastAsia"/>
          <w:sz w:val="32"/>
          <w:szCs w:val="32"/>
        </w:rPr>
        <w:t>深入推</w:t>
      </w:r>
      <w:proofErr w:type="gramEnd"/>
      <w:r w:rsidR="00153CBF" w:rsidRPr="00153CBF">
        <w:rPr>
          <w:rFonts w:ascii="仿宋_GB2312" w:eastAsia="仿宋_GB2312" w:hAnsi="仿宋_GB2312" w:cs="仿宋_GB2312" w:hint="eastAsia"/>
          <w:sz w:val="32"/>
          <w:szCs w:val="32"/>
        </w:rPr>
        <w:lastRenderedPageBreak/>
        <w:t>进京津冀协同发展。发挥北京的辐射带动作用，打造以首都为核心的世界级城市群。全方位对接支持</w:t>
      </w:r>
      <w:proofErr w:type="gramStart"/>
      <w:r w:rsidR="00153CBF" w:rsidRPr="00153CBF">
        <w:rPr>
          <w:rFonts w:ascii="仿宋_GB2312" w:eastAsia="仿宋_GB2312" w:hAnsi="仿宋_GB2312" w:cs="仿宋_GB2312" w:hint="eastAsia"/>
          <w:sz w:val="32"/>
          <w:szCs w:val="32"/>
        </w:rPr>
        <w:t>河北雄安新区</w:t>
      </w:r>
      <w:proofErr w:type="gramEnd"/>
      <w:r w:rsidR="00153CBF" w:rsidRPr="00153CBF">
        <w:rPr>
          <w:rFonts w:ascii="仿宋_GB2312" w:eastAsia="仿宋_GB2312" w:hAnsi="仿宋_GB2312" w:cs="仿宋_GB2312" w:hint="eastAsia"/>
          <w:sz w:val="32"/>
          <w:szCs w:val="32"/>
        </w:rPr>
        <w:t>规划建设。与河北共同筹办好2022年北京冬奥会和</w:t>
      </w:r>
      <w:proofErr w:type="gramStart"/>
      <w:r w:rsidR="00153CBF" w:rsidRPr="00153CBF">
        <w:rPr>
          <w:rFonts w:ascii="仿宋_GB2312" w:eastAsia="仿宋_GB2312" w:hAnsi="仿宋_GB2312" w:cs="仿宋_GB2312" w:hint="eastAsia"/>
          <w:sz w:val="32"/>
          <w:szCs w:val="32"/>
        </w:rPr>
        <w:t>冬残</w:t>
      </w:r>
      <w:proofErr w:type="gramEnd"/>
      <w:r w:rsidR="00153CBF" w:rsidRPr="00153CBF">
        <w:rPr>
          <w:rFonts w:ascii="仿宋_GB2312" w:eastAsia="仿宋_GB2312" w:hAnsi="仿宋_GB2312" w:cs="仿宋_GB2312" w:hint="eastAsia"/>
          <w:sz w:val="32"/>
          <w:szCs w:val="32"/>
        </w:rPr>
        <w:t>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3EB33635" w14:textId="77777777" w:rsidR="00153CBF" w:rsidRPr="00153CBF" w:rsidRDefault="006D27A9">
      <w:pPr>
        <w:spacing w:line="360" w:lineRule="auto"/>
        <w:ind w:right="205"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sidR="00153CBF" w:rsidRPr="00153CBF">
        <w:rPr>
          <w:rFonts w:ascii="仿宋_GB2312" w:eastAsia="仿宋_GB2312" w:hAnsi="仿宋_GB2312" w:cs="仿宋_GB2312" w:hint="eastAsia"/>
          <w:sz w:val="32"/>
          <w:szCs w:val="32"/>
        </w:rPr>
        <w:t>2021年1月27日，北京市第十五届人民代表大会第四次会议批准了《北京市国民经济和社会发展第十四个五年规划和二</w:t>
      </w:r>
      <w:r w:rsidR="00153CBF" w:rsidRPr="00153CBF">
        <w:rPr>
          <w:rFonts w:ascii="微软雅黑" w:eastAsia="微软雅黑" w:hAnsi="微软雅黑" w:cs="微软雅黑" w:hint="eastAsia"/>
          <w:sz w:val="32"/>
          <w:szCs w:val="32"/>
        </w:rPr>
        <w:t>〇</w:t>
      </w:r>
      <w:r w:rsidR="00153CBF" w:rsidRPr="00153CBF">
        <w:rPr>
          <w:rFonts w:ascii="仿宋_GB2312" w:eastAsia="仿宋_GB2312" w:hAnsi="仿宋_GB2312" w:cs="仿宋_GB2312" w:hint="eastAsia"/>
          <w:sz w:val="32"/>
          <w:szCs w:val="32"/>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00153CBF" w:rsidRPr="00153CBF">
        <w:rPr>
          <w:rFonts w:ascii="仿宋_GB2312" w:eastAsia="仿宋_GB2312" w:hAnsi="仿宋_GB2312" w:cs="仿宋_GB2312" w:hint="eastAsia"/>
          <w:sz w:val="32"/>
          <w:szCs w:val="32"/>
        </w:rPr>
        <w:t>疏解非首都</w:t>
      </w:r>
      <w:proofErr w:type="gramEnd"/>
      <w:r w:rsidR="00153CBF" w:rsidRPr="00153CBF">
        <w:rPr>
          <w:rFonts w:ascii="仿宋_GB2312" w:eastAsia="仿宋_GB2312" w:hAnsi="仿宋_GB2312" w:cs="仿宋_GB2312" w:hint="eastAsia"/>
          <w:sz w:val="32"/>
          <w:szCs w:val="32"/>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C3366FE" w14:textId="77777777" w:rsidR="00153CBF" w:rsidRPr="00153CBF" w:rsidRDefault="00153CBF">
      <w:pPr>
        <w:spacing w:line="360" w:lineRule="auto"/>
        <w:ind w:right="205"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《纲要》提出，建设高品质宜居城市，优化城市空间功能布局，加快推进城市更新。</w:t>
      </w:r>
      <w:r w:rsidRPr="00153CBF">
        <w:rPr>
          <w:rFonts w:ascii="仿宋_GB2312" w:eastAsia="仿宋_GB2312" w:hAnsi="仿宋_GB2312" w:cs="仿宋_GB2312"/>
          <w:sz w:val="32"/>
          <w:szCs w:val="32"/>
        </w:rPr>
        <w:t>大力推进老旧小区改造</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促进存量产业空间活力复</w:t>
      </w:r>
      <w:r w:rsidRPr="00153CBF">
        <w:rPr>
          <w:rFonts w:ascii="仿宋_GB2312" w:eastAsia="仿宋_GB2312" w:hAnsi="仿宋_GB2312" w:cs="仿宋_GB2312"/>
          <w:sz w:val="32"/>
          <w:szCs w:val="32"/>
        </w:rPr>
        <w:lastRenderedPageBreak/>
        <w:t>兴。研究推进区域整体转型开发、节余土地分割转让等机制，鼓励市场主体利用老旧厂房发展科技研发、商务服务、文化创意等产业</w:t>
      </w:r>
      <w:r w:rsidRPr="00153CBF">
        <w:rPr>
          <w:rFonts w:ascii="仿宋_GB2312" w:eastAsia="仿宋_GB2312" w:hAnsi="仿宋_GB2312" w:cs="仿宋_GB2312" w:hint="eastAsia"/>
          <w:sz w:val="32"/>
          <w:szCs w:val="32"/>
        </w:rPr>
        <w:t>。</w:t>
      </w:r>
    </w:p>
    <w:p w14:paraId="5B031303" w14:textId="77777777" w:rsidR="00153CBF" w:rsidRPr="00153CBF" w:rsidRDefault="00153CBF">
      <w:pPr>
        <w:spacing w:line="360" w:lineRule="auto"/>
        <w:ind w:right="205"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完善多层次住房保障体系，加大住房有效供给，优化房地产市场管理和服务。</w:t>
      </w:r>
      <w:r w:rsidRPr="00153CBF">
        <w:rPr>
          <w:rFonts w:ascii="仿宋_GB2312" w:eastAsia="仿宋_GB2312" w:hAnsi="仿宋_GB2312" w:cs="仿宋_GB2312"/>
          <w:sz w:val="32"/>
          <w:szCs w:val="32"/>
        </w:rPr>
        <w:t>坚持“房住不炒”，完善房地产市场平稳健康发展长效机制，构建与城市功能定位和发展需求相适应的住房体系，努力实现住有所居、居有所安。加大住房有效供给</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w:t>
      </w:r>
      <w:proofErr w:type="gramStart"/>
      <w:r w:rsidRPr="00153CBF">
        <w:rPr>
          <w:rFonts w:ascii="仿宋_GB2312" w:eastAsia="仿宋_GB2312" w:hAnsi="仿宋_GB2312" w:cs="仿宋_GB2312"/>
          <w:sz w:val="32"/>
          <w:szCs w:val="32"/>
        </w:rPr>
        <w:t>型职工</w:t>
      </w:r>
      <w:proofErr w:type="gramEnd"/>
      <w:r w:rsidRPr="00153CBF">
        <w:rPr>
          <w:rFonts w:ascii="仿宋_GB2312" w:eastAsia="仿宋_GB2312" w:hAnsi="仿宋_GB2312" w:cs="仿宋_GB2312"/>
          <w:sz w:val="32"/>
          <w:szCs w:val="32"/>
        </w:rPr>
        <w:t>集体宿舍或公寓。加快高层次人才公租房和国际人才公寓建设。确保住房交易市场平稳有序，规范发展住房租赁市场</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保持调控政策连续性稳定性，坚决遏制投机炒房，按照“全市统筹、因区施策”原则，逐步完善各区域调控长效机制，合理设定调控目标，全面落实稳地价、稳房价、稳预期。</w:t>
      </w:r>
    </w:p>
    <w:p w14:paraId="1FFD33EE" w14:textId="77777777" w:rsidR="00153CBF" w:rsidRPr="00153CBF" w:rsidRDefault="006D27A9">
      <w:pPr>
        <w:spacing w:line="360" w:lineRule="auto"/>
        <w:ind w:right="205"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sidR="00153CBF" w:rsidRPr="00153CBF">
        <w:rPr>
          <w:rFonts w:ascii="仿宋_GB2312" w:eastAsia="仿宋_GB2312" w:hAnsi="仿宋_GB2312" w:cs="仿宋_GB2312" w:hint="eastAsia"/>
          <w:sz w:val="32"/>
          <w:szCs w:val="32"/>
        </w:rPr>
        <w:t>2022年5月18日，北京市印发《北京市城市更新专项规划（“十四五”时期）》（以下简称‘《专项规划》’），严控大拆大建，采取小规模、渐进式、可持续的更新，依托新版《北京城市总规》确定的“</w:t>
      </w:r>
      <w:proofErr w:type="gramStart"/>
      <w:r w:rsidR="00153CBF" w:rsidRPr="00153CBF">
        <w:rPr>
          <w:rFonts w:ascii="仿宋_GB2312" w:eastAsia="仿宋_GB2312" w:hAnsi="仿宋_GB2312" w:cs="仿宋_GB2312" w:hint="eastAsia"/>
          <w:sz w:val="32"/>
          <w:szCs w:val="32"/>
        </w:rPr>
        <w:t>一</w:t>
      </w:r>
      <w:proofErr w:type="gramEnd"/>
      <w:r w:rsidR="00153CBF" w:rsidRPr="00153CBF">
        <w:rPr>
          <w:rFonts w:ascii="仿宋_GB2312" w:eastAsia="仿宋_GB2312" w:hAnsi="仿宋_GB2312" w:cs="仿宋_GB2312" w:hint="eastAsia"/>
          <w:sz w:val="32"/>
          <w:szCs w:val="32"/>
        </w:rPr>
        <w:t>核一主一副、两轴多点一区”的城市空间结构，分圈层差异</w:t>
      </w:r>
      <w:proofErr w:type="gramStart"/>
      <w:r w:rsidR="00153CBF" w:rsidRPr="00153CBF">
        <w:rPr>
          <w:rFonts w:ascii="仿宋_GB2312" w:eastAsia="仿宋_GB2312" w:hAnsi="仿宋_GB2312" w:cs="仿宋_GB2312" w:hint="eastAsia"/>
          <w:sz w:val="32"/>
          <w:szCs w:val="32"/>
        </w:rPr>
        <w:t>化明确</w:t>
      </w:r>
      <w:proofErr w:type="gramEnd"/>
      <w:r w:rsidR="00153CBF" w:rsidRPr="00153CBF">
        <w:rPr>
          <w:rFonts w:ascii="仿宋_GB2312" w:eastAsia="仿宋_GB2312" w:hAnsi="仿宋_GB2312" w:cs="仿宋_GB2312" w:hint="eastAsia"/>
          <w:sz w:val="32"/>
          <w:szCs w:val="32"/>
        </w:rPr>
        <w:t>更新方向，将首都功能核心区和城市副中心作为更新重点；划定近期178个</w:t>
      </w:r>
      <w:r w:rsidR="00153CBF" w:rsidRPr="00153CBF">
        <w:rPr>
          <w:rFonts w:ascii="仿宋_GB2312" w:eastAsia="仿宋_GB2312" w:hAnsi="仿宋_GB2312" w:cs="仿宋_GB2312" w:hint="eastAsia"/>
          <w:sz w:val="32"/>
          <w:szCs w:val="32"/>
        </w:rPr>
        <w:lastRenderedPageBreak/>
        <w:t>城市更新重点街区，到2025年，将完成全市2000年底前建成需改造的1.6亿平方米老旧小区改造任务。</w:t>
      </w:r>
    </w:p>
    <w:p w14:paraId="4FBE0322" w14:textId="77777777" w:rsidR="00153CBF" w:rsidRPr="00153CBF" w:rsidRDefault="00153CBF">
      <w:pPr>
        <w:spacing w:line="360" w:lineRule="auto"/>
        <w:ind w:right="205"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478B08BE" w14:textId="77777777" w:rsidR="00153CBF" w:rsidRPr="00153CBF" w:rsidRDefault="006D27A9" w:rsidP="006D27A9">
      <w:pPr>
        <w:pStyle w:val="20"/>
        <w:ind w:firstLine="643"/>
        <w:rPr>
          <w:rFonts w:ascii="仿宋_GB2312" w:eastAsia="仿宋_GB2312" w:hAnsi="仿宋_GB2312" w:cs="仿宋_GB2312" w:hint="eastAsia"/>
        </w:rPr>
      </w:pPr>
      <w:bookmarkStart w:id="23" w:name="_Toc174720306"/>
      <w:r>
        <w:rPr>
          <w:rFonts w:ascii="仿宋_GB2312" w:eastAsia="仿宋_GB2312" w:hAnsi="仿宋_GB2312" w:cs="仿宋_GB2312" w:hint="eastAsia"/>
        </w:rPr>
        <w:t>（</w:t>
      </w:r>
      <w:r w:rsidRPr="006D27A9">
        <w:rPr>
          <w:rFonts w:ascii="仿宋_GB2312" w:eastAsia="仿宋_GB2312" w:hAnsi="仿宋_GB2312" w:cs="仿宋_GB2312" w:hint="eastAsia"/>
        </w:rPr>
        <w:t>五</w:t>
      </w:r>
      <w:r>
        <w:rPr>
          <w:rFonts w:ascii="仿宋_GB2312" w:eastAsia="仿宋_GB2312" w:hAnsi="仿宋_GB2312" w:cs="仿宋_GB2312" w:hint="eastAsia"/>
        </w:rPr>
        <w:t>）</w:t>
      </w:r>
      <w:r w:rsidR="00153CBF" w:rsidRPr="00153CBF">
        <w:rPr>
          <w:rFonts w:ascii="仿宋_GB2312" w:eastAsia="仿宋_GB2312" w:hAnsi="仿宋_GB2312" w:cs="仿宋_GB2312" w:hint="eastAsia"/>
        </w:rPr>
        <w:t>城市经济发展运行状况</w:t>
      </w:r>
      <w:bookmarkEnd w:id="23"/>
    </w:p>
    <w:p w14:paraId="3BDB2F40"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根据北京市统计局地区生产总值统一核算结果，2023年前三季度，北京市实现地区生产总值31723.1亿元，按不变价格计算，同比增长5.1%，比上半年回落0.4个百分点。分产业看，第一产业实现增加值71.4亿元，下降4.2%；第二产业实现增加值4529.1亿元，下降0.1%；第三产业实现增加值27122.7亿元，增长6.1%。</w:t>
      </w:r>
    </w:p>
    <w:p w14:paraId="62B07600"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00153CBF" w:rsidRPr="00153CBF">
        <w:rPr>
          <w:rFonts w:ascii="仿宋_GB2312" w:eastAsia="仿宋_GB2312" w:hAnsi="仿宋_GB2312" w:cs="仿宋_GB2312" w:hint="eastAsia"/>
          <w:sz w:val="32"/>
          <w:szCs w:val="32"/>
        </w:rPr>
        <w:t>农业生产形势稳定，休闲农业和乡村旅游持续恢复</w:t>
      </w:r>
    </w:p>
    <w:p w14:paraId="26ABD058"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实现农林牧渔业总产值168.4亿元，按可比价格计算，同比下降4%，降幅比上半年收窄0.4个百分点。其中，实现农业（种植业）产值90.0亿元，增长5.7%，瓜果、园林水果产量增长超1成；受上年百万亩造林工程收官基数较高影响，实现林业产值43.0亿元，下降15.6%。休闲农业和乡村旅游接待游客1663.7万人次、实现收入27.2亿元，分别增长25.2%和16.1%。</w:t>
      </w:r>
    </w:p>
    <w:p w14:paraId="28647A7D"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sidR="00153CBF" w:rsidRPr="00153CBF">
        <w:rPr>
          <w:rFonts w:ascii="仿宋_GB2312" w:eastAsia="仿宋_GB2312" w:hAnsi="仿宋_GB2312" w:cs="仿宋_GB2312" w:hint="eastAsia"/>
          <w:sz w:val="32"/>
          <w:szCs w:val="32"/>
        </w:rPr>
        <w:t>工业生产稳步恢复，装备、电力、汽车行业增长较快</w:t>
      </w:r>
    </w:p>
    <w:p w14:paraId="31BBE1EE"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前三季度，全市规模以上工业增加值按可比价格计算，同比下降0.7%（剔除新冠疫苗生产因素，增长3.1%），降幅比上半年收窄0.3个</w:t>
      </w:r>
      <w:r w:rsidRPr="00153CBF">
        <w:rPr>
          <w:rFonts w:ascii="仿宋_GB2312" w:eastAsia="仿宋_GB2312" w:hAnsi="仿宋_GB2312" w:cs="仿宋_GB2312" w:hint="eastAsia"/>
          <w:sz w:val="32"/>
          <w:szCs w:val="32"/>
        </w:rPr>
        <w:lastRenderedPageBreak/>
        <w:t>百分点，其中9月</w:t>
      </w:r>
      <w:proofErr w:type="gramStart"/>
      <w:r w:rsidRPr="00153CBF">
        <w:rPr>
          <w:rFonts w:ascii="仿宋_GB2312" w:eastAsia="仿宋_GB2312" w:hAnsi="仿宋_GB2312" w:cs="仿宋_GB2312" w:hint="eastAsia"/>
          <w:sz w:val="32"/>
          <w:szCs w:val="32"/>
        </w:rPr>
        <w:t>当月增长</w:t>
      </w:r>
      <w:proofErr w:type="gramEnd"/>
      <w:r w:rsidRPr="00153CBF">
        <w:rPr>
          <w:rFonts w:ascii="仿宋_GB2312" w:eastAsia="仿宋_GB2312" w:hAnsi="仿宋_GB2312" w:cs="仿宋_GB2312" w:hint="eastAsia"/>
          <w:sz w:val="32"/>
          <w:szCs w:val="32"/>
        </w:rPr>
        <w:t>2.0%。重点行业中，电力、热力生产和供应业增长7.9%，汽车制造业增长7.5%，五大装备制造业[1]增长12.7%，计算机、通信和其他电子设备制造业下降4.4%，医药制造业下降26.6%（剔除新冠疫苗生产因素，下降4.3%）。高端或新兴领域产品生产增势较好，风力发电机组、液晶显示模组、3D打印设备、医疗仪器设备及器械产量分别增长65.2%、51.9%、33.2%和16.6%。</w:t>
      </w:r>
    </w:p>
    <w:p w14:paraId="0FD73D1B"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sidR="00153CBF" w:rsidRPr="00153CBF">
        <w:rPr>
          <w:rFonts w:ascii="仿宋_GB2312" w:eastAsia="仿宋_GB2312" w:hAnsi="仿宋_GB2312" w:cs="仿宋_GB2312" w:hint="eastAsia"/>
          <w:sz w:val="32"/>
          <w:szCs w:val="32"/>
        </w:rPr>
        <w:t>服务业总体平稳，优势行业、接触性服务业共同带动</w:t>
      </w:r>
    </w:p>
    <w:p w14:paraId="4F4FFFE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第三产业增加值按不变价格计算，同比增长6.1%，比上半年回落0.5个百分点。其中，信息传输、软件和信息技术服务业实现增加值6361.3亿元，增长13.4%；金融业实现增加值6331.8亿元，增长6.6%；交通运输、仓储和邮政业实现增加值785.6亿元，增长19.6%；文化、体育和娱乐业实现增加值599.3亿元，增长3.9%；住宿和餐饮业实现增加值350.6亿元，增长20.7%。</w:t>
      </w:r>
    </w:p>
    <w:p w14:paraId="4B188174"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sidR="00153CBF" w:rsidRPr="00153CBF">
        <w:rPr>
          <w:rFonts w:ascii="仿宋_GB2312" w:eastAsia="仿宋_GB2312" w:hAnsi="仿宋_GB2312" w:cs="仿宋_GB2312" w:hint="eastAsia"/>
          <w:sz w:val="32"/>
          <w:szCs w:val="32"/>
        </w:rPr>
        <w:t>固定资产投资继续增加，高技术产业投资保持活跃</w:t>
      </w:r>
    </w:p>
    <w:p w14:paraId="062B1EC1"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固定资产投资（不含农户）同比增长5.9%。其中，基础设施投资下降0.1%，房地产开发投资增长2.6%，反映企业扩大生产能力的设备购置投资增长26.5%。分产业看，第一产业投资下降51.7%，第二产业投资下降12.0%，第三产业投资增长8.4%。其中，科学研究和技术服务业，信息传输、软件和信息技术服务业投资分别增长49.7%和47.2%，租赁和商务服务业，交通运输、仓储和邮政业投资分别增长20.2%和14.1%。高技术产业投资增长18.2%，其中高技术服务业投资增长50.6%。</w:t>
      </w:r>
    </w:p>
    <w:p w14:paraId="3F477CE6"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前三季度，全市房屋施工面积12177.8万平方米，同比下降5.0%，</w:t>
      </w:r>
      <w:r w:rsidRPr="00153CBF">
        <w:rPr>
          <w:rFonts w:ascii="仿宋_GB2312" w:eastAsia="仿宋_GB2312" w:hAnsi="仿宋_GB2312" w:cs="仿宋_GB2312" w:hint="eastAsia"/>
          <w:sz w:val="32"/>
          <w:szCs w:val="32"/>
        </w:rPr>
        <w:lastRenderedPageBreak/>
        <w:t>其中住宅施工面积6050.7万平方米，下降5.3%。全市商品房销售面积785.1万平方米，同比增长6.4%，其中住宅销售面积573.8万平方米，增长6.2%。</w:t>
      </w:r>
    </w:p>
    <w:p w14:paraId="348F5288"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w:t>
      </w:r>
      <w:r w:rsidR="00153CBF" w:rsidRPr="00153CBF">
        <w:rPr>
          <w:rFonts w:ascii="仿宋_GB2312" w:eastAsia="仿宋_GB2312" w:hAnsi="仿宋_GB2312" w:cs="仿宋_GB2312"/>
          <w:sz w:val="32"/>
          <w:szCs w:val="32"/>
        </w:rPr>
        <w:t>市场消费逐步恢复，时尚类、升级类商品销售较好</w:t>
      </w:r>
    </w:p>
    <w:p w14:paraId="795DF01D"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市场总消费额同比增长8.4%，比上半年回落1个百分点。其中，服务性消费额在交通、文体娱乐领域带动下增长13.2%；实现社会消费品零售总额10471.5亿元，增长2.5%。社会消费品零售总额中，按消费形态分，商品零售9486.2亿元，增长0.4%，餐饮收入985.3亿元，增长28.1%。按商品类别分，限额以上批发和零售业中，金银珠宝类、体育娱乐用品类、化妆品类商品零售额分别增长30.9%、22.8%和13.8%，汽车类商品零售额增长12.5%，其中新能源汽车增长45.6%。</w:t>
      </w:r>
    </w:p>
    <w:p w14:paraId="23D17808"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w:t>
      </w:r>
      <w:r w:rsidR="00153CBF" w:rsidRPr="00153CBF">
        <w:rPr>
          <w:rFonts w:ascii="仿宋_GB2312" w:eastAsia="仿宋_GB2312" w:hAnsi="仿宋_GB2312" w:cs="仿宋_GB2312"/>
          <w:sz w:val="32"/>
          <w:szCs w:val="32"/>
        </w:rPr>
        <w:t>居民消费价格平稳运行，工业生产者价格同比下降</w:t>
      </w:r>
    </w:p>
    <w:p w14:paraId="35F6892C"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居民消费价格同比上涨0.6%。其中，消费品价格上涨0.1%，服务价格上涨1.1%。八大类商品和服务项目中，其他用品及服务类价格上涨4.3%，教育文化娱乐类价格上涨2.2%，食品烟酒类价格上涨1.0%，生活用品及服务类价格上涨0.8%，衣着类价格上涨0.8%，居住类价格上涨0.4%，医疗保健类价格上涨0.2%，交通通信类价格下降1.9%。9月份，居民消费价格同比上涨0.4%，环比上涨0.2%。</w:t>
      </w:r>
    </w:p>
    <w:p w14:paraId="4DF934A6"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前三季度，全市工业生产者出厂价格同比下降0.9%，购进价格同比下降1.4%。9月份，工业生产者出厂价格同比下降0.4%，环比持平；购进价格同比下降0.8%，环比上涨0.5%。</w:t>
      </w:r>
    </w:p>
    <w:p w14:paraId="6C65B212"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w:t>
      </w:r>
      <w:r w:rsidR="00153CBF" w:rsidRPr="00153CBF">
        <w:rPr>
          <w:rFonts w:ascii="仿宋_GB2312" w:eastAsia="仿宋_GB2312" w:hAnsi="仿宋_GB2312" w:cs="仿宋_GB2312"/>
          <w:sz w:val="32"/>
          <w:szCs w:val="32"/>
        </w:rPr>
        <w:t>就业形势总体稳定，居民收入稳步增加</w:t>
      </w:r>
    </w:p>
    <w:p w14:paraId="146D60B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前三季度，全市城镇调查失业率均值为4.5%。9月份，全市城镇调</w:t>
      </w:r>
      <w:r w:rsidRPr="00153CBF">
        <w:rPr>
          <w:rFonts w:ascii="仿宋_GB2312" w:eastAsia="仿宋_GB2312" w:hAnsi="仿宋_GB2312" w:cs="仿宋_GB2312" w:hint="eastAsia"/>
          <w:sz w:val="32"/>
          <w:szCs w:val="32"/>
        </w:rPr>
        <w:lastRenderedPageBreak/>
        <w:t>查失业率为4.1%，环比回落0.2个百分点。</w:t>
      </w:r>
    </w:p>
    <w:p w14:paraId="43240FD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居民人均可支配收入61718元，同比增长5.3%，比上半年提高0.3个百分点。其中，工资性收入增长8.0%，经营净收入增长7.1%，转移净收入增长2.5%，财产净收入下降1.5%。城镇居民人均可支配收入66755元，同比增长5.2%，农村居民人均可支配收入29295元，同比增长7.2%。</w:t>
      </w:r>
    </w:p>
    <w:p w14:paraId="59809042"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前三季度，全市居民人均消费支出34783元，同比增长9.8%，比上半年提高1.1个百分点。其中，城镇居民人均消费支出37225元，增长9.9%，农村居民人均消费支出19068元，增长9.0%。</w:t>
      </w:r>
    </w:p>
    <w:p w14:paraId="342B160F" w14:textId="77777777" w:rsidR="00153CBF" w:rsidRDefault="00153CBF" w:rsidP="00963362">
      <w:pPr>
        <w:pStyle w:val="1"/>
        <w:rPr>
          <w:rFonts w:ascii="仿宋_GB2312" w:eastAsia="仿宋_GB2312" w:hAnsi="仿宋_GB2312" w:cs="仿宋_GB2312" w:hint="eastAsia"/>
          <w:bCs w:val="0"/>
          <w:kern w:val="2"/>
          <w:szCs w:val="32"/>
        </w:rPr>
      </w:pPr>
      <w:bookmarkStart w:id="24" w:name="_Toc174024696"/>
      <w:bookmarkStart w:id="25" w:name="_Toc174026660"/>
      <w:bookmarkStart w:id="26" w:name="_Toc174717024"/>
      <w:bookmarkStart w:id="27" w:name="_Toc174720307"/>
      <w:r w:rsidRPr="00153CBF">
        <w:rPr>
          <w:rFonts w:ascii="仿宋_GB2312" w:eastAsia="仿宋_GB2312" w:hAnsi="仿宋_GB2312" w:cs="仿宋_GB2312" w:hint="eastAsia"/>
          <w:bCs w:val="0"/>
          <w:kern w:val="2"/>
          <w:szCs w:val="32"/>
        </w:rPr>
        <w:t>总的来看，三季度北京市生产需求稳步恢复，就业物价保持稳定，居民收入继续增加，总体经济延续恢复态势，发展质量继续提高。</w:t>
      </w:r>
      <w:bookmarkEnd w:id="24"/>
      <w:bookmarkEnd w:id="25"/>
      <w:bookmarkEnd w:id="26"/>
      <w:bookmarkEnd w:id="27"/>
    </w:p>
    <w:p w14:paraId="73FA0E5E" w14:textId="77777777" w:rsidR="00ED7F0E" w:rsidRPr="00153CBF" w:rsidRDefault="00ED7F0E" w:rsidP="00ED7F0E">
      <w:pPr>
        <w:pStyle w:val="20"/>
        <w:ind w:firstLine="643"/>
        <w:rPr>
          <w:rFonts w:ascii="仿宋_GB2312" w:eastAsia="仿宋_GB2312" w:hAnsi="仿宋_GB2312" w:cs="仿宋_GB2312" w:hint="eastAsia"/>
        </w:rPr>
      </w:pPr>
      <w:bookmarkStart w:id="28" w:name="_Toc174720308"/>
      <w:r>
        <w:rPr>
          <w:rFonts w:ascii="仿宋_GB2312" w:eastAsia="仿宋_GB2312" w:hAnsi="仿宋_GB2312" w:cs="仿宋_GB2312" w:hint="eastAsia"/>
        </w:rPr>
        <w:t>（六）</w:t>
      </w:r>
      <w:r w:rsidRPr="00ED7F0E">
        <w:rPr>
          <w:rFonts w:ascii="仿宋_GB2312" w:eastAsia="仿宋_GB2312" w:hAnsi="仿宋_GB2312" w:cs="仿宋_GB2312" w:hint="eastAsia"/>
        </w:rPr>
        <w:t>保障性租赁住房房地产市场状况</w:t>
      </w:r>
      <w:bookmarkEnd w:id="28"/>
    </w:p>
    <w:p w14:paraId="5B0632F1"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2022年3月，北京市人民政府发布《北京市关于加快发展保障性租赁住房的实施方案》（下称《方案》），提出争取在“十四五”期间建设筹集保障性租赁住房40万套（间），占新增住房供应总量的比例达40%的目标。</w:t>
      </w:r>
    </w:p>
    <w:p w14:paraId="17DD3F10"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截至2023年12月，北京市保障性租赁住房（简称“保租房”）已有26个项目开业并投入使用，共提供约2.7万间房源。在这些项目中，丰台区占据了主导地位，拥有4个项目，合计约9980间房源；其次为</w:t>
      </w:r>
      <w:proofErr w:type="gramStart"/>
      <w:r w:rsidRPr="00ED7F0E">
        <w:rPr>
          <w:rFonts w:ascii="仿宋_GB2312" w:eastAsia="仿宋_GB2312" w:hAnsi="仿宋_GB2312" w:cs="仿宋_GB2312" w:hint="eastAsia"/>
          <w:sz w:val="32"/>
          <w:szCs w:val="32"/>
        </w:rPr>
        <w:t>大兴区</w:t>
      </w:r>
      <w:proofErr w:type="gramEnd"/>
      <w:r w:rsidRPr="00ED7F0E">
        <w:rPr>
          <w:rFonts w:ascii="仿宋_GB2312" w:eastAsia="仿宋_GB2312" w:hAnsi="仿宋_GB2312" w:cs="仿宋_GB2312" w:hint="eastAsia"/>
          <w:sz w:val="32"/>
          <w:szCs w:val="32"/>
        </w:rPr>
        <w:t>有4个项目，提供5729间房源；朝阳区有6个项目，提供4272间房源。</w:t>
      </w:r>
    </w:p>
    <w:p w14:paraId="1DC917CA"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在已经开业的保租房项目中，租赁式社区的占比最高，达到81.6%，其次为青年公寓占比14.9%。在租赁式社区中，</w:t>
      </w:r>
      <w:proofErr w:type="gramStart"/>
      <w:r w:rsidRPr="00ED7F0E">
        <w:rPr>
          <w:rFonts w:ascii="仿宋_GB2312" w:eastAsia="仿宋_GB2312" w:hAnsi="仿宋_GB2312" w:cs="仿宋_GB2312" w:hint="eastAsia"/>
          <w:sz w:val="32"/>
          <w:szCs w:val="32"/>
        </w:rPr>
        <w:t>大兴区</w:t>
      </w:r>
      <w:proofErr w:type="gramEnd"/>
      <w:r w:rsidRPr="00ED7F0E">
        <w:rPr>
          <w:rFonts w:ascii="仿宋_GB2312" w:eastAsia="仿宋_GB2312" w:hAnsi="仿宋_GB2312" w:cs="仿宋_GB2312" w:hint="eastAsia"/>
          <w:sz w:val="32"/>
          <w:szCs w:val="32"/>
        </w:rPr>
        <w:t>的润</w:t>
      </w:r>
      <w:proofErr w:type="gramStart"/>
      <w:r w:rsidRPr="00ED7F0E">
        <w:rPr>
          <w:rFonts w:ascii="仿宋_GB2312" w:eastAsia="仿宋_GB2312" w:hAnsi="仿宋_GB2312" w:cs="仿宋_GB2312" w:hint="eastAsia"/>
          <w:sz w:val="32"/>
          <w:szCs w:val="32"/>
        </w:rPr>
        <w:t>棠</w:t>
      </w:r>
      <w:proofErr w:type="gramEnd"/>
      <w:r w:rsidRPr="00ED7F0E">
        <w:rPr>
          <w:rFonts w:ascii="仿宋_GB2312" w:eastAsia="仿宋_GB2312" w:hAnsi="仿宋_GB2312" w:cs="仿宋_GB2312" w:hint="eastAsia"/>
          <w:sz w:val="32"/>
          <w:szCs w:val="32"/>
        </w:rPr>
        <w:t>·瀛海、丰</w:t>
      </w:r>
      <w:r w:rsidRPr="00ED7F0E">
        <w:rPr>
          <w:rFonts w:ascii="仿宋_GB2312" w:eastAsia="仿宋_GB2312" w:hAnsi="仿宋_GB2312" w:cs="仿宋_GB2312" w:hint="eastAsia"/>
          <w:sz w:val="32"/>
          <w:szCs w:val="32"/>
        </w:rPr>
        <w:lastRenderedPageBreak/>
        <w:t>台区的</w:t>
      </w:r>
      <w:proofErr w:type="gramStart"/>
      <w:r w:rsidRPr="00ED7F0E">
        <w:rPr>
          <w:rFonts w:ascii="仿宋_GB2312" w:eastAsia="仿宋_GB2312" w:hAnsi="仿宋_GB2312" w:cs="仿宋_GB2312" w:hint="eastAsia"/>
          <w:sz w:val="32"/>
          <w:szCs w:val="32"/>
        </w:rPr>
        <w:t>泊寓|</w:t>
      </w:r>
      <w:proofErr w:type="gramEnd"/>
      <w:r w:rsidRPr="00ED7F0E">
        <w:rPr>
          <w:rFonts w:ascii="仿宋_GB2312" w:eastAsia="仿宋_GB2312" w:hAnsi="仿宋_GB2312" w:cs="仿宋_GB2312" w:hint="eastAsia"/>
          <w:sz w:val="32"/>
          <w:szCs w:val="32"/>
        </w:rPr>
        <w:t>院-草桥社区、高立庄社区等三个租赁式社区项目体量都超过了3000套，它们合计占据了约37%的房间规模。</w:t>
      </w:r>
    </w:p>
    <w:p w14:paraId="46A2651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26个保租房项目在 2023年的平均出租率为89.6% ，与北京集中式公寓整体的出租率水平（87%）相比，高出2.6个百分点，体现了保租房项目在市场上的强劲需求，也说明了保租房项目在满足市场需求方面的高效性。</w:t>
      </w:r>
    </w:p>
    <w:p w14:paraId="5F0D12D9" w14:textId="77777777" w:rsidR="00ED7F0E" w:rsidRPr="00ED7F0E" w:rsidRDefault="00ED7F0E" w:rsidP="00ED7F0E">
      <w:pPr>
        <w:pStyle w:val="2"/>
        <w:ind w:leftChars="0" w:left="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根据《2024年北京市住房发展年度计划》，北京市2024年将保持住房用地供应总量稳定，安排各类住房用地1060公顷。其中，计划安排保障性住房用地460公顷，包括</w:t>
      </w:r>
      <w:proofErr w:type="gramStart"/>
      <w:r w:rsidRPr="00ED7F0E">
        <w:rPr>
          <w:rFonts w:ascii="仿宋_GB2312" w:eastAsia="仿宋_GB2312" w:hAnsi="仿宋_GB2312" w:cs="仿宋_GB2312" w:hint="eastAsia"/>
          <w:sz w:val="32"/>
          <w:szCs w:val="32"/>
        </w:rPr>
        <w:t>配租型和</w:t>
      </w:r>
      <w:proofErr w:type="gramEnd"/>
      <w:r w:rsidRPr="00ED7F0E">
        <w:rPr>
          <w:rFonts w:ascii="仿宋_GB2312" w:eastAsia="仿宋_GB2312" w:hAnsi="仿宋_GB2312" w:cs="仿宋_GB2312" w:hint="eastAsia"/>
          <w:sz w:val="32"/>
          <w:szCs w:val="32"/>
        </w:rPr>
        <w:t>配售</w:t>
      </w:r>
      <w:proofErr w:type="gramStart"/>
      <w:r w:rsidRPr="00ED7F0E">
        <w:rPr>
          <w:rFonts w:ascii="仿宋_GB2312" w:eastAsia="仿宋_GB2312" w:hAnsi="仿宋_GB2312" w:cs="仿宋_GB2312" w:hint="eastAsia"/>
          <w:sz w:val="32"/>
          <w:szCs w:val="32"/>
        </w:rPr>
        <w:t>型保障</w:t>
      </w:r>
      <w:proofErr w:type="gramEnd"/>
      <w:r w:rsidRPr="00ED7F0E">
        <w:rPr>
          <w:rFonts w:ascii="仿宋_GB2312" w:eastAsia="仿宋_GB2312" w:hAnsi="仿宋_GB2312" w:cs="仿宋_GB2312" w:hint="eastAsia"/>
          <w:sz w:val="32"/>
          <w:szCs w:val="32"/>
        </w:rPr>
        <w:t>性住房用地200公顷，积极引导保障性住房用地向重点功能区、轨道站点周边布局，明确地块清单，加快供地进度，有力支撑保障性住房建设和供给。持续建设筹集保障性住房，计划建设筹集保障性租赁住房7万套（间），竣工各类保障性住房8万套（间）。</w:t>
      </w:r>
    </w:p>
    <w:p w14:paraId="1398F377" w14:textId="77777777" w:rsidR="00ED7F0E" w:rsidRPr="00153CBF" w:rsidRDefault="00ED7F0E" w:rsidP="00ED7F0E">
      <w:pPr>
        <w:pStyle w:val="20"/>
        <w:ind w:firstLine="643"/>
        <w:rPr>
          <w:rFonts w:ascii="仿宋_GB2312" w:eastAsia="仿宋_GB2312" w:hAnsi="仿宋_GB2312" w:cs="仿宋_GB2312" w:hint="eastAsia"/>
        </w:rPr>
      </w:pPr>
      <w:bookmarkStart w:id="29" w:name="_Toc174720309"/>
      <w:r>
        <w:rPr>
          <w:rFonts w:ascii="仿宋_GB2312" w:eastAsia="仿宋_GB2312" w:hAnsi="仿宋_GB2312" w:cs="仿宋_GB2312" w:hint="eastAsia"/>
        </w:rPr>
        <w:t>（七）</w:t>
      </w:r>
      <w:r w:rsidRPr="00ED7F0E">
        <w:rPr>
          <w:rFonts w:ascii="仿宋_GB2312" w:eastAsia="仿宋_GB2312" w:hAnsi="仿宋_GB2312" w:cs="仿宋_GB2312"/>
        </w:rPr>
        <w:t>区域因素</w:t>
      </w:r>
      <w:bookmarkEnd w:id="29"/>
    </w:p>
    <w:p w14:paraId="6DC0CD8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1.</w:t>
      </w:r>
      <w:r w:rsidRPr="00ED7F0E">
        <w:rPr>
          <w:rFonts w:ascii="仿宋_GB2312" w:eastAsia="仿宋_GB2312" w:hAnsi="仿宋_GB2312" w:cs="仿宋_GB2312"/>
          <w:sz w:val="32"/>
          <w:szCs w:val="32"/>
        </w:rPr>
        <w:t>位置状况</w:t>
      </w:r>
    </w:p>
    <w:p w14:paraId="1899C82E" w14:textId="3CD83FAE" w:rsidR="00ED7F0E" w:rsidRPr="00954135" w:rsidRDefault="00FF7947" w:rsidP="00ED7F0E">
      <w:pPr>
        <w:spacing w:line="360" w:lineRule="auto"/>
        <w:jc w:val="center"/>
        <w:rPr>
          <w:rFonts w:ascii="Arial" w:eastAsia="仿宋_GB2312" w:hAnsi="Arial" w:cs="Arial"/>
          <w:sz w:val="28"/>
        </w:rPr>
      </w:pPr>
      <w:r w:rsidRPr="00B62FCF">
        <w:rPr>
          <w:noProof/>
        </w:rPr>
        <w:drawing>
          <wp:inline distT="0" distB="0" distL="0" distR="0" wp14:anchorId="66054E73" wp14:editId="52C03976">
            <wp:extent cx="4322445" cy="311023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2445" cy="3110230"/>
                    </a:xfrm>
                    <a:prstGeom prst="rect">
                      <a:avLst/>
                    </a:prstGeom>
                    <a:noFill/>
                    <a:ln>
                      <a:noFill/>
                    </a:ln>
                  </pic:spPr>
                </pic:pic>
              </a:graphicData>
            </a:graphic>
          </wp:inline>
        </w:drawing>
      </w:r>
    </w:p>
    <w:p w14:paraId="5EA1443B"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lastRenderedPageBreak/>
        <w:t>咨询对象位于北京市</w:t>
      </w:r>
      <w:r w:rsidRPr="00ED7F0E">
        <w:rPr>
          <w:rFonts w:ascii="仿宋_GB2312" w:eastAsia="仿宋_GB2312" w:hAnsi="仿宋_GB2312" w:cs="仿宋_GB2312" w:hint="eastAsia"/>
          <w:sz w:val="32"/>
          <w:szCs w:val="32"/>
        </w:rPr>
        <w:t>通州区九棵树地区。</w:t>
      </w:r>
      <w:r w:rsidRPr="00ED7F0E">
        <w:rPr>
          <w:rFonts w:ascii="仿宋_GB2312" w:eastAsia="仿宋_GB2312" w:hAnsi="仿宋_GB2312" w:cs="仿宋_GB2312"/>
          <w:sz w:val="32"/>
          <w:szCs w:val="32"/>
        </w:rPr>
        <w:t>通州区隶属北京市，是北京城市副中心，北京市人民政府所在地。位于北京市东南部，京杭大运河北端，地处永定河、</w:t>
      </w:r>
      <w:proofErr w:type="gramStart"/>
      <w:r w:rsidRPr="00ED7F0E">
        <w:rPr>
          <w:rFonts w:ascii="仿宋_GB2312" w:eastAsia="仿宋_GB2312" w:hAnsi="仿宋_GB2312" w:cs="仿宋_GB2312"/>
          <w:sz w:val="32"/>
          <w:szCs w:val="32"/>
        </w:rPr>
        <w:t>潮白河洪冲积平原</w:t>
      </w:r>
      <w:proofErr w:type="gramEnd"/>
      <w:r w:rsidRPr="00ED7F0E">
        <w:rPr>
          <w:rFonts w:ascii="仿宋_GB2312" w:eastAsia="仿宋_GB2312" w:hAnsi="仿宋_GB2312" w:cs="仿宋_GB2312"/>
          <w:sz w:val="32"/>
          <w:szCs w:val="32"/>
        </w:rPr>
        <w:t>，地势平坦，属暖温带大陆性半湿润季风气候区，总面积907平方千米</w:t>
      </w:r>
      <w:r w:rsidRPr="00ED7F0E">
        <w:rPr>
          <w:rFonts w:ascii="仿宋_GB2312" w:eastAsia="仿宋_GB2312" w:hAnsi="仿宋_GB2312" w:cs="仿宋_GB2312" w:hint="eastAsia"/>
          <w:sz w:val="32"/>
          <w:szCs w:val="32"/>
        </w:rPr>
        <w:t>。</w:t>
      </w:r>
      <w:r w:rsidRPr="00ED7F0E">
        <w:rPr>
          <w:rFonts w:ascii="仿宋_GB2312" w:eastAsia="仿宋_GB2312" w:hAnsi="仿宋_GB2312" w:cs="仿宋_GB2312"/>
          <w:sz w:val="32"/>
          <w:szCs w:val="32"/>
        </w:rPr>
        <w:t>截至2023年6月，通州区</w:t>
      </w:r>
      <w:proofErr w:type="gramStart"/>
      <w:r w:rsidRPr="00ED7F0E">
        <w:rPr>
          <w:rFonts w:ascii="仿宋_GB2312" w:eastAsia="仿宋_GB2312" w:hAnsi="仿宋_GB2312" w:cs="仿宋_GB2312"/>
          <w:sz w:val="32"/>
          <w:szCs w:val="32"/>
        </w:rPr>
        <w:t>辖</w:t>
      </w:r>
      <w:proofErr w:type="gramEnd"/>
      <w:r w:rsidRPr="00ED7F0E">
        <w:rPr>
          <w:rFonts w:ascii="仿宋_GB2312" w:eastAsia="仿宋_GB2312" w:hAnsi="仿宋_GB2312" w:cs="仿宋_GB2312"/>
          <w:sz w:val="32"/>
          <w:szCs w:val="32"/>
        </w:rPr>
        <w:t>11个街道、10个镇、1个民族乡。截至202</w:t>
      </w:r>
      <w:r w:rsidRPr="00ED7F0E">
        <w:rPr>
          <w:rFonts w:ascii="仿宋_GB2312" w:eastAsia="仿宋_GB2312" w:hAnsi="仿宋_GB2312" w:cs="仿宋_GB2312" w:hint="eastAsia"/>
          <w:sz w:val="32"/>
          <w:szCs w:val="32"/>
        </w:rPr>
        <w:t>3</w:t>
      </w:r>
      <w:r w:rsidRPr="00ED7F0E">
        <w:rPr>
          <w:rFonts w:ascii="仿宋_GB2312" w:eastAsia="仿宋_GB2312" w:hAnsi="仿宋_GB2312" w:cs="仿宋_GB2312"/>
          <w:sz w:val="32"/>
          <w:szCs w:val="32"/>
        </w:rPr>
        <w:t>年</w:t>
      </w:r>
      <w:r w:rsidRPr="00ED7F0E">
        <w:rPr>
          <w:rFonts w:ascii="仿宋_GB2312" w:eastAsia="仿宋_GB2312" w:hAnsi="仿宋_GB2312" w:cs="仿宋_GB2312" w:hint="eastAsia"/>
          <w:sz w:val="32"/>
          <w:szCs w:val="32"/>
        </w:rPr>
        <w:t>末全区常住人口 184.5 万人。其中，常住外来人口89.1万人，占常住人口比重为 48.3%。常住人口中，城镇人口135.2万人，占常住人口的 73.3%。常住人口出生率5.27‰，死亡率7.96‰。常住人口密度为每平方公里 2036 人。</w:t>
      </w:r>
    </w:p>
    <w:p w14:paraId="6BC37C20"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初步核算，2023年全年实现地区生产总值1303.6亿元，按不变价格计算，比上年增长 5%。其中，第一产业增加值13.1亿元，下降 2.7%；第二产业增加值 468.3 亿元，增长2%；第三产业增加值822.2 亿元，增长 7%。三次产业结构由2022 年1.1∶37∶61.9变化为 2023 年 1∶35.9∶63.1。</w:t>
      </w:r>
    </w:p>
    <w:p w14:paraId="457DB8A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通州区全年房地产开发投资比上年增长5.3%。其中，住宅投资增长26.1%；办公楼投资增长6.2%；商业营业用房投资下降44.3%。全年房地产开发房屋施工面积1300.8万平方米，比上年下降15%。其中，本年新开工面积 109.4万平方米，下降27.6%。全年房屋竣工面积 137.3万平方米，下降 63.3%。全年政策性房屋施工面积 418.2万平方米，比上年下降23.3%。政策性房屋销售面积 4.2万平方米，下降74.5%。其中，定向安置房销售面积 2.2万平方米，下降 38.4%；限价房销售面积0.8万平方米，下降 75.9%。</w:t>
      </w:r>
    </w:p>
    <w:p w14:paraId="0321E791"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2.居住社区成熟度</w:t>
      </w:r>
    </w:p>
    <w:p w14:paraId="46BD53AF"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咨询对象现状周边</w:t>
      </w:r>
      <w:r w:rsidRPr="00ED7F0E">
        <w:rPr>
          <w:rFonts w:ascii="仿宋_GB2312" w:eastAsia="仿宋_GB2312" w:hAnsi="仿宋_GB2312" w:cs="仿宋_GB2312" w:hint="eastAsia"/>
          <w:sz w:val="32"/>
          <w:szCs w:val="32"/>
        </w:rPr>
        <w:t>多为住宅用地，周边有通景园、中泽家园、大方</w:t>
      </w:r>
      <w:r w:rsidRPr="00ED7F0E">
        <w:rPr>
          <w:rFonts w:ascii="仿宋_GB2312" w:eastAsia="仿宋_GB2312" w:hAnsi="仿宋_GB2312" w:cs="仿宋_GB2312" w:hint="eastAsia"/>
          <w:sz w:val="32"/>
          <w:szCs w:val="32"/>
        </w:rPr>
        <w:lastRenderedPageBreak/>
        <w:t>居、龙湖花盛香</w:t>
      </w:r>
      <w:proofErr w:type="gramStart"/>
      <w:r w:rsidRPr="00ED7F0E">
        <w:rPr>
          <w:rFonts w:ascii="仿宋_GB2312" w:eastAsia="仿宋_GB2312" w:hAnsi="仿宋_GB2312" w:cs="仿宋_GB2312" w:hint="eastAsia"/>
          <w:sz w:val="32"/>
          <w:szCs w:val="32"/>
        </w:rPr>
        <w:t>醍</w:t>
      </w:r>
      <w:proofErr w:type="gramEnd"/>
      <w:r w:rsidRPr="00ED7F0E">
        <w:rPr>
          <w:rFonts w:ascii="仿宋_GB2312" w:eastAsia="仿宋_GB2312" w:hAnsi="仿宋_GB2312" w:cs="仿宋_GB2312" w:hint="eastAsia"/>
          <w:sz w:val="32"/>
          <w:szCs w:val="32"/>
        </w:rPr>
        <w:t>等社区，综合评价居住社区成熟度较好。</w:t>
      </w:r>
    </w:p>
    <w:p w14:paraId="6840284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3.交通状况</w:t>
      </w:r>
    </w:p>
    <w:p w14:paraId="00563C7C"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咨询对象周边有316路、372路、582路、T19路、T36路、T113路等多条公交线路，地铁八通线果园站，综合评价交通便捷度较好。</w:t>
      </w:r>
    </w:p>
    <w:p w14:paraId="075B0ADC"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4.环境状况</w:t>
      </w:r>
    </w:p>
    <w:p w14:paraId="4ABC5B09"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区域内有西小马公园、通州云景公园、梨园文化休闲公园等自然景观，大</w:t>
      </w:r>
      <w:proofErr w:type="gramStart"/>
      <w:r w:rsidRPr="00ED7F0E">
        <w:rPr>
          <w:rFonts w:ascii="仿宋_GB2312" w:eastAsia="仿宋_GB2312" w:hAnsi="仿宋_GB2312" w:cs="仿宋_GB2312" w:hint="eastAsia"/>
          <w:sz w:val="32"/>
          <w:szCs w:val="32"/>
        </w:rPr>
        <w:t>稿国际</w:t>
      </w:r>
      <w:proofErr w:type="gramEnd"/>
      <w:r w:rsidRPr="00ED7F0E">
        <w:rPr>
          <w:rFonts w:ascii="仿宋_GB2312" w:eastAsia="仿宋_GB2312" w:hAnsi="仿宋_GB2312" w:cs="仿宋_GB2312" w:hint="eastAsia"/>
          <w:sz w:val="32"/>
          <w:szCs w:val="32"/>
        </w:rPr>
        <w:t>艺术区等人文设施，综合评价环境状况较好。</w:t>
      </w:r>
    </w:p>
    <w:p w14:paraId="36FD4A91"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5.外部配套设施状况</w:t>
      </w:r>
    </w:p>
    <w:p w14:paraId="2E22733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咨询对象所处区域目前已拥有</w:t>
      </w:r>
      <w:r w:rsidRPr="00ED7F0E">
        <w:rPr>
          <w:rFonts w:ascii="仿宋_GB2312" w:eastAsia="仿宋_GB2312" w:hAnsi="仿宋_GB2312" w:cs="仿宋_GB2312" w:hint="eastAsia"/>
          <w:sz w:val="32"/>
          <w:szCs w:val="32"/>
        </w:rPr>
        <w:t>较</w:t>
      </w:r>
      <w:r w:rsidRPr="00ED7F0E">
        <w:rPr>
          <w:rFonts w:ascii="仿宋_GB2312" w:eastAsia="仿宋_GB2312" w:hAnsi="仿宋_GB2312" w:cs="仿宋_GB2312"/>
          <w:sz w:val="32"/>
          <w:szCs w:val="32"/>
        </w:rPr>
        <w:t>完善的基础设施配套保障，区内大部分区域基础设施配套目前可达到</w:t>
      </w:r>
      <w:r w:rsidRPr="00ED7F0E">
        <w:rPr>
          <w:rFonts w:ascii="仿宋_GB2312" w:eastAsia="仿宋_GB2312" w:hAnsi="仿宋_GB2312" w:cs="仿宋_GB2312" w:hint="eastAsia"/>
          <w:sz w:val="32"/>
          <w:szCs w:val="32"/>
        </w:rPr>
        <w:t>“七通”（通路、通电、通讯、通上水、通下水、通燃气、通热）</w:t>
      </w:r>
      <w:r w:rsidRPr="00ED7F0E">
        <w:rPr>
          <w:rFonts w:ascii="仿宋_GB2312" w:eastAsia="仿宋_GB2312" w:hAnsi="仿宋_GB2312" w:cs="仿宋_GB2312"/>
          <w:sz w:val="32"/>
          <w:szCs w:val="32"/>
        </w:rPr>
        <w:t>条件，保证程度</w:t>
      </w:r>
      <w:r w:rsidRPr="00ED7F0E">
        <w:rPr>
          <w:rFonts w:ascii="仿宋_GB2312" w:eastAsia="仿宋_GB2312" w:hAnsi="仿宋_GB2312" w:cs="仿宋_GB2312" w:hint="eastAsia"/>
          <w:sz w:val="32"/>
          <w:szCs w:val="32"/>
        </w:rPr>
        <w:t>一般</w:t>
      </w:r>
      <w:r w:rsidRPr="00ED7F0E">
        <w:rPr>
          <w:rFonts w:ascii="仿宋_GB2312" w:eastAsia="仿宋_GB2312" w:hAnsi="仿宋_GB2312" w:cs="仿宋_GB2312"/>
          <w:sz w:val="32"/>
          <w:szCs w:val="32"/>
        </w:rPr>
        <w:t>。</w:t>
      </w:r>
    </w:p>
    <w:p w14:paraId="7AAAFD50"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以咨询对象为圆心半径2公里范围内有永辉超市、物美超市、强力家居市场、北京中医药大学东直门医院通州院区、梨园恭和社区卫生服务中心、中国工商银行、中国民生银行、中国邮政储蓄银行、通州区运河中学、潞河中学附属学校、思</w:t>
      </w:r>
      <w:proofErr w:type="gramStart"/>
      <w:r w:rsidRPr="00ED7F0E">
        <w:rPr>
          <w:rFonts w:ascii="仿宋_GB2312" w:eastAsia="仿宋_GB2312" w:hAnsi="仿宋_GB2312" w:cs="仿宋_GB2312"/>
          <w:sz w:val="32"/>
          <w:szCs w:val="32"/>
        </w:rPr>
        <w:t>玛特</w:t>
      </w:r>
      <w:proofErr w:type="gramEnd"/>
      <w:r w:rsidRPr="00ED7F0E">
        <w:rPr>
          <w:rFonts w:ascii="仿宋_GB2312" w:eastAsia="仿宋_GB2312" w:hAnsi="仿宋_GB2312" w:cs="仿宋_GB2312"/>
          <w:sz w:val="32"/>
          <w:szCs w:val="32"/>
        </w:rPr>
        <w:t>国际幼儿园等公共配套设施，公共配套设施完备程度较高。</w:t>
      </w:r>
    </w:p>
    <w:p w14:paraId="0CC4DB54"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综上，咨询对象地理位置状况较好，居住社区成熟度较好，交通便捷度较好，环境状况较好，区内大部分区域基础设施配套目前可达到“</w:t>
      </w:r>
      <w:r w:rsidRPr="00ED7F0E">
        <w:rPr>
          <w:rFonts w:ascii="仿宋_GB2312" w:eastAsia="仿宋_GB2312" w:hAnsi="仿宋_GB2312" w:cs="仿宋_GB2312" w:hint="eastAsia"/>
          <w:sz w:val="32"/>
          <w:szCs w:val="32"/>
        </w:rPr>
        <w:t>七</w:t>
      </w:r>
      <w:r w:rsidRPr="00ED7F0E">
        <w:rPr>
          <w:rFonts w:ascii="仿宋_GB2312" w:eastAsia="仿宋_GB2312" w:hAnsi="仿宋_GB2312" w:cs="仿宋_GB2312"/>
          <w:sz w:val="32"/>
          <w:szCs w:val="32"/>
        </w:rPr>
        <w:t>通”，公共配套设施状况</w:t>
      </w:r>
      <w:r w:rsidRPr="00ED7F0E">
        <w:rPr>
          <w:rFonts w:ascii="仿宋_GB2312" w:eastAsia="仿宋_GB2312" w:hAnsi="仿宋_GB2312" w:cs="仿宋_GB2312" w:hint="eastAsia"/>
          <w:sz w:val="32"/>
          <w:szCs w:val="32"/>
        </w:rPr>
        <w:t>较好</w:t>
      </w:r>
      <w:r w:rsidRPr="00ED7F0E">
        <w:rPr>
          <w:rFonts w:ascii="仿宋_GB2312" w:eastAsia="仿宋_GB2312" w:hAnsi="仿宋_GB2312" w:cs="仿宋_GB2312"/>
          <w:sz w:val="32"/>
          <w:szCs w:val="32"/>
        </w:rPr>
        <w:t>。区域规划无特殊限制。总体评价影响咨询对象的区位条件较好。</w:t>
      </w:r>
    </w:p>
    <w:p w14:paraId="771EE354" w14:textId="77777777" w:rsidR="00ED7F0E" w:rsidRPr="00153CBF" w:rsidRDefault="00ED7F0E" w:rsidP="00ED7F0E">
      <w:pPr>
        <w:pStyle w:val="20"/>
        <w:ind w:firstLine="643"/>
        <w:rPr>
          <w:rFonts w:ascii="仿宋_GB2312" w:eastAsia="仿宋_GB2312" w:hAnsi="仿宋_GB2312" w:cs="仿宋_GB2312" w:hint="eastAsia"/>
        </w:rPr>
      </w:pPr>
      <w:bookmarkStart w:id="30" w:name="_Toc174720310"/>
      <w:r>
        <w:rPr>
          <w:rFonts w:ascii="仿宋_GB2312" w:eastAsia="仿宋_GB2312" w:hAnsi="仿宋_GB2312" w:cs="仿宋_GB2312" w:hint="eastAsia"/>
        </w:rPr>
        <w:t>（八）个别</w:t>
      </w:r>
      <w:r w:rsidRPr="00ED7F0E">
        <w:rPr>
          <w:rFonts w:ascii="仿宋_GB2312" w:eastAsia="仿宋_GB2312" w:hAnsi="仿宋_GB2312" w:cs="仿宋_GB2312"/>
        </w:rPr>
        <w:t>因素</w:t>
      </w:r>
      <w:bookmarkEnd w:id="30"/>
    </w:p>
    <w:p w14:paraId="7704081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1.咨询对象位置：咨询对象位于通州区半壁店大街23号。根据《北京市人民政府关于更新出让国有建设用地使用权基准地价的通知》[京政</w:t>
      </w:r>
      <w:r w:rsidRPr="00ED7F0E">
        <w:rPr>
          <w:rFonts w:ascii="仿宋_GB2312" w:eastAsia="仿宋_GB2312" w:hAnsi="仿宋_GB2312" w:cs="仿宋_GB2312"/>
          <w:sz w:val="32"/>
          <w:szCs w:val="32"/>
        </w:rPr>
        <w:lastRenderedPageBreak/>
        <w:t>发〔2022〕12号]及其附件的规定，咨询对象属于住宅类、商业类六级地价区VI-通1区片。</w:t>
      </w:r>
    </w:p>
    <w:p w14:paraId="70B78736"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2.宗地规划用途、面积</w:t>
      </w:r>
    </w:p>
    <w:p w14:paraId="4BCB249E"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咨询对象土地用途为住宅，为</w:t>
      </w:r>
      <w:proofErr w:type="gramStart"/>
      <w:r w:rsidRPr="00ED7F0E">
        <w:rPr>
          <w:rFonts w:ascii="仿宋_GB2312" w:eastAsia="仿宋_GB2312" w:hAnsi="仿宋_GB2312" w:cs="仿宋_GB2312"/>
          <w:sz w:val="32"/>
          <w:szCs w:val="32"/>
        </w:rPr>
        <w:t>最佳最</w:t>
      </w:r>
      <w:proofErr w:type="gramEnd"/>
      <w:r w:rsidRPr="00ED7F0E">
        <w:rPr>
          <w:rFonts w:ascii="仿宋_GB2312" w:eastAsia="仿宋_GB2312" w:hAnsi="仿宋_GB2312" w:cs="仿宋_GB2312"/>
          <w:sz w:val="32"/>
          <w:szCs w:val="32"/>
        </w:rPr>
        <w:t>有效用途。</w:t>
      </w:r>
    </w:p>
    <w:p w14:paraId="4B48A0EF" w14:textId="358B5F8E"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根据</w:t>
      </w:r>
      <w:r w:rsidR="0081363E">
        <w:rPr>
          <w:rFonts w:ascii="仿宋_GB2312" w:eastAsia="仿宋_GB2312" w:hAnsi="仿宋_GB2312" w:cs="仿宋_GB2312"/>
          <w:sz w:val="32"/>
          <w:szCs w:val="32"/>
        </w:rPr>
        <w:t>咨询委托人</w:t>
      </w:r>
      <w:r w:rsidRPr="00ED7F0E">
        <w:rPr>
          <w:rFonts w:ascii="仿宋_GB2312" w:eastAsia="仿宋_GB2312" w:hAnsi="仿宋_GB2312" w:cs="仿宋_GB2312"/>
          <w:sz w:val="32"/>
          <w:szCs w:val="32"/>
        </w:rPr>
        <w:t>提供的资料及其介绍，咨询对象土地面积为16162.6平方米。</w:t>
      </w:r>
    </w:p>
    <w:p w14:paraId="3C52BB01"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3.宗地容积率及可利用情况</w:t>
      </w:r>
    </w:p>
    <w:p w14:paraId="4CDCE875" w14:textId="55B3A57F"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根据</w:t>
      </w:r>
      <w:r w:rsidR="0081363E">
        <w:rPr>
          <w:rFonts w:ascii="仿宋_GB2312" w:eastAsia="仿宋_GB2312" w:hAnsi="仿宋_GB2312" w:cs="仿宋_GB2312"/>
          <w:sz w:val="32"/>
          <w:szCs w:val="32"/>
        </w:rPr>
        <w:t>咨询委托人</w:t>
      </w:r>
      <w:r w:rsidRPr="00ED7F0E">
        <w:rPr>
          <w:rFonts w:ascii="仿宋_GB2312" w:eastAsia="仿宋_GB2312" w:hAnsi="仿宋_GB2312" w:cs="仿宋_GB2312" w:hint="eastAsia"/>
          <w:sz w:val="32"/>
          <w:szCs w:val="32"/>
        </w:rPr>
        <w:t>介绍，咨询对象实际容积率为2.8，本次咨询设定咨询对象容积率为2.8。</w:t>
      </w:r>
    </w:p>
    <w:p w14:paraId="51CEBB33"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 xml:space="preserve">4.宗地基础设施 </w:t>
      </w:r>
    </w:p>
    <w:p w14:paraId="02F0868C"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宗地红线外基础设施已达到</w:t>
      </w:r>
      <w:r w:rsidRPr="00ED7F0E">
        <w:rPr>
          <w:rFonts w:ascii="仿宋_GB2312" w:eastAsia="仿宋_GB2312" w:hAnsi="仿宋_GB2312" w:cs="仿宋_GB2312" w:hint="eastAsia"/>
          <w:sz w:val="32"/>
          <w:szCs w:val="32"/>
        </w:rPr>
        <w:t>“七通”（通路、通电、通讯、通上水、通下水、通燃气、通热）。</w:t>
      </w:r>
    </w:p>
    <w:p w14:paraId="6066555D" w14:textId="77777777" w:rsidR="00ED7F0E" w:rsidRPr="00ED7F0E" w:rsidRDefault="00ED7F0E" w:rsidP="00ED7F0E">
      <w:pPr>
        <w:pStyle w:val="2"/>
        <w:ind w:firstLine="640"/>
        <w:rPr>
          <w:rFonts w:ascii="仿宋_GB2312" w:eastAsia="仿宋_GB2312" w:hAnsi="仿宋_GB2312" w:cs="仿宋_GB2312" w:hint="eastAsia"/>
          <w:sz w:val="32"/>
          <w:szCs w:val="32"/>
        </w:rPr>
      </w:pPr>
    </w:p>
    <w:p w14:paraId="50E5CCF1" w14:textId="77777777" w:rsidR="00963362" w:rsidRPr="00963362" w:rsidRDefault="004A2384" w:rsidP="00963362">
      <w:pPr>
        <w:pStyle w:val="1"/>
        <w:rPr>
          <w:rFonts w:eastAsia="宋体" w:cs="Arial"/>
          <w:sz w:val="21"/>
          <w:szCs w:val="21"/>
        </w:rPr>
      </w:pPr>
      <w:bookmarkStart w:id="31" w:name="_Toc174720311"/>
      <w:r>
        <w:rPr>
          <w:rFonts w:hint="eastAsia"/>
        </w:rPr>
        <w:t>四</w:t>
      </w:r>
      <w:r w:rsidR="00F962E2" w:rsidRPr="00963362">
        <w:rPr>
          <w:rFonts w:hint="eastAsia"/>
        </w:rPr>
        <w:t>、</w:t>
      </w:r>
      <w:r w:rsidR="00963362" w:rsidRPr="00963362">
        <w:rPr>
          <w:rFonts w:hint="eastAsia"/>
        </w:rPr>
        <w:t>风险分析</w:t>
      </w:r>
      <w:bookmarkEnd w:id="31"/>
    </w:p>
    <w:p w14:paraId="1AF42992" w14:textId="77777777" w:rsidR="00963362" w:rsidRPr="00CC2F17" w:rsidRDefault="00963362" w:rsidP="004A2384">
      <w:pPr>
        <w:pStyle w:val="20"/>
        <w:ind w:firstLine="643"/>
        <w:rPr>
          <w:rFonts w:ascii="仿宋_GB2312" w:eastAsia="仿宋_GB2312"/>
        </w:rPr>
      </w:pPr>
      <w:bookmarkStart w:id="32" w:name="_Toc91842889"/>
      <w:bookmarkStart w:id="33" w:name="_Toc174720312"/>
      <w:r w:rsidRPr="00CC2F17">
        <w:rPr>
          <w:rFonts w:ascii="仿宋_GB2312" w:eastAsia="仿宋_GB2312" w:hint="eastAsia"/>
        </w:rPr>
        <w:t>（一）自然风险</w:t>
      </w:r>
      <w:bookmarkEnd w:id="32"/>
      <w:bookmarkEnd w:id="33"/>
    </w:p>
    <w:p w14:paraId="23EB8EB9"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hint="eastAsia"/>
          <w:sz w:val="32"/>
          <w:szCs w:val="32"/>
        </w:rPr>
      </w:pPr>
      <w:r w:rsidRPr="00963362">
        <w:rPr>
          <w:rFonts w:ascii="仿宋_GB2312" w:eastAsia="仿宋_GB2312" w:hAnsi="仿宋_GB2312" w:cs="仿宋_GB2312" w:hint="eastAsia"/>
          <w:sz w:val="32"/>
          <w:szCs w:val="32"/>
        </w:rPr>
        <w:t>自然风险包括地震、台风等极端自然灾害。北京市的地理位置，处于华北平原、山西和张家口</w:t>
      </w:r>
      <w:r w:rsidRPr="00963362">
        <w:rPr>
          <w:rFonts w:ascii="仿宋_GB2312" w:eastAsia="仿宋_GB2312" w:hAnsi="仿宋_GB2312" w:cs="仿宋_GB2312"/>
          <w:sz w:val="32"/>
          <w:szCs w:val="32"/>
        </w:rPr>
        <w:t>-渤海三大地震带交汇部位。针对地震风险，该项目在设计时将参照《建筑抗震设计规范》GB50011-2010，按8度裂度设防，如发生地震可确保伤亡损失减至最低水平。</w:t>
      </w:r>
    </w:p>
    <w:p w14:paraId="1ECF0A07" w14:textId="77777777" w:rsidR="00963362" w:rsidRPr="00CC2F17" w:rsidRDefault="00963362" w:rsidP="004A2384">
      <w:pPr>
        <w:pStyle w:val="20"/>
        <w:ind w:firstLine="643"/>
        <w:rPr>
          <w:rFonts w:ascii="仿宋_GB2312" w:eastAsia="仿宋_GB2312"/>
        </w:rPr>
      </w:pPr>
      <w:bookmarkStart w:id="34" w:name="_Toc91842890"/>
      <w:bookmarkStart w:id="35" w:name="_Toc174720313"/>
      <w:r w:rsidRPr="00CC2F17">
        <w:rPr>
          <w:rFonts w:ascii="仿宋_GB2312" w:eastAsia="仿宋_GB2312" w:hint="eastAsia"/>
        </w:rPr>
        <w:t>（二）规划指标实现风险</w:t>
      </w:r>
      <w:bookmarkEnd w:id="34"/>
      <w:bookmarkEnd w:id="35"/>
    </w:p>
    <w:p w14:paraId="142FC320" w14:textId="77777777" w:rsidR="00974016" w:rsidRDefault="00963362" w:rsidP="00963362">
      <w:pPr>
        <w:adjustRightInd w:val="0"/>
        <w:snapToGrid w:val="0"/>
        <w:spacing w:line="560" w:lineRule="exact"/>
        <w:ind w:firstLineChars="200" w:firstLine="640"/>
        <w:rPr>
          <w:rFonts w:ascii="仿宋_GB2312" w:eastAsia="仿宋_GB2312" w:hAnsi="仿宋_GB2312" w:cs="仿宋_GB2312"/>
          <w:sz w:val="32"/>
          <w:szCs w:val="32"/>
        </w:rPr>
      </w:pPr>
      <w:r w:rsidRPr="00963362">
        <w:rPr>
          <w:rFonts w:ascii="仿宋_GB2312" w:eastAsia="仿宋_GB2312" w:hAnsi="仿宋_GB2312" w:cs="仿宋_GB2312" w:hint="eastAsia"/>
          <w:sz w:val="32"/>
          <w:szCs w:val="32"/>
        </w:rPr>
        <w:t>本次研究地块规划建筑面积以</w:t>
      </w:r>
      <w:r w:rsidR="0081363E">
        <w:rPr>
          <w:rFonts w:ascii="仿宋_GB2312" w:eastAsia="仿宋_GB2312" w:hAnsi="仿宋_GB2312" w:cs="仿宋_GB2312" w:hint="eastAsia"/>
          <w:sz w:val="32"/>
          <w:szCs w:val="32"/>
        </w:rPr>
        <w:t>咨询委托人</w:t>
      </w:r>
      <w:r w:rsidRPr="00963362">
        <w:rPr>
          <w:rFonts w:ascii="仿宋_GB2312" w:eastAsia="仿宋_GB2312" w:hAnsi="仿宋_GB2312" w:cs="仿宋_GB2312" w:hint="eastAsia"/>
          <w:sz w:val="32"/>
          <w:szCs w:val="32"/>
        </w:rPr>
        <w:t>提供的设计</w:t>
      </w:r>
      <w:r w:rsidRPr="00963362">
        <w:rPr>
          <w:rFonts w:ascii="仿宋_GB2312" w:eastAsia="仿宋_GB2312" w:hAnsi="仿宋_GB2312" w:cs="仿宋_GB2312"/>
          <w:sz w:val="32"/>
          <w:szCs w:val="32"/>
        </w:rPr>
        <w:t>方案</w:t>
      </w:r>
      <w:r w:rsidRPr="00963362">
        <w:rPr>
          <w:rFonts w:ascii="仿宋_GB2312" w:eastAsia="仿宋_GB2312" w:hAnsi="仿宋_GB2312" w:cs="仿宋_GB2312" w:hint="eastAsia"/>
          <w:sz w:val="32"/>
          <w:szCs w:val="32"/>
        </w:rPr>
        <w:t>为依据，如不能按该设计指标办理《建设工程规划许可证》，则会影响项目现金流入；若由于规划变更可能将产生补缴地价款情况，也会影响项目现金流入。</w:t>
      </w:r>
    </w:p>
    <w:p w14:paraId="07C07893" w14:textId="1BD6A2C9" w:rsidR="00963362" w:rsidRDefault="0081363E" w:rsidP="00963362">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根据咨询委托人</w:t>
      </w:r>
      <w:r w:rsidR="00396611" w:rsidRPr="00396611">
        <w:rPr>
          <w:rFonts w:ascii="仿宋_GB2312" w:eastAsia="仿宋_GB2312" w:hAnsi="仿宋_GB2312" w:cs="仿宋_GB2312"/>
          <w:sz w:val="32"/>
          <w:szCs w:val="32"/>
        </w:rPr>
        <w:t>提供的资料及其介绍</w:t>
      </w:r>
      <w:r w:rsidR="003112BD">
        <w:rPr>
          <w:rFonts w:ascii="仿宋_GB2312" w:eastAsia="仿宋_GB2312" w:hAnsi="仿宋_GB2312" w:cs="仿宋_GB2312" w:hint="eastAsia"/>
          <w:sz w:val="32"/>
          <w:szCs w:val="32"/>
        </w:rPr>
        <w:t>，咨询对象</w:t>
      </w:r>
      <w:r w:rsidR="00E91882">
        <w:rPr>
          <w:rFonts w:ascii="仿宋_GB2312" w:eastAsia="仿宋_GB2312" w:hAnsi="仿宋_GB2312" w:cs="仿宋_GB2312" w:hint="eastAsia"/>
          <w:sz w:val="32"/>
          <w:szCs w:val="32"/>
        </w:rPr>
        <w:t>使用权类型为划拨，地类用途为经济适用住房用地，</w:t>
      </w:r>
      <w:r w:rsidR="00974016">
        <w:rPr>
          <w:rFonts w:ascii="仿宋_GB2312" w:eastAsia="仿宋_GB2312" w:hAnsi="仿宋_GB2312" w:cs="仿宋_GB2312" w:hint="eastAsia"/>
          <w:sz w:val="32"/>
          <w:szCs w:val="32"/>
        </w:rPr>
        <w:t>咨询委托人计划未来将咨询对象建设为</w:t>
      </w:r>
      <w:r w:rsidR="00E91882" w:rsidRPr="00ED7F0E">
        <w:rPr>
          <w:rFonts w:ascii="仿宋_GB2312" w:eastAsia="仿宋_GB2312" w:hAnsi="仿宋_GB2312" w:cs="仿宋_GB2312" w:hint="eastAsia"/>
          <w:sz w:val="32"/>
          <w:szCs w:val="32"/>
        </w:rPr>
        <w:t>保障性租赁住房</w:t>
      </w:r>
      <w:r w:rsidR="00974016">
        <w:rPr>
          <w:rFonts w:ascii="仿宋_GB2312" w:eastAsia="仿宋_GB2312" w:hAnsi="仿宋_GB2312" w:cs="仿宋_GB2312" w:hint="eastAsia"/>
          <w:sz w:val="32"/>
          <w:szCs w:val="32"/>
        </w:rPr>
        <w:t>使用，</w:t>
      </w:r>
      <w:r w:rsidR="00974016">
        <w:rPr>
          <w:rFonts w:ascii="仿宋_GB2312" w:eastAsia="仿宋_GB2312" w:hAnsi="仿宋_GB2312" w:cs="仿宋_GB2312" w:hint="eastAsia"/>
          <w:sz w:val="32"/>
          <w:szCs w:val="32"/>
        </w:rPr>
        <w:t>受政策调整等影响，经济适用住房</w:t>
      </w:r>
      <w:r w:rsidR="00974016">
        <w:rPr>
          <w:rFonts w:ascii="仿宋_GB2312" w:eastAsia="仿宋_GB2312" w:hAnsi="仿宋_GB2312" w:cs="仿宋_GB2312" w:hint="eastAsia"/>
          <w:sz w:val="32"/>
          <w:szCs w:val="32"/>
        </w:rPr>
        <w:t>为过去时期的保障性住房</w:t>
      </w:r>
      <w:r w:rsidR="00974016">
        <w:rPr>
          <w:rFonts w:ascii="仿宋_GB2312" w:eastAsia="仿宋_GB2312" w:hAnsi="仿宋_GB2312" w:cs="仿宋_GB2312" w:hint="eastAsia"/>
          <w:sz w:val="32"/>
          <w:szCs w:val="32"/>
        </w:rPr>
        <w:t>，</w:t>
      </w:r>
      <w:r w:rsidR="00974016">
        <w:rPr>
          <w:rFonts w:ascii="仿宋_GB2312" w:eastAsia="仿宋_GB2312" w:hAnsi="仿宋_GB2312" w:cs="仿宋_GB2312" w:hint="eastAsia"/>
          <w:sz w:val="32"/>
          <w:szCs w:val="32"/>
        </w:rPr>
        <w:t>现转化为</w:t>
      </w:r>
      <w:r w:rsidR="00974016" w:rsidRPr="00ED7F0E">
        <w:rPr>
          <w:rFonts w:ascii="仿宋_GB2312" w:eastAsia="仿宋_GB2312" w:hAnsi="仿宋_GB2312" w:cs="仿宋_GB2312" w:hint="eastAsia"/>
          <w:sz w:val="32"/>
          <w:szCs w:val="32"/>
        </w:rPr>
        <w:t>保障性租赁住房</w:t>
      </w:r>
      <w:r w:rsidR="00974016">
        <w:rPr>
          <w:rFonts w:ascii="仿宋_GB2312" w:eastAsia="仿宋_GB2312" w:hAnsi="仿宋_GB2312" w:cs="仿宋_GB2312" w:hint="eastAsia"/>
          <w:sz w:val="32"/>
          <w:szCs w:val="32"/>
        </w:rPr>
        <w:t>使用</w:t>
      </w:r>
      <w:r w:rsidR="00974016">
        <w:rPr>
          <w:rFonts w:ascii="仿宋_GB2312" w:eastAsia="仿宋_GB2312" w:hAnsi="仿宋_GB2312" w:cs="仿宋_GB2312" w:hint="eastAsia"/>
          <w:sz w:val="32"/>
          <w:szCs w:val="32"/>
        </w:rPr>
        <w:t>，两种用途均为不同时期的保障性住房，但相关转化手续</w:t>
      </w:r>
      <w:proofErr w:type="gramStart"/>
      <w:r w:rsidR="00974016">
        <w:rPr>
          <w:rFonts w:ascii="仿宋_GB2312" w:eastAsia="仿宋_GB2312" w:hAnsi="仿宋_GB2312" w:cs="仿宋_GB2312" w:hint="eastAsia"/>
          <w:sz w:val="32"/>
          <w:szCs w:val="32"/>
        </w:rPr>
        <w:t>需咨询</w:t>
      </w:r>
      <w:proofErr w:type="gramEnd"/>
      <w:r w:rsidR="00974016">
        <w:rPr>
          <w:rFonts w:ascii="仿宋_GB2312" w:eastAsia="仿宋_GB2312" w:hAnsi="仿宋_GB2312" w:cs="仿宋_GB2312" w:hint="eastAsia"/>
          <w:sz w:val="32"/>
          <w:szCs w:val="32"/>
        </w:rPr>
        <w:t>委托人进行办理。</w:t>
      </w:r>
    </w:p>
    <w:p w14:paraId="266EAA92" w14:textId="169DBBD2" w:rsidR="00974016" w:rsidRPr="00974016" w:rsidRDefault="00974016" w:rsidP="00974016">
      <w:pPr>
        <w:pStyle w:val="2"/>
        <w:ind w:leftChars="0" w:left="0" w:firstLine="640"/>
        <w:rPr>
          <w:rFonts w:hint="eastAsia"/>
        </w:rPr>
      </w:pPr>
      <w:r>
        <w:rPr>
          <w:rFonts w:ascii="仿宋_GB2312" w:eastAsia="仿宋_GB2312" w:hAnsi="仿宋_GB2312" w:cs="仿宋_GB2312" w:hint="eastAsia"/>
          <w:sz w:val="32"/>
          <w:szCs w:val="32"/>
        </w:rPr>
        <w:t>根据咨询委托人</w:t>
      </w:r>
      <w:r w:rsidRPr="00396611">
        <w:rPr>
          <w:rFonts w:ascii="仿宋_GB2312" w:eastAsia="仿宋_GB2312" w:hAnsi="仿宋_GB2312" w:cs="仿宋_GB2312"/>
          <w:sz w:val="32"/>
          <w:szCs w:val="32"/>
        </w:rPr>
        <w:t>提供的资料及其介绍</w:t>
      </w:r>
      <w:r>
        <w:rPr>
          <w:rFonts w:ascii="仿宋_GB2312" w:eastAsia="仿宋_GB2312" w:hAnsi="仿宋_GB2312" w:cs="仿宋_GB2312" w:hint="eastAsia"/>
          <w:sz w:val="32"/>
          <w:szCs w:val="32"/>
        </w:rPr>
        <w:t>，咨询对象</w:t>
      </w:r>
      <w:r>
        <w:rPr>
          <w:rFonts w:ascii="仿宋_GB2312" w:eastAsia="仿宋_GB2312" w:hAnsi="仿宋_GB2312" w:cs="仿宋_GB2312" w:hint="eastAsia"/>
          <w:sz w:val="32"/>
          <w:szCs w:val="32"/>
        </w:rPr>
        <w:t>所属项目一期建设过程中地下车库建设不足，咨询对象未来存在需补足整个地块地下车库建设指标的可能</w:t>
      </w:r>
      <w:r w:rsidR="00A153AE">
        <w:rPr>
          <w:rFonts w:ascii="仿宋_GB2312" w:eastAsia="仿宋_GB2312" w:hAnsi="仿宋_GB2312" w:cs="仿宋_GB2312" w:hint="eastAsia"/>
          <w:sz w:val="32"/>
          <w:szCs w:val="32"/>
        </w:rPr>
        <w:t>，由此带来的建设成本增加可能影响咨询对象未来盈利情况，在此提醒咨询委托人应对咨询对象地下车库建设指标进行关注。</w:t>
      </w:r>
    </w:p>
    <w:p w14:paraId="7DDE648F" w14:textId="77777777" w:rsidR="00963362" w:rsidRPr="00CC2F17" w:rsidRDefault="00963362" w:rsidP="004A2384">
      <w:pPr>
        <w:pStyle w:val="20"/>
        <w:ind w:firstLine="643"/>
        <w:rPr>
          <w:rFonts w:ascii="仿宋_GB2312" w:eastAsia="仿宋_GB2312"/>
        </w:rPr>
      </w:pPr>
      <w:bookmarkStart w:id="36" w:name="_Toc91842891"/>
      <w:bookmarkStart w:id="37" w:name="_Toc174720314"/>
      <w:r w:rsidRPr="00CC2F17">
        <w:rPr>
          <w:rFonts w:ascii="仿宋_GB2312" w:eastAsia="仿宋_GB2312" w:hint="eastAsia"/>
        </w:rPr>
        <w:t>（三）建设风险</w:t>
      </w:r>
      <w:bookmarkEnd w:id="36"/>
      <w:bookmarkEnd w:id="37"/>
    </w:p>
    <w:p w14:paraId="57C4B4E3"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hint="eastAsia"/>
          <w:sz w:val="32"/>
          <w:szCs w:val="32"/>
        </w:rPr>
      </w:pPr>
      <w:r w:rsidRPr="00963362">
        <w:rPr>
          <w:rFonts w:ascii="仿宋_GB2312" w:eastAsia="仿宋_GB2312" w:hAnsi="仿宋_GB2312" w:cs="仿宋_GB2312" w:hint="eastAsia"/>
          <w:sz w:val="32"/>
          <w:szCs w:val="32"/>
        </w:rPr>
        <w:t>在项目建设过程中，若已完工或在建工程存在质量缺陷，将会对该项目产生不利影响的风险。对此，保障房中心应根据该项目工程质量总目标编制质量计划，并制定质量控制点，委托具有相应资质的监理公司对该项目建设过程进行监督管理。</w:t>
      </w:r>
    </w:p>
    <w:p w14:paraId="305C5AE2" w14:textId="77777777" w:rsidR="00963362" w:rsidRPr="00CC2F17" w:rsidRDefault="00963362" w:rsidP="004A2384">
      <w:pPr>
        <w:pStyle w:val="20"/>
        <w:ind w:firstLine="643"/>
        <w:rPr>
          <w:rFonts w:ascii="仿宋_GB2312" w:eastAsia="仿宋_GB2312"/>
        </w:rPr>
      </w:pPr>
      <w:bookmarkStart w:id="38" w:name="_Toc91842892"/>
      <w:bookmarkStart w:id="39" w:name="_Toc174720315"/>
      <w:r w:rsidRPr="00CC2F17">
        <w:rPr>
          <w:rFonts w:ascii="仿宋_GB2312" w:eastAsia="仿宋_GB2312" w:hint="eastAsia"/>
        </w:rPr>
        <w:t>（四）管理风险</w:t>
      </w:r>
      <w:bookmarkEnd w:id="38"/>
      <w:bookmarkEnd w:id="39"/>
    </w:p>
    <w:p w14:paraId="62175196"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hint="eastAsia"/>
          <w:sz w:val="32"/>
          <w:szCs w:val="32"/>
        </w:rPr>
      </w:pPr>
      <w:r w:rsidRPr="00963362">
        <w:rPr>
          <w:rFonts w:ascii="仿宋_GB2312" w:eastAsia="仿宋_GB2312" w:hAnsi="仿宋_GB2312" w:cs="仿宋_GB2312" w:hint="eastAsia"/>
          <w:sz w:val="32"/>
          <w:szCs w:val="32"/>
        </w:rPr>
        <w:t>管理方面服务的标准化、经营管理水平、价格设置的合理性，都关乎租户体验和对市场秩序的影响，需要积极响应行业政策，注重管理细节，准确把握需求，就可能发生的管理问题制定恰当的应对预案。</w:t>
      </w:r>
    </w:p>
    <w:p w14:paraId="33A1DE41" w14:textId="77777777" w:rsidR="00F962E2" w:rsidRPr="004A2384" w:rsidRDefault="00F962E2">
      <w:pPr>
        <w:pStyle w:val="1"/>
      </w:pPr>
      <w:bookmarkStart w:id="40" w:name="_Toc174720316"/>
      <w:r w:rsidRPr="004A2384">
        <w:rPr>
          <w:rFonts w:hint="eastAsia"/>
        </w:rPr>
        <w:t>五、正在开展的工作及存在的问题</w:t>
      </w:r>
      <w:bookmarkEnd w:id="40"/>
    </w:p>
    <w:p w14:paraId="63D839A1" w14:textId="77777777" w:rsidR="00F962E2" w:rsidRPr="004A2384" w:rsidRDefault="00F962E2">
      <w:pPr>
        <w:pStyle w:val="2"/>
        <w:adjustRightInd w:val="0"/>
        <w:snapToGrid w:val="0"/>
        <w:spacing w:line="560" w:lineRule="exact"/>
        <w:ind w:leftChars="0" w:left="0" w:firstLine="640"/>
        <w:rPr>
          <w:rFonts w:ascii="仿宋_GB2312" w:eastAsia="仿宋_GB2312" w:hAnsi="仿宋_GB2312" w:cs="仿宋_GB2312" w:hint="eastAsia"/>
          <w:sz w:val="32"/>
          <w:szCs w:val="32"/>
        </w:rPr>
      </w:pPr>
      <w:r w:rsidRPr="004A2384">
        <w:rPr>
          <w:rFonts w:ascii="仿宋_GB2312" w:eastAsia="仿宋_GB2312" w:hAnsi="仿宋_GB2312" w:cs="仿宋_GB2312" w:hint="eastAsia"/>
          <w:sz w:val="32"/>
          <w:szCs w:val="32"/>
        </w:rPr>
        <w:t>双方正在开展土地合作正式协议具体内容谈判及各项前期筹备工作（包括项目土壤污染评估等）。主要面临以下问题：</w:t>
      </w:r>
    </w:p>
    <w:p w14:paraId="7927C368" w14:textId="7935FDFF" w:rsidR="00F962E2" w:rsidRPr="00CC2F17" w:rsidRDefault="00F962E2" w:rsidP="004A2384">
      <w:pPr>
        <w:pStyle w:val="20"/>
        <w:ind w:firstLine="643"/>
        <w:rPr>
          <w:rFonts w:ascii="仿宋_GB2312" w:eastAsia="仿宋_GB2312" w:hAnsi="仿宋_GB2312" w:cs="仿宋_GB2312" w:hint="eastAsia"/>
        </w:rPr>
      </w:pPr>
      <w:bookmarkStart w:id="41" w:name="_Toc174720317"/>
      <w:r w:rsidRPr="00CC2F17">
        <w:rPr>
          <w:rFonts w:ascii="仿宋_GB2312" w:eastAsia="仿宋_GB2312" w:hAnsi="仿宋_GB2312" w:cs="仿宋_GB2312" w:hint="eastAsia"/>
        </w:rPr>
        <w:t>项目尚未取得规划条件</w:t>
      </w:r>
      <w:bookmarkEnd w:id="41"/>
    </w:p>
    <w:p w14:paraId="05805888" w14:textId="77777777" w:rsidR="00F962E2" w:rsidRPr="004A2384" w:rsidRDefault="0064134F" w:rsidP="004A2384">
      <w:pPr>
        <w:pStyle w:val="2"/>
        <w:adjustRightInd w:val="0"/>
        <w:snapToGrid w:val="0"/>
        <w:spacing w:line="560" w:lineRule="exact"/>
        <w:ind w:leftChars="0" w:left="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本地块为原项目二期未建设地块</w:t>
      </w:r>
      <w:r w:rsidR="00F962E2" w:rsidRPr="004A2384">
        <w:rPr>
          <w:rFonts w:ascii="仿宋_GB2312" w:eastAsia="仿宋_GB2312" w:hAnsi="仿宋_GB2312" w:cs="仿宋_GB2312" w:hint="eastAsia"/>
          <w:sz w:val="32"/>
          <w:szCs w:val="32"/>
        </w:rPr>
        <w:t>，项目规划指标</w:t>
      </w:r>
      <w:r>
        <w:rPr>
          <w:rFonts w:ascii="仿宋_GB2312" w:eastAsia="仿宋_GB2312" w:hAnsi="仿宋_GB2312" w:cs="仿宋_GB2312" w:hint="eastAsia"/>
          <w:sz w:val="32"/>
          <w:szCs w:val="32"/>
        </w:rPr>
        <w:t>是否需要调整</w:t>
      </w:r>
      <w:r w:rsidR="00F962E2" w:rsidRPr="004A2384">
        <w:rPr>
          <w:rFonts w:ascii="仿宋_GB2312" w:eastAsia="仿宋_GB2312" w:hAnsi="仿宋_GB2312" w:cs="仿宋_GB2312" w:hint="eastAsia"/>
          <w:sz w:val="32"/>
          <w:szCs w:val="32"/>
        </w:rPr>
        <w:t>尚不明确。</w:t>
      </w:r>
    </w:p>
    <w:p w14:paraId="42B388F3" w14:textId="77777777" w:rsidR="00F962E2" w:rsidRPr="004A2384" w:rsidRDefault="00F962E2">
      <w:pPr>
        <w:pStyle w:val="1"/>
      </w:pPr>
      <w:bookmarkStart w:id="42" w:name="_Toc174720319"/>
      <w:r w:rsidRPr="004A2384">
        <w:rPr>
          <w:rFonts w:hint="eastAsia"/>
        </w:rPr>
        <w:lastRenderedPageBreak/>
        <w:t>六、工作建议</w:t>
      </w:r>
      <w:bookmarkEnd w:id="42"/>
    </w:p>
    <w:bookmarkEnd w:id="11"/>
    <w:p w14:paraId="15852452" w14:textId="39C93367" w:rsidR="00BE0914" w:rsidRDefault="006D7997">
      <w:pPr>
        <w:pStyle w:val="2"/>
        <w:adjustRightInd w:val="0"/>
        <w:snapToGrid w:val="0"/>
        <w:spacing w:line="560" w:lineRule="exact"/>
        <w:ind w:leftChars="0" w:left="0" w:firstLine="640"/>
        <w:rPr>
          <w:rFonts w:ascii="仿宋_GB2312" w:eastAsia="仿宋_GB2312" w:hint="eastAsia"/>
          <w:sz w:val="32"/>
          <w:szCs w:val="36"/>
        </w:rPr>
      </w:pPr>
      <w:r>
        <w:rPr>
          <w:rFonts w:ascii="仿宋_GB2312" w:eastAsia="仿宋_GB2312" w:hint="eastAsia"/>
          <w:sz w:val="32"/>
          <w:szCs w:val="36"/>
        </w:rPr>
        <w:t>咨询对象为原经济适用住房地块未建设部分，相关规划已过期，建议咨询委托人</w:t>
      </w:r>
      <w:r w:rsidR="00454EF0">
        <w:rPr>
          <w:rFonts w:ascii="仿宋_GB2312" w:eastAsia="仿宋_GB2312" w:hint="eastAsia"/>
          <w:sz w:val="32"/>
          <w:szCs w:val="36"/>
        </w:rPr>
        <w:t>要求土地使用权人</w:t>
      </w:r>
      <w:proofErr w:type="gramStart"/>
      <w:r w:rsidR="00454EF0">
        <w:rPr>
          <w:rFonts w:ascii="仿宋_GB2312" w:eastAsia="仿宋_GB2312" w:hint="eastAsia"/>
          <w:sz w:val="32"/>
          <w:szCs w:val="36"/>
        </w:rPr>
        <w:t>对原宗地</w:t>
      </w:r>
      <w:proofErr w:type="gramEnd"/>
      <w:r w:rsidR="00454EF0">
        <w:rPr>
          <w:rFonts w:ascii="仿宋_GB2312" w:eastAsia="仿宋_GB2312" w:hint="eastAsia"/>
          <w:sz w:val="32"/>
          <w:szCs w:val="36"/>
        </w:rPr>
        <w:t>进行分割登记，</w:t>
      </w:r>
      <w:r w:rsidR="00454EF0">
        <w:rPr>
          <w:rFonts w:ascii="仿宋_GB2312" w:eastAsia="仿宋_GB2312" w:hint="eastAsia"/>
          <w:sz w:val="32"/>
          <w:szCs w:val="36"/>
        </w:rPr>
        <w:t>并</w:t>
      </w:r>
      <w:r>
        <w:rPr>
          <w:rFonts w:ascii="仿宋_GB2312" w:eastAsia="仿宋_GB2312" w:hint="eastAsia"/>
          <w:sz w:val="32"/>
          <w:szCs w:val="36"/>
        </w:rPr>
        <w:t>向</w:t>
      </w:r>
      <w:r w:rsidRPr="006D7997">
        <w:rPr>
          <w:rFonts w:ascii="仿宋_GB2312" w:eastAsia="仿宋_GB2312" w:hint="eastAsia"/>
          <w:sz w:val="32"/>
          <w:szCs w:val="36"/>
        </w:rPr>
        <w:t>北京市规划和自然资源委员会通州分局</w:t>
      </w:r>
      <w:r>
        <w:rPr>
          <w:rFonts w:ascii="仿宋_GB2312" w:eastAsia="仿宋_GB2312" w:hint="eastAsia"/>
          <w:sz w:val="32"/>
          <w:szCs w:val="36"/>
        </w:rPr>
        <w:t>落实地块的相关规划条件，</w:t>
      </w:r>
      <w:r w:rsidR="002642C3">
        <w:rPr>
          <w:rFonts w:ascii="仿宋_GB2312" w:eastAsia="仿宋_GB2312" w:hint="eastAsia"/>
          <w:sz w:val="32"/>
          <w:szCs w:val="36"/>
        </w:rPr>
        <w:t>以保证本次转让能够顺利完成，并对项目未来建设成本及收益预测有可靠的建设指标支撑。</w:t>
      </w:r>
    </w:p>
    <w:p w14:paraId="0F827D15" w14:textId="1BCDDCEE" w:rsidR="00BE0914" w:rsidRDefault="00BE0914" w:rsidP="00BE0914">
      <w:pPr>
        <w:pStyle w:val="2"/>
        <w:adjustRightInd w:val="0"/>
        <w:snapToGrid w:val="0"/>
        <w:spacing w:line="560" w:lineRule="exact"/>
        <w:ind w:leftChars="0" w:left="0" w:firstLine="640"/>
        <w:rPr>
          <w:rFonts w:ascii="仿宋_GB2312" w:eastAsia="仿宋_GB2312" w:hint="eastAsia"/>
          <w:sz w:val="32"/>
          <w:szCs w:val="36"/>
        </w:rPr>
      </w:pPr>
    </w:p>
    <w:sectPr w:rsidR="00BE0914">
      <w:footerReference w:type="default" r:id="rId25"/>
      <w:pgSz w:w="11906" w:h="16838"/>
      <w:pgMar w:top="992" w:right="1276" w:bottom="1440" w:left="709" w:header="851" w:footer="992"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84BB0" w14:textId="77777777" w:rsidR="00421153" w:rsidRDefault="00421153">
      <w:r>
        <w:separator/>
      </w:r>
    </w:p>
  </w:endnote>
  <w:endnote w:type="continuationSeparator" w:id="0">
    <w:p w14:paraId="749FDCB9" w14:textId="77777777" w:rsidR="00421153" w:rsidRDefault="00421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lt;.">
    <w:altName w:val="仿宋"/>
    <w:charset w:val="86"/>
    <w:family w:val="roma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E99E2" w14:textId="77777777" w:rsidR="00F962E2" w:rsidRDefault="00F962E2">
    <w:pPr>
      <w:pStyle w:val="a6"/>
      <w:tabs>
        <w:tab w:val="center" w:pos="4213"/>
        <w:tab w:val="center" w:pos="4960"/>
      </w:tabs>
    </w:pPr>
    <w:r>
      <w:rPr>
        <w:rFonts w:hint="eastAsia"/>
      </w:rPr>
      <w:tab/>
    </w:r>
    <w:r>
      <w:rPr>
        <w:rFonts w:hint="eastAsia"/>
      </w:rPr>
      <w:tab/>
    </w: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DFE4A" w14:textId="77777777" w:rsidR="00F962E2" w:rsidRDefault="00F962E2">
    <w:pPr>
      <w:pStyle w:val="a6"/>
      <w:tabs>
        <w:tab w:val="center" w:pos="4213"/>
        <w:tab w:val="left" w:pos="6083"/>
      </w:tabs>
    </w:pPr>
    <w:r>
      <w:rPr>
        <w:rFonts w:hint="eastAsia"/>
      </w:rPr>
      <w:tab/>
    </w: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D1853" w14:textId="3EECF83F" w:rsidR="00F962E2" w:rsidRDefault="00FF7947">
    <w:pPr>
      <w:pStyle w:val="a6"/>
      <w:tabs>
        <w:tab w:val="center" w:pos="4213"/>
        <w:tab w:val="left" w:pos="6083"/>
      </w:tabs>
    </w:pPr>
    <w:r>
      <w:rPr>
        <w:noProof/>
      </w:rPr>
      <mc:AlternateContent>
        <mc:Choice Requires="wps">
          <w:drawing>
            <wp:anchor distT="0" distB="0" distL="114300" distR="114300" simplePos="0" relativeHeight="251657728" behindDoc="0" locked="0" layoutInCell="1" allowOverlap="1" wp14:anchorId="084219F8" wp14:editId="42DD4D58">
              <wp:simplePos x="0" y="0"/>
              <wp:positionH relativeFrom="margin">
                <wp:align>center</wp:align>
              </wp:positionH>
              <wp:positionV relativeFrom="paragraph">
                <wp:posOffset>0</wp:posOffset>
              </wp:positionV>
              <wp:extent cx="240030" cy="171450"/>
              <wp:effectExtent l="0" t="0" r="0" b="0"/>
              <wp:wrapNone/>
              <wp:docPr id="1467713170"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EE4C" w14:textId="77777777" w:rsidR="00F962E2" w:rsidRDefault="00F962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219F8" id="_x0000_t202" coordsize="21600,21600" o:spt="202" path="m,l,21600r21600,l21600,xe">
              <v:stroke joinstyle="miter"/>
              <v:path gradientshapeok="t" o:connecttype="rect"/>
            </v:shapetype>
            <v:shape id="文本框 34" o:spid="_x0000_s1026" type="#_x0000_t202" style="position:absolute;margin-left:0;margin-top:0;width:18.9pt;height:1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" filled="f" stroked="f">
              <v:textbox inset="0,0,0,0">
                <w:txbxContent>
                  <w:p w14:paraId="6AEAEE4C" w14:textId="77777777" w:rsidR="00F962E2" w:rsidRDefault="00F962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w10:wrap anchorx="margin"/>
            </v:shape>
          </w:pict>
        </mc:Fallback>
      </mc:AlternateContent>
    </w:r>
    <w:r w:rsidR="00F962E2">
      <w:rPr>
        <w:rFonts w:hint="eastAsia"/>
      </w:rPr>
      <w:tab/>
    </w:r>
    <w:r w:rsidR="00F962E2">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BD74E" w14:textId="77777777" w:rsidR="00421153" w:rsidRDefault="00421153">
      <w:r>
        <w:separator/>
      </w:r>
    </w:p>
  </w:footnote>
  <w:footnote w:type="continuationSeparator" w:id="0">
    <w:p w14:paraId="3D4CCDC0" w14:textId="77777777" w:rsidR="00421153" w:rsidRDefault="004211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6"/>
  <w:drawingGridVerticalSpacing w:val="160"/>
  <w:noPunctuationKerning/>
  <w:characterSpacingControl w:val="compressPunctuation"/>
  <w:doNotValidateAgainstSchema/>
  <w:doNotDemarcateInvalidXml/>
  <w:hdrShapeDefaults>
    <o:shapedefaults v:ext="edit" spidmax="2050">
      <o:colormru v:ext="edit" colors="#fcc,#ccecff"/>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4080"/>
    <w:rsid w:val="00032424"/>
    <w:rsid w:val="0003437A"/>
    <w:rsid w:val="00052FA4"/>
    <w:rsid w:val="000824FE"/>
    <w:rsid w:val="00091F65"/>
    <w:rsid w:val="00105B1A"/>
    <w:rsid w:val="001215C3"/>
    <w:rsid w:val="00133307"/>
    <w:rsid w:val="00152F9B"/>
    <w:rsid w:val="00153CBF"/>
    <w:rsid w:val="00170046"/>
    <w:rsid w:val="00172A27"/>
    <w:rsid w:val="0018019C"/>
    <w:rsid w:val="001B70F2"/>
    <w:rsid w:val="002642C3"/>
    <w:rsid w:val="003112BD"/>
    <w:rsid w:val="003262AF"/>
    <w:rsid w:val="0032632D"/>
    <w:rsid w:val="00352069"/>
    <w:rsid w:val="00353D83"/>
    <w:rsid w:val="0036689A"/>
    <w:rsid w:val="003947F4"/>
    <w:rsid w:val="00396611"/>
    <w:rsid w:val="003B31D6"/>
    <w:rsid w:val="003B7C19"/>
    <w:rsid w:val="004065C1"/>
    <w:rsid w:val="00421153"/>
    <w:rsid w:val="004413B1"/>
    <w:rsid w:val="00454EF0"/>
    <w:rsid w:val="00470B7A"/>
    <w:rsid w:val="004A2384"/>
    <w:rsid w:val="005134AC"/>
    <w:rsid w:val="00524506"/>
    <w:rsid w:val="00544A1A"/>
    <w:rsid w:val="0059603E"/>
    <w:rsid w:val="005A044D"/>
    <w:rsid w:val="005A7F4B"/>
    <w:rsid w:val="005B1506"/>
    <w:rsid w:val="005C0A8F"/>
    <w:rsid w:val="0060447C"/>
    <w:rsid w:val="00621247"/>
    <w:rsid w:val="0064134F"/>
    <w:rsid w:val="006839CE"/>
    <w:rsid w:val="006848C8"/>
    <w:rsid w:val="006D27A9"/>
    <w:rsid w:val="006D7997"/>
    <w:rsid w:val="006F26CE"/>
    <w:rsid w:val="0071602F"/>
    <w:rsid w:val="00720466"/>
    <w:rsid w:val="007234F2"/>
    <w:rsid w:val="00727B06"/>
    <w:rsid w:val="0073367E"/>
    <w:rsid w:val="007520CA"/>
    <w:rsid w:val="007B43E6"/>
    <w:rsid w:val="007F2CCB"/>
    <w:rsid w:val="0081363E"/>
    <w:rsid w:val="008311E4"/>
    <w:rsid w:val="008841AA"/>
    <w:rsid w:val="008F5D6E"/>
    <w:rsid w:val="00963362"/>
    <w:rsid w:val="009711F3"/>
    <w:rsid w:val="00974016"/>
    <w:rsid w:val="009D6720"/>
    <w:rsid w:val="009E2561"/>
    <w:rsid w:val="009F3BA4"/>
    <w:rsid w:val="00A153AE"/>
    <w:rsid w:val="00A31711"/>
    <w:rsid w:val="00A410FD"/>
    <w:rsid w:val="00A63B23"/>
    <w:rsid w:val="00A66DAC"/>
    <w:rsid w:val="00AA6710"/>
    <w:rsid w:val="00AC266A"/>
    <w:rsid w:val="00AD75BE"/>
    <w:rsid w:val="00B35E60"/>
    <w:rsid w:val="00BE0914"/>
    <w:rsid w:val="00C17195"/>
    <w:rsid w:val="00C37F68"/>
    <w:rsid w:val="00C541AB"/>
    <w:rsid w:val="00C55ED0"/>
    <w:rsid w:val="00C64221"/>
    <w:rsid w:val="00C944F0"/>
    <w:rsid w:val="00CC2F17"/>
    <w:rsid w:val="00CE5D63"/>
    <w:rsid w:val="00CF1FB8"/>
    <w:rsid w:val="00D123BA"/>
    <w:rsid w:val="00D459F0"/>
    <w:rsid w:val="00E91882"/>
    <w:rsid w:val="00ED7F0E"/>
    <w:rsid w:val="00EF20FF"/>
    <w:rsid w:val="00F47CD4"/>
    <w:rsid w:val="00F962E2"/>
    <w:rsid w:val="00FA4C41"/>
    <w:rsid w:val="00FF7947"/>
    <w:rsid w:val="0D9C15BD"/>
    <w:rsid w:val="0DDF05D1"/>
    <w:rsid w:val="0F220F5B"/>
    <w:rsid w:val="19DE248D"/>
    <w:rsid w:val="218F37E4"/>
    <w:rsid w:val="24B443EB"/>
    <w:rsid w:val="29577F34"/>
    <w:rsid w:val="2C323AF6"/>
    <w:rsid w:val="32E51B1E"/>
    <w:rsid w:val="34A259BD"/>
    <w:rsid w:val="377B5183"/>
    <w:rsid w:val="39B93496"/>
    <w:rsid w:val="47776C72"/>
    <w:rsid w:val="4AD539BB"/>
    <w:rsid w:val="512013CC"/>
    <w:rsid w:val="54947186"/>
    <w:rsid w:val="581D56D7"/>
    <w:rsid w:val="5BCF2D2E"/>
    <w:rsid w:val="5D1F0D6E"/>
    <w:rsid w:val="680C0731"/>
    <w:rsid w:val="75805B78"/>
    <w:rsid w:val="7A871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c,#ccecff"/>
    </o:shapedefaults>
    <o:shapelayout v:ext="edit">
      <o:idmap v:ext="edit" data="2"/>
    </o:shapelayout>
  </w:shapeDefaults>
  <w:decimalSymbol w:val="."/>
  <w:listSeparator w:val=","/>
  <w14:docId w14:val="31738BC1"/>
  <w15:chartTrackingRefBased/>
  <w15:docId w15:val="{A6243C7E-4CBF-4BB5-BCAD-DEFDBB937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uiPriority="99"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unhideWhenUsed="1" w:qFormat="1"/>
    <w:lsdException w:name="Note Heading" w:semiHidden="1" w:unhideWhenUsed="1"/>
    <w:lsdException w:name="Body Text 2"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iPriority="99" w:unhideWhenUsed="1"/>
    <w:lsdException w:name="HTML Bottom of Form" w:semiHidden="1" w:uiPriority="99"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qFormat="1"/>
    <w:lsdException w:name="Table Theme" w:semiHidden="1" w:unhideWhenUsed="1"/>
    <w:lsdException w:name="Placeholder Text" w:semiHidden="1" w:uiPriority="99"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uiPriority="0" w:qFormat="1"/>
    <w:lsdException w:name="Quote" w:uiPriority="99" w:qFormat="1"/>
    <w:lsdException w:name="Intense Quote"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0"/>
    <w:qFormat/>
    <w:pPr>
      <w:keepNext/>
      <w:keepLines/>
      <w:adjustRightInd w:val="0"/>
      <w:snapToGrid w:val="0"/>
      <w:spacing w:line="560" w:lineRule="exact"/>
      <w:ind w:firstLineChars="200" w:firstLine="640"/>
      <w:outlineLvl w:val="0"/>
    </w:pPr>
    <w:rPr>
      <w:rFonts w:ascii="Times New Roman" w:eastAsia="黑体" w:hAnsi="Times New Roman"/>
      <w:bCs/>
      <w:kern w:val="44"/>
      <w:sz w:val="32"/>
      <w:szCs w:val="44"/>
    </w:rPr>
  </w:style>
  <w:style w:type="paragraph" w:styleId="20">
    <w:name w:val="heading 2"/>
    <w:basedOn w:val="a"/>
    <w:next w:val="a"/>
    <w:link w:val="21"/>
    <w:qFormat/>
    <w:pPr>
      <w:keepNext/>
      <w:keepLines/>
      <w:adjustRightInd w:val="0"/>
      <w:snapToGrid w:val="0"/>
      <w:spacing w:line="560" w:lineRule="exact"/>
      <w:ind w:firstLineChars="200" w:firstLine="640"/>
      <w:outlineLvl w:val="1"/>
    </w:pPr>
    <w:rPr>
      <w:rFonts w:ascii="Cambria" w:eastAsia="楷体_GB2312" w:hAnsi="Cambria"/>
      <w:b/>
      <w:bCs/>
      <w:sz w:val="32"/>
      <w:szCs w:val="32"/>
    </w:rPr>
  </w:style>
  <w:style w:type="paragraph" w:styleId="3">
    <w:name w:val="heading 3"/>
    <w:basedOn w:val="a"/>
    <w:next w:val="a"/>
    <w:link w:val="30"/>
    <w:qFormat/>
    <w:pPr>
      <w:keepNext/>
      <w:keepLines/>
      <w:spacing w:before="260" w:after="260" w:line="408" w:lineRule="auto"/>
      <w:outlineLvl w:val="2"/>
    </w:pPr>
    <w:rPr>
      <w:rFonts w:ascii="仿宋_GB2312" w:eastAsia="仿宋_GB2312"/>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正文缩进 字符"/>
    <w:link w:val="a4"/>
    <w:rPr>
      <w:rFonts w:eastAsia="宋体"/>
      <w:kern w:val="2"/>
      <w:sz w:val="21"/>
      <w:szCs w:val="24"/>
      <w:lang w:val="en-US" w:eastAsia="zh-CN" w:bidi="ar-SA"/>
    </w:rPr>
  </w:style>
  <w:style w:type="character" w:customStyle="1" w:styleId="a5">
    <w:name w:val="页脚 字符"/>
    <w:link w:val="a6"/>
    <w:rPr>
      <w:kern w:val="2"/>
      <w:sz w:val="18"/>
      <w:szCs w:val="18"/>
    </w:rPr>
  </w:style>
  <w:style w:type="character" w:styleId="a7">
    <w:name w:val="Strong"/>
    <w:uiPriority w:val="22"/>
    <w:qFormat/>
    <w:rPr>
      <w:b/>
    </w:rPr>
  </w:style>
  <w:style w:type="character" w:customStyle="1" w:styleId="11">
    <w:name w:val="标题1 字符"/>
    <w:link w:val="12"/>
    <w:rPr>
      <w:rFonts w:ascii="Times New Roman" w:eastAsia="黑体" w:hAnsi="Times New Roman"/>
      <w:b w:val="0"/>
      <w:bCs/>
      <w:i w:val="0"/>
      <w:kern w:val="44"/>
      <w:sz w:val="32"/>
      <w:szCs w:val="44"/>
    </w:rPr>
  </w:style>
  <w:style w:type="character" w:customStyle="1" w:styleId="16">
    <w:name w:val="16"/>
    <w:basedOn w:val="a0"/>
  </w:style>
  <w:style w:type="character" w:customStyle="1" w:styleId="10">
    <w:name w:val="标题 1 字符"/>
    <w:link w:val="1"/>
    <w:rPr>
      <w:rFonts w:ascii="Times New Roman" w:eastAsia="黑体" w:hAnsi="Times New Roman"/>
      <w:b w:val="0"/>
      <w:bCs/>
      <w:i w:val="0"/>
      <w:kern w:val="44"/>
      <w:sz w:val="32"/>
      <w:szCs w:val="44"/>
    </w:rPr>
  </w:style>
  <w:style w:type="character" w:customStyle="1" w:styleId="CharCharChar">
    <w:name w:val="安 Char Char Char"/>
    <w:link w:val="Char"/>
    <w:rPr>
      <w:rFonts w:ascii="Arial Narrow" w:eastAsia="黑体" w:hAnsi="Arial Narrow"/>
      <w:b/>
      <w:kern w:val="2"/>
      <w:sz w:val="28"/>
    </w:rPr>
  </w:style>
  <w:style w:type="character" w:styleId="a8">
    <w:name w:val="Emphasis"/>
    <w:qFormat/>
    <w:rPr>
      <w:i/>
      <w:iCs/>
    </w:rPr>
  </w:style>
  <w:style w:type="character" w:customStyle="1" w:styleId="a9">
    <w:name w:val="批注框文本 字符"/>
    <w:link w:val="aa"/>
    <w:rPr>
      <w:kern w:val="2"/>
      <w:sz w:val="18"/>
      <w:szCs w:val="18"/>
    </w:rPr>
  </w:style>
  <w:style w:type="character" w:customStyle="1" w:styleId="21">
    <w:name w:val="标题 2 字符"/>
    <w:link w:val="20"/>
    <w:rPr>
      <w:rFonts w:ascii="Cambria" w:eastAsia="楷体_GB2312" w:hAnsi="Cambria" w:cs="Times New Roman"/>
      <w:b/>
      <w:bCs/>
      <w:kern w:val="2"/>
      <w:sz w:val="32"/>
      <w:szCs w:val="32"/>
    </w:rPr>
  </w:style>
  <w:style w:type="character" w:customStyle="1" w:styleId="mod-title-name">
    <w:name w:val="mod-title-name"/>
    <w:basedOn w:val="a0"/>
  </w:style>
  <w:style w:type="character" w:customStyle="1" w:styleId="A60">
    <w:name w:val="A6"/>
    <w:rPr>
      <w:rFonts w:cs="仿宋&lt;."/>
      <w:color w:val="000000"/>
      <w:sz w:val="36"/>
      <w:szCs w:val="36"/>
    </w:rPr>
  </w:style>
  <w:style w:type="character" w:customStyle="1" w:styleId="ab">
    <w:name w:val="页眉 字符"/>
    <w:link w:val="ac"/>
    <w:rPr>
      <w:rFonts w:eastAsia="宋体"/>
      <w:kern w:val="2"/>
      <w:sz w:val="18"/>
      <w:szCs w:val="18"/>
      <w:lang w:bidi="ar-SA"/>
    </w:rPr>
  </w:style>
  <w:style w:type="character" w:customStyle="1" w:styleId="ad">
    <w:name w:val="纯文本 字符"/>
    <w:link w:val="ae"/>
    <w:rPr>
      <w:rFonts w:ascii="宋体" w:hAnsi="Courier New" w:cs="Courier New"/>
      <w:kern w:val="2"/>
      <w:sz w:val="21"/>
      <w:szCs w:val="21"/>
    </w:rPr>
  </w:style>
  <w:style w:type="character" w:customStyle="1" w:styleId="apple-converted-space">
    <w:name w:val="apple-converted-space"/>
    <w:basedOn w:val="a0"/>
  </w:style>
  <w:style w:type="character" w:styleId="af">
    <w:name w:val="FollowedHyperlink"/>
    <w:uiPriority w:val="1"/>
    <w:unhideWhenUsed/>
    <w:rPr>
      <w:color w:val="800080"/>
      <w:u w:val="single"/>
    </w:rPr>
  </w:style>
  <w:style w:type="character" w:customStyle="1" w:styleId="ListParagraphCharCharChar">
    <w:name w:val="List Paragraph Char Char Char"/>
    <w:rPr>
      <w:rFonts w:ascii="Calibri" w:hAnsi="Calibri" w:cs="Calibri" w:hint="default"/>
      <w:kern w:val="2"/>
      <w:sz w:val="21"/>
      <w:szCs w:val="22"/>
    </w:rPr>
  </w:style>
  <w:style w:type="character" w:customStyle="1" w:styleId="af0">
    <w:name w:val="无间隔 字符"/>
    <w:link w:val="af1"/>
    <w:rPr>
      <w:rFonts w:ascii="Calibri" w:hAnsi="Calibri"/>
      <w:sz w:val="22"/>
      <w:szCs w:val="22"/>
      <w:lang w:val="en-US" w:eastAsia="zh-CN" w:bidi="ar-SA"/>
    </w:rPr>
  </w:style>
  <w:style w:type="character" w:styleId="af2">
    <w:name w:val="Hyperlink"/>
    <w:uiPriority w:val="99"/>
    <w:rPr>
      <w:color w:val="0000FF"/>
      <w:u w:val="single"/>
    </w:rPr>
  </w:style>
  <w:style w:type="character" w:customStyle="1" w:styleId="fl">
    <w:name w:val="fl"/>
    <w:basedOn w:val="a0"/>
  </w:style>
  <w:style w:type="character" w:styleId="af3">
    <w:name w:val="page number"/>
    <w:basedOn w:val="a0"/>
  </w:style>
  <w:style w:type="character" w:customStyle="1" w:styleId="DefaultCharChar">
    <w:name w:val="Default Char Char"/>
    <w:link w:val="Default"/>
    <w:rPr>
      <w:rFonts w:ascii="宋体" w:cs="宋体"/>
      <w:color w:val="000000"/>
      <w:sz w:val="24"/>
      <w:szCs w:val="24"/>
      <w:lang w:val="en-US" w:eastAsia="zh-CN" w:bidi="ar-SA"/>
    </w:rPr>
  </w:style>
  <w:style w:type="character" w:customStyle="1" w:styleId="zib1">
    <w:name w:val="zib1"/>
    <w:rPr>
      <w:color w:val="333333"/>
      <w:u w:val="single"/>
    </w:rPr>
  </w:style>
  <w:style w:type="character" w:customStyle="1" w:styleId="ListParagraphCharChar">
    <w:name w:val="List Paragraph Char Char"/>
    <w:link w:val="13"/>
    <w:rPr>
      <w:rFonts w:ascii="Calibri" w:hAnsi="Calibri"/>
      <w:kern w:val="2"/>
      <w:sz w:val="21"/>
      <w:szCs w:val="22"/>
    </w:rPr>
  </w:style>
  <w:style w:type="character" w:customStyle="1" w:styleId="30">
    <w:name w:val="标题 3 字符"/>
    <w:link w:val="3"/>
    <w:rPr>
      <w:rFonts w:ascii="仿宋_GB2312" w:eastAsia="仿宋_GB2312"/>
      <w:b/>
      <w:bCs/>
      <w:kern w:val="2"/>
      <w:sz w:val="32"/>
      <w:szCs w:val="32"/>
    </w:rPr>
  </w:style>
  <w:style w:type="character" w:customStyle="1" w:styleId="22">
    <w:name w:val="标题2 字符"/>
    <w:link w:val="23"/>
    <w:rPr>
      <w:rFonts w:ascii="楷体_GB2312" w:eastAsia="楷体_GB2312" w:hAnsi="楷体_GB2312" w:cs="楷体_GB2312"/>
      <w:b/>
      <w:bCs/>
      <w:kern w:val="2"/>
      <w:sz w:val="32"/>
      <w:szCs w:val="32"/>
    </w:rPr>
  </w:style>
  <w:style w:type="paragraph" w:customStyle="1" w:styleId="13">
    <w:name w:val="列出段落1"/>
    <w:basedOn w:val="a"/>
    <w:link w:val="ListParagraphCharChar"/>
    <w:pPr>
      <w:ind w:firstLineChars="200" w:firstLine="420"/>
    </w:pPr>
    <w:rPr>
      <w:szCs w:val="22"/>
    </w:rPr>
  </w:style>
  <w:style w:type="paragraph" w:styleId="a6">
    <w:name w:val="footer"/>
    <w:basedOn w:val="a"/>
    <w:link w:val="a5"/>
    <w:pPr>
      <w:tabs>
        <w:tab w:val="center" w:pos="4153"/>
        <w:tab w:val="right" w:pos="8306"/>
      </w:tabs>
      <w:snapToGrid w:val="0"/>
      <w:jc w:val="left"/>
    </w:pPr>
    <w:rPr>
      <w:sz w:val="18"/>
      <w:szCs w:val="18"/>
    </w:rPr>
  </w:style>
  <w:style w:type="paragraph" w:styleId="af4">
    <w:name w:val="caption"/>
    <w:basedOn w:val="a"/>
    <w:next w:val="a"/>
    <w:qFormat/>
    <w:pPr>
      <w:adjustRightInd w:val="0"/>
      <w:snapToGrid w:val="0"/>
      <w:spacing w:line="360" w:lineRule="auto"/>
      <w:jc w:val="center"/>
    </w:pPr>
    <w:rPr>
      <w:szCs w:val="20"/>
    </w:rPr>
  </w:style>
  <w:style w:type="paragraph" w:styleId="TOC3">
    <w:name w:val="toc 3"/>
    <w:basedOn w:val="a"/>
    <w:next w:val="a"/>
    <w:pPr>
      <w:ind w:leftChars="400" w:left="840"/>
    </w:pPr>
  </w:style>
  <w:style w:type="paragraph" w:customStyle="1" w:styleId="msolistparagraph0">
    <w:name w:val="msolistparagraph"/>
    <w:basedOn w:val="a"/>
    <w:pPr>
      <w:ind w:firstLineChars="200" w:firstLine="420"/>
    </w:pPr>
  </w:style>
  <w:style w:type="paragraph" w:styleId="a4">
    <w:name w:val="Normal Indent"/>
    <w:basedOn w:val="a"/>
    <w:link w:val="a3"/>
    <w:pPr>
      <w:adjustRightInd w:val="0"/>
      <w:snapToGrid w:val="0"/>
      <w:spacing w:line="300" w:lineRule="auto"/>
      <w:ind w:firstLineChars="200" w:firstLine="200"/>
    </w:pPr>
  </w:style>
  <w:style w:type="paragraph" w:customStyle="1" w:styleId="p24">
    <w:name w:val="p24"/>
    <w:basedOn w:val="a"/>
    <w:pPr>
      <w:widowControl/>
      <w:spacing w:before="100" w:beforeAutospacing="1" w:after="100" w:afterAutospacing="1"/>
      <w:jc w:val="left"/>
    </w:pPr>
    <w:rPr>
      <w:rFonts w:ascii="宋体" w:hAnsi="宋体" w:cs="宋体"/>
      <w:kern w:val="0"/>
      <w:sz w:val="24"/>
    </w:rPr>
  </w:style>
  <w:style w:type="paragraph" w:customStyle="1" w:styleId="23">
    <w:name w:val="标题2"/>
    <w:basedOn w:val="a"/>
    <w:link w:val="22"/>
    <w:qFormat/>
    <w:pPr>
      <w:adjustRightInd w:val="0"/>
      <w:snapToGrid w:val="0"/>
      <w:spacing w:line="560" w:lineRule="exact"/>
      <w:ind w:firstLineChars="200" w:firstLine="643"/>
    </w:pPr>
    <w:rPr>
      <w:rFonts w:ascii="楷体_GB2312" w:eastAsia="楷体_GB2312" w:hAnsi="楷体_GB2312" w:cs="楷体_GB2312"/>
      <w:b/>
      <w:bCs/>
      <w:sz w:val="32"/>
      <w:szCs w:val="32"/>
    </w:rPr>
  </w:style>
  <w:style w:type="paragraph" w:customStyle="1" w:styleId="55201711">
    <w:name w:val="样式 宋体 小四 段前: 5 磅 段后: 5 磅 行距: 固定值 20 磅 左  1.71 字符 首行缩进:  1...."/>
    <w:basedOn w:val="a"/>
    <w:pPr>
      <w:spacing w:before="100" w:beforeAutospacing="1" w:after="100" w:afterAutospacing="1" w:line="400" w:lineRule="exact"/>
      <w:ind w:leftChars="171" w:left="171" w:rightChars="-269" w:right="-269" w:firstLineChars="128" w:firstLine="128"/>
    </w:pPr>
    <w:rPr>
      <w:rFonts w:ascii="宋体" w:hAnsi="宋体"/>
      <w:sz w:val="24"/>
    </w:rPr>
  </w:style>
  <w:style w:type="paragraph" w:customStyle="1" w:styleId="12">
    <w:name w:val="标题1"/>
    <w:basedOn w:val="1"/>
    <w:link w:val="11"/>
    <w:qFormat/>
  </w:style>
  <w:style w:type="paragraph" w:customStyle="1" w:styleId="p20">
    <w:name w:val="p20"/>
    <w:basedOn w:val="a"/>
    <w:pPr>
      <w:widowControl/>
      <w:spacing w:before="100" w:beforeAutospacing="1" w:after="100" w:afterAutospacing="1"/>
      <w:jc w:val="left"/>
    </w:pPr>
    <w:rPr>
      <w:rFonts w:ascii="宋体" w:hAnsi="宋体" w:cs="宋体"/>
      <w:kern w:val="0"/>
      <w:sz w:val="24"/>
    </w:rPr>
  </w:style>
  <w:style w:type="paragraph" w:styleId="af5">
    <w:name w:val="List Paragraph"/>
    <w:basedOn w:val="a"/>
    <w:qFormat/>
    <w:pPr>
      <w:ind w:firstLineChars="200" w:firstLine="420"/>
    </w:pPr>
  </w:style>
  <w:style w:type="paragraph" w:customStyle="1" w:styleId="24">
    <w:name w:val="列出段落2"/>
    <w:basedOn w:val="a"/>
    <w:pPr>
      <w:ind w:firstLineChars="200" w:firstLine="420"/>
    </w:pPr>
    <w:rPr>
      <w:szCs w:val="22"/>
    </w:rPr>
  </w:style>
  <w:style w:type="paragraph" w:customStyle="1" w:styleId="af6">
    <w:name w:val="表格"/>
    <w:basedOn w:val="af7"/>
    <w:pPr>
      <w:adjustRightInd w:val="0"/>
      <w:snapToGrid w:val="0"/>
      <w:spacing w:before="0" w:beforeAutospacing="0" w:after="0" w:afterAutospacing="0" w:line="240" w:lineRule="atLeast"/>
      <w:jc w:val="center"/>
    </w:pPr>
    <w:rPr>
      <w:rFonts w:ascii="Times New Roman" w:hAnsi="Times New Roman"/>
      <w:sz w:val="21"/>
      <w:szCs w:val="21"/>
    </w:rPr>
  </w:style>
  <w:style w:type="paragraph" w:styleId="TOC6">
    <w:name w:val="toc 6"/>
    <w:basedOn w:val="a"/>
    <w:next w:val="a"/>
    <w:pPr>
      <w:ind w:leftChars="1000" w:left="2100"/>
    </w:pPr>
  </w:style>
  <w:style w:type="paragraph" w:customStyle="1" w:styleId="Default">
    <w:name w:val="Default"/>
    <w:link w:val="DefaultCharChar"/>
    <w:pPr>
      <w:widowControl w:val="0"/>
      <w:autoSpaceDE w:val="0"/>
      <w:autoSpaceDN w:val="0"/>
      <w:adjustRightInd w:val="0"/>
    </w:pPr>
    <w:rPr>
      <w:rFonts w:ascii="宋体" w:cs="宋体"/>
      <w:color w:val="000000"/>
      <w:sz w:val="24"/>
      <w:szCs w:val="24"/>
    </w:rPr>
  </w:style>
  <w:style w:type="paragraph" w:styleId="2">
    <w:name w:val="Body Text First Indent 2"/>
    <w:basedOn w:val="25"/>
    <w:uiPriority w:val="99"/>
    <w:unhideWhenUsed/>
    <w:qFormat/>
    <w:pPr>
      <w:spacing w:line="240" w:lineRule="auto"/>
      <w:ind w:leftChars="200" w:left="420" w:firstLineChars="200" w:firstLine="420"/>
    </w:pPr>
    <w:rPr>
      <w:sz w:val="21"/>
      <w:szCs w:val="21"/>
    </w:rPr>
  </w:style>
  <w:style w:type="paragraph" w:styleId="TOC7">
    <w:name w:val="toc 7"/>
    <w:basedOn w:val="a"/>
    <w:next w:val="a"/>
    <w:pPr>
      <w:ind w:leftChars="1200" w:left="2520"/>
    </w:pPr>
  </w:style>
  <w:style w:type="paragraph" w:styleId="25">
    <w:name w:val="Body Text 2"/>
    <w:basedOn w:val="a"/>
    <w:uiPriority w:val="99"/>
    <w:unhideWhenUsed/>
    <w:qFormat/>
    <w:pPr>
      <w:spacing w:line="300" w:lineRule="exact"/>
    </w:pPr>
    <w:rPr>
      <w:sz w:val="28"/>
      <w:szCs w:val="28"/>
    </w:rPr>
  </w:style>
  <w:style w:type="paragraph" w:styleId="af8">
    <w:name w:val="annotation text"/>
    <w:basedOn w:val="a"/>
    <w:link w:val="af9"/>
    <w:uiPriority w:val="99"/>
    <w:unhideWhenUsed/>
    <w:pPr>
      <w:jc w:val="left"/>
    </w:pPr>
  </w:style>
  <w:style w:type="paragraph" w:customStyle="1" w:styleId="31">
    <w:name w:val="列出段落3"/>
    <w:basedOn w:val="a"/>
    <w:pPr>
      <w:ind w:firstLineChars="200" w:firstLine="420"/>
    </w:pPr>
    <w:rPr>
      <w:szCs w:val="22"/>
    </w:rPr>
  </w:style>
  <w:style w:type="paragraph" w:customStyle="1" w:styleId="14">
    <w:name w:val="列表段落1"/>
    <w:basedOn w:val="a"/>
    <w:pPr>
      <w:spacing w:line="360" w:lineRule="auto"/>
      <w:ind w:firstLineChars="200" w:firstLine="420"/>
    </w:pPr>
    <w:rPr>
      <w:sz w:val="24"/>
      <w:szCs w:val="22"/>
    </w:rPr>
  </w:style>
  <w:style w:type="paragraph" w:styleId="aa">
    <w:name w:val="Balloon Text"/>
    <w:basedOn w:val="a"/>
    <w:link w:val="a9"/>
    <w:rPr>
      <w:sz w:val="18"/>
      <w:szCs w:val="18"/>
    </w:rPr>
  </w:style>
  <w:style w:type="paragraph" w:styleId="af1">
    <w:name w:val="No Spacing"/>
    <w:link w:val="af0"/>
    <w:qFormat/>
    <w:rPr>
      <w:sz w:val="22"/>
      <w:szCs w:val="22"/>
    </w:rPr>
  </w:style>
  <w:style w:type="paragraph" w:customStyle="1" w:styleId="D">
    <w:name w:val="正文D"/>
    <w:basedOn w:val="a"/>
    <w:pPr>
      <w:spacing w:line="360" w:lineRule="auto"/>
      <w:ind w:firstLineChars="200" w:firstLine="200"/>
    </w:pPr>
    <w:rPr>
      <w:rFonts w:ascii="宋体"/>
      <w:sz w:val="24"/>
    </w:rPr>
  </w:style>
  <w:style w:type="paragraph" w:styleId="TOC">
    <w:name w:val="TOC Heading"/>
    <w:basedOn w:val="1"/>
    <w:next w:val="a"/>
    <w:uiPriority w:val="39"/>
    <w:qFormat/>
    <w:pPr>
      <w:widowControl/>
      <w:adjustRightInd/>
      <w:snapToGrid/>
      <w:spacing w:before="240" w:line="259" w:lineRule="auto"/>
      <w:ind w:firstLineChars="0" w:firstLine="0"/>
      <w:jc w:val="left"/>
      <w:outlineLvl w:val="9"/>
    </w:pPr>
    <w:rPr>
      <w:rFonts w:ascii="等线 Light" w:eastAsia="等线 Light" w:hAnsi="等线 Light"/>
      <w:bCs w:val="0"/>
      <w:color w:val="2F5496"/>
      <w:kern w:val="0"/>
      <w:szCs w:val="32"/>
    </w:rPr>
  </w:style>
  <w:style w:type="paragraph" w:customStyle="1" w:styleId="Char">
    <w:name w:val="安 Char"/>
    <w:basedOn w:val="a"/>
    <w:link w:val="CharCharChar"/>
    <w:pPr>
      <w:adjustRightInd w:val="0"/>
      <w:snapToGrid w:val="0"/>
      <w:spacing w:line="300" w:lineRule="auto"/>
      <w:textAlignment w:val="baseline"/>
    </w:pPr>
    <w:rPr>
      <w:rFonts w:ascii="Arial Narrow" w:eastAsia="黑体" w:hAnsi="Arial Narrow"/>
      <w:b/>
      <w:sz w:val="28"/>
    </w:rPr>
  </w:style>
  <w:style w:type="paragraph" w:styleId="TOC2">
    <w:name w:val="toc 2"/>
    <w:basedOn w:val="a"/>
    <w:next w:val="a"/>
    <w:uiPriority w:val="39"/>
    <w:pPr>
      <w:ind w:leftChars="200" w:left="420"/>
    </w:pPr>
  </w:style>
  <w:style w:type="paragraph" w:styleId="TOC8">
    <w:name w:val="toc 8"/>
    <w:basedOn w:val="a"/>
    <w:next w:val="a"/>
    <w:pPr>
      <w:ind w:leftChars="1400" w:left="2940"/>
    </w:pPr>
  </w:style>
  <w:style w:type="paragraph" w:styleId="ae">
    <w:name w:val="Plain Text"/>
    <w:basedOn w:val="a"/>
    <w:link w:val="ad"/>
    <w:pPr>
      <w:spacing w:before="120" w:after="120"/>
    </w:pPr>
    <w:rPr>
      <w:rFonts w:ascii="宋体" w:hAnsi="Courier New" w:cs="Courier New"/>
      <w:szCs w:val="21"/>
    </w:rPr>
  </w:style>
  <w:style w:type="paragraph" w:styleId="TOC4">
    <w:name w:val="toc 4"/>
    <w:basedOn w:val="a"/>
    <w:next w:val="a"/>
    <w:pPr>
      <w:ind w:leftChars="600" w:left="1260"/>
    </w:pPr>
  </w:style>
  <w:style w:type="paragraph" w:customStyle="1" w:styleId="p0">
    <w:name w:val="p0"/>
    <w:basedOn w:val="a"/>
    <w:pPr>
      <w:widowControl/>
      <w:spacing w:before="100" w:beforeAutospacing="1" w:after="100" w:afterAutospacing="1"/>
      <w:jc w:val="left"/>
    </w:pPr>
    <w:rPr>
      <w:rFonts w:ascii="宋体" w:hAnsi="宋体" w:cs="宋体"/>
      <w:kern w:val="0"/>
      <w:sz w:val="24"/>
    </w:rPr>
  </w:style>
  <w:style w:type="paragraph" w:styleId="TOC5">
    <w:name w:val="toc 5"/>
    <w:basedOn w:val="a"/>
    <w:next w:val="a"/>
    <w:pPr>
      <w:ind w:leftChars="800" w:left="1680"/>
    </w:pPr>
  </w:style>
  <w:style w:type="paragraph" w:styleId="TOC9">
    <w:name w:val="toc 9"/>
    <w:basedOn w:val="a"/>
    <w:next w:val="a"/>
    <w:pPr>
      <w:ind w:leftChars="1600" w:left="3360"/>
    </w:pPr>
  </w:style>
  <w:style w:type="paragraph" w:styleId="af7">
    <w:name w:val="Normal (Web)"/>
    <w:basedOn w:val="a"/>
    <w:pPr>
      <w:widowControl/>
      <w:spacing w:before="100" w:beforeAutospacing="1" w:after="100" w:afterAutospacing="1"/>
      <w:jc w:val="left"/>
    </w:pPr>
    <w:rPr>
      <w:rFonts w:ascii="宋体" w:hAnsi="宋体"/>
      <w:kern w:val="0"/>
      <w:sz w:val="24"/>
      <w:szCs w:val="20"/>
    </w:rPr>
  </w:style>
  <w:style w:type="paragraph" w:styleId="TOC1">
    <w:name w:val="toc 1"/>
    <w:basedOn w:val="a"/>
    <w:next w:val="a"/>
    <w:uiPriority w:val="39"/>
  </w:style>
  <w:style w:type="paragraph" w:customStyle="1" w:styleId="afa">
    <w:name w:val="正文+首行缩进"/>
    <w:basedOn w:val="a"/>
    <w:pPr>
      <w:spacing w:line="360" w:lineRule="auto"/>
      <w:ind w:firstLineChars="200" w:firstLine="200"/>
    </w:pPr>
    <w:rPr>
      <w:rFonts w:ascii="Arial" w:hAnsi="Arial"/>
      <w:sz w:val="24"/>
    </w:rPr>
  </w:style>
  <w:style w:type="paragraph" w:styleId="ac">
    <w:name w:val="header"/>
    <w:basedOn w:val="a"/>
    <w:link w:val="ab"/>
    <w:pPr>
      <w:pBdr>
        <w:bottom w:val="single" w:sz="6" w:space="1" w:color="auto"/>
      </w:pBdr>
      <w:tabs>
        <w:tab w:val="center" w:pos="4153"/>
        <w:tab w:val="right" w:pos="8306"/>
      </w:tabs>
      <w:adjustRightInd w:val="0"/>
      <w:snapToGrid w:val="0"/>
      <w:spacing w:line="360" w:lineRule="atLeast"/>
      <w:jc w:val="center"/>
      <w:textAlignment w:val="baseline"/>
    </w:pPr>
    <w:rPr>
      <w:sz w:val="18"/>
      <w:szCs w:val="18"/>
    </w:rPr>
  </w:style>
  <w:style w:type="table" w:styleId="afb">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7">
    <w:name w:val="xl27"/>
    <w:basedOn w:val="a"/>
    <w:rsid w:val="00ED7F0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kern w:val="0"/>
      <w:sz w:val="20"/>
      <w:szCs w:val="20"/>
    </w:rPr>
  </w:style>
  <w:style w:type="character" w:styleId="afc">
    <w:name w:val="annotation reference"/>
    <w:basedOn w:val="a0"/>
    <w:uiPriority w:val="1"/>
    <w:semiHidden/>
    <w:unhideWhenUsed/>
    <w:rsid w:val="007234F2"/>
    <w:rPr>
      <w:sz w:val="21"/>
      <w:szCs w:val="21"/>
    </w:rPr>
  </w:style>
  <w:style w:type="paragraph" w:styleId="afd">
    <w:name w:val="annotation subject"/>
    <w:basedOn w:val="af8"/>
    <w:next w:val="af8"/>
    <w:link w:val="afe"/>
    <w:uiPriority w:val="1"/>
    <w:semiHidden/>
    <w:unhideWhenUsed/>
    <w:rsid w:val="007234F2"/>
    <w:rPr>
      <w:b/>
      <w:bCs/>
    </w:rPr>
  </w:style>
  <w:style w:type="character" w:customStyle="1" w:styleId="af9">
    <w:name w:val="批注文字 字符"/>
    <w:basedOn w:val="a0"/>
    <w:link w:val="af8"/>
    <w:uiPriority w:val="99"/>
    <w:rsid w:val="007234F2"/>
    <w:rPr>
      <w:kern w:val="2"/>
      <w:sz w:val="21"/>
      <w:szCs w:val="24"/>
    </w:rPr>
  </w:style>
  <w:style w:type="character" w:customStyle="1" w:styleId="afe">
    <w:name w:val="批注主题 字符"/>
    <w:basedOn w:val="af9"/>
    <w:link w:val="afd"/>
    <w:uiPriority w:val="1"/>
    <w:semiHidden/>
    <w:rsid w:val="007234F2"/>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125063">
      <w:bodyDiv w:val="1"/>
      <w:marLeft w:val="0"/>
      <w:marRight w:val="0"/>
      <w:marTop w:val="0"/>
      <w:marBottom w:val="0"/>
      <w:divBdr>
        <w:top w:val="none" w:sz="0" w:space="0" w:color="auto"/>
        <w:left w:val="none" w:sz="0" w:space="0" w:color="auto"/>
        <w:bottom w:val="none" w:sz="0" w:space="0" w:color="auto"/>
        <w:right w:val="none" w:sz="0" w:space="0" w:color="auto"/>
      </w:divBdr>
      <w:divsChild>
        <w:div w:id="441385667">
          <w:marLeft w:val="0"/>
          <w:marRight w:val="0"/>
          <w:marTop w:val="480"/>
          <w:marBottom w:val="0"/>
          <w:divBdr>
            <w:top w:val="none" w:sz="0" w:space="0" w:color="auto"/>
            <w:left w:val="none" w:sz="0" w:space="0" w:color="auto"/>
            <w:bottom w:val="none" w:sz="0" w:space="0" w:color="auto"/>
            <w:right w:val="none" w:sz="0" w:space="0" w:color="auto"/>
          </w:divBdr>
        </w:div>
        <w:div w:id="2114133258">
          <w:marLeft w:val="0"/>
          <w:marRight w:val="0"/>
          <w:marTop w:val="480"/>
          <w:marBottom w:val="0"/>
          <w:divBdr>
            <w:top w:val="none" w:sz="0" w:space="0" w:color="auto"/>
            <w:left w:val="none" w:sz="0" w:space="0" w:color="auto"/>
            <w:bottom w:val="none" w:sz="0" w:space="0" w:color="auto"/>
            <w:right w:val="none" w:sz="0" w:space="0" w:color="auto"/>
          </w:divBdr>
        </w:div>
      </w:divsChild>
    </w:div>
    <w:div w:id="760250175">
      <w:bodyDiv w:val="1"/>
      <w:marLeft w:val="0"/>
      <w:marRight w:val="0"/>
      <w:marTop w:val="0"/>
      <w:marBottom w:val="0"/>
      <w:divBdr>
        <w:top w:val="none" w:sz="0" w:space="0" w:color="auto"/>
        <w:left w:val="none" w:sz="0" w:space="0" w:color="auto"/>
        <w:bottom w:val="none" w:sz="0" w:space="0" w:color="auto"/>
        <w:right w:val="none" w:sz="0" w:space="0" w:color="auto"/>
      </w:divBdr>
    </w:div>
    <w:div w:id="966619636">
      <w:bodyDiv w:val="1"/>
      <w:marLeft w:val="0"/>
      <w:marRight w:val="0"/>
      <w:marTop w:val="0"/>
      <w:marBottom w:val="0"/>
      <w:divBdr>
        <w:top w:val="none" w:sz="0" w:space="0" w:color="auto"/>
        <w:left w:val="none" w:sz="0" w:space="0" w:color="auto"/>
        <w:bottom w:val="none" w:sz="0" w:space="0" w:color="auto"/>
        <w:right w:val="none" w:sz="0" w:space="0" w:color="auto"/>
      </w:divBdr>
    </w:div>
    <w:div w:id="1318074452">
      <w:bodyDiv w:val="1"/>
      <w:marLeft w:val="0"/>
      <w:marRight w:val="0"/>
      <w:marTop w:val="0"/>
      <w:marBottom w:val="0"/>
      <w:divBdr>
        <w:top w:val="none" w:sz="0" w:space="0" w:color="auto"/>
        <w:left w:val="none" w:sz="0" w:space="0" w:color="auto"/>
        <w:bottom w:val="none" w:sz="0" w:space="0" w:color="auto"/>
        <w:right w:val="none" w:sz="0" w:space="0" w:color="auto"/>
      </w:divBdr>
    </w:div>
    <w:div w:id="1769351329">
      <w:bodyDiv w:val="1"/>
      <w:marLeft w:val="0"/>
      <w:marRight w:val="0"/>
      <w:marTop w:val="0"/>
      <w:marBottom w:val="0"/>
      <w:divBdr>
        <w:top w:val="none" w:sz="0" w:space="0" w:color="auto"/>
        <w:left w:val="none" w:sz="0" w:space="0" w:color="auto"/>
        <w:bottom w:val="none" w:sz="0" w:space="0" w:color="auto"/>
        <w:right w:val="none" w:sz="0" w:space="0" w:color="auto"/>
      </w:divBdr>
      <w:divsChild>
        <w:div w:id="1269503490">
          <w:marLeft w:val="0"/>
          <w:marRight w:val="0"/>
          <w:marTop w:val="480"/>
          <w:marBottom w:val="0"/>
          <w:divBdr>
            <w:top w:val="none" w:sz="0" w:space="0" w:color="auto"/>
            <w:left w:val="none" w:sz="0" w:space="0" w:color="auto"/>
            <w:bottom w:val="none" w:sz="0" w:space="0" w:color="auto"/>
            <w:right w:val="none" w:sz="0" w:space="0" w:color="auto"/>
          </w:divBdr>
        </w:div>
        <w:div w:id="1399550315">
          <w:marLeft w:val="0"/>
          <w:marRight w:val="0"/>
          <w:marTop w:val="480"/>
          <w:marBottom w:val="0"/>
          <w:divBdr>
            <w:top w:val="none" w:sz="0" w:space="0" w:color="auto"/>
            <w:left w:val="none" w:sz="0" w:space="0" w:color="auto"/>
            <w:bottom w:val="none" w:sz="0" w:space="0" w:color="auto"/>
            <w:right w:val="none" w:sz="0" w:space="0" w:color="auto"/>
          </w:divBdr>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40</Pages>
  <Words>3341</Words>
  <Characters>19049</Characters>
  <Application>Microsoft Office Word</Application>
  <DocSecurity>0</DocSecurity>
  <PresentationFormat/>
  <Lines>158</Lines>
  <Paragraphs>44</Paragraphs>
  <Slides>0</Slides>
  <Notes>0</Notes>
  <HiddenSlides>0</HiddenSlides>
  <MMClips>0</MMClips>
  <ScaleCrop>false</ScaleCrop>
  <Manager/>
  <Company>微软中国</Company>
  <LinksUpToDate>false</LinksUpToDate>
  <CharactersWithSpaces>22346</CharactersWithSpaces>
  <SharedDoc>false</SharedDoc>
  <HLinks>
    <vt:vector size="150" baseType="variant">
      <vt:variant>
        <vt:i4>1441844</vt:i4>
      </vt:variant>
      <vt:variant>
        <vt:i4>146</vt:i4>
      </vt:variant>
      <vt:variant>
        <vt:i4>0</vt:i4>
      </vt:variant>
      <vt:variant>
        <vt:i4>5</vt:i4>
      </vt:variant>
      <vt:variant>
        <vt:lpwstr/>
      </vt:variant>
      <vt:variant>
        <vt:lpwstr>_Toc174720319</vt:lpwstr>
      </vt:variant>
      <vt:variant>
        <vt:i4>1441844</vt:i4>
      </vt:variant>
      <vt:variant>
        <vt:i4>140</vt:i4>
      </vt:variant>
      <vt:variant>
        <vt:i4>0</vt:i4>
      </vt:variant>
      <vt:variant>
        <vt:i4>5</vt:i4>
      </vt:variant>
      <vt:variant>
        <vt:lpwstr/>
      </vt:variant>
      <vt:variant>
        <vt:lpwstr>_Toc174720318</vt:lpwstr>
      </vt:variant>
      <vt:variant>
        <vt:i4>1441844</vt:i4>
      </vt:variant>
      <vt:variant>
        <vt:i4>134</vt:i4>
      </vt:variant>
      <vt:variant>
        <vt:i4>0</vt:i4>
      </vt:variant>
      <vt:variant>
        <vt:i4>5</vt:i4>
      </vt:variant>
      <vt:variant>
        <vt:lpwstr/>
      </vt:variant>
      <vt:variant>
        <vt:lpwstr>_Toc174720317</vt:lpwstr>
      </vt:variant>
      <vt:variant>
        <vt:i4>1441844</vt:i4>
      </vt:variant>
      <vt:variant>
        <vt:i4>128</vt:i4>
      </vt:variant>
      <vt:variant>
        <vt:i4>0</vt:i4>
      </vt:variant>
      <vt:variant>
        <vt:i4>5</vt:i4>
      </vt:variant>
      <vt:variant>
        <vt:lpwstr/>
      </vt:variant>
      <vt:variant>
        <vt:lpwstr>_Toc174720316</vt:lpwstr>
      </vt:variant>
      <vt:variant>
        <vt:i4>1441844</vt:i4>
      </vt:variant>
      <vt:variant>
        <vt:i4>122</vt:i4>
      </vt:variant>
      <vt:variant>
        <vt:i4>0</vt:i4>
      </vt:variant>
      <vt:variant>
        <vt:i4>5</vt:i4>
      </vt:variant>
      <vt:variant>
        <vt:lpwstr/>
      </vt:variant>
      <vt:variant>
        <vt:lpwstr>_Toc174720315</vt:lpwstr>
      </vt:variant>
      <vt:variant>
        <vt:i4>1441844</vt:i4>
      </vt:variant>
      <vt:variant>
        <vt:i4>116</vt:i4>
      </vt:variant>
      <vt:variant>
        <vt:i4>0</vt:i4>
      </vt:variant>
      <vt:variant>
        <vt:i4>5</vt:i4>
      </vt:variant>
      <vt:variant>
        <vt:lpwstr/>
      </vt:variant>
      <vt:variant>
        <vt:lpwstr>_Toc174720314</vt:lpwstr>
      </vt:variant>
      <vt:variant>
        <vt:i4>1441844</vt:i4>
      </vt:variant>
      <vt:variant>
        <vt:i4>110</vt:i4>
      </vt:variant>
      <vt:variant>
        <vt:i4>0</vt:i4>
      </vt:variant>
      <vt:variant>
        <vt:i4>5</vt:i4>
      </vt:variant>
      <vt:variant>
        <vt:lpwstr/>
      </vt:variant>
      <vt:variant>
        <vt:lpwstr>_Toc174720313</vt:lpwstr>
      </vt:variant>
      <vt:variant>
        <vt:i4>1441844</vt:i4>
      </vt:variant>
      <vt:variant>
        <vt:i4>104</vt:i4>
      </vt:variant>
      <vt:variant>
        <vt:i4>0</vt:i4>
      </vt:variant>
      <vt:variant>
        <vt:i4>5</vt:i4>
      </vt:variant>
      <vt:variant>
        <vt:lpwstr/>
      </vt:variant>
      <vt:variant>
        <vt:lpwstr>_Toc174720312</vt:lpwstr>
      </vt:variant>
      <vt:variant>
        <vt:i4>1441844</vt:i4>
      </vt:variant>
      <vt:variant>
        <vt:i4>98</vt:i4>
      </vt:variant>
      <vt:variant>
        <vt:i4>0</vt:i4>
      </vt:variant>
      <vt:variant>
        <vt:i4>5</vt:i4>
      </vt:variant>
      <vt:variant>
        <vt:lpwstr/>
      </vt:variant>
      <vt:variant>
        <vt:lpwstr>_Toc174720311</vt:lpwstr>
      </vt:variant>
      <vt:variant>
        <vt:i4>1441844</vt:i4>
      </vt:variant>
      <vt:variant>
        <vt:i4>92</vt:i4>
      </vt:variant>
      <vt:variant>
        <vt:i4>0</vt:i4>
      </vt:variant>
      <vt:variant>
        <vt:i4>5</vt:i4>
      </vt:variant>
      <vt:variant>
        <vt:lpwstr/>
      </vt:variant>
      <vt:variant>
        <vt:lpwstr>_Toc174720310</vt:lpwstr>
      </vt:variant>
      <vt:variant>
        <vt:i4>1507380</vt:i4>
      </vt:variant>
      <vt:variant>
        <vt:i4>86</vt:i4>
      </vt:variant>
      <vt:variant>
        <vt:i4>0</vt:i4>
      </vt:variant>
      <vt:variant>
        <vt:i4>5</vt:i4>
      </vt:variant>
      <vt:variant>
        <vt:lpwstr/>
      </vt:variant>
      <vt:variant>
        <vt:lpwstr>_Toc174720309</vt:lpwstr>
      </vt:variant>
      <vt:variant>
        <vt:i4>1507380</vt:i4>
      </vt:variant>
      <vt:variant>
        <vt:i4>80</vt:i4>
      </vt:variant>
      <vt:variant>
        <vt:i4>0</vt:i4>
      </vt:variant>
      <vt:variant>
        <vt:i4>5</vt:i4>
      </vt:variant>
      <vt:variant>
        <vt:lpwstr/>
      </vt:variant>
      <vt:variant>
        <vt:lpwstr>_Toc174720308</vt:lpwstr>
      </vt:variant>
      <vt:variant>
        <vt:i4>1507380</vt:i4>
      </vt:variant>
      <vt:variant>
        <vt:i4>74</vt:i4>
      </vt:variant>
      <vt:variant>
        <vt:i4>0</vt:i4>
      </vt:variant>
      <vt:variant>
        <vt:i4>5</vt:i4>
      </vt:variant>
      <vt:variant>
        <vt:lpwstr/>
      </vt:variant>
      <vt:variant>
        <vt:lpwstr>_Toc174720306</vt:lpwstr>
      </vt:variant>
      <vt:variant>
        <vt:i4>1507380</vt:i4>
      </vt:variant>
      <vt:variant>
        <vt:i4>68</vt:i4>
      </vt:variant>
      <vt:variant>
        <vt:i4>0</vt:i4>
      </vt:variant>
      <vt:variant>
        <vt:i4>5</vt:i4>
      </vt:variant>
      <vt:variant>
        <vt:lpwstr/>
      </vt:variant>
      <vt:variant>
        <vt:lpwstr>_Toc174720305</vt:lpwstr>
      </vt:variant>
      <vt:variant>
        <vt:i4>1507380</vt:i4>
      </vt:variant>
      <vt:variant>
        <vt:i4>62</vt:i4>
      </vt:variant>
      <vt:variant>
        <vt:i4>0</vt:i4>
      </vt:variant>
      <vt:variant>
        <vt:i4>5</vt:i4>
      </vt:variant>
      <vt:variant>
        <vt:lpwstr/>
      </vt:variant>
      <vt:variant>
        <vt:lpwstr>_Toc174720304</vt:lpwstr>
      </vt:variant>
      <vt:variant>
        <vt:i4>1507380</vt:i4>
      </vt:variant>
      <vt:variant>
        <vt:i4>56</vt:i4>
      </vt:variant>
      <vt:variant>
        <vt:i4>0</vt:i4>
      </vt:variant>
      <vt:variant>
        <vt:i4>5</vt:i4>
      </vt:variant>
      <vt:variant>
        <vt:lpwstr/>
      </vt:variant>
      <vt:variant>
        <vt:lpwstr>_Toc174720303</vt:lpwstr>
      </vt:variant>
      <vt:variant>
        <vt:i4>1507380</vt:i4>
      </vt:variant>
      <vt:variant>
        <vt:i4>50</vt:i4>
      </vt:variant>
      <vt:variant>
        <vt:i4>0</vt:i4>
      </vt:variant>
      <vt:variant>
        <vt:i4>5</vt:i4>
      </vt:variant>
      <vt:variant>
        <vt:lpwstr/>
      </vt:variant>
      <vt:variant>
        <vt:lpwstr>_Toc174720302</vt:lpwstr>
      </vt:variant>
      <vt:variant>
        <vt:i4>1507380</vt:i4>
      </vt:variant>
      <vt:variant>
        <vt:i4>44</vt:i4>
      </vt:variant>
      <vt:variant>
        <vt:i4>0</vt:i4>
      </vt:variant>
      <vt:variant>
        <vt:i4>5</vt:i4>
      </vt:variant>
      <vt:variant>
        <vt:lpwstr/>
      </vt:variant>
      <vt:variant>
        <vt:lpwstr>_Toc174720301</vt:lpwstr>
      </vt:variant>
      <vt:variant>
        <vt:i4>1507380</vt:i4>
      </vt:variant>
      <vt:variant>
        <vt:i4>38</vt:i4>
      </vt:variant>
      <vt:variant>
        <vt:i4>0</vt:i4>
      </vt:variant>
      <vt:variant>
        <vt:i4>5</vt:i4>
      </vt:variant>
      <vt:variant>
        <vt:lpwstr/>
      </vt:variant>
      <vt:variant>
        <vt:lpwstr>_Toc174720300</vt:lpwstr>
      </vt:variant>
      <vt:variant>
        <vt:i4>1966133</vt:i4>
      </vt:variant>
      <vt:variant>
        <vt:i4>32</vt:i4>
      </vt:variant>
      <vt:variant>
        <vt:i4>0</vt:i4>
      </vt:variant>
      <vt:variant>
        <vt:i4>5</vt:i4>
      </vt:variant>
      <vt:variant>
        <vt:lpwstr/>
      </vt:variant>
      <vt:variant>
        <vt:lpwstr>_Toc174720299</vt:lpwstr>
      </vt:variant>
      <vt:variant>
        <vt:i4>1966133</vt:i4>
      </vt:variant>
      <vt:variant>
        <vt:i4>26</vt:i4>
      </vt:variant>
      <vt:variant>
        <vt:i4>0</vt:i4>
      </vt:variant>
      <vt:variant>
        <vt:i4>5</vt:i4>
      </vt:variant>
      <vt:variant>
        <vt:lpwstr/>
      </vt:variant>
      <vt:variant>
        <vt:lpwstr>_Toc174720298</vt:lpwstr>
      </vt:variant>
      <vt:variant>
        <vt:i4>1966133</vt:i4>
      </vt:variant>
      <vt:variant>
        <vt:i4>20</vt:i4>
      </vt:variant>
      <vt:variant>
        <vt:i4>0</vt:i4>
      </vt:variant>
      <vt:variant>
        <vt:i4>5</vt:i4>
      </vt:variant>
      <vt:variant>
        <vt:lpwstr/>
      </vt:variant>
      <vt:variant>
        <vt:lpwstr>_Toc174720297</vt:lpwstr>
      </vt:variant>
      <vt:variant>
        <vt:i4>1966133</vt:i4>
      </vt:variant>
      <vt:variant>
        <vt:i4>14</vt:i4>
      </vt:variant>
      <vt:variant>
        <vt:i4>0</vt:i4>
      </vt:variant>
      <vt:variant>
        <vt:i4>5</vt:i4>
      </vt:variant>
      <vt:variant>
        <vt:lpwstr/>
      </vt:variant>
      <vt:variant>
        <vt:lpwstr>_Toc174720294</vt:lpwstr>
      </vt:variant>
      <vt:variant>
        <vt:i4>1966133</vt:i4>
      </vt:variant>
      <vt:variant>
        <vt:i4>8</vt:i4>
      </vt:variant>
      <vt:variant>
        <vt:i4>0</vt:i4>
      </vt:variant>
      <vt:variant>
        <vt:i4>5</vt:i4>
      </vt:variant>
      <vt:variant>
        <vt:lpwstr/>
      </vt:variant>
      <vt:variant>
        <vt:lpwstr>_Toc174720293</vt:lpwstr>
      </vt:variant>
      <vt:variant>
        <vt:i4>1966133</vt:i4>
      </vt:variant>
      <vt:variant>
        <vt:i4>2</vt:i4>
      </vt:variant>
      <vt:variant>
        <vt:i4>0</vt:i4>
      </vt:variant>
      <vt:variant>
        <vt:i4>5</vt:i4>
      </vt:variant>
      <vt:variant>
        <vt:lpwstr/>
      </vt:variant>
      <vt:variant>
        <vt:lpwstr>_Toc174720292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北京市大兴区亦庄新城X1-1A组团B03R1-1、B03R1-12地块配建</dc:title>
  <dc:subject/>
  <dc:creator>USER</dc:creator>
  <cp:keywords/>
  <dc:description/>
  <cp:lastModifiedBy>Administrator</cp:lastModifiedBy>
  <cp:revision>4</cp:revision>
  <cp:lastPrinted>2017-10-17T09:30:00Z</cp:lastPrinted>
  <dcterms:created xsi:type="dcterms:W3CDTF">2024-08-19T15:11:00Z</dcterms:created>
  <dcterms:modified xsi:type="dcterms:W3CDTF">2024-08-20T07:31:00Z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