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2F660" w14:textId="77777777" w:rsidR="00AD1A0A" w:rsidRDefault="00C35D7A">
      <w:pPr>
        <w:jc w:val="center"/>
        <w:rPr>
          <w:b/>
          <w:bCs/>
          <w:sz w:val="32"/>
          <w:szCs w:val="32"/>
        </w:rPr>
      </w:pPr>
      <w:r>
        <w:rPr>
          <w:rFonts w:hint="eastAsia"/>
          <w:b/>
          <w:bCs/>
          <w:sz w:val="32"/>
          <w:szCs w:val="32"/>
        </w:rPr>
        <w:t>说</w:t>
      </w:r>
      <w:r>
        <w:rPr>
          <w:rFonts w:hint="eastAsia"/>
          <w:b/>
          <w:bCs/>
          <w:sz w:val="32"/>
          <w:szCs w:val="32"/>
        </w:rPr>
        <w:t xml:space="preserve">  </w:t>
      </w:r>
      <w:r>
        <w:rPr>
          <w:rFonts w:hint="eastAsia"/>
          <w:b/>
          <w:bCs/>
          <w:sz w:val="32"/>
          <w:szCs w:val="32"/>
        </w:rPr>
        <w:t>明</w:t>
      </w:r>
    </w:p>
    <w:p w14:paraId="0673168D" w14:textId="77777777" w:rsidR="00AD1A0A" w:rsidRDefault="00C35D7A">
      <w:pPr>
        <w:spacing w:line="480" w:lineRule="auto"/>
        <w:rPr>
          <w:rFonts w:ascii="Arial" w:hAnsi="Arial" w:cs="Arial"/>
          <w:b/>
          <w:sz w:val="24"/>
        </w:rPr>
      </w:pPr>
      <w:r>
        <w:rPr>
          <w:rFonts w:ascii="Arial" w:hAnsi="Arial" w:cs="Arial" w:hint="eastAsia"/>
          <w:b/>
          <w:sz w:val="24"/>
        </w:rPr>
        <w:t>上海浦东发展银行股份有限公司北京丰台支行：</w:t>
      </w:r>
    </w:p>
    <w:p w14:paraId="7AF77D27" w14:textId="1B507F96" w:rsidR="00AD1A0A" w:rsidRDefault="00C35D7A">
      <w:pPr>
        <w:spacing w:line="480" w:lineRule="auto"/>
        <w:ind w:firstLineChars="200" w:firstLine="420"/>
        <w:rPr>
          <w:rFonts w:ascii="Arial" w:hAnsi="Arial" w:cs="Arial"/>
          <w:szCs w:val="21"/>
        </w:rPr>
      </w:pPr>
      <w:r>
        <w:rPr>
          <w:rFonts w:ascii="Arial" w:hAnsi="Arial" w:cs="Arial"/>
          <w:szCs w:val="21"/>
        </w:rPr>
        <w:t>受贵</w:t>
      </w:r>
      <w:r>
        <w:rPr>
          <w:rFonts w:ascii="Arial" w:hAnsi="Arial" w:cs="Arial" w:hint="eastAsia"/>
          <w:szCs w:val="21"/>
        </w:rPr>
        <w:t>行</w:t>
      </w:r>
      <w:r>
        <w:rPr>
          <w:rFonts w:ascii="Arial" w:hAnsi="Arial" w:cs="Arial"/>
          <w:szCs w:val="21"/>
        </w:rPr>
        <w:t>委托，我公司对</w:t>
      </w:r>
      <w:r>
        <w:rPr>
          <w:rFonts w:ascii="Arial" w:hAnsi="Arial" w:cs="Arial" w:hint="eastAsia"/>
          <w:szCs w:val="21"/>
        </w:rPr>
        <w:t>北京市顺义区北务镇龙塘路南侧顺义北务科技产业基地用房分摊出让国有建设用地使用权及在建建筑物房地产</w:t>
      </w:r>
      <w:r>
        <w:rPr>
          <w:rFonts w:ascii="Arial" w:hAnsi="Arial" w:cs="Arial"/>
          <w:szCs w:val="21"/>
        </w:rPr>
        <w:t>抵押价值进行了评估</w:t>
      </w:r>
      <w:r>
        <w:rPr>
          <w:rFonts w:ascii="Arial" w:hAnsi="Arial" w:cs="Arial" w:hint="eastAsia"/>
          <w:szCs w:val="21"/>
        </w:rPr>
        <w:t>，价值时点</w:t>
      </w:r>
      <w:r>
        <w:rPr>
          <w:rFonts w:ascii="Arial" w:hAnsi="Arial" w:cs="Arial" w:hint="eastAsia"/>
          <w:szCs w:val="21"/>
        </w:rPr>
        <w:t>为</w:t>
      </w:r>
      <w:r>
        <w:rPr>
          <w:rFonts w:ascii="Arial" w:hAnsi="Arial" w:cs="Arial" w:hint="eastAsia"/>
          <w:szCs w:val="21"/>
        </w:rPr>
        <w:t>2026</w:t>
      </w:r>
      <w:r>
        <w:rPr>
          <w:rFonts w:ascii="Arial" w:hAnsi="Arial" w:cs="Arial" w:hint="eastAsia"/>
          <w:szCs w:val="21"/>
        </w:rPr>
        <w:t>年</w:t>
      </w:r>
      <w:r>
        <w:rPr>
          <w:rFonts w:ascii="Arial" w:hAnsi="Arial" w:cs="Arial" w:hint="eastAsia"/>
          <w:szCs w:val="21"/>
        </w:rPr>
        <w:t>2</w:t>
      </w:r>
      <w:r>
        <w:rPr>
          <w:rFonts w:ascii="Arial" w:hAnsi="Arial" w:cs="Arial" w:hint="eastAsia"/>
          <w:szCs w:val="21"/>
        </w:rPr>
        <w:t>月</w:t>
      </w:r>
      <w:r>
        <w:rPr>
          <w:rFonts w:ascii="Arial" w:hAnsi="Arial" w:cs="Arial" w:hint="eastAsia"/>
          <w:szCs w:val="21"/>
        </w:rPr>
        <w:t>11</w:t>
      </w:r>
      <w:r>
        <w:rPr>
          <w:rFonts w:ascii="Arial" w:hAnsi="Arial" w:cs="Arial" w:hint="eastAsia"/>
          <w:szCs w:val="21"/>
        </w:rPr>
        <w:t>日，</w:t>
      </w:r>
      <w:r>
        <w:rPr>
          <w:rFonts w:ascii="Arial" w:hAnsi="Arial" w:cs="Arial" w:hint="eastAsia"/>
          <w:szCs w:val="21"/>
        </w:rPr>
        <w:t>报告编号为：康正评字</w:t>
      </w:r>
      <w:r>
        <w:rPr>
          <w:rFonts w:ascii="Arial" w:hAnsi="Arial" w:cs="Arial" w:hint="eastAsia"/>
          <w:szCs w:val="21"/>
        </w:rPr>
        <w:t>2026-1-0094-F01DYGJ2</w:t>
      </w:r>
      <w:r>
        <w:rPr>
          <w:rFonts w:ascii="Arial" w:hAnsi="Arial" w:cs="Arial" w:hint="eastAsia"/>
          <w:szCs w:val="21"/>
        </w:rPr>
        <w:t>号，报告出具日为</w:t>
      </w:r>
      <w:r>
        <w:rPr>
          <w:rFonts w:ascii="Arial" w:hAnsi="Arial" w:cs="Arial" w:hint="eastAsia"/>
          <w:szCs w:val="21"/>
        </w:rPr>
        <w:t>2026</w:t>
      </w:r>
      <w:r>
        <w:rPr>
          <w:rFonts w:ascii="Arial" w:hAnsi="Arial" w:cs="Arial" w:hint="eastAsia"/>
          <w:szCs w:val="21"/>
        </w:rPr>
        <w:t>年</w:t>
      </w:r>
      <w:r>
        <w:rPr>
          <w:rFonts w:ascii="Arial" w:hAnsi="Arial" w:cs="Arial" w:hint="eastAsia"/>
          <w:szCs w:val="21"/>
        </w:rPr>
        <w:t>2</w:t>
      </w:r>
      <w:r>
        <w:rPr>
          <w:rFonts w:ascii="Arial" w:hAnsi="Arial" w:cs="Arial" w:hint="eastAsia"/>
          <w:szCs w:val="21"/>
        </w:rPr>
        <w:t>月</w:t>
      </w:r>
      <w:r>
        <w:rPr>
          <w:rFonts w:ascii="Arial" w:hAnsi="Arial" w:cs="Arial" w:hint="eastAsia"/>
          <w:szCs w:val="21"/>
        </w:rPr>
        <w:t>28</w:t>
      </w:r>
      <w:r>
        <w:rPr>
          <w:rFonts w:ascii="Arial" w:hAnsi="Arial" w:cs="Arial" w:hint="eastAsia"/>
          <w:szCs w:val="21"/>
        </w:rPr>
        <w:t>日。</w:t>
      </w:r>
    </w:p>
    <w:p w14:paraId="269400C9" w14:textId="2BA5F5E8" w:rsidR="00AD1A0A" w:rsidRDefault="00C35D7A">
      <w:pPr>
        <w:spacing w:line="480" w:lineRule="auto"/>
        <w:ind w:firstLineChars="200" w:firstLine="420"/>
        <w:rPr>
          <w:rFonts w:ascii="Arial" w:hAnsi="Arial" w:cs="Arial"/>
          <w:szCs w:val="21"/>
        </w:rPr>
      </w:pPr>
      <w:r>
        <w:rPr>
          <w:rFonts w:ascii="Arial" w:hAnsi="Arial" w:cs="Arial" w:hint="eastAsia"/>
          <w:szCs w:val="21"/>
        </w:rPr>
        <w:t>后经不动产权利人介绍及提供</w:t>
      </w:r>
      <w:r>
        <w:rPr>
          <w:rFonts w:ascii="Arial" w:hAnsi="Arial" w:cs="Arial" w:hint="eastAsia"/>
          <w:szCs w:val="21"/>
        </w:rPr>
        <w:t>《情况说明》，本项目产权人</w:t>
      </w:r>
      <w:r>
        <w:rPr>
          <w:rFonts w:ascii="Arial" w:hAnsi="Arial" w:cs="Arial" w:hint="eastAsia"/>
          <w:szCs w:val="21"/>
        </w:rPr>
        <w:t>为普洛斯集团下属项目公司，主要负责本项目的建设及运营，未来运营方向为物流产业园；</w:t>
      </w:r>
      <w:r>
        <w:rPr>
          <w:rFonts w:ascii="Arial" w:hAnsi="Arial" w:cs="Arial" w:hint="eastAsia"/>
          <w:szCs w:val="21"/>
        </w:rPr>
        <w:t>普洛斯集团在顺义的存量同类</w:t>
      </w:r>
      <w:r>
        <w:rPr>
          <w:rFonts w:ascii="Arial" w:hAnsi="Arial" w:cs="Arial" w:hint="eastAsia"/>
          <w:szCs w:val="21"/>
        </w:rPr>
        <w:t>项目有</w:t>
      </w:r>
      <w:r>
        <w:rPr>
          <w:rFonts w:ascii="Arial" w:hAnsi="Arial" w:cs="Arial" w:hint="eastAsia"/>
          <w:szCs w:val="21"/>
        </w:rPr>
        <w:t>4</w:t>
      </w:r>
      <w:r>
        <w:rPr>
          <w:rFonts w:ascii="Arial" w:hAnsi="Arial" w:cs="Arial" w:hint="eastAsia"/>
          <w:szCs w:val="21"/>
        </w:rPr>
        <w:t>个，出租率均在</w:t>
      </w:r>
      <w:r>
        <w:rPr>
          <w:rFonts w:ascii="Arial" w:hAnsi="Arial" w:cs="Arial" w:hint="eastAsia"/>
          <w:szCs w:val="21"/>
        </w:rPr>
        <w:t>90%</w:t>
      </w:r>
      <w:r>
        <w:rPr>
          <w:rFonts w:ascii="Arial" w:hAnsi="Arial" w:cs="Arial" w:hint="eastAsia"/>
          <w:szCs w:val="21"/>
        </w:rPr>
        <w:t>以上，平均租金在</w:t>
      </w:r>
      <w:r>
        <w:rPr>
          <w:rFonts w:ascii="Arial" w:hAnsi="Arial" w:cs="Arial" w:hint="eastAsia"/>
          <w:szCs w:val="21"/>
        </w:rPr>
        <w:t>2</w:t>
      </w:r>
      <w:r>
        <w:rPr>
          <w:rFonts w:ascii="Arial" w:hAnsi="Arial" w:cs="Arial" w:hint="eastAsia"/>
          <w:szCs w:val="21"/>
        </w:rPr>
        <w:t>元</w:t>
      </w:r>
      <w:r>
        <w:rPr>
          <w:rFonts w:ascii="Arial" w:hAnsi="Arial" w:cs="Arial" w:hint="eastAsia"/>
          <w:szCs w:val="21"/>
        </w:rPr>
        <w:t>/</w:t>
      </w:r>
      <w:r>
        <w:rPr>
          <w:rFonts w:ascii="Arial" w:hAnsi="Arial" w:cs="Arial" w:hint="eastAsia"/>
          <w:szCs w:val="21"/>
        </w:rPr>
        <w:t>平方米·天以上，每年平均增长率在</w:t>
      </w:r>
      <w:r>
        <w:rPr>
          <w:rFonts w:ascii="Arial" w:hAnsi="Arial" w:cs="Arial" w:hint="eastAsia"/>
          <w:szCs w:val="21"/>
        </w:rPr>
        <w:t>5%</w:t>
      </w:r>
      <w:r>
        <w:rPr>
          <w:rFonts w:ascii="Arial" w:hAnsi="Arial" w:cs="Arial" w:hint="eastAsia"/>
          <w:szCs w:val="21"/>
        </w:rPr>
        <w:t>以上，运营情况较为稳定。</w:t>
      </w:r>
    </w:p>
    <w:p w14:paraId="724B647E" w14:textId="08A9E89C" w:rsidR="00AD1A0A" w:rsidRDefault="00C35D7A">
      <w:pPr>
        <w:spacing w:line="480" w:lineRule="auto"/>
        <w:ind w:firstLineChars="200" w:firstLine="420"/>
        <w:rPr>
          <w:rFonts w:ascii="Arial" w:hAnsi="Arial" w:cs="Arial"/>
          <w:szCs w:val="21"/>
        </w:rPr>
      </w:pPr>
      <w:r>
        <w:rPr>
          <w:rFonts w:ascii="Arial" w:hAnsi="Arial" w:cs="Arial" w:hint="eastAsia"/>
          <w:szCs w:val="21"/>
        </w:rPr>
        <w:t>基于不动产权利人补充提供的同类项目运营数据与市场调查</w:t>
      </w:r>
      <w:r>
        <w:rPr>
          <w:rFonts w:ascii="Arial" w:hAnsi="Arial" w:cs="Arial" w:hint="eastAsia"/>
          <w:szCs w:val="21"/>
        </w:rPr>
        <w:t>，我公司对估价对象进行了补充评估，出具调整后</w:t>
      </w:r>
      <w:r>
        <w:rPr>
          <w:rFonts w:ascii="Arial" w:hAnsi="Arial" w:cs="Arial" w:hint="eastAsia"/>
          <w:szCs w:val="21"/>
        </w:rPr>
        <w:t>报告，调整</w:t>
      </w:r>
      <w:r>
        <w:rPr>
          <w:rFonts w:ascii="Arial" w:hAnsi="Arial" w:cs="Arial" w:hint="eastAsia"/>
          <w:szCs w:val="21"/>
        </w:rPr>
        <w:t>价值时点</w:t>
      </w:r>
      <w:r>
        <w:rPr>
          <w:rFonts w:ascii="Arial" w:hAnsi="Arial" w:cs="Arial" w:hint="eastAsia"/>
          <w:szCs w:val="21"/>
        </w:rPr>
        <w:t>为</w:t>
      </w:r>
      <w:r>
        <w:rPr>
          <w:rFonts w:ascii="Arial" w:hAnsi="Arial" w:cs="Arial" w:hint="eastAsia"/>
          <w:szCs w:val="21"/>
        </w:rPr>
        <w:t>2026</w:t>
      </w:r>
      <w:r>
        <w:rPr>
          <w:rFonts w:ascii="Arial" w:hAnsi="Arial" w:cs="Arial" w:hint="eastAsia"/>
          <w:szCs w:val="21"/>
        </w:rPr>
        <w:t>年</w:t>
      </w:r>
      <w:r>
        <w:rPr>
          <w:rFonts w:ascii="Arial" w:hAnsi="Arial" w:cs="Arial" w:hint="eastAsia"/>
          <w:szCs w:val="21"/>
        </w:rPr>
        <w:t>3</w:t>
      </w:r>
      <w:r>
        <w:rPr>
          <w:rFonts w:ascii="Arial" w:hAnsi="Arial" w:cs="Arial" w:hint="eastAsia"/>
          <w:szCs w:val="21"/>
        </w:rPr>
        <w:t>月</w:t>
      </w:r>
      <w:r>
        <w:rPr>
          <w:rFonts w:ascii="Arial" w:hAnsi="Arial" w:cs="Arial" w:hint="eastAsia"/>
          <w:szCs w:val="21"/>
        </w:rPr>
        <w:t>11</w:t>
      </w:r>
      <w:r>
        <w:rPr>
          <w:rFonts w:ascii="Arial" w:hAnsi="Arial" w:cs="Arial" w:hint="eastAsia"/>
          <w:szCs w:val="21"/>
        </w:rPr>
        <w:t>日，</w:t>
      </w:r>
      <w:r>
        <w:rPr>
          <w:rFonts w:ascii="Arial" w:hAnsi="Arial" w:cs="Arial" w:hint="eastAsia"/>
          <w:szCs w:val="21"/>
        </w:rPr>
        <w:t>报告编号为：康正评字</w:t>
      </w:r>
      <w:r>
        <w:rPr>
          <w:rFonts w:ascii="Arial" w:hAnsi="Arial" w:cs="Arial" w:hint="eastAsia"/>
          <w:szCs w:val="21"/>
        </w:rPr>
        <w:t>2026-1-0094-F02DYGJ2</w:t>
      </w:r>
      <w:r>
        <w:rPr>
          <w:rFonts w:ascii="Arial" w:hAnsi="Arial" w:cs="Arial" w:hint="eastAsia"/>
          <w:szCs w:val="21"/>
        </w:rPr>
        <w:t>号，报告出具日为</w:t>
      </w:r>
      <w:r>
        <w:rPr>
          <w:rFonts w:ascii="Arial" w:hAnsi="Arial" w:cs="Arial" w:hint="eastAsia"/>
          <w:szCs w:val="21"/>
        </w:rPr>
        <w:t>2026</w:t>
      </w:r>
      <w:r>
        <w:rPr>
          <w:rFonts w:ascii="Arial" w:hAnsi="Arial" w:cs="Arial" w:hint="eastAsia"/>
          <w:szCs w:val="21"/>
        </w:rPr>
        <w:t>年</w:t>
      </w:r>
      <w:r>
        <w:rPr>
          <w:rFonts w:ascii="Arial" w:hAnsi="Arial" w:cs="Arial" w:hint="eastAsia"/>
          <w:szCs w:val="21"/>
        </w:rPr>
        <w:t>3</w:t>
      </w:r>
      <w:r>
        <w:rPr>
          <w:rFonts w:ascii="Arial" w:hAnsi="Arial" w:cs="Arial" w:hint="eastAsia"/>
          <w:szCs w:val="21"/>
        </w:rPr>
        <w:t>月</w:t>
      </w:r>
      <w:r>
        <w:rPr>
          <w:rFonts w:ascii="Arial" w:hAnsi="Arial" w:cs="Arial" w:hint="eastAsia"/>
          <w:szCs w:val="21"/>
        </w:rPr>
        <w:t>17</w:t>
      </w:r>
      <w:r>
        <w:rPr>
          <w:rFonts w:ascii="Arial" w:hAnsi="Arial" w:cs="Arial" w:hint="eastAsia"/>
          <w:szCs w:val="21"/>
        </w:rPr>
        <w:t>日。</w:t>
      </w:r>
    </w:p>
    <w:p w14:paraId="05D280F0" w14:textId="05E06746" w:rsidR="00AD1A0A" w:rsidRDefault="00C35D7A">
      <w:pPr>
        <w:spacing w:line="480" w:lineRule="auto"/>
        <w:ind w:firstLineChars="200" w:firstLine="420"/>
        <w:rPr>
          <w:rFonts w:ascii="Arial" w:hAnsi="Arial" w:cs="Arial"/>
          <w:szCs w:val="21"/>
        </w:rPr>
      </w:pPr>
      <w:r>
        <w:rPr>
          <w:rFonts w:ascii="Arial" w:hAnsi="Arial" w:cs="Arial" w:hint="eastAsia"/>
          <w:szCs w:val="21"/>
        </w:rPr>
        <w:t>本次价值差异主要系评估参数</w:t>
      </w:r>
      <w:r>
        <w:rPr>
          <w:rFonts w:ascii="Arial" w:hAnsi="Arial" w:cs="Arial" w:hint="eastAsia"/>
          <w:szCs w:val="21"/>
        </w:rPr>
        <w:t>调整所致：一是空置率取值由</w:t>
      </w:r>
      <w:r>
        <w:rPr>
          <w:rFonts w:ascii="Arial" w:hAnsi="Arial" w:cs="Arial" w:hint="eastAsia"/>
          <w:szCs w:val="21"/>
        </w:rPr>
        <w:t>15%</w:t>
      </w:r>
      <w:r>
        <w:rPr>
          <w:rFonts w:ascii="Arial" w:hAnsi="Arial" w:cs="Arial" w:hint="eastAsia"/>
          <w:szCs w:val="21"/>
        </w:rPr>
        <w:t>调整为</w:t>
      </w:r>
      <w:r>
        <w:rPr>
          <w:rFonts w:ascii="Arial" w:hAnsi="Arial" w:cs="Arial" w:hint="eastAsia"/>
          <w:szCs w:val="21"/>
        </w:rPr>
        <w:t>10%</w:t>
      </w:r>
      <w:r>
        <w:rPr>
          <w:rFonts w:ascii="Arial" w:hAnsi="Arial" w:cs="Arial" w:hint="eastAsia"/>
          <w:szCs w:val="21"/>
        </w:rPr>
        <w:t>。</w:t>
      </w:r>
      <w:r>
        <w:rPr>
          <w:rFonts w:ascii="Arial" w:hAnsi="Arial" w:cs="Arial" w:hint="eastAsia"/>
          <w:szCs w:val="21"/>
        </w:rPr>
        <w:t>首次评估时，因不动产权利人尚未提供其同类</w:t>
      </w:r>
      <w:r>
        <w:rPr>
          <w:rFonts w:ascii="Arial" w:hAnsi="Arial" w:cs="Arial" w:hint="eastAsia"/>
          <w:szCs w:val="21"/>
        </w:rPr>
        <w:t>项目运营数据，空置率参考区域工业项目平均水平取值；补充评估时，结合权利人提供的顺义区</w:t>
      </w:r>
      <w:r>
        <w:rPr>
          <w:rFonts w:ascii="Arial" w:hAnsi="Arial" w:cs="Arial" w:hint="eastAsia"/>
          <w:szCs w:val="21"/>
        </w:rPr>
        <w:t xml:space="preserve"> 4 </w:t>
      </w:r>
      <w:r>
        <w:rPr>
          <w:rFonts w:ascii="Arial" w:hAnsi="Arial" w:cs="Arial" w:hint="eastAsia"/>
          <w:szCs w:val="21"/>
        </w:rPr>
        <w:t>个存量同类</w:t>
      </w:r>
      <w:r>
        <w:rPr>
          <w:rFonts w:ascii="Arial" w:hAnsi="Arial" w:cs="Arial" w:hint="eastAsia"/>
          <w:szCs w:val="21"/>
        </w:rPr>
        <w:t>项目</w:t>
      </w:r>
      <w:r>
        <w:rPr>
          <w:rFonts w:ascii="Arial" w:hAnsi="Arial" w:cs="Arial" w:hint="eastAsia"/>
          <w:szCs w:val="21"/>
        </w:rPr>
        <w:t xml:space="preserve"> 90% </w:t>
      </w:r>
      <w:r>
        <w:rPr>
          <w:rFonts w:ascii="Arial" w:hAnsi="Arial" w:cs="Arial" w:hint="eastAsia"/>
          <w:szCs w:val="21"/>
        </w:rPr>
        <w:t>以上的高出租率运营情况，充分考虑其运营管理能力，同时兼顾估价对象未来作为物流产业园的运营预期，综合确定空置率为</w:t>
      </w:r>
      <w:r>
        <w:rPr>
          <w:rFonts w:ascii="Arial" w:hAnsi="Arial" w:cs="Arial" w:hint="eastAsia"/>
          <w:szCs w:val="21"/>
        </w:rPr>
        <w:t xml:space="preserve"> 10%</w:t>
      </w:r>
      <w:r>
        <w:rPr>
          <w:rFonts w:ascii="Arial" w:hAnsi="Arial" w:cs="Arial" w:hint="eastAsia"/>
          <w:szCs w:val="21"/>
        </w:rPr>
        <w:t>；二是收益增长率取值由</w:t>
      </w:r>
      <w:r>
        <w:rPr>
          <w:rFonts w:ascii="Arial" w:hAnsi="Arial" w:cs="Arial" w:hint="eastAsia"/>
          <w:szCs w:val="21"/>
        </w:rPr>
        <w:t>1%</w:t>
      </w:r>
      <w:r>
        <w:rPr>
          <w:rFonts w:ascii="Arial" w:hAnsi="Arial" w:cs="Arial" w:hint="eastAsia"/>
          <w:szCs w:val="21"/>
        </w:rPr>
        <w:t>调整为</w:t>
      </w:r>
      <w:r>
        <w:rPr>
          <w:rFonts w:ascii="Arial" w:hAnsi="Arial" w:cs="Arial" w:hint="eastAsia"/>
          <w:szCs w:val="21"/>
        </w:rPr>
        <w:t>1.5%</w:t>
      </w:r>
      <w:r>
        <w:rPr>
          <w:rFonts w:ascii="Arial" w:hAnsi="Arial" w:cs="Arial" w:hint="eastAsia"/>
          <w:szCs w:val="21"/>
        </w:rPr>
        <w:t>。</w:t>
      </w:r>
      <w:r>
        <w:rPr>
          <w:rFonts w:ascii="Arial" w:hAnsi="Arial" w:cs="Arial" w:hint="eastAsia"/>
          <w:szCs w:val="21"/>
        </w:rPr>
        <w:t>首次评估主要参考区域工业项目平均增长率</w:t>
      </w:r>
      <w:r>
        <w:rPr>
          <w:rFonts w:ascii="Arial" w:hAnsi="Arial" w:cs="Arial" w:hint="eastAsia"/>
          <w:szCs w:val="21"/>
        </w:rPr>
        <w:t>测算，补充评估时，结合普洛斯集团同类项目收益</w:t>
      </w:r>
      <w:r>
        <w:rPr>
          <w:rFonts w:ascii="Arial" w:hAnsi="Arial" w:cs="Arial" w:hint="eastAsia"/>
          <w:szCs w:val="21"/>
        </w:rPr>
        <w:t>增长水平，同时综合考量估价对象的区位条件、周边租赁市场供需状况及未来物流</w:t>
      </w:r>
      <w:r>
        <w:rPr>
          <w:rFonts w:ascii="Arial" w:hAnsi="Arial" w:cs="Arial" w:hint="eastAsia"/>
          <w:szCs w:val="21"/>
        </w:rPr>
        <w:t>产业发展趋势，合理确定收益增长率为</w:t>
      </w:r>
      <w:r>
        <w:rPr>
          <w:rFonts w:ascii="Arial" w:hAnsi="Arial" w:cs="Arial" w:hint="eastAsia"/>
          <w:szCs w:val="21"/>
        </w:rPr>
        <w:t xml:space="preserve"> 1.5%</w:t>
      </w:r>
      <w:r>
        <w:rPr>
          <w:rFonts w:ascii="Arial" w:hAnsi="Arial" w:cs="Arial" w:hint="eastAsia"/>
          <w:szCs w:val="21"/>
        </w:rPr>
        <w:t>。</w:t>
      </w:r>
    </w:p>
    <w:p w14:paraId="46614D10" w14:textId="250EB467" w:rsidR="00AD1A0A" w:rsidRDefault="00C35D7A">
      <w:pPr>
        <w:spacing w:line="480" w:lineRule="auto"/>
        <w:ind w:firstLineChars="200" w:firstLine="420"/>
        <w:rPr>
          <w:rFonts w:ascii="Arial" w:hAnsi="Arial" w:cs="Arial"/>
          <w:szCs w:val="21"/>
        </w:rPr>
      </w:pPr>
      <w:r>
        <w:rPr>
          <w:rFonts w:ascii="Arial" w:hAnsi="Arial" w:cs="Arial" w:hint="eastAsia"/>
          <w:szCs w:val="21"/>
        </w:rPr>
        <w:t>补充</w:t>
      </w:r>
      <w:r>
        <w:rPr>
          <w:rFonts w:ascii="Arial" w:hAnsi="Arial" w:cs="Arial" w:hint="eastAsia"/>
          <w:szCs w:val="21"/>
        </w:rPr>
        <w:t>评估参数取值</w:t>
      </w:r>
      <w:r>
        <w:rPr>
          <w:rFonts w:ascii="Arial" w:hAnsi="Arial" w:cs="Arial" w:hint="eastAsia"/>
          <w:szCs w:val="21"/>
        </w:rPr>
        <w:t>依据更充分、</w:t>
      </w:r>
      <w:bookmarkStart w:id="0" w:name="_GoBack"/>
      <w:bookmarkEnd w:id="0"/>
      <w:r>
        <w:rPr>
          <w:rFonts w:ascii="Arial" w:hAnsi="Arial" w:cs="Arial" w:hint="eastAsia"/>
          <w:szCs w:val="21"/>
        </w:rPr>
        <w:t>更贴合项目预测</w:t>
      </w:r>
      <w:r>
        <w:rPr>
          <w:rFonts w:ascii="Arial" w:hAnsi="Arial" w:cs="Arial" w:hint="eastAsia"/>
          <w:szCs w:val="21"/>
        </w:rPr>
        <w:t>运营情况，两次评估结果存在一定</w:t>
      </w:r>
      <w:r>
        <w:rPr>
          <w:rFonts w:ascii="Arial" w:hAnsi="Arial" w:cs="Arial" w:hint="eastAsia"/>
          <w:szCs w:val="21"/>
        </w:rPr>
        <w:t>差异，</w:t>
      </w:r>
      <w:r>
        <w:rPr>
          <w:rFonts w:ascii="Arial" w:hAnsi="Arial" w:cs="Arial" w:hint="eastAsia"/>
          <w:szCs w:val="21"/>
        </w:rPr>
        <w:t>均在合理范围内，特此说明。</w:t>
      </w:r>
    </w:p>
    <w:p w14:paraId="57A8BEB8" w14:textId="77777777" w:rsidR="00AD1A0A" w:rsidRDefault="00C35D7A">
      <w:pPr>
        <w:spacing w:line="480" w:lineRule="auto"/>
        <w:ind w:firstLineChars="200" w:firstLine="420"/>
        <w:jc w:val="right"/>
        <w:rPr>
          <w:rFonts w:ascii="Arial" w:hAnsi="Arial" w:cs="Arial"/>
          <w:szCs w:val="21"/>
        </w:rPr>
      </w:pPr>
      <w:r>
        <w:rPr>
          <w:rFonts w:ascii="Arial" w:hAnsi="Arial" w:cs="Arial"/>
          <w:szCs w:val="21"/>
        </w:rPr>
        <w:t>北京康正宏基房地产评估有限公司</w:t>
      </w:r>
    </w:p>
    <w:p w14:paraId="0517F115" w14:textId="77777777" w:rsidR="00AD1A0A" w:rsidRDefault="00C35D7A">
      <w:pPr>
        <w:spacing w:line="480" w:lineRule="auto"/>
        <w:ind w:firstLineChars="200" w:firstLine="420"/>
        <w:jc w:val="right"/>
        <w:rPr>
          <w:rFonts w:ascii="Arial" w:hAnsi="Arial" w:cs="Arial"/>
          <w:szCs w:val="21"/>
        </w:rPr>
      </w:pPr>
      <w:r>
        <w:rPr>
          <w:rFonts w:ascii="Arial" w:hAnsi="Arial" w:cs="Arial"/>
          <w:szCs w:val="21"/>
        </w:rPr>
        <w:t>二</w:t>
      </w:r>
      <w:r>
        <w:rPr>
          <w:rFonts w:ascii="Arial" w:hAnsi="Arial" w:cs="Arial" w:hint="eastAsia"/>
          <w:szCs w:val="21"/>
        </w:rPr>
        <w:t>○二六</w:t>
      </w:r>
      <w:r>
        <w:rPr>
          <w:rFonts w:ascii="Arial" w:hAnsi="Arial" w:cs="Arial"/>
          <w:szCs w:val="21"/>
        </w:rPr>
        <w:t>年</w:t>
      </w:r>
      <w:r>
        <w:rPr>
          <w:rFonts w:ascii="Arial" w:hAnsi="Arial" w:cs="Arial" w:hint="eastAsia"/>
          <w:szCs w:val="21"/>
        </w:rPr>
        <w:t>三月三十日</w:t>
      </w:r>
    </w:p>
    <w:sectPr w:rsidR="00AD1A0A">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0A"/>
    <w:rsid w:val="00AD1A0A"/>
    <w:rsid w:val="00C35D7A"/>
    <w:rsid w:val="0FDB78DE"/>
    <w:rsid w:val="1A276D66"/>
    <w:rsid w:val="3E5D0837"/>
    <w:rsid w:val="4AE250D8"/>
    <w:rsid w:val="63152124"/>
    <w:rsid w:val="6F1E2321"/>
    <w:rsid w:val="6F3F1180"/>
    <w:rsid w:val="79750BA9"/>
    <w:rsid w:val="7D286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117</Words>
  <Characters>672</Characters>
  <Application>Microsoft Office Word</Application>
  <DocSecurity>0</DocSecurity>
  <Lines>5</Lines>
  <Paragraphs>1</Paragraphs>
  <ScaleCrop>false</ScaleCrop>
  <Company>Microsoft</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WEI</cp:lastModifiedBy>
  <cp:revision>3</cp:revision>
  <cp:lastPrinted>2026-03-30T08:48:00Z</cp:lastPrinted>
  <dcterms:created xsi:type="dcterms:W3CDTF">2026-03-30T06:03:00Z</dcterms:created>
  <dcterms:modified xsi:type="dcterms:W3CDTF">2026-03-31T03:39:00Z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eyJoZGlkIjoiYjk4YTgzYjlhMmFlZWExMDg3YjYzYmZhM2YyMTliNGIiLCJ1c2VySWQiOiIxNDY1MTE2MjA1In0=</vt:lpwstr>
  </property>
  <property fmtid="{D5CDD505-2E9C-101B-9397-08002B2CF9AE}" pid="4" name="ICV">
    <vt:lpwstr>CE2379A1E79B4B7EB2181D635BBE87F9_12</vt:lpwstr>
  </property>
</Properties>
</file>