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40" w:afterLines="100"/>
        <w:jc w:val="right"/>
        <w:rPr>
          <w:rFonts w:ascii="Arial" w:hAnsi="Arial" w:cs="Arial"/>
          <w:snapToGrid w:val="0"/>
        </w:rPr>
      </w:pPr>
      <w:permStart w:id="0" w:edGrp="everyone"/>
      <w:permEnd w:id="0"/>
    </w:p>
    <w:p>
      <w:pPr>
        <w:jc w:val="center"/>
        <w:rPr>
          <w:rFonts w:ascii="Arial" w:hAnsi="Arial" w:eastAsia="隶书" w:cs="Arial"/>
          <w:b/>
          <w:bCs/>
          <w:color w:val="000000"/>
          <w:spacing w:val="20"/>
          <w:sz w:val="48"/>
        </w:rPr>
      </w:pPr>
    </w:p>
    <w:p>
      <w:pPr>
        <w:jc w:val="center"/>
        <w:rPr>
          <w:rFonts w:ascii="Arial" w:hAnsi="Arial" w:eastAsia="隶书" w:cs="Arial"/>
          <w:b/>
          <w:bCs/>
          <w:color w:val="000000"/>
          <w:spacing w:val="20"/>
          <w:sz w:val="48"/>
        </w:rPr>
      </w:pPr>
    </w:p>
    <w:p>
      <w:pPr>
        <w:jc w:val="center"/>
        <w:rPr>
          <w:rFonts w:ascii="Arial" w:hAnsi="Arial" w:eastAsia="隶书" w:cs="Arial"/>
          <w:b/>
          <w:bCs/>
          <w:color w:val="000000"/>
          <w:spacing w:val="20"/>
          <w:sz w:val="48"/>
        </w:rPr>
      </w:pPr>
    </w:p>
    <w:p>
      <w:pPr>
        <w:jc w:val="center"/>
        <w:rPr>
          <w:rFonts w:ascii="Arial" w:hAnsi="Arial" w:eastAsia="隶书" w:cs="Arial"/>
          <w:b/>
          <w:bCs/>
          <w:color w:val="000000"/>
          <w:spacing w:val="20"/>
          <w:sz w:val="48"/>
        </w:rPr>
      </w:pPr>
    </w:p>
    <w:p>
      <w:pPr>
        <w:jc w:val="center"/>
        <w:rPr>
          <w:rFonts w:ascii="Arial" w:hAnsi="Arial" w:eastAsia="隶书" w:cs="Arial"/>
          <w:b/>
          <w:bCs/>
          <w:color w:val="000000"/>
          <w:spacing w:val="20"/>
          <w:sz w:val="48"/>
        </w:rPr>
      </w:pPr>
    </w:p>
    <w:p>
      <w:pPr>
        <w:snapToGrid w:val="0"/>
        <w:rPr>
          <w:rFonts w:ascii="Arial" w:hAnsi="Arial" w:eastAsia="隶书" w:cs="Arial"/>
          <w:b/>
          <w:bCs/>
          <w:color w:val="000000"/>
          <w:spacing w:val="20"/>
          <w:sz w:val="28"/>
          <w:szCs w:val="28"/>
        </w:rPr>
      </w:pPr>
    </w:p>
    <w:p>
      <w:pPr>
        <w:jc w:val="center"/>
        <w:rPr>
          <w:rFonts w:ascii="Arial" w:hAnsi="Arial" w:eastAsia="黑体" w:cs="Arial"/>
          <w:bCs/>
          <w:color w:val="000000"/>
          <w:spacing w:val="20"/>
          <w:sz w:val="72"/>
          <w:szCs w:val="72"/>
        </w:rPr>
      </w:pPr>
      <w:r>
        <w:rPr>
          <w:rFonts w:ascii="Arial" w:hAnsi="Arial" w:eastAsia="黑体" w:cs="Arial"/>
          <w:bCs/>
          <w:color w:val="000000"/>
          <w:spacing w:val="20"/>
          <w:sz w:val="72"/>
          <w:szCs w:val="72"/>
        </w:rPr>
        <w:t>可行性研究报告</w:t>
      </w:r>
    </w:p>
    <w:p>
      <w:pPr>
        <w:spacing w:line="280" w:lineRule="exact"/>
        <w:jc w:val="center"/>
        <w:rPr>
          <w:rFonts w:ascii="Arial" w:hAnsi="Arial" w:eastAsia="黑体" w:cs="Arial"/>
          <w:b/>
          <w:bCs/>
          <w:color w:val="000000"/>
          <w:spacing w:val="20"/>
          <w:sz w:val="52"/>
          <w:szCs w:val="52"/>
        </w:rPr>
      </w:pPr>
    </w:p>
    <w:p>
      <w:pPr>
        <w:spacing w:line="280" w:lineRule="exact"/>
        <w:jc w:val="center"/>
        <w:rPr>
          <w:rFonts w:ascii="Arial" w:hAnsi="Arial" w:eastAsia="黑体" w:cs="Arial"/>
          <w:b/>
          <w:bCs/>
          <w:color w:val="000000"/>
          <w:spacing w:val="20"/>
          <w:sz w:val="52"/>
          <w:szCs w:val="52"/>
        </w:rPr>
      </w:pPr>
    </w:p>
    <w:p>
      <w:pPr>
        <w:spacing w:line="280" w:lineRule="exact"/>
        <w:jc w:val="center"/>
        <w:rPr>
          <w:rFonts w:ascii="Arial" w:hAnsi="Arial" w:eastAsia="黑体" w:cs="Arial"/>
          <w:b/>
          <w:bCs/>
          <w:color w:val="000000"/>
          <w:spacing w:val="20"/>
          <w:sz w:val="52"/>
          <w:szCs w:val="52"/>
        </w:rPr>
      </w:pPr>
    </w:p>
    <w:p>
      <w:pPr>
        <w:spacing w:line="280" w:lineRule="exact"/>
        <w:jc w:val="center"/>
        <w:rPr>
          <w:rFonts w:ascii="Arial" w:hAnsi="Arial" w:eastAsia="黑体" w:cs="Arial"/>
          <w:b/>
          <w:bCs/>
          <w:color w:val="000000"/>
          <w:spacing w:val="20"/>
          <w:sz w:val="52"/>
          <w:szCs w:val="52"/>
        </w:rPr>
      </w:pPr>
    </w:p>
    <w:p>
      <w:pPr>
        <w:spacing w:line="280" w:lineRule="exact"/>
        <w:jc w:val="center"/>
        <w:rPr>
          <w:rFonts w:ascii="Arial" w:hAnsi="Arial" w:eastAsia="黑体" w:cs="Arial"/>
          <w:b/>
          <w:bCs/>
          <w:color w:val="000000"/>
          <w:spacing w:val="20"/>
          <w:sz w:val="52"/>
          <w:szCs w:val="52"/>
        </w:rPr>
      </w:pPr>
    </w:p>
    <w:p>
      <w:pPr>
        <w:spacing w:line="280" w:lineRule="exact"/>
        <w:jc w:val="center"/>
        <w:rPr>
          <w:rFonts w:ascii="Arial" w:hAnsi="Arial" w:eastAsia="黑体" w:cs="Arial"/>
          <w:b/>
          <w:bCs/>
          <w:color w:val="000000"/>
          <w:spacing w:val="20"/>
          <w:sz w:val="52"/>
          <w:szCs w:val="52"/>
        </w:rPr>
      </w:pPr>
    </w:p>
    <w:p>
      <w:pPr>
        <w:spacing w:line="280" w:lineRule="exact"/>
        <w:jc w:val="center"/>
        <w:rPr>
          <w:rFonts w:ascii="Arial" w:hAnsi="Arial" w:eastAsia="Adobe 黑体 Std R" w:cs="Arial"/>
          <w:b/>
          <w:bCs/>
          <w:color w:val="000000"/>
          <w:szCs w:val="21"/>
        </w:rPr>
      </w:pPr>
    </w:p>
    <w:p>
      <w:pPr>
        <w:spacing w:line="280" w:lineRule="exact"/>
        <w:jc w:val="center"/>
        <w:rPr>
          <w:rFonts w:ascii="Arial" w:hAnsi="Arial" w:eastAsia="Adobe 黑体 Std R" w:cs="Arial"/>
          <w:b/>
          <w:bCs/>
          <w:color w:val="000000"/>
          <w:szCs w:val="21"/>
        </w:rPr>
      </w:pPr>
    </w:p>
    <w:p>
      <w:pPr>
        <w:snapToGrid w:val="0"/>
        <w:jc w:val="center"/>
        <w:rPr>
          <w:rFonts w:ascii="微软雅黑" w:hAnsi="微软雅黑" w:eastAsia="微软雅黑" w:cs="微软雅黑"/>
          <w:bCs/>
          <w:color w:val="000000"/>
        </w:rPr>
      </w:pPr>
      <w:r>
        <w:rPr>
          <w:rFonts w:hint="eastAsia" w:ascii="微软雅黑" w:hAnsi="微软雅黑" w:eastAsia="微软雅黑" w:cs="微软雅黑"/>
          <w:bCs/>
          <w:color w:val="000000"/>
        </w:rPr>
        <w:t>浙江省温州市永嘉县瓯北清水埠片区ZX-H2-22、ZX-H2-24地块</w:t>
      </w:r>
      <w:r>
        <w:rPr>
          <w:rFonts w:ascii="微软雅黑" w:hAnsi="微软雅黑" w:eastAsia="微软雅黑" w:cs="微软雅黑"/>
          <w:bCs/>
          <w:color w:val="000000"/>
        </w:rPr>
        <w:t>居住项目</w:t>
      </w:r>
    </w:p>
    <w:p>
      <w:pPr>
        <w:snapToGrid w:val="0"/>
        <w:jc w:val="center"/>
        <w:rPr>
          <w:rFonts w:ascii="微软雅黑" w:hAnsi="微软雅黑" w:eastAsia="微软雅黑" w:cs="微软雅黑"/>
          <w:bCs/>
          <w:color w:val="000000"/>
        </w:rPr>
      </w:pPr>
      <w:r>
        <w:rPr>
          <w:rFonts w:hint="eastAsia" w:ascii="微软雅黑" w:hAnsi="微软雅黑" w:eastAsia="微软雅黑" w:cs="微软雅黑"/>
          <w:bCs/>
          <w:color w:val="000000"/>
        </w:rPr>
        <w:t>【五矿信托-共兴永嘉项目投资集合资金信托计划】</w:t>
      </w:r>
    </w:p>
    <w:p>
      <w:pPr>
        <w:snapToGrid w:val="0"/>
        <w:jc w:val="center"/>
        <w:rPr>
          <w:rFonts w:ascii="微软雅黑" w:hAnsi="微软雅黑" w:eastAsia="微软雅黑" w:cs="微软雅黑"/>
          <w:bCs/>
          <w:color w:val="000000"/>
        </w:rPr>
      </w:pPr>
      <w:r>
        <w:rPr>
          <w:rFonts w:hint="eastAsia" w:ascii="微软雅黑" w:hAnsi="微软雅黑" w:eastAsia="微软雅黑" w:cs="微软雅黑"/>
          <w:bCs/>
          <w:color w:val="000000"/>
        </w:rPr>
        <w:t>可行性研究报告</w:t>
      </w:r>
    </w:p>
    <w:p>
      <w:pPr>
        <w:spacing w:line="280" w:lineRule="exact"/>
        <w:jc w:val="center"/>
        <w:rPr>
          <w:rFonts w:ascii="Arial" w:hAnsi="Arial" w:eastAsia="Adobe 黑体 Std R" w:cs="Arial"/>
          <w:b/>
          <w:bCs/>
          <w:color w:val="000000"/>
          <w:spacing w:val="20"/>
        </w:rPr>
      </w:pPr>
    </w:p>
    <w:p>
      <w:pPr>
        <w:spacing w:line="280" w:lineRule="exact"/>
        <w:jc w:val="center"/>
        <w:rPr>
          <w:rFonts w:ascii="Arial" w:hAnsi="Arial" w:eastAsia="Adobe 黑体 Std R" w:cs="Arial"/>
          <w:b/>
          <w:bCs/>
          <w:color w:val="000000"/>
          <w:spacing w:val="20"/>
        </w:rPr>
      </w:pPr>
    </w:p>
    <w:p>
      <w:pPr>
        <w:spacing w:line="280" w:lineRule="exact"/>
        <w:jc w:val="center"/>
        <w:rPr>
          <w:rFonts w:ascii="Arial" w:hAnsi="Arial" w:eastAsia="Adobe 黑体 Std R" w:cs="Arial"/>
          <w:b/>
          <w:bCs/>
          <w:color w:val="000000"/>
          <w:spacing w:val="20"/>
        </w:rPr>
      </w:pPr>
    </w:p>
    <w:p>
      <w:pPr>
        <w:spacing w:line="280" w:lineRule="exact"/>
        <w:jc w:val="center"/>
        <w:rPr>
          <w:rFonts w:ascii="Arial" w:hAnsi="Arial" w:eastAsia="Adobe 黑体 Std R" w:cs="Arial"/>
          <w:bCs/>
          <w:snapToGrid w:val="0"/>
        </w:rPr>
      </w:pPr>
      <w:r>
        <w:rPr>
          <w:rFonts w:ascii="Arial" w:hAnsi="Arial" w:eastAsia="Adobe 黑体 Std R" w:cs="Arial"/>
          <w:bCs/>
          <w:snapToGrid w:val="0"/>
        </w:rPr>
        <w:t>康正评字</w:t>
      </w:r>
      <w:r>
        <w:rPr>
          <w:rFonts w:hint="eastAsia" w:ascii="Arial" w:hAnsi="Arial" w:eastAsia="Adobe 黑体 Std R" w:cs="Arial"/>
          <w:bCs/>
          <w:snapToGrid w:val="0"/>
        </w:rPr>
        <w:t>2022-1-0571-F01KXYJ2</w:t>
      </w:r>
      <w:r>
        <w:rPr>
          <w:rFonts w:ascii="Arial" w:hAnsi="Arial" w:eastAsia="Adobe 黑体 Std R" w:cs="Arial"/>
          <w:bCs/>
          <w:snapToGrid w:val="0"/>
        </w:rPr>
        <w:t>号</w:t>
      </w:r>
    </w:p>
    <w:p>
      <w:pPr>
        <w:spacing w:line="280" w:lineRule="exact"/>
        <w:jc w:val="center"/>
        <w:rPr>
          <w:rFonts w:ascii="Arial" w:hAnsi="Arial" w:eastAsia="Adobe 黑体 Std R" w:cs="Arial"/>
          <w:b/>
          <w:bCs/>
          <w:snapToGrid w:val="0"/>
        </w:rPr>
      </w:pPr>
    </w:p>
    <w:p>
      <w:pPr>
        <w:spacing w:line="280" w:lineRule="exact"/>
        <w:jc w:val="center"/>
        <w:rPr>
          <w:rFonts w:ascii="Arial" w:hAnsi="Arial" w:eastAsia="Adobe 黑体 Std R" w:cs="Arial"/>
          <w:b/>
          <w:bCs/>
          <w:snapToGrid w:val="0"/>
        </w:rPr>
      </w:pPr>
    </w:p>
    <w:p>
      <w:pPr>
        <w:spacing w:line="280" w:lineRule="exact"/>
        <w:jc w:val="center"/>
        <w:rPr>
          <w:rFonts w:ascii="Arial" w:hAnsi="Arial" w:eastAsia="Adobe 黑体 Std R" w:cs="Arial"/>
          <w:b/>
          <w:bCs/>
          <w:snapToGrid w:val="0"/>
        </w:rPr>
      </w:pPr>
    </w:p>
    <w:p>
      <w:pPr>
        <w:spacing w:line="280" w:lineRule="exact"/>
        <w:jc w:val="center"/>
        <w:rPr>
          <w:rFonts w:ascii="Arial" w:hAnsi="Arial" w:eastAsia="Adobe 黑体 Std R" w:cs="Arial"/>
        </w:rPr>
      </w:pPr>
      <w:r>
        <w:rPr>
          <w:rFonts w:ascii="Arial" w:hAnsi="Arial" w:eastAsia="Adobe 黑体 Std R" w:cs="Arial"/>
        </w:rPr>
        <w:t>北京康正宏基房地产评估有限公司</w:t>
      </w:r>
    </w:p>
    <w:p>
      <w:pPr>
        <w:spacing w:line="280" w:lineRule="exact"/>
        <w:jc w:val="center"/>
        <w:rPr>
          <w:rFonts w:ascii="Arial" w:hAnsi="Arial" w:eastAsia="Adobe 黑体 Std R" w:cs="Arial"/>
        </w:rPr>
      </w:pPr>
    </w:p>
    <w:p>
      <w:pPr>
        <w:spacing w:line="280" w:lineRule="exact"/>
        <w:jc w:val="center"/>
        <w:rPr>
          <w:rFonts w:ascii="Arial" w:hAnsi="Arial" w:eastAsia="Adobe 黑体 Std R" w:cs="Arial"/>
        </w:rPr>
      </w:pPr>
    </w:p>
    <w:p>
      <w:pPr>
        <w:spacing w:line="280" w:lineRule="exact"/>
        <w:jc w:val="center"/>
        <w:rPr>
          <w:rFonts w:ascii="Arial" w:hAnsi="Arial" w:eastAsia="Adobe 黑体 Std R" w:cs="Arial"/>
        </w:rPr>
      </w:pPr>
    </w:p>
    <w:p>
      <w:pPr>
        <w:spacing w:line="280" w:lineRule="exact"/>
        <w:jc w:val="center"/>
        <w:rPr>
          <w:rFonts w:ascii="Arial" w:hAnsi="Arial" w:eastAsia="Adobe 黑体 Std R" w:cs="Arial"/>
        </w:rPr>
      </w:pPr>
      <w:r>
        <w:rPr>
          <w:rFonts w:ascii="Arial" w:hAnsi="Arial" w:eastAsia="Adobe 黑体 Std R" w:cs="Arial"/>
        </w:rPr>
        <w:t>2022年</w:t>
      </w:r>
      <w:r>
        <w:rPr>
          <w:rFonts w:hint="eastAsia" w:ascii="Arial" w:hAnsi="Arial" w:eastAsia="Adobe 黑体 Std R" w:cs="Arial"/>
        </w:rPr>
        <w:t>9</w:t>
      </w:r>
      <w:r>
        <w:rPr>
          <w:rFonts w:ascii="Arial" w:hAnsi="Arial" w:eastAsia="Adobe 黑体 Std R" w:cs="Arial"/>
        </w:rPr>
        <w:t>月</w:t>
      </w:r>
    </w:p>
    <w:p>
      <w:pPr>
        <w:spacing w:before="240" w:line="312" w:lineRule="auto"/>
        <w:ind w:firstLine="600"/>
        <w:rPr>
          <w:rFonts w:ascii="Arial" w:hAnsi="Arial" w:cs="Arial"/>
          <w:color w:val="000000"/>
          <w:szCs w:val="21"/>
        </w:rPr>
      </w:pPr>
      <w:r>
        <w:rPr>
          <w:rFonts w:ascii="Arial" w:hAnsi="Arial" w:cs="Arial"/>
          <w:color w:val="000000"/>
          <w:sz w:val="30"/>
        </w:rPr>
        <w:br w:type="page"/>
      </w:r>
    </w:p>
    <w:p>
      <w:pPr>
        <w:spacing w:before="240" w:line="312" w:lineRule="auto"/>
        <w:ind w:firstLine="600"/>
        <w:rPr>
          <w:rFonts w:ascii="Arial" w:hAnsi="Arial" w:cs="Arial"/>
          <w:color w:val="000000"/>
          <w:szCs w:val="21"/>
        </w:rPr>
      </w:pPr>
      <w:r>
        <w:rPr>
          <w:rFonts w:hint="eastAsia" w:ascii="Arial" w:hAnsi="Arial" w:cs="Arial"/>
          <w:color w:val="000000"/>
          <w:szCs w:val="21"/>
        </w:rPr>
        <w:t>包</w:t>
      </w:r>
      <w:r>
        <w:rPr>
          <w:rFonts w:ascii="Arial" w:hAnsi="Arial" w:cs="Arial"/>
          <w:color w:val="000000"/>
          <w:szCs w:val="21"/>
        </w:rPr>
        <w:t>告编制单位:北京康正宏基房地产评估有限公司</w:t>
      </w:r>
    </w:p>
    <w:p>
      <w:pPr>
        <w:spacing w:before="240" w:line="480" w:lineRule="auto"/>
        <w:ind w:firstLine="600"/>
        <w:jc w:val="center"/>
        <w:rPr>
          <w:rFonts w:ascii="Arial" w:hAnsi="Arial" w:cs="Arial"/>
          <w:color w:val="000000"/>
          <w:szCs w:val="21"/>
        </w:rPr>
      </w:pPr>
      <w:r>
        <w:rPr>
          <w:rFonts w:ascii="Arial" w:hAnsi="Arial" w:cs="Arial"/>
          <w:color w:val="000000"/>
          <w:szCs w:val="21"/>
        </w:rPr>
        <w:t xml:space="preserve"> </w:t>
      </w:r>
    </w:p>
    <w:p>
      <w:pPr>
        <w:spacing w:before="240" w:line="480" w:lineRule="auto"/>
        <w:ind w:firstLine="600"/>
        <w:rPr>
          <w:rFonts w:ascii="Arial" w:hAnsi="Arial" w:cs="Arial"/>
          <w:color w:val="000000"/>
          <w:szCs w:val="21"/>
        </w:rPr>
      </w:pPr>
    </w:p>
    <w:p>
      <w:pPr>
        <w:spacing w:before="240" w:line="480" w:lineRule="auto"/>
        <w:ind w:firstLine="600"/>
        <w:rPr>
          <w:rFonts w:ascii="Arial" w:hAnsi="Arial" w:cs="Arial"/>
          <w:color w:val="000000"/>
          <w:szCs w:val="21"/>
        </w:rPr>
      </w:pPr>
      <w:r>
        <w:rPr>
          <w:rFonts w:ascii="Arial" w:hAnsi="Arial" w:cs="Arial"/>
          <w:color w:val="000000"/>
          <w:szCs w:val="21"/>
        </w:rPr>
        <w:t>法人代表:     齐    宏       高级经济师</w:t>
      </w:r>
    </w:p>
    <w:p>
      <w:pPr>
        <w:spacing w:before="240" w:line="480" w:lineRule="auto"/>
        <w:ind w:firstLine="600"/>
        <w:rPr>
          <w:rFonts w:ascii="Arial" w:hAnsi="Arial" w:cs="Arial"/>
          <w:color w:val="000000"/>
          <w:szCs w:val="21"/>
        </w:rPr>
      </w:pPr>
      <w:r>
        <w:rPr>
          <w:rFonts w:ascii="Arial" w:hAnsi="Arial" w:cs="Arial"/>
          <w:color w:val="000000"/>
          <w:szCs w:val="21"/>
        </w:rPr>
        <w:t xml:space="preserve">                             注册房地产估价师</w:t>
      </w:r>
    </w:p>
    <w:p>
      <w:pPr>
        <w:spacing w:before="240" w:line="480" w:lineRule="auto"/>
        <w:ind w:firstLine="600"/>
        <w:rPr>
          <w:rFonts w:ascii="Arial" w:hAnsi="Arial" w:cs="Arial"/>
          <w:color w:val="000000"/>
          <w:szCs w:val="21"/>
        </w:rPr>
      </w:pPr>
      <w:r>
        <w:rPr>
          <w:rFonts w:ascii="Arial" w:hAnsi="Arial" w:cs="Arial"/>
          <w:color w:val="000000"/>
          <w:szCs w:val="21"/>
        </w:rPr>
        <w:t>项目负责人:   王    鹏       注册房地产估价师</w:t>
      </w:r>
    </w:p>
    <w:p>
      <w:pPr>
        <w:tabs>
          <w:tab w:val="left" w:pos="2552"/>
          <w:tab w:val="left" w:pos="2835"/>
          <w:tab w:val="left" w:pos="7552"/>
        </w:tabs>
        <w:spacing w:before="240" w:line="480" w:lineRule="auto"/>
        <w:ind w:firstLine="600"/>
        <w:rPr>
          <w:rFonts w:ascii="Arial" w:hAnsi="Arial" w:cs="Arial"/>
          <w:color w:val="000000"/>
          <w:szCs w:val="21"/>
        </w:rPr>
      </w:pPr>
      <w:r>
        <w:rPr>
          <w:rFonts w:ascii="Arial" w:hAnsi="Arial" w:cs="Arial"/>
          <w:color w:val="000000"/>
          <w:szCs w:val="21"/>
        </w:rPr>
        <w:t xml:space="preserve">                             注册土地估价师</w:t>
      </w:r>
    </w:p>
    <w:p>
      <w:pPr>
        <w:spacing w:before="240" w:line="480" w:lineRule="auto"/>
        <w:ind w:firstLine="600"/>
        <w:rPr>
          <w:rFonts w:ascii="Arial" w:hAnsi="Arial" w:cs="Arial"/>
          <w:color w:val="000000"/>
          <w:szCs w:val="21"/>
        </w:rPr>
      </w:pPr>
      <w:r>
        <w:rPr>
          <w:rFonts w:ascii="Arial" w:hAnsi="Arial" w:cs="Arial"/>
          <w:color w:val="000000"/>
          <w:szCs w:val="21"/>
        </w:rPr>
        <w:t>项目参加人员: 郑    燚       注册房地产估价师</w:t>
      </w:r>
    </w:p>
    <w:p>
      <w:pPr>
        <w:spacing w:before="240" w:line="480" w:lineRule="auto"/>
        <w:ind w:firstLine="600"/>
        <w:rPr>
          <w:rFonts w:ascii="Arial" w:hAnsi="Arial" w:cs="Arial"/>
          <w:color w:val="000000"/>
          <w:szCs w:val="21"/>
        </w:rPr>
      </w:pPr>
      <w:r>
        <w:rPr>
          <w:rFonts w:ascii="Arial" w:hAnsi="Arial" w:cs="Arial"/>
          <w:color w:val="000000"/>
          <w:szCs w:val="21"/>
        </w:rPr>
        <w:t xml:space="preserve">                             注册土地估价师</w:t>
      </w:r>
    </w:p>
    <w:p>
      <w:pPr>
        <w:tabs>
          <w:tab w:val="left" w:pos="3402"/>
          <w:tab w:val="left" w:pos="3544"/>
          <w:tab w:val="left" w:pos="3686"/>
        </w:tabs>
        <w:spacing w:before="240" w:line="480" w:lineRule="auto"/>
        <w:ind w:firstLine="600"/>
        <w:rPr>
          <w:rFonts w:ascii="Arial" w:hAnsi="Arial" w:cs="Arial"/>
          <w:color w:val="000000"/>
          <w:szCs w:val="21"/>
        </w:rPr>
      </w:pPr>
      <w:r>
        <w:rPr>
          <w:rFonts w:ascii="Arial" w:hAnsi="Arial" w:cs="Arial"/>
          <w:color w:val="000000"/>
          <w:szCs w:val="21"/>
        </w:rPr>
        <w:t xml:space="preserve">              </w:t>
      </w:r>
      <w:r>
        <w:rPr>
          <w:rFonts w:hint="eastAsia" w:ascii="Arial" w:hAnsi="Arial" w:cs="Arial"/>
          <w:color w:val="000000"/>
          <w:szCs w:val="21"/>
        </w:rPr>
        <w:t>赵</w:t>
      </w:r>
      <w:r>
        <w:rPr>
          <w:rFonts w:ascii="Arial" w:hAnsi="Arial" w:cs="Arial"/>
          <w:color w:val="000000"/>
          <w:szCs w:val="21"/>
        </w:rPr>
        <w:t xml:space="preserve">    </w:t>
      </w:r>
      <w:r>
        <w:rPr>
          <w:rFonts w:hint="eastAsia" w:ascii="Arial" w:hAnsi="Arial" w:cs="Arial"/>
          <w:color w:val="000000"/>
          <w:szCs w:val="21"/>
        </w:rPr>
        <w:t>雯</w:t>
      </w:r>
      <w:r>
        <w:rPr>
          <w:rFonts w:ascii="Arial" w:hAnsi="Arial" w:cs="Arial"/>
          <w:color w:val="000000"/>
          <w:szCs w:val="21"/>
        </w:rPr>
        <w:t xml:space="preserve">       注册土地估价师</w:t>
      </w:r>
    </w:p>
    <w:p>
      <w:pPr>
        <w:spacing w:line="480" w:lineRule="auto"/>
        <w:ind w:firstLine="434" w:firstLineChars="180"/>
        <w:rPr>
          <w:rFonts w:ascii="Arial" w:hAnsi="Arial" w:cs="Arial"/>
          <w:b/>
          <w:color w:val="000000"/>
          <w:szCs w:val="21"/>
        </w:rPr>
      </w:pPr>
    </w:p>
    <w:p>
      <w:pPr>
        <w:spacing w:line="480" w:lineRule="auto"/>
        <w:ind w:firstLine="432" w:firstLineChars="180"/>
        <w:rPr>
          <w:rFonts w:ascii="Arial" w:hAnsi="Arial" w:cs="Arial"/>
          <w:color w:val="000000"/>
          <w:szCs w:val="21"/>
        </w:rPr>
      </w:pPr>
      <w:r>
        <w:rPr>
          <w:rFonts w:ascii="Arial" w:hAnsi="Arial" w:cs="Arial"/>
          <w:color w:val="000000"/>
          <w:szCs w:val="21"/>
        </w:rPr>
        <w:t xml:space="preserve">               </w:t>
      </w:r>
      <w:r>
        <w:rPr>
          <w:rFonts w:hint="eastAsia" w:ascii="Arial" w:hAnsi="Arial" w:cs="Arial"/>
          <w:color w:val="000000"/>
          <w:szCs w:val="21"/>
        </w:rPr>
        <w:t xml:space="preserve">张 婷 婷      </w:t>
      </w:r>
      <w:r>
        <w:rPr>
          <w:rFonts w:ascii="Arial" w:hAnsi="Arial" w:cs="Arial"/>
          <w:color w:val="000000"/>
          <w:szCs w:val="21"/>
        </w:rPr>
        <w:t xml:space="preserve">   </w:t>
      </w:r>
    </w:p>
    <w:p>
      <w:pPr>
        <w:spacing w:line="480" w:lineRule="auto"/>
        <w:ind w:firstLine="432" w:firstLineChars="180"/>
        <w:rPr>
          <w:rFonts w:ascii="Arial" w:hAnsi="Arial" w:cs="Arial"/>
          <w:color w:val="000000"/>
          <w:szCs w:val="21"/>
        </w:rPr>
      </w:pPr>
    </w:p>
    <w:p>
      <w:pPr>
        <w:spacing w:line="480" w:lineRule="auto"/>
        <w:ind w:firstLine="432" w:firstLineChars="180"/>
        <w:rPr>
          <w:rFonts w:ascii="Arial" w:hAnsi="Arial" w:cs="Arial"/>
          <w:color w:val="000000"/>
          <w:szCs w:val="21"/>
        </w:rPr>
      </w:pPr>
    </w:p>
    <w:p>
      <w:pPr>
        <w:spacing w:line="480" w:lineRule="auto"/>
        <w:ind w:firstLine="432" w:firstLineChars="180"/>
        <w:rPr>
          <w:rFonts w:ascii="Arial" w:hAnsi="Arial" w:cs="Arial"/>
          <w:color w:val="000000"/>
          <w:szCs w:val="21"/>
        </w:rPr>
      </w:pPr>
    </w:p>
    <w:p>
      <w:pPr>
        <w:spacing w:line="480" w:lineRule="auto"/>
        <w:ind w:firstLine="432" w:firstLineChars="180"/>
        <w:rPr>
          <w:rFonts w:ascii="Arial" w:hAnsi="Arial" w:cs="Arial"/>
          <w:color w:val="000000"/>
          <w:szCs w:val="21"/>
        </w:rPr>
      </w:pPr>
    </w:p>
    <w:p>
      <w:pPr>
        <w:spacing w:line="480" w:lineRule="auto"/>
        <w:jc w:val="center"/>
        <w:rPr>
          <w:rFonts w:ascii="Arial" w:hAnsi="Arial" w:cs="Arial"/>
          <w:color w:val="000000"/>
          <w:szCs w:val="21"/>
        </w:rPr>
      </w:pPr>
      <w:r>
        <w:rPr>
          <w:rFonts w:ascii="Arial" w:hAnsi="Arial" w:cs="Arial"/>
          <w:color w:val="000000"/>
          <w:szCs w:val="21"/>
        </w:rPr>
        <w:t>编制时间</w:t>
      </w:r>
      <w:r>
        <w:rPr>
          <w:rFonts w:hint="eastAsia" w:ascii="Arial" w:hAnsi="Arial" w:cs="Arial"/>
          <w:color w:val="000000"/>
          <w:szCs w:val="21"/>
        </w:rPr>
        <w:t>：</w:t>
      </w:r>
      <w:r>
        <w:rPr>
          <w:rFonts w:ascii="Arial" w:hAnsi="Arial" w:cs="Arial"/>
          <w:color w:val="000000"/>
          <w:szCs w:val="21"/>
        </w:rPr>
        <w:t>2022年</w:t>
      </w:r>
      <w:r>
        <w:rPr>
          <w:rFonts w:hint="eastAsia" w:ascii="Arial" w:hAnsi="Arial" w:cs="Arial"/>
          <w:color w:val="000000"/>
          <w:szCs w:val="21"/>
        </w:rPr>
        <w:t>9</w:t>
      </w:r>
      <w:r>
        <w:rPr>
          <w:rFonts w:ascii="Arial" w:hAnsi="Arial" w:cs="Arial"/>
          <w:color w:val="000000"/>
          <w:szCs w:val="21"/>
        </w:rPr>
        <w:t>月</w:t>
      </w:r>
      <w:r>
        <w:rPr>
          <w:rFonts w:hint="eastAsia" w:ascii="Arial" w:hAnsi="Arial" w:cs="Arial"/>
          <w:color w:val="000000"/>
          <w:szCs w:val="21"/>
        </w:rPr>
        <w:t>2</w:t>
      </w:r>
      <w:r>
        <w:rPr>
          <w:rFonts w:ascii="Arial" w:hAnsi="Arial" w:cs="Arial"/>
          <w:color w:val="000000"/>
          <w:szCs w:val="21"/>
        </w:rPr>
        <w:t>日至2022年</w:t>
      </w:r>
      <w:r>
        <w:rPr>
          <w:rFonts w:hint="eastAsia" w:ascii="Arial" w:hAnsi="Arial" w:cs="Arial"/>
          <w:color w:val="000000"/>
          <w:szCs w:val="21"/>
        </w:rPr>
        <w:t>9</w:t>
      </w:r>
      <w:r>
        <w:rPr>
          <w:rFonts w:ascii="Arial" w:hAnsi="Arial" w:cs="Arial"/>
          <w:color w:val="000000"/>
          <w:szCs w:val="21"/>
        </w:rPr>
        <w:t>月</w:t>
      </w:r>
      <w:r>
        <w:rPr>
          <w:rFonts w:hint="eastAsia" w:ascii="Arial" w:hAnsi="Arial" w:cs="Arial"/>
          <w:color w:val="000000"/>
          <w:szCs w:val="21"/>
        </w:rPr>
        <w:t>20</w:t>
      </w:r>
      <w:r>
        <w:rPr>
          <w:rFonts w:ascii="Arial" w:hAnsi="Arial" w:cs="Arial"/>
          <w:color w:val="000000"/>
          <w:szCs w:val="21"/>
        </w:rPr>
        <w:t>日</w:t>
      </w:r>
    </w:p>
    <w:p>
      <w:pPr>
        <w:pStyle w:val="27"/>
        <w:sectPr>
          <w:headerReference r:id="rId4" w:type="first"/>
          <w:footerReference r:id="rId6" w:type="first"/>
          <w:headerReference r:id="rId3" w:type="default"/>
          <w:footerReference r:id="rId5" w:type="default"/>
          <w:type w:val="continuous"/>
          <w:pgSz w:w="11906" w:h="16838"/>
          <w:pgMar w:top="1843" w:right="1304" w:bottom="1134" w:left="1304" w:header="1134" w:footer="907" w:gutter="0"/>
          <w:cols w:space="425" w:num="1"/>
          <w:titlePg/>
          <w:docGrid w:linePitch="312" w:charSpace="0"/>
        </w:sectPr>
      </w:pPr>
      <w:bookmarkStart w:id="0" w:name="_Toc118196995"/>
      <w:bookmarkStart w:id="1" w:name="_Toc118196874"/>
      <w:bookmarkStart w:id="2" w:name="_Toc118513505"/>
      <w:bookmarkStart w:id="3" w:name="_Toc118794435"/>
    </w:p>
    <w:bookmarkEnd w:id="0"/>
    <w:bookmarkEnd w:id="1"/>
    <w:bookmarkEnd w:id="2"/>
    <w:bookmarkEnd w:id="3"/>
    <w:p>
      <w:pPr>
        <w:pStyle w:val="27"/>
      </w:pPr>
      <w:r>
        <w:t>目  录</w:t>
      </w:r>
      <w:r>
        <w:fldChar w:fldCharType="begin"/>
      </w:r>
      <w:r>
        <w:instrText xml:space="preserve"> TOC \o "1-3" \h \z </w:instrText>
      </w:r>
      <w:r>
        <w:fldChar w:fldCharType="separate"/>
      </w:r>
    </w:p>
    <w:p>
      <w:pPr>
        <w:pStyle w:val="27"/>
        <w:rPr>
          <w:rFonts w:asciiTheme="minorHAnsi" w:hAnsiTheme="minorHAnsi" w:eastAsiaTheme="minorEastAsia" w:cstheme="minorBidi"/>
          <w:b w:val="0"/>
          <w:bCs w:val="0"/>
          <w:caps w:val="0"/>
          <w:kern w:val="2"/>
          <w:sz w:val="21"/>
          <w:szCs w:val="22"/>
        </w:rPr>
      </w:pPr>
      <w:r>
        <w:fldChar w:fldCharType="begin"/>
      </w:r>
      <w:r>
        <w:instrText xml:space="preserve"> HYPERLINK \l "_Toc106177857" </w:instrText>
      </w:r>
      <w:r>
        <w:fldChar w:fldCharType="separate"/>
      </w:r>
      <w:r>
        <w:rPr>
          <w:rStyle w:val="46"/>
          <w:rFonts w:hint="eastAsia" w:eastAsia="方正黑体简体"/>
        </w:rPr>
        <w:t>〔内容提要〕</w:t>
      </w:r>
      <w:r>
        <w:tab/>
      </w:r>
      <w:r>
        <w:fldChar w:fldCharType="begin"/>
      </w:r>
      <w:r>
        <w:instrText xml:space="preserve"> PAGEREF _Toc106177857 \h </w:instrText>
      </w:r>
      <w:r>
        <w:fldChar w:fldCharType="separate"/>
      </w:r>
      <w:r>
        <w:t>1</w:t>
      </w:r>
      <w:r>
        <w:fldChar w:fldCharType="end"/>
      </w:r>
      <w:r>
        <w:fldChar w:fldCharType="end"/>
      </w:r>
    </w:p>
    <w:p>
      <w:pPr>
        <w:pStyle w:val="27"/>
        <w:rPr>
          <w:rFonts w:asciiTheme="minorHAnsi" w:hAnsiTheme="minorHAnsi" w:eastAsiaTheme="minorEastAsia" w:cstheme="minorBidi"/>
          <w:b w:val="0"/>
          <w:bCs w:val="0"/>
          <w:caps w:val="0"/>
          <w:kern w:val="2"/>
          <w:sz w:val="21"/>
          <w:szCs w:val="22"/>
        </w:rPr>
      </w:pPr>
      <w:r>
        <w:fldChar w:fldCharType="begin"/>
      </w:r>
      <w:r>
        <w:instrText xml:space="preserve"> HYPERLINK \l "_Toc106177858" </w:instrText>
      </w:r>
      <w:r>
        <w:fldChar w:fldCharType="separate"/>
      </w:r>
      <w:r>
        <w:rPr>
          <w:rStyle w:val="46"/>
          <w:rFonts w:hint="eastAsia" w:eastAsia="方正黑体简体"/>
        </w:rPr>
        <w:t>第一章</w:t>
      </w:r>
      <w:r>
        <w:rPr>
          <w:rStyle w:val="46"/>
          <w:rFonts w:eastAsia="方正黑体简体"/>
        </w:rPr>
        <w:t xml:space="preserve">  </w:t>
      </w:r>
      <w:r>
        <w:rPr>
          <w:rStyle w:val="46"/>
          <w:rFonts w:hint="eastAsia" w:eastAsia="方正黑体简体"/>
        </w:rPr>
        <w:t>可行性研究说明</w:t>
      </w:r>
      <w:r>
        <w:tab/>
      </w:r>
      <w:r>
        <w:fldChar w:fldCharType="begin"/>
      </w:r>
      <w:r>
        <w:instrText xml:space="preserve"> PAGEREF _Toc106177858 \h </w:instrText>
      </w:r>
      <w:r>
        <w:fldChar w:fldCharType="separate"/>
      </w:r>
      <w:r>
        <w:t>3</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"_Toc106177859" </w:instrText>
      </w:r>
      <w:r>
        <w:fldChar w:fldCharType="separate"/>
      </w:r>
      <w:r>
        <w:rPr>
          <w:rStyle w:val="46"/>
          <w:rFonts w:hint="eastAsia" w:eastAsia="宋体" w:cs="Arial"/>
        </w:rPr>
        <w:t>一、委托单位</w:t>
      </w:r>
      <w:r>
        <w:tab/>
      </w:r>
      <w:r>
        <w:fldChar w:fldCharType="begin"/>
      </w:r>
      <w:r>
        <w:instrText xml:space="preserve"> PAGEREF _Toc106177859 \h </w:instrText>
      </w:r>
      <w:r>
        <w:fldChar w:fldCharType="separate"/>
      </w:r>
      <w:r>
        <w:t>3</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"_Toc106177860" </w:instrText>
      </w:r>
      <w:r>
        <w:fldChar w:fldCharType="separate"/>
      </w:r>
      <w:r>
        <w:rPr>
          <w:rStyle w:val="46"/>
          <w:rFonts w:hint="eastAsia" w:eastAsia="宋体" w:cs="Arial"/>
        </w:rPr>
        <w:t>二、编制单位</w:t>
      </w:r>
      <w:r>
        <w:tab/>
      </w:r>
      <w:r>
        <w:fldChar w:fldCharType="begin"/>
      </w:r>
      <w:r>
        <w:instrText xml:space="preserve"> PAGEREF _Toc106177860 \h </w:instrText>
      </w:r>
      <w:r>
        <w:fldChar w:fldCharType="separate"/>
      </w:r>
      <w:r>
        <w:t>3</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"_Toc106177861" </w:instrText>
      </w:r>
      <w:r>
        <w:fldChar w:fldCharType="separate"/>
      </w:r>
      <w:r>
        <w:rPr>
          <w:rStyle w:val="46"/>
          <w:rFonts w:hint="eastAsia" w:eastAsia="宋体" w:cs="Arial"/>
        </w:rPr>
        <w:t>三、编制目的</w:t>
      </w:r>
      <w:r>
        <w:tab/>
      </w:r>
      <w:r>
        <w:fldChar w:fldCharType="begin"/>
      </w:r>
      <w:r>
        <w:instrText xml:space="preserve"> PAGEREF _Toc106177861 \h </w:instrText>
      </w:r>
      <w:r>
        <w:fldChar w:fldCharType="separate"/>
      </w:r>
      <w:r>
        <w:t>3</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"_Toc106177862" </w:instrText>
      </w:r>
      <w:r>
        <w:fldChar w:fldCharType="separate"/>
      </w:r>
      <w:r>
        <w:rPr>
          <w:rStyle w:val="46"/>
          <w:rFonts w:hint="eastAsia" w:eastAsia="宋体" w:cs="Arial"/>
        </w:rPr>
        <w:t>四、可行性研究的主要内容</w:t>
      </w:r>
      <w:r>
        <w:tab/>
      </w:r>
      <w:r>
        <w:fldChar w:fldCharType="begin"/>
      </w:r>
      <w:r>
        <w:instrText xml:space="preserve"> PAGEREF _Toc106177862 \h </w:instrText>
      </w:r>
      <w:r>
        <w:fldChar w:fldCharType="separate"/>
      </w:r>
      <w:r>
        <w:t>3</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"_Toc106177863" </w:instrText>
      </w:r>
      <w:r>
        <w:fldChar w:fldCharType="separate"/>
      </w:r>
      <w:r>
        <w:rPr>
          <w:rStyle w:val="46"/>
          <w:rFonts w:hint="eastAsia" w:eastAsia="宋体" w:cs="Arial"/>
        </w:rPr>
        <w:t>五、编制日期</w:t>
      </w:r>
      <w:r>
        <w:tab/>
      </w:r>
      <w:r>
        <w:fldChar w:fldCharType="begin"/>
      </w:r>
      <w:r>
        <w:instrText xml:space="preserve"> PAGEREF _Toc106177863 \h </w:instrText>
      </w:r>
      <w:r>
        <w:fldChar w:fldCharType="separate"/>
      </w:r>
      <w:r>
        <w:t>4</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"_Toc106177864" </w:instrText>
      </w:r>
      <w:r>
        <w:fldChar w:fldCharType="separate"/>
      </w:r>
      <w:r>
        <w:rPr>
          <w:rStyle w:val="46"/>
          <w:rFonts w:hint="eastAsia" w:eastAsia="宋体" w:cs="Arial"/>
        </w:rPr>
        <w:t>六、本报告编制依据和说明</w:t>
      </w:r>
      <w:r>
        <w:tab/>
      </w:r>
      <w:r>
        <w:fldChar w:fldCharType="begin"/>
      </w:r>
      <w:r>
        <w:instrText xml:space="preserve"> PAGEREF _Toc106177864 \h </w:instrText>
      </w:r>
      <w:r>
        <w:fldChar w:fldCharType="separate"/>
      </w:r>
      <w:r>
        <w:t>4</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"_Toc106177865" </w:instrText>
      </w:r>
      <w:r>
        <w:fldChar w:fldCharType="separate"/>
      </w:r>
      <w:r>
        <w:rPr>
          <w:rStyle w:val="46"/>
          <w:rFonts w:hint="eastAsia" w:eastAsia="宋体" w:cs="Arial"/>
        </w:rPr>
        <w:t>（一）报告编制依据</w:t>
      </w:r>
      <w:r>
        <w:tab/>
      </w:r>
      <w:r>
        <w:fldChar w:fldCharType="begin"/>
      </w:r>
      <w:r>
        <w:instrText xml:space="preserve"> PAGEREF _Toc106177865 \h </w:instrText>
      </w:r>
      <w:r>
        <w:fldChar w:fldCharType="separate"/>
      </w:r>
      <w:r>
        <w:t>4</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"_Toc106177866" </w:instrText>
      </w:r>
      <w:r>
        <w:fldChar w:fldCharType="separate"/>
      </w:r>
      <w:r>
        <w:rPr>
          <w:rStyle w:val="46"/>
          <w:rFonts w:hint="eastAsia" w:eastAsia="宋体" w:cs="Arial"/>
        </w:rPr>
        <w:t>（二）报告编制说明</w:t>
      </w:r>
      <w:r>
        <w:tab/>
      </w:r>
      <w:r>
        <w:fldChar w:fldCharType="begin"/>
      </w:r>
      <w:r>
        <w:instrText xml:space="preserve"> PAGEREF _Toc106177866 \h </w:instrText>
      </w:r>
      <w:r>
        <w:fldChar w:fldCharType="separate"/>
      </w:r>
      <w:r>
        <w:t>4</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"_Toc106177867" </w:instrText>
      </w:r>
      <w:r>
        <w:fldChar w:fldCharType="separate"/>
      </w:r>
      <w:r>
        <w:rPr>
          <w:rStyle w:val="46"/>
          <w:rFonts w:hint="eastAsia" w:eastAsia="宋体" w:cs="Arial"/>
        </w:rPr>
        <w:t>七、本报告使用说明</w:t>
      </w:r>
      <w:r>
        <w:tab/>
      </w:r>
      <w:r>
        <w:fldChar w:fldCharType="begin"/>
      </w:r>
      <w:r>
        <w:instrText xml:space="preserve"> PAGEREF _Toc106177867 \h </w:instrText>
      </w:r>
      <w:r>
        <w:fldChar w:fldCharType="separate"/>
      </w:r>
      <w:r>
        <w:t>5</w:t>
      </w:r>
      <w:r>
        <w:fldChar w:fldCharType="end"/>
      </w:r>
      <w:r>
        <w:fldChar w:fldCharType="end"/>
      </w:r>
    </w:p>
    <w:p>
      <w:pPr>
        <w:pStyle w:val="27"/>
        <w:rPr>
          <w:rFonts w:asciiTheme="minorHAnsi" w:hAnsiTheme="minorHAnsi" w:eastAsiaTheme="minorEastAsia" w:cstheme="minorBidi"/>
          <w:b w:val="0"/>
          <w:bCs w:val="0"/>
          <w:caps w:val="0"/>
          <w:kern w:val="2"/>
          <w:sz w:val="21"/>
          <w:szCs w:val="22"/>
        </w:rPr>
      </w:pPr>
      <w:r>
        <w:fldChar w:fldCharType="begin"/>
      </w:r>
      <w:r>
        <w:instrText xml:space="preserve"> HYPERLINK \l "_Toc106177868" </w:instrText>
      </w:r>
      <w:r>
        <w:fldChar w:fldCharType="separate"/>
      </w:r>
      <w:r>
        <w:rPr>
          <w:rStyle w:val="46"/>
          <w:rFonts w:hint="eastAsia" w:eastAsia="方正黑体简体"/>
        </w:rPr>
        <w:t>第二章</w:t>
      </w:r>
      <w:r>
        <w:rPr>
          <w:rStyle w:val="46"/>
          <w:rFonts w:eastAsia="方正黑体简体"/>
        </w:rPr>
        <w:t xml:space="preserve">  </w:t>
      </w:r>
      <w:r>
        <w:rPr>
          <w:rStyle w:val="46"/>
          <w:rFonts w:hint="eastAsia" w:eastAsia="方正黑体简体"/>
        </w:rPr>
        <w:t>项目建设条件评价</w:t>
      </w:r>
      <w:r>
        <w:tab/>
      </w:r>
      <w:r>
        <w:fldChar w:fldCharType="begin"/>
      </w:r>
      <w:r>
        <w:instrText xml:space="preserve"> PAGEREF _Toc106177868 \h </w:instrText>
      </w:r>
      <w:r>
        <w:fldChar w:fldCharType="separate"/>
      </w:r>
      <w:r>
        <w:t>6</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"_Toc106177869" </w:instrText>
      </w:r>
      <w:r>
        <w:fldChar w:fldCharType="separate"/>
      </w:r>
      <w:r>
        <w:rPr>
          <w:rStyle w:val="46"/>
          <w:rFonts w:hint="eastAsia" w:eastAsia="宋体" w:cs="Arial"/>
        </w:rPr>
        <w:t>一、项目建设内容、规模和建设方案</w:t>
      </w:r>
      <w:r>
        <w:tab/>
      </w:r>
      <w:r>
        <w:fldChar w:fldCharType="begin"/>
      </w:r>
      <w:r>
        <w:instrText xml:space="preserve"> PAGEREF _Toc106177869 \h </w:instrText>
      </w:r>
      <w:r>
        <w:fldChar w:fldCharType="separate"/>
      </w:r>
      <w:r>
        <w:t>6</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"_Toc106177870" </w:instrText>
      </w:r>
      <w:r>
        <w:fldChar w:fldCharType="separate"/>
      </w:r>
      <w:r>
        <w:rPr>
          <w:rStyle w:val="46"/>
          <w:rFonts w:hint="eastAsia" w:eastAsia="宋体" w:cs="Arial"/>
        </w:rPr>
        <w:t>（一）项目建设地点</w:t>
      </w:r>
      <w:r>
        <w:tab/>
      </w:r>
      <w:r>
        <w:fldChar w:fldCharType="begin"/>
      </w:r>
      <w:r>
        <w:instrText xml:space="preserve"> PAGEREF _Toc106177870 \h </w:instrText>
      </w:r>
      <w:r>
        <w:fldChar w:fldCharType="separate"/>
      </w:r>
      <w:r>
        <w:t>6</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"_Toc106177871" </w:instrText>
      </w:r>
      <w:r>
        <w:fldChar w:fldCharType="separate"/>
      </w:r>
      <w:r>
        <w:rPr>
          <w:rStyle w:val="46"/>
          <w:rFonts w:hint="eastAsia" w:eastAsia="宋体" w:cs="Arial"/>
        </w:rPr>
        <w:t>（二）项目建设规模及建造标准</w:t>
      </w:r>
      <w:r>
        <w:tab/>
      </w:r>
      <w:r>
        <w:fldChar w:fldCharType="begin"/>
      </w:r>
      <w:r>
        <w:instrText xml:space="preserve"> PAGEREF _Toc106177871 \h </w:instrText>
      </w:r>
      <w:r>
        <w:fldChar w:fldCharType="separate"/>
      </w:r>
      <w:r>
        <w:t>8</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"_Toc106177872" </w:instrText>
      </w:r>
      <w:r>
        <w:fldChar w:fldCharType="separate"/>
      </w:r>
      <w:r>
        <w:rPr>
          <w:rStyle w:val="46"/>
          <w:rFonts w:hint="eastAsia" w:eastAsia="宋体" w:cs="Arial"/>
        </w:rPr>
        <w:t>二、项目工程建设进程评价</w:t>
      </w:r>
      <w:r>
        <w:tab/>
      </w:r>
      <w:r>
        <w:fldChar w:fldCharType="begin"/>
      </w:r>
      <w:r>
        <w:instrText xml:space="preserve"> PAGEREF _Toc106177872 \h </w:instrText>
      </w:r>
      <w:r>
        <w:fldChar w:fldCharType="separate"/>
      </w:r>
      <w:r>
        <w:t>13</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"_Toc106177873" </w:instrText>
      </w:r>
      <w:r>
        <w:fldChar w:fldCharType="separate"/>
      </w:r>
      <w:r>
        <w:rPr>
          <w:rStyle w:val="46"/>
          <w:rFonts w:hint="eastAsia" w:eastAsia="宋体" w:cs="Arial"/>
        </w:rPr>
        <w:t>三、项目建设条件评价</w:t>
      </w:r>
      <w:r>
        <w:tab/>
      </w:r>
      <w:r>
        <w:fldChar w:fldCharType="begin"/>
      </w:r>
      <w:r>
        <w:instrText xml:space="preserve"> PAGEREF _Toc106177873 \h </w:instrText>
      </w:r>
      <w:r>
        <w:fldChar w:fldCharType="separate"/>
      </w:r>
      <w:r>
        <w:t>13</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"_Toc106177874" </w:instrText>
      </w:r>
      <w:r>
        <w:fldChar w:fldCharType="separate"/>
      </w:r>
      <w:r>
        <w:rPr>
          <w:rStyle w:val="46"/>
          <w:rFonts w:hint="eastAsia" w:eastAsia="宋体" w:cs="Arial"/>
        </w:rPr>
        <w:t>四、施工、监理单位资质评价</w:t>
      </w:r>
      <w:r>
        <w:tab/>
      </w:r>
      <w:r>
        <w:fldChar w:fldCharType="begin"/>
      </w:r>
      <w:r>
        <w:instrText xml:space="preserve"> PAGEREF _Toc106177874 \h </w:instrText>
      </w:r>
      <w:r>
        <w:fldChar w:fldCharType="separate"/>
      </w:r>
      <w:r>
        <w:t>13</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"_Toc106177875" </w:instrText>
      </w:r>
      <w:r>
        <w:fldChar w:fldCharType="separate"/>
      </w:r>
      <w:r>
        <w:rPr>
          <w:rStyle w:val="46"/>
          <w:rFonts w:hint="eastAsia" w:eastAsia="宋体" w:cs="Arial"/>
        </w:rPr>
        <w:t>五、环境保护评价</w:t>
      </w:r>
      <w:r>
        <w:tab/>
      </w:r>
      <w:r>
        <w:fldChar w:fldCharType="begin"/>
      </w:r>
      <w:r>
        <w:instrText xml:space="preserve"> PAGEREF _Toc106177875 \h </w:instrText>
      </w:r>
      <w:r>
        <w:fldChar w:fldCharType="separate"/>
      </w:r>
      <w:r>
        <w:t>13</w:t>
      </w:r>
      <w:r>
        <w:fldChar w:fldCharType="end"/>
      </w:r>
      <w:r>
        <w:fldChar w:fldCharType="end"/>
      </w:r>
    </w:p>
    <w:p>
      <w:pPr>
        <w:pStyle w:val="27"/>
        <w:rPr>
          <w:rFonts w:asciiTheme="minorHAnsi" w:hAnsiTheme="minorHAnsi" w:eastAsiaTheme="minorEastAsia" w:cstheme="minorBidi"/>
          <w:b w:val="0"/>
          <w:bCs w:val="0"/>
          <w:caps w:val="0"/>
          <w:kern w:val="2"/>
          <w:sz w:val="21"/>
          <w:szCs w:val="22"/>
        </w:rPr>
      </w:pPr>
      <w:r>
        <w:fldChar w:fldCharType="begin"/>
      </w:r>
      <w:r>
        <w:instrText xml:space="preserve"> HYPERLINK \l "_Toc106177876" </w:instrText>
      </w:r>
      <w:r>
        <w:fldChar w:fldCharType="separate"/>
      </w:r>
      <w:r>
        <w:rPr>
          <w:rStyle w:val="46"/>
          <w:rFonts w:hint="eastAsia" w:eastAsia="方正黑体简体"/>
        </w:rPr>
        <w:t>第三章</w:t>
      </w:r>
      <w:r>
        <w:rPr>
          <w:rStyle w:val="46"/>
          <w:rFonts w:eastAsia="方正黑体简体"/>
        </w:rPr>
        <w:t xml:space="preserve">  </w:t>
      </w:r>
      <w:r>
        <w:rPr>
          <w:rStyle w:val="46"/>
          <w:rFonts w:hint="eastAsia" w:eastAsia="方正黑体简体"/>
        </w:rPr>
        <w:t>市场评估</w:t>
      </w:r>
      <w:r>
        <w:tab/>
      </w:r>
      <w:r>
        <w:fldChar w:fldCharType="begin"/>
      </w:r>
      <w:r>
        <w:instrText xml:space="preserve"> PAGEREF _Toc106177876 \h </w:instrText>
      </w:r>
      <w:r>
        <w:fldChar w:fldCharType="separate"/>
      </w:r>
      <w:r>
        <w:t>14</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"_Toc106177877" </w:instrText>
      </w:r>
      <w:r>
        <w:fldChar w:fldCharType="separate"/>
      </w:r>
      <w:r>
        <w:rPr>
          <w:rStyle w:val="46"/>
          <w:rFonts w:hint="eastAsia" w:eastAsia="宋体" w:cs="Arial"/>
        </w:rPr>
        <w:t>一、市场环境评价</w:t>
      </w:r>
      <w:r>
        <w:tab/>
      </w:r>
      <w:r>
        <w:fldChar w:fldCharType="begin"/>
      </w:r>
      <w:r>
        <w:instrText xml:space="preserve"> PAGEREF _Toc106177877 \h </w:instrText>
      </w:r>
      <w:r>
        <w:fldChar w:fldCharType="separate"/>
      </w:r>
      <w:r>
        <w:t>14</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"_Toc106177878" </w:instrText>
      </w:r>
      <w:r>
        <w:fldChar w:fldCharType="separate"/>
      </w:r>
      <w:r>
        <w:rPr>
          <w:rStyle w:val="46"/>
          <w:rFonts w:hint="eastAsia" w:eastAsia="宋体" w:cs="Arial"/>
        </w:rPr>
        <w:t>（一）城市概况</w:t>
      </w:r>
      <w:r>
        <w:tab/>
      </w:r>
      <w:r>
        <w:fldChar w:fldCharType="begin"/>
      </w:r>
      <w:r>
        <w:instrText xml:space="preserve"> PAGEREF _Toc106177878 \h </w:instrText>
      </w:r>
      <w:r>
        <w:fldChar w:fldCharType="separate"/>
      </w:r>
      <w:r>
        <w:t>14</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"_Toc106177879" </w:instrText>
      </w:r>
      <w:r>
        <w:fldChar w:fldCharType="separate"/>
      </w:r>
      <w:r>
        <w:rPr>
          <w:rStyle w:val="46"/>
          <w:rFonts w:hint="eastAsia" w:eastAsia="宋体" w:cs="Arial"/>
        </w:rPr>
        <w:t>（二）经济运行概况（</w:t>
      </w:r>
      <w:r>
        <w:rPr>
          <w:rStyle w:val="46"/>
          <w:rFonts w:eastAsia="宋体" w:cs="Arial"/>
        </w:rPr>
        <w:t>2021</w:t>
      </w:r>
      <w:r>
        <w:rPr>
          <w:rStyle w:val="46"/>
          <w:rFonts w:hint="eastAsia" w:eastAsia="宋体" w:cs="Arial"/>
        </w:rPr>
        <w:t>年至</w:t>
      </w:r>
      <w:r>
        <w:rPr>
          <w:rStyle w:val="46"/>
          <w:rFonts w:eastAsia="宋体" w:cs="Arial"/>
        </w:rPr>
        <w:t>2022</w:t>
      </w:r>
      <w:r>
        <w:rPr>
          <w:rStyle w:val="46"/>
          <w:rFonts w:hint="eastAsia" w:eastAsia="宋体" w:cs="Arial"/>
        </w:rPr>
        <w:t>年</w:t>
      </w:r>
      <w:r>
        <w:rPr>
          <w:rStyle w:val="46"/>
          <w:rFonts w:eastAsia="宋体" w:cs="Arial"/>
        </w:rPr>
        <w:t>1</w:t>
      </w:r>
      <w:r>
        <w:rPr>
          <w:rStyle w:val="46"/>
          <w:rFonts w:hint="eastAsia" w:eastAsia="宋体" w:cs="Arial"/>
        </w:rPr>
        <w:t>季度）</w:t>
      </w:r>
      <w:r>
        <w:tab/>
      </w:r>
      <w:r>
        <w:fldChar w:fldCharType="begin"/>
      </w:r>
      <w:r>
        <w:instrText xml:space="preserve"> PAGEREF _Toc106177879 \h </w:instrText>
      </w:r>
      <w:r>
        <w:fldChar w:fldCharType="separate"/>
      </w:r>
      <w:r>
        <w:t>16</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"_Toc106177880" </w:instrText>
      </w:r>
      <w:r>
        <w:fldChar w:fldCharType="separate"/>
      </w:r>
      <w:r>
        <w:rPr>
          <w:rStyle w:val="46"/>
          <w:rFonts w:hint="eastAsia" w:eastAsia="宋体" w:cs="Arial"/>
        </w:rPr>
        <w:t>（四）土地市场概况</w:t>
      </w:r>
      <w:r>
        <w:tab/>
      </w:r>
      <w:r>
        <w:fldChar w:fldCharType="begin"/>
      </w:r>
      <w:r>
        <w:instrText xml:space="preserve"> PAGEREF _Toc106177880 \h </w:instrText>
      </w:r>
      <w:r>
        <w:fldChar w:fldCharType="separate"/>
      </w:r>
      <w:r>
        <w:t>20</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"_Toc106177881" </w:instrText>
      </w:r>
      <w:r>
        <w:fldChar w:fldCharType="separate"/>
      </w:r>
      <w:r>
        <w:rPr>
          <w:rStyle w:val="46"/>
          <w:rFonts w:hint="eastAsia" w:eastAsia="宋体" w:cs="Arial"/>
        </w:rPr>
        <w:t>（五）房地产市场概况</w:t>
      </w:r>
      <w:r>
        <w:tab/>
      </w:r>
      <w:r>
        <w:fldChar w:fldCharType="begin"/>
      </w:r>
      <w:r>
        <w:instrText xml:space="preserve"> PAGEREF _Toc106177881 \h </w:instrText>
      </w:r>
      <w:r>
        <w:fldChar w:fldCharType="separate"/>
      </w:r>
      <w:r>
        <w:t>24</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"_Toc106177882" </w:instrText>
      </w:r>
      <w:r>
        <w:fldChar w:fldCharType="separate"/>
      </w:r>
      <w:r>
        <w:rPr>
          <w:rStyle w:val="46"/>
          <w:rFonts w:hint="eastAsia" w:eastAsia="宋体" w:cs="Arial"/>
        </w:rPr>
        <w:t>（六）房地产政策</w:t>
      </w:r>
      <w:r>
        <w:tab/>
      </w:r>
      <w:r>
        <w:fldChar w:fldCharType="begin"/>
      </w:r>
      <w:r>
        <w:instrText xml:space="preserve"> PAGEREF _Toc106177882 \h </w:instrText>
      </w:r>
      <w:r>
        <w:fldChar w:fldCharType="separate"/>
      </w:r>
      <w:r>
        <w:t>30</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"_Toc106177883" </w:instrText>
      </w:r>
      <w:r>
        <w:fldChar w:fldCharType="separate"/>
      </w:r>
      <w:r>
        <w:rPr>
          <w:rStyle w:val="46"/>
          <w:rFonts w:hint="eastAsia" w:eastAsia="宋体" w:cs="Arial"/>
        </w:rPr>
        <w:t>（七）区域市场分析</w:t>
      </w:r>
      <w:r>
        <w:tab/>
      </w:r>
      <w:r>
        <w:fldChar w:fldCharType="begin"/>
      </w:r>
      <w:r>
        <w:instrText xml:space="preserve"> PAGEREF _Toc106177883 \h </w:instrText>
      </w:r>
      <w:r>
        <w:fldChar w:fldCharType="separate"/>
      </w:r>
      <w:r>
        <w:t>30</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"_Toc106177884" </w:instrText>
      </w:r>
      <w:r>
        <w:fldChar w:fldCharType="separate"/>
      </w:r>
      <w:r>
        <w:rPr>
          <w:rStyle w:val="46"/>
          <w:rFonts w:hint="eastAsia" w:eastAsia="宋体" w:cs="Arial"/>
        </w:rPr>
        <w:t>二、项目市场竞争能力分析</w:t>
      </w:r>
      <w:r>
        <w:tab/>
      </w:r>
      <w:r>
        <w:fldChar w:fldCharType="begin"/>
      </w:r>
      <w:r>
        <w:instrText xml:space="preserve"> PAGEREF _Toc106177884 \h </w:instrText>
      </w:r>
      <w:r>
        <w:fldChar w:fldCharType="separate"/>
      </w:r>
      <w:r>
        <w:t>58</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"_Toc106177885" </w:instrText>
      </w:r>
      <w:r>
        <w:fldChar w:fldCharType="separate"/>
      </w:r>
      <w:r>
        <w:rPr>
          <w:rStyle w:val="46"/>
          <w:rFonts w:hint="eastAsia" w:eastAsia="宋体" w:cs="Arial"/>
        </w:rPr>
        <w:t>（一）优势</w:t>
      </w:r>
      <w:r>
        <w:tab/>
      </w:r>
      <w:r>
        <w:fldChar w:fldCharType="begin"/>
      </w:r>
      <w:r>
        <w:instrText xml:space="preserve"> PAGEREF _Toc106177885 \h </w:instrText>
      </w:r>
      <w:r>
        <w:fldChar w:fldCharType="separate"/>
      </w:r>
      <w:r>
        <w:t>58</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"_Toc106177886" </w:instrText>
      </w:r>
      <w:r>
        <w:fldChar w:fldCharType="separate"/>
      </w:r>
      <w:r>
        <w:rPr>
          <w:rStyle w:val="46"/>
          <w:rFonts w:hint="eastAsia" w:eastAsia="宋体" w:cs="Arial"/>
        </w:rPr>
        <w:t>（二）劣势</w:t>
      </w:r>
      <w:r>
        <w:tab/>
      </w:r>
      <w:r>
        <w:fldChar w:fldCharType="begin"/>
      </w:r>
      <w:r>
        <w:instrText xml:space="preserve"> PAGEREF _Toc106177886 \h </w:instrText>
      </w:r>
      <w:r>
        <w:fldChar w:fldCharType="separate"/>
      </w:r>
      <w:r>
        <w:t>58</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"_Toc106177887" </w:instrText>
      </w:r>
      <w:r>
        <w:fldChar w:fldCharType="separate"/>
      </w:r>
      <w:r>
        <w:rPr>
          <w:rStyle w:val="46"/>
          <w:rFonts w:hint="eastAsia" w:eastAsia="宋体" w:cs="Arial"/>
        </w:rPr>
        <w:t>（三）机会</w:t>
      </w:r>
      <w:r>
        <w:tab/>
      </w:r>
      <w:r>
        <w:fldChar w:fldCharType="begin"/>
      </w:r>
      <w:r>
        <w:instrText xml:space="preserve"> PAGEREF _Toc106177887 \h </w:instrText>
      </w:r>
      <w:r>
        <w:fldChar w:fldCharType="separate"/>
      </w:r>
      <w:r>
        <w:t>58</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"_Toc106177888" </w:instrText>
      </w:r>
      <w:r>
        <w:fldChar w:fldCharType="separate"/>
      </w:r>
      <w:r>
        <w:rPr>
          <w:rStyle w:val="46"/>
          <w:rFonts w:hint="eastAsia" w:eastAsia="宋体" w:cs="Arial"/>
        </w:rPr>
        <w:t>（四）威胁</w:t>
      </w:r>
      <w:r>
        <w:tab/>
      </w:r>
      <w:r>
        <w:fldChar w:fldCharType="begin"/>
      </w:r>
      <w:r>
        <w:instrText xml:space="preserve"> PAGEREF _Toc106177888 \h </w:instrText>
      </w:r>
      <w:r>
        <w:fldChar w:fldCharType="separate"/>
      </w:r>
      <w:r>
        <w:t>58</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"_Toc106177889" </w:instrText>
      </w:r>
      <w:r>
        <w:fldChar w:fldCharType="separate"/>
      </w:r>
      <w:r>
        <w:rPr>
          <w:rStyle w:val="46"/>
          <w:rFonts w:hint="eastAsia" w:eastAsia="宋体" w:cs="Arial"/>
        </w:rPr>
        <w:t>三、市场前景预测</w:t>
      </w:r>
      <w:r>
        <w:tab/>
      </w:r>
      <w:r>
        <w:fldChar w:fldCharType="begin"/>
      </w:r>
      <w:r>
        <w:instrText xml:space="preserve"> PAGEREF _Toc106177889 \h </w:instrText>
      </w:r>
      <w:r>
        <w:fldChar w:fldCharType="separate"/>
      </w:r>
      <w:r>
        <w:t>58</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"_Toc106177890" </w:instrText>
      </w:r>
      <w:r>
        <w:fldChar w:fldCharType="separate"/>
      </w:r>
      <w:r>
        <w:rPr>
          <w:rStyle w:val="46"/>
          <w:rFonts w:hint="eastAsia" w:eastAsia="宋体" w:cs="Arial"/>
        </w:rPr>
        <w:t>（一）项目定位分析</w:t>
      </w:r>
      <w:r>
        <w:tab/>
      </w:r>
      <w:r>
        <w:fldChar w:fldCharType="begin"/>
      </w:r>
      <w:r>
        <w:instrText xml:space="preserve"> PAGEREF _Toc106177890 \h </w:instrText>
      </w:r>
      <w:r>
        <w:fldChar w:fldCharType="separate"/>
      </w:r>
      <w:r>
        <w:t>58</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"_Toc106177891" </w:instrText>
      </w:r>
      <w:r>
        <w:fldChar w:fldCharType="separate"/>
      </w:r>
      <w:r>
        <w:rPr>
          <w:rStyle w:val="46"/>
          <w:rFonts w:hint="eastAsia" w:eastAsia="宋体" w:cs="Arial"/>
        </w:rPr>
        <w:t>（二）项目销售价格定位分析</w:t>
      </w:r>
      <w:r>
        <w:tab/>
      </w:r>
      <w:r>
        <w:fldChar w:fldCharType="begin"/>
      </w:r>
      <w:r>
        <w:instrText xml:space="preserve"> PAGEREF _Toc106177891 \h </w:instrText>
      </w:r>
      <w:r>
        <w:fldChar w:fldCharType="separate"/>
      </w:r>
      <w:r>
        <w:t>59</w:t>
      </w:r>
      <w:r>
        <w:fldChar w:fldCharType="end"/>
      </w:r>
      <w:r>
        <w:fldChar w:fldCharType="end"/>
      </w:r>
    </w:p>
    <w:p>
      <w:pPr>
        <w:pStyle w:val="27"/>
        <w:rPr>
          <w:rFonts w:asciiTheme="minorHAnsi" w:hAnsiTheme="minorHAnsi" w:eastAsiaTheme="minorEastAsia" w:cstheme="minorBidi"/>
          <w:b w:val="0"/>
          <w:bCs w:val="0"/>
          <w:caps w:val="0"/>
          <w:kern w:val="2"/>
          <w:sz w:val="21"/>
          <w:szCs w:val="22"/>
        </w:rPr>
      </w:pPr>
      <w:r>
        <w:fldChar w:fldCharType="begin"/>
      </w:r>
      <w:r>
        <w:instrText xml:space="preserve"> HYPERLINK \l "_Toc106177892" </w:instrText>
      </w:r>
      <w:r>
        <w:fldChar w:fldCharType="separate"/>
      </w:r>
      <w:r>
        <w:rPr>
          <w:rStyle w:val="46"/>
          <w:rFonts w:hint="eastAsia" w:eastAsia="方正黑体简体"/>
        </w:rPr>
        <w:t>第四章</w:t>
      </w:r>
      <w:r>
        <w:rPr>
          <w:rStyle w:val="46"/>
          <w:rFonts w:eastAsia="方正黑体简体"/>
        </w:rPr>
        <w:t xml:space="preserve">  </w:t>
      </w:r>
      <w:r>
        <w:rPr>
          <w:rStyle w:val="46"/>
          <w:rFonts w:hint="eastAsia" w:eastAsia="方正黑体简体"/>
        </w:rPr>
        <w:t>投资估算和筹资评价</w:t>
      </w:r>
      <w:r>
        <w:tab/>
      </w:r>
      <w:r>
        <w:fldChar w:fldCharType="begin"/>
      </w:r>
      <w:r>
        <w:instrText xml:space="preserve"> PAGEREF _Toc106177892 \h </w:instrText>
      </w:r>
      <w:r>
        <w:fldChar w:fldCharType="separate"/>
      </w:r>
      <w:r>
        <w:t>60</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"_Toc106177893" </w:instrText>
      </w:r>
      <w:r>
        <w:fldChar w:fldCharType="separate"/>
      </w:r>
      <w:r>
        <w:rPr>
          <w:rStyle w:val="46"/>
          <w:rFonts w:hint="eastAsia" w:eastAsia="宋体" w:cs="Arial"/>
        </w:rPr>
        <w:t>一、投资估算</w:t>
      </w:r>
      <w:r>
        <w:tab/>
      </w:r>
      <w:r>
        <w:fldChar w:fldCharType="begin"/>
      </w:r>
      <w:r>
        <w:instrText xml:space="preserve"> PAGEREF _Toc106177893 \h </w:instrText>
      </w:r>
      <w:r>
        <w:fldChar w:fldCharType="separate"/>
      </w:r>
      <w:r>
        <w:t>60</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"_Toc106177894" </w:instrText>
      </w:r>
      <w:r>
        <w:fldChar w:fldCharType="separate"/>
      </w:r>
      <w:r>
        <w:rPr>
          <w:rStyle w:val="46"/>
          <w:rFonts w:hint="eastAsia" w:eastAsia="宋体" w:cs="Arial"/>
        </w:rPr>
        <w:t>（一）估算原则</w:t>
      </w:r>
      <w:r>
        <w:tab/>
      </w:r>
      <w:r>
        <w:fldChar w:fldCharType="begin"/>
      </w:r>
      <w:r>
        <w:instrText xml:space="preserve"> PAGEREF _Toc106177894 \h </w:instrText>
      </w:r>
      <w:r>
        <w:fldChar w:fldCharType="separate"/>
      </w:r>
      <w:r>
        <w:t>60</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"_Toc106177895" </w:instrText>
      </w:r>
      <w:r>
        <w:fldChar w:fldCharType="separate"/>
      </w:r>
      <w:r>
        <w:rPr>
          <w:rStyle w:val="46"/>
          <w:rFonts w:hint="eastAsia" w:eastAsia="宋体" w:cs="Arial"/>
        </w:rPr>
        <w:t>（二）投资构成及估算依据</w:t>
      </w:r>
      <w:r>
        <w:tab/>
      </w:r>
      <w:r>
        <w:fldChar w:fldCharType="begin"/>
      </w:r>
      <w:r>
        <w:instrText xml:space="preserve"> PAGEREF _Toc106177895 \h </w:instrText>
      </w:r>
      <w:r>
        <w:fldChar w:fldCharType="separate"/>
      </w:r>
      <w:r>
        <w:t>60</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"_Toc106177896" </w:instrText>
      </w:r>
      <w:r>
        <w:fldChar w:fldCharType="separate"/>
      </w:r>
      <w:r>
        <w:rPr>
          <w:rStyle w:val="46"/>
          <w:rFonts w:hint="eastAsia" w:eastAsia="宋体" w:cs="Arial"/>
        </w:rPr>
        <w:t>二、筹资评价</w:t>
      </w:r>
      <w:r>
        <w:tab/>
      </w:r>
      <w:r>
        <w:fldChar w:fldCharType="begin"/>
      </w:r>
      <w:r>
        <w:instrText xml:space="preserve"> PAGEREF _Toc106177896 \h </w:instrText>
      </w:r>
      <w:r>
        <w:fldChar w:fldCharType="separate"/>
      </w:r>
      <w:r>
        <w:t>63</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"_Toc106177897" </w:instrText>
      </w:r>
      <w:r>
        <w:fldChar w:fldCharType="separate"/>
      </w:r>
      <w:r>
        <w:rPr>
          <w:rStyle w:val="46"/>
          <w:rFonts w:hint="eastAsia" w:eastAsia="宋体" w:cs="Arial"/>
        </w:rPr>
        <w:t>三、投资计划安排</w:t>
      </w:r>
      <w:r>
        <w:tab/>
      </w:r>
      <w:r>
        <w:fldChar w:fldCharType="begin"/>
      </w:r>
      <w:r>
        <w:instrText xml:space="preserve"> PAGEREF _Toc106177897 \h </w:instrText>
      </w:r>
      <w:r>
        <w:fldChar w:fldCharType="separate"/>
      </w:r>
      <w:r>
        <w:t>63</w:t>
      </w:r>
      <w:r>
        <w:fldChar w:fldCharType="end"/>
      </w:r>
      <w:r>
        <w:fldChar w:fldCharType="end"/>
      </w:r>
    </w:p>
    <w:p>
      <w:pPr>
        <w:pStyle w:val="27"/>
        <w:rPr>
          <w:rFonts w:asciiTheme="minorHAnsi" w:hAnsiTheme="minorHAnsi" w:eastAsiaTheme="minorEastAsia" w:cstheme="minorBidi"/>
          <w:b w:val="0"/>
          <w:bCs w:val="0"/>
          <w:caps w:val="0"/>
          <w:kern w:val="2"/>
          <w:sz w:val="21"/>
          <w:szCs w:val="22"/>
        </w:rPr>
      </w:pPr>
      <w:r>
        <w:fldChar w:fldCharType="begin"/>
      </w:r>
      <w:r>
        <w:instrText xml:space="preserve"> HYPERLINK \l "_Toc106177898" </w:instrText>
      </w:r>
      <w:r>
        <w:fldChar w:fldCharType="separate"/>
      </w:r>
      <w:r>
        <w:rPr>
          <w:rStyle w:val="46"/>
          <w:rFonts w:hint="eastAsia" w:eastAsia="方正黑体简体"/>
        </w:rPr>
        <w:t>第五章</w:t>
      </w:r>
      <w:r>
        <w:rPr>
          <w:rStyle w:val="46"/>
          <w:rFonts w:eastAsia="方正黑体简体"/>
        </w:rPr>
        <w:t xml:space="preserve">  </w:t>
      </w:r>
      <w:r>
        <w:rPr>
          <w:rStyle w:val="46"/>
          <w:rFonts w:hint="eastAsia" w:eastAsia="方正黑体简体"/>
        </w:rPr>
        <w:t>项目效益</w:t>
      </w:r>
      <w:r>
        <w:tab/>
      </w:r>
      <w:r>
        <w:fldChar w:fldCharType="begin"/>
      </w:r>
      <w:r>
        <w:instrText xml:space="preserve"> PAGEREF _Toc106177898 \h </w:instrText>
      </w:r>
      <w:r>
        <w:fldChar w:fldCharType="separate"/>
      </w:r>
      <w:r>
        <w:t>65</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"_Toc106177899" </w:instrText>
      </w:r>
      <w:r>
        <w:fldChar w:fldCharType="separate"/>
      </w:r>
      <w:r>
        <w:rPr>
          <w:rStyle w:val="46"/>
          <w:rFonts w:hint="eastAsia" w:eastAsia="宋体" w:cs="Arial"/>
        </w:rPr>
        <w:t>一、测算原则及考虑因素</w:t>
      </w:r>
      <w:r>
        <w:tab/>
      </w:r>
      <w:r>
        <w:fldChar w:fldCharType="begin"/>
      </w:r>
      <w:r>
        <w:instrText xml:space="preserve"> PAGEREF _Toc106177899 \h </w:instrText>
      </w:r>
      <w:r>
        <w:fldChar w:fldCharType="separate"/>
      </w:r>
      <w:r>
        <w:t>65</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"_Toc106177900" </w:instrText>
      </w:r>
      <w:r>
        <w:fldChar w:fldCharType="separate"/>
      </w:r>
      <w:r>
        <w:rPr>
          <w:rStyle w:val="46"/>
          <w:rFonts w:hint="eastAsia" w:eastAsia="宋体" w:cs="Arial"/>
        </w:rPr>
        <w:t>二、预测数据的计取</w:t>
      </w:r>
      <w:r>
        <w:tab/>
      </w:r>
      <w:r>
        <w:fldChar w:fldCharType="begin"/>
      </w:r>
      <w:r>
        <w:instrText xml:space="preserve"> PAGEREF _Toc106177900 \h </w:instrText>
      </w:r>
      <w:r>
        <w:fldChar w:fldCharType="separate"/>
      </w:r>
      <w:r>
        <w:t>65</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"_Toc106177901" </w:instrText>
      </w:r>
      <w:r>
        <w:fldChar w:fldCharType="separate"/>
      </w:r>
      <w:r>
        <w:rPr>
          <w:rStyle w:val="46"/>
          <w:rFonts w:hint="eastAsia" w:eastAsia="宋体" w:cs="Arial"/>
        </w:rPr>
        <w:t>（一）收入测算</w:t>
      </w:r>
      <w:r>
        <w:tab/>
      </w:r>
      <w:r>
        <w:fldChar w:fldCharType="begin"/>
      </w:r>
      <w:r>
        <w:instrText xml:space="preserve"> PAGEREF _Toc106177901 \h </w:instrText>
      </w:r>
      <w:r>
        <w:fldChar w:fldCharType="separate"/>
      </w:r>
      <w:r>
        <w:t>65</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"_Toc106177902" </w:instrText>
      </w:r>
      <w:r>
        <w:fldChar w:fldCharType="separate"/>
      </w:r>
      <w:r>
        <w:rPr>
          <w:rStyle w:val="46"/>
          <w:rFonts w:hint="eastAsia" w:eastAsia="宋体" w:cs="Arial"/>
        </w:rPr>
        <w:t>（二）开发成本</w:t>
      </w:r>
      <w:r>
        <w:tab/>
      </w:r>
      <w:r>
        <w:fldChar w:fldCharType="begin"/>
      </w:r>
      <w:r>
        <w:instrText xml:space="preserve"> PAGEREF _Toc106177902 \h </w:instrText>
      </w:r>
      <w:r>
        <w:fldChar w:fldCharType="separate"/>
      </w:r>
      <w:r>
        <w:t>65</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"_Toc106177903" </w:instrText>
      </w:r>
      <w:r>
        <w:fldChar w:fldCharType="separate"/>
      </w:r>
      <w:r>
        <w:rPr>
          <w:rStyle w:val="46"/>
          <w:rFonts w:hint="eastAsia" w:eastAsia="宋体" w:cs="Arial"/>
        </w:rPr>
        <w:t>（三）利润分配</w:t>
      </w:r>
      <w:r>
        <w:tab/>
      </w:r>
      <w:r>
        <w:fldChar w:fldCharType="begin"/>
      </w:r>
      <w:r>
        <w:instrText xml:space="preserve"> PAGEREF _Toc106177903 \h </w:instrText>
      </w:r>
      <w:r>
        <w:fldChar w:fldCharType="separate"/>
      </w:r>
      <w:r>
        <w:t>66</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"_Toc106177904" </w:instrText>
      </w:r>
      <w:r>
        <w:fldChar w:fldCharType="separate"/>
      </w:r>
      <w:r>
        <w:rPr>
          <w:rStyle w:val="46"/>
          <w:rFonts w:hint="eastAsia" w:eastAsia="宋体" w:cs="Arial"/>
        </w:rPr>
        <w:t>三、项目财务效益测算</w:t>
      </w:r>
      <w:r>
        <w:tab/>
      </w:r>
      <w:r>
        <w:fldChar w:fldCharType="begin"/>
      </w:r>
      <w:r>
        <w:instrText xml:space="preserve"> PAGEREF _Toc106177904 \h </w:instrText>
      </w:r>
      <w:r>
        <w:fldChar w:fldCharType="separate"/>
      </w:r>
      <w:r>
        <w:t>67</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"_Toc106177905" </w:instrText>
      </w:r>
      <w:r>
        <w:fldChar w:fldCharType="separate"/>
      </w:r>
      <w:r>
        <w:rPr>
          <w:rStyle w:val="46"/>
          <w:rFonts w:hint="eastAsia" w:eastAsia="宋体" w:cs="Arial"/>
        </w:rPr>
        <w:t>（一）项目盈利能力预测</w:t>
      </w:r>
      <w:r>
        <w:tab/>
      </w:r>
      <w:r>
        <w:fldChar w:fldCharType="begin"/>
      </w:r>
      <w:r>
        <w:instrText xml:space="preserve"> PAGEREF _Toc106177905 \h </w:instrText>
      </w:r>
      <w:r>
        <w:fldChar w:fldCharType="separate"/>
      </w:r>
      <w:r>
        <w:t>67</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"_Toc106177906" </w:instrText>
      </w:r>
      <w:r>
        <w:fldChar w:fldCharType="separate"/>
      </w:r>
      <w:r>
        <w:rPr>
          <w:rStyle w:val="46"/>
          <w:rFonts w:hint="eastAsia" w:eastAsia="宋体" w:cs="Arial"/>
        </w:rPr>
        <w:t>（二）项目财务效益预测</w:t>
      </w:r>
      <w:r>
        <w:tab/>
      </w:r>
      <w:r>
        <w:fldChar w:fldCharType="begin"/>
      </w:r>
      <w:r>
        <w:instrText xml:space="preserve"> PAGEREF _Toc106177906 \h </w:instrText>
      </w:r>
      <w:r>
        <w:fldChar w:fldCharType="separate"/>
      </w:r>
      <w:r>
        <w:t>67</w:t>
      </w:r>
      <w:r>
        <w:fldChar w:fldCharType="end"/>
      </w:r>
      <w:r>
        <w:fldChar w:fldCharType="end"/>
      </w:r>
    </w:p>
    <w:p>
      <w:pPr>
        <w:pStyle w:val="27"/>
        <w:rPr>
          <w:rFonts w:asciiTheme="minorHAnsi" w:hAnsiTheme="minorHAnsi" w:eastAsiaTheme="minorEastAsia" w:cstheme="minorBidi"/>
          <w:b w:val="0"/>
          <w:bCs w:val="0"/>
          <w:caps w:val="0"/>
          <w:kern w:val="2"/>
          <w:sz w:val="21"/>
          <w:szCs w:val="22"/>
        </w:rPr>
      </w:pPr>
      <w:r>
        <w:fldChar w:fldCharType="begin"/>
      </w:r>
      <w:r>
        <w:instrText xml:space="preserve"> HYPERLINK \l "_Toc106177907" </w:instrText>
      </w:r>
      <w:r>
        <w:fldChar w:fldCharType="separate"/>
      </w:r>
      <w:r>
        <w:rPr>
          <w:rStyle w:val="46"/>
          <w:rFonts w:hint="eastAsia" w:eastAsia="方正黑体简体"/>
        </w:rPr>
        <w:t>第六章</w:t>
      </w:r>
      <w:r>
        <w:rPr>
          <w:rStyle w:val="46"/>
          <w:rFonts w:eastAsia="方正黑体简体"/>
        </w:rPr>
        <w:t xml:space="preserve">  </w:t>
      </w:r>
      <w:r>
        <w:rPr>
          <w:rStyle w:val="46"/>
          <w:rFonts w:hint="eastAsia" w:eastAsia="方正黑体简体"/>
        </w:rPr>
        <w:t>项目效应与风险评价</w:t>
      </w:r>
      <w:r>
        <w:tab/>
      </w:r>
      <w:r>
        <w:fldChar w:fldCharType="begin"/>
      </w:r>
      <w:r>
        <w:instrText xml:space="preserve"> PAGEREF _Toc106177907 \h </w:instrText>
      </w:r>
      <w:r>
        <w:fldChar w:fldCharType="separate"/>
      </w:r>
      <w:r>
        <w:t>68</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"_Toc106177908" </w:instrText>
      </w:r>
      <w:r>
        <w:fldChar w:fldCharType="separate"/>
      </w:r>
      <w:r>
        <w:rPr>
          <w:rStyle w:val="46"/>
          <w:rFonts w:hint="eastAsia" w:eastAsia="宋体" w:cs="Arial"/>
        </w:rPr>
        <w:t>一、风险评价及防范措施</w:t>
      </w:r>
      <w:r>
        <w:tab/>
      </w:r>
      <w:r>
        <w:fldChar w:fldCharType="begin"/>
      </w:r>
      <w:r>
        <w:instrText xml:space="preserve"> PAGEREF _Toc106177908 \h </w:instrText>
      </w:r>
      <w:r>
        <w:fldChar w:fldCharType="separate"/>
      </w:r>
      <w:r>
        <w:t>68</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"_Toc106177909" </w:instrText>
      </w:r>
      <w:r>
        <w:fldChar w:fldCharType="separate"/>
      </w:r>
      <w:r>
        <w:rPr>
          <w:rStyle w:val="46"/>
          <w:rFonts w:hint="eastAsia" w:eastAsia="宋体" w:cs="Arial"/>
        </w:rPr>
        <w:t>二、项目效应评价</w:t>
      </w:r>
      <w:r>
        <w:tab/>
      </w:r>
      <w:r>
        <w:fldChar w:fldCharType="begin"/>
      </w:r>
      <w:r>
        <w:instrText xml:space="preserve"> PAGEREF _Toc106177909 \h </w:instrText>
      </w:r>
      <w:r>
        <w:fldChar w:fldCharType="separate"/>
      </w:r>
      <w:r>
        <w:t>69</w:t>
      </w:r>
      <w:r>
        <w:fldChar w:fldCharType="end"/>
      </w:r>
      <w:r>
        <w:fldChar w:fldCharType="end"/>
      </w:r>
    </w:p>
    <w:p>
      <w:pPr>
        <w:pStyle w:val="27"/>
        <w:rPr>
          <w:rFonts w:asciiTheme="minorHAnsi" w:hAnsiTheme="minorHAnsi" w:eastAsiaTheme="minorEastAsia" w:cstheme="minorBidi"/>
          <w:b w:val="0"/>
          <w:bCs w:val="0"/>
          <w:caps w:val="0"/>
          <w:kern w:val="2"/>
          <w:sz w:val="21"/>
          <w:szCs w:val="22"/>
        </w:rPr>
      </w:pPr>
      <w:r>
        <w:fldChar w:fldCharType="begin"/>
      </w:r>
      <w:r>
        <w:instrText xml:space="preserve"> HYPERLINK \l "_Toc106177910" </w:instrText>
      </w:r>
      <w:r>
        <w:fldChar w:fldCharType="separate"/>
      </w:r>
      <w:r>
        <w:rPr>
          <w:rStyle w:val="46"/>
          <w:rFonts w:hint="eastAsia" w:eastAsia="方正黑体简体"/>
        </w:rPr>
        <w:t>第七章</w:t>
      </w:r>
      <w:r>
        <w:rPr>
          <w:rStyle w:val="46"/>
          <w:rFonts w:eastAsia="方正黑体简体"/>
        </w:rPr>
        <w:t xml:space="preserve">  </w:t>
      </w:r>
      <w:r>
        <w:rPr>
          <w:rStyle w:val="46"/>
          <w:rFonts w:hint="eastAsia" w:eastAsia="方正黑体简体"/>
        </w:rPr>
        <w:t>结论</w:t>
      </w:r>
      <w:r>
        <w:tab/>
      </w:r>
      <w:r>
        <w:fldChar w:fldCharType="begin"/>
      </w:r>
      <w:r>
        <w:instrText xml:space="preserve"> PAGEREF _Toc106177910 \h </w:instrText>
      </w:r>
      <w:r>
        <w:fldChar w:fldCharType="separate"/>
      </w:r>
      <w:r>
        <w:t>70</w:t>
      </w:r>
      <w:r>
        <w:fldChar w:fldCharType="end"/>
      </w:r>
      <w:r>
        <w:fldChar w:fldCharType="end"/>
      </w:r>
    </w:p>
    <w:p>
      <w:pPr>
        <w:pStyle w:val="30"/>
        <w:rPr>
          <w:rFonts w:asciiTheme="minorHAnsi" w:hAnsiTheme="minorHAnsi" w:eastAsiaTheme="minorEastAsia" w:cstheme="minorBidi"/>
          <w:smallCaps w:val="0"/>
          <w:kern w:val="2"/>
          <w:sz w:val="21"/>
          <w:szCs w:val="22"/>
        </w:rPr>
      </w:pPr>
      <w:r>
        <w:fldChar w:fldCharType="begin"/>
      </w:r>
      <w:r>
        <w:instrText xml:space="preserve"> HYPERLINK \l "_Toc106177911" </w:instrText>
      </w:r>
      <w:r>
        <w:fldChar w:fldCharType="separate"/>
      </w:r>
      <w:r>
        <w:rPr>
          <w:rStyle w:val="46"/>
          <w:rFonts w:hint="eastAsia" w:eastAsia="宋体" w:cs="Arial"/>
          <w:bCs/>
        </w:rPr>
        <w:t>附件：</w:t>
      </w:r>
      <w:r>
        <w:tab/>
      </w:r>
      <w:r>
        <w:fldChar w:fldCharType="begin"/>
      </w:r>
      <w:r>
        <w:instrText xml:space="preserve"> PAGEREF _Toc106177911 \h </w:instrText>
      </w:r>
      <w:r>
        <w:fldChar w:fldCharType="separate"/>
      </w:r>
      <w:r>
        <w:t>71</w:t>
      </w:r>
      <w:r>
        <w:fldChar w:fldCharType="end"/>
      </w:r>
      <w:r>
        <w:fldChar w:fldCharType="end"/>
      </w:r>
    </w:p>
    <w:p>
      <w:pPr>
        <w:pStyle w:val="27"/>
        <w:rPr>
          <w:sz w:val="28"/>
          <w:szCs w:val="28"/>
        </w:rPr>
        <w:sectPr>
          <w:headerReference r:id="rId8" w:type="first"/>
          <w:headerReference r:id="rId7" w:type="even"/>
          <w:pgSz w:w="11906" w:h="16838"/>
          <w:pgMar w:top="1843" w:right="1304" w:bottom="1134" w:left="1304" w:header="1134" w:footer="907" w:gutter="0"/>
          <w:cols w:space="425" w:num="1"/>
          <w:titlePg/>
          <w:docGrid w:linePitch="312" w:charSpace="0"/>
        </w:sectPr>
      </w:pPr>
      <w:r>
        <w:rPr>
          <w:b w:val="0"/>
          <w:kern w:val="44"/>
        </w:rPr>
        <w:fldChar w:fldCharType="end"/>
      </w:r>
    </w:p>
    <w:p>
      <w:pPr>
        <w:pStyle w:val="21"/>
        <w:adjustRightInd w:val="0"/>
        <w:snapToGrid w:val="0"/>
        <w:spacing w:line="360" w:lineRule="auto"/>
        <w:jc w:val="center"/>
        <w:rPr>
          <w:rFonts w:ascii="Arial" w:hAnsi="Arial" w:cs="Arial"/>
          <w:b/>
          <w:bCs/>
          <w:sz w:val="36"/>
          <w:szCs w:val="36"/>
        </w:rPr>
      </w:pPr>
      <w:bookmarkStart w:id="4" w:name="_Toc23442386"/>
      <w:bookmarkStart w:id="5" w:name="_Toc44300246"/>
    </w:p>
    <w:bookmarkEnd w:id="4"/>
    <w:bookmarkEnd w:id="5"/>
    <w:p>
      <w:pPr>
        <w:pStyle w:val="21"/>
        <w:adjustRightInd w:val="0"/>
        <w:spacing w:line="360" w:lineRule="auto"/>
        <w:jc w:val="center"/>
        <w:rPr>
          <w:rFonts w:ascii="Arial" w:hAnsi="Arial" w:cs="Arial"/>
          <w:b/>
          <w:bCs/>
          <w:sz w:val="36"/>
          <w:szCs w:val="36"/>
        </w:rPr>
      </w:pPr>
      <w:bookmarkStart w:id="6" w:name="_Toc23442387"/>
      <w:bookmarkStart w:id="7" w:name="_Toc128908939"/>
      <w:bookmarkStart w:id="8" w:name="_Toc130631258"/>
      <w:bookmarkStart w:id="9" w:name="_Toc130704487"/>
      <w:bookmarkStart w:id="10" w:name="_Toc129679652"/>
      <w:bookmarkStart w:id="11" w:name="_Toc121717481"/>
      <w:bookmarkStart w:id="12" w:name="_Toc130630838"/>
      <w:bookmarkStart w:id="13" w:name="_Toc122491988"/>
      <w:bookmarkStart w:id="14" w:name="_Toc130630780"/>
      <w:bookmarkStart w:id="15" w:name="_Toc130797594"/>
      <w:bookmarkStart w:id="16" w:name="_Toc130707120"/>
      <w:bookmarkStart w:id="17" w:name="_Toc122492077"/>
      <w:bookmarkStart w:id="18" w:name="_Toc129679597"/>
      <w:bookmarkStart w:id="19" w:name="_Toc130630902"/>
      <w:bookmarkStart w:id="20" w:name="_Toc121755304"/>
      <w:bookmarkStart w:id="21" w:name="_Toc121717650"/>
      <w:r>
        <w:rPr>
          <w:rFonts w:hint="eastAsia" w:ascii="Arial" w:hAnsi="Arial" w:cs="Arial"/>
          <w:b/>
          <w:bCs/>
          <w:sz w:val="36"/>
          <w:szCs w:val="36"/>
        </w:rPr>
        <w:t>浙江省温州市永嘉县瓯北清水埠片区ZX-H2-22、ZX-H2-24地块居住项目可行性研究报告</w:t>
      </w:r>
      <w:bookmarkEnd w:id="6"/>
    </w:p>
    <w:p>
      <w:pPr>
        <w:pStyle w:val="4"/>
        <w:spacing w:before="240" w:line="240" w:lineRule="auto"/>
        <w:rPr>
          <w:rFonts w:ascii="Arial" w:hAnsi="Arial" w:eastAsia="方正黑体简体" w:cs="Arial"/>
          <w:b w:val="0"/>
          <w:bCs/>
          <w:sz w:val="32"/>
          <w:szCs w:val="32"/>
        </w:rPr>
      </w:pPr>
      <w:bookmarkStart w:id="22" w:name="_Toc514916923"/>
      <w:bookmarkStart w:id="23" w:name="_Toc514769665"/>
      <w:bookmarkStart w:id="24" w:name="_Toc23442388"/>
      <w:bookmarkStart w:id="25" w:name="_Toc106177857"/>
      <w:bookmarkStart w:id="26" w:name="_Toc514917276"/>
      <w:bookmarkStart w:id="27" w:name="_Toc514917348"/>
      <w:bookmarkStart w:id="28" w:name="_Toc74250048"/>
      <w:r>
        <w:rPr>
          <w:rFonts w:ascii="Arial" w:hAnsi="Arial" w:eastAsia="方正黑体简体" w:cs="Arial"/>
          <w:b w:val="0"/>
          <w:bCs/>
          <w:sz w:val="32"/>
          <w:szCs w:val="32"/>
        </w:rPr>
        <w:t>〔内容提要〕</w:t>
      </w:r>
      <w:bookmarkEnd w:id="22"/>
      <w:bookmarkEnd w:id="23"/>
      <w:bookmarkEnd w:id="24"/>
      <w:bookmarkEnd w:id="25"/>
      <w:bookmarkEnd w:id="26"/>
      <w:bookmarkEnd w:id="27"/>
      <w:bookmarkEnd w:id="28"/>
    </w:p>
    <w:p>
      <w:pPr>
        <w:pStyle w:val="21"/>
        <w:spacing w:line="480" w:lineRule="auto"/>
        <w:rPr>
          <w:rFonts w:ascii="Arial" w:hAnsi="Arial" w:cs="Arial"/>
          <w:b/>
          <w:bCs/>
        </w:rPr>
      </w:pPr>
      <w:bookmarkStart w:id="29" w:name="_Toc133693353"/>
      <w:bookmarkStart w:id="30" w:name="_Toc415468956"/>
      <w:bookmarkStart w:id="31" w:name="_Toc111622538"/>
      <w:bookmarkStart w:id="32" w:name="_Toc76889704"/>
      <w:r>
        <w:rPr>
          <w:rFonts w:hint="eastAsia" w:ascii="Arial" w:hAnsi="Arial" w:cs="Arial"/>
          <w:b/>
          <w:bCs/>
        </w:rPr>
        <w:t>五矿国际信托有限公司：</w:t>
      </w:r>
      <w:bookmarkEnd w:id="29"/>
    </w:p>
    <w:p>
      <w:pPr>
        <w:pStyle w:val="21"/>
        <w:adjustRightInd w:val="0"/>
        <w:snapToGrid w:val="0"/>
        <w:spacing w:line="480" w:lineRule="auto"/>
        <w:ind w:firstLine="472" w:firstLineChars="196"/>
        <w:jc w:val="both"/>
        <w:rPr>
          <w:rFonts w:ascii="Arial" w:hAnsi="Arial" w:cs="Arial"/>
          <w:b/>
          <w:bCs/>
          <w:szCs w:val="24"/>
        </w:rPr>
      </w:pPr>
      <w:r>
        <w:rPr>
          <w:rFonts w:hint="eastAsia" w:ascii="Arial" w:hAnsi="Arial" w:cs="Arial"/>
          <w:b/>
          <w:bCs/>
          <w:szCs w:val="24"/>
        </w:rPr>
        <w:t>受贵公司委托，我公司对浙江省温州市永嘉县瓯北清水埠片区ZX-H2-22、ZX-H2-24地块居住项目进行了调查分析，形成了房地产开发项目可行性研究报告。本</w:t>
      </w:r>
      <w:r>
        <w:rPr>
          <w:rFonts w:ascii="Arial" w:hAnsi="Arial" w:cs="Arial"/>
          <w:b/>
          <w:bCs/>
          <w:szCs w:val="24"/>
        </w:rPr>
        <w:t>报告从项目概况、项目投资环境、房地产市场分析、项目投资估算、项目经济效益分析、项目风险分析等方面进行了较为全面的分析研究，主要内容摘录如下：</w:t>
      </w:r>
    </w:p>
    <w:p>
      <w:pPr>
        <w:adjustRightInd w:val="0"/>
        <w:snapToGrid w:val="0"/>
        <w:spacing w:line="480" w:lineRule="auto"/>
        <w:ind w:firstLine="482" w:firstLineChars="200"/>
        <w:jc w:val="both"/>
        <w:rPr>
          <w:rFonts w:ascii="Arial" w:hAnsi="Arial" w:cs="Arial"/>
          <w:b/>
          <w:bCs/>
        </w:rPr>
      </w:pPr>
      <w:r>
        <w:rPr>
          <w:rFonts w:ascii="Arial" w:hAnsi="Arial" w:cs="Arial"/>
          <w:b/>
          <w:bCs/>
        </w:rPr>
        <w:t>建设项目为</w:t>
      </w:r>
      <w:r>
        <w:rPr>
          <w:rFonts w:hint="eastAsia" w:ascii="Arial" w:hAnsi="Arial" w:cs="Arial"/>
          <w:b/>
          <w:bCs/>
        </w:rPr>
        <w:t>浙江省温州市永嘉县瓯北清水埠片区ZX-H2-22、ZX-H2-24地块居住项目，该项目正在挂牌公示，尚未成交。</w:t>
      </w:r>
    </w:p>
    <w:p>
      <w:pPr>
        <w:adjustRightInd w:val="0"/>
        <w:snapToGrid w:val="0"/>
        <w:spacing w:line="480" w:lineRule="auto"/>
        <w:ind w:firstLine="482" w:firstLineChars="200"/>
        <w:jc w:val="both"/>
        <w:rPr>
          <w:rFonts w:ascii="Arial" w:hAnsi="Arial" w:cs="Arial"/>
          <w:b/>
          <w:bCs/>
        </w:rPr>
      </w:pPr>
      <w:r>
        <w:rPr>
          <w:rFonts w:ascii="Arial" w:hAnsi="Arial" w:cs="Arial"/>
          <w:b/>
          <w:bCs/>
        </w:rPr>
        <w:t>根据建设单位提供的</w:t>
      </w:r>
      <w:r>
        <w:rPr>
          <w:rFonts w:hint="eastAsia" w:ascii="Arial" w:hAnsi="Arial" w:cs="Arial"/>
          <w:b/>
          <w:bCs/>
        </w:rPr>
        <w:t>资料</w:t>
      </w:r>
      <w:r>
        <w:rPr>
          <w:rFonts w:ascii="Arial" w:hAnsi="Arial" w:cs="Arial"/>
          <w:b/>
          <w:bCs/>
        </w:rPr>
        <w:t>，</w:t>
      </w:r>
      <w:r>
        <w:rPr>
          <w:rFonts w:hint="eastAsia" w:ascii="Arial" w:hAnsi="Arial" w:cs="Arial"/>
          <w:b/>
          <w:bCs/>
        </w:rPr>
        <w:t>总用地面积为60343平方米，规划总建筑面积为248573.95平方米，地上计容建筑面积为172855.95平方米。</w:t>
      </w:r>
    </w:p>
    <w:p>
      <w:pPr>
        <w:adjustRightInd w:val="0"/>
        <w:snapToGrid w:val="0"/>
        <w:spacing w:line="480" w:lineRule="auto"/>
        <w:ind w:firstLine="482" w:firstLineChars="200"/>
        <w:jc w:val="both"/>
        <w:rPr>
          <w:rFonts w:ascii="Arial" w:hAnsi="Arial" w:cs="Arial"/>
          <w:b/>
          <w:bCs/>
        </w:rPr>
      </w:pPr>
      <w:r>
        <w:rPr>
          <w:rFonts w:hint="eastAsia" w:ascii="Arial" w:hAnsi="Arial" w:cs="Arial"/>
          <w:b/>
          <w:bCs/>
        </w:rPr>
        <w:t>ZX-H2-22地块总用地面积为54899平方米，规划总建筑面积为235835.95平方米，地上计容总建筑面积为164695.95平方米（其中：住宅146016.95平方米（商品住宅19086.95平方米，安置住宅126930平方米）、商业用房15307平方米、配套用房3372平方米）；地下总建筑面积为71141平方米，规划为地下车库、设备及人防。</w:t>
      </w:r>
    </w:p>
    <w:p>
      <w:pPr>
        <w:adjustRightInd w:val="0"/>
        <w:snapToGrid w:val="0"/>
        <w:spacing w:line="480" w:lineRule="auto"/>
        <w:ind w:firstLine="482" w:firstLineChars="200"/>
        <w:jc w:val="both"/>
        <w:rPr>
          <w:rFonts w:ascii="Arial" w:hAnsi="Arial" w:cs="Arial"/>
          <w:b/>
          <w:bCs/>
        </w:rPr>
      </w:pPr>
      <w:r>
        <w:rPr>
          <w:rFonts w:hint="eastAsia" w:ascii="Arial" w:hAnsi="Arial" w:cs="Arial"/>
          <w:b/>
          <w:bCs/>
        </w:rPr>
        <w:t>ZX-H2-24地块总用地面积为5444平方米，规划总建筑面积为12738平方米，地上计容总建筑面积为8160平方米（其中：农贸市场7200平方米，配套用房960平方米）；地下总建筑面积为4578平方米，规划为地下车库、设备及人防。</w:t>
      </w:r>
    </w:p>
    <w:p>
      <w:pPr>
        <w:widowControl w:val="0"/>
        <w:adjustRightInd w:val="0"/>
        <w:snapToGrid w:val="0"/>
        <w:spacing w:line="480" w:lineRule="auto"/>
        <w:ind w:firstLine="479" w:firstLineChars="199"/>
        <w:jc w:val="both"/>
        <w:rPr>
          <w:rFonts w:ascii="Arial" w:hAnsi="Arial" w:cs="Arial"/>
          <w:b/>
          <w:bCs/>
          <w:color w:val="000000"/>
        </w:rPr>
      </w:pPr>
      <w:r>
        <w:rPr>
          <w:rFonts w:ascii="Arial" w:hAnsi="Arial" w:cs="Arial"/>
          <w:b/>
          <w:bCs/>
          <w:color w:val="000000"/>
        </w:rPr>
        <w:t>建设项</w:t>
      </w:r>
      <w:r>
        <w:rPr>
          <w:rFonts w:hint="eastAsia" w:ascii="Arial" w:hAnsi="Arial" w:cs="Arial"/>
          <w:b/>
          <w:bCs/>
        </w:rPr>
        <w:t>目总投资为95882万元，经测算项目可实现销售收入107481万元，税前利润</w:t>
      </w:r>
      <w:r>
        <w:rPr>
          <w:rFonts w:hint="eastAsia" w:ascii="Arial" w:hAnsi="Arial" w:cs="Arial"/>
          <w:b/>
          <w:bCs/>
          <w:highlight w:val="none"/>
        </w:rPr>
        <w:t>总额6111万元，税后利润总额4583万元</w:t>
      </w:r>
      <w:r>
        <w:rPr>
          <w:rFonts w:hint="eastAsia" w:ascii="Arial" w:hAnsi="Arial" w:cs="Arial"/>
          <w:b/>
          <w:bCs/>
        </w:rPr>
        <w:t>，销售利润率为正，</w:t>
      </w:r>
      <w:r>
        <w:rPr>
          <w:rFonts w:hint="eastAsia" w:ascii="Arial" w:hAnsi="Arial" w:cs="Arial"/>
          <w:b/>
          <w:bCs/>
          <w:color w:val="000000"/>
        </w:rPr>
        <w:t>表明项目具备盈利能力。项目内部收益率50.88</w:t>
      </w:r>
      <w:r>
        <w:rPr>
          <w:rFonts w:ascii="Arial" w:hAnsi="Arial" w:cs="Arial"/>
          <w:b/>
          <w:bCs/>
          <w:color w:val="000000"/>
        </w:rPr>
        <w:t>%</w:t>
      </w:r>
      <w:r>
        <w:rPr>
          <w:rFonts w:hint="eastAsia" w:ascii="Arial" w:hAnsi="Arial" w:cs="Arial"/>
          <w:b/>
          <w:bCs/>
          <w:color w:val="000000"/>
        </w:rPr>
        <w:t>，</w:t>
      </w:r>
      <w:r>
        <w:rPr>
          <w:rFonts w:ascii="Arial" w:hAnsi="Arial" w:cs="Arial"/>
          <w:b/>
          <w:bCs/>
          <w:color w:val="000000"/>
        </w:rPr>
        <w:t>在基准折现率</w:t>
      </w:r>
      <w:r>
        <w:rPr>
          <w:rFonts w:hint="eastAsia" w:ascii="Arial" w:hAnsi="Arial" w:cs="Arial"/>
          <w:b/>
          <w:bCs/>
          <w:color w:val="000000"/>
        </w:rPr>
        <w:t>8</w:t>
      </w:r>
      <w:r>
        <w:rPr>
          <w:rFonts w:ascii="Arial" w:hAnsi="Arial" w:cs="Arial"/>
          <w:b/>
          <w:bCs/>
          <w:color w:val="000000"/>
        </w:rPr>
        <w:t>%的条件下，财务净现值</w:t>
      </w:r>
      <w:r>
        <w:rPr>
          <w:rFonts w:hint="eastAsia" w:ascii="Arial" w:hAnsi="Arial" w:cs="Arial"/>
          <w:b/>
          <w:bCs/>
          <w:color w:val="000000"/>
        </w:rPr>
        <w:t>3418</w:t>
      </w:r>
      <w:r>
        <w:rPr>
          <w:rFonts w:ascii="Arial" w:hAnsi="Arial" w:cs="Arial"/>
          <w:b/>
          <w:bCs/>
          <w:color w:val="000000"/>
        </w:rPr>
        <w:t>万元。财务内部收益率</w:t>
      </w:r>
      <w:r>
        <w:rPr>
          <w:rFonts w:hint="eastAsia" w:ascii="Arial" w:hAnsi="Arial" w:cs="Arial"/>
          <w:b/>
          <w:bCs/>
          <w:color w:val="000000"/>
        </w:rPr>
        <w:t>大于</w:t>
      </w:r>
      <w:r>
        <w:rPr>
          <w:rFonts w:ascii="Arial" w:hAnsi="Arial" w:cs="Arial"/>
          <w:b/>
          <w:bCs/>
          <w:color w:val="000000"/>
        </w:rPr>
        <w:t>基准折现率，财务净现值</w:t>
      </w:r>
      <w:r>
        <w:rPr>
          <w:rFonts w:hint="eastAsia" w:ascii="Arial" w:hAnsi="Arial" w:cs="Arial"/>
          <w:b/>
          <w:bCs/>
          <w:color w:val="000000"/>
        </w:rPr>
        <w:t>大于</w:t>
      </w:r>
      <w:r>
        <w:rPr>
          <w:rFonts w:ascii="Arial" w:hAnsi="Arial" w:cs="Arial"/>
          <w:b/>
          <w:bCs/>
          <w:color w:val="000000"/>
        </w:rPr>
        <w:t>零，表明项目在财务上是可行的。</w:t>
      </w:r>
    </w:p>
    <w:p>
      <w:pPr>
        <w:widowControl w:val="0"/>
        <w:adjustRightInd w:val="0"/>
        <w:snapToGrid w:val="0"/>
        <w:spacing w:line="480" w:lineRule="auto"/>
        <w:ind w:firstLine="479" w:firstLineChars="199"/>
        <w:rPr>
          <w:rFonts w:ascii="Arial" w:hAnsi="Arial" w:cs="Arial"/>
          <w:b/>
          <w:bCs/>
        </w:rPr>
        <w:sectPr>
          <w:headerReference r:id="rId11" w:type="first"/>
          <w:footerReference r:id="rId13" w:type="first"/>
          <w:headerReference r:id="rId9" w:type="default"/>
          <w:footerReference r:id="rId12" w:type="default"/>
          <w:headerReference r:id="rId10" w:type="even"/>
          <w:pgSz w:w="11906" w:h="16838"/>
          <w:pgMar w:top="1843" w:right="1304" w:bottom="1134" w:left="1304" w:header="1134" w:footer="907" w:gutter="0"/>
          <w:pgNumType w:start="1"/>
          <w:cols w:space="425" w:num="1"/>
          <w:titlePg/>
          <w:docGrid w:linePitch="312" w:charSpace="0"/>
        </w:sectPr>
      </w:pPr>
      <w:r>
        <w:rPr>
          <w:rFonts w:ascii="Arial" w:hAnsi="Arial" w:cs="Arial"/>
          <w:b/>
          <w:bCs/>
        </w:rPr>
        <w:t>评估认为，项目主要存在市场风险</w:t>
      </w:r>
      <w:r>
        <w:rPr>
          <w:rFonts w:hint="eastAsia" w:ascii="Arial" w:hAnsi="Arial" w:cs="Arial"/>
          <w:b/>
          <w:bCs/>
        </w:rPr>
        <w:t>、规划指标实现风险、</w:t>
      </w:r>
      <w:r>
        <w:rPr>
          <w:rFonts w:ascii="Arial" w:hAnsi="Arial" w:cs="Arial"/>
          <w:b/>
          <w:bCs/>
        </w:rPr>
        <w:t>工期控制及取得预售风险、成本控制风险。</w:t>
      </w:r>
    </w:p>
    <w:p>
      <w:pPr>
        <w:pStyle w:val="4"/>
        <w:spacing w:before="240"/>
        <w:rPr>
          <w:rFonts w:ascii="Arial" w:hAnsi="Arial" w:eastAsia="方正黑体简体" w:cs="Arial"/>
          <w:b w:val="0"/>
          <w:bCs/>
          <w:sz w:val="32"/>
          <w:szCs w:val="32"/>
        </w:rPr>
      </w:pPr>
      <w:bookmarkStart w:id="33" w:name="_Toc106177858"/>
      <w:bookmarkStart w:id="34" w:name="_Toc74250049"/>
      <w:r>
        <w:rPr>
          <w:rFonts w:ascii="Arial" w:hAnsi="Arial" w:eastAsia="方正黑体简体" w:cs="Arial"/>
          <w:b w:val="0"/>
          <w:bCs/>
          <w:sz w:val="32"/>
          <w:szCs w:val="32"/>
        </w:rPr>
        <w:t>第一章  可行性研究说明</w:t>
      </w:r>
      <w:bookmarkEnd w:id="33"/>
      <w:bookmarkEnd w:id="34"/>
    </w:p>
    <w:bookmarkEnd w:id="30"/>
    <w:bookmarkEnd w:id="31"/>
    <w:p>
      <w:pPr>
        <w:pStyle w:val="5"/>
        <w:spacing w:before="0" w:after="0" w:line="480" w:lineRule="auto"/>
        <w:rPr>
          <w:rFonts w:eastAsia="宋体" w:cs="Arial"/>
          <w:sz w:val="21"/>
          <w:szCs w:val="21"/>
        </w:rPr>
      </w:pPr>
      <w:bookmarkStart w:id="35" w:name="_Toc106177859"/>
      <w:bookmarkStart w:id="36" w:name="_Toc74250050"/>
      <w:bookmarkStart w:id="37" w:name="OLE_LINK1"/>
      <w:bookmarkStart w:id="38" w:name="_Toc187666148"/>
      <w:r>
        <w:rPr>
          <w:rFonts w:eastAsia="宋体" w:cs="Arial"/>
          <w:sz w:val="21"/>
          <w:szCs w:val="21"/>
        </w:rPr>
        <w:t>一、委托单位</w:t>
      </w:r>
      <w:bookmarkEnd w:id="35"/>
      <w:bookmarkEnd w:id="36"/>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单位名称：五矿国际信托有限公司</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公司地址：青海生物科技产业园纬二路18号</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法定代表人：王卓</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pPr>
        <w:pStyle w:val="5"/>
        <w:spacing w:before="0" w:after="0" w:line="480" w:lineRule="auto"/>
        <w:jc w:val="both"/>
        <w:rPr>
          <w:rFonts w:eastAsia="宋体" w:cs="Arial"/>
          <w:sz w:val="21"/>
          <w:szCs w:val="21"/>
        </w:rPr>
      </w:pPr>
      <w:bookmarkStart w:id="39" w:name="_Toc74250051"/>
      <w:bookmarkStart w:id="40" w:name="_Toc106177860"/>
      <w:r>
        <w:rPr>
          <w:rFonts w:eastAsia="宋体" w:cs="Arial"/>
          <w:sz w:val="21"/>
          <w:szCs w:val="21"/>
        </w:rPr>
        <w:t>二、编制单位</w:t>
      </w:r>
      <w:bookmarkEnd w:id="39"/>
      <w:bookmarkEnd w:id="40"/>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单位名称：北京康正宏基房地产评估有限公司</w:t>
      </w:r>
    </w:p>
    <w:p>
      <w:pPr>
        <w:adjustRightInd w:val="0"/>
        <w:snapToGrid w:val="0"/>
        <w:spacing w:line="480" w:lineRule="auto"/>
        <w:ind w:firstLine="420" w:firstLineChars="200"/>
        <w:jc w:val="both"/>
        <w:rPr>
          <w:rFonts w:ascii="Arial" w:hAnsi="Arial" w:cs="Arial"/>
          <w:sz w:val="21"/>
          <w:szCs w:val="21"/>
        </w:rPr>
      </w:pPr>
      <w:r>
        <w:rPr>
          <w:rFonts w:ascii="Arial" w:hAnsi="Arial" w:cs="Arial"/>
          <w:color w:val="000000"/>
          <w:sz w:val="21"/>
          <w:szCs w:val="21"/>
        </w:rPr>
        <w:t>公司地址：北京市朝阳区裕民路12号中国国际科技会展中心B座10层1001室</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资质级别：在全国范围内从事土地估价业务</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资质证书号：A201111009</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法人代表：齐  宏</w:t>
      </w:r>
    </w:p>
    <w:p>
      <w:pPr>
        <w:pStyle w:val="5"/>
        <w:spacing w:before="0" w:after="0" w:line="480" w:lineRule="auto"/>
        <w:jc w:val="both"/>
        <w:rPr>
          <w:rFonts w:eastAsia="宋体" w:cs="Arial"/>
          <w:sz w:val="21"/>
          <w:szCs w:val="21"/>
        </w:rPr>
      </w:pPr>
      <w:bookmarkStart w:id="41" w:name="_Toc415468958"/>
      <w:bookmarkStart w:id="42" w:name="_Toc111622540"/>
      <w:bookmarkStart w:id="43" w:name="_Toc74250052"/>
      <w:bookmarkStart w:id="44" w:name="_Toc106177861"/>
      <w:r>
        <w:rPr>
          <w:rFonts w:eastAsia="宋体" w:cs="Arial"/>
          <w:sz w:val="21"/>
          <w:szCs w:val="21"/>
        </w:rPr>
        <w:t>三、</w:t>
      </w:r>
      <w:bookmarkEnd w:id="41"/>
      <w:bookmarkEnd w:id="42"/>
      <w:r>
        <w:rPr>
          <w:rFonts w:eastAsia="宋体" w:cs="Arial"/>
          <w:sz w:val="21"/>
          <w:szCs w:val="21"/>
        </w:rPr>
        <w:t>编制目的</w:t>
      </w:r>
      <w:bookmarkEnd w:id="43"/>
      <w:bookmarkEnd w:id="44"/>
    </w:p>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为委托单位了解</w:t>
      </w:r>
      <w:r>
        <w:rPr>
          <w:rFonts w:hint="eastAsia" w:ascii="Arial" w:hAnsi="Arial" w:cs="Arial"/>
          <w:sz w:val="21"/>
          <w:szCs w:val="21"/>
        </w:rPr>
        <w:t>浙江省温州市永嘉县瓯北清水埠片区ZX-H2-22、ZX-H2-24地块居住项目</w:t>
      </w:r>
      <w:r>
        <w:rPr>
          <w:rFonts w:ascii="Arial" w:hAnsi="Arial" w:cs="Arial"/>
          <w:sz w:val="21"/>
          <w:szCs w:val="21"/>
        </w:rPr>
        <w:t>可行性提供参考依据。</w:t>
      </w:r>
    </w:p>
    <w:p>
      <w:pPr>
        <w:pStyle w:val="5"/>
        <w:spacing w:before="0" w:after="0" w:line="480" w:lineRule="auto"/>
        <w:jc w:val="both"/>
        <w:rPr>
          <w:rFonts w:eastAsia="宋体" w:cs="Arial"/>
          <w:sz w:val="21"/>
          <w:szCs w:val="21"/>
        </w:rPr>
      </w:pPr>
      <w:bookmarkStart w:id="45" w:name="_Toc415468959"/>
      <w:bookmarkStart w:id="46" w:name="_Toc111622541"/>
      <w:bookmarkStart w:id="47" w:name="_Toc74250053"/>
      <w:bookmarkStart w:id="48" w:name="_Toc106177862"/>
      <w:r>
        <w:rPr>
          <w:rFonts w:eastAsia="宋体" w:cs="Arial"/>
          <w:sz w:val="21"/>
          <w:szCs w:val="21"/>
        </w:rPr>
        <w:t>四、</w:t>
      </w:r>
      <w:bookmarkEnd w:id="45"/>
      <w:bookmarkEnd w:id="46"/>
      <w:r>
        <w:rPr>
          <w:rFonts w:eastAsia="宋体" w:cs="Arial"/>
          <w:sz w:val="21"/>
          <w:szCs w:val="21"/>
        </w:rPr>
        <w:t>可行性研究的主要内容</w:t>
      </w:r>
      <w:bookmarkEnd w:id="47"/>
      <w:bookmarkEnd w:id="48"/>
    </w:p>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1、分析项目开发的合法、合规性；</w:t>
      </w:r>
    </w:p>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2、分析</w:t>
      </w:r>
      <w:r>
        <w:rPr>
          <w:rFonts w:hint="eastAsia" w:ascii="Arial" w:hAnsi="Arial" w:cs="Arial"/>
          <w:sz w:val="21"/>
          <w:szCs w:val="21"/>
        </w:rPr>
        <w:t>永嘉县</w:t>
      </w:r>
      <w:r>
        <w:rPr>
          <w:rFonts w:ascii="Arial" w:hAnsi="Arial" w:cs="Arial"/>
          <w:sz w:val="21"/>
          <w:szCs w:val="21"/>
        </w:rPr>
        <w:t>总体发展状况和房地产投资环境；</w:t>
      </w:r>
    </w:p>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3、项目所在区域房地产市场现状，分析项目竞争力；</w:t>
      </w:r>
    </w:p>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4、对项目的总投资进行估算；</w:t>
      </w:r>
    </w:p>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5、对项目进行财务分析，计算评价指标，对财务可行性进行分析评价；</w:t>
      </w:r>
    </w:p>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6、评价项目的风险。</w:t>
      </w:r>
    </w:p>
    <w:p>
      <w:pPr>
        <w:pStyle w:val="5"/>
        <w:spacing w:before="0" w:after="0" w:line="480" w:lineRule="auto"/>
        <w:jc w:val="both"/>
        <w:rPr>
          <w:rFonts w:eastAsia="宋体" w:cs="Arial"/>
          <w:sz w:val="21"/>
          <w:szCs w:val="21"/>
        </w:rPr>
      </w:pPr>
      <w:bookmarkStart w:id="49" w:name="_Toc285790758"/>
      <w:bookmarkStart w:id="50" w:name="_Toc187666130"/>
      <w:bookmarkStart w:id="51" w:name="_Toc106177863"/>
      <w:bookmarkStart w:id="52" w:name="_Toc74250054"/>
      <w:bookmarkStart w:id="53" w:name="_Toc111622545"/>
      <w:bookmarkStart w:id="54" w:name="_Toc415468962"/>
      <w:r>
        <w:rPr>
          <w:rFonts w:eastAsia="宋体" w:cs="Arial"/>
          <w:sz w:val="21"/>
          <w:szCs w:val="21"/>
        </w:rPr>
        <w:t>五、</w:t>
      </w:r>
      <w:bookmarkEnd w:id="49"/>
      <w:bookmarkEnd w:id="50"/>
      <w:r>
        <w:rPr>
          <w:rFonts w:eastAsia="宋体" w:cs="Arial"/>
          <w:sz w:val="21"/>
          <w:szCs w:val="21"/>
        </w:rPr>
        <w:t>编制日期</w:t>
      </w:r>
      <w:bookmarkEnd w:id="51"/>
      <w:bookmarkEnd w:id="52"/>
    </w:p>
    <w:bookmarkEnd w:id="53"/>
    <w:bookmarkEnd w:id="54"/>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2022年</w:t>
      </w:r>
      <w:r>
        <w:rPr>
          <w:rFonts w:hint="eastAsia" w:ascii="Arial" w:hAnsi="Arial" w:cs="Arial"/>
          <w:sz w:val="21"/>
          <w:szCs w:val="21"/>
        </w:rPr>
        <w:t>9</w:t>
      </w:r>
      <w:r>
        <w:rPr>
          <w:rFonts w:ascii="Arial" w:hAnsi="Arial" w:cs="Arial"/>
          <w:sz w:val="21"/>
          <w:szCs w:val="21"/>
        </w:rPr>
        <w:t>月</w:t>
      </w:r>
      <w:r>
        <w:rPr>
          <w:rFonts w:hint="eastAsia" w:ascii="Arial" w:hAnsi="Arial" w:cs="Arial"/>
          <w:sz w:val="21"/>
          <w:szCs w:val="21"/>
        </w:rPr>
        <w:t>2</w:t>
      </w:r>
      <w:r>
        <w:rPr>
          <w:rFonts w:ascii="Arial" w:hAnsi="Arial" w:cs="Arial"/>
          <w:sz w:val="21"/>
          <w:szCs w:val="21"/>
        </w:rPr>
        <w:t>日至2022年</w:t>
      </w:r>
      <w:r>
        <w:rPr>
          <w:rFonts w:hint="eastAsia" w:ascii="Arial" w:hAnsi="Arial" w:cs="Arial"/>
          <w:sz w:val="21"/>
          <w:szCs w:val="21"/>
        </w:rPr>
        <w:t>9</w:t>
      </w:r>
      <w:r>
        <w:rPr>
          <w:rFonts w:ascii="Arial" w:hAnsi="Arial" w:cs="Arial"/>
          <w:sz w:val="21"/>
          <w:szCs w:val="21"/>
        </w:rPr>
        <w:t>月</w:t>
      </w:r>
      <w:r>
        <w:rPr>
          <w:rFonts w:hint="eastAsia" w:ascii="Arial" w:hAnsi="Arial" w:cs="Arial"/>
          <w:sz w:val="21"/>
          <w:szCs w:val="21"/>
        </w:rPr>
        <w:t>20</w:t>
      </w:r>
      <w:r>
        <w:rPr>
          <w:rFonts w:ascii="Arial" w:hAnsi="Arial" w:cs="Arial"/>
          <w:sz w:val="21"/>
          <w:szCs w:val="21"/>
        </w:rPr>
        <w:t>日</w:t>
      </w:r>
    </w:p>
    <w:p>
      <w:pPr>
        <w:pStyle w:val="5"/>
        <w:spacing w:before="0" w:after="0" w:line="480" w:lineRule="auto"/>
        <w:jc w:val="both"/>
        <w:rPr>
          <w:rFonts w:eastAsia="宋体" w:cs="Arial"/>
          <w:sz w:val="21"/>
          <w:szCs w:val="21"/>
        </w:rPr>
      </w:pPr>
      <w:bookmarkStart w:id="55" w:name="_Toc111622547"/>
      <w:bookmarkStart w:id="56" w:name="_Toc415468964"/>
      <w:bookmarkStart w:id="57" w:name="_Toc106177864"/>
      <w:bookmarkStart w:id="58" w:name="_Toc74250055"/>
      <w:r>
        <w:rPr>
          <w:rFonts w:eastAsia="宋体" w:cs="Arial"/>
          <w:sz w:val="21"/>
          <w:szCs w:val="21"/>
        </w:rPr>
        <w:t>六、</w:t>
      </w:r>
      <w:bookmarkEnd w:id="55"/>
      <w:bookmarkEnd w:id="56"/>
      <w:r>
        <w:rPr>
          <w:rFonts w:eastAsia="宋体" w:cs="Arial"/>
          <w:sz w:val="21"/>
          <w:szCs w:val="21"/>
        </w:rPr>
        <w:t>本报告编制依据和说明</w:t>
      </w:r>
      <w:bookmarkEnd w:id="57"/>
      <w:bookmarkEnd w:id="58"/>
    </w:p>
    <w:p>
      <w:pPr>
        <w:pStyle w:val="5"/>
        <w:spacing w:before="0" w:after="0" w:line="480" w:lineRule="auto"/>
        <w:ind w:firstLine="207" w:firstLineChars="98"/>
        <w:jc w:val="both"/>
        <w:rPr>
          <w:rFonts w:eastAsia="宋体" w:cs="Arial"/>
          <w:sz w:val="21"/>
          <w:szCs w:val="21"/>
        </w:rPr>
      </w:pPr>
      <w:bookmarkStart w:id="59" w:name="_Toc106177865"/>
      <w:bookmarkStart w:id="60" w:name="_Toc74250056"/>
      <w:r>
        <w:rPr>
          <w:rFonts w:eastAsia="宋体" w:cs="Arial"/>
          <w:sz w:val="21"/>
          <w:szCs w:val="21"/>
        </w:rPr>
        <w:t>（一）报告编制依据</w:t>
      </w:r>
      <w:bookmarkEnd w:id="59"/>
      <w:bookmarkEnd w:id="60"/>
    </w:p>
    <w:p>
      <w:pPr>
        <w:spacing w:line="480" w:lineRule="auto"/>
        <w:ind w:firstLine="420" w:firstLineChars="200"/>
        <w:jc w:val="both"/>
        <w:rPr>
          <w:rFonts w:ascii="Arial" w:hAnsi="Arial" w:cs="Arial"/>
          <w:sz w:val="21"/>
          <w:szCs w:val="21"/>
        </w:rPr>
      </w:pPr>
      <w:r>
        <w:rPr>
          <w:rFonts w:ascii="Arial" w:hAnsi="Arial" w:cs="Arial"/>
          <w:sz w:val="21"/>
          <w:szCs w:val="21"/>
        </w:rPr>
        <w:t>本报告主要依据和参考以下文件及相关资料：</w:t>
      </w:r>
    </w:p>
    <w:p>
      <w:pPr>
        <w:numPr>
          <w:ilvl w:val="0"/>
          <w:numId w:val="2"/>
        </w:numPr>
        <w:spacing w:line="480" w:lineRule="auto"/>
        <w:jc w:val="both"/>
        <w:rPr>
          <w:rFonts w:ascii="Arial" w:hAnsi="Arial" w:cs="Arial"/>
          <w:sz w:val="21"/>
          <w:szCs w:val="21"/>
        </w:rPr>
      </w:pPr>
      <w:r>
        <w:rPr>
          <w:rFonts w:hint="eastAsia" w:ascii="Arial" w:hAnsi="Arial" w:cs="Arial"/>
          <w:sz w:val="21"/>
          <w:szCs w:val="21"/>
        </w:rPr>
        <w:t>《关于永嘉瓯北清水埠片区ZX-H2-22、ZX-H2-24地块一宗90.514亩居住用地、商业用地规划设计条件》[永资规发（2</w:t>
      </w:r>
      <w:r>
        <w:rPr>
          <w:rFonts w:ascii="Arial" w:hAnsi="Arial" w:cs="Arial"/>
          <w:sz w:val="21"/>
          <w:szCs w:val="21"/>
        </w:rPr>
        <w:t>02</w:t>
      </w:r>
      <w:r>
        <w:rPr>
          <w:rFonts w:hint="eastAsia" w:ascii="Arial" w:hAnsi="Arial" w:cs="Arial"/>
          <w:sz w:val="21"/>
          <w:szCs w:val="21"/>
        </w:rPr>
        <w:t>2）105号</w:t>
      </w:r>
      <w:r>
        <w:rPr>
          <w:rFonts w:ascii="Arial" w:hAnsi="Arial" w:cs="Arial"/>
          <w:sz w:val="21"/>
          <w:szCs w:val="21"/>
        </w:rPr>
        <w:t>]</w:t>
      </w:r>
    </w:p>
    <w:p>
      <w:pPr>
        <w:numPr>
          <w:ilvl w:val="0"/>
          <w:numId w:val="2"/>
        </w:numPr>
        <w:spacing w:line="480" w:lineRule="auto"/>
        <w:jc w:val="both"/>
        <w:rPr>
          <w:rFonts w:ascii="Arial" w:hAnsi="Arial" w:cs="Arial"/>
          <w:sz w:val="21"/>
          <w:szCs w:val="21"/>
        </w:rPr>
      </w:pPr>
      <w:r>
        <w:rPr>
          <w:rFonts w:hint="eastAsia" w:ascii="Arial" w:hAnsi="Arial" w:cs="Arial"/>
          <w:sz w:val="21"/>
          <w:szCs w:val="21"/>
        </w:rPr>
        <w:t>《区位图》</w:t>
      </w:r>
    </w:p>
    <w:p>
      <w:pPr>
        <w:numPr>
          <w:ilvl w:val="0"/>
          <w:numId w:val="2"/>
        </w:numPr>
        <w:spacing w:line="480" w:lineRule="auto"/>
        <w:jc w:val="both"/>
        <w:rPr>
          <w:rFonts w:ascii="Arial" w:hAnsi="Arial" w:cs="Arial"/>
          <w:sz w:val="21"/>
          <w:szCs w:val="21"/>
        </w:rPr>
      </w:pPr>
      <w:r>
        <w:rPr>
          <w:rFonts w:ascii="Arial" w:hAnsi="Arial" w:cs="Arial"/>
          <w:sz w:val="21"/>
          <w:szCs w:val="21"/>
        </w:rPr>
        <w:t>建设单位提供的有关项目的资料</w:t>
      </w:r>
    </w:p>
    <w:p>
      <w:pPr>
        <w:numPr>
          <w:ilvl w:val="0"/>
          <w:numId w:val="2"/>
        </w:numPr>
        <w:spacing w:line="480" w:lineRule="auto"/>
        <w:jc w:val="both"/>
        <w:rPr>
          <w:rFonts w:ascii="Arial" w:hAnsi="Arial" w:cs="Arial"/>
          <w:sz w:val="21"/>
          <w:szCs w:val="21"/>
        </w:rPr>
      </w:pPr>
      <w:r>
        <w:rPr>
          <w:rFonts w:ascii="Arial" w:hAnsi="Arial" w:cs="Arial"/>
          <w:sz w:val="21"/>
          <w:szCs w:val="21"/>
        </w:rPr>
        <w:t>国家及地方颁布的相关法律规章制度、当地现行财税政策</w:t>
      </w:r>
    </w:p>
    <w:p>
      <w:pPr>
        <w:numPr>
          <w:ilvl w:val="0"/>
          <w:numId w:val="2"/>
        </w:numPr>
        <w:spacing w:line="480" w:lineRule="auto"/>
        <w:jc w:val="both"/>
        <w:rPr>
          <w:rFonts w:ascii="Arial" w:hAnsi="Arial" w:cs="Arial"/>
          <w:sz w:val="21"/>
          <w:szCs w:val="21"/>
        </w:rPr>
      </w:pPr>
      <w:r>
        <w:rPr>
          <w:rFonts w:hint="eastAsia" w:ascii="Arial" w:hAnsi="Arial" w:cs="Arial"/>
          <w:sz w:val="21"/>
          <w:szCs w:val="21"/>
        </w:rPr>
        <w:t>《</w:t>
      </w:r>
      <w:r>
        <w:rPr>
          <w:rFonts w:ascii="Arial" w:hAnsi="Arial" w:cs="Arial"/>
          <w:sz w:val="21"/>
          <w:szCs w:val="21"/>
        </w:rPr>
        <w:t>房地产开发项目经济评价方法</w:t>
      </w:r>
      <w:r>
        <w:rPr>
          <w:rFonts w:hint="eastAsia" w:ascii="Arial" w:hAnsi="Arial" w:cs="Arial"/>
          <w:sz w:val="21"/>
          <w:szCs w:val="21"/>
        </w:rPr>
        <w:t>》</w:t>
      </w:r>
      <w:r>
        <w:rPr>
          <w:rFonts w:ascii="Arial" w:hAnsi="Arial" w:cs="Arial"/>
          <w:sz w:val="21"/>
          <w:szCs w:val="21"/>
        </w:rPr>
        <w:t>（2006版）</w:t>
      </w:r>
    </w:p>
    <w:p>
      <w:pPr>
        <w:numPr>
          <w:ilvl w:val="0"/>
          <w:numId w:val="2"/>
        </w:numPr>
        <w:spacing w:line="480" w:lineRule="auto"/>
        <w:jc w:val="both"/>
        <w:rPr>
          <w:rFonts w:ascii="Arial" w:hAnsi="Arial" w:cs="Arial"/>
          <w:sz w:val="21"/>
          <w:szCs w:val="21"/>
        </w:rPr>
      </w:pPr>
      <w:r>
        <w:rPr>
          <w:rFonts w:ascii="Arial" w:hAnsi="Arial" w:cs="Arial"/>
          <w:sz w:val="21"/>
          <w:szCs w:val="21"/>
        </w:rPr>
        <w:t>《建设项目经济评价方法与参数》（第三版）</w:t>
      </w:r>
    </w:p>
    <w:p>
      <w:pPr>
        <w:numPr>
          <w:ilvl w:val="0"/>
          <w:numId w:val="2"/>
        </w:numPr>
        <w:spacing w:line="480" w:lineRule="auto"/>
        <w:jc w:val="both"/>
        <w:rPr>
          <w:rFonts w:ascii="Arial" w:hAnsi="Arial" w:cs="Arial"/>
          <w:sz w:val="21"/>
          <w:szCs w:val="21"/>
        </w:rPr>
      </w:pPr>
      <w:r>
        <w:rPr>
          <w:rFonts w:ascii="Arial" w:hAnsi="Arial" w:cs="Arial"/>
          <w:sz w:val="21"/>
          <w:szCs w:val="21"/>
        </w:rPr>
        <w:t>市场调查资料</w:t>
      </w:r>
    </w:p>
    <w:p>
      <w:pPr>
        <w:pStyle w:val="5"/>
        <w:spacing w:before="0" w:after="0" w:line="480" w:lineRule="auto"/>
        <w:ind w:firstLine="207" w:firstLineChars="98"/>
        <w:rPr>
          <w:rFonts w:eastAsia="宋体" w:cs="Arial"/>
          <w:sz w:val="21"/>
          <w:szCs w:val="21"/>
        </w:rPr>
      </w:pPr>
      <w:bookmarkStart w:id="61" w:name="_Toc106177866"/>
      <w:bookmarkStart w:id="62" w:name="_Toc74250057"/>
      <w:r>
        <w:rPr>
          <w:rFonts w:eastAsia="宋体" w:cs="Arial"/>
          <w:sz w:val="21"/>
          <w:szCs w:val="21"/>
        </w:rPr>
        <w:t>（二）报告编制说明</w:t>
      </w:r>
      <w:bookmarkEnd w:id="61"/>
      <w:bookmarkEnd w:id="62"/>
    </w:p>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1、本报告的编制依据了中华人民共和国相关法律、法令、法规和政策、具体规定，其基础资料和数据来自于有关主管部门颁布的文件和融资主体提供的资料，以及研究人员经过调研分析后所得的资料、信息。</w:t>
      </w:r>
    </w:p>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2、在进行财务效益分析和测算过程中，采用了国际和国内通用的理论和方法，并结合现行会计制度、税收法规和房地产市场价格体系，进行合理假定和适当简化。</w:t>
      </w:r>
    </w:p>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3、</w:t>
      </w:r>
      <w:r>
        <w:rPr>
          <w:rFonts w:hint="eastAsia" w:ascii="Arial" w:hAnsi="Arial" w:cs="Arial"/>
          <w:sz w:val="21"/>
          <w:szCs w:val="21"/>
        </w:rPr>
        <w:t>本报告中的项目出让宗地面积及规划建筑面积以建设单位提供的资料</w:t>
      </w:r>
      <w:r>
        <w:rPr>
          <w:rFonts w:ascii="Arial" w:hAnsi="Arial" w:cs="Arial"/>
          <w:sz w:val="21"/>
          <w:szCs w:val="21"/>
        </w:rPr>
        <w:t>为依据。</w:t>
      </w:r>
    </w:p>
    <w:p>
      <w:pPr>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4</w:t>
      </w:r>
      <w:r>
        <w:rPr>
          <w:rFonts w:ascii="Arial" w:hAnsi="Arial" w:cs="Arial"/>
          <w:sz w:val="21"/>
          <w:szCs w:val="21"/>
        </w:rPr>
        <w:t>、本报告中的已投资金额以建设单位提供的财务数据为准</w:t>
      </w:r>
      <w:r>
        <w:rPr>
          <w:rFonts w:hint="eastAsia" w:ascii="Arial" w:hAnsi="Arial" w:cs="Arial"/>
          <w:sz w:val="21"/>
          <w:szCs w:val="21"/>
        </w:rPr>
        <w:t>，</w:t>
      </w:r>
      <w:r>
        <w:rPr>
          <w:rFonts w:ascii="Arial" w:hAnsi="Arial" w:cs="Arial"/>
          <w:sz w:val="21"/>
          <w:szCs w:val="21"/>
        </w:rPr>
        <w:t>在此提请报告使用者注意。</w:t>
      </w:r>
    </w:p>
    <w:p>
      <w:pPr>
        <w:pStyle w:val="5"/>
        <w:spacing w:before="0" w:after="0" w:line="480" w:lineRule="auto"/>
        <w:jc w:val="both"/>
        <w:rPr>
          <w:rFonts w:eastAsia="宋体" w:cs="Arial"/>
          <w:sz w:val="21"/>
          <w:szCs w:val="21"/>
        </w:rPr>
      </w:pPr>
      <w:bookmarkStart w:id="63" w:name="_Toc74250058"/>
      <w:bookmarkStart w:id="64" w:name="_Toc106177867"/>
      <w:r>
        <w:rPr>
          <w:rFonts w:eastAsia="宋体" w:cs="Arial"/>
          <w:sz w:val="21"/>
          <w:szCs w:val="21"/>
        </w:rPr>
        <w:t>七、本报告使用说明</w:t>
      </w:r>
      <w:bookmarkEnd w:id="63"/>
      <w:bookmarkEnd w:id="64"/>
    </w:p>
    <w:p>
      <w:pPr>
        <w:adjustRightInd w:val="0"/>
        <w:snapToGrid w:val="0"/>
        <w:spacing w:line="480" w:lineRule="auto"/>
        <w:ind w:firstLine="420" w:firstLineChars="200"/>
        <w:jc w:val="both"/>
        <w:outlineLvl w:val="0"/>
        <w:rPr>
          <w:rFonts w:ascii="Arial" w:hAnsi="Arial" w:cs="Arial"/>
          <w:sz w:val="21"/>
          <w:szCs w:val="21"/>
        </w:rPr>
      </w:pPr>
      <w:r>
        <w:rPr>
          <w:rFonts w:ascii="Arial" w:hAnsi="Arial" w:cs="Arial"/>
          <w:sz w:val="21"/>
          <w:szCs w:val="21"/>
        </w:rPr>
        <w:t>（一）本报告依前文编制目的供委托</w:t>
      </w:r>
      <w:r>
        <w:rPr>
          <w:rFonts w:hint="eastAsia" w:ascii="Arial" w:hAnsi="Arial" w:cs="Arial"/>
          <w:sz w:val="21"/>
          <w:szCs w:val="21"/>
        </w:rPr>
        <w:t>单位</w:t>
      </w:r>
      <w:r>
        <w:rPr>
          <w:rFonts w:ascii="Arial" w:hAnsi="Arial" w:cs="Arial"/>
          <w:sz w:val="21"/>
          <w:szCs w:val="21"/>
        </w:rPr>
        <w:t>使用。除依据法律和相关规定需公开情形外，未经受托方同意，报告的全部或部分内容不得发表于公开的媒体上。</w:t>
      </w:r>
    </w:p>
    <w:p>
      <w:pPr>
        <w:adjustRightInd w:val="0"/>
        <w:snapToGrid w:val="0"/>
        <w:spacing w:line="480" w:lineRule="auto"/>
        <w:ind w:firstLine="420" w:firstLineChars="200"/>
        <w:jc w:val="both"/>
        <w:outlineLvl w:val="0"/>
        <w:rPr>
          <w:rFonts w:ascii="Arial" w:hAnsi="Arial" w:cs="Arial"/>
          <w:sz w:val="21"/>
          <w:szCs w:val="21"/>
        </w:rPr>
      </w:pPr>
      <w:r>
        <w:rPr>
          <w:rFonts w:ascii="Arial" w:hAnsi="Arial" w:cs="Arial"/>
          <w:sz w:val="21"/>
          <w:szCs w:val="21"/>
        </w:rPr>
        <w:t>（二）本报告所依据的权属资料、财务资料及其他相关说明文件等基础资料由建设单位以原件或复印件形式提供，资料提供者应对其真实性、合法性负责，如基础资料改变，本报告需重新调整。</w:t>
      </w:r>
    </w:p>
    <w:p>
      <w:pPr>
        <w:adjustRightInd w:val="0"/>
        <w:snapToGrid w:val="0"/>
        <w:spacing w:line="480" w:lineRule="auto"/>
        <w:ind w:firstLine="420" w:firstLineChars="200"/>
        <w:outlineLvl w:val="0"/>
        <w:rPr>
          <w:rFonts w:ascii="Arial" w:hAnsi="Arial" w:cs="Arial"/>
          <w:szCs w:val="21"/>
        </w:rPr>
      </w:pPr>
      <w:r>
        <w:rPr>
          <w:rFonts w:ascii="Arial" w:hAnsi="Arial" w:cs="Arial"/>
          <w:sz w:val="21"/>
          <w:szCs w:val="21"/>
        </w:rPr>
        <w:t>（三）本报告结论</w:t>
      </w:r>
      <w:r>
        <w:rPr>
          <w:rFonts w:hint="eastAsia" w:ascii="Arial" w:hAnsi="Arial" w:cs="Arial"/>
          <w:sz w:val="21"/>
          <w:szCs w:val="21"/>
        </w:rPr>
        <w:t>自出具日起有</w:t>
      </w:r>
      <w:r>
        <w:rPr>
          <w:rFonts w:ascii="Arial" w:hAnsi="Arial" w:cs="Arial"/>
          <w:sz w:val="21"/>
          <w:szCs w:val="21"/>
        </w:rPr>
        <w:t>效期为一年。超过一年，需重新进行研究分析。</w:t>
      </w:r>
      <w:bookmarkStart w:id="65" w:name="_Toc24295934"/>
      <w:bookmarkStart w:id="66" w:name="_Toc44300260"/>
      <w:bookmarkStart w:id="67" w:name="_Toc33956069"/>
      <w:bookmarkStart w:id="68" w:name="_Toc76889697"/>
    </w:p>
    <w:p>
      <w:pPr>
        <w:rPr>
          <w:rFonts w:ascii="Arial" w:hAnsi="Arial" w:cs="Arial"/>
        </w:rPr>
      </w:pPr>
      <w:r>
        <w:rPr>
          <w:rFonts w:ascii="Arial" w:hAnsi="Arial" w:eastAsia="仿宋_GB2312" w:cs="Arial"/>
          <w:sz w:val="32"/>
        </w:rPr>
        <w:br w:type="page"/>
      </w:r>
    </w:p>
    <w:p>
      <w:pPr>
        <w:pStyle w:val="4"/>
        <w:spacing w:before="240"/>
        <w:rPr>
          <w:rFonts w:ascii="Arial" w:hAnsi="Arial" w:eastAsia="方正黑体简体" w:cs="Arial"/>
          <w:b w:val="0"/>
          <w:bCs/>
          <w:sz w:val="32"/>
          <w:szCs w:val="32"/>
        </w:rPr>
      </w:pPr>
      <w:bookmarkStart w:id="69" w:name="_Toc74250059"/>
      <w:bookmarkStart w:id="70" w:name="_Toc106177868"/>
      <w:r>
        <w:rPr>
          <w:rFonts w:ascii="Arial" w:hAnsi="Arial" w:eastAsia="方正黑体简体" w:cs="Arial"/>
          <w:b w:val="0"/>
          <w:bCs/>
          <w:sz w:val="32"/>
          <w:szCs w:val="32"/>
        </w:rPr>
        <w:t>第二章  项目建设条件评价</w:t>
      </w:r>
      <w:bookmarkEnd w:id="69"/>
      <w:bookmarkEnd w:id="70"/>
    </w:p>
    <w:bookmarkEnd w:id="65"/>
    <w:bookmarkEnd w:id="66"/>
    <w:bookmarkEnd w:id="67"/>
    <w:bookmarkEnd w:id="68"/>
    <w:p>
      <w:pPr>
        <w:pStyle w:val="5"/>
        <w:spacing w:before="0" w:after="0" w:line="480" w:lineRule="auto"/>
        <w:rPr>
          <w:rFonts w:eastAsia="宋体" w:cs="Arial"/>
          <w:sz w:val="21"/>
          <w:szCs w:val="21"/>
        </w:rPr>
      </w:pPr>
      <w:bookmarkStart w:id="71" w:name="_Toc24295935"/>
      <w:bookmarkStart w:id="72" w:name="_Toc44300261"/>
      <w:bookmarkStart w:id="73" w:name="_Toc33956070"/>
      <w:bookmarkStart w:id="74" w:name="_Toc76889698"/>
      <w:bookmarkStart w:id="75" w:name="_Toc74250060"/>
      <w:bookmarkStart w:id="76" w:name="_Toc106177869"/>
      <w:r>
        <w:rPr>
          <w:rFonts w:hint="eastAsia" w:eastAsia="宋体" w:cs="Arial"/>
          <w:sz w:val="21"/>
          <w:szCs w:val="21"/>
        </w:rPr>
        <w:t>一</w:t>
      </w:r>
      <w:r>
        <w:rPr>
          <w:rFonts w:eastAsia="宋体" w:cs="Arial"/>
          <w:sz w:val="21"/>
          <w:szCs w:val="21"/>
        </w:rPr>
        <w:t>、</w:t>
      </w:r>
      <w:bookmarkEnd w:id="71"/>
      <w:bookmarkEnd w:id="72"/>
      <w:bookmarkEnd w:id="73"/>
      <w:bookmarkEnd w:id="74"/>
      <w:r>
        <w:rPr>
          <w:rFonts w:eastAsia="宋体" w:cs="Arial"/>
          <w:sz w:val="21"/>
          <w:szCs w:val="21"/>
        </w:rPr>
        <w:t>项目建设内容、规模和建设方案</w:t>
      </w:r>
      <w:bookmarkEnd w:id="75"/>
      <w:bookmarkEnd w:id="76"/>
    </w:p>
    <w:p>
      <w:pPr>
        <w:pStyle w:val="5"/>
        <w:spacing w:before="0" w:after="0" w:line="480" w:lineRule="auto"/>
        <w:ind w:firstLine="207" w:firstLineChars="98"/>
        <w:rPr>
          <w:rFonts w:eastAsia="宋体" w:cs="Arial"/>
          <w:sz w:val="21"/>
          <w:szCs w:val="21"/>
        </w:rPr>
      </w:pPr>
      <w:bookmarkStart w:id="77" w:name="_Toc106177870"/>
      <w:bookmarkStart w:id="78" w:name="_Toc74250061"/>
      <w:bookmarkStart w:id="79" w:name="_Toc120933101"/>
      <w:r>
        <w:rPr>
          <w:rFonts w:eastAsia="宋体" w:cs="Arial"/>
          <w:sz w:val="21"/>
          <w:szCs w:val="21"/>
        </w:rPr>
        <w:t>（一）项目建设地点</w:t>
      </w:r>
      <w:bookmarkEnd w:id="77"/>
      <w:bookmarkEnd w:id="78"/>
      <w:bookmarkEnd w:id="79"/>
      <w:bookmarkStart w:id="80" w:name="_Toc44300262"/>
      <w:bookmarkStart w:id="81" w:name="_Toc99176023"/>
      <w:bookmarkStart w:id="82" w:name="_Toc99251654"/>
      <w:bookmarkStart w:id="83" w:name="_Toc109119047"/>
      <w:bookmarkStart w:id="84" w:name="_Toc109118445"/>
      <w:bookmarkStart w:id="85" w:name="_Toc109122452"/>
    </w:p>
    <w:p>
      <w:pPr>
        <w:widowControl w:val="0"/>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1、所在区位情况</w:t>
      </w:r>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永嘉县，系浙江省温州市下辖县，位于浙江省东南部，瓯江下游北岸，东邻乐清市，南与温州市区隔江相望，西接青田县、缙云县，北连仙居县、黄岩区。永嘉“八山一水一分田”，县域面积2677.64平方公里，占温州全市的1/4，是浙江第四大县、温州第一大县，也是全国首批沿海对外开放县、中国文化旅游大县、中国千年古县、浙江老革命根据地县。素有“中国长寿之乡”“中国泵阀之乡”“中国钮扣之都”“中国拉链之乡”“中国教玩具之都”“中国山水诗摇篮”等美称。</w:t>
      </w:r>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永嘉历史悠久，建县已有1800多年，历史上先有永嘉郡,后有温州府，是温州的历史之根、文化之源。汉顺帝永和三年（138）始建永宁县，隋开皇九年（589）改称永嘉县。1949年5月永嘉全境解放，置双溪县，9月双溪县复称永嘉县。</w:t>
      </w:r>
    </w:p>
    <w:p>
      <w:pPr>
        <w:widowControl w:val="0"/>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永嘉县下辖11个镇、7个街道、4个乡、454个行政村、87个城市社区。“十三五”时期，永嘉GDP前四年年均增速8.75%，2019年提前实现GDP、人均GDP和城乡居民收入“四翻番”目标，跻身全国经济投资潜力、“两山”发展、旅游竞争力和创新“四个百强县”。</w:t>
      </w:r>
    </w:p>
    <w:p>
      <w:pPr>
        <w:spacing w:line="480" w:lineRule="auto"/>
        <w:jc w:val="center"/>
        <w:rPr>
          <w:rFonts w:ascii="Arial" w:hAnsi="Arial" w:cs="Arial"/>
          <w:color w:val="000000"/>
          <w:sz w:val="21"/>
          <w:szCs w:val="21"/>
        </w:rPr>
      </w:pPr>
      <w:r>
        <w:drawing>
          <wp:inline distT="0" distB="0" distL="114300" distR="114300">
            <wp:extent cx="5314315" cy="7397750"/>
            <wp:effectExtent l="0" t="0" r="4445" b="8890"/>
            <wp:docPr id="2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IMG_256"/>
                    <pic:cNvPicPr>
                      <a:picLocks noChangeAspect="1"/>
                    </pic:cNvPicPr>
                  </pic:nvPicPr>
                  <pic:blipFill>
                    <a:blip r:embed="rId30"/>
                    <a:stretch>
                      <a:fillRect/>
                    </a:stretch>
                  </pic:blipFill>
                  <pic:spPr>
                    <a:xfrm>
                      <a:off x="0" y="0"/>
                      <a:ext cx="5314315" cy="7397750"/>
                    </a:xfrm>
                    <a:prstGeom prst="rect">
                      <a:avLst/>
                    </a:prstGeom>
                    <a:noFill/>
                    <a:ln w="9525">
                      <a:noFill/>
                    </a:ln>
                  </pic:spPr>
                </pic:pic>
              </a:graphicData>
            </a:graphic>
          </wp:inline>
        </w:drawing>
      </w:r>
    </w:p>
    <w:p>
      <w:pPr>
        <w:spacing w:line="480" w:lineRule="auto"/>
        <w:rPr>
          <w:rFonts w:cs="Arial"/>
          <w:color w:val="000000"/>
          <w:sz w:val="21"/>
          <w:szCs w:val="21"/>
        </w:rPr>
      </w:pPr>
    </w:p>
    <w:p>
      <w:pPr>
        <w:widowControl w:val="0"/>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2、周边环境及四至</w:t>
      </w:r>
    </w:p>
    <w:p>
      <w:pPr>
        <w:widowControl w:val="0"/>
        <w:adjustRightInd w:val="0"/>
        <w:snapToGrid w:val="0"/>
        <w:spacing w:line="480" w:lineRule="auto"/>
        <w:ind w:firstLine="420" w:firstLineChars="200"/>
        <w:jc w:val="both"/>
        <w:rPr>
          <w:rFonts w:ascii="Arial" w:hAnsi="Arial" w:cs="Arial"/>
          <w:color w:val="000000"/>
          <w:sz w:val="21"/>
          <w:szCs w:val="21"/>
        </w:rPr>
      </w:pPr>
      <w:r>
        <w:rPr>
          <w:rFonts w:hint="eastAsia" w:cs="Arial"/>
          <w:color w:val="000000"/>
          <w:sz w:val="21"/>
          <w:szCs w:val="21"/>
        </w:rPr>
        <w:t>建设项目位于永嘉县瓯北街道东侧，四至</w:t>
      </w:r>
      <w:r>
        <w:rPr>
          <w:rFonts w:cs="Arial"/>
          <w:color w:val="000000"/>
          <w:sz w:val="21"/>
          <w:szCs w:val="21"/>
        </w:rPr>
        <w:t xml:space="preserve">: </w:t>
      </w:r>
      <w:r>
        <w:rPr>
          <w:rFonts w:hint="eastAsia" w:ascii="Arial" w:hAnsi="Arial" w:cs="Arial"/>
          <w:color w:val="000000"/>
          <w:sz w:val="21"/>
          <w:szCs w:val="21"/>
        </w:rPr>
        <w:t>东南至楠江中路，西南至现状空地及建筑物，北至清花东路</w:t>
      </w:r>
      <w:r>
        <w:rPr>
          <w:rFonts w:cs="Arial"/>
          <w:color w:val="000000"/>
          <w:sz w:val="21"/>
          <w:szCs w:val="21"/>
        </w:rPr>
        <w:t>。</w:t>
      </w:r>
      <w:r>
        <w:rPr>
          <w:rFonts w:hint="eastAsia" w:ascii="Arial" w:hAnsi="Arial" w:cs="Arial"/>
          <w:sz w:val="21"/>
          <w:szCs w:val="21"/>
        </w:rPr>
        <w:t>所在区域位于瓯北新区，项目地块东北侧距永嘉站约3.5公里，西侧距永嘉客运中心约4公里，南侧距温州市政府6.6公里</w:t>
      </w:r>
      <w:r>
        <w:rPr>
          <w:rFonts w:hint="eastAsia" w:ascii="Arial" w:hAnsi="Arial" w:cs="Arial"/>
          <w:color w:val="000000"/>
          <w:sz w:val="21"/>
          <w:szCs w:val="21"/>
        </w:rPr>
        <w:t>。</w:t>
      </w:r>
    </w:p>
    <w:p>
      <w:pPr>
        <w:widowControl w:val="0"/>
        <w:adjustRightInd w:val="0"/>
        <w:snapToGrid w:val="0"/>
        <w:spacing w:line="480" w:lineRule="auto"/>
        <w:jc w:val="center"/>
      </w:pPr>
      <w:r>
        <w:drawing>
          <wp:inline distT="0" distB="0" distL="114300" distR="114300">
            <wp:extent cx="5630545" cy="2249170"/>
            <wp:effectExtent l="0" t="0" r="825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a:stretch>
                      <a:fillRect/>
                    </a:stretch>
                  </pic:blipFill>
                  <pic:spPr>
                    <a:xfrm>
                      <a:off x="0" y="0"/>
                      <a:ext cx="5630545" cy="2249170"/>
                    </a:xfrm>
                    <a:prstGeom prst="rect">
                      <a:avLst/>
                    </a:prstGeom>
                    <a:noFill/>
                    <a:ln>
                      <a:noFill/>
                    </a:ln>
                  </pic:spPr>
                </pic:pic>
              </a:graphicData>
            </a:graphic>
          </wp:inline>
        </w:drawing>
      </w:r>
    </w:p>
    <w:p>
      <w:pPr>
        <w:widowControl w:val="0"/>
        <w:adjustRightInd w:val="0"/>
        <w:snapToGrid w:val="0"/>
        <w:spacing w:line="480" w:lineRule="auto"/>
        <w:ind w:firstLine="420" w:firstLineChars="200"/>
        <w:jc w:val="both"/>
        <w:rPr>
          <w:rFonts w:ascii="Arial" w:hAnsi="Arial" w:cs="Arial"/>
          <w:color w:val="000000"/>
          <w:szCs w:val="21"/>
        </w:rPr>
      </w:pPr>
      <w:r>
        <w:rPr>
          <w:rFonts w:hint="eastAsia" w:ascii="Arial" w:hAnsi="Arial" w:cs="Arial"/>
          <w:sz w:val="21"/>
          <w:szCs w:val="21"/>
        </w:rPr>
        <w:t>建设项目周边目前尚有几处空地，由于临近楠溪江，周边多以住宅地块为主。周边区域多为次新房，暂无在售新房。项目东侧及北侧均有在售二手房项目，而项目东南侧为瓯北核心区，发展较成熟</w:t>
      </w:r>
      <w:r>
        <w:rPr>
          <w:rFonts w:ascii="Arial" w:hAnsi="Arial" w:cs="Arial"/>
          <w:sz w:val="21"/>
          <w:szCs w:val="21"/>
        </w:rPr>
        <w:t>。</w:t>
      </w:r>
    </w:p>
    <w:bookmarkEnd w:id="80"/>
    <w:bookmarkEnd w:id="81"/>
    <w:bookmarkEnd w:id="82"/>
    <w:p>
      <w:pPr>
        <w:widowControl w:val="0"/>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3</w:t>
      </w:r>
      <w:r>
        <w:rPr>
          <w:rFonts w:hint="eastAsia" w:ascii="Arial" w:hAnsi="Arial" w:cs="Arial"/>
          <w:sz w:val="21"/>
          <w:szCs w:val="21"/>
        </w:rPr>
        <w:t>、区域交通情况</w:t>
      </w:r>
    </w:p>
    <w:p>
      <w:pPr>
        <w:widowControl w:val="0"/>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项目地块位于温州市永嘉县，所在位置</w:t>
      </w:r>
      <w:r>
        <w:rPr>
          <w:rFonts w:ascii="Arial" w:hAnsi="Arial" w:cs="Arial"/>
          <w:sz w:val="21"/>
          <w:szCs w:val="21"/>
        </w:rPr>
        <w:t>周边</w:t>
      </w:r>
      <w:r>
        <w:rPr>
          <w:rFonts w:hint="eastAsia" w:cs="Arial"/>
          <w:sz w:val="21"/>
          <w:szCs w:val="21"/>
        </w:rPr>
        <w:t>道路系统较为完备，整体路网环境较好，项目地块</w:t>
      </w:r>
      <w:r>
        <w:rPr>
          <w:rFonts w:hint="eastAsia" w:ascii="Arial" w:hAnsi="Arial" w:cs="Arial"/>
          <w:color w:val="000000"/>
          <w:sz w:val="21"/>
          <w:szCs w:val="21"/>
        </w:rPr>
        <w:t>东南临楠江中路</w:t>
      </w:r>
      <w:r>
        <w:rPr>
          <w:rFonts w:hint="eastAsia" w:cs="Arial"/>
          <w:sz w:val="21"/>
          <w:szCs w:val="21"/>
        </w:rPr>
        <w:t>，</w:t>
      </w:r>
      <w:r>
        <w:rPr>
          <w:rFonts w:hint="eastAsia" w:ascii="Arial" w:hAnsi="Arial" w:cs="Arial"/>
          <w:color w:val="000000"/>
          <w:sz w:val="21"/>
          <w:szCs w:val="21"/>
        </w:rPr>
        <w:t>北临清花东路</w:t>
      </w:r>
      <w:r>
        <w:rPr>
          <w:rFonts w:hint="eastAsia" w:cs="Arial"/>
          <w:sz w:val="21"/>
          <w:szCs w:val="21"/>
        </w:rPr>
        <w:t>，</w:t>
      </w:r>
      <w:r>
        <w:rPr>
          <w:rFonts w:hint="eastAsia" w:ascii="Arial" w:hAnsi="Arial" w:cs="Arial"/>
          <w:sz w:val="21"/>
          <w:szCs w:val="21"/>
        </w:rPr>
        <w:t>距G104国道约350米，</w:t>
      </w:r>
      <w:r>
        <w:rPr>
          <w:rFonts w:ascii="Arial" w:hAnsi="Arial" w:cs="Arial"/>
          <w:sz w:val="21"/>
          <w:szCs w:val="21"/>
        </w:rPr>
        <w:t>交通通达性较好</w:t>
      </w:r>
      <w:r>
        <w:rPr>
          <w:rFonts w:hint="eastAsia" w:ascii="Arial" w:hAnsi="Arial" w:cs="Arial"/>
          <w:sz w:val="21"/>
          <w:szCs w:val="21"/>
        </w:rPr>
        <w:t>。建设项目距瓯北大桥约600米，通过瓯北大桥可达温州市城区，车程约30分钟</w:t>
      </w:r>
      <w:r>
        <w:rPr>
          <w:rFonts w:ascii="Arial" w:hAnsi="Arial" w:cs="Arial"/>
          <w:sz w:val="21"/>
          <w:szCs w:val="21"/>
        </w:rPr>
        <w:t>，进入市区</w:t>
      </w:r>
      <w:r>
        <w:rPr>
          <w:rFonts w:hint="eastAsia" w:ascii="Arial" w:hAnsi="Arial" w:cs="Arial"/>
          <w:sz w:val="21"/>
          <w:szCs w:val="21"/>
        </w:rPr>
        <w:t>较便捷</w:t>
      </w:r>
      <w:r>
        <w:rPr>
          <w:rFonts w:ascii="Arial" w:hAnsi="Arial" w:cs="Arial"/>
          <w:sz w:val="21"/>
          <w:szCs w:val="21"/>
        </w:rPr>
        <w:t>；</w:t>
      </w:r>
      <w:r>
        <w:rPr>
          <w:rFonts w:hint="eastAsia" w:ascii="Arial" w:hAnsi="Arial" w:cs="Arial"/>
          <w:sz w:val="21"/>
          <w:szCs w:val="21"/>
        </w:rPr>
        <w:t>公共交通方面，项目地块东北侧距永嘉站约3.5公里，西侧距永嘉客运中心约4公里，公共交通条件</w:t>
      </w:r>
      <w:r>
        <w:rPr>
          <w:rFonts w:ascii="Arial" w:hAnsi="Arial" w:cs="Arial"/>
          <w:sz w:val="21"/>
          <w:szCs w:val="21"/>
        </w:rPr>
        <w:t>相对一般</w:t>
      </w:r>
      <w:r>
        <w:rPr>
          <w:rFonts w:hint="eastAsia" w:ascii="Arial" w:hAnsi="Arial" w:cs="Arial"/>
          <w:sz w:val="21"/>
          <w:szCs w:val="21"/>
        </w:rPr>
        <w:t>。</w:t>
      </w:r>
    </w:p>
    <w:p>
      <w:pPr>
        <w:widowControl w:val="0"/>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4、区域配套情况</w:t>
      </w:r>
    </w:p>
    <w:p>
      <w:pPr>
        <w:widowControl w:val="0"/>
        <w:adjustRightInd w:val="0"/>
        <w:snapToGrid w:val="0"/>
        <w:spacing w:line="480" w:lineRule="auto"/>
        <w:ind w:firstLine="420" w:firstLineChars="200"/>
        <w:jc w:val="both"/>
        <w:rPr>
          <w:rFonts w:cs="Arial"/>
          <w:color w:val="000000"/>
          <w:sz w:val="21"/>
          <w:szCs w:val="21"/>
        </w:rPr>
      </w:pPr>
      <w:r>
        <w:rPr>
          <w:rFonts w:hint="eastAsia" w:cs="Arial"/>
          <w:color w:val="000000"/>
          <w:sz w:val="21"/>
          <w:szCs w:val="21"/>
        </w:rPr>
        <w:t>现阶段地块周边主要以住宅为主，项目周边生活配套较完善，距离相对较近。</w:t>
      </w:r>
    </w:p>
    <w:p>
      <w:pPr>
        <w:widowControl w:val="0"/>
        <w:adjustRightInd w:val="0"/>
        <w:snapToGrid w:val="0"/>
        <w:spacing w:line="480" w:lineRule="auto"/>
        <w:ind w:firstLine="420" w:firstLineChars="200"/>
        <w:jc w:val="both"/>
        <w:rPr>
          <w:rFonts w:ascii="Arial" w:hAnsi="Arial" w:cs="Arial"/>
          <w:sz w:val="21"/>
          <w:szCs w:val="21"/>
        </w:rPr>
      </w:pPr>
      <w:r>
        <w:rPr>
          <w:rFonts w:hint="eastAsia" w:cs="Arial"/>
          <w:color w:val="000000"/>
          <w:sz w:val="21"/>
          <w:szCs w:val="21"/>
        </w:rPr>
        <w:t>商业：距金汇广场</w:t>
      </w:r>
      <w:r>
        <w:rPr>
          <w:rFonts w:ascii="Arial" w:hAnsi="Arial" w:cs="Arial"/>
          <w:color w:val="000000"/>
          <w:sz w:val="21"/>
          <w:szCs w:val="21"/>
        </w:rPr>
        <w:t>约</w:t>
      </w:r>
      <w:r>
        <w:rPr>
          <w:rFonts w:hint="eastAsia" w:ascii="Arial" w:hAnsi="Arial" w:cs="Arial"/>
          <w:color w:val="000000"/>
          <w:sz w:val="21"/>
          <w:szCs w:val="21"/>
        </w:rPr>
        <w:t>2</w:t>
      </w:r>
      <w:r>
        <w:rPr>
          <w:rFonts w:ascii="Arial" w:hAnsi="Arial" w:cs="Arial"/>
          <w:color w:val="000000"/>
          <w:sz w:val="21"/>
          <w:szCs w:val="21"/>
        </w:rPr>
        <w:t>公里，距</w:t>
      </w:r>
      <w:r>
        <w:rPr>
          <w:rFonts w:hint="eastAsia" w:ascii="Arial" w:hAnsi="Arial" w:cs="Arial"/>
          <w:color w:val="000000"/>
          <w:sz w:val="21"/>
          <w:szCs w:val="21"/>
        </w:rPr>
        <w:t>领</w:t>
      </w:r>
      <w:r>
        <w:rPr>
          <w:rFonts w:ascii="Arial" w:hAnsi="Arial" w:cs="Arial"/>
          <w:color w:val="000000"/>
          <w:sz w:val="21"/>
          <w:szCs w:val="21"/>
        </w:rPr>
        <w:t>悦广场约</w:t>
      </w:r>
      <w:r>
        <w:rPr>
          <w:rFonts w:hint="eastAsia" w:ascii="Arial" w:hAnsi="Arial" w:cs="Arial"/>
          <w:color w:val="000000"/>
          <w:sz w:val="21"/>
          <w:szCs w:val="21"/>
        </w:rPr>
        <w:t>3</w:t>
      </w:r>
      <w:r>
        <w:rPr>
          <w:rFonts w:ascii="Arial" w:hAnsi="Arial" w:cs="Arial"/>
          <w:color w:val="000000"/>
          <w:sz w:val="21"/>
          <w:szCs w:val="21"/>
        </w:rPr>
        <w:t>公里</w:t>
      </w:r>
      <w:r>
        <w:rPr>
          <w:rFonts w:hint="eastAsia" w:ascii="Arial" w:hAnsi="Arial" w:cs="Arial"/>
          <w:sz w:val="21"/>
          <w:szCs w:val="21"/>
        </w:rPr>
        <w:t>；</w:t>
      </w:r>
    </w:p>
    <w:p>
      <w:pPr>
        <w:widowControl w:val="0"/>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教育：项目1公里范围内有瓯北镇第一小学及翔宇中学，另距离瓯北镇第二小学约1.3公里，距瓯北中心小学约1.9公里。周边教育配套较完善；</w:t>
      </w:r>
    </w:p>
    <w:p>
      <w:pPr>
        <w:widowControl w:val="0"/>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医疗：项目往南直线距离600米建有永嘉县中医院；</w:t>
      </w:r>
    </w:p>
    <w:p>
      <w:pPr>
        <w:widowControl w:val="0"/>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景观及人文资源：项目临近楠溪江、周边有双塔公园等自然环境好，附近无人文设施，人文环境较差。</w:t>
      </w:r>
    </w:p>
    <w:p>
      <w:pPr>
        <w:pStyle w:val="5"/>
        <w:spacing w:before="0" w:after="0" w:line="480" w:lineRule="auto"/>
        <w:ind w:firstLine="207" w:firstLineChars="98"/>
        <w:rPr>
          <w:rFonts w:eastAsia="宋体" w:cs="Arial"/>
          <w:sz w:val="21"/>
          <w:szCs w:val="21"/>
        </w:rPr>
      </w:pPr>
      <w:bookmarkStart w:id="86" w:name="_Toc74250062"/>
      <w:bookmarkStart w:id="87" w:name="_Toc106177871"/>
      <w:r>
        <w:rPr>
          <w:rFonts w:eastAsia="宋体" w:cs="Arial"/>
          <w:sz w:val="21"/>
          <w:szCs w:val="21"/>
        </w:rPr>
        <w:t>（二）项目建设规模及</w:t>
      </w:r>
      <w:bookmarkEnd w:id="83"/>
      <w:bookmarkEnd w:id="84"/>
      <w:bookmarkEnd w:id="85"/>
      <w:r>
        <w:rPr>
          <w:rFonts w:eastAsia="宋体" w:cs="Arial"/>
          <w:sz w:val="21"/>
          <w:szCs w:val="21"/>
        </w:rPr>
        <w:t>建造标准</w:t>
      </w:r>
      <w:bookmarkEnd w:id="86"/>
      <w:bookmarkEnd w:id="87"/>
    </w:p>
    <w:p>
      <w:pPr>
        <w:adjustRightInd w:val="0"/>
        <w:snapToGrid w:val="0"/>
        <w:spacing w:line="480" w:lineRule="auto"/>
        <w:ind w:firstLine="420" w:firstLineChars="200"/>
        <w:jc w:val="both"/>
        <w:rPr>
          <w:rFonts w:ascii="Arial" w:hAnsi="Arial" w:cs="Arial"/>
          <w:color w:val="000000"/>
          <w:sz w:val="21"/>
          <w:szCs w:val="21"/>
        </w:rPr>
      </w:pPr>
      <w:bookmarkStart w:id="88" w:name="_Toc109118446"/>
      <w:bookmarkStart w:id="89" w:name="_Toc109119048"/>
      <w:bookmarkStart w:id="90" w:name="_Toc109122453"/>
      <w:r>
        <w:rPr>
          <w:rFonts w:hint="eastAsia" w:ascii="Arial" w:hAnsi="Arial" w:cs="Arial"/>
          <w:color w:val="000000"/>
          <w:sz w:val="21"/>
          <w:szCs w:val="21"/>
        </w:rPr>
        <w:t>1、</w:t>
      </w:r>
      <w:bookmarkEnd w:id="88"/>
      <w:bookmarkEnd w:id="89"/>
      <w:bookmarkEnd w:id="90"/>
      <w:r>
        <w:rPr>
          <w:rFonts w:hint="eastAsia" w:ascii="Arial" w:hAnsi="Arial" w:cs="Arial"/>
          <w:color w:val="000000"/>
          <w:sz w:val="21"/>
          <w:szCs w:val="21"/>
        </w:rPr>
        <w:t>项目概况</w:t>
      </w:r>
    </w:p>
    <w:p>
      <w:pPr>
        <w:adjustRightInd w:val="0"/>
        <w:snapToGrid w:val="0"/>
        <w:spacing w:line="480" w:lineRule="auto"/>
        <w:ind w:firstLine="420" w:firstLineChars="200"/>
        <w:jc w:val="both"/>
        <w:rPr>
          <w:rFonts w:hint="eastAsia" w:ascii="Arial" w:hAnsi="Arial" w:cs="Arial"/>
          <w:color w:val="000000"/>
          <w:sz w:val="21"/>
          <w:szCs w:val="21"/>
        </w:rPr>
      </w:pPr>
      <w:r>
        <w:rPr>
          <w:rFonts w:hint="eastAsia" w:ascii="Arial" w:hAnsi="Arial" w:cs="Arial"/>
          <w:color w:val="000000"/>
          <w:sz w:val="21"/>
          <w:szCs w:val="21"/>
        </w:rPr>
        <w:t>根据项目地块公示文件，项目地块概况具体如下：</w:t>
      </w:r>
    </w:p>
    <w:p>
      <w:pPr>
        <w:adjustRightInd w:val="0"/>
        <w:snapToGrid w:val="0"/>
        <w:spacing w:line="480" w:lineRule="auto"/>
        <w:ind w:firstLine="420" w:firstLineChars="200"/>
        <w:jc w:val="both"/>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（1）地块位置：地块位于瓯北清水埠岙儿垟，东侧为楠江东路与清花东路交界，南侧为楠江东路，西侧为现状山体，北侧为清花东路。</w:t>
      </w:r>
    </w:p>
    <w:p>
      <w:pPr>
        <w:adjustRightInd w:val="0"/>
        <w:snapToGrid w:val="0"/>
        <w:spacing w:line="480" w:lineRule="auto"/>
        <w:ind w:firstLine="420" w:firstLineChars="200"/>
        <w:jc w:val="both"/>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2）地块面积：总用地面积为60342.69平方米（计90.514亩），总规划建设用地面积60342.69平方米（计90.514亩）。规划建设用地中国有出让土地使用权分摊19526.45平方米（29.29亩），国有划拨土地使用权分摊40816.24平方米（计61.224亩），具体分摊面积如下表：</w:t>
      </w:r>
    </w:p>
    <w:tbl>
      <w:tblPr>
        <w:tblStyle w:val="37"/>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2163"/>
        <w:gridCol w:w="2531"/>
        <w:gridCol w:w="3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160" w:type="dxa"/>
            <w:vAlign w:val="center"/>
          </w:tcPr>
          <w:p>
            <w:pPr>
              <w:spacing w:line="360" w:lineRule="auto"/>
              <w:jc w:val="center"/>
              <w:rPr>
                <w:rFonts w:hint="default" w:ascii="Arial" w:hAnsi="Arial" w:eastAsia="宋体" w:cs="Arial"/>
                <w:sz w:val="18"/>
                <w:szCs w:val="18"/>
              </w:rPr>
            </w:pPr>
            <w:r>
              <w:rPr>
                <w:rFonts w:hint="default" w:ascii="Arial" w:hAnsi="Arial" w:eastAsia="宋体" w:cs="Arial"/>
                <w:sz w:val="18"/>
                <w:szCs w:val="18"/>
              </w:rPr>
              <w:t>地块名称</w:t>
            </w:r>
          </w:p>
        </w:tc>
        <w:tc>
          <w:tcPr>
            <w:tcW w:w="2163" w:type="dxa"/>
            <w:vAlign w:val="center"/>
          </w:tcPr>
          <w:p>
            <w:pPr>
              <w:spacing w:line="360" w:lineRule="auto"/>
              <w:jc w:val="center"/>
              <w:rPr>
                <w:rFonts w:hint="default" w:ascii="Arial" w:hAnsi="Arial" w:eastAsia="宋体" w:cs="Arial"/>
                <w:sz w:val="18"/>
                <w:szCs w:val="18"/>
              </w:rPr>
            </w:pPr>
            <w:r>
              <w:rPr>
                <w:rFonts w:hint="default" w:ascii="Arial" w:hAnsi="Arial" w:eastAsia="宋体" w:cs="Arial"/>
                <w:sz w:val="18"/>
                <w:szCs w:val="18"/>
              </w:rPr>
              <w:t>总用地面积</w:t>
            </w:r>
          </w:p>
        </w:tc>
        <w:tc>
          <w:tcPr>
            <w:tcW w:w="2531" w:type="dxa"/>
            <w:vAlign w:val="center"/>
          </w:tcPr>
          <w:p>
            <w:pPr>
              <w:spacing w:line="360" w:lineRule="auto"/>
              <w:jc w:val="center"/>
              <w:rPr>
                <w:rFonts w:hint="default" w:ascii="Arial" w:hAnsi="Arial" w:eastAsia="宋体" w:cs="Arial"/>
                <w:kern w:val="2"/>
                <w:sz w:val="18"/>
                <w:szCs w:val="18"/>
              </w:rPr>
            </w:pPr>
            <w:r>
              <w:rPr>
                <w:rFonts w:hint="default" w:ascii="Arial" w:hAnsi="Arial" w:eastAsia="宋体" w:cs="Arial"/>
                <w:sz w:val="18"/>
                <w:szCs w:val="18"/>
              </w:rPr>
              <w:t>其中国有出让面积</w:t>
            </w:r>
          </w:p>
        </w:tc>
        <w:tc>
          <w:tcPr>
            <w:tcW w:w="3444" w:type="dxa"/>
            <w:vAlign w:val="center"/>
          </w:tcPr>
          <w:p>
            <w:pPr>
              <w:spacing w:line="360" w:lineRule="auto"/>
              <w:jc w:val="center"/>
              <w:rPr>
                <w:rFonts w:hint="default" w:ascii="Arial" w:hAnsi="Arial" w:eastAsia="宋体" w:cs="Arial"/>
                <w:kern w:val="2"/>
                <w:sz w:val="18"/>
                <w:szCs w:val="18"/>
              </w:rPr>
            </w:pPr>
            <w:r>
              <w:rPr>
                <w:rFonts w:hint="default" w:ascii="Arial" w:hAnsi="Arial" w:eastAsia="宋体" w:cs="Arial"/>
                <w:sz w:val="18"/>
                <w:szCs w:val="18"/>
              </w:rPr>
              <w:t>其中国有划拨面积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60" w:type="dxa"/>
            <w:vAlign w:val="center"/>
          </w:tcPr>
          <w:p>
            <w:pPr>
              <w:jc w:val="center"/>
              <w:rPr>
                <w:rFonts w:hint="default" w:ascii="Arial" w:hAnsi="Arial" w:eastAsia="宋体" w:cs="Arial"/>
                <w:sz w:val="18"/>
                <w:szCs w:val="18"/>
              </w:rPr>
            </w:pPr>
            <w:r>
              <w:rPr>
                <w:rFonts w:hint="default" w:ascii="Arial" w:hAnsi="Arial" w:eastAsia="宋体" w:cs="Arial"/>
                <w:sz w:val="18"/>
                <w:szCs w:val="18"/>
              </w:rPr>
              <w:t>ZX-H2-24</w:t>
            </w:r>
          </w:p>
        </w:tc>
        <w:tc>
          <w:tcPr>
            <w:tcW w:w="2163" w:type="dxa"/>
            <w:vAlign w:val="center"/>
          </w:tcPr>
          <w:p>
            <w:pPr>
              <w:jc w:val="center"/>
              <w:rPr>
                <w:rFonts w:hint="default" w:ascii="Arial" w:hAnsi="Arial" w:eastAsia="宋体" w:cs="Arial"/>
                <w:sz w:val="18"/>
                <w:szCs w:val="18"/>
              </w:rPr>
            </w:pPr>
            <w:r>
              <w:rPr>
                <w:rFonts w:hint="default" w:ascii="Arial" w:hAnsi="Arial" w:eastAsia="宋体" w:cs="Arial"/>
                <w:sz w:val="18"/>
                <w:szCs w:val="18"/>
              </w:rPr>
              <w:t>5444.04平方米（计8.166亩）</w:t>
            </w:r>
          </w:p>
        </w:tc>
        <w:tc>
          <w:tcPr>
            <w:tcW w:w="2531" w:type="dxa"/>
            <w:vAlign w:val="center"/>
          </w:tcPr>
          <w:p>
            <w:pPr>
              <w:jc w:val="center"/>
              <w:rPr>
                <w:rFonts w:hint="default" w:ascii="Arial" w:hAnsi="Arial" w:eastAsia="宋体" w:cs="Arial"/>
                <w:sz w:val="18"/>
                <w:szCs w:val="18"/>
              </w:rPr>
            </w:pPr>
            <w:r>
              <w:rPr>
                <w:rFonts w:hint="default" w:ascii="Arial" w:hAnsi="Arial" w:eastAsia="宋体" w:cs="Arial"/>
                <w:sz w:val="18"/>
                <w:szCs w:val="18"/>
              </w:rPr>
              <w:t>0</w:t>
            </w:r>
          </w:p>
        </w:tc>
        <w:tc>
          <w:tcPr>
            <w:tcW w:w="3444" w:type="dxa"/>
            <w:vAlign w:val="center"/>
          </w:tcPr>
          <w:p>
            <w:pPr>
              <w:jc w:val="center"/>
              <w:rPr>
                <w:rFonts w:hint="default" w:ascii="Arial" w:hAnsi="Arial" w:eastAsia="宋体" w:cs="Arial"/>
                <w:sz w:val="18"/>
                <w:szCs w:val="18"/>
              </w:rPr>
            </w:pPr>
            <w:r>
              <w:rPr>
                <w:rFonts w:hint="default" w:ascii="Arial" w:hAnsi="Arial" w:eastAsia="宋体" w:cs="Arial"/>
                <w:sz w:val="18"/>
                <w:szCs w:val="18"/>
              </w:rPr>
              <w:t>5444.04平方米（计8.166亩）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60" w:type="dxa"/>
            <w:vAlign w:val="center"/>
          </w:tcPr>
          <w:p>
            <w:pPr>
              <w:jc w:val="center"/>
              <w:rPr>
                <w:rFonts w:hint="default" w:ascii="Arial" w:hAnsi="Arial" w:eastAsia="宋体" w:cs="Arial"/>
                <w:sz w:val="18"/>
                <w:szCs w:val="18"/>
              </w:rPr>
            </w:pPr>
            <w:r>
              <w:rPr>
                <w:rFonts w:hint="default" w:ascii="Arial" w:hAnsi="Arial" w:eastAsia="宋体" w:cs="Arial"/>
                <w:sz w:val="18"/>
                <w:szCs w:val="18"/>
              </w:rPr>
              <w:t>ZX-H2-22</w:t>
            </w:r>
          </w:p>
        </w:tc>
        <w:tc>
          <w:tcPr>
            <w:tcW w:w="2163" w:type="dxa"/>
            <w:vAlign w:val="center"/>
          </w:tcPr>
          <w:p>
            <w:pPr>
              <w:jc w:val="center"/>
              <w:rPr>
                <w:rFonts w:hint="default" w:ascii="Arial" w:hAnsi="Arial" w:eastAsia="宋体" w:cs="Arial"/>
                <w:sz w:val="18"/>
                <w:szCs w:val="18"/>
              </w:rPr>
            </w:pPr>
            <w:r>
              <w:rPr>
                <w:rFonts w:hint="default" w:ascii="Arial" w:hAnsi="Arial" w:eastAsia="宋体" w:cs="Arial"/>
                <w:sz w:val="18"/>
                <w:szCs w:val="18"/>
              </w:rPr>
              <w:t>54898.65平方米（计82.348亩）</w:t>
            </w:r>
          </w:p>
        </w:tc>
        <w:tc>
          <w:tcPr>
            <w:tcW w:w="2531" w:type="dxa"/>
            <w:vAlign w:val="center"/>
          </w:tcPr>
          <w:p>
            <w:pPr>
              <w:jc w:val="both"/>
              <w:rPr>
                <w:rFonts w:hint="default" w:ascii="Arial" w:hAnsi="Arial" w:eastAsia="宋体" w:cs="Arial"/>
                <w:sz w:val="18"/>
                <w:szCs w:val="18"/>
              </w:rPr>
            </w:pPr>
            <w:r>
              <w:rPr>
                <w:rFonts w:hint="default" w:ascii="Arial" w:hAnsi="Arial" w:eastAsia="宋体" w:cs="Arial"/>
                <w:sz w:val="18"/>
                <w:szCs w:val="18"/>
              </w:rPr>
              <w:t>19526.45平方米（29.29亩），其中安置住宅分摊11981.12平方米（17.972亩），安置商业商务分摊1010.71平方米（1.516亩），出让商品房分摊6534.62平方米（计9.802亩）</w:t>
            </w:r>
          </w:p>
        </w:tc>
        <w:tc>
          <w:tcPr>
            <w:tcW w:w="3444" w:type="dxa"/>
            <w:vAlign w:val="center"/>
          </w:tcPr>
          <w:p>
            <w:pPr>
              <w:jc w:val="center"/>
              <w:rPr>
                <w:rFonts w:hint="default" w:ascii="Arial" w:hAnsi="Arial" w:eastAsia="宋体" w:cs="Arial"/>
                <w:sz w:val="18"/>
                <w:szCs w:val="18"/>
              </w:rPr>
            </w:pPr>
            <w:r>
              <w:rPr>
                <w:rFonts w:hint="default" w:ascii="Arial" w:hAnsi="Arial" w:eastAsia="宋体" w:cs="Arial"/>
                <w:sz w:val="18"/>
                <w:szCs w:val="18"/>
              </w:rPr>
              <w:t>35372.2方米（53.058亩），其中幼儿园分摊2287平方米（3.431亩），住宅安置房分摊29137.28平方米（43.706亩），商业、商务安置分摊3947.92平方米（5.922亩）。</w:t>
            </w:r>
          </w:p>
        </w:tc>
      </w:tr>
    </w:tbl>
    <w:p>
      <w:pPr>
        <w:adjustRightInd w:val="0"/>
        <w:snapToGrid w:val="0"/>
        <w:spacing w:line="480" w:lineRule="auto"/>
        <w:ind w:firstLine="420" w:firstLineChars="200"/>
        <w:jc w:val="both"/>
        <w:rPr>
          <w:rFonts w:hint="eastAsia" w:ascii="Arial" w:hAnsi="Arial" w:cs="Arial"/>
          <w:color w:val="000000"/>
          <w:sz w:val="21"/>
          <w:szCs w:val="21"/>
        </w:rPr>
      </w:pPr>
    </w:p>
    <w:p>
      <w:pPr>
        <w:pStyle w:val="2"/>
        <w:keepNext w:val="0"/>
        <w:keepLines w:val="0"/>
        <w:pageBreakBefore w:val="0"/>
        <w:widowControl/>
        <w:kinsoku/>
        <w:wordWrap/>
        <w:overflowPunct/>
        <w:topLinePunct w:val="0"/>
        <w:autoSpaceDE/>
        <w:autoSpaceDN/>
        <w:bidi w:val="0"/>
        <w:adjustRightInd w:val="0"/>
        <w:snapToGrid/>
        <w:ind w:firstLine="420" w:firstLineChars="200"/>
        <w:textAlignment w:val="auto"/>
        <w:rPr>
          <w:rFonts w:hint="eastAsia" w:ascii="Arial" w:hAnsi="Arial" w:eastAsia="宋体" w:cs="Arial"/>
          <w:color w:val="000000"/>
          <w:sz w:val="21"/>
          <w:szCs w:val="21"/>
          <w:lang w:val="en-US" w:eastAsia="zh-CN" w:bidi="ar-SA"/>
        </w:rPr>
      </w:pPr>
      <w:r>
        <w:rPr>
          <w:rFonts w:hint="eastAsia" w:ascii="Arial" w:hAnsi="Arial" w:eastAsia="宋体" w:cs="Arial"/>
          <w:color w:val="000000"/>
          <w:sz w:val="21"/>
          <w:szCs w:val="21"/>
          <w:lang w:val="en-US" w:eastAsia="zh-CN" w:bidi="ar-SA"/>
        </w:rPr>
        <w:t>（3）土地用途：出让土地用途为城镇住宅用地兼容零售商业、餐饮、旅馆、商务金融用地，具体区块用途如下。</w:t>
      </w:r>
    </w:p>
    <w:tbl>
      <w:tblPr>
        <w:tblStyle w:val="37"/>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1"/>
        <w:gridCol w:w="7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2271" w:type="dxa"/>
            <w:vAlign w:val="center"/>
          </w:tcPr>
          <w:p>
            <w:pPr>
              <w:jc w:val="both"/>
              <w:rPr>
                <w:rFonts w:hint="default" w:ascii="Arial" w:hAnsi="Arial" w:eastAsia="宋体" w:cs="Arial"/>
                <w:sz w:val="18"/>
                <w:szCs w:val="18"/>
              </w:rPr>
            </w:pPr>
            <w:r>
              <w:rPr>
                <w:rFonts w:hint="default" w:ascii="Arial" w:hAnsi="Arial" w:eastAsia="宋体" w:cs="Arial"/>
                <w:sz w:val="18"/>
                <w:szCs w:val="18"/>
              </w:rPr>
              <w:t>地块名称</w:t>
            </w:r>
          </w:p>
        </w:tc>
        <w:tc>
          <w:tcPr>
            <w:tcW w:w="7027" w:type="dxa"/>
            <w:vAlign w:val="center"/>
          </w:tcPr>
          <w:p>
            <w:pPr>
              <w:jc w:val="both"/>
              <w:rPr>
                <w:rFonts w:hint="default" w:ascii="Arial" w:hAnsi="Arial" w:eastAsia="宋体" w:cs="Arial"/>
                <w:sz w:val="18"/>
                <w:szCs w:val="18"/>
              </w:rPr>
            </w:pPr>
            <w:r>
              <w:rPr>
                <w:rFonts w:hint="default" w:ascii="Arial" w:hAnsi="Arial" w:eastAsia="宋体" w:cs="Arial"/>
                <w:sz w:val="18"/>
                <w:szCs w:val="18"/>
              </w:rPr>
              <w:t>土地用途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271" w:type="dxa"/>
            <w:vAlign w:val="center"/>
          </w:tcPr>
          <w:p>
            <w:pPr>
              <w:jc w:val="both"/>
              <w:rPr>
                <w:rFonts w:hint="default" w:ascii="Arial" w:hAnsi="Arial" w:eastAsia="宋体" w:cs="Arial"/>
                <w:sz w:val="18"/>
                <w:szCs w:val="18"/>
              </w:rPr>
            </w:pPr>
            <w:r>
              <w:rPr>
                <w:rFonts w:hint="default" w:ascii="Arial" w:hAnsi="Arial" w:eastAsia="宋体" w:cs="Arial"/>
                <w:sz w:val="18"/>
                <w:szCs w:val="18"/>
              </w:rPr>
              <w:t>ZX-H2-24</w:t>
            </w:r>
          </w:p>
        </w:tc>
        <w:tc>
          <w:tcPr>
            <w:tcW w:w="7027" w:type="dxa"/>
            <w:vAlign w:val="center"/>
          </w:tcPr>
          <w:p>
            <w:pPr>
              <w:jc w:val="both"/>
              <w:rPr>
                <w:rFonts w:hint="default" w:ascii="Arial" w:hAnsi="Arial" w:eastAsia="宋体" w:cs="Arial"/>
                <w:sz w:val="18"/>
                <w:szCs w:val="18"/>
              </w:rPr>
            </w:pPr>
            <w:r>
              <w:rPr>
                <w:rFonts w:hint="default" w:ascii="Arial" w:hAnsi="Arial" w:eastAsia="宋体" w:cs="Arial"/>
                <w:sz w:val="18"/>
                <w:szCs w:val="18"/>
              </w:rPr>
              <w:t>零售商业用地兼容机关团体、文化设施、公用设施用地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271" w:type="dxa"/>
            <w:vAlign w:val="center"/>
          </w:tcPr>
          <w:p>
            <w:pPr>
              <w:jc w:val="both"/>
              <w:rPr>
                <w:rFonts w:hint="default" w:ascii="Arial" w:hAnsi="Arial" w:eastAsia="宋体" w:cs="Arial"/>
                <w:sz w:val="18"/>
                <w:szCs w:val="18"/>
              </w:rPr>
            </w:pPr>
            <w:r>
              <w:rPr>
                <w:rFonts w:hint="default" w:ascii="Arial" w:hAnsi="Arial" w:eastAsia="宋体" w:cs="Arial"/>
                <w:sz w:val="18"/>
                <w:szCs w:val="18"/>
              </w:rPr>
              <w:t>ZX-H2-22</w:t>
            </w:r>
          </w:p>
        </w:tc>
        <w:tc>
          <w:tcPr>
            <w:tcW w:w="7027" w:type="dxa"/>
            <w:vAlign w:val="center"/>
          </w:tcPr>
          <w:p>
            <w:pPr>
              <w:jc w:val="both"/>
              <w:rPr>
                <w:rFonts w:hint="default" w:ascii="Arial" w:hAnsi="Arial" w:eastAsia="宋体" w:cs="Arial"/>
                <w:sz w:val="18"/>
                <w:szCs w:val="18"/>
              </w:rPr>
            </w:pPr>
            <w:r>
              <w:rPr>
                <w:rFonts w:hint="default" w:ascii="Arial" w:hAnsi="Arial" w:eastAsia="宋体" w:cs="Arial"/>
                <w:sz w:val="18"/>
                <w:szCs w:val="18"/>
              </w:rPr>
              <w:t>城镇住宅用地兼容零售商业、餐饮、旅馆、商务金融用地</w:t>
            </w:r>
          </w:p>
        </w:tc>
      </w:tr>
    </w:tbl>
    <w:p>
      <w:pPr>
        <w:pStyle w:val="2"/>
        <w:rPr>
          <w:rFonts w:hint="eastAsia" w:ascii="Arial" w:hAnsi="Arial" w:cs="Arial"/>
          <w:color w:val="000000"/>
          <w:sz w:val="21"/>
          <w:szCs w:val="21"/>
        </w:rPr>
      </w:pPr>
    </w:p>
    <w:p>
      <w:pPr>
        <w:adjustRightInd w:val="0"/>
        <w:snapToGrid w:val="0"/>
        <w:spacing w:line="480" w:lineRule="auto"/>
        <w:ind w:firstLine="420" w:firstLineChars="200"/>
        <w:jc w:val="both"/>
        <w:rPr>
          <w:rFonts w:hint="eastAsia" w:ascii="Arial" w:hAnsi="Arial" w:cs="Arial"/>
          <w:color w:val="000000"/>
          <w:sz w:val="21"/>
          <w:szCs w:val="21"/>
        </w:rPr>
      </w:pPr>
      <w:r>
        <w:rPr>
          <w:rFonts w:hint="eastAsia" w:ascii="Arial" w:hAnsi="Arial" w:cs="Arial"/>
          <w:color w:val="000000"/>
          <w:sz w:val="21"/>
          <w:szCs w:val="21"/>
        </w:rPr>
        <w:t>2）受让人须在ZX-H2-22区块配（代）建地上计容建筑面积不小于8177平方米的商业安置用房（其中国有划拨6232平方米，国有出让1945平方米）；配（代）建地上计容建筑面积不小于7130平方米的二、三层商业、商务安置用房（其中国有划拨5955平方米，国有出让1175平方米）。一层商业要安排在楠江中路、清花路及转角和农贸市场四周位置，其中层高5.1米扎背510平方米（容积率按照1倍计算），层高4.5米扎背590平方米，其余7077平方米为标准层高，二、三层商业商务位置以楠江中路、清花路为主。</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3）受让人须配建1160个地下安置车位及2088个非机动车位（车库产权面积按标准配置，最终以实际安置面积计算，不允许安排机械停车位）。</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4）以上配建面积142237平方米安置房均未包含物业、居家养老、配电、智能化用房及充电桩等配套设施，配套设施面积按照安置房与商品房比例分摊，按规划设计条件书要求由受让人设计和建造，产权归全体业主所有。</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5）以上安置房中划拨部分及配套车位产权在施工期间统一登记在永嘉县融发建设有限公司名下，竣工验收后拆迁安置房及安置车位由瓯北东片开发建设指挥部统筹用于拆迁安置，若安置用房地上计容建筑面积有调整的，其分摊的土地使用权面积不再调整。</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6）拆迁安置房及分摊配套设施（按照地上计容建筑面积计算）、地下车位（按照产权面积计算）以综合成本价4200元/平方米（包括除应缴契税外的一切税费）计，由永嘉县融发建设有限公司负责配建款的支付工作。</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7）拆迁安置房的套型、位置、品质要求、价款支付方式、违约责任等由瓯北东片开发建设指挥部、永嘉县融发建设有限公司与受让人签订《瓯北清水埠片区ZX-H2-22、ZX-H2-24地块开发建设监管协议书》进行约束并执行。</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8）该地块由于涉及部分安置用房配建，土地受让人必须承认瓯北东片开发建设指挥部与安置户签订的拆迁安置协议，承担该地块的安置建设义务、后续政策处理与潜在风险。安置房、政策性用房与商品房按一个项目统一设计、统一报批、统一建设，统一竣工，确保整个项目建筑同一品质，并实行统一的物业管理模式，且规划设计方案须经瓯北东片开发建设指挥部审核同意。</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9）受让人须在ZX-H2-22区块内无偿配建一处6班幼儿园（包括装修）及配套的地下车位10个，非机动车位51个，参照浙江省工程建设标准《普通幼儿园建设标准》D833/1040-2007执行，用地面积不小于2287平方米，建筑面积不小于2287平方米，土地使用权类型为国有划拨，幼儿园功能应该独立，用地界线明确，并单独提供安全畅通的出入口，同时其建筑、用地退让及日照需满足规范要求，幼儿园要与整个地块统一竣工验收，产权在施工期间统一登记在永嘉县融发建设有限公司名下。</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10）受让人须在ZX-H2-22区块内无偿设置开闭所一座，按照电力部门要求建设，面积不少于120平方米。</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11）ZX-H2-24区块配建要求</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①受让人须在ZX-H2-24区块内无偿配建一处农贸市场及配套地下车位（地下车位建筑面积不小于4578平方米），受让人必须按照容积率足量建设，其规划设计方案须经政府审核同意，使用权类型为国有划拨，要与整个地块统一竣工验收，产权在施工期间统一登记在永嘉县融发建设有限公司名下。</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②受让人须结合农贸市场设置一处基层文化活动站（建筑面积不小于400平方米），设置一处基层社区用房（建筑面积不小于500平方米），设置一处公共厕所（面积不小于60平方米），以上均由受让人无偿配建，产权归政府所有。</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12）地下空间</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①地下车库（兼容人防车位除外）按产权测量面积（包括分摊面积）补缴土地出让金后，允许分割销售、转让、出租，其中地下一层按楼面地价263元/平方米收取， 地下二层楼面地价按地下一层的50%执行，地下三层以下（含三层）免收出让金。车库产权测量面积（包括分摊面积）由县城乡规划行政主管部门在办理建设工程规划许可证时确定，使用年限参照地上建筑主要用途登记。人防工程按照相关标准、规范和文件要求由受让人建设，产权无偿归政府所有。地下车库出让金在项目复核验收时按规划核实确认的建筑面积结算，建设单位确需申请预售的，可在规划工程许可阶段进行预收。</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②建筑物的地下室、半地下室除作为车库及消防、人防、配电等配套设施用房外，作为地下商场等其他用途的，则另行单独计算地下容积率指标，在发放建设工程规划许可证前按成交平均楼面地价的15%另行收取土地出让金。地下建筑面积由县城乡规划行政主管部门在规划方案审定时确定。</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13）ZX-H2-22区块与ZX-H2-24区块地下空间可统一开发建设。</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2、项目建造标准</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根据建设单位现阶段已提供的资料，本项目包含住宅及地下车库，住宅用房设计为小高层及高层产品。项目住宅规划总建筑面积为146017平方米（其中：商品住宅19086.95平方米、回迁安置住宅126930平方米）；</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住宅产品建筑类型为为高层及小高层住宅，钢混结构。户型配比方面，项目主力产品为面积在90㎡的两居，共240户；120-130㎡的三居，共480户，其次为面积75㎡的两居，共186户；其余户型为110㎡的三居，共150户，140㎡的三居，共108户。</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（1）要求配（建）安置用房裙楼部分的外立面采用石材或铝板干挂，综合单价不少于每平方米800元；要求高层部分的外立面采用真石漆，真石漆综合单价不少于每平方米80元；要求全部住宅阳台全封闭。</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（2）门窗采用断桥隔热中空铝合金门窗。</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（3）电梯采用国产日立、国产三菱或通力等同档次电梯。</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4）公用部位（一层门厅、电梯前室、地下室至二层楼梯等）抛光砖或大理石或花岗岩贴墙面、地面（上述材料须带防滑功能）。功能性房间包括消控室、设备用房按使用标准装饰到位。公共卫生间按使用标准装修到位，包括地面、墙面、吊顶、洁具、坐便器(或蹲便器)，洗脸盆（含台面、水龙头）、隔断等。</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（5）入户门采用防火防盗门，户内隔墙和内门按审批图纸要求实施。</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（6）室外景观（包括开闭所、体育健身及公共文化设施、公共用房等公共设施）平均造价不低于600元/平方米。</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（7）小区须设置弱电机房（通信机房），以引入室内外移动网络、传输设备、综合接入设备、电源设备、有线电视、有线及无线宽带数据等综合通信业务，运营商信号需覆盖。</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（8）小区应设置周界报警系统、视频安防监控系统、访客可视对讲系统及门禁管理系统、住户报警系统（紧急报警或求助装置）、电子巡查系统，以及安全技术防范系统监控中心。</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9）地下汽车库、非机动车库地面采用防滑耐磨地坪，同步设置停车标识标示。墙面采用白色防霉涂料饰面，底部1200mm高用彩色标识，停车标识标示。顶棚采用防霉涂料饰面。柱身采用白色防霉涂料饰面，设防撞条；大型车库根据分区设置不同颜色标识。车库出入口（汽车坡道）采用防滑耐磨减噪地坪。车库内应配备相应的交通标志指示牌、警示牌及停车位分割线等交通标志。汽车库入口宜设置车辆识别系统，入口设置防倒塌棚架。地下室预埋充电桩管线到位；地下室地面采用金属骨料金刚砂耐磨地坪（面层采用环氧树脂地坪漆），汽车坡道采用切槽花岗岩止滑坡道或耐滑防噪耐久性更好的做法。</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（10）安置地块与出让地块建设应品质相同、同步建设、统一竣工，实行统一物业管理。</w:t>
      </w:r>
    </w:p>
    <w:p>
      <w:pPr>
        <w:pStyle w:val="5"/>
        <w:spacing w:before="0" w:after="0" w:line="480" w:lineRule="auto"/>
        <w:jc w:val="both"/>
        <w:rPr>
          <w:rFonts w:eastAsia="宋体" w:cs="Arial"/>
          <w:sz w:val="21"/>
          <w:szCs w:val="21"/>
        </w:rPr>
      </w:pPr>
      <w:bookmarkStart w:id="91" w:name="_Toc118531914"/>
      <w:bookmarkStart w:id="92" w:name="_Toc109118448"/>
      <w:bookmarkStart w:id="93" w:name="_Toc106177872"/>
      <w:bookmarkStart w:id="94" w:name="_Toc74250063"/>
      <w:bookmarkStart w:id="95" w:name="_Toc109012099"/>
      <w:r>
        <w:rPr>
          <w:rFonts w:hint="eastAsia" w:eastAsia="宋体" w:cs="Arial"/>
          <w:sz w:val="21"/>
          <w:szCs w:val="21"/>
        </w:rPr>
        <w:t>二</w:t>
      </w:r>
      <w:r>
        <w:rPr>
          <w:rFonts w:eastAsia="宋体" w:cs="Arial"/>
          <w:sz w:val="21"/>
          <w:szCs w:val="21"/>
        </w:rPr>
        <w:t>、项目工程建设进程评价</w:t>
      </w:r>
      <w:bookmarkEnd w:id="91"/>
      <w:bookmarkEnd w:id="92"/>
      <w:bookmarkEnd w:id="93"/>
      <w:bookmarkEnd w:id="94"/>
      <w:bookmarkEnd w:id="95"/>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1、</w:t>
      </w:r>
      <w:r>
        <w:rPr>
          <w:rFonts w:hint="eastAsia" w:ascii="Arial" w:hAnsi="Arial" w:cs="Arial"/>
          <w:color w:val="000000"/>
          <w:sz w:val="21"/>
          <w:szCs w:val="21"/>
        </w:rPr>
        <w:t>截至本评估基准日，项目地块正在公示中，尚未取得国有建设用地使用权。</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2、项目工程进度说明</w:t>
      </w:r>
    </w:p>
    <w:p>
      <w:pPr>
        <w:widowControl w:val="0"/>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（1）建设进度</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项目于202</w:t>
      </w:r>
      <w:r>
        <w:rPr>
          <w:rFonts w:hint="eastAsia" w:ascii="Arial" w:hAnsi="Arial" w:cs="Arial"/>
          <w:color w:val="000000"/>
          <w:sz w:val="21"/>
          <w:szCs w:val="21"/>
        </w:rPr>
        <w:t>3</w:t>
      </w:r>
      <w:r>
        <w:rPr>
          <w:rFonts w:ascii="Arial" w:hAnsi="Arial" w:cs="Arial"/>
          <w:color w:val="000000"/>
          <w:sz w:val="21"/>
          <w:szCs w:val="21"/>
        </w:rPr>
        <w:t>年</w:t>
      </w:r>
      <w:r>
        <w:rPr>
          <w:rFonts w:hint="eastAsia" w:ascii="Arial" w:hAnsi="Arial" w:cs="Arial"/>
          <w:color w:val="000000"/>
          <w:sz w:val="21"/>
          <w:szCs w:val="21"/>
        </w:rPr>
        <w:t>4</w:t>
      </w:r>
      <w:r>
        <w:rPr>
          <w:rFonts w:ascii="Arial" w:hAnsi="Arial" w:cs="Arial"/>
          <w:color w:val="000000"/>
          <w:sz w:val="21"/>
          <w:szCs w:val="21"/>
        </w:rPr>
        <w:t>月动工建设，在202</w:t>
      </w:r>
      <w:r>
        <w:rPr>
          <w:rFonts w:hint="eastAsia" w:ascii="Arial" w:hAnsi="Arial" w:cs="Arial"/>
          <w:color w:val="000000"/>
          <w:sz w:val="21"/>
          <w:szCs w:val="21"/>
        </w:rPr>
        <w:t>3</w:t>
      </w:r>
      <w:r>
        <w:rPr>
          <w:rFonts w:ascii="Arial" w:hAnsi="Arial" w:cs="Arial"/>
          <w:color w:val="000000"/>
          <w:sz w:val="21"/>
          <w:szCs w:val="21"/>
        </w:rPr>
        <w:t>年</w:t>
      </w:r>
      <w:r>
        <w:rPr>
          <w:rFonts w:hint="eastAsia" w:ascii="Arial" w:hAnsi="Arial" w:cs="Arial"/>
          <w:color w:val="000000"/>
          <w:sz w:val="21"/>
          <w:szCs w:val="21"/>
        </w:rPr>
        <w:t>6</w:t>
      </w:r>
      <w:r>
        <w:rPr>
          <w:rFonts w:ascii="Arial" w:hAnsi="Arial" w:cs="Arial"/>
          <w:color w:val="000000"/>
          <w:sz w:val="21"/>
          <w:szCs w:val="21"/>
        </w:rPr>
        <w:t>月首期开盘，</w:t>
      </w:r>
      <w:r>
        <w:rPr>
          <w:rFonts w:hint="eastAsia" w:ascii="Arial" w:hAnsi="Arial" w:cs="Arial"/>
          <w:color w:val="000000"/>
          <w:sz w:val="21"/>
          <w:szCs w:val="21"/>
        </w:rPr>
        <w:t>2024年1月完成主体工程一半建设，2024年10月主体结构封顶，</w:t>
      </w:r>
      <w:r>
        <w:rPr>
          <w:rFonts w:ascii="Arial" w:hAnsi="Arial" w:cs="Arial"/>
          <w:color w:val="000000"/>
          <w:sz w:val="21"/>
          <w:szCs w:val="21"/>
        </w:rPr>
        <w:t>预计202</w:t>
      </w:r>
      <w:r>
        <w:rPr>
          <w:rFonts w:hint="eastAsia" w:ascii="Arial" w:hAnsi="Arial" w:cs="Arial"/>
          <w:color w:val="000000"/>
          <w:sz w:val="21"/>
          <w:szCs w:val="21"/>
        </w:rPr>
        <w:t>5</w:t>
      </w:r>
      <w:r>
        <w:rPr>
          <w:rFonts w:ascii="Arial" w:hAnsi="Arial" w:cs="Arial"/>
          <w:color w:val="000000"/>
          <w:sz w:val="21"/>
          <w:szCs w:val="21"/>
        </w:rPr>
        <w:t>年</w:t>
      </w:r>
      <w:r>
        <w:rPr>
          <w:rFonts w:hint="eastAsia" w:ascii="Arial" w:hAnsi="Arial" w:cs="Arial"/>
          <w:color w:val="000000"/>
          <w:sz w:val="21"/>
          <w:szCs w:val="21"/>
        </w:rPr>
        <w:t>9</w:t>
      </w:r>
      <w:r>
        <w:rPr>
          <w:rFonts w:ascii="Arial" w:hAnsi="Arial" w:cs="Arial"/>
          <w:color w:val="000000"/>
          <w:sz w:val="21"/>
          <w:szCs w:val="21"/>
        </w:rPr>
        <w:t>月全部竣备</w:t>
      </w:r>
      <w:r>
        <w:rPr>
          <w:rFonts w:hint="eastAsia" w:ascii="Arial" w:hAnsi="Arial" w:cs="Arial"/>
          <w:color w:val="000000"/>
          <w:sz w:val="21"/>
          <w:szCs w:val="21"/>
        </w:rPr>
        <w:t>并</w:t>
      </w:r>
      <w:r>
        <w:rPr>
          <w:rFonts w:ascii="Arial" w:hAnsi="Arial" w:cs="Arial"/>
          <w:color w:val="000000"/>
          <w:sz w:val="21"/>
          <w:szCs w:val="21"/>
        </w:rPr>
        <w:t>交付。全部建设工期预计约</w:t>
      </w:r>
      <w:r>
        <w:rPr>
          <w:rFonts w:hint="eastAsia" w:ascii="Arial" w:hAnsi="Arial" w:cs="Arial"/>
          <w:color w:val="000000"/>
          <w:sz w:val="21"/>
          <w:szCs w:val="21"/>
        </w:rPr>
        <w:t>30</w:t>
      </w:r>
      <w:r>
        <w:rPr>
          <w:rFonts w:ascii="Arial" w:hAnsi="Arial" w:cs="Arial"/>
          <w:color w:val="000000"/>
          <w:sz w:val="21"/>
          <w:szCs w:val="21"/>
        </w:rPr>
        <w:t>个月；</w:t>
      </w:r>
    </w:p>
    <w:p>
      <w:pPr>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（2）销售进度</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建设项目预计销售期约11个季度。</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商品住宅部分预计2023年2季度开始销售，至2025年4季度销售完毕；</w:t>
      </w:r>
    </w:p>
    <w:p>
      <w:pPr>
        <w:pStyle w:val="5"/>
        <w:spacing w:before="0" w:after="0" w:line="480" w:lineRule="auto"/>
        <w:jc w:val="both"/>
        <w:rPr>
          <w:rFonts w:eastAsia="宋体" w:cs="Arial"/>
          <w:sz w:val="21"/>
          <w:szCs w:val="21"/>
        </w:rPr>
      </w:pPr>
      <w:bookmarkStart w:id="96" w:name="_Toc74250064"/>
      <w:bookmarkStart w:id="97" w:name="_Toc109118449"/>
      <w:bookmarkStart w:id="98" w:name="_Toc109012100"/>
      <w:bookmarkStart w:id="99" w:name="_Toc118531915"/>
      <w:bookmarkStart w:id="100" w:name="_Toc522074575"/>
      <w:bookmarkStart w:id="101" w:name="_Toc12072677"/>
      <w:bookmarkStart w:id="102" w:name="_Toc106177873"/>
      <w:bookmarkStart w:id="103" w:name="_Toc532810725"/>
      <w:r>
        <w:rPr>
          <w:rFonts w:hint="eastAsia" w:eastAsia="宋体" w:cs="Arial"/>
          <w:sz w:val="21"/>
          <w:szCs w:val="21"/>
        </w:rPr>
        <w:t>三</w:t>
      </w:r>
      <w:r>
        <w:rPr>
          <w:rFonts w:eastAsia="宋体" w:cs="Arial"/>
          <w:sz w:val="21"/>
          <w:szCs w:val="21"/>
        </w:rPr>
        <w:t>、项目建设条件评价</w:t>
      </w:r>
      <w:bookmarkEnd w:id="96"/>
      <w:bookmarkEnd w:id="97"/>
      <w:bookmarkEnd w:id="98"/>
      <w:bookmarkEnd w:id="99"/>
      <w:bookmarkEnd w:id="100"/>
      <w:bookmarkEnd w:id="101"/>
      <w:bookmarkEnd w:id="102"/>
      <w:bookmarkEnd w:id="103"/>
    </w:p>
    <w:p>
      <w:pPr>
        <w:adjustRightInd w:val="0"/>
        <w:snapToGrid w:val="0"/>
        <w:spacing w:line="480" w:lineRule="auto"/>
        <w:ind w:firstLine="420" w:firstLineChars="200"/>
        <w:jc w:val="both"/>
        <w:rPr>
          <w:rFonts w:ascii="Arial" w:hAnsi="Arial" w:cs="Arial"/>
          <w:color w:val="000000"/>
          <w:sz w:val="21"/>
          <w:szCs w:val="21"/>
        </w:rPr>
      </w:pPr>
      <w:bookmarkStart w:id="104" w:name="_Toc118531916"/>
      <w:bookmarkStart w:id="105" w:name="_Toc109012101"/>
      <w:bookmarkStart w:id="106" w:name="_Toc109118450"/>
      <w:r>
        <w:rPr>
          <w:rFonts w:hint="eastAsia" w:ascii="Arial" w:hAnsi="Arial" w:cs="Arial"/>
          <w:color w:val="000000"/>
          <w:sz w:val="21"/>
          <w:szCs w:val="21"/>
        </w:rPr>
        <w:t>项目地块拟供应市政基础设施条件为“三通”（即通路、通电、通上水），预计建成后市政基础设施条件将达“六通”（即通路、通电、通讯、通上水、通下水、通燃气）。截至基准日，项目尚未取得国有建设用地使用权。</w:t>
      </w:r>
    </w:p>
    <w:p>
      <w:pPr>
        <w:pStyle w:val="5"/>
        <w:spacing w:before="0" w:after="0" w:line="480" w:lineRule="auto"/>
        <w:jc w:val="both"/>
        <w:rPr>
          <w:rFonts w:eastAsia="宋体" w:cs="Arial"/>
          <w:sz w:val="21"/>
          <w:szCs w:val="21"/>
        </w:rPr>
      </w:pPr>
      <w:bookmarkStart w:id="107" w:name="_Toc74250065"/>
      <w:bookmarkStart w:id="108" w:name="_Toc106177874"/>
      <w:r>
        <w:rPr>
          <w:rFonts w:hint="eastAsia" w:eastAsia="宋体" w:cs="Arial"/>
          <w:sz w:val="21"/>
          <w:szCs w:val="21"/>
        </w:rPr>
        <w:t>四</w:t>
      </w:r>
      <w:r>
        <w:rPr>
          <w:rFonts w:eastAsia="宋体" w:cs="Arial"/>
          <w:sz w:val="21"/>
          <w:szCs w:val="21"/>
        </w:rPr>
        <w:t>、施工、监理单位资质评价</w:t>
      </w:r>
      <w:bookmarkEnd w:id="104"/>
      <w:bookmarkEnd w:id="105"/>
      <w:bookmarkEnd w:id="106"/>
      <w:bookmarkEnd w:id="107"/>
      <w:bookmarkEnd w:id="108"/>
    </w:p>
    <w:p>
      <w:pPr>
        <w:adjustRightInd w:val="0"/>
        <w:snapToGrid w:val="0"/>
        <w:spacing w:line="480" w:lineRule="auto"/>
        <w:ind w:firstLine="420" w:firstLineChars="200"/>
        <w:jc w:val="both"/>
        <w:rPr>
          <w:rFonts w:ascii="Arial" w:hAnsi="Arial"/>
          <w:color w:val="000000"/>
          <w:sz w:val="21"/>
          <w:szCs w:val="28"/>
        </w:rPr>
      </w:pPr>
      <w:r>
        <w:rPr>
          <w:rFonts w:hint="eastAsia" w:ascii="Arial" w:hAnsi="Arial"/>
          <w:color w:val="000000"/>
          <w:sz w:val="21"/>
          <w:szCs w:val="28"/>
        </w:rPr>
        <w:t>截至本报告出具日，建设单位未能提供有关建设、施工、监理单位资质相关信息。</w:t>
      </w:r>
    </w:p>
    <w:p>
      <w:pPr>
        <w:pStyle w:val="5"/>
        <w:spacing w:before="0" w:after="0" w:line="480" w:lineRule="auto"/>
        <w:jc w:val="both"/>
        <w:rPr>
          <w:rFonts w:eastAsia="宋体" w:cs="Arial"/>
          <w:sz w:val="21"/>
          <w:szCs w:val="21"/>
        </w:rPr>
      </w:pPr>
      <w:bookmarkStart w:id="109" w:name="_Toc106177875"/>
      <w:bookmarkStart w:id="110" w:name="_Toc74250066"/>
      <w:bookmarkStart w:id="111" w:name="_Toc522074577"/>
      <w:r>
        <w:rPr>
          <w:rFonts w:hint="eastAsia" w:eastAsia="宋体" w:cs="Arial"/>
          <w:sz w:val="21"/>
          <w:szCs w:val="21"/>
        </w:rPr>
        <w:t>五</w:t>
      </w:r>
      <w:r>
        <w:rPr>
          <w:rFonts w:eastAsia="宋体" w:cs="Arial"/>
          <w:sz w:val="21"/>
          <w:szCs w:val="21"/>
        </w:rPr>
        <w:t>、环境保护评价</w:t>
      </w:r>
      <w:bookmarkEnd w:id="109"/>
      <w:bookmarkEnd w:id="110"/>
      <w:bookmarkEnd w:id="111"/>
    </w:p>
    <w:p>
      <w:pPr>
        <w:adjustRightInd w:val="0"/>
        <w:snapToGrid w:val="0"/>
        <w:spacing w:line="480" w:lineRule="auto"/>
        <w:ind w:firstLine="359" w:firstLineChars="171"/>
        <w:jc w:val="both"/>
        <w:rPr>
          <w:rFonts w:ascii="Arial" w:hAnsi="Arial" w:cs="Arial"/>
          <w:sz w:val="21"/>
          <w:szCs w:val="21"/>
        </w:rPr>
      </w:pPr>
      <w:r>
        <w:rPr>
          <w:rFonts w:ascii="Arial" w:hAnsi="Arial" w:cs="Arial"/>
          <w:sz w:val="21"/>
          <w:szCs w:val="21"/>
        </w:rPr>
        <w:t>项目工程建设内容为</w:t>
      </w:r>
      <w:r>
        <w:rPr>
          <w:rFonts w:hint="eastAsia" w:ascii="Arial" w:hAnsi="Arial" w:cs="Arial"/>
          <w:sz w:val="21"/>
          <w:szCs w:val="21"/>
        </w:rPr>
        <w:t>居住</w:t>
      </w:r>
      <w:r>
        <w:rPr>
          <w:rFonts w:ascii="Arial" w:hAnsi="Arial" w:cs="Arial"/>
          <w:sz w:val="21"/>
          <w:szCs w:val="21"/>
        </w:rPr>
        <w:t>项目，主要环境问题是地下车库、生活污水、噪声及施工期扬尘和噪声等。</w:t>
      </w:r>
      <w:r>
        <w:rPr>
          <w:rFonts w:hint="eastAsia" w:ascii="Arial" w:hAnsi="Arial" w:cs="Arial"/>
          <w:sz w:val="21"/>
          <w:szCs w:val="21"/>
        </w:rPr>
        <w:t>截至本报告出具日，建设单位尚未申请环境保护相关批准文件。</w:t>
      </w:r>
    </w:p>
    <w:p>
      <w:pPr>
        <w:adjustRightInd w:val="0"/>
        <w:snapToGrid w:val="0"/>
        <w:spacing w:line="480" w:lineRule="auto"/>
        <w:rPr>
          <w:rFonts w:ascii="Arial" w:hAnsi="Arial" w:cs="Arial"/>
          <w:b/>
          <w:bCs/>
          <w:sz w:val="2"/>
          <w:szCs w:val="2"/>
        </w:rPr>
      </w:pPr>
      <w:r>
        <w:rPr>
          <w:rFonts w:ascii="Arial" w:hAnsi="Arial" w:cs="Arial"/>
          <w:szCs w:val="21"/>
        </w:rPr>
        <w:br w:type="page"/>
      </w:r>
    </w:p>
    <w:p>
      <w:pPr>
        <w:pStyle w:val="4"/>
        <w:spacing w:before="240"/>
        <w:rPr>
          <w:rFonts w:ascii="Arial" w:hAnsi="Arial" w:eastAsia="方正黑体简体" w:cs="Arial"/>
          <w:b w:val="0"/>
          <w:bCs/>
          <w:sz w:val="32"/>
          <w:szCs w:val="32"/>
        </w:rPr>
      </w:pPr>
      <w:bookmarkStart w:id="112" w:name="_Toc106177876"/>
      <w:bookmarkStart w:id="113" w:name="_Toc74250067"/>
      <w:r>
        <w:rPr>
          <w:rFonts w:ascii="Arial" w:hAnsi="Arial" w:eastAsia="方正黑体简体" w:cs="Arial"/>
          <w:b w:val="0"/>
          <w:bCs/>
          <w:sz w:val="32"/>
          <w:szCs w:val="32"/>
        </w:rPr>
        <w:t>第三章  市场评估</w:t>
      </w:r>
      <w:bookmarkEnd w:id="112"/>
      <w:bookmarkEnd w:id="113"/>
    </w:p>
    <w:p>
      <w:pPr>
        <w:pStyle w:val="5"/>
        <w:spacing w:before="0" w:after="0" w:line="480" w:lineRule="auto"/>
        <w:jc w:val="both"/>
        <w:rPr>
          <w:rFonts w:eastAsia="宋体" w:cs="Arial"/>
          <w:sz w:val="21"/>
          <w:szCs w:val="21"/>
        </w:rPr>
      </w:pPr>
      <w:bookmarkStart w:id="114" w:name="_Toc187666144"/>
      <w:bookmarkStart w:id="115" w:name="_Toc106177877"/>
      <w:bookmarkStart w:id="116" w:name="_Toc74250068"/>
      <w:r>
        <w:rPr>
          <w:rFonts w:eastAsia="宋体" w:cs="Arial"/>
          <w:sz w:val="21"/>
          <w:szCs w:val="21"/>
        </w:rPr>
        <w:t>一、市场环境评价</w:t>
      </w:r>
      <w:bookmarkEnd w:id="114"/>
      <w:bookmarkEnd w:id="115"/>
      <w:bookmarkEnd w:id="116"/>
    </w:p>
    <w:bookmarkEnd w:id="37"/>
    <w:bookmarkEnd w:id="38"/>
    <w:p>
      <w:pPr>
        <w:pStyle w:val="5"/>
        <w:keepNext w:val="0"/>
        <w:keepLines w:val="0"/>
        <w:widowControl w:val="0"/>
        <w:tabs>
          <w:tab w:val="left" w:pos="5220"/>
        </w:tabs>
        <w:spacing w:before="0" w:after="0" w:line="480" w:lineRule="auto"/>
        <w:ind w:firstLine="207" w:firstLineChars="98"/>
        <w:jc w:val="both"/>
        <w:rPr>
          <w:rFonts w:eastAsia="宋体" w:cs="Arial"/>
          <w:sz w:val="21"/>
          <w:szCs w:val="21"/>
        </w:rPr>
      </w:pPr>
      <w:bookmarkStart w:id="117" w:name="_Toc244917051"/>
      <w:bookmarkStart w:id="118" w:name="_Toc74250069"/>
      <w:bookmarkStart w:id="119" w:name="_Toc43885856"/>
      <w:bookmarkStart w:id="120" w:name="_Toc106177878"/>
      <w:r>
        <w:rPr>
          <w:rFonts w:eastAsia="宋体" w:cs="Arial"/>
          <w:sz w:val="21"/>
          <w:szCs w:val="21"/>
        </w:rPr>
        <w:t>（</w:t>
      </w:r>
      <w:r>
        <w:rPr>
          <w:rFonts w:hint="eastAsia" w:eastAsia="宋体" w:cs="Arial"/>
          <w:sz w:val="21"/>
          <w:szCs w:val="21"/>
        </w:rPr>
        <w:t>一</w:t>
      </w:r>
      <w:r>
        <w:rPr>
          <w:rFonts w:eastAsia="宋体" w:cs="Arial"/>
          <w:sz w:val="21"/>
          <w:szCs w:val="21"/>
        </w:rPr>
        <w:t>）</w:t>
      </w:r>
      <w:bookmarkEnd w:id="117"/>
      <w:r>
        <w:rPr>
          <w:rFonts w:hint="eastAsia" w:eastAsia="宋体" w:cs="Arial"/>
          <w:sz w:val="21"/>
          <w:szCs w:val="21"/>
        </w:rPr>
        <w:t>城市概况</w:t>
      </w:r>
      <w:bookmarkEnd w:id="118"/>
      <w:bookmarkEnd w:id="119"/>
      <w:bookmarkEnd w:id="120"/>
    </w:p>
    <w:p>
      <w:pPr>
        <w:adjustRightInd w:val="0"/>
        <w:snapToGrid w:val="0"/>
        <w:spacing w:line="480" w:lineRule="auto"/>
        <w:ind w:firstLine="420" w:firstLineChars="200"/>
        <w:jc w:val="both"/>
        <w:rPr>
          <w:sz w:val="21"/>
          <w:szCs w:val="21"/>
        </w:rPr>
      </w:pPr>
      <w:r>
        <w:rPr>
          <w:rFonts w:hint="eastAsia"/>
          <w:sz w:val="21"/>
          <w:szCs w:val="21"/>
        </w:rPr>
        <w:t>【城市概括】永嘉县，系浙江省温州市下辖县，位于浙江省东南部，瓯江下游北岸，东邻乐清市，南与温州市区隔江相望，西接青田县、缙云县，北连仙居县、黄岩区。永嘉“八山一水一分田”，县域面积2677.64平方公里，占温州全市的1/4，是浙江第四大县、温州第一大县，也是全国首批沿海对外开放县、中国文化旅游大县、中国千年古县、浙江老革命根据地县。素有“中国长寿之乡”“中国泵阀之乡”“中国钮扣之都”“中国拉链之乡”“中国教玩具之都”“中国山水诗摇篮”等美称。</w:t>
      </w:r>
    </w:p>
    <w:p>
      <w:pPr>
        <w:adjustRightInd w:val="0"/>
        <w:snapToGrid w:val="0"/>
        <w:spacing w:line="480" w:lineRule="auto"/>
        <w:ind w:firstLine="420" w:firstLineChars="200"/>
        <w:jc w:val="both"/>
        <w:rPr>
          <w:sz w:val="21"/>
          <w:szCs w:val="21"/>
        </w:rPr>
      </w:pPr>
      <w:r>
        <w:rPr>
          <w:rFonts w:hint="eastAsia"/>
          <w:sz w:val="21"/>
          <w:szCs w:val="21"/>
        </w:rPr>
        <w:t>永嘉历史悠久，建县已有1800多年，历史上先有永嘉郡,后有温州府，是温州的历史之根、文化之源。汉顺帝永和三年（138）始建永宁县，隋开皇九年（589）改称永嘉县。1949年5月永嘉全境解放，置双溪县，9月双溪县复称永嘉县。</w:t>
      </w:r>
    </w:p>
    <w:p>
      <w:pPr>
        <w:adjustRightInd w:val="0"/>
        <w:snapToGrid w:val="0"/>
        <w:spacing w:line="480" w:lineRule="auto"/>
        <w:ind w:firstLine="420" w:firstLineChars="200"/>
        <w:jc w:val="both"/>
        <w:rPr>
          <w:sz w:val="21"/>
          <w:szCs w:val="21"/>
        </w:rPr>
      </w:pPr>
      <w:r>
        <w:rPr>
          <w:rFonts w:hint="eastAsia"/>
          <w:sz w:val="21"/>
          <w:szCs w:val="21"/>
        </w:rPr>
        <w:t>永嘉县下辖11个镇、7个街道、4个乡、454个行政村、87个城市社区。“十三五”时期，永嘉GDP前四年年均增速8.75%，2019年提前实现GDP、人均GDP和城乡居民收入“四翻番”目标，跻身全国经济投资潜力、“两山”发展、旅游竞争力和创新“四个百强县”。</w:t>
      </w:r>
    </w:p>
    <w:p>
      <w:pPr>
        <w:adjustRightInd w:val="0"/>
        <w:snapToGrid w:val="0"/>
        <w:spacing w:line="480" w:lineRule="auto"/>
        <w:ind w:firstLine="480" w:firstLineChars="200"/>
        <w:jc w:val="both"/>
        <w:rPr>
          <w:sz w:val="21"/>
          <w:szCs w:val="21"/>
        </w:rPr>
      </w:pPr>
      <w:r>
        <w:drawing>
          <wp:inline distT="0" distB="0" distL="114300" distR="114300">
            <wp:extent cx="5097780" cy="3909060"/>
            <wp:effectExtent l="0" t="0" r="7620" b="762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32"/>
                    <a:stretch>
                      <a:fillRect/>
                    </a:stretch>
                  </pic:blipFill>
                  <pic:spPr>
                    <a:xfrm>
                      <a:off x="0" y="0"/>
                      <a:ext cx="5097780" cy="3909060"/>
                    </a:xfrm>
                    <a:prstGeom prst="rect">
                      <a:avLst/>
                    </a:prstGeom>
                    <a:noFill/>
                    <a:ln>
                      <a:noFill/>
                    </a:ln>
                  </pic:spPr>
                </pic:pic>
              </a:graphicData>
            </a:graphic>
          </wp:inline>
        </w:drawing>
      </w:r>
    </w:p>
    <w:p>
      <w:pPr>
        <w:widowControl w:val="0"/>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地理位置】永嘉县位于浙江省南部，瓯江下游北岸。东邻乐清市，南与温州市区隔江相望，西接青田县、缙云县，北连仙居县、黄岩区。县境位于东经120°19′34″至120°59′19″，北纬27°58′40″至28°36′54″之间。最长直线距离，南北69.5千米，东西61.3千米，总面积2677.64平方公里。</w:t>
      </w:r>
    </w:p>
    <w:p>
      <w:pPr>
        <w:widowControl w:val="0"/>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人口数量】2021年，永嘉县户籍总户数30.34万户，总人口98.69万人。其中,男性人口为52.53万人，女性人口为46.16万人。当年出生人口0.85万人，出生率8.5‰；死亡人口0.50万人，死亡率5.0‰；全年净增人口3509人，人口自然增长率3.5‰。 居住民族除汉族外，还有畲族等少数民族。</w:t>
      </w:r>
    </w:p>
    <w:p>
      <w:pPr>
        <w:widowControl w:val="0"/>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行政区划】2016年初,永嘉县部分行政区划作调整。调整后,永嘉县辖东城街道、南城街道、北城街道、瓯北街道、乌牛街道、黄田街道、三江街道7个街道,桥头镇、桥下镇、岩头镇、沙头镇、枫林镇、岩坦镇、大若岩镇、碧莲镇、巽宅镇、鹤盛镇、金溪镇11个镇，云岭乡、茗岙乡、溪下乡、界坑乡4个乡。县人民政府驻上塘中心城区北城街道县前路94号。上塘中心城区管理委员会指导、协调东城街道、南城街道、北城街道三个街道辖区的村级自筹项目建设。2019年，开展全县村（社区）规模优化调整工作，由原来904个村、18个社区，调整为454个村、87个社区。</w:t>
      </w:r>
    </w:p>
    <w:p>
      <w:pPr>
        <w:widowControl w:val="0"/>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经济发展】2021年实现全县生产总值（GDP）486.34亿元，按可比价计算（下同），比上年增长4.0%。分产业看，第一产业增加值18.42亿元，增长4.5%；第二产业增加值217.54亿元，增长6.7%；第三产业增加值250.38亿元，增长1.8%。国民经济三次产业结构优化为3.8∶42.8∶53.4，第三产业比重比上年降低0.5个百分点。按户籍人口计算，人均地区生产总值49244元，增长6.4%。</w:t>
      </w:r>
    </w:p>
    <w:p>
      <w:pPr>
        <w:pStyle w:val="5"/>
        <w:keepNext w:val="0"/>
        <w:keepLines w:val="0"/>
        <w:widowControl w:val="0"/>
        <w:tabs>
          <w:tab w:val="left" w:pos="5220"/>
        </w:tabs>
        <w:spacing w:before="0" w:after="0" w:line="480" w:lineRule="auto"/>
        <w:ind w:firstLine="205" w:firstLineChars="98"/>
        <w:jc w:val="both"/>
        <w:rPr>
          <w:rFonts w:eastAsia="宋体" w:cs="Arial"/>
          <w:b w:val="0"/>
          <w:color w:val="000000"/>
          <w:sz w:val="21"/>
          <w:szCs w:val="21"/>
        </w:rPr>
      </w:pPr>
      <w:bookmarkStart w:id="121" w:name="_Toc74250070"/>
      <w:bookmarkStart w:id="122" w:name="_Toc106177879"/>
      <w:bookmarkStart w:id="123" w:name="_Toc43885857"/>
      <w:r>
        <w:rPr>
          <w:rFonts w:hint="eastAsia" w:eastAsia="宋体" w:cs="Arial"/>
          <w:b w:val="0"/>
          <w:color w:val="000000"/>
          <w:sz w:val="21"/>
          <w:szCs w:val="21"/>
        </w:rPr>
        <w:t>2021年，永嘉县户籍总户数30.34万户，总人口98.69万人。其中,男性人口为52.53万人，女性人口为46.16万人。当年出生人口0.85万人，出生率8.5‰；死亡人口0.50万人，死亡率5.0‰；全年净增人口3509人，人口自然增长率3.5‰。 居住民族除汉族外，还有畲族等少数民族。</w:t>
      </w:r>
    </w:p>
    <w:p>
      <w:pPr>
        <w:pStyle w:val="5"/>
        <w:keepNext w:val="0"/>
        <w:keepLines w:val="0"/>
        <w:widowControl w:val="0"/>
        <w:tabs>
          <w:tab w:val="left" w:pos="5220"/>
        </w:tabs>
        <w:spacing w:before="0" w:after="0" w:line="480" w:lineRule="auto"/>
        <w:ind w:firstLine="207" w:firstLineChars="98"/>
        <w:jc w:val="both"/>
        <w:rPr>
          <w:rFonts w:eastAsia="宋体" w:cs="Arial"/>
          <w:sz w:val="21"/>
          <w:szCs w:val="21"/>
        </w:rPr>
      </w:pPr>
      <w:r>
        <w:rPr>
          <w:rFonts w:eastAsia="宋体" w:cs="Arial"/>
          <w:sz w:val="21"/>
          <w:szCs w:val="21"/>
        </w:rPr>
        <w:t>（</w:t>
      </w:r>
      <w:r>
        <w:rPr>
          <w:rFonts w:hint="eastAsia" w:eastAsia="宋体" w:cs="Arial"/>
          <w:sz w:val="21"/>
          <w:szCs w:val="21"/>
        </w:rPr>
        <w:t>二</w:t>
      </w:r>
      <w:r>
        <w:rPr>
          <w:rFonts w:eastAsia="宋体" w:cs="Arial"/>
          <w:sz w:val="21"/>
          <w:szCs w:val="21"/>
        </w:rPr>
        <w:t>）</w:t>
      </w:r>
      <w:r>
        <w:rPr>
          <w:rFonts w:hint="eastAsia" w:eastAsia="宋体" w:cs="Arial"/>
          <w:sz w:val="21"/>
          <w:szCs w:val="21"/>
        </w:rPr>
        <w:t>经济运行</w:t>
      </w:r>
      <w:r>
        <w:rPr>
          <w:rFonts w:eastAsia="宋体" w:cs="Arial"/>
          <w:sz w:val="21"/>
          <w:szCs w:val="21"/>
        </w:rPr>
        <w:t>概况</w:t>
      </w:r>
      <w:r>
        <w:rPr>
          <w:rFonts w:hint="eastAsia" w:eastAsia="宋体" w:cs="Arial"/>
          <w:sz w:val="21"/>
          <w:szCs w:val="21"/>
        </w:rPr>
        <w:t>（202</w:t>
      </w:r>
      <w:r>
        <w:rPr>
          <w:rFonts w:eastAsia="宋体" w:cs="Arial"/>
          <w:sz w:val="21"/>
          <w:szCs w:val="21"/>
        </w:rPr>
        <w:t>2</w:t>
      </w:r>
      <w:r>
        <w:rPr>
          <w:rFonts w:hint="eastAsia" w:eastAsia="宋体" w:cs="Arial"/>
          <w:sz w:val="21"/>
          <w:szCs w:val="21"/>
        </w:rPr>
        <w:t>年一季度）</w:t>
      </w:r>
      <w:bookmarkEnd w:id="121"/>
      <w:bookmarkEnd w:id="122"/>
      <w:bookmarkEnd w:id="123"/>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2022年一季度永嘉县地区生产总值139.21亿元，按不变价格计算，同比增长7.3%。分产业看，第一产业增加值2.25亿元，同比增长7.1%；第二产业增加值59.87亿元，增长7.5%；第三产业增加值77.09亿元，增长7.1%。</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1.三次产业发展势头良好</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农业生产形势稳定。一季度，全县实现农林牧渔业增加值2.33亿元，同比增长7.1%。一季度，农作物产量持续稳定，蔬菜产量3.52万吨，同比增长3.8%；肉类产量增势平稳，猪肉产量0.32万吨，同比增长17.6%。一季度末，生猪存栏（含未断奶小猪）8.65万头，同比增长7.4%；其中能繁殖母猪存栏0.91万头。</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工业生产稳步增长。一季度，全县工业增加值54.98亿元，同比增长7.6%；其中规上工业增加值20.62亿元，同比增长8.7%。规上工业销售产值96.89亿元，同比增长20.1%；规上工业新产品产值41.08亿元，同比增长42.8%。规上工业新兴产业中，高新技术产业增加值同比增长9.0%，装备制造业增加值同比增长12.8%，战略性新兴产业增加值同比增长12.7%，数字经济核心产业制造业增加值同比增长14.9%，四项增速均高于全县规上工业增加值增速。规上工业27个行业中，21个行业实现增加值增速正增长，增长面77.8%，其中15个行业增加值增速高于全县规上工业平均水平。工业用电量3.87亿元，同比下降9.6%。规模以上工业企业实现利润总额4.53亿元，同比增长32.3%。</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3）服务业恢复较快。一季度，全县服务业增加值59.87亿元，同比增长7.5%。其中，信息传输、软件和信息技术服务业，交通运输、仓储和邮政业，金融业增加值拉动服务业增加值增长，同比分别增长29.8%、11.6%和8.3%；批发和零售业、住宿餐饮业、房地产业和其他服务业同比分别增长5.1%、2.7%、5.6%和7.1%。1-2月份，规模以上其他营利性服务业营业收入同比增长25.6%。3月末，金融机构本外币存款余额1135.67亿元，同比增长14.1%，高于全市平均1.6个百分点；本外币贷款余额1134.70亿元，同比增长22.3%，高于全市平均4.1个百分点。</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2.三大需求逐步回升</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消费市场缓慢恢复。一季度，全县全社会消费品零售总额实现63.25亿元，同比增长0.7%；其中，限上消费品零售额14.14亿元，同比下降21.0%。限上四大行业中，限上批发业和零售业销售额同比分别增长14.4%和11.5%，分别低于全市平均水平3.5和2.4个百分点；限上住宿业和餐饮业营业额同比分别增长38.2%和14.6%，高于全市平均水平29.5和0.4个百分点。在限额以上单位零售商品分类中，粮油食品类商品零售额同比下降72.2%；服装、鞋帽、针纺织品类商品零售额同比下降26.3%；石油及制品类零售额同比增长57.9%；汽车类商品零售额基本持平，同比增长0.1%，其中新能源汽车快速增长，同比增长174.4%。</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投资结构优化升级。一季度，全县固定资产投资同比增长15.8%。从结构上看，民间项目投资（不含房地产）同比增长17.8%，生态环保、城市更新和水利设施投资增长61.3%，制造业投资52.0%，工业技改投资55.2%，分别高于全市平均水平0.7、28.0、30.3和27.7个百分点；交通投资、高新技术产业投资同比分别增长15.5%和30.2%，低于全市平均水平0.3和0.7个百分点。房地产开发投资增长6.8%，低于全市平均水平1.8个百分点；商品房销售面积9.38万平方米，同比增长22.0%，高于全市平均水平25.6个百分点。</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3）货物进出口“一升一降”。一季度，全县货物进出口总额15.99亿元，同比增长18.7%。其中出口总额15.53亿元，同比增长21.5%；进口总额0.45亿元，同比下降34.3%。进出口相抵，贸易顺差15.08亿元。一季度实际利用外资50万美元，目前完成率0.8%。</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3.三项收入有效保障</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城乡居民收入差距缩小。一季度，全县居民人均可支配收入14972元，同比增长7.0%。按常住地分，城镇居民人均可支配收入18150元，同比增长6.3%；农村居民人均可支配收入10416元，同比增长8.6%。城乡居民人均收入比值1.74，比上年同期缩小0.04。</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民生投入有保障。一季度，全县实现财政总收入18.72亿元，同比下降4.2%，其中一般公共预算收入12.98亿元，同比增长8.5%。一般公共预算收入中税收收入同比增长7.3%，占一般公共预算收入的91.3%。一般公共预算支出27.03亿元，同比下降1.0%，其中民生投入占比达到75.5%。</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3）企业利润增长较快。一季度规模以上工业企业实现利润总额4.53亿元，同比增长32.3%，高于全市平均45.4个百分点。规上工业统计的25个行业中，利润总额增长面达68.0%，其中14个行业利润总额增速超过全县平均水平。五大支柱行业中，除了鞋业利润总额较上年同期下降外，服装、泵阀、纽扣拉链和教玩具行业利润总额增长较快，其中服装和泵阀行业对规上工业企业利润拉动较大，贡献率分别为25.5%和42.6%。</w:t>
      </w:r>
    </w:p>
    <w:p>
      <w:pPr>
        <w:widowControl w:val="0"/>
        <w:adjustRightInd w:val="0"/>
        <w:snapToGrid w:val="0"/>
        <w:spacing w:line="480" w:lineRule="auto"/>
        <w:ind w:firstLine="422" w:firstLineChars="200"/>
        <w:jc w:val="both"/>
        <w:rPr>
          <w:rFonts w:ascii="Arial" w:hAnsi="Arial" w:cs="Arial"/>
          <w:b/>
          <w:sz w:val="21"/>
          <w:szCs w:val="21"/>
        </w:rPr>
      </w:pPr>
      <w:r>
        <w:rPr>
          <w:rFonts w:ascii="Arial" w:hAnsi="Arial" w:cs="Arial"/>
          <w:b/>
          <w:sz w:val="21"/>
          <w:szCs w:val="21"/>
        </w:rPr>
        <w:t>（</w:t>
      </w:r>
      <w:r>
        <w:rPr>
          <w:rFonts w:hint="eastAsia" w:ascii="Arial" w:hAnsi="Arial" w:cs="Arial"/>
          <w:b/>
          <w:sz w:val="21"/>
          <w:szCs w:val="21"/>
        </w:rPr>
        <w:t>三</w:t>
      </w:r>
      <w:r>
        <w:rPr>
          <w:rFonts w:ascii="Arial" w:hAnsi="Arial" w:cs="Arial"/>
          <w:b/>
          <w:sz w:val="21"/>
          <w:szCs w:val="21"/>
        </w:rPr>
        <w:t>）</w:t>
      </w:r>
      <w:r>
        <w:rPr>
          <w:rFonts w:hint="eastAsia" w:ascii="Arial" w:hAnsi="Arial" w:cs="Arial"/>
          <w:b/>
          <w:sz w:val="21"/>
          <w:szCs w:val="21"/>
        </w:rPr>
        <w:t>城市规划与发展目标</w:t>
      </w:r>
    </w:p>
    <w:p>
      <w:pPr>
        <w:widowControl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1、永嘉县“一核引领、五平台联动、多点支撑”协同创新新格局</w:t>
      </w:r>
    </w:p>
    <w:p>
      <w:pPr>
        <w:widowControl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 xml:space="preserve">（1）一核引领。把省级高新技术产业园区作为全县实施创新驱动发展战略的核心载体，全力推进以东瓯工业园区等为代表的一批重点园区提档升级，努力打造全县产业创新发展的引领者和带动极。  </w:t>
      </w:r>
    </w:p>
    <w:p>
      <w:pPr>
        <w:widowControl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2）五平台联动。三江街道以数字经济产业园为主要创新平台，培育科创服务功能；桥头镇以钮扣拉链综合体为主要创新平台，拓展新兴产业布局；桥下镇以教玩具小镇为主要创新平台，建设“时尚智造之都”；黄田街道以飞地承接总部为主要创新平台，发挥创新枢纽作用；乌牛街道以物联智造小镇为主要创新平台，培育物联智造产业。</w:t>
      </w:r>
    </w:p>
    <w:p>
      <w:pPr>
        <w:widowControl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3）多点支撑。大力推进长三角地区特色产业质量提升项目建设。携手举办长三角科技成果交易博览会，深度参与数字长三角建设、长三角标准体系建设。协同推动长三角质量品牌一体化发展和完善跨区域质量品牌发展联动机制。积极参与长三角质量资源要素一体化工作，创建长三角区域创新示范基地。共同编制长三角产业地图，推动长三角科技创新券通用通兑，建立人才一体化评价互认体系。抢抓省实验室体系建设契机，发挥温州系统流程装备科学研究院的龙头带动作用，利用华为、国家级福州物联网开放实验室等优势资源，大力推动各行业重点实验室发展。“十四五”时期，力争建成省级以上重大科创平台3家以上。</w:t>
      </w:r>
    </w:p>
    <w:p>
      <w:pPr>
        <w:widowControl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整合打通内外联动的永商网络渠道，鼓励企业在拓展国际市场的同时大力开拓国内市场；实施网上拓市场系列行动，建立一批产地直播基地，提升永嘉产品国内市场占有率和网上市场份额。鼓励制造企业与国内大型流通企业、大型电商企业合作，通过引厂进店、产品联合开发等方式，提升产销合作深度和粘性。引导外贸企业发挥优势，对接国内消费需求，对标国际生产标准，积极发展“同线同标同质”产品业务，扩大出口商品国内市场。主动融入长江经济带、海西经济区建设，积极嫁接大花园、义甬舟开放大通道及义新欧班列等平台。</w:t>
      </w:r>
    </w:p>
    <w:p>
      <w:pPr>
        <w:widowControl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2、持续巩固提升生态环境质量。大力发展绿色生态经济。健全以产业生态化和生态产业化为核心的生态经济体系，大力布局绿色低碳产业和循环经济，加快培育符合绿色发展要求的新增长点，延展绿色经济产业链。加快建设绿色工厂和绿色工业园区，实现生产方式绿色化清洁化。围绕浙江省总体部署，研究制定永嘉县二氧化碳排放达峰行动方案，明确达峰目标、路线图和配套措施。打造多层级应对气候变化试点体系，促进市民在“衣食住行用育游养”全领域践行绿色低碳生活方式。积极开展碳中和实践，鼓励推广应用“碳标签”。永嘉生态环境质量总体位居全市前列，但传统产业依然占较大比例，未来五年生态环境保护仍面临持续压力。因此，“十四五”时期，永嘉要深入践行“绿水青山就是金山银山”的理念，加强生态系统保护，着力解决突出环境问题，巩固国家级生态文明建设示范县建设成果，建成美丽中国的永嘉样本。</w:t>
      </w:r>
    </w:p>
    <w:p>
      <w:pPr>
        <w:widowControl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3、坚持保护生态</w:t>
      </w:r>
    </w:p>
    <w:p>
      <w:pPr>
        <w:widowControl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1）强化生态保护。守牢生态保护红线。强化楠溪江饮水工程、瓯江水源保护、生态公益林水源涵养、龙湾潭水土保持、四海山水土保持、五星潭水土保持等区域的生态保护红线刚性约束，理清生态保护红线区内正面清单，实现一条红线（生态保护红线）管控重要生态空间；构建生态安全格局。优化形成“三横、两纵、一屏障”的生态安全格局，其中“三横”为北部的大源溪向东汇至楠溪江并延伸至大宫溪、中部的黄坦溪向东汇至楠溪江并延伸至花坦溪、南部的瓯江沿岸生态廊道；“两纵”为由县道黄山线-碧徐线、诸永高速公路所构成的以南北方向为主的生态廊道；“一屏障”为永嘉县西北部山区包括楠溪江和小楠溪等河流的源头及上游区域。</w:t>
      </w:r>
    </w:p>
    <w:p>
      <w:pPr>
        <w:widowControl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2）强化生态治理体系。推进污染清零攻坚。坚持以环保督察整改深化污染治理，推动工业涂装、包装印刷等重污染行业整治提升。持续推进蓝天保卫战、碧水保卫战、净土保卫战、清废保卫战、环保基础设施提升五大攻坚战，建设清新空气示范县、全县域“污水零直排区”。以补齐基础设施短板为切入点，加快建设县生活垃圾填埋场、城镇污水管网和污水零直排区等项目，建成县餐厨垃圾处置中心、县垃圾焚烧发电厂改造提升工程，全面提升污水、垃圾、危废等处理能力，实现全县危险废物、污泥、生活垃圾（含农村）无害化处置率100%，并同步做好设施运维“后半篇文章”；深化“四边三化”工作，持续推进“五水共治”“三改一拆”行动，开展生活垃圾强制分类。大力推进节地生态葬法改革和四边区域坟墓生态化改造。实施好《楠溪江保护管理条例》。</w:t>
      </w:r>
    </w:p>
    <w:p>
      <w:pPr>
        <w:widowControl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4、深化经济领域改革。创新传统制造业改造提升体制机制，深入实施泵阀制造业改造提升省级试点，联动推进“互联网+”“标准化+”“大数据+”在传统制造业领域的融合应用。强化高质量发展要素保障，实施融资畅通工程升级版，推进“结构生财”改革，加快建立现代地方财税体系；探索产业用地市场化配置机制，加强用地“供给-监管-退出”全生命周期管理。</w:t>
      </w:r>
    </w:p>
    <w:p>
      <w:pPr>
        <w:widowControl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5、推进基层治理领域改革。聚焦基层治理现代化，推进“县乡一体、条抓块统”改革，不断完善村党组织书记、村委会主任“一肩挑”工作。全面构建“一中心、四平台、一网格”上下联动、左右协调的县域社会治理现代化体系，提升基层治理精细化智能化协同化水平。加快绘制县域综合安全风险地图，建成“空天地海一体化、部门数据一体化、二维三维一体化、预警决策一体化”的大数据库和应急管理数据中心。</w:t>
      </w:r>
    </w:p>
    <w:p>
      <w:pPr>
        <w:widowControl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6、强化公共民生领域改革。加快推进教育治理现代化，健全财政教育投入机制，推动“管办评”分离、“放管服”结合，实施未来学校建设、未来学生培育、未来课堂变革、未来教师培养、未来社区服务五大行动，着力打造未来教育体系。深化“三医联动”“六医统筹”医药卫生体制改革，深入推进城乡医共体建设，健全现代医院管理制度和分级诊疗制度，构筑多元、立体的医疗卫生体系框架。</w:t>
      </w:r>
    </w:p>
    <w:p>
      <w:pPr>
        <w:pStyle w:val="5"/>
        <w:tabs>
          <w:tab w:val="left" w:pos="5220"/>
        </w:tabs>
        <w:spacing w:before="0" w:after="0" w:line="480" w:lineRule="auto"/>
        <w:ind w:firstLine="207" w:firstLineChars="98"/>
        <w:jc w:val="both"/>
        <w:rPr>
          <w:rFonts w:eastAsia="宋体" w:cs="Arial"/>
          <w:sz w:val="21"/>
          <w:szCs w:val="21"/>
        </w:rPr>
      </w:pPr>
      <w:bookmarkStart w:id="124" w:name="_Toc106177880"/>
      <w:bookmarkStart w:id="125" w:name="_Toc43885858"/>
      <w:bookmarkStart w:id="126" w:name="_Toc74250071"/>
      <w:r>
        <w:rPr>
          <w:rFonts w:eastAsia="宋体" w:cs="Arial"/>
          <w:sz w:val="21"/>
          <w:szCs w:val="21"/>
        </w:rPr>
        <w:t>（</w:t>
      </w:r>
      <w:r>
        <w:rPr>
          <w:rFonts w:hint="eastAsia" w:eastAsia="宋体" w:cs="Arial"/>
          <w:sz w:val="21"/>
          <w:szCs w:val="21"/>
        </w:rPr>
        <w:t>四）温州市土地市场概况</w:t>
      </w:r>
      <w:bookmarkEnd w:id="124"/>
      <w:bookmarkEnd w:id="125"/>
      <w:bookmarkEnd w:id="126"/>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1、2019-2021年土地市场状况</w:t>
      </w:r>
    </w:p>
    <w:p>
      <w:pPr>
        <w:widowControl w:val="0"/>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（1）供应情况</w:t>
      </w:r>
    </w:p>
    <w:p>
      <w:pPr>
        <w:widowControl w:val="0"/>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201</w:t>
      </w:r>
      <w:r>
        <w:rPr>
          <w:rFonts w:hint="eastAsia" w:ascii="Arial" w:hAnsi="Arial" w:cs="Arial"/>
          <w:color w:val="000000"/>
          <w:sz w:val="21"/>
          <w:szCs w:val="21"/>
        </w:rPr>
        <w:t>9</w:t>
      </w:r>
      <w:r>
        <w:rPr>
          <w:rFonts w:ascii="Arial" w:hAnsi="Arial" w:cs="Arial"/>
          <w:color w:val="000000"/>
          <w:sz w:val="21"/>
          <w:szCs w:val="21"/>
        </w:rPr>
        <w:t>-2021</w:t>
      </w:r>
      <w:r>
        <w:rPr>
          <w:rFonts w:hint="eastAsia" w:ascii="Arial" w:hAnsi="Arial" w:cs="Arial"/>
          <w:color w:val="000000"/>
          <w:sz w:val="21"/>
          <w:szCs w:val="21"/>
        </w:rPr>
        <w:t>年温州市住宅用地土地供应量从供应面积上看整体呈持续攀升态势，</w:t>
      </w:r>
      <w:r>
        <w:rPr>
          <w:rFonts w:ascii="Arial" w:hAnsi="Arial" w:cs="Arial"/>
          <w:color w:val="000000"/>
          <w:sz w:val="21"/>
          <w:szCs w:val="21"/>
        </w:rPr>
        <w:t xml:space="preserve"> 201</w:t>
      </w:r>
      <w:r>
        <w:rPr>
          <w:rFonts w:hint="eastAsia" w:ascii="Arial" w:hAnsi="Arial" w:cs="Arial"/>
          <w:color w:val="000000"/>
          <w:sz w:val="21"/>
          <w:szCs w:val="21"/>
        </w:rPr>
        <w:t>9年年供应量为155宗、供应面积468.93万平方米；</w:t>
      </w:r>
      <w:r>
        <w:rPr>
          <w:rFonts w:ascii="Arial" w:hAnsi="Arial" w:cs="Arial"/>
          <w:color w:val="000000"/>
          <w:sz w:val="21"/>
          <w:szCs w:val="21"/>
        </w:rPr>
        <w:t>20</w:t>
      </w:r>
      <w:r>
        <w:rPr>
          <w:rFonts w:hint="eastAsia" w:ascii="Arial" w:hAnsi="Arial" w:cs="Arial"/>
          <w:color w:val="000000"/>
          <w:sz w:val="21"/>
          <w:szCs w:val="21"/>
        </w:rPr>
        <w:t>20年年供应量上涨至176宗、供应面积555.18万平方米，供应面积环比上涨18.39%。</w:t>
      </w:r>
      <w:r>
        <w:rPr>
          <w:rFonts w:ascii="Arial" w:hAnsi="Arial" w:cs="Arial"/>
          <w:color w:val="000000"/>
          <w:sz w:val="21"/>
          <w:szCs w:val="21"/>
        </w:rPr>
        <w:t>20</w:t>
      </w:r>
      <w:r>
        <w:rPr>
          <w:rFonts w:hint="eastAsia" w:ascii="Arial" w:hAnsi="Arial" w:cs="Arial"/>
          <w:color w:val="000000"/>
          <w:sz w:val="21"/>
          <w:szCs w:val="21"/>
        </w:rPr>
        <w:t>21年年供应量下跌至155宗，而供应面积上升至684.65万平方米，供应面积环比上涨23.32%</w:t>
      </w:r>
    </w:p>
    <w:p>
      <w:pPr>
        <w:widowControl w:val="0"/>
        <w:adjustRightInd w:val="0"/>
        <w:snapToGrid w:val="0"/>
        <w:spacing w:line="480" w:lineRule="auto"/>
        <w:jc w:val="center"/>
        <w:rPr>
          <w:rFonts w:cs="Arial"/>
          <w:color w:val="000000"/>
          <w:sz w:val="21"/>
          <w:szCs w:val="21"/>
        </w:rPr>
      </w:pPr>
      <w:r>
        <w:drawing>
          <wp:inline distT="0" distB="0" distL="0" distR="0">
            <wp:extent cx="5486400" cy="1857375"/>
            <wp:effectExtent l="4445" t="4445" r="10795" b="1270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widowControl w:val="0"/>
        <w:adjustRightInd w:val="0"/>
        <w:snapToGrid w:val="0"/>
        <w:spacing w:line="480" w:lineRule="auto"/>
        <w:jc w:val="both"/>
        <w:rPr>
          <w:rFonts w:ascii="华文细黑" w:hAnsi="华文细黑" w:eastAsia="华文细黑" w:cs="Arial"/>
          <w:color w:val="000000"/>
          <w:sz w:val="15"/>
          <w:szCs w:val="15"/>
        </w:rPr>
      </w:pPr>
      <w:r>
        <w:rPr>
          <w:rFonts w:hint="eastAsia" w:ascii="华文细黑" w:hAnsi="华文细黑" w:eastAsia="华文细黑" w:cs="Arial"/>
          <w:color w:val="000000"/>
          <w:sz w:val="15"/>
          <w:szCs w:val="15"/>
        </w:rPr>
        <w:t>资料来源：CREIS中指数据</w:t>
      </w:r>
    </w:p>
    <w:p>
      <w:pPr>
        <w:widowControl w:val="0"/>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（2）成交情况</w:t>
      </w:r>
    </w:p>
    <w:p>
      <w:pPr>
        <w:widowControl w:val="0"/>
        <w:adjustRightInd w:val="0"/>
        <w:snapToGrid w:val="0"/>
        <w:spacing w:line="480" w:lineRule="auto"/>
        <w:ind w:firstLine="420" w:firstLineChars="200"/>
        <w:jc w:val="both"/>
        <w:rPr>
          <w:rFonts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从近3年温州市住宅用地土地成交情况总体来看，与供应一样呈现上涨趋势。2019年成交土地面积421.3万平方米，成交规划面积1133.16万平方米，成交金额872.05平方米；2020年成交土地面积481.34万平方米，成交规划面积1241.13万平方米，成交金额969.96平方米，成交土地面积环比2019年上涨14.25%；2021年成交土地面积493.17万平方米，成交规划面积1264.82万平方米，成交金额924.18平方米，成交土地面积环比2020年上涨2.46%。</w:t>
      </w:r>
    </w:p>
    <w:p>
      <w:pPr>
        <w:widowControl w:val="0"/>
        <w:adjustRightInd w:val="0"/>
        <w:snapToGrid w:val="0"/>
        <w:spacing w:line="480" w:lineRule="auto"/>
        <w:jc w:val="center"/>
        <w:rPr>
          <w:rFonts w:ascii="华文细黑" w:hAnsi="华文细黑" w:eastAsia="华文细黑" w:cs="Arial"/>
          <w:color w:val="000000"/>
          <w:sz w:val="15"/>
          <w:szCs w:val="15"/>
        </w:rPr>
      </w:pPr>
      <w:r>
        <w:drawing>
          <wp:inline distT="0" distB="0" distL="0" distR="0">
            <wp:extent cx="5486400" cy="2455545"/>
            <wp:effectExtent l="4445" t="4445" r="10795" b="889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widowControl w:val="0"/>
        <w:adjustRightInd w:val="0"/>
        <w:snapToGrid w:val="0"/>
        <w:spacing w:line="480" w:lineRule="auto"/>
        <w:rPr>
          <w:rFonts w:ascii="华文细黑" w:hAnsi="华文细黑" w:eastAsia="华文细黑" w:cs="Arial"/>
          <w:color w:val="000000"/>
          <w:sz w:val="15"/>
          <w:szCs w:val="15"/>
        </w:rPr>
      </w:pPr>
      <w:r>
        <w:rPr>
          <w:rFonts w:hint="eastAsia" w:ascii="华文细黑" w:hAnsi="华文细黑" w:eastAsia="华文细黑" w:cs="Arial"/>
          <w:color w:val="000000"/>
          <w:sz w:val="15"/>
          <w:szCs w:val="15"/>
        </w:rPr>
        <w:t>资料来源：</w:t>
      </w:r>
      <w:r>
        <w:rPr>
          <w:rFonts w:ascii="Arial" w:hAnsi="Arial" w:eastAsia="华文细黑" w:cs="Arial"/>
          <w:color w:val="000000"/>
          <w:sz w:val="15"/>
          <w:szCs w:val="15"/>
        </w:rPr>
        <w:t>CREIS</w:t>
      </w:r>
      <w:r>
        <w:rPr>
          <w:rFonts w:hint="eastAsia" w:ascii="华文细黑" w:hAnsi="华文细黑" w:eastAsia="华文细黑" w:cs="Arial"/>
          <w:color w:val="000000"/>
          <w:sz w:val="15"/>
          <w:szCs w:val="15"/>
        </w:rPr>
        <w:t>中指数据</w:t>
      </w:r>
    </w:p>
    <w:p>
      <w:pPr>
        <w:widowControl w:val="0"/>
        <w:adjustRightInd w:val="0"/>
        <w:snapToGrid w:val="0"/>
        <w:spacing w:line="480" w:lineRule="auto"/>
        <w:ind w:firstLine="420" w:firstLineChars="200"/>
        <w:jc w:val="both"/>
        <w:rPr>
          <w:rFonts w:ascii="Arial" w:hAnsi="Arial" w:cs="Arial"/>
          <w:color w:val="000000" w:themeColor="text1"/>
          <w:sz w:val="21"/>
          <w:szCs w:val="21"/>
          <w14:textFill>
            <w14:solidFill>
              <w14:schemeClr w14:val="tx1"/>
            </w14:solidFill>
          </w14:textFill>
        </w:rPr>
      </w:pPr>
      <w:r>
        <w:rPr>
          <w:rFonts w:ascii="Arial" w:hAnsi="Arial" w:cs="Arial"/>
          <w:color w:val="000000" w:themeColor="text1"/>
          <w:sz w:val="21"/>
          <w:szCs w:val="21"/>
          <w14:textFill>
            <w14:solidFill>
              <w14:schemeClr w14:val="tx1"/>
            </w14:solidFill>
          </w14:textFill>
        </w:rPr>
        <w:t>201</w:t>
      </w:r>
      <w:r>
        <w:rPr>
          <w:rFonts w:hint="eastAsia" w:ascii="Arial" w:hAnsi="Arial" w:cs="Arial"/>
          <w:color w:val="000000" w:themeColor="text1"/>
          <w:sz w:val="21"/>
          <w:szCs w:val="21"/>
          <w14:textFill>
            <w14:solidFill>
              <w14:schemeClr w14:val="tx1"/>
            </w14:solidFill>
          </w14:textFill>
        </w:rPr>
        <w:t>9年至2021年，温州市土地成交单价整体保持平稳态势，2021年出现小幅下降。2019年-2021年土地成交楼面单价分别为7695.79元</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平方米、7815.12元</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平方米和7306.77元</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平方米。而从溢价率来看，整体呈上升趋势，</w:t>
      </w:r>
      <w:r>
        <w:rPr>
          <w:rFonts w:ascii="Arial" w:hAnsi="Arial" w:cs="Arial"/>
          <w:color w:val="000000" w:themeColor="text1"/>
          <w:sz w:val="21"/>
          <w:szCs w:val="21"/>
          <w14:textFill>
            <w14:solidFill>
              <w14:schemeClr w14:val="tx1"/>
            </w14:solidFill>
          </w14:textFill>
        </w:rPr>
        <w:t>20</w:t>
      </w:r>
      <w:r>
        <w:rPr>
          <w:rFonts w:hint="eastAsia" w:ascii="Arial" w:hAnsi="Arial" w:cs="Arial"/>
          <w:color w:val="000000" w:themeColor="text1"/>
          <w:sz w:val="21"/>
          <w:szCs w:val="21"/>
          <w14:textFill>
            <w14:solidFill>
              <w14:schemeClr w14:val="tx1"/>
            </w14:solidFill>
          </w14:textFill>
        </w:rPr>
        <w:t>21年为近3年来最高，溢价率高达19.46</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；2019年和2020年溢价率分别为16.7%和18.42%。</w:t>
      </w:r>
    </w:p>
    <w:p>
      <w:pPr>
        <w:widowControl w:val="0"/>
        <w:adjustRightInd w:val="0"/>
        <w:snapToGrid w:val="0"/>
        <w:spacing w:line="480" w:lineRule="auto"/>
        <w:jc w:val="center"/>
        <w:rPr>
          <w:rFonts w:cs="Arial"/>
          <w:color w:val="000000" w:themeColor="text1"/>
          <w:sz w:val="21"/>
          <w:szCs w:val="21"/>
          <w:highlight w:val="yellow"/>
          <w14:textFill>
            <w14:solidFill>
              <w14:schemeClr w14:val="tx1"/>
            </w14:solidFill>
          </w14:textFill>
        </w:rPr>
      </w:pPr>
      <w:r>
        <w:drawing>
          <wp:inline distT="0" distB="0" distL="0" distR="0">
            <wp:extent cx="5486400" cy="2235200"/>
            <wp:effectExtent l="4445" t="4445" r="10795" b="15875"/>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widowControl w:val="0"/>
        <w:adjustRightInd w:val="0"/>
        <w:snapToGrid w:val="0"/>
        <w:spacing w:line="480" w:lineRule="auto"/>
        <w:jc w:val="both"/>
        <w:rPr>
          <w:rFonts w:ascii="华文细黑" w:hAnsi="华文细黑" w:eastAsia="华文细黑" w:cs="Arial"/>
          <w:color w:val="000000" w:themeColor="text1"/>
          <w:sz w:val="15"/>
          <w:szCs w:val="15"/>
          <w14:textFill>
            <w14:solidFill>
              <w14:schemeClr w14:val="tx1"/>
            </w14:solidFill>
          </w14:textFill>
        </w:rPr>
      </w:pPr>
      <w:r>
        <w:rPr>
          <w:rFonts w:hint="eastAsia" w:ascii="华文细黑" w:hAnsi="华文细黑" w:eastAsia="华文细黑" w:cs="Arial"/>
          <w:color w:val="000000" w:themeColor="text1"/>
          <w:sz w:val="15"/>
          <w:szCs w:val="15"/>
          <w14:textFill>
            <w14:solidFill>
              <w14:schemeClr w14:val="tx1"/>
            </w14:solidFill>
          </w14:textFill>
        </w:rPr>
        <w:t>资料来源：</w:t>
      </w:r>
      <w:r>
        <w:rPr>
          <w:rFonts w:ascii="Arial" w:hAnsi="Arial" w:eastAsia="华文细黑" w:cs="Arial"/>
          <w:color w:val="000000" w:themeColor="text1"/>
          <w:sz w:val="15"/>
          <w:szCs w:val="15"/>
          <w14:textFill>
            <w14:solidFill>
              <w14:schemeClr w14:val="tx1"/>
            </w14:solidFill>
          </w14:textFill>
        </w:rPr>
        <w:t>CREIS</w:t>
      </w:r>
      <w:r>
        <w:rPr>
          <w:rFonts w:hint="eastAsia" w:ascii="华文细黑" w:hAnsi="华文细黑" w:eastAsia="华文细黑" w:cs="Arial"/>
          <w:color w:val="000000" w:themeColor="text1"/>
          <w:sz w:val="15"/>
          <w:szCs w:val="15"/>
          <w14:textFill>
            <w14:solidFill>
              <w14:schemeClr w14:val="tx1"/>
            </w14:solidFill>
          </w14:textFill>
        </w:rPr>
        <w:t>中指数据</w:t>
      </w:r>
    </w:p>
    <w:p>
      <w:pPr>
        <w:widowControl w:val="0"/>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（3）流拍情况</w:t>
      </w:r>
    </w:p>
    <w:p>
      <w:pPr>
        <w:widowControl w:val="0"/>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D0D0D" w:themeColor="text1" w:themeTint="F2"/>
          <w:sz w:val="21"/>
          <w:szCs w:val="21"/>
          <w14:textFill>
            <w14:solidFill>
              <w14:schemeClr w14:val="tx1">
                <w14:lumMod w14:val="95000"/>
                <w14:lumOff w14:val="5000"/>
              </w14:schemeClr>
            </w14:solidFill>
          </w14:textFill>
        </w:rPr>
        <w:t>201</w:t>
      </w:r>
      <w:r>
        <w:rPr>
          <w:rFonts w:hint="eastAsia" w:ascii="Arial" w:hAnsi="Arial" w:cs="Arial"/>
          <w:color w:val="0D0D0D" w:themeColor="text1" w:themeTint="F2"/>
          <w:sz w:val="21"/>
          <w:szCs w:val="21"/>
          <w14:textFill>
            <w14:solidFill>
              <w14:schemeClr w14:val="tx1">
                <w14:lumMod w14:val="95000"/>
                <w14:lumOff w14:val="5000"/>
              </w14:schemeClr>
            </w14:solidFill>
          </w14:textFill>
        </w:rPr>
        <w:t>9年至</w:t>
      </w:r>
      <w:r>
        <w:rPr>
          <w:rFonts w:ascii="Arial" w:hAnsi="Arial" w:cs="Arial"/>
          <w:color w:val="0D0D0D" w:themeColor="text1" w:themeTint="F2"/>
          <w:sz w:val="21"/>
          <w:szCs w:val="21"/>
          <w14:textFill>
            <w14:solidFill>
              <w14:schemeClr w14:val="tx1">
                <w14:lumMod w14:val="95000"/>
                <w14:lumOff w14:val="5000"/>
              </w14:schemeClr>
            </w14:solidFill>
          </w14:textFill>
        </w:rPr>
        <w:t>2021</w:t>
      </w:r>
      <w:r>
        <w:rPr>
          <w:rFonts w:hint="eastAsia" w:ascii="Arial" w:hAnsi="Arial" w:cs="Arial"/>
          <w:color w:val="0D0D0D" w:themeColor="text1" w:themeTint="F2"/>
          <w:sz w:val="21"/>
          <w:szCs w:val="21"/>
          <w14:textFill>
            <w14:solidFill>
              <w14:schemeClr w14:val="tx1">
                <w14:lumMod w14:val="95000"/>
                <w14:lumOff w14:val="5000"/>
              </w14:schemeClr>
            </w14:solidFill>
          </w14:textFill>
        </w:rPr>
        <w:t>年，温州市共流拍22宗住宅用地</w:t>
      </w:r>
      <w:r>
        <w:rPr>
          <w:rFonts w:hint="eastAsia" w:ascii="Arial" w:hAnsi="Arial" w:cs="Arial"/>
          <w:color w:val="000000"/>
          <w:sz w:val="21"/>
          <w:szCs w:val="21"/>
        </w:rPr>
        <w:t>，其中</w:t>
      </w:r>
      <w:r>
        <w:rPr>
          <w:rFonts w:ascii="Arial" w:hAnsi="Arial" w:cs="Arial"/>
          <w:color w:val="000000"/>
          <w:sz w:val="21"/>
          <w:szCs w:val="21"/>
        </w:rPr>
        <w:t>201</w:t>
      </w:r>
      <w:r>
        <w:rPr>
          <w:rFonts w:hint="eastAsia" w:ascii="Arial" w:hAnsi="Arial" w:cs="Arial"/>
          <w:color w:val="000000"/>
          <w:sz w:val="21"/>
          <w:szCs w:val="21"/>
        </w:rPr>
        <w:t>9年最多，为10宗流拍，2020年至</w:t>
      </w:r>
      <w:r>
        <w:rPr>
          <w:rFonts w:ascii="Arial" w:hAnsi="Arial" w:cs="Arial"/>
          <w:color w:val="000000"/>
          <w:sz w:val="21"/>
          <w:szCs w:val="21"/>
        </w:rPr>
        <w:t>202</w:t>
      </w:r>
      <w:r>
        <w:rPr>
          <w:rFonts w:hint="eastAsia" w:ascii="Arial" w:hAnsi="Arial" w:cs="Arial"/>
          <w:color w:val="000000"/>
          <w:sz w:val="21"/>
          <w:szCs w:val="21"/>
        </w:rPr>
        <w:t>1年分别有4宗及8宗流拍。从分布区域上看，乐清市共有10宗住宅用地流拍，其次是瑞安市和平阳县，分别为5宗和3宗住宅用地。随着房地产政策趋严，融资成本增加，囤地套现模式无法继续，更多的房企对于非优质地块的拿地积极性明显降低，特别是一些位置偏僻周边配套缺乏的用地，拿地策略愈趋理性。</w:t>
      </w:r>
    </w:p>
    <w:p>
      <w:pPr>
        <w:adjustRightInd w:val="0"/>
        <w:snapToGrid w:val="0"/>
        <w:spacing w:line="480" w:lineRule="auto"/>
        <w:rPr>
          <w:rFonts w:ascii="华文细黑" w:hAnsi="华文细黑" w:eastAsia="华文细黑" w:cs="Arial"/>
          <w:color w:val="000000"/>
          <w:sz w:val="15"/>
          <w:szCs w:val="15"/>
          <w:highlight w:val="yellow"/>
        </w:rPr>
      </w:pPr>
      <w:r>
        <w:rPr>
          <w:rFonts w:ascii="华文细黑" w:hAnsi="华文细黑" w:eastAsia="华文细黑" w:cs="Arial"/>
          <w:color w:val="000000"/>
          <w:sz w:val="15"/>
          <w:szCs w:val="15"/>
        </w:rPr>
        <w:drawing>
          <wp:inline distT="0" distB="0" distL="0" distR="0">
            <wp:extent cx="5904230" cy="2335530"/>
            <wp:effectExtent l="0" t="0" r="8890" b="11430"/>
            <wp:docPr id="21" name="图片 21" descr="C:\DOCUME~1\ADMINI~1\LOCALS~1\Temp\16632219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DOCUME~1\ADMINI~1\LOCALS~1\Temp\1663221969(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904230" cy="2335814"/>
                    </a:xfrm>
                    <a:prstGeom prst="rect">
                      <a:avLst/>
                    </a:prstGeom>
                    <a:noFill/>
                    <a:ln>
                      <a:noFill/>
                    </a:ln>
                  </pic:spPr>
                </pic:pic>
              </a:graphicData>
            </a:graphic>
          </wp:inline>
        </w:drawing>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2、2022年1-8月温州市土地市场状况</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2022年1-8月，温州共推出各类用地规划建筑面积639.72万㎡，同比下降39.13%;成交规划建筑面积393.59万㎡，同比下降58.04%。成交楼面均价为4839元/㎡，同比下跌20.68%;平均溢价率为4.54%，较去年同期下降15.13个百分点;各类用地出让金达190.46亿元，同比下降66.71%。</w:t>
      </w:r>
    </w:p>
    <w:tbl>
      <w:tblPr>
        <w:tblStyle w:val="36"/>
        <w:tblW w:w="9298" w:type="dxa"/>
        <w:jc w:val="center"/>
        <w:tblLayout w:type="autofit"/>
        <w:tblCellMar>
          <w:top w:w="0" w:type="dxa"/>
          <w:left w:w="108" w:type="dxa"/>
          <w:bottom w:w="0" w:type="dxa"/>
          <w:right w:w="108" w:type="dxa"/>
        </w:tblCellMar>
      </w:tblPr>
      <w:tblGrid>
        <w:gridCol w:w="1328"/>
        <w:gridCol w:w="1328"/>
        <w:gridCol w:w="1027"/>
        <w:gridCol w:w="1629"/>
        <w:gridCol w:w="1328"/>
        <w:gridCol w:w="1329"/>
        <w:gridCol w:w="1329"/>
      </w:tblGrid>
      <w:tr>
        <w:tblPrEx>
          <w:tblCellMar>
            <w:top w:w="0" w:type="dxa"/>
            <w:left w:w="108" w:type="dxa"/>
            <w:bottom w:w="0" w:type="dxa"/>
            <w:right w:w="108" w:type="dxa"/>
          </w:tblCellMar>
        </w:tblPrEx>
        <w:trPr>
          <w:trHeight w:val="432" w:hRule="atLeast"/>
          <w:jc w:val="center"/>
        </w:trPr>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规划用途</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土地宗数(宗)</w:t>
            </w: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同比(%)</w:t>
            </w:r>
          </w:p>
        </w:tc>
        <w:tc>
          <w:tcPr>
            <w:tcW w:w="1629"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规划建筑面积(万m²)</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同比(%)</w:t>
            </w:r>
          </w:p>
        </w:tc>
        <w:tc>
          <w:tcPr>
            <w:tcW w:w="1329"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楼面均价(元/m²)</w:t>
            </w:r>
          </w:p>
        </w:tc>
        <w:tc>
          <w:tcPr>
            <w:tcW w:w="1329"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同比(%)</w:t>
            </w:r>
          </w:p>
        </w:tc>
      </w:tr>
      <w:tr>
        <w:tblPrEx>
          <w:tblCellMar>
            <w:top w:w="0" w:type="dxa"/>
            <w:left w:w="108" w:type="dxa"/>
            <w:bottom w:w="0" w:type="dxa"/>
            <w:right w:w="108" w:type="dxa"/>
          </w:tblCellMar>
        </w:tblPrEx>
        <w:trPr>
          <w:trHeight w:val="312" w:hRule="atLeast"/>
          <w:jc w:val="center"/>
        </w:trPr>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住宅用地</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25</w:t>
            </w: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-41.9</w:t>
            </w:r>
          </w:p>
        </w:tc>
        <w:tc>
          <w:tcPr>
            <w:tcW w:w="1629"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282.59</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-53.4</w:t>
            </w:r>
          </w:p>
        </w:tc>
        <w:tc>
          <w:tcPr>
            <w:tcW w:w="1329"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7801</w:t>
            </w:r>
          </w:p>
        </w:tc>
        <w:tc>
          <w:tcPr>
            <w:tcW w:w="1329"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-0.8</w:t>
            </w:r>
          </w:p>
        </w:tc>
      </w:tr>
      <w:tr>
        <w:tblPrEx>
          <w:tblCellMar>
            <w:top w:w="0" w:type="dxa"/>
            <w:left w:w="108" w:type="dxa"/>
            <w:bottom w:w="0" w:type="dxa"/>
            <w:right w:w="108" w:type="dxa"/>
          </w:tblCellMar>
        </w:tblPrEx>
        <w:trPr>
          <w:trHeight w:val="312" w:hRule="atLeast"/>
          <w:jc w:val="center"/>
        </w:trPr>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商办用地</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17</w:t>
            </w: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183.3</w:t>
            </w:r>
          </w:p>
        </w:tc>
        <w:tc>
          <w:tcPr>
            <w:tcW w:w="1629"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52.12</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8.8</w:t>
            </w:r>
          </w:p>
        </w:tc>
        <w:tc>
          <w:tcPr>
            <w:tcW w:w="1329"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3040</w:t>
            </w:r>
          </w:p>
        </w:tc>
        <w:tc>
          <w:tcPr>
            <w:tcW w:w="1329"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-38.1</w:t>
            </w:r>
          </w:p>
        </w:tc>
      </w:tr>
      <w:tr>
        <w:tblPrEx>
          <w:tblCellMar>
            <w:top w:w="0" w:type="dxa"/>
            <w:left w:w="108" w:type="dxa"/>
            <w:bottom w:w="0" w:type="dxa"/>
            <w:right w:w="108" w:type="dxa"/>
          </w:tblCellMar>
        </w:tblPrEx>
        <w:trPr>
          <w:trHeight w:val="312" w:hRule="atLeast"/>
          <w:jc w:val="center"/>
        </w:trPr>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工业用地</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21</w:t>
            </w: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-25</w:t>
            </w:r>
          </w:p>
        </w:tc>
        <w:tc>
          <w:tcPr>
            <w:tcW w:w="1629"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304.22</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11.9</w:t>
            </w:r>
          </w:p>
        </w:tc>
        <w:tc>
          <w:tcPr>
            <w:tcW w:w="1329"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288</w:t>
            </w:r>
          </w:p>
        </w:tc>
        <w:tc>
          <w:tcPr>
            <w:tcW w:w="1329"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18.7</w:t>
            </w:r>
          </w:p>
        </w:tc>
      </w:tr>
      <w:tr>
        <w:tblPrEx>
          <w:tblCellMar>
            <w:top w:w="0" w:type="dxa"/>
            <w:left w:w="108" w:type="dxa"/>
            <w:bottom w:w="0" w:type="dxa"/>
            <w:right w:w="108" w:type="dxa"/>
          </w:tblCellMar>
        </w:tblPrEx>
        <w:trPr>
          <w:trHeight w:val="312" w:hRule="atLeast"/>
          <w:jc w:val="center"/>
        </w:trPr>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其他用地</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w:t>
            </w: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-85.7</w:t>
            </w:r>
          </w:p>
        </w:tc>
        <w:tc>
          <w:tcPr>
            <w:tcW w:w="1629"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0.78</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-99.4</w:t>
            </w:r>
          </w:p>
        </w:tc>
        <w:tc>
          <w:tcPr>
            <w:tcW w:w="1329"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961</w:t>
            </w:r>
          </w:p>
        </w:tc>
        <w:tc>
          <w:tcPr>
            <w:tcW w:w="1329"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-20</w:t>
            </w:r>
          </w:p>
        </w:tc>
      </w:tr>
      <w:tr>
        <w:tblPrEx>
          <w:tblCellMar>
            <w:top w:w="0" w:type="dxa"/>
            <w:left w:w="108" w:type="dxa"/>
            <w:bottom w:w="0" w:type="dxa"/>
            <w:right w:w="108" w:type="dxa"/>
          </w:tblCellMar>
        </w:tblPrEx>
        <w:trPr>
          <w:trHeight w:val="312" w:hRule="atLeast"/>
          <w:jc w:val="center"/>
        </w:trPr>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各类用地</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64</w:t>
            </w: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-23.8</w:t>
            </w:r>
          </w:p>
        </w:tc>
        <w:tc>
          <w:tcPr>
            <w:tcW w:w="1629"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639.72</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-39.1</w:t>
            </w:r>
          </w:p>
        </w:tc>
        <w:tc>
          <w:tcPr>
            <w:tcW w:w="1329"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3832</w:t>
            </w:r>
          </w:p>
        </w:tc>
        <w:tc>
          <w:tcPr>
            <w:tcW w:w="1329"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-22.8</w:t>
            </w:r>
          </w:p>
        </w:tc>
      </w:tr>
    </w:tbl>
    <w:p>
      <w:pPr>
        <w:adjustRightInd w:val="0"/>
        <w:snapToGrid w:val="0"/>
        <w:spacing w:line="480" w:lineRule="auto"/>
        <w:ind w:firstLine="420" w:firstLineChars="200"/>
        <w:jc w:val="both"/>
        <w:rPr>
          <w:rFonts w:ascii="Arial" w:hAnsi="Arial" w:cs="Arial"/>
          <w:color w:val="000000"/>
          <w:sz w:val="21"/>
          <w:szCs w:val="21"/>
        </w:rPr>
      </w:pP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其中2022年8月，温州共推出各类用地规划建筑面积248.75万㎡，同比增长729.93%；成交规划建筑面积72.8万㎡，同比下降31.46%。成交楼面均价为3318元/㎡，环比上涨65.06%，同比下跌71.95%；平均溢价率为1.67%，较上月下降3.15个百分点，较去年同期下降3.1个百分点；各类用地出让金达24.16亿元，环比增长227.79%，同比下降80.77%。</w:t>
      </w:r>
    </w:p>
    <w:tbl>
      <w:tblPr>
        <w:tblStyle w:val="3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90"/>
        <w:gridCol w:w="678"/>
        <w:gridCol w:w="794"/>
        <w:gridCol w:w="1077"/>
        <w:gridCol w:w="847"/>
        <w:gridCol w:w="845"/>
        <w:gridCol w:w="857"/>
        <w:gridCol w:w="832"/>
        <w:gridCol w:w="847"/>
        <w:gridCol w:w="882"/>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790"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规划用途</w:t>
            </w:r>
          </w:p>
        </w:tc>
        <w:tc>
          <w:tcPr>
            <w:tcW w:w="678"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土地宗数(宗)</w:t>
            </w:r>
          </w:p>
        </w:tc>
        <w:tc>
          <w:tcPr>
            <w:tcW w:w="794"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同比(%)</w:t>
            </w:r>
          </w:p>
        </w:tc>
        <w:tc>
          <w:tcPr>
            <w:tcW w:w="1077"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成交规划建筑面积(万m²)</w:t>
            </w:r>
          </w:p>
        </w:tc>
        <w:tc>
          <w:tcPr>
            <w:tcW w:w="847"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同比(%)</w:t>
            </w:r>
          </w:p>
        </w:tc>
        <w:tc>
          <w:tcPr>
            <w:tcW w:w="845"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楼面均价(元/m²)</w:t>
            </w:r>
          </w:p>
        </w:tc>
        <w:tc>
          <w:tcPr>
            <w:tcW w:w="857"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同比(%)</w:t>
            </w:r>
          </w:p>
        </w:tc>
        <w:tc>
          <w:tcPr>
            <w:tcW w:w="832"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溢价率(%)</w:t>
            </w:r>
          </w:p>
        </w:tc>
        <w:tc>
          <w:tcPr>
            <w:tcW w:w="847"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较去年同期变化(%)</w:t>
            </w:r>
          </w:p>
        </w:tc>
        <w:tc>
          <w:tcPr>
            <w:tcW w:w="882"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土地出让金(亿元)</w:t>
            </w:r>
          </w:p>
        </w:tc>
        <w:tc>
          <w:tcPr>
            <w:tcW w:w="849"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同比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9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住宅用地</w:t>
            </w:r>
          </w:p>
        </w:tc>
        <w:tc>
          <w:tcPr>
            <w:tcW w:w="678"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22</w:t>
            </w:r>
          </w:p>
        </w:tc>
        <w:tc>
          <w:tcPr>
            <w:tcW w:w="794"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-48.8</w:t>
            </w:r>
          </w:p>
        </w:tc>
        <w:tc>
          <w:tcPr>
            <w:tcW w:w="107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245.95</w:t>
            </w:r>
          </w:p>
        </w:tc>
        <w:tc>
          <w:tcPr>
            <w:tcW w:w="84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-55.8</w:t>
            </w:r>
          </w:p>
        </w:tc>
        <w:tc>
          <w:tcPr>
            <w:tcW w:w="845"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7099</w:t>
            </w:r>
          </w:p>
        </w:tc>
        <w:tc>
          <w:tcPr>
            <w:tcW w:w="85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-27.2</w:t>
            </w:r>
          </w:p>
        </w:tc>
        <w:tc>
          <w:tcPr>
            <w:tcW w:w="83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4.4</w:t>
            </w:r>
          </w:p>
        </w:tc>
        <w:tc>
          <w:tcPr>
            <w:tcW w:w="84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-16.4</w:t>
            </w:r>
          </w:p>
        </w:tc>
        <w:tc>
          <w:tcPr>
            <w:tcW w:w="88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174.59</w:t>
            </w:r>
          </w:p>
        </w:tc>
        <w:tc>
          <w:tcPr>
            <w:tcW w:w="849"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9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商办用地</w:t>
            </w:r>
          </w:p>
        </w:tc>
        <w:tc>
          <w:tcPr>
            <w:tcW w:w="678"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14</w:t>
            </w:r>
          </w:p>
        </w:tc>
        <w:tc>
          <w:tcPr>
            <w:tcW w:w="794"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180</w:t>
            </w:r>
          </w:p>
        </w:tc>
        <w:tc>
          <w:tcPr>
            <w:tcW w:w="107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35.32</w:t>
            </w:r>
          </w:p>
        </w:tc>
        <w:tc>
          <w:tcPr>
            <w:tcW w:w="84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44.4</w:t>
            </w:r>
          </w:p>
        </w:tc>
        <w:tc>
          <w:tcPr>
            <w:tcW w:w="845"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2839</w:t>
            </w:r>
          </w:p>
        </w:tc>
        <w:tc>
          <w:tcPr>
            <w:tcW w:w="85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-27.2</w:t>
            </w:r>
          </w:p>
        </w:tc>
        <w:tc>
          <w:tcPr>
            <w:tcW w:w="83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0.6</w:t>
            </w:r>
          </w:p>
        </w:tc>
        <w:tc>
          <w:tcPr>
            <w:tcW w:w="84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-4.4</w:t>
            </w:r>
          </w:p>
        </w:tc>
        <w:tc>
          <w:tcPr>
            <w:tcW w:w="88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10.03</w:t>
            </w:r>
          </w:p>
        </w:tc>
        <w:tc>
          <w:tcPr>
            <w:tcW w:w="849"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9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工业用地</w:t>
            </w:r>
          </w:p>
        </w:tc>
        <w:tc>
          <w:tcPr>
            <w:tcW w:w="678"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22</w:t>
            </w:r>
          </w:p>
        </w:tc>
        <w:tc>
          <w:tcPr>
            <w:tcW w:w="794"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-4.4</w:t>
            </w:r>
          </w:p>
        </w:tc>
        <w:tc>
          <w:tcPr>
            <w:tcW w:w="107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111.54</w:t>
            </w:r>
          </w:p>
        </w:tc>
        <w:tc>
          <w:tcPr>
            <w:tcW w:w="84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-52</w:t>
            </w:r>
          </w:p>
        </w:tc>
        <w:tc>
          <w:tcPr>
            <w:tcW w:w="845"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517</w:t>
            </w:r>
          </w:p>
        </w:tc>
        <w:tc>
          <w:tcPr>
            <w:tcW w:w="85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111.6</w:t>
            </w:r>
          </w:p>
        </w:tc>
        <w:tc>
          <w:tcPr>
            <w:tcW w:w="83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16.2</w:t>
            </w:r>
          </w:p>
        </w:tc>
        <w:tc>
          <w:tcPr>
            <w:tcW w:w="84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13.3</w:t>
            </w:r>
          </w:p>
        </w:tc>
        <w:tc>
          <w:tcPr>
            <w:tcW w:w="88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5.76</w:t>
            </w:r>
          </w:p>
        </w:tc>
        <w:tc>
          <w:tcPr>
            <w:tcW w:w="849"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9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其他用地</w:t>
            </w:r>
          </w:p>
        </w:tc>
        <w:tc>
          <w:tcPr>
            <w:tcW w:w="678"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w:t>
            </w:r>
          </w:p>
        </w:tc>
        <w:tc>
          <w:tcPr>
            <w:tcW w:w="794"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-83.3</w:t>
            </w:r>
          </w:p>
        </w:tc>
        <w:tc>
          <w:tcPr>
            <w:tcW w:w="107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0.78</w:t>
            </w:r>
          </w:p>
        </w:tc>
        <w:tc>
          <w:tcPr>
            <w:tcW w:w="84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-99.4</w:t>
            </w:r>
          </w:p>
        </w:tc>
        <w:tc>
          <w:tcPr>
            <w:tcW w:w="845"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961</w:t>
            </w:r>
          </w:p>
        </w:tc>
        <w:tc>
          <w:tcPr>
            <w:tcW w:w="85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-20.6</w:t>
            </w:r>
          </w:p>
        </w:tc>
        <w:tc>
          <w:tcPr>
            <w:tcW w:w="83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w:t>
            </w:r>
          </w:p>
        </w:tc>
        <w:tc>
          <w:tcPr>
            <w:tcW w:w="84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-0.8</w:t>
            </w:r>
          </w:p>
        </w:tc>
        <w:tc>
          <w:tcPr>
            <w:tcW w:w="88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0.08</w:t>
            </w:r>
          </w:p>
        </w:tc>
        <w:tc>
          <w:tcPr>
            <w:tcW w:w="849"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9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各类用地</w:t>
            </w:r>
          </w:p>
        </w:tc>
        <w:tc>
          <w:tcPr>
            <w:tcW w:w="678"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59</w:t>
            </w:r>
          </w:p>
        </w:tc>
        <w:tc>
          <w:tcPr>
            <w:tcW w:w="794"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-23.4</w:t>
            </w:r>
          </w:p>
        </w:tc>
        <w:tc>
          <w:tcPr>
            <w:tcW w:w="107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393.59</w:t>
            </w:r>
          </w:p>
        </w:tc>
        <w:tc>
          <w:tcPr>
            <w:tcW w:w="84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-58</w:t>
            </w:r>
          </w:p>
        </w:tc>
        <w:tc>
          <w:tcPr>
            <w:tcW w:w="845"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4839</w:t>
            </w:r>
          </w:p>
        </w:tc>
        <w:tc>
          <w:tcPr>
            <w:tcW w:w="85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-20.7</w:t>
            </w:r>
          </w:p>
        </w:tc>
        <w:tc>
          <w:tcPr>
            <w:tcW w:w="83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4.5</w:t>
            </w:r>
          </w:p>
        </w:tc>
        <w:tc>
          <w:tcPr>
            <w:tcW w:w="84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-15.1</w:t>
            </w:r>
          </w:p>
        </w:tc>
        <w:tc>
          <w:tcPr>
            <w:tcW w:w="88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190.46</w:t>
            </w:r>
          </w:p>
        </w:tc>
        <w:tc>
          <w:tcPr>
            <w:tcW w:w="849"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-66.7</w:t>
            </w:r>
          </w:p>
        </w:tc>
      </w:tr>
    </w:tbl>
    <w:p>
      <w:pPr>
        <w:widowControl w:val="0"/>
        <w:snapToGrid w:val="0"/>
        <w:spacing w:line="480" w:lineRule="auto"/>
        <w:jc w:val="both"/>
        <w:rPr>
          <w:rFonts w:ascii="Arial" w:hAnsi="Arial" w:cs="Arial"/>
          <w:b/>
          <w:bCs/>
          <w:sz w:val="21"/>
          <w:szCs w:val="21"/>
        </w:rPr>
      </w:pPr>
    </w:p>
    <w:p>
      <w:pPr>
        <w:adjustRightInd w:val="0"/>
        <w:snapToGrid w:val="0"/>
        <w:spacing w:line="480" w:lineRule="auto"/>
        <w:ind w:firstLine="420" w:firstLineChars="200"/>
        <w:jc w:val="center"/>
        <w:rPr>
          <w:rFonts w:ascii="Arial" w:hAnsi="Arial" w:cs="Arial"/>
          <w:color w:val="000000"/>
          <w:sz w:val="21"/>
          <w:szCs w:val="21"/>
        </w:rPr>
      </w:pPr>
      <w:r>
        <w:rPr>
          <w:rFonts w:hint="eastAsia" w:ascii="Arial" w:hAnsi="Arial" w:cs="Arial"/>
          <w:color w:val="000000"/>
          <w:sz w:val="21"/>
          <w:szCs w:val="21"/>
        </w:rPr>
        <w:t>2022年1-8月温州市各区县各类用地供求情况</w:t>
      </w:r>
    </w:p>
    <w:tbl>
      <w:tblPr>
        <w:tblStyle w:val="3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16"/>
        <w:gridCol w:w="824"/>
        <w:gridCol w:w="824"/>
        <w:gridCol w:w="860"/>
        <w:gridCol w:w="852"/>
        <w:gridCol w:w="860"/>
        <w:gridCol w:w="852"/>
        <w:gridCol w:w="896"/>
        <w:gridCol w:w="852"/>
        <w:gridCol w:w="816"/>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816" w:type="dxa"/>
            <w:vMerge w:val="restart"/>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区域</w:t>
            </w:r>
          </w:p>
        </w:tc>
        <w:tc>
          <w:tcPr>
            <w:tcW w:w="1648" w:type="dxa"/>
            <w:gridSpan w:val="2"/>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宗数(宗)</w:t>
            </w:r>
          </w:p>
        </w:tc>
        <w:tc>
          <w:tcPr>
            <w:tcW w:w="3424" w:type="dxa"/>
            <w:gridSpan w:val="4"/>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规划建筑面积(万平方米)</w:t>
            </w:r>
          </w:p>
        </w:tc>
        <w:tc>
          <w:tcPr>
            <w:tcW w:w="1748" w:type="dxa"/>
            <w:gridSpan w:val="2"/>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楼面均价(元/平方米)</w:t>
            </w:r>
          </w:p>
        </w:tc>
        <w:tc>
          <w:tcPr>
            <w:tcW w:w="1662" w:type="dxa"/>
            <w:gridSpan w:val="2"/>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平均溢价率(%)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816" w:type="dxa"/>
            <w:vMerge w:val="continue"/>
            <w:shd w:val="clear" w:color="auto" w:fill="auto"/>
            <w:vAlign w:val="center"/>
          </w:tcPr>
          <w:p>
            <w:pPr>
              <w:jc w:val="both"/>
              <w:rPr>
                <w:rFonts w:ascii="Arial" w:hAnsi="Arial" w:cs="Arial"/>
                <w:sz w:val="15"/>
                <w:szCs w:val="15"/>
              </w:rPr>
            </w:pPr>
          </w:p>
        </w:tc>
        <w:tc>
          <w:tcPr>
            <w:tcW w:w="824"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推出</w:t>
            </w:r>
          </w:p>
        </w:tc>
        <w:tc>
          <w:tcPr>
            <w:tcW w:w="824"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成交</w:t>
            </w:r>
          </w:p>
        </w:tc>
        <w:tc>
          <w:tcPr>
            <w:tcW w:w="86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推出</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同比(%)</w:t>
            </w:r>
          </w:p>
        </w:tc>
        <w:tc>
          <w:tcPr>
            <w:tcW w:w="86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成交</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同比(%)</w:t>
            </w:r>
          </w:p>
        </w:tc>
        <w:tc>
          <w:tcPr>
            <w:tcW w:w="89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绝对水平</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同比(%)</w:t>
            </w:r>
          </w:p>
        </w:tc>
        <w:tc>
          <w:tcPr>
            <w:tcW w:w="81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绝对水平</w:t>
            </w:r>
          </w:p>
        </w:tc>
        <w:tc>
          <w:tcPr>
            <w:tcW w:w="84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较去年同期变化(%)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816" w:type="dxa"/>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龙湾区</w:t>
            </w:r>
          </w:p>
        </w:tc>
        <w:tc>
          <w:tcPr>
            <w:tcW w:w="824"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22</w:t>
            </w:r>
          </w:p>
        </w:tc>
        <w:tc>
          <w:tcPr>
            <w:tcW w:w="824"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22</w:t>
            </w:r>
          </w:p>
        </w:tc>
        <w:tc>
          <w:tcPr>
            <w:tcW w:w="86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342</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53</w:t>
            </w:r>
          </w:p>
        </w:tc>
        <w:tc>
          <w:tcPr>
            <w:tcW w:w="86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127</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-29</w:t>
            </w:r>
          </w:p>
        </w:tc>
        <w:tc>
          <w:tcPr>
            <w:tcW w:w="89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3678</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-48</w:t>
            </w:r>
          </w:p>
        </w:tc>
        <w:tc>
          <w:tcPr>
            <w:tcW w:w="81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w:t>
            </w:r>
          </w:p>
        </w:tc>
        <w:tc>
          <w:tcPr>
            <w:tcW w:w="84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816" w:type="dxa"/>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鹿城区</w:t>
            </w:r>
          </w:p>
        </w:tc>
        <w:tc>
          <w:tcPr>
            <w:tcW w:w="824"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26</w:t>
            </w:r>
          </w:p>
        </w:tc>
        <w:tc>
          <w:tcPr>
            <w:tcW w:w="824"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21</w:t>
            </w:r>
          </w:p>
        </w:tc>
        <w:tc>
          <w:tcPr>
            <w:tcW w:w="86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156</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-35</w:t>
            </w:r>
          </w:p>
        </w:tc>
        <w:tc>
          <w:tcPr>
            <w:tcW w:w="86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117</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-47</w:t>
            </w:r>
          </w:p>
        </w:tc>
        <w:tc>
          <w:tcPr>
            <w:tcW w:w="89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8251</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-16</w:t>
            </w:r>
          </w:p>
        </w:tc>
        <w:tc>
          <w:tcPr>
            <w:tcW w:w="81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6</w:t>
            </w:r>
          </w:p>
        </w:tc>
        <w:tc>
          <w:tcPr>
            <w:tcW w:w="84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816" w:type="dxa"/>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瓯海区</w:t>
            </w:r>
          </w:p>
        </w:tc>
        <w:tc>
          <w:tcPr>
            <w:tcW w:w="824"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10</w:t>
            </w:r>
          </w:p>
        </w:tc>
        <w:tc>
          <w:tcPr>
            <w:tcW w:w="824"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9</w:t>
            </w:r>
          </w:p>
        </w:tc>
        <w:tc>
          <w:tcPr>
            <w:tcW w:w="86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98</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-45</w:t>
            </w:r>
          </w:p>
        </w:tc>
        <w:tc>
          <w:tcPr>
            <w:tcW w:w="86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96</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-33</w:t>
            </w:r>
          </w:p>
        </w:tc>
        <w:tc>
          <w:tcPr>
            <w:tcW w:w="89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3698</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-62</w:t>
            </w:r>
          </w:p>
        </w:tc>
        <w:tc>
          <w:tcPr>
            <w:tcW w:w="81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w:t>
            </w:r>
          </w:p>
        </w:tc>
        <w:tc>
          <w:tcPr>
            <w:tcW w:w="84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816" w:type="dxa"/>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洞头区</w:t>
            </w:r>
          </w:p>
        </w:tc>
        <w:tc>
          <w:tcPr>
            <w:tcW w:w="824"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6</w:t>
            </w:r>
          </w:p>
        </w:tc>
        <w:tc>
          <w:tcPr>
            <w:tcW w:w="824"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7</w:t>
            </w:r>
          </w:p>
        </w:tc>
        <w:tc>
          <w:tcPr>
            <w:tcW w:w="86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44</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-89</w:t>
            </w:r>
          </w:p>
        </w:tc>
        <w:tc>
          <w:tcPr>
            <w:tcW w:w="86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54</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-86</w:t>
            </w:r>
          </w:p>
        </w:tc>
        <w:tc>
          <w:tcPr>
            <w:tcW w:w="89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2166</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w:t>
            </w:r>
          </w:p>
        </w:tc>
        <w:tc>
          <w:tcPr>
            <w:tcW w:w="81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w:t>
            </w:r>
          </w:p>
        </w:tc>
        <w:tc>
          <w:tcPr>
            <w:tcW w:w="84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-19</w:t>
            </w:r>
          </w:p>
        </w:tc>
      </w:tr>
    </w:tbl>
    <w:p>
      <w:pPr>
        <w:adjustRightInd w:val="0"/>
        <w:snapToGrid w:val="0"/>
        <w:spacing w:line="480" w:lineRule="auto"/>
        <w:ind w:firstLine="420" w:firstLineChars="200"/>
        <w:jc w:val="both"/>
        <w:rPr>
          <w:rFonts w:ascii="Arial" w:hAnsi="Arial" w:cs="Arial"/>
          <w:color w:val="000000"/>
          <w:sz w:val="21"/>
          <w:szCs w:val="21"/>
        </w:rPr>
      </w:pP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2022年1-8月，温州共推出住宅用地规划建筑面积282.59万㎡，同比下降53.37%；成交规划建筑面积245.95万㎡，同比下降55.75%。2022年8月，温州共推出住宅用地规划建筑面积40.26万㎡，同比增长306.99%；成交规划建筑面积35.4万㎡，同比下降60.84%。</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2022年1-8月，温州成交楼面均价为7099元/㎡，同比下跌27.18%；平均溢价率为4.43%，较去年同期下降16.38个百分点；住宅用地出让金达174.59亿元，同比下降67.78%。2022年8月，温州成交楼面均价为5531元/㎡，环比下跌57.85%,同比下跌58.86%；平均溢价率为2.03%，较去年同期下降2.91个百分点；住宅用地出让金达19.58亿元，环比增长253.38%,同比下降83.89%。</w:t>
      </w:r>
    </w:p>
    <w:tbl>
      <w:tblPr>
        <w:tblStyle w:val="3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15"/>
        <w:gridCol w:w="823"/>
        <w:gridCol w:w="823"/>
        <w:gridCol w:w="859"/>
        <w:gridCol w:w="852"/>
        <w:gridCol w:w="823"/>
        <w:gridCol w:w="852"/>
        <w:gridCol w:w="932"/>
        <w:gridCol w:w="852"/>
        <w:gridCol w:w="815"/>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815" w:type="dxa"/>
            <w:vMerge w:val="restart"/>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区域</w:t>
            </w:r>
          </w:p>
        </w:tc>
        <w:tc>
          <w:tcPr>
            <w:tcW w:w="1646" w:type="dxa"/>
            <w:gridSpan w:val="2"/>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宗数(宗)</w:t>
            </w:r>
          </w:p>
        </w:tc>
        <w:tc>
          <w:tcPr>
            <w:tcW w:w="3386" w:type="dxa"/>
            <w:gridSpan w:val="4"/>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规划建筑面积(万平方米)</w:t>
            </w:r>
          </w:p>
        </w:tc>
        <w:tc>
          <w:tcPr>
            <w:tcW w:w="1784" w:type="dxa"/>
            <w:gridSpan w:val="2"/>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楼面均价(元/平方米)</w:t>
            </w:r>
          </w:p>
        </w:tc>
        <w:tc>
          <w:tcPr>
            <w:tcW w:w="1667" w:type="dxa"/>
            <w:gridSpan w:val="2"/>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平均溢价率(%)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815" w:type="dxa"/>
            <w:vMerge w:val="continue"/>
            <w:shd w:val="clear" w:color="auto" w:fill="auto"/>
            <w:vAlign w:val="center"/>
          </w:tcPr>
          <w:p>
            <w:pPr>
              <w:jc w:val="both"/>
              <w:textAlignment w:val="center"/>
              <w:rPr>
                <w:rFonts w:ascii="Arial" w:hAnsi="Arial" w:cs="Arial"/>
                <w:b/>
                <w:bCs/>
                <w:sz w:val="15"/>
                <w:szCs w:val="15"/>
                <w:lang w:bidi="ar"/>
              </w:rPr>
            </w:pPr>
          </w:p>
        </w:tc>
        <w:tc>
          <w:tcPr>
            <w:tcW w:w="823"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推出</w:t>
            </w:r>
          </w:p>
        </w:tc>
        <w:tc>
          <w:tcPr>
            <w:tcW w:w="823"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成交</w:t>
            </w:r>
          </w:p>
        </w:tc>
        <w:tc>
          <w:tcPr>
            <w:tcW w:w="859"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推出</w:t>
            </w:r>
          </w:p>
        </w:tc>
        <w:tc>
          <w:tcPr>
            <w:tcW w:w="852"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同比(%)</w:t>
            </w:r>
          </w:p>
        </w:tc>
        <w:tc>
          <w:tcPr>
            <w:tcW w:w="823"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成交</w:t>
            </w:r>
          </w:p>
        </w:tc>
        <w:tc>
          <w:tcPr>
            <w:tcW w:w="852"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同比(%)</w:t>
            </w:r>
          </w:p>
        </w:tc>
        <w:tc>
          <w:tcPr>
            <w:tcW w:w="932"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绝对水平</w:t>
            </w:r>
          </w:p>
        </w:tc>
        <w:tc>
          <w:tcPr>
            <w:tcW w:w="852"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同比(%)</w:t>
            </w:r>
          </w:p>
        </w:tc>
        <w:tc>
          <w:tcPr>
            <w:tcW w:w="815"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绝对水平</w:t>
            </w:r>
          </w:p>
        </w:tc>
        <w:tc>
          <w:tcPr>
            <w:tcW w:w="852"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较去年同期变化(%)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815"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鹿城区</w:t>
            </w:r>
          </w:p>
        </w:tc>
        <w:tc>
          <w:tcPr>
            <w:tcW w:w="823"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13</w:t>
            </w:r>
          </w:p>
        </w:tc>
        <w:tc>
          <w:tcPr>
            <w:tcW w:w="823"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11</w:t>
            </w:r>
          </w:p>
        </w:tc>
        <w:tc>
          <w:tcPr>
            <w:tcW w:w="859"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108</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-50</w:t>
            </w:r>
          </w:p>
        </w:tc>
        <w:tc>
          <w:tcPr>
            <w:tcW w:w="823"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88</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-57</w:t>
            </w:r>
          </w:p>
        </w:tc>
        <w:tc>
          <w:tcPr>
            <w:tcW w:w="93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10301</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w:t>
            </w:r>
          </w:p>
        </w:tc>
        <w:tc>
          <w:tcPr>
            <w:tcW w:w="815"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6</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815"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瓯海区</w:t>
            </w:r>
          </w:p>
        </w:tc>
        <w:tc>
          <w:tcPr>
            <w:tcW w:w="823"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5</w:t>
            </w:r>
          </w:p>
        </w:tc>
        <w:tc>
          <w:tcPr>
            <w:tcW w:w="823"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6</w:t>
            </w:r>
          </w:p>
        </w:tc>
        <w:tc>
          <w:tcPr>
            <w:tcW w:w="859"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63</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-14</w:t>
            </w:r>
          </w:p>
        </w:tc>
        <w:tc>
          <w:tcPr>
            <w:tcW w:w="823"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75</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-27</w:t>
            </w:r>
          </w:p>
        </w:tc>
        <w:tc>
          <w:tcPr>
            <w:tcW w:w="93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4642</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-65</w:t>
            </w:r>
          </w:p>
        </w:tc>
        <w:tc>
          <w:tcPr>
            <w:tcW w:w="815"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815"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龙湾区</w:t>
            </w:r>
          </w:p>
        </w:tc>
        <w:tc>
          <w:tcPr>
            <w:tcW w:w="823"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6</w:t>
            </w:r>
          </w:p>
        </w:tc>
        <w:tc>
          <w:tcPr>
            <w:tcW w:w="823"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w:t>
            </w:r>
          </w:p>
        </w:tc>
        <w:tc>
          <w:tcPr>
            <w:tcW w:w="859"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93</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-46</w:t>
            </w:r>
          </w:p>
        </w:tc>
        <w:tc>
          <w:tcPr>
            <w:tcW w:w="823"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65</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-50</w:t>
            </w:r>
          </w:p>
        </w:tc>
        <w:tc>
          <w:tcPr>
            <w:tcW w:w="93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6182</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-34</w:t>
            </w:r>
          </w:p>
        </w:tc>
        <w:tc>
          <w:tcPr>
            <w:tcW w:w="815"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815"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洞头区</w:t>
            </w:r>
          </w:p>
        </w:tc>
        <w:tc>
          <w:tcPr>
            <w:tcW w:w="823"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w:t>
            </w:r>
          </w:p>
        </w:tc>
        <w:tc>
          <w:tcPr>
            <w:tcW w:w="823"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w:t>
            </w:r>
          </w:p>
        </w:tc>
        <w:tc>
          <w:tcPr>
            <w:tcW w:w="859"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19</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-87</w:t>
            </w:r>
          </w:p>
        </w:tc>
        <w:tc>
          <w:tcPr>
            <w:tcW w:w="823"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19</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-85</w:t>
            </w:r>
          </w:p>
        </w:tc>
        <w:tc>
          <w:tcPr>
            <w:tcW w:w="93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4999</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-13</w:t>
            </w:r>
          </w:p>
        </w:tc>
        <w:tc>
          <w:tcPr>
            <w:tcW w:w="815"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w:t>
            </w:r>
          </w:p>
        </w:tc>
        <w:tc>
          <w:tcPr>
            <w:tcW w:w="852"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-24</w:t>
            </w:r>
          </w:p>
        </w:tc>
      </w:tr>
    </w:tbl>
    <w:p>
      <w:pPr>
        <w:adjustRightInd w:val="0"/>
        <w:snapToGrid w:val="0"/>
        <w:spacing w:line="480" w:lineRule="auto"/>
        <w:ind w:firstLine="840" w:firstLineChars="400"/>
        <w:jc w:val="both"/>
        <w:rPr>
          <w:rFonts w:ascii="Arial" w:hAnsi="Arial" w:cs="Arial"/>
          <w:color w:val="000000"/>
          <w:sz w:val="21"/>
          <w:szCs w:val="21"/>
        </w:rPr>
      </w:pPr>
    </w:p>
    <w:p>
      <w:pPr>
        <w:adjustRightInd w:val="0"/>
        <w:snapToGrid w:val="0"/>
        <w:spacing w:line="480" w:lineRule="auto"/>
        <w:jc w:val="center"/>
        <w:rPr>
          <w:rFonts w:ascii="Arial" w:hAnsi="Arial" w:cs="Arial"/>
          <w:color w:val="000000"/>
          <w:sz w:val="21"/>
          <w:szCs w:val="21"/>
        </w:rPr>
      </w:pPr>
      <w:r>
        <w:rPr>
          <w:rFonts w:hint="eastAsia" w:ascii="Arial" w:hAnsi="Arial" w:cs="Arial"/>
          <w:color w:val="000000"/>
          <w:sz w:val="21"/>
          <w:szCs w:val="21"/>
        </w:rPr>
        <w:t>2022年(1-8月)温州市品牌企业住宅用地、商办用地拿地金额排行</w:t>
      </w:r>
    </w:p>
    <w:tbl>
      <w:tblPr>
        <w:tblStyle w:val="3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2175"/>
        <w:gridCol w:w="1550"/>
        <w:gridCol w:w="1550"/>
        <w:gridCol w:w="1550"/>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23" w:type="dxa"/>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排名</w:t>
            </w:r>
          </w:p>
        </w:tc>
        <w:tc>
          <w:tcPr>
            <w:tcW w:w="2175" w:type="dxa"/>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企业名称</w:t>
            </w:r>
          </w:p>
        </w:tc>
        <w:tc>
          <w:tcPr>
            <w:tcW w:w="1550" w:type="dxa"/>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拿地宗数(宗)</w:t>
            </w:r>
          </w:p>
        </w:tc>
        <w:tc>
          <w:tcPr>
            <w:tcW w:w="1550" w:type="dxa"/>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拿地面积(万㎡)</w:t>
            </w:r>
          </w:p>
        </w:tc>
        <w:tc>
          <w:tcPr>
            <w:tcW w:w="1550" w:type="dxa"/>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拿地金额(亿元)</w:t>
            </w:r>
          </w:p>
        </w:tc>
        <w:tc>
          <w:tcPr>
            <w:tcW w:w="1550" w:type="dxa"/>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楼面均价(元/㎡)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3"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w:t>
            </w:r>
          </w:p>
        </w:tc>
        <w:tc>
          <w:tcPr>
            <w:tcW w:w="2175"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乐清国投</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32.3</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35.18</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10891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3"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w:t>
            </w:r>
          </w:p>
        </w:tc>
        <w:tc>
          <w:tcPr>
            <w:tcW w:w="2175"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保利发展</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18.89</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27.46</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14537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3"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w:t>
            </w:r>
          </w:p>
        </w:tc>
        <w:tc>
          <w:tcPr>
            <w:tcW w:w="2175"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招商蛇口</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18.89</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27.46</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14537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3"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w:t>
            </w:r>
          </w:p>
        </w:tc>
        <w:tc>
          <w:tcPr>
            <w:tcW w:w="2175"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建设发展</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18.89</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27.46</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14537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3"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5</w:t>
            </w:r>
          </w:p>
        </w:tc>
        <w:tc>
          <w:tcPr>
            <w:tcW w:w="2175"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温州时代集团</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18.54</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25.58</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13798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3"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6</w:t>
            </w:r>
          </w:p>
        </w:tc>
        <w:tc>
          <w:tcPr>
            <w:tcW w:w="2175"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宏合置业</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38.82</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18.2</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3"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7</w:t>
            </w:r>
          </w:p>
        </w:tc>
        <w:tc>
          <w:tcPr>
            <w:tcW w:w="2175"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永嘉嘉盛置业</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38.82</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18.2</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3"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8</w:t>
            </w:r>
          </w:p>
        </w:tc>
        <w:tc>
          <w:tcPr>
            <w:tcW w:w="2175"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温州大诚</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20.7</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15.32</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7399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3"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9</w:t>
            </w:r>
          </w:p>
        </w:tc>
        <w:tc>
          <w:tcPr>
            <w:tcW w:w="2175"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温州海筑建设发展有限公司</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30.74</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14.33</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3"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10</w:t>
            </w:r>
          </w:p>
        </w:tc>
        <w:tc>
          <w:tcPr>
            <w:tcW w:w="2175"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凯迪集团</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16.92</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12.68</w:t>
            </w:r>
          </w:p>
        </w:tc>
        <w:tc>
          <w:tcPr>
            <w:tcW w:w="1550"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7492</w:t>
            </w:r>
          </w:p>
        </w:tc>
      </w:tr>
    </w:tbl>
    <w:p>
      <w:pPr>
        <w:adjustRightInd w:val="0"/>
        <w:snapToGrid w:val="0"/>
        <w:spacing w:line="480" w:lineRule="auto"/>
        <w:ind w:left="-20" w:leftChars="-67" w:hanging="141" w:hangingChars="94"/>
        <w:rPr>
          <w:rFonts w:ascii="华文细黑" w:hAnsi="华文细黑" w:eastAsia="华文细黑" w:cs="Arial"/>
          <w:color w:val="000000"/>
          <w:sz w:val="15"/>
          <w:szCs w:val="15"/>
        </w:rPr>
      </w:pPr>
    </w:p>
    <w:p>
      <w:pPr>
        <w:pStyle w:val="5"/>
        <w:tabs>
          <w:tab w:val="left" w:pos="5220"/>
        </w:tabs>
        <w:spacing w:before="0" w:after="0" w:line="480" w:lineRule="auto"/>
        <w:ind w:firstLine="207" w:firstLineChars="98"/>
        <w:jc w:val="both"/>
        <w:rPr>
          <w:rFonts w:eastAsia="宋体" w:cs="Arial"/>
          <w:sz w:val="21"/>
          <w:szCs w:val="21"/>
        </w:rPr>
      </w:pPr>
      <w:bookmarkStart w:id="127" w:name="_Toc43885859"/>
      <w:bookmarkStart w:id="128" w:name="_Toc106177881"/>
      <w:bookmarkStart w:id="129" w:name="_Toc74250072"/>
      <w:r>
        <w:rPr>
          <w:rFonts w:eastAsia="宋体" w:cs="Arial"/>
          <w:sz w:val="21"/>
          <w:szCs w:val="21"/>
        </w:rPr>
        <w:t>（</w:t>
      </w:r>
      <w:r>
        <w:rPr>
          <w:rFonts w:hint="eastAsia" w:eastAsia="宋体" w:cs="Arial"/>
          <w:sz w:val="21"/>
          <w:szCs w:val="21"/>
        </w:rPr>
        <w:t>五</w:t>
      </w:r>
      <w:r>
        <w:rPr>
          <w:rFonts w:eastAsia="宋体" w:cs="Arial"/>
          <w:sz w:val="21"/>
          <w:szCs w:val="21"/>
        </w:rPr>
        <w:t>）</w:t>
      </w:r>
      <w:r>
        <w:rPr>
          <w:rFonts w:hint="eastAsia" w:eastAsia="宋体" w:cs="Arial"/>
          <w:sz w:val="21"/>
          <w:szCs w:val="21"/>
        </w:rPr>
        <w:t>房地产市场概况</w:t>
      </w:r>
      <w:bookmarkEnd w:id="127"/>
      <w:bookmarkEnd w:id="128"/>
      <w:bookmarkEnd w:id="129"/>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1、2019-2021年房地产市场情况</w:t>
      </w:r>
    </w:p>
    <w:p>
      <w:pPr>
        <w:widowControl w:val="0"/>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（1）供销走势</w:t>
      </w:r>
    </w:p>
    <w:p>
      <w:pPr>
        <w:widowControl w:val="0"/>
        <w:adjustRightInd w:val="0"/>
        <w:snapToGrid w:val="0"/>
        <w:spacing w:line="480" w:lineRule="auto"/>
        <w:ind w:firstLine="420" w:firstLineChars="200"/>
        <w:jc w:val="both"/>
        <w:rPr>
          <w:rFonts w:ascii="Arial" w:hAnsi="Arial" w:cs="Arial"/>
          <w:color w:val="000000" w:themeColor="text1"/>
          <w:sz w:val="21"/>
          <w:szCs w:val="21"/>
          <w14:textFill>
            <w14:solidFill>
              <w14:schemeClr w14:val="tx1"/>
            </w14:solidFill>
          </w14:textFill>
        </w:rPr>
      </w:pPr>
      <w:r>
        <w:rPr>
          <w:rFonts w:hint="eastAsia" w:ascii="Arial" w:hAnsi="Arial" w:cs="Arial"/>
          <w:sz w:val="21"/>
          <w:szCs w:val="21"/>
        </w:rPr>
        <w:t>从供应量上看，2019年至2020年供应量呈上升趋势；2019和2020年商品住宅供应套数分别为67688套和98080套，供应面积为837万</w:t>
      </w:r>
      <w:r>
        <w:rPr>
          <w:rFonts w:ascii="Arial" w:hAnsi="Arial" w:cs="Arial"/>
          <w:sz w:val="21"/>
          <w:szCs w:val="21"/>
        </w:rPr>
        <w:t>平方米</w:t>
      </w:r>
      <w:r>
        <w:rPr>
          <w:rFonts w:hint="eastAsia" w:ascii="Arial" w:hAnsi="Arial" w:cs="Arial"/>
          <w:sz w:val="21"/>
          <w:szCs w:val="21"/>
        </w:rPr>
        <w:t>和1130万平方米；2021年供应量有所下将，全年供应77265套，供应面积约902万平方米。</w:t>
      </w:r>
    </w:p>
    <w:p>
      <w:pPr>
        <w:widowControl w:val="0"/>
        <w:adjustRightInd w:val="0"/>
        <w:snapToGrid w:val="0"/>
        <w:spacing w:line="480" w:lineRule="auto"/>
        <w:ind w:firstLine="420" w:firstLineChars="200"/>
        <w:jc w:val="both"/>
        <w:rPr>
          <w:rFonts w:ascii="Arial" w:hAnsi="Arial" w:cs="Arial"/>
          <w:color w:val="000000" w:themeColor="text1"/>
          <w:sz w:val="21"/>
          <w:szCs w:val="21"/>
          <w14:textFill>
            <w14:solidFill>
              <w14:schemeClr w14:val="tx1"/>
            </w14:solidFill>
          </w14:textFill>
        </w:rPr>
      </w:pPr>
      <w:r>
        <w:rPr>
          <w:rFonts w:hint="eastAsia" w:ascii="Arial" w:hAnsi="Arial" w:cs="Arial"/>
          <w:sz w:val="21"/>
          <w:szCs w:val="21"/>
        </w:rPr>
        <w:t>从成交情况来看，近三年温州市商品住宅也呈现波动态势。 2019年成交套数70192套，成交面积约880.8万平方米，随着市场的升温，2020年</w:t>
      </w:r>
      <w:r>
        <w:rPr>
          <w:rFonts w:hint="eastAsia" w:ascii="Arial" w:hAnsi="Arial" w:cs="Arial"/>
          <w:color w:val="000000" w:themeColor="text1"/>
          <w:sz w:val="21"/>
          <w:szCs w:val="21"/>
          <w14:textFill>
            <w14:solidFill>
              <w14:schemeClr w14:val="tx1"/>
            </w14:solidFill>
          </w14:textFill>
        </w:rPr>
        <w:t>全年成交商品住宅为92525套，成交面积达1090.6万平方米。</w:t>
      </w:r>
      <w:r>
        <w:rPr>
          <w:rFonts w:ascii="Arial" w:hAnsi="Arial" w:cs="Arial"/>
          <w:color w:val="000000" w:themeColor="text1"/>
          <w:sz w:val="21"/>
          <w:szCs w:val="21"/>
          <w14:textFill>
            <w14:solidFill>
              <w14:schemeClr w14:val="tx1"/>
            </w14:solidFill>
          </w14:textFill>
        </w:rPr>
        <w:t>2021</w:t>
      </w:r>
      <w:r>
        <w:rPr>
          <w:rFonts w:hint="eastAsia" w:ascii="Arial" w:hAnsi="Arial" w:cs="Arial"/>
          <w:color w:val="000000" w:themeColor="text1"/>
          <w:sz w:val="21"/>
          <w:szCs w:val="21"/>
          <w14:textFill>
            <w14:solidFill>
              <w14:schemeClr w14:val="tx1"/>
            </w14:solidFill>
          </w14:textFill>
        </w:rPr>
        <w:t>年受疫情及整体市场影响，成交商品住宅78991套，成交面积933.9万平方米，较2020年下降约14%。</w:t>
      </w:r>
    </w:p>
    <w:p>
      <w:pPr>
        <w:widowControl w:val="0"/>
        <w:adjustRightInd w:val="0"/>
        <w:snapToGrid w:val="0"/>
        <w:spacing w:line="480" w:lineRule="auto"/>
        <w:jc w:val="center"/>
        <w:rPr>
          <w:rFonts w:ascii="Arial" w:hAnsi="Arial" w:cs="Arial"/>
          <w:sz w:val="21"/>
          <w:szCs w:val="21"/>
          <w:highlight w:val="yellow"/>
        </w:rPr>
      </w:pPr>
      <w:r>
        <w:drawing>
          <wp:inline distT="0" distB="0" distL="0" distR="0">
            <wp:extent cx="5200650" cy="2781300"/>
            <wp:effectExtent l="4445" t="4445" r="6985" b="18415"/>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adjustRightInd w:val="0"/>
        <w:snapToGrid w:val="0"/>
        <w:spacing w:line="480" w:lineRule="auto"/>
        <w:rPr>
          <w:rFonts w:ascii="华文细黑" w:hAnsi="华文细黑" w:eastAsia="华文细黑" w:cs="Arial"/>
          <w:sz w:val="15"/>
          <w:szCs w:val="15"/>
        </w:rPr>
      </w:pPr>
      <w:r>
        <w:rPr>
          <w:rFonts w:hint="eastAsia" w:ascii="华文细黑" w:hAnsi="华文细黑" w:eastAsia="华文细黑" w:cs="Arial"/>
          <w:sz w:val="15"/>
          <w:szCs w:val="15"/>
        </w:rPr>
        <w:t>资料来源：</w:t>
      </w:r>
      <w:r>
        <w:rPr>
          <w:rFonts w:ascii="Arial" w:hAnsi="Arial" w:eastAsia="华文细黑" w:cs="Arial"/>
          <w:color w:val="000000"/>
          <w:sz w:val="15"/>
          <w:szCs w:val="15"/>
        </w:rPr>
        <w:t>CREIS</w:t>
      </w:r>
      <w:r>
        <w:rPr>
          <w:rFonts w:hint="eastAsia" w:ascii="华文细黑" w:hAnsi="华文细黑" w:eastAsia="华文细黑" w:cs="Arial"/>
          <w:color w:val="000000"/>
          <w:sz w:val="15"/>
          <w:szCs w:val="15"/>
        </w:rPr>
        <w:t>中指数据</w:t>
      </w:r>
    </w:p>
    <w:p>
      <w:pPr>
        <w:widowControl w:val="0"/>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（2）成交价格情况</w:t>
      </w:r>
    </w:p>
    <w:p>
      <w:pPr>
        <w:widowControl w:val="0"/>
        <w:adjustRightInd w:val="0"/>
        <w:snapToGrid w:val="0"/>
        <w:spacing w:line="480" w:lineRule="auto"/>
        <w:ind w:firstLine="420" w:firstLineChars="200"/>
        <w:jc w:val="both"/>
        <w:rPr>
          <w:rFonts w:ascii="Arial" w:hAnsi="Arial" w:cs="Arial"/>
          <w:sz w:val="21"/>
          <w:szCs w:val="21"/>
        </w:rPr>
      </w:pPr>
      <w:r>
        <w:rPr>
          <w:rFonts w:hint="eastAsia" w:ascii="Arial" w:hAnsi="Arial" w:cs="Arial"/>
          <w:color w:val="000000" w:themeColor="text1"/>
          <w:sz w:val="21"/>
          <w:szCs w:val="21"/>
          <w14:textFill>
            <w14:solidFill>
              <w14:schemeClr w14:val="tx1"/>
            </w14:solidFill>
          </w14:textFill>
        </w:rPr>
        <w:t>从成交价格方面来看，</w:t>
      </w:r>
      <w:r>
        <w:rPr>
          <w:rFonts w:hint="eastAsia" w:ascii="Arial" w:hAnsi="Arial" w:cs="Arial"/>
          <w:sz w:val="21"/>
          <w:szCs w:val="21"/>
        </w:rPr>
        <w:t>温州市</w:t>
      </w:r>
      <w:r>
        <w:rPr>
          <w:rFonts w:hint="eastAsia" w:ascii="Arial" w:hAnsi="Arial" w:cs="Arial"/>
          <w:color w:val="000000" w:themeColor="text1"/>
          <w:sz w:val="21"/>
          <w:szCs w:val="21"/>
          <w14:textFill>
            <w14:solidFill>
              <w14:schemeClr w14:val="tx1"/>
            </w14:solidFill>
          </w14:textFill>
        </w:rPr>
        <w:t>新建商品住宅年平均销售价格</w:t>
      </w:r>
      <w:r>
        <w:rPr>
          <w:rFonts w:hint="eastAsia" w:ascii="Arial" w:hAnsi="Arial" w:cs="Arial"/>
          <w:sz w:val="21"/>
          <w:szCs w:val="21"/>
        </w:rPr>
        <w:t>整体持续走高。2019年至2021年</w:t>
      </w:r>
      <w:r>
        <w:rPr>
          <w:rFonts w:hint="eastAsia" w:ascii="Arial" w:hAnsi="Arial" w:cs="Arial"/>
          <w:color w:val="000000" w:themeColor="text1"/>
          <w:sz w:val="21"/>
          <w:szCs w:val="21"/>
          <w14:textFill>
            <w14:solidFill>
              <w14:schemeClr w14:val="tx1"/>
            </w14:solidFill>
          </w14:textFill>
        </w:rPr>
        <w:t>平均销售价格</w:t>
      </w:r>
      <w:r>
        <w:rPr>
          <w:rFonts w:hint="eastAsia" w:ascii="Arial" w:hAnsi="Arial" w:cs="Arial"/>
          <w:sz w:val="21"/>
          <w:szCs w:val="21"/>
        </w:rPr>
        <w:t>分别为17641元/平方米、18316元/平方米和19491元/平方米；</w:t>
      </w:r>
      <w:r>
        <w:rPr>
          <w:rFonts w:hint="eastAsia" w:ascii="Arial" w:hAnsi="Arial" w:cs="Arial"/>
          <w:color w:val="000000" w:themeColor="text1"/>
          <w:sz w:val="21"/>
          <w:szCs w:val="21"/>
          <w14:textFill>
            <w14:solidFill>
              <w14:schemeClr w14:val="tx1"/>
            </w14:solidFill>
          </w14:textFill>
        </w:rPr>
        <w:t>2020年销售价格环比</w:t>
      </w:r>
      <w:r>
        <w:rPr>
          <w:rFonts w:ascii="Arial" w:hAnsi="Arial" w:cs="Arial"/>
          <w:color w:val="000000" w:themeColor="text1"/>
          <w:sz w:val="21"/>
          <w:szCs w:val="21"/>
          <w14:textFill>
            <w14:solidFill>
              <w14:schemeClr w14:val="tx1"/>
            </w14:solidFill>
          </w14:textFill>
        </w:rPr>
        <w:t>20</w:t>
      </w:r>
      <w:r>
        <w:rPr>
          <w:rFonts w:hint="eastAsia" w:ascii="Arial" w:hAnsi="Arial" w:cs="Arial"/>
          <w:color w:val="000000" w:themeColor="text1"/>
          <w:sz w:val="21"/>
          <w:szCs w:val="21"/>
          <w14:textFill>
            <w14:solidFill>
              <w14:schemeClr w14:val="tx1"/>
            </w14:solidFill>
          </w14:textFill>
        </w:rPr>
        <w:t>19年上涨3.83</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；2021年销售价格环比</w:t>
      </w:r>
      <w:r>
        <w:rPr>
          <w:rFonts w:ascii="Arial" w:hAnsi="Arial" w:cs="Arial"/>
          <w:color w:val="000000" w:themeColor="text1"/>
          <w:sz w:val="21"/>
          <w:szCs w:val="21"/>
          <w14:textFill>
            <w14:solidFill>
              <w14:schemeClr w14:val="tx1"/>
            </w14:solidFill>
          </w14:textFill>
        </w:rPr>
        <w:t>20</w:t>
      </w:r>
      <w:r>
        <w:rPr>
          <w:rFonts w:hint="eastAsia" w:ascii="Arial" w:hAnsi="Arial" w:cs="Arial"/>
          <w:color w:val="000000" w:themeColor="text1"/>
          <w:sz w:val="21"/>
          <w:szCs w:val="21"/>
          <w14:textFill>
            <w14:solidFill>
              <w14:schemeClr w14:val="tx1"/>
            </w14:solidFill>
          </w14:textFill>
        </w:rPr>
        <w:t>20年上涨6.42</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w:t>
      </w:r>
    </w:p>
    <w:p>
      <w:pPr>
        <w:widowControl w:val="0"/>
        <w:adjustRightInd w:val="0"/>
        <w:snapToGrid w:val="0"/>
        <w:spacing w:line="480" w:lineRule="auto"/>
        <w:ind w:firstLine="420" w:firstLineChars="200"/>
        <w:jc w:val="both"/>
        <w:rPr>
          <w:rFonts w:ascii="Arial" w:hAnsi="Arial" w:cs="Arial"/>
          <w:color w:val="000000" w:themeColor="text1"/>
          <w:sz w:val="21"/>
          <w:szCs w:val="21"/>
          <w14:textFill>
            <w14:solidFill>
              <w14:schemeClr w14:val="tx1"/>
            </w14:solidFill>
          </w14:textFill>
        </w:rPr>
      </w:pPr>
      <w:r>
        <w:rPr>
          <w:rFonts w:hint="eastAsia" w:ascii="Arial" w:hAnsi="Arial" w:cs="Arial"/>
          <w:sz w:val="21"/>
          <w:szCs w:val="21"/>
        </w:rPr>
        <w:t>从成交总额来看，年总销售额在2020年达到峰值后，受疫情及市场环境影响，2021年下滑9.04%，2019年销售额为1551.06亿元，2020年销售额达到1997.55亿元，2021年全年销售额下降至1816.89亿元。</w:t>
      </w:r>
    </w:p>
    <w:p>
      <w:pPr>
        <w:widowControl w:val="0"/>
        <w:adjustRightInd w:val="0"/>
        <w:snapToGrid w:val="0"/>
        <w:spacing w:line="480" w:lineRule="auto"/>
        <w:jc w:val="center"/>
        <w:rPr>
          <w:rFonts w:ascii="Arial" w:hAnsi="Arial" w:cs="Arial"/>
          <w:sz w:val="21"/>
          <w:szCs w:val="21"/>
          <w:highlight w:val="yellow"/>
        </w:rPr>
      </w:pPr>
      <w:r>
        <w:drawing>
          <wp:inline distT="0" distB="0" distL="0" distR="0">
            <wp:extent cx="5486400" cy="2500630"/>
            <wp:effectExtent l="4445" t="4445" r="10795" b="9525"/>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spacing w:line="480" w:lineRule="auto"/>
        <w:rPr>
          <w:rFonts w:ascii="华文细黑" w:hAnsi="华文细黑" w:eastAsia="华文细黑" w:cs="Arial"/>
          <w:color w:val="000000"/>
          <w:sz w:val="15"/>
          <w:szCs w:val="15"/>
        </w:rPr>
      </w:pPr>
      <w:r>
        <w:rPr>
          <w:rFonts w:hint="eastAsia" w:ascii="华文细黑" w:hAnsi="华文细黑" w:eastAsia="华文细黑" w:cs="Arial"/>
          <w:sz w:val="15"/>
          <w:szCs w:val="15"/>
        </w:rPr>
        <w:t>资料来源：</w:t>
      </w:r>
      <w:r>
        <w:rPr>
          <w:rFonts w:ascii="Arial" w:hAnsi="Arial" w:eastAsia="华文细黑" w:cs="Arial"/>
          <w:color w:val="000000"/>
          <w:sz w:val="15"/>
          <w:szCs w:val="15"/>
        </w:rPr>
        <w:t>CREIS</w:t>
      </w:r>
      <w:r>
        <w:rPr>
          <w:rFonts w:hint="eastAsia" w:ascii="华文细黑" w:hAnsi="华文细黑" w:eastAsia="华文细黑" w:cs="Arial"/>
          <w:color w:val="000000"/>
          <w:sz w:val="15"/>
          <w:szCs w:val="15"/>
        </w:rPr>
        <w:t>中指数据</w:t>
      </w:r>
    </w:p>
    <w:p>
      <w:pPr>
        <w:widowControl w:val="0"/>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（3）区域分布</w:t>
      </w:r>
    </w:p>
    <w:p>
      <w:pPr>
        <w:widowControl w:val="0"/>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从区域分布上分析，2021年至2022年8月，温州市商品住宅成交区域集中在鹿城区、乐清市、平阳县，总成交面积分别为225.73万</w:t>
      </w:r>
      <w:r>
        <w:rPr>
          <w:rFonts w:ascii="Arial" w:hAnsi="Arial" w:cs="Arial"/>
          <w:sz w:val="21"/>
          <w:szCs w:val="21"/>
        </w:rPr>
        <w:t>平方米、</w:t>
      </w:r>
      <w:r>
        <w:rPr>
          <w:rFonts w:hint="eastAsia" w:ascii="Arial" w:hAnsi="Arial" w:cs="Arial"/>
          <w:sz w:val="21"/>
          <w:szCs w:val="21"/>
        </w:rPr>
        <w:t>192.57万</w:t>
      </w:r>
      <w:r>
        <w:rPr>
          <w:rFonts w:ascii="Arial" w:hAnsi="Arial" w:cs="Arial"/>
          <w:sz w:val="21"/>
          <w:szCs w:val="21"/>
        </w:rPr>
        <w:t>平方米、</w:t>
      </w:r>
      <w:r>
        <w:rPr>
          <w:rFonts w:hint="eastAsia" w:ascii="Arial" w:hAnsi="Arial" w:cs="Arial"/>
          <w:sz w:val="21"/>
          <w:szCs w:val="21"/>
        </w:rPr>
        <w:t>158.71万</w:t>
      </w:r>
      <w:r>
        <w:rPr>
          <w:rFonts w:ascii="Arial" w:hAnsi="Arial" w:cs="Arial"/>
          <w:sz w:val="21"/>
          <w:szCs w:val="21"/>
        </w:rPr>
        <w:t>平方米</w:t>
      </w:r>
      <w:r>
        <w:rPr>
          <w:rFonts w:hint="eastAsia" w:ascii="Arial" w:hAnsi="Arial" w:cs="Arial"/>
          <w:sz w:val="21"/>
          <w:szCs w:val="21"/>
        </w:rPr>
        <w:t>；从成交价格来看，前三位是鹿城区、瓯海区、龙湾区</w:t>
      </w:r>
      <w:r>
        <w:rPr>
          <w:rFonts w:ascii="Arial" w:hAnsi="Arial" w:cs="Arial"/>
          <w:sz w:val="21"/>
          <w:szCs w:val="21"/>
        </w:rPr>
        <w:t>，</w:t>
      </w:r>
      <w:r>
        <w:rPr>
          <w:rFonts w:hint="eastAsia" w:ascii="Arial" w:hAnsi="Arial" w:cs="Arial"/>
          <w:sz w:val="21"/>
          <w:szCs w:val="21"/>
        </w:rPr>
        <w:t>成交均价分别为27690元/平方米、23986元/平方米、22755元/平方米。</w:t>
      </w:r>
    </w:p>
    <w:p>
      <w:pPr>
        <w:widowControl w:val="0"/>
        <w:adjustRightInd w:val="0"/>
        <w:snapToGrid w:val="0"/>
        <w:spacing w:line="480" w:lineRule="auto"/>
        <w:jc w:val="center"/>
        <w:rPr>
          <w:rFonts w:ascii="Arial" w:hAnsi="Arial" w:cs="Arial"/>
          <w:sz w:val="21"/>
          <w:szCs w:val="21"/>
          <w:highlight w:val="yellow"/>
        </w:rPr>
      </w:pPr>
      <w:r>
        <w:drawing>
          <wp:inline distT="0" distB="0" distL="0" distR="0">
            <wp:extent cx="5486400" cy="2765425"/>
            <wp:effectExtent l="4445" t="4445" r="10795" b="1905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adjustRightInd w:val="0"/>
        <w:snapToGrid w:val="0"/>
        <w:spacing w:line="480" w:lineRule="auto"/>
        <w:rPr>
          <w:rFonts w:ascii="华文细黑" w:hAnsi="华文细黑" w:eastAsia="华文细黑" w:cs="Arial"/>
          <w:color w:val="000000"/>
          <w:sz w:val="15"/>
          <w:szCs w:val="15"/>
        </w:rPr>
      </w:pPr>
      <w:r>
        <w:rPr>
          <w:rFonts w:hint="eastAsia" w:ascii="华文细黑" w:hAnsi="华文细黑" w:eastAsia="华文细黑" w:cs="Arial"/>
          <w:sz w:val="15"/>
          <w:szCs w:val="15"/>
        </w:rPr>
        <w:t>资料来源：</w:t>
      </w:r>
      <w:r>
        <w:rPr>
          <w:rFonts w:ascii="Arial" w:hAnsi="Arial" w:eastAsia="华文细黑" w:cs="Arial"/>
          <w:color w:val="000000"/>
          <w:sz w:val="15"/>
          <w:szCs w:val="15"/>
        </w:rPr>
        <w:t>CREIS</w:t>
      </w:r>
      <w:r>
        <w:rPr>
          <w:rFonts w:hint="eastAsia" w:ascii="华文细黑" w:hAnsi="华文细黑" w:eastAsia="华文细黑" w:cs="Arial"/>
          <w:color w:val="000000"/>
          <w:sz w:val="15"/>
          <w:szCs w:val="15"/>
        </w:rPr>
        <w:t>中指数据</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2、2022年1-8月房地产市场情况</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2022年1-8月,鹿城区、龙湾区、瓯海区等区域为温州商品住宅成交均价最高区域。其中，成交均价同比上涨的区域有洞头区、文成县、龙湾区等，同比分别上涨58.0%、40.0%、15.5%；成交均价同比下跌的区域有鹿城区、龙港市、泰顺县等，同比分别下跌18.3%、16.8%、0.2%。</w:t>
      </w:r>
    </w:p>
    <w:p>
      <w:pPr>
        <w:adjustRightInd w:val="0"/>
        <w:snapToGrid w:val="0"/>
        <w:spacing w:line="480" w:lineRule="auto"/>
        <w:ind w:firstLine="480" w:firstLineChars="200"/>
        <w:jc w:val="both"/>
        <w:rPr>
          <w:rFonts w:ascii="Arial" w:hAnsi="Arial" w:cs="Arial"/>
          <w:color w:val="000000"/>
          <w:sz w:val="21"/>
          <w:szCs w:val="21"/>
        </w:rPr>
      </w:pPr>
      <w:r>
        <w:drawing>
          <wp:inline distT="0" distB="0" distL="114300" distR="114300">
            <wp:extent cx="4853940" cy="2810510"/>
            <wp:effectExtent l="4445" t="4445" r="18415" b="19685"/>
            <wp:docPr id="30"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2022年1-8月,乐清市、鹿城区、平阳县等区域为温州商品住宅成交主力区域，共成交188.64万㎡，占城市成交面积的51.7%。其中，成交面积同比增长的区域有龙港市等，同比分别增长28.4%；成交面积同比下降的区域有龙湾区、泰顺县、瓯海区等，同比分别下降75.0%、67.3%、62.0%。</w:t>
      </w:r>
    </w:p>
    <w:p>
      <w:pPr>
        <w:adjustRightInd w:val="0"/>
        <w:snapToGrid w:val="0"/>
        <w:spacing w:line="480" w:lineRule="auto"/>
        <w:ind w:firstLine="480" w:firstLineChars="200"/>
        <w:jc w:val="both"/>
      </w:pPr>
      <w:r>
        <w:drawing>
          <wp:inline distT="0" distB="0" distL="114300" distR="114300">
            <wp:extent cx="5151755" cy="2759710"/>
            <wp:effectExtent l="4445" t="4445" r="10160" b="9525"/>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2"/>
        <w:ind w:firstLine="280"/>
      </w:pPr>
    </w:p>
    <w:tbl>
      <w:tblPr>
        <w:tblStyle w:val="3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24"/>
        <w:gridCol w:w="765"/>
        <w:gridCol w:w="704"/>
        <w:gridCol w:w="830"/>
        <w:gridCol w:w="882"/>
        <w:gridCol w:w="935"/>
        <w:gridCol w:w="935"/>
        <w:gridCol w:w="935"/>
        <w:gridCol w:w="839"/>
        <w:gridCol w:w="669"/>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exact"/>
          <w:jc w:val="center"/>
        </w:trPr>
        <w:tc>
          <w:tcPr>
            <w:tcW w:w="9298" w:type="dxa"/>
            <w:gridSpan w:val="11"/>
            <w:shd w:val="clear" w:color="auto" w:fill="auto"/>
            <w:vAlign w:val="center"/>
          </w:tcPr>
          <w:p>
            <w:pPr>
              <w:jc w:val="center"/>
              <w:textAlignment w:val="center"/>
              <w:rPr>
                <w:rFonts w:ascii="Arial" w:hAnsi="Arial" w:cs="Arial"/>
                <w:b/>
                <w:bCs/>
                <w:sz w:val="18"/>
                <w:szCs w:val="18"/>
                <w:lang w:bidi="ar"/>
              </w:rPr>
            </w:pPr>
            <w:r>
              <w:rPr>
                <w:rFonts w:ascii="Arial" w:hAnsi="Arial" w:cs="Arial"/>
                <w:b/>
                <w:bCs/>
                <w:sz w:val="18"/>
                <w:szCs w:val="18"/>
                <w:lang w:bidi="ar"/>
              </w:rPr>
              <w:t>2022年8月温州市新房面积、总价成交结构</w:t>
            </w:r>
          </w:p>
          <w:p>
            <w:pPr>
              <w:jc w:val="both"/>
              <w:textAlignment w:val="center"/>
              <w:rPr>
                <w:rFonts w:ascii="Arial" w:hAnsi="Arial" w:cs="Arial"/>
                <w:b/>
                <w:bCs/>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exact"/>
          <w:jc w:val="center"/>
        </w:trPr>
        <w:tc>
          <w:tcPr>
            <w:tcW w:w="1024"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面积段总价段</w:t>
            </w:r>
          </w:p>
        </w:tc>
        <w:tc>
          <w:tcPr>
            <w:tcW w:w="765"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60㎡以下</w:t>
            </w:r>
          </w:p>
        </w:tc>
        <w:tc>
          <w:tcPr>
            <w:tcW w:w="704"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60-80㎡</w:t>
            </w:r>
          </w:p>
        </w:tc>
        <w:tc>
          <w:tcPr>
            <w:tcW w:w="830"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80-90㎡</w:t>
            </w:r>
          </w:p>
        </w:tc>
        <w:tc>
          <w:tcPr>
            <w:tcW w:w="882"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90-100㎡</w:t>
            </w:r>
          </w:p>
        </w:tc>
        <w:tc>
          <w:tcPr>
            <w:tcW w:w="935"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100-120㎡</w:t>
            </w:r>
          </w:p>
        </w:tc>
        <w:tc>
          <w:tcPr>
            <w:tcW w:w="935"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120-140㎡</w:t>
            </w:r>
          </w:p>
        </w:tc>
        <w:tc>
          <w:tcPr>
            <w:tcW w:w="935"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140-180㎡</w:t>
            </w:r>
          </w:p>
        </w:tc>
        <w:tc>
          <w:tcPr>
            <w:tcW w:w="839"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180㎡以上</w:t>
            </w:r>
          </w:p>
        </w:tc>
        <w:tc>
          <w:tcPr>
            <w:tcW w:w="669"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汇总</w:t>
            </w:r>
          </w:p>
        </w:tc>
        <w:tc>
          <w:tcPr>
            <w:tcW w:w="780" w:type="dxa"/>
            <w:shd w:val="clear" w:color="auto" w:fill="auto"/>
            <w:vAlign w:val="center"/>
          </w:tcPr>
          <w:p>
            <w:pPr>
              <w:jc w:val="both"/>
              <w:textAlignment w:val="center"/>
              <w:rPr>
                <w:rFonts w:ascii="Arial" w:hAnsi="Arial" w:cs="Arial"/>
                <w:b/>
                <w:bCs/>
                <w:sz w:val="15"/>
                <w:szCs w:val="15"/>
                <w:lang w:bidi="ar"/>
              </w:rPr>
            </w:pPr>
            <w:r>
              <w:rPr>
                <w:rFonts w:ascii="Arial" w:hAnsi="Arial" w:cs="Arial"/>
                <w:b/>
                <w:bCs/>
                <w:sz w:val="15"/>
                <w:szCs w:val="15"/>
                <w:lang w:bidi="ar"/>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exact"/>
          <w:jc w:val="center"/>
        </w:trPr>
        <w:tc>
          <w:tcPr>
            <w:tcW w:w="1024"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40万以下</w:t>
            </w:r>
          </w:p>
        </w:tc>
        <w:tc>
          <w:tcPr>
            <w:tcW w:w="76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w:t>
            </w:r>
          </w:p>
        </w:tc>
        <w:tc>
          <w:tcPr>
            <w:tcW w:w="704"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w:t>
            </w:r>
          </w:p>
        </w:tc>
        <w:tc>
          <w:tcPr>
            <w:tcW w:w="83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w:t>
            </w:r>
          </w:p>
        </w:tc>
        <w:tc>
          <w:tcPr>
            <w:tcW w:w="882"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w:t>
            </w:r>
          </w:p>
        </w:tc>
        <w:tc>
          <w:tcPr>
            <w:tcW w:w="839"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w:t>
            </w:r>
          </w:p>
        </w:tc>
        <w:tc>
          <w:tcPr>
            <w:tcW w:w="669"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w:t>
            </w:r>
          </w:p>
        </w:tc>
        <w:tc>
          <w:tcPr>
            <w:tcW w:w="78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exact"/>
          <w:jc w:val="center"/>
        </w:trPr>
        <w:tc>
          <w:tcPr>
            <w:tcW w:w="1024"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40-60万</w:t>
            </w:r>
          </w:p>
        </w:tc>
        <w:tc>
          <w:tcPr>
            <w:tcW w:w="76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6</w:t>
            </w:r>
          </w:p>
        </w:tc>
        <w:tc>
          <w:tcPr>
            <w:tcW w:w="704"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5</w:t>
            </w:r>
          </w:p>
        </w:tc>
        <w:tc>
          <w:tcPr>
            <w:tcW w:w="83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w:t>
            </w:r>
          </w:p>
        </w:tc>
        <w:tc>
          <w:tcPr>
            <w:tcW w:w="882"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4</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4</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4</w:t>
            </w:r>
          </w:p>
        </w:tc>
        <w:tc>
          <w:tcPr>
            <w:tcW w:w="839"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w:t>
            </w:r>
          </w:p>
        </w:tc>
        <w:tc>
          <w:tcPr>
            <w:tcW w:w="669"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23</w:t>
            </w:r>
          </w:p>
        </w:tc>
        <w:tc>
          <w:tcPr>
            <w:tcW w:w="78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exact"/>
          <w:jc w:val="center"/>
        </w:trPr>
        <w:tc>
          <w:tcPr>
            <w:tcW w:w="1024"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60-80万</w:t>
            </w:r>
          </w:p>
        </w:tc>
        <w:tc>
          <w:tcPr>
            <w:tcW w:w="76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w:t>
            </w:r>
          </w:p>
        </w:tc>
        <w:tc>
          <w:tcPr>
            <w:tcW w:w="704"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5</w:t>
            </w:r>
          </w:p>
        </w:tc>
        <w:tc>
          <w:tcPr>
            <w:tcW w:w="83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36</w:t>
            </w:r>
          </w:p>
        </w:tc>
        <w:tc>
          <w:tcPr>
            <w:tcW w:w="882"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6</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4</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w:t>
            </w:r>
          </w:p>
        </w:tc>
        <w:tc>
          <w:tcPr>
            <w:tcW w:w="839"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w:t>
            </w:r>
          </w:p>
        </w:tc>
        <w:tc>
          <w:tcPr>
            <w:tcW w:w="669"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58</w:t>
            </w:r>
          </w:p>
        </w:tc>
        <w:tc>
          <w:tcPr>
            <w:tcW w:w="78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exact"/>
          <w:jc w:val="center"/>
        </w:trPr>
        <w:tc>
          <w:tcPr>
            <w:tcW w:w="1024"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80-100万</w:t>
            </w:r>
          </w:p>
        </w:tc>
        <w:tc>
          <w:tcPr>
            <w:tcW w:w="76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w:t>
            </w:r>
          </w:p>
        </w:tc>
        <w:tc>
          <w:tcPr>
            <w:tcW w:w="704"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8</w:t>
            </w:r>
          </w:p>
        </w:tc>
        <w:tc>
          <w:tcPr>
            <w:tcW w:w="83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106</w:t>
            </w:r>
          </w:p>
        </w:tc>
        <w:tc>
          <w:tcPr>
            <w:tcW w:w="882"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20</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217</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37</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5</w:t>
            </w:r>
          </w:p>
        </w:tc>
        <w:tc>
          <w:tcPr>
            <w:tcW w:w="839"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w:t>
            </w:r>
          </w:p>
        </w:tc>
        <w:tc>
          <w:tcPr>
            <w:tcW w:w="669"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393</w:t>
            </w:r>
          </w:p>
        </w:tc>
        <w:tc>
          <w:tcPr>
            <w:tcW w:w="78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exact"/>
          <w:jc w:val="center"/>
        </w:trPr>
        <w:tc>
          <w:tcPr>
            <w:tcW w:w="1024"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100-120万</w:t>
            </w:r>
          </w:p>
        </w:tc>
        <w:tc>
          <w:tcPr>
            <w:tcW w:w="76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w:t>
            </w:r>
          </w:p>
        </w:tc>
        <w:tc>
          <w:tcPr>
            <w:tcW w:w="704"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w:t>
            </w:r>
          </w:p>
        </w:tc>
        <w:tc>
          <w:tcPr>
            <w:tcW w:w="83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165</w:t>
            </w:r>
          </w:p>
        </w:tc>
        <w:tc>
          <w:tcPr>
            <w:tcW w:w="882"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71</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91</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6</w:t>
            </w:r>
          </w:p>
        </w:tc>
        <w:tc>
          <w:tcPr>
            <w:tcW w:w="839"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w:t>
            </w:r>
          </w:p>
        </w:tc>
        <w:tc>
          <w:tcPr>
            <w:tcW w:w="669"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336</w:t>
            </w:r>
          </w:p>
        </w:tc>
        <w:tc>
          <w:tcPr>
            <w:tcW w:w="78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exact"/>
          <w:jc w:val="center"/>
        </w:trPr>
        <w:tc>
          <w:tcPr>
            <w:tcW w:w="1024"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120-150万</w:t>
            </w:r>
          </w:p>
        </w:tc>
        <w:tc>
          <w:tcPr>
            <w:tcW w:w="76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w:t>
            </w:r>
          </w:p>
        </w:tc>
        <w:tc>
          <w:tcPr>
            <w:tcW w:w="704"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w:t>
            </w:r>
          </w:p>
        </w:tc>
        <w:tc>
          <w:tcPr>
            <w:tcW w:w="83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115</w:t>
            </w:r>
          </w:p>
        </w:tc>
        <w:tc>
          <w:tcPr>
            <w:tcW w:w="882"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36</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202</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43</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36</w:t>
            </w:r>
          </w:p>
        </w:tc>
        <w:tc>
          <w:tcPr>
            <w:tcW w:w="839"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w:t>
            </w:r>
          </w:p>
        </w:tc>
        <w:tc>
          <w:tcPr>
            <w:tcW w:w="669"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433</w:t>
            </w:r>
          </w:p>
        </w:tc>
        <w:tc>
          <w:tcPr>
            <w:tcW w:w="78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exact"/>
          <w:jc w:val="center"/>
        </w:trPr>
        <w:tc>
          <w:tcPr>
            <w:tcW w:w="1024"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150-200万</w:t>
            </w:r>
          </w:p>
        </w:tc>
        <w:tc>
          <w:tcPr>
            <w:tcW w:w="76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w:t>
            </w:r>
          </w:p>
        </w:tc>
        <w:tc>
          <w:tcPr>
            <w:tcW w:w="704"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w:t>
            </w:r>
          </w:p>
        </w:tc>
        <w:tc>
          <w:tcPr>
            <w:tcW w:w="83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30</w:t>
            </w:r>
          </w:p>
        </w:tc>
        <w:tc>
          <w:tcPr>
            <w:tcW w:w="882"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60</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182</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155</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28</w:t>
            </w:r>
          </w:p>
        </w:tc>
        <w:tc>
          <w:tcPr>
            <w:tcW w:w="839"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6</w:t>
            </w:r>
          </w:p>
        </w:tc>
        <w:tc>
          <w:tcPr>
            <w:tcW w:w="669"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464</w:t>
            </w:r>
          </w:p>
        </w:tc>
        <w:tc>
          <w:tcPr>
            <w:tcW w:w="78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exact"/>
          <w:jc w:val="center"/>
        </w:trPr>
        <w:tc>
          <w:tcPr>
            <w:tcW w:w="1024"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200-250万</w:t>
            </w:r>
          </w:p>
        </w:tc>
        <w:tc>
          <w:tcPr>
            <w:tcW w:w="76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w:t>
            </w:r>
          </w:p>
        </w:tc>
        <w:tc>
          <w:tcPr>
            <w:tcW w:w="704"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w:t>
            </w:r>
          </w:p>
        </w:tc>
        <w:tc>
          <w:tcPr>
            <w:tcW w:w="83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17</w:t>
            </w:r>
          </w:p>
        </w:tc>
        <w:tc>
          <w:tcPr>
            <w:tcW w:w="882"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22</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142</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99</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35</w:t>
            </w:r>
          </w:p>
        </w:tc>
        <w:tc>
          <w:tcPr>
            <w:tcW w:w="839"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6</w:t>
            </w:r>
          </w:p>
        </w:tc>
        <w:tc>
          <w:tcPr>
            <w:tcW w:w="669"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322</w:t>
            </w:r>
          </w:p>
        </w:tc>
        <w:tc>
          <w:tcPr>
            <w:tcW w:w="78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exact"/>
          <w:jc w:val="center"/>
        </w:trPr>
        <w:tc>
          <w:tcPr>
            <w:tcW w:w="1024"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250-300万</w:t>
            </w:r>
          </w:p>
        </w:tc>
        <w:tc>
          <w:tcPr>
            <w:tcW w:w="76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w:t>
            </w:r>
          </w:p>
        </w:tc>
        <w:tc>
          <w:tcPr>
            <w:tcW w:w="704"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w:t>
            </w:r>
          </w:p>
        </w:tc>
        <w:tc>
          <w:tcPr>
            <w:tcW w:w="83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12</w:t>
            </w:r>
          </w:p>
        </w:tc>
        <w:tc>
          <w:tcPr>
            <w:tcW w:w="882"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8</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91</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97</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28</w:t>
            </w:r>
          </w:p>
        </w:tc>
        <w:tc>
          <w:tcPr>
            <w:tcW w:w="839"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10</w:t>
            </w:r>
          </w:p>
        </w:tc>
        <w:tc>
          <w:tcPr>
            <w:tcW w:w="669"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246</w:t>
            </w:r>
          </w:p>
        </w:tc>
        <w:tc>
          <w:tcPr>
            <w:tcW w:w="78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exact"/>
          <w:jc w:val="center"/>
        </w:trPr>
        <w:tc>
          <w:tcPr>
            <w:tcW w:w="1024"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300万以上</w:t>
            </w:r>
          </w:p>
        </w:tc>
        <w:tc>
          <w:tcPr>
            <w:tcW w:w="76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w:t>
            </w:r>
          </w:p>
        </w:tc>
        <w:tc>
          <w:tcPr>
            <w:tcW w:w="704"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w:t>
            </w:r>
          </w:p>
        </w:tc>
        <w:tc>
          <w:tcPr>
            <w:tcW w:w="83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w:t>
            </w:r>
          </w:p>
        </w:tc>
        <w:tc>
          <w:tcPr>
            <w:tcW w:w="882"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5</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49</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179</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114</w:t>
            </w:r>
          </w:p>
        </w:tc>
        <w:tc>
          <w:tcPr>
            <w:tcW w:w="839"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80</w:t>
            </w:r>
          </w:p>
        </w:tc>
        <w:tc>
          <w:tcPr>
            <w:tcW w:w="669"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427</w:t>
            </w:r>
          </w:p>
        </w:tc>
        <w:tc>
          <w:tcPr>
            <w:tcW w:w="78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exact"/>
          <w:jc w:val="center"/>
        </w:trPr>
        <w:tc>
          <w:tcPr>
            <w:tcW w:w="1024"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汇总</w:t>
            </w:r>
          </w:p>
        </w:tc>
        <w:tc>
          <w:tcPr>
            <w:tcW w:w="76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9</w:t>
            </w:r>
          </w:p>
        </w:tc>
        <w:tc>
          <w:tcPr>
            <w:tcW w:w="704"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25</w:t>
            </w:r>
          </w:p>
        </w:tc>
        <w:tc>
          <w:tcPr>
            <w:tcW w:w="83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481</w:t>
            </w:r>
          </w:p>
        </w:tc>
        <w:tc>
          <w:tcPr>
            <w:tcW w:w="882"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155</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964</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709</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258</w:t>
            </w:r>
          </w:p>
        </w:tc>
        <w:tc>
          <w:tcPr>
            <w:tcW w:w="839"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102</w:t>
            </w:r>
          </w:p>
        </w:tc>
        <w:tc>
          <w:tcPr>
            <w:tcW w:w="669"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2703</w:t>
            </w:r>
          </w:p>
        </w:tc>
        <w:tc>
          <w:tcPr>
            <w:tcW w:w="78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exact"/>
          <w:jc w:val="center"/>
        </w:trPr>
        <w:tc>
          <w:tcPr>
            <w:tcW w:w="1024"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占比(%)</w:t>
            </w:r>
          </w:p>
        </w:tc>
        <w:tc>
          <w:tcPr>
            <w:tcW w:w="76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0.3</w:t>
            </w:r>
          </w:p>
        </w:tc>
        <w:tc>
          <w:tcPr>
            <w:tcW w:w="704"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0.9</w:t>
            </w:r>
          </w:p>
        </w:tc>
        <w:tc>
          <w:tcPr>
            <w:tcW w:w="83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17.8</w:t>
            </w:r>
          </w:p>
        </w:tc>
        <w:tc>
          <w:tcPr>
            <w:tcW w:w="882"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5.7</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35.7</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26.2</w:t>
            </w:r>
          </w:p>
        </w:tc>
        <w:tc>
          <w:tcPr>
            <w:tcW w:w="9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9.5</w:t>
            </w:r>
          </w:p>
        </w:tc>
        <w:tc>
          <w:tcPr>
            <w:tcW w:w="839"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3.8</w:t>
            </w:r>
          </w:p>
        </w:tc>
        <w:tc>
          <w:tcPr>
            <w:tcW w:w="669"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100</w:t>
            </w:r>
          </w:p>
        </w:tc>
        <w:tc>
          <w:tcPr>
            <w:tcW w:w="0" w:type="auto"/>
            <w:shd w:val="clear" w:color="auto" w:fill="auto"/>
            <w:noWrap/>
            <w:vAlign w:val="center"/>
          </w:tcPr>
          <w:p>
            <w:pPr>
              <w:jc w:val="both"/>
              <w:textAlignment w:val="center"/>
              <w:rPr>
                <w:rFonts w:ascii="Arial" w:hAnsi="Arial" w:cs="Arial"/>
                <w:sz w:val="15"/>
                <w:szCs w:val="15"/>
                <w:lang w:bidi="ar"/>
              </w:rPr>
            </w:pPr>
            <w:r>
              <w:rPr>
                <w:rFonts w:hint="eastAsia" w:ascii="Arial" w:hAnsi="Arial" w:cs="Arial"/>
                <w:sz w:val="15"/>
                <w:szCs w:val="15"/>
                <w:lang w:bidi="ar"/>
              </w:rPr>
              <w:t>——</w:t>
            </w:r>
          </w:p>
        </w:tc>
      </w:tr>
    </w:tbl>
    <w:p>
      <w:pPr>
        <w:widowControl w:val="0"/>
        <w:snapToGrid w:val="0"/>
        <w:spacing w:line="480" w:lineRule="auto"/>
        <w:jc w:val="both"/>
        <w:rPr>
          <w:rFonts w:ascii="Arial" w:hAnsi="Arial" w:cs="Arial"/>
          <w:sz w:val="21"/>
          <w:szCs w:val="21"/>
        </w:rPr>
      </w:pP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2022年1-8月,乐清市、平阳县、龙湾区等区域为温州商品住宅供应主力区域，共供应154.95万㎡，占城市供应面积的50.0%。其中，新批上市面积同比增长的区域有洞头区、平阳县等，同比分别增长11.0%、2.7%；新批上市面积同比下降的区域有文成县、瓯海区、鹿城区等，同比分别下降83.4%、82.4%、79.2%。</w:t>
      </w:r>
    </w:p>
    <w:tbl>
      <w:tblPr>
        <w:tblStyle w:val="3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1162"/>
        <w:gridCol w:w="1162"/>
        <w:gridCol w:w="1162"/>
        <w:gridCol w:w="1162"/>
        <w:gridCol w:w="1162"/>
        <w:gridCol w:w="1162"/>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449" w:type="dxa"/>
            <w:gridSpan w:val="8"/>
            <w:shd w:val="clear" w:color="auto" w:fill="auto"/>
            <w:vAlign w:val="center"/>
          </w:tcPr>
          <w:p>
            <w:pPr>
              <w:jc w:val="center"/>
              <w:textAlignment w:val="center"/>
              <w:rPr>
                <w:rFonts w:ascii="Arial" w:hAnsi="Arial" w:cs="Arial"/>
                <w:b/>
                <w:bCs/>
                <w:sz w:val="15"/>
                <w:szCs w:val="15"/>
              </w:rPr>
            </w:pPr>
            <w:r>
              <w:rPr>
                <w:rFonts w:ascii="Arial" w:hAnsi="Arial" w:cs="Arial"/>
                <w:b/>
                <w:bCs/>
                <w:sz w:val="18"/>
                <w:szCs w:val="18"/>
              </w:rPr>
              <w:t>2022年1-8月温州市商品住宅分区域新批上市面积情况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56" w:type="dxa"/>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区域</w:t>
            </w:r>
          </w:p>
        </w:tc>
        <w:tc>
          <w:tcPr>
            <w:tcW w:w="1056" w:type="dxa"/>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1-8月上市面积(万㎡)</w:t>
            </w:r>
          </w:p>
        </w:tc>
        <w:tc>
          <w:tcPr>
            <w:tcW w:w="1056" w:type="dxa"/>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占比(%)</w:t>
            </w:r>
          </w:p>
        </w:tc>
        <w:tc>
          <w:tcPr>
            <w:tcW w:w="1056" w:type="dxa"/>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同比(%)</w:t>
            </w:r>
          </w:p>
        </w:tc>
        <w:tc>
          <w:tcPr>
            <w:tcW w:w="1056" w:type="dxa"/>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8月上市面积(万㎡)</w:t>
            </w:r>
          </w:p>
        </w:tc>
        <w:tc>
          <w:tcPr>
            <w:tcW w:w="1056" w:type="dxa"/>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占比(%)</w:t>
            </w:r>
          </w:p>
        </w:tc>
        <w:tc>
          <w:tcPr>
            <w:tcW w:w="1056" w:type="dxa"/>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同比(%)</w:t>
            </w:r>
          </w:p>
        </w:tc>
        <w:tc>
          <w:tcPr>
            <w:tcW w:w="1057" w:type="dxa"/>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环比(%)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乐清市</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65.23</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21.1</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7.21</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19.9</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-42</w:t>
            </w:r>
          </w:p>
        </w:tc>
        <w:tc>
          <w:tcPr>
            <w:tcW w:w="105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平阳县</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59.64</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19.3</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2.7</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7.03</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19.4</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-29.7</w:t>
            </w:r>
          </w:p>
        </w:tc>
        <w:tc>
          <w:tcPr>
            <w:tcW w:w="105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龙湾区</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30.08</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9.7</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-60</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2.24</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6.2</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-71.8</w:t>
            </w:r>
          </w:p>
        </w:tc>
        <w:tc>
          <w:tcPr>
            <w:tcW w:w="105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瑞安市</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29.53</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9.5</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-54.8</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7.13</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19.7</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-42.4</w:t>
            </w:r>
          </w:p>
        </w:tc>
        <w:tc>
          <w:tcPr>
            <w:tcW w:w="105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苍南县</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22.86</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7.4</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-46.2</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2.7</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7.5</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21.4</w:t>
            </w:r>
          </w:p>
        </w:tc>
        <w:tc>
          <w:tcPr>
            <w:tcW w:w="105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洞头区</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21.48</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6.9</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11</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4.98</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13.8</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53.2</w:t>
            </w:r>
          </w:p>
        </w:tc>
        <w:tc>
          <w:tcPr>
            <w:tcW w:w="105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龙港市</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21.12</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6.8</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-26.2</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3.02</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8.3</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-81.6</w:t>
            </w:r>
          </w:p>
        </w:tc>
        <w:tc>
          <w:tcPr>
            <w:tcW w:w="105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鹿城区</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18.76</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6.1</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-79.2</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c>
          <w:tcPr>
            <w:tcW w:w="105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永嘉县</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16.24</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5.2</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-36.2</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c>
          <w:tcPr>
            <w:tcW w:w="105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瓯海区</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14.47</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4.7</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-82.4</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c>
          <w:tcPr>
            <w:tcW w:w="105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泰顺县</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5.15</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1.7</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-62.9</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1.86</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5.1</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c>
          <w:tcPr>
            <w:tcW w:w="105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开发区</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3.04</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-74.9</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c>
          <w:tcPr>
            <w:tcW w:w="105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文成县</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2.1</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0.7</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-83.4</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c>
          <w:tcPr>
            <w:tcW w:w="1056"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c>
          <w:tcPr>
            <w:tcW w:w="1057" w:type="dxa"/>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r>
    </w:tbl>
    <w:p>
      <w:pPr>
        <w:widowControl w:val="0"/>
        <w:snapToGrid w:val="0"/>
        <w:spacing w:line="480" w:lineRule="auto"/>
        <w:jc w:val="both"/>
        <w:rPr>
          <w:rFonts w:ascii="Arial" w:hAnsi="Arial" w:cs="Arial"/>
          <w:b/>
          <w:bCs/>
          <w:sz w:val="21"/>
          <w:szCs w:val="21"/>
        </w:rPr>
      </w:pPr>
    </w:p>
    <w:p>
      <w:pPr>
        <w:adjustRightInd w:val="0"/>
        <w:snapToGrid w:val="0"/>
        <w:spacing w:line="480" w:lineRule="auto"/>
        <w:ind w:firstLine="420" w:firstLineChars="200"/>
        <w:jc w:val="center"/>
        <w:rPr>
          <w:rFonts w:ascii="Arial" w:hAnsi="Arial" w:cs="Arial"/>
          <w:color w:val="000000"/>
          <w:sz w:val="21"/>
          <w:szCs w:val="21"/>
        </w:rPr>
      </w:pPr>
      <w:r>
        <w:rPr>
          <w:rFonts w:hint="eastAsia" w:ascii="Arial" w:hAnsi="Arial" w:cs="Arial"/>
          <w:color w:val="000000"/>
          <w:sz w:val="21"/>
          <w:szCs w:val="21"/>
        </w:rPr>
        <w:t>2022年1-8月温州市商品住宅分区域销供比情况</w:t>
      </w:r>
    </w:p>
    <w:tbl>
      <w:tblPr>
        <w:tblStyle w:val="36"/>
        <w:tblW w:w="9298" w:type="dxa"/>
        <w:jc w:val="center"/>
        <w:tblLayout w:type="autofit"/>
        <w:tblCellMar>
          <w:top w:w="0" w:type="dxa"/>
          <w:left w:w="108" w:type="dxa"/>
          <w:bottom w:w="0" w:type="dxa"/>
          <w:right w:w="108" w:type="dxa"/>
        </w:tblCellMar>
      </w:tblPr>
      <w:tblGrid>
        <w:gridCol w:w="1328"/>
        <w:gridCol w:w="1328"/>
        <w:gridCol w:w="1503"/>
        <w:gridCol w:w="1153"/>
        <w:gridCol w:w="1194"/>
        <w:gridCol w:w="1605"/>
        <w:gridCol w:w="1187"/>
      </w:tblGrid>
      <w:tr>
        <w:tblPrEx>
          <w:tblCellMar>
            <w:top w:w="0" w:type="dxa"/>
            <w:left w:w="108" w:type="dxa"/>
            <w:bottom w:w="0" w:type="dxa"/>
            <w:right w:w="108" w:type="dxa"/>
          </w:tblCellMar>
        </w:tblPrEx>
        <w:trPr>
          <w:trHeight w:val="363" w:hRule="atLeast"/>
          <w:jc w:val="center"/>
        </w:trPr>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区域</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1-8月销供比</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去年同期销供比</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变动</w:t>
            </w:r>
          </w:p>
        </w:tc>
        <w:tc>
          <w:tcPr>
            <w:tcW w:w="1194"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8月销供比</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去年同期销供比</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b/>
                <w:bCs/>
                <w:sz w:val="15"/>
                <w:szCs w:val="15"/>
              </w:rPr>
            </w:pPr>
            <w:r>
              <w:rPr>
                <w:rFonts w:ascii="Arial" w:hAnsi="Arial" w:cs="Arial"/>
                <w:b/>
                <w:bCs/>
                <w:sz w:val="15"/>
                <w:szCs w:val="15"/>
                <w:lang w:bidi="ar"/>
              </w:rPr>
              <w:t>上月销供比</w:t>
            </w:r>
          </w:p>
        </w:tc>
      </w:tr>
      <w:tr>
        <w:tblPrEx>
          <w:tblCellMar>
            <w:top w:w="0" w:type="dxa"/>
            <w:left w:w="108" w:type="dxa"/>
            <w:bottom w:w="0" w:type="dxa"/>
            <w:right w:w="108" w:type="dxa"/>
          </w:tblCellMar>
        </w:tblPrEx>
        <w:trPr>
          <w:trHeight w:val="363" w:hRule="atLeast"/>
          <w:jc w:val="center"/>
        </w:trPr>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鹿城区</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3.46</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1.53</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1.94</w:t>
            </w:r>
          </w:p>
        </w:tc>
        <w:tc>
          <w:tcPr>
            <w:tcW w:w="1194"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2.4</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28.67</w:t>
            </w:r>
          </w:p>
        </w:tc>
      </w:tr>
      <w:tr>
        <w:tblPrEx>
          <w:tblCellMar>
            <w:top w:w="0" w:type="dxa"/>
            <w:left w:w="108" w:type="dxa"/>
            <w:bottom w:w="0" w:type="dxa"/>
            <w:right w:w="108" w:type="dxa"/>
          </w:tblCellMar>
        </w:tblPrEx>
        <w:trPr>
          <w:trHeight w:val="363" w:hRule="atLeast"/>
          <w:jc w:val="center"/>
        </w:trPr>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文成县</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2.22</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0.72</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1.5</w:t>
            </w:r>
          </w:p>
        </w:tc>
        <w:tc>
          <w:tcPr>
            <w:tcW w:w="1194"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r>
      <w:tr>
        <w:tblPrEx>
          <w:tblCellMar>
            <w:top w:w="0" w:type="dxa"/>
            <w:left w:w="108" w:type="dxa"/>
            <w:bottom w:w="0" w:type="dxa"/>
            <w:right w:w="108" w:type="dxa"/>
          </w:tblCellMar>
        </w:tblPrEx>
        <w:trPr>
          <w:trHeight w:val="363" w:hRule="atLeast"/>
          <w:jc w:val="center"/>
        </w:trPr>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瓯海区</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1.96</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0.91</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1.05</w:t>
            </w:r>
          </w:p>
        </w:tc>
        <w:tc>
          <w:tcPr>
            <w:tcW w:w="1194"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0.48</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0.51</w:t>
            </w:r>
          </w:p>
        </w:tc>
      </w:tr>
      <w:tr>
        <w:tblPrEx>
          <w:tblCellMar>
            <w:top w:w="0" w:type="dxa"/>
            <w:left w:w="108" w:type="dxa"/>
            <w:bottom w:w="0" w:type="dxa"/>
            <w:right w:w="108" w:type="dxa"/>
          </w:tblCellMar>
        </w:tblPrEx>
        <w:trPr>
          <w:trHeight w:val="363" w:hRule="atLeast"/>
          <w:jc w:val="center"/>
        </w:trPr>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泰顺县</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1.62</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1.83</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-0.22</w:t>
            </w:r>
          </w:p>
        </w:tc>
        <w:tc>
          <w:tcPr>
            <w:tcW w:w="1194"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0.4</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r>
      <w:tr>
        <w:tblPrEx>
          <w:tblCellMar>
            <w:top w:w="0" w:type="dxa"/>
            <w:left w:w="108" w:type="dxa"/>
            <w:bottom w:w="0" w:type="dxa"/>
            <w:right w:w="108" w:type="dxa"/>
          </w:tblCellMar>
        </w:tblPrEx>
        <w:trPr>
          <w:trHeight w:val="363" w:hRule="atLeast"/>
          <w:jc w:val="center"/>
        </w:trPr>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开发区</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1.24</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1.33</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-0.1</w:t>
            </w:r>
          </w:p>
        </w:tc>
        <w:tc>
          <w:tcPr>
            <w:tcW w:w="1194"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0.99</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r>
      <w:tr>
        <w:tblPrEx>
          <w:tblCellMar>
            <w:top w:w="0" w:type="dxa"/>
            <w:left w:w="108" w:type="dxa"/>
            <w:bottom w:w="0" w:type="dxa"/>
            <w:right w:w="108" w:type="dxa"/>
          </w:tblCellMar>
        </w:tblPrEx>
        <w:trPr>
          <w:trHeight w:val="363" w:hRule="atLeast"/>
          <w:jc w:val="center"/>
        </w:trPr>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龙港市</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1.12</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0.65</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0.48</w:t>
            </w:r>
          </w:p>
        </w:tc>
        <w:tc>
          <w:tcPr>
            <w:tcW w:w="1194"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1.19</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0.09</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0.72</w:t>
            </w:r>
          </w:p>
        </w:tc>
      </w:tr>
      <w:tr>
        <w:tblPrEx>
          <w:tblCellMar>
            <w:top w:w="0" w:type="dxa"/>
            <w:left w:w="108" w:type="dxa"/>
            <w:bottom w:w="0" w:type="dxa"/>
            <w:right w:w="108" w:type="dxa"/>
          </w:tblCellMar>
        </w:tblPrEx>
        <w:trPr>
          <w:trHeight w:val="363" w:hRule="atLeast"/>
          <w:jc w:val="center"/>
        </w:trPr>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永嘉县</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1.11</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1.8</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-0.69</w:t>
            </w:r>
          </w:p>
        </w:tc>
        <w:tc>
          <w:tcPr>
            <w:tcW w:w="1194"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0.89</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1.3</w:t>
            </w:r>
          </w:p>
        </w:tc>
      </w:tr>
      <w:tr>
        <w:tblPrEx>
          <w:tblCellMar>
            <w:top w:w="0" w:type="dxa"/>
            <w:left w:w="108" w:type="dxa"/>
            <w:bottom w:w="0" w:type="dxa"/>
            <w:right w:w="108" w:type="dxa"/>
          </w:tblCellMar>
        </w:tblPrEx>
        <w:trPr>
          <w:trHeight w:val="363" w:hRule="atLeast"/>
          <w:jc w:val="center"/>
        </w:trPr>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乐清市</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1.04</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1.31</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-0.27</w:t>
            </w:r>
          </w:p>
        </w:tc>
        <w:tc>
          <w:tcPr>
            <w:tcW w:w="1194"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0.62</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1.04</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0.34</w:t>
            </w:r>
          </w:p>
        </w:tc>
      </w:tr>
      <w:tr>
        <w:tblPrEx>
          <w:tblCellMar>
            <w:top w:w="0" w:type="dxa"/>
            <w:left w:w="108" w:type="dxa"/>
            <w:bottom w:w="0" w:type="dxa"/>
            <w:right w:w="108" w:type="dxa"/>
          </w:tblCellMar>
        </w:tblPrEx>
        <w:trPr>
          <w:trHeight w:val="363" w:hRule="atLeast"/>
          <w:jc w:val="center"/>
        </w:trPr>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苍南县</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0.96</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0.93</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0.03</w:t>
            </w:r>
          </w:p>
        </w:tc>
        <w:tc>
          <w:tcPr>
            <w:tcW w:w="1194"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0.53</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1.94</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5.82</w:t>
            </w:r>
          </w:p>
        </w:tc>
      </w:tr>
      <w:tr>
        <w:tblPrEx>
          <w:tblCellMar>
            <w:top w:w="0" w:type="dxa"/>
            <w:left w:w="108" w:type="dxa"/>
            <w:bottom w:w="0" w:type="dxa"/>
            <w:right w:w="108" w:type="dxa"/>
          </w:tblCellMar>
        </w:tblPrEx>
        <w:trPr>
          <w:trHeight w:val="363" w:hRule="atLeast"/>
          <w:jc w:val="center"/>
        </w:trPr>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平阳县</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0.93</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1.5</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-0.57</w:t>
            </w:r>
          </w:p>
        </w:tc>
        <w:tc>
          <w:tcPr>
            <w:tcW w:w="1194"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0.93</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0.99</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0.69</w:t>
            </w:r>
          </w:p>
        </w:tc>
      </w:tr>
      <w:tr>
        <w:tblPrEx>
          <w:tblCellMar>
            <w:top w:w="0" w:type="dxa"/>
            <w:left w:w="108" w:type="dxa"/>
            <w:bottom w:w="0" w:type="dxa"/>
            <w:right w:w="108" w:type="dxa"/>
          </w:tblCellMar>
        </w:tblPrEx>
        <w:trPr>
          <w:trHeight w:val="363" w:hRule="atLeast"/>
          <w:jc w:val="center"/>
        </w:trPr>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瑞安市</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0.9</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1.04</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-0.14</w:t>
            </w:r>
          </w:p>
        </w:tc>
        <w:tc>
          <w:tcPr>
            <w:tcW w:w="1194"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0.44</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0.41</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w:t>
            </w:r>
          </w:p>
        </w:tc>
      </w:tr>
      <w:tr>
        <w:tblPrEx>
          <w:tblCellMar>
            <w:top w:w="0" w:type="dxa"/>
            <w:left w:w="108" w:type="dxa"/>
            <w:bottom w:w="0" w:type="dxa"/>
            <w:right w:w="108" w:type="dxa"/>
          </w:tblCellMar>
        </w:tblPrEx>
        <w:trPr>
          <w:trHeight w:val="363" w:hRule="atLeast"/>
          <w:jc w:val="center"/>
        </w:trPr>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洞头区</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0.83</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0.93</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-0.1</w:t>
            </w:r>
          </w:p>
        </w:tc>
        <w:tc>
          <w:tcPr>
            <w:tcW w:w="1194"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0.2</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1.41</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0.98</w:t>
            </w:r>
          </w:p>
        </w:tc>
      </w:tr>
      <w:tr>
        <w:tblPrEx>
          <w:tblCellMar>
            <w:top w:w="0" w:type="dxa"/>
            <w:left w:w="108" w:type="dxa"/>
            <w:bottom w:w="0" w:type="dxa"/>
            <w:right w:w="108" w:type="dxa"/>
          </w:tblCellMar>
        </w:tblPrEx>
        <w:trPr>
          <w:trHeight w:val="363" w:hRule="atLeast"/>
          <w:jc w:val="center"/>
        </w:trPr>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龙湾区</w:t>
            </w:r>
          </w:p>
        </w:tc>
        <w:tc>
          <w:tcPr>
            <w:tcW w:w="13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0.76</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1.22</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-0.46</w:t>
            </w:r>
          </w:p>
        </w:tc>
        <w:tc>
          <w:tcPr>
            <w:tcW w:w="1194"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1.17</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0.54</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5"/>
                <w:szCs w:val="15"/>
              </w:rPr>
            </w:pPr>
            <w:r>
              <w:rPr>
                <w:rFonts w:ascii="Arial" w:hAnsi="Arial" w:cs="Arial"/>
                <w:sz w:val="15"/>
                <w:szCs w:val="15"/>
                <w:lang w:bidi="ar"/>
              </w:rPr>
              <w:t>0.37</w:t>
            </w:r>
          </w:p>
        </w:tc>
      </w:tr>
    </w:tbl>
    <w:p>
      <w:pPr>
        <w:widowControl w:val="0"/>
        <w:snapToGrid w:val="0"/>
        <w:spacing w:line="480" w:lineRule="auto"/>
        <w:jc w:val="both"/>
        <w:rPr>
          <w:rFonts w:ascii="Arial" w:hAnsi="Arial" w:cs="Arial"/>
          <w:b/>
          <w:bCs/>
          <w:sz w:val="21"/>
          <w:szCs w:val="21"/>
        </w:rPr>
      </w:pPr>
    </w:p>
    <w:p>
      <w:pPr>
        <w:adjustRightInd w:val="0"/>
        <w:snapToGrid w:val="0"/>
        <w:spacing w:line="480" w:lineRule="auto"/>
        <w:ind w:firstLine="420" w:firstLineChars="200"/>
        <w:jc w:val="center"/>
        <w:rPr>
          <w:rFonts w:ascii="Arial" w:hAnsi="Arial" w:cs="Arial"/>
          <w:color w:val="000000"/>
          <w:sz w:val="21"/>
          <w:szCs w:val="21"/>
        </w:rPr>
      </w:pPr>
      <w:r>
        <w:rPr>
          <w:rFonts w:hint="eastAsia" w:ascii="Arial" w:hAnsi="Arial" w:cs="Arial"/>
          <w:color w:val="000000"/>
          <w:sz w:val="21"/>
          <w:szCs w:val="21"/>
        </w:rPr>
        <w:t>2022年(1-8月)温州市企业成交金额排行榜</w:t>
      </w:r>
    </w:p>
    <w:tbl>
      <w:tblPr>
        <w:tblStyle w:val="3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2015"/>
        <w:gridCol w:w="1550"/>
        <w:gridCol w:w="1550"/>
        <w:gridCol w:w="1550"/>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83"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排名</w:t>
            </w:r>
          </w:p>
        </w:tc>
        <w:tc>
          <w:tcPr>
            <w:tcW w:w="201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企业名称</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成交金额(亿元)</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成交价格(元/㎡)</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成交套数(套)</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成交面积(万㎡)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83"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w:t>
            </w:r>
          </w:p>
        </w:tc>
        <w:tc>
          <w:tcPr>
            <w:tcW w:w="201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保利发展</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33.61</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37911</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637</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83"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w:t>
            </w:r>
          </w:p>
        </w:tc>
        <w:tc>
          <w:tcPr>
            <w:tcW w:w="201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绿城中国</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27.89</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25521</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697</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83"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w:t>
            </w:r>
          </w:p>
        </w:tc>
        <w:tc>
          <w:tcPr>
            <w:tcW w:w="201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招商蛇口</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22.28</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40531</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310</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83"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4</w:t>
            </w:r>
          </w:p>
        </w:tc>
        <w:tc>
          <w:tcPr>
            <w:tcW w:w="201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万科</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22.15</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19279</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1014</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83"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5</w:t>
            </w:r>
          </w:p>
        </w:tc>
        <w:tc>
          <w:tcPr>
            <w:tcW w:w="201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中梁控股</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20.64</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16065</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1349</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83"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6</w:t>
            </w:r>
          </w:p>
        </w:tc>
        <w:tc>
          <w:tcPr>
            <w:tcW w:w="201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浙江国鸿新瑞房产</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19.89</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10849</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1317</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83"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7</w:t>
            </w:r>
          </w:p>
        </w:tc>
        <w:tc>
          <w:tcPr>
            <w:tcW w:w="201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大家房产</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17.14</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19653</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1234</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83"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8</w:t>
            </w:r>
          </w:p>
        </w:tc>
        <w:tc>
          <w:tcPr>
            <w:tcW w:w="201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碧桂园</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17.04</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14253</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1062</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83"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9</w:t>
            </w:r>
          </w:p>
        </w:tc>
        <w:tc>
          <w:tcPr>
            <w:tcW w:w="201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中南建设</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16.58</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16180</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981</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83"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10</w:t>
            </w:r>
          </w:p>
        </w:tc>
        <w:tc>
          <w:tcPr>
            <w:tcW w:w="201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中国金茂</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15.6</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15768</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818</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9.89</w:t>
            </w:r>
          </w:p>
        </w:tc>
      </w:tr>
    </w:tbl>
    <w:p>
      <w:pPr>
        <w:adjustRightInd w:val="0"/>
        <w:snapToGrid w:val="0"/>
        <w:spacing w:line="480" w:lineRule="auto"/>
        <w:ind w:firstLine="420" w:firstLineChars="200"/>
        <w:jc w:val="center"/>
        <w:rPr>
          <w:rFonts w:ascii="Arial" w:hAnsi="Arial" w:cs="Arial"/>
          <w:color w:val="000000"/>
          <w:sz w:val="21"/>
          <w:szCs w:val="21"/>
        </w:rPr>
      </w:pPr>
      <w:r>
        <w:rPr>
          <w:rFonts w:hint="eastAsia" w:ascii="Arial" w:hAnsi="Arial" w:cs="Arial"/>
          <w:color w:val="000000"/>
          <w:sz w:val="21"/>
          <w:szCs w:val="21"/>
        </w:rPr>
        <w:t>2022年(1-8月)温州市企业成交面积排行榜</w:t>
      </w:r>
    </w:p>
    <w:tbl>
      <w:tblPr>
        <w:tblStyle w:val="3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1918"/>
        <w:gridCol w:w="1550"/>
        <w:gridCol w:w="1550"/>
        <w:gridCol w:w="1550"/>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8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排名</w:t>
            </w:r>
          </w:p>
        </w:tc>
        <w:tc>
          <w:tcPr>
            <w:tcW w:w="191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企业名称</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成交金额(亿元)</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成交价格(元/㎡)</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成交套数(套)</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成交面积(万㎡)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8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w:t>
            </w:r>
          </w:p>
        </w:tc>
        <w:tc>
          <w:tcPr>
            <w:tcW w:w="191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浙江国鸿新瑞房产</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19.89</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10849</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1317</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8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w:t>
            </w:r>
          </w:p>
        </w:tc>
        <w:tc>
          <w:tcPr>
            <w:tcW w:w="191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龙湖集团</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12.1</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8065</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572</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8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w:t>
            </w:r>
          </w:p>
        </w:tc>
        <w:tc>
          <w:tcPr>
            <w:tcW w:w="191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中梁控股</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20.64</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16065</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1349</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8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4</w:t>
            </w:r>
          </w:p>
        </w:tc>
        <w:tc>
          <w:tcPr>
            <w:tcW w:w="191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凯迪集团</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14.29</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11795</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587</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8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5</w:t>
            </w:r>
          </w:p>
        </w:tc>
        <w:tc>
          <w:tcPr>
            <w:tcW w:w="191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碧桂园</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17.04</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14253</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1062</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8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6</w:t>
            </w:r>
          </w:p>
        </w:tc>
        <w:tc>
          <w:tcPr>
            <w:tcW w:w="191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万科</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22.15</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19279</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1014</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8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7</w:t>
            </w:r>
          </w:p>
        </w:tc>
        <w:tc>
          <w:tcPr>
            <w:tcW w:w="191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新鸿隆祥集团</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15.15</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13683</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1022</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8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8</w:t>
            </w:r>
          </w:p>
        </w:tc>
        <w:tc>
          <w:tcPr>
            <w:tcW w:w="191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绿城中国</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27.89</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25521</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697</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8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9</w:t>
            </w:r>
          </w:p>
        </w:tc>
        <w:tc>
          <w:tcPr>
            <w:tcW w:w="191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永嘉嘉盛置业</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14.32</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13407</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722</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8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10</w:t>
            </w:r>
          </w:p>
        </w:tc>
        <w:tc>
          <w:tcPr>
            <w:tcW w:w="191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宏合置业</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14.32</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13407</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722</w:t>
            </w:r>
          </w:p>
        </w:tc>
        <w:tc>
          <w:tcPr>
            <w:tcW w:w="1550"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10.68</w:t>
            </w:r>
          </w:p>
        </w:tc>
      </w:tr>
    </w:tbl>
    <w:p>
      <w:pPr>
        <w:widowControl w:val="0"/>
        <w:snapToGrid w:val="0"/>
        <w:spacing w:line="480" w:lineRule="auto"/>
        <w:jc w:val="both"/>
        <w:rPr>
          <w:rFonts w:ascii="Arial" w:hAnsi="Arial" w:cs="Arial"/>
          <w:b/>
          <w:bCs/>
          <w:sz w:val="21"/>
          <w:szCs w:val="21"/>
        </w:rPr>
      </w:pPr>
    </w:p>
    <w:p>
      <w:pPr>
        <w:adjustRightInd w:val="0"/>
        <w:snapToGrid w:val="0"/>
        <w:spacing w:line="480" w:lineRule="auto"/>
        <w:ind w:firstLine="420" w:firstLineChars="200"/>
        <w:jc w:val="center"/>
        <w:rPr>
          <w:rFonts w:ascii="Arial" w:hAnsi="Arial" w:cs="Arial"/>
          <w:color w:val="000000"/>
          <w:sz w:val="21"/>
          <w:szCs w:val="21"/>
        </w:rPr>
      </w:pPr>
      <w:r>
        <w:rPr>
          <w:rFonts w:hint="eastAsia" w:ascii="Arial" w:hAnsi="Arial" w:cs="Arial"/>
          <w:color w:val="000000"/>
          <w:sz w:val="21"/>
          <w:szCs w:val="21"/>
        </w:rPr>
        <w:t>2022年(1-8月)温州市新房项目成交金额TOP10</w:t>
      </w:r>
    </w:p>
    <w:tbl>
      <w:tblPr>
        <w:tblStyle w:val="3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1298"/>
        <w:gridCol w:w="1261"/>
        <w:gridCol w:w="1035"/>
        <w:gridCol w:w="1032"/>
        <w:gridCol w:w="1041"/>
        <w:gridCol w:w="1068"/>
        <w:gridCol w:w="1193"/>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排名</w:t>
            </w:r>
          </w:p>
        </w:tc>
        <w:tc>
          <w:tcPr>
            <w:tcW w:w="129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项目名称</w:t>
            </w:r>
          </w:p>
        </w:tc>
        <w:tc>
          <w:tcPr>
            <w:tcW w:w="1261"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成交金额(亿元)</w:t>
            </w:r>
          </w:p>
        </w:tc>
        <w:tc>
          <w:tcPr>
            <w:tcW w:w="10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成交面积</w:t>
            </w:r>
          </w:p>
          <w:p>
            <w:pPr>
              <w:jc w:val="both"/>
              <w:textAlignment w:val="center"/>
              <w:rPr>
                <w:rFonts w:ascii="Arial" w:hAnsi="Arial" w:cs="Arial"/>
                <w:sz w:val="15"/>
                <w:szCs w:val="15"/>
                <w:lang w:bidi="ar"/>
              </w:rPr>
            </w:pPr>
            <w:r>
              <w:rPr>
                <w:rFonts w:ascii="Arial" w:hAnsi="Arial" w:cs="Arial"/>
                <w:sz w:val="15"/>
                <w:szCs w:val="15"/>
                <w:lang w:bidi="ar"/>
              </w:rPr>
              <w:t>(万㎡)</w:t>
            </w:r>
          </w:p>
        </w:tc>
        <w:tc>
          <w:tcPr>
            <w:tcW w:w="1032"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成交套数(套)</w:t>
            </w:r>
          </w:p>
        </w:tc>
        <w:tc>
          <w:tcPr>
            <w:tcW w:w="1041"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成交均价</w:t>
            </w:r>
          </w:p>
          <w:p>
            <w:pPr>
              <w:jc w:val="both"/>
              <w:textAlignment w:val="center"/>
              <w:rPr>
                <w:rFonts w:ascii="Arial" w:hAnsi="Arial" w:cs="Arial"/>
                <w:sz w:val="15"/>
                <w:szCs w:val="15"/>
                <w:lang w:bidi="ar"/>
              </w:rPr>
            </w:pPr>
            <w:r>
              <w:rPr>
                <w:rFonts w:ascii="Arial" w:hAnsi="Arial" w:cs="Arial"/>
                <w:sz w:val="15"/>
                <w:szCs w:val="15"/>
                <w:lang w:bidi="ar"/>
              </w:rPr>
              <w:t>(元/㎡)</w:t>
            </w:r>
          </w:p>
        </w:tc>
        <w:tc>
          <w:tcPr>
            <w:tcW w:w="106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套均面积</w:t>
            </w:r>
          </w:p>
          <w:p>
            <w:pPr>
              <w:jc w:val="both"/>
              <w:textAlignment w:val="center"/>
              <w:rPr>
                <w:rFonts w:ascii="Arial" w:hAnsi="Arial" w:cs="Arial"/>
                <w:sz w:val="15"/>
                <w:szCs w:val="15"/>
                <w:lang w:bidi="ar"/>
              </w:rPr>
            </w:pPr>
            <w:r>
              <w:rPr>
                <w:rFonts w:ascii="Arial" w:hAnsi="Arial" w:cs="Arial"/>
                <w:sz w:val="15"/>
                <w:szCs w:val="15"/>
                <w:lang w:bidi="ar"/>
              </w:rPr>
              <w:t>(㎡/套)</w:t>
            </w:r>
          </w:p>
        </w:tc>
        <w:tc>
          <w:tcPr>
            <w:tcW w:w="1193"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套均总价</w:t>
            </w:r>
          </w:p>
          <w:p>
            <w:pPr>
              <w:jc w:val="both"/>
              <w:textAlignment w:val="center"/>
              <w:rPr>
                <w:rFonts w:ascii="Arial" w:hAnsi="Arial" w:cs="Arial"/>
                <w:sz w:val="15"/>
                <w:szCs w:val="15"/>
                <w:lang w:bidi="ar"/>
              </w:rPr>
            </w:pPr>
            <w:r>
              <w:rPr>
                <w:rFonts w:ascii="Arial" w:hAnsi="Arial" w:cs="Arial"/>
                <w:sz w:val="15"/>
                <w:szCs w:val="15"/>
                <w:lang w:bidi="ar"/>
              </w:rPr>
              <w:t>(万元/套)</w:t>
            </w:r>
          </w:p>
        </w:tc>
        <w:tc>
          <w:tcPr>
            <w:tcW w:w="8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5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w:t>
            </w:r>
          </w:p>
        </w:tc>
        <w:tc>
          <w:tcPr>
            <w:tcW w:w="129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天云园</w:t>
            </w:r>
          </w:p>
        </w:tc>
        <w:tc>
          <w:tcPr>
            <w:tcW w:w="1261"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15.86</w:t>
            </w:r>
          </w:p>
        </w:tc>
        <w:tc>
          <w:tcPr>
            <w:tcW w:w="10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3.41</w:t>
            </w:r>
          </w:p>
        </w:tc>
        <w:tc>
          <w:tcPr>
            <w:tcW w:w="1032"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151</w:t>
            </w:r>
          </w:p>
        </w:tc>
        <w:tc>
          <w:tcPr>
            <w:tcW w:w="1041"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46508</w:t>
            </w:r>
          </w:p>
        </w:tc>
        <w:tc>
          <w:tcPr>
            <w:tcW w:w="106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226</w:t>
            </w:r>
          </w:p>
        </w:tc>
        <w:tc>
          <w:tcPr>
            <w:tcW w:w="1193"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1050</w:t>
            </w:r>
          </w:p>
        </w:tc>
        <w:tc>
          <w:tcPr>
            <w:tcW w:w="8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鹿城区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5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w:t>
            </w:r>
          </w:p>
        </w:tc>
        <w:tc>
          <w:tcPr>
            <w:tcW w:w="129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南草垟村安置房</w:t>
            </w:r>
          </w:p>
        </w:tc>
        <w:tc>
          <w:tcPr>
            <w:tcW w:w="1261"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13.67</w:t>
            </w:r>
          </w:p>
        </w:tc>
        <w:tc>
          <w:tcPr>
            <w:tcW w:w="10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8.83</w:t>
            </w:r>
          </w:p>
        </w:tc>
        <w:tc>
          <w:tcPr>
            <w:tcW w:w="1032"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746</w:t>
            </w:r>
          </w:p>
        </w:tc>
        <w:tc>
          <w:tcPr>
            <w:tcW w:w="1041"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15478</w:t>
            </w:r>
          </w:p>
        </w:tc>
        <w:tc>
          <w:tcPr>
            <w:tcW w:w="106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118</w:t>
            </w:r>
          </w:p>
        </w:tc>
        <w:tc>
          <w:tcPr>
            <w:tcW w:w="1193"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183</w:t>
            </w:r>
          </w:p>
        </w:tc>
        <w:tc>
          <w:tcPr>
            <w:tcW w:w="8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乐清市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5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w:t>
            </w:r>
          </w:p>
        </w:tc>
        <w:tc>
          <w:tcPr>
            <w:tcW w:w="129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南岸村安置房</w:t>
            </w:r>
          </w:p>
        </w:tc>
        <w:tc>
          <w:tcPr>
            <w:tcW w:w="1261"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12.04</w:t>
            </w:r>
          </w:p>
        </w:tc>
        <w:tc>
          <w:tcPr>
            <w:tcW w:w="10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7.84</w:t>
            </w:r>
          </w:p>
        </w:tc>
        <w:tc>
          <w:tcPr>
            <w:tcW w:w="1032"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656</w:t>
            </w:r>
          </w:p>
        </w:tc>
        <w:tc>
          <w:tcPr>
            <w:tcW w:w="1041"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15361</w:t>
            </w:r>
          </w:p>
        </w:tc>
        <w:tc>
          <w:tcPr>
            <w:tcW w:w="106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120</w:t>
            </w:r>
          </w:p>
        </w:tc>
        <w:tc>
          <w:tcPr>
            <w:tcW w:w="1193"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184</w:t>
            </w:r>
          </w:p>
        </w:tc>
        <w:tc>
          <w:tcPr>
            <w:tcW w:w="8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乐清市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5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4</w:t>
            </w:r>
          </w:p>
        </w:tc>
        <w:tc>
          <w:tcPr>
            <w:tcW w:w="129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如意里</w:t>
            </w:r>
          </w:p>
        </w:tc>
        <w:tc>
          <w:tcPr>
            <w:tcW w:w="1261"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10.73</w:t>
            </w:r>
          </w:p>
        </w:tc>
        <w:tc>
          <w:tcPr>
            <w:tcW w:w="10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3.82</w:t>
            </w:r>
          </w:p>
        </w:tc>
        <w:tc>
          <w:tcPr>
            <w:tcW w:w="1032"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283</w:t>
            </w:r>
          </w:p>
        </w:tc>
        <w:tc>
          <w:tcPr>
            <w:tcW w:w="1041"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28082</w:t>
            </w:r>
          </w:p>
        </w:tc>
        <w:tc>
          <w:tcPr>
            <w:tcW w:w="106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135</w:t>
            </w:r>
          </w:p>
        </w:tc>
        <w:tc>
          <w:tcPr>
            <w:tcW w:w="1193"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379</w:t>
            </w:r>
          </w:p>
        </w:tc>
        <w:tc>
          <w:tcPr>
            <w:tcW w:w="8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龙湾区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5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5</w:t>
            </w:r>
          </w:p>
        </w:tc>
        <w:tc>
          <w:tcPr>
            <w:tcW w:w="129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天悦苑</w:t>
            </w:r>
          </w:p>
        </w:tc>
        <w:tc>
          <w:tcPr>
            <w:tcW w:w="1261"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10.68</w:t>
            </w:r>
          </w:p>
        </w:tc>
        <w:tc>
          <w:tcPr>
            <w:tcW w:w="10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2.72</w:t>
            </w:r>
          </w:p>
        </w:tc>
        <w:tc>
          <w:tcPr>
            <w:tcW w:w="1032"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219</w:t>
            </w:r>
          </w:p>
        </w:tc>
        <w:tc>
          <w:tcPr>
            <w:tcW w:w="1041"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39223</w:t>
            </w:r>
          </w:p>
        </w:tc>
        <w:tc>
          <w:tcPr>
            <w:tcW w:w="106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124</w:t>
            </w:r>
          </w:p>
        </w:tc>
        <w:tc>
          <w:tcPr>
            <w:tcW w:w="1193"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488</w:t>
            </w:r>
          </w:p>
        </w:tc>
        <w:tc>
          <w:tcPr>
            <w:tcW w:w="8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鹿城区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5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6</w:t>
            </w:r>
          </w:p>
        </w:tc>
        <w:tc>
          <w:tcPr>
            <w:tcW w:w="129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新谷家园</w:t>
            </w:r>
          </w:p>
        </w:tc>
        <w:tc>
          <w:tcPr>
            <w:tcW w:w="1261"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10.5</w:t>
            </w:r>
          </w:p>
        </w:tc>
        <w:tc>
          <w:tcPr>
            <w:tcW w:w="10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9.49</w:t>
            </w:r>
          </w:p>
        </w:tc>
        <w:tc>
          <w:tcPr>
            <w:tcW w:w="1032"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885</w:t>
            </w:r>
          </w:p>
        </w:tc>
        <w:tc>
          <w:tcPr>
            <w:tcW w:w="1041"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11064</w:t>
            </w:r>
          </w:p>
        </w:tc>
        <w:tc>
          <w:tcPr>
            <w:tcW w:w="106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107</w:t>
            </w:r>
          </w:p>
        </w:tc>
        <w:tc>
          <w:tcPr>
            <w:tcW w:w="1193"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119</w:t>
            </w:r>
          </w:p>
        </w:tc>
        <w:tc>
          <w:tcPr>
            <w:tcW w:w="8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鹿城区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5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7</w:t>
            </w:r>
          </w:p>
        </w:tc>
        <w:tc>
          <w:tcPr>
            <w:tcW w:w="129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石马村安置房</w:t>
            </w:r>
          </w:p>
        </w:tc>
        <w:tc>
          <w:tcPr>
            <w:tcW w:w="1261"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9.2</w:t>
            </w:r>
          </w:p>
        </w:tc>
        <w:tc>
          <w:tcPr>
            <w:tcW w:w="10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5.87</w:t>
            </w:r>
          </w:p>
        </w:tc>
        <w:tc>
          <w:tcPr>
            <w:tcW w:w="1032"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358</w:t>
            </w:r>
          </w:p>
        </w:tc>
        <w:tc>
          <w:tcPr>
            <w:tcW w:w="1041"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15660</w:t>
            </w:r>
          </w:p>
        </w:tc>
        <w:tc>
          <w:tcPr>
            <w:tcW w:w="106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164</w:t>
            </w:r>
          </w:p>
        </w:tc>
        <w:tc>
          <w:tcPr>
            <w:tcW w:w="1193"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257</w:t>
            </w:r>
          </w:p>
        </w:tc>
        <w:tc>
          <w:tcPr>
            <w:tcW w:w="8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乐清市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5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8</w:t>
            </w:r>
          </w:p>
        </w:tc>
        <w:tc>
          <w:tcPr>
            <w:tcW w:w="129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文澜湾</w:t>
            </w:r>
          </w:p>
        </w:tc>
        <w:tc>
          <w:tcPr>
            <w:tcW w:w="1261"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8.92</w:t>
            </w:r>
          </w:p>
        </w:tc>
        <w:tc>
          <w:tcPr>
            <w:tcW w:w="10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2.32</w:t>
            </w:r>
          </w:p>
        </w:tc>
        <w:tc>
          <w:tcPr>
            <w:tcW w:w="1032"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254</w:t>
            </w:r>
          </w:p>
        </w:tc>
        <w:tc>
          <w:tcPr>
            <w:tcW w:w="1041"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38360</w:t>
            </w:r>
          </w:p>
        </w:tc>
        <w:tc>
          <w:tcPr>
            <w:tcW w:w="106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92</w:t>
            </w:r>
          </w:p>
        </w:tc>
        <w:tc>
          <w:tcPr>
            <w:tcW w:w="1193"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351</w:t>
            </w:r>
          </w:p>
        </w:tc>
        <w:tc>
          <w:tcPr>
            <w:tcW w:w="8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鹿城区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5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9</w:t>
            </w:r>
          </w:p>
        </w:tc>
        <w:tc>
          <w:tcPr>
            <w:tcW w:w="129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楠盛中心</w:t>
            </w:r>
          </w:p>
        </w:tc>
        <w:tc>
          <w:tcPr>
            <w:tcW w:w="1261"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8.87</w:t>
            </w:r>
          </w:p>
        </w:tc>
        <w:tc>
          <w:tcPr>
            <w:tcW w:w="10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6.05</w:t>
            </w:r>
          </w:p>
        </w:tc>
        <w:tc>
          <w:tcPr>
            <w:tcW w:w="1032"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493</w:t>
            </w:r>
          </w:p>
        </w:tc>
        <w:tc>
          <w:tcPr>
            <w:tcW w:w="1041"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14678</w:t>
            </w:r>
          </w:p>
        </w:tc>
        <w:tc>
          <w:tcPr>
            <w:tcW w:w="106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123</w:t>
            </w:r>
          </w:p>
        </w:tc>
        <w:tc>
          <w:tcPr>
            <w:tcW w:w="1193"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180</w:t>
            </w:r>
          </w:p>
        </w:tc>
        <w:tc>
          <w:tcPr>
            <w:tcW w:w="8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永嘉县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5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10</w:t>
            </w:r>
          </w:p>
        </w:tc>
        <w:tc>
          <w:tcPr>
            <w:tcW w:w="129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博科园</w:t>
            </w:r>
          </w:p>
        </w:tc>
        <w:tc>
          <w:tcPr>
            <w:tcW w:w="1261"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8.36</w:t>
            </w:r>
          </w:p>
        </w:tc>
        <w:tc>
          <w:tcPr>
            <w:tcW w:w="10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3.8</w:t>
            </w:r>
          </w:p>
        </w:tc>
        <w:tc>
          <w:tcPr>
            <w:tcW w:w="1032"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326</w:t>
            </w:r>
          </w:p>
        </w:tc>
        <w:tc>
          <w:tcPr>
            <w:tcW w:w="1041"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22000</w:t>
            </w:r>
          </w:p>
        </w:tc>
        <w:tc>
          <w:tcPr>
            <w:tcW w:w="1068"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117</w:t>
            </w:r>
          </w:p>
        </w:tc>
        <w:tc>
          <w:tcPr>
            <w:tcW w:w="1193"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256</w:t>
            </w:r>
          </w:p>
        </w:tc>
        <w:tc>
          <w:tcPr>
            <w:tcW w:w="835" w:type="dxa"/>
            <w:shd w:val="clear" w:color="auto" w:fill="auto"/>
            <w:vAlign w:val="center"/>
          </w:tcPr>
          <w:p>
            <w:pPr>
              <w:jc w:val="both"/>
              <w:textAlignment w:val="center"/>
              <w:rPr>
                <w:rFonts w:ascii="Arial" w:hAnsi="Arial" w:cs="Arial"/>
                <w:sz w:val="15"/>
                <w:szCs w:val="15"/>
                <w:lang w:bidi="ar"/>
              </w:rPr>
            </w:pPr>
            <w:r>
              <w:rPr>
                <w:rFonts w:ascii="Arial" w:hAnsi="Arial" w:cs="Arial"/>
                <w:sz w:val="15"/>
                <w:szCs w:val="15"/>
                <w:lang w:bidi="ar"/>
              </w:rPr>
              <w:t>龙湾区</w:t>
            </w:r>
          </w:p>
        </w:tc>
      </w:tr>
    </w:tbl>
    <w:p>
      <w:pPr>
        <w:adjustRightInd w:val="0"/>
        <w:snapToGrid w:val="0"/>
        <w:spacing w:line="480" w:lineRule="auto"/>
        <w:rPr>
          <w:rFonts w:ascii="华文细黑" w:hAnsi="华文细黑" w:eastAsia="华文细黑" w:cs="Arial"/>
          <w:sz w:val="15"/>
          <w:szCs w:val="15"/>
        </w:rPr>
      </w:pPr>
    </w:p>
    <w:p>
      <w:pPr>
        <w:pStyle w:val="5"/>
        <w:numPr>
          <w:ilvl w:val="0"/>
          <w:numId w:val="3"/>
        </w:numPr>
        <w:tabs>
          <w:tab w:val="left" w:pos="5220"/>
        </w:tabs>
        <w:spacing w:before="0" w:after="0" w:line="480" w:lineRule="auto"/>
        <w:ind w:firstLine="207" w:firstLineChars="98"/>
        <w:jc w:val="both"/>
        <w:rPr>
          <w:rFonts w:eastAsia="宋体" w:cs="Arial"/>
          <w:sz w:val="21"/>
          <w:szCs w:val="21"/>
        </w:rPr>
      </w:pPr>
      <w:bookmarkStart w:id="130" w:name="_Toc43885860"/>
      <w:bookmarkStart w:id="131" w:name="_Toc74250073"/>
      <w:bookmarkStart w:id="132" w:name="_Toc106177882"/>
      <w:r>
        <w:rPr>
          <w:rFonts w:hint="eastAsia" w:eastAsia="宋体" w:cs="Arial"/>
          <w:sz w:val="21"/>
          <w:szCs w:val="21"/>
        </w:rPr>
        <w:t>房地产政策</w:t>
      </w:r>
      <w:bookmarkEnd w:id="130"/>
      <w:bookmarkEnd w:id="131"/>
      <w:bookmarkEnd w:id="132"/>
    </w:p>
    <w:p>
      <w:pPr>
        <w:pStyle w:val="126"/>
        <w:snapToGrid w:val="0"/>
        <w:spacing w:line="480" w:lineRule="auto"/>
        <w:ind w:left="420" w:firstLine="0" w:firstLineChars="0"/>
        <w:jc w:val="both"/>
        <w:rPr>
          <w:rFonts w:ascii="Arial" w:hAnsi="Arial"/>
          <w:b/>
          <w:bCs/>
          <w:sz w:val="21"/>
          <w:szCs w:val="28"/>
        </w:rPr>
      </w:pPr>
      <w:bookmarkStart w:id="133" w:name="_Toc74250074"/>
      <w:bookmarkStart w:id="134" w:name="_Toc106177883"/>
      <w:r>
        <w:rPr>
          <w:rFonts w:hint="eastAsia" w:ascii="Arial" w:hAnsi="Arial"/>
          <w:b/>
          <w:bCs/>
          <w:sz w:val="21"/>
          <w:szCs w:val="28"/>
        </w:rPr>
        <w:t>1、温州市政策</w:t>
      </w:r>
    </w:p>
    <w:p>
      <w:pPr>
        <w:pStyle w:val="126"/>
        <w:numPr>
          <w:ilvl w:val="0"/>
          <w:numId w:val="4"/>
        </w:numPr>
        <w:snapToGrid w:val="0"/>
        <w:spacing w:line="480" w:lineRule="auto"/>
        <w:ind w:firstLineChars="0"/>
        <w:jc w:val="both"/>
        <w:rPr>
          <w:rFonts w:ascii="Arial" w:hAnsi="Arial"/>
          <w:sz w:val="21"/>
          <w:szCs w:val="28"/>
        </w:rPr>
      </w:pPr>
      <w:r>
        <w:rPr>
          <w:rFonts w:hint="eastAsia" w:ascii="Arial" w:hAnsi="Arial"/>
          <w:sz w:val="21"/>
          <w:szCs w:val="28"/>
        </w:rPr>
        <w:t>限够政策</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限制购房人群：对于非本市户籍，若是能提供购房之日前半年以上在本市连续缴纳个人所得税证明或社会保险证明的，允许购买1套新建商品住房。拥有2套及以上住房的非本市户籍居民家庭，暂停向其销售新建商品住宅。本市户籍家庭，可购买2套住房。</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（2）购房套数要求：对拥有两套及以上住房的温州本市户籍家庭暂停售房，连续5年（含）以上在本市缴纳社保或个税的非本市户籍家庭限购1套住宅。</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3）人才购房限制：经市人才主管部门同意引进或纳入政府管理服务备案的非本市户籍院士、领军人才等紧缺适用高层次人才，凭市人力资源社会保障局出具的证明，允许购买1套新建商品住房；在本市连续工作满1年以后，允许购买第二套新建商品住房。</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2022年8月，住房限购城市可根据实际适时调整优化限购政策。</w:t>
      </w:r>
    </w:p>
    <w:p>
      <w:pPr>
        <w:pStyle w:val="126"/>
        <w:numPr>
          <w:ilvl w:val="0"/>
          <w:numId w:val="4"/>
        </w:numPr>
        <w:snapToGrid w:val="0"/>
        <w:spacing w:line="480" w:lineRule="auto"/>
        <w:ind w:firstLineChars="0"/>
        <w:jc w:val="both"/>
        <w:rPr>
          <w:rFonts w:ascii="Arial" w:hAnsi="Arial"/>
          <w:sz w:val="21"/>
          <w:szCs w:val="28"/>
        </w:rPr>
      </w:pPr>
      <w:r>
        <w:rPr>
          <w:rFonts w:hint="eastAsia" w:ascii="Arial" w:hAnsi="Arial"/>
          <w:sz w:val="21"/>
          <w:szCs w:val="28"/>
        </w:rPr>
        <w:t>贷款政策</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（1）支持居民合理住房需求，对居民家庭首次购买普通商品住房或二手住房申请商业贷款的，执行最低首付比例20%的规定，并享受首次贷款购买普通自住房的利率优惠。</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（2）加大住房公积金支持。</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1）加大住房公积金支持缴存职工租赁住房力度，住房公积金缴存职工无房，申请无房租赁提取住房公积金的，每月提取额度由最高1200元提高至1400元。</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2）支持职工高刚性住房需求，住房公积金缴存职工在政策执行期购买家庭首套住房申请个人住房公积金贷款的，最高贷款额度单位缴存的提高15万元，双人缴存的提高30万元。</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3）加大缴存职工个人住房公积金贷款额度支持，贷款额度计算办法中缴存时限倍数提高至5倍作为基数，最高倍数增至11倍。（4）加大缴存职工购买首套刚需住房和二套改善型住房的消费能力，降低个人住房公积金贷款首付比例。缴存职工家庭购买、建造、翻建、大修首套自住住房，申请个人住房公积金贷款的，贷款最低首付款比例由30%调降至20%。缴存职工家庭已拥有一套自住住房，为改善居住条件购买、建造、翻建、大修家庭第二套自住住房，申请个人住房公积金贷款的，贷款最低首付款比例由50%降至40%。</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3）执行差别化住房信贷政策。商业银行审核按揭贷款应以温州市域范围的住房和贷款信息为准，对居民家庭名下在本市无住房但有已结清住房贷款记录的，或名下在本市拥有1套住房但无住房贷款记录的，或名下在本市拥有1套住房但住房贷款已结清的，购买普通住房执行首套首贷优惠政策。</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4）降低个人住房消费负担。对居民家庭首次购买普通商品住房或二手住房申请商业贷款的，执行最低首付比例20%的规定；购买第二套住房的商业性个人住房贷款，最低首付款比例为30%。鼓励银行进一步降低居民家庭首套刚需住房贷款利率，以更优惠的利率和更快的速度加强商品房抵押贷发放。合理确定利率水平，在坚持底线原则的基础上，推动利率下调，向底线靠拢。保持温州住房贷款利率在全省乃至长三角地区处于较低水平。</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5）切实保障购房人征信相关权益。对受疫情影响失去收入来源的购房人，灵活调整住房按揭还款安排，合理延后还款期限。落实好受疫情影响相关逾期贷款可以不作逾期记录报送等有关惠民举措。以上措施,有效期截止2022年9月30日。</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6）加大对刚性和改善型住房需求的支持力度。在2022年6月12日起至2022年12月31日期间，个人首次购买市区（含鹿城区、龙湾区、瓯海区、洞头区、海经区、经开区）新建普通商品住房、存量住房（以网上签订浙江省商品房、存量房买卖合同时间为准），在取得房屋不动产证后，给予购房款0.6%的消费补助，领取不动产证后3个月内申请，逾期视同放弃补助。</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（7）加大金融创新支持解决住房困难问题。支持金融机构创新按揭贷款产品，为上述第6条购房人，办理中长期按揭贷款，可采取在前３年内还息不还本等创新型贷款方式。</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（8）加大对三孩家庭的住房公积金贷款支持力度。按照国家政策生育三孩的缴存职工家庭申请个人住房公积金贷款的，最高贷款额度上浮50%。（注：该政策与阶段性政策不叠加，结合人口发展政策长期执行）</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9）加强房地产风险监测预警。及时开展融资违约的风险排查，制定方案防范化解风险。压实商品房预售资金监管责任，确保监管账户内的资金用于工程建设。开户的金融机构要落实预售资金账户监管主体责任，开展风险合规自查。</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（10）积极协调逾期交付项目。对房地产风险项目进行全面排查，加强房企与购房者的沟通协调。因疫情、亚运会导致停工的，可作为项目工期延误的不可抗力因素，延误具体时限由各县市区人民政府确定。</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11）加快人口集聚。进一步放宽落户政策，在市区具备合法稳定住所或合法稳定就业的人员，可向居住地公安机关申报落户；具备大专以上或相应学历的人员，可在市区先落户后择业。暂无居住地落户条件的，可迁入公共集体户。</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12）利用房票加速拆迁安置等住房政策落地。原则上全面停止安置房新建，推进房屋征收房票政策全覆盖。落实政府商定房票购买商品房优惠项目目录。推进房票市区全域流转。推进房票在人才购房补贴、政府项目支付、土地出让金支付等领域的应用。</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（13）加快筹集保障性租赁住房。扩大保障性租赁住房筹集范围，由国有企业以优惠价格收购商品房，优先收购商品房项目配建的政策性住房。</w:t>
      </w:r>
    </w:p>
    <w:p>
      <w:pPr>
        <w:pStyle w:val="126"/>
        <w:numPr>
          <w:ilvl w:val="0"/>
          <w:numId w:val="4"/>
        </w:numPr>
        <w:snapToGrid w:val="0"/>
        <w:spacing w:line="480" w:lineRule="auto"/>
        <w:ind w:firstLineChars="0"/>
        <w:jc w:val="both"/>
        <w:rPr>
          <w:rFonts w:ascii="Arial" w:hAnsi="Arial" w:cs="Arial"/>
          <w:color w:val="000000"/>
          <w:sz w:val="21"/>
          <w:szCs w:val="21"/>
        </w:rPr>
      </w:pPr>
      <w:r>
        <w:rPr>
          <w:rFonts w:hint="eastAsia" w:ascii="Arial" w:hAnsi="Arial"/>
          <w:sz w:val="21"/>
          <w:szCs w:val="28"/>
        </w:rPr>
        <w:t>销售政策</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及时预售。对已申请价格会商并确认指导价格的项目，应在一个月内办理商品房预售许可，对未及时开盘预售的，属地主管部门要责成房地产开发企业限期公开销售，且半年内暂缓受理下一批次价格会商指导。对限期内拒不整改的项目，必须达到现房销售条件后按已会商指导价申请办理现售手续。</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统一公证摇号标准。对项目当期参加摇号的人数和开盘房源套数比例达到2：1及以上的楼盘，必须采取公证机构主持的公开摇号方式，公开公平公证；对项目当期参加摇号的人数和开盘房源套数比例在2：1以下的楼盘，由各地视情采取公证摇号等方式。</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（3）规范交易市场秩序。实行新建商品住房“一房一价”“明码实价”销售制度。建立二手住房交易参考价格发布机制，重点对热点住宅小区二手住房交易价格进行监测，落实交易参考价格在金融信贷等应用。</w:t>
      </w:r>
    </w:p>
    <w:p>
      <w:pPr>
        <w:pStyle w:val="126"/>
        <w:numPr>
          <w:ilvl w:val="0"/>
          <w:numId w:val="4"/>
        </w:numPr>
        <w:snapToGrid w:val="0"/>
        <w:spacing w:line="480" w:lineRule="auto"/>
        <w:ind w:firstLineChars="0"/>
        <w:jc w:val="both"/>
        <w:rPr>
          <w:rFonts w:ascii="Arial" w:hAnsi="Arial"/>
          <w:sz w:val="21"/>
          <w:szCs w:val="28"/>
        </w:rPr>
      </w:pPr>
      <w:r>
        <w:rPr>
          <w:rFonts w:hint="eastAsia" w:ascii="Arial" w:hAnsi="Arial"/>
          <w:sz w:val="21"/>
          <w:szCs w:val="28"/>
        </w:rPr>
        <w:t>售价政策</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（1）通过“限房价、竞地价”、“限房价、限溢价、竞地价”等房价地价联动措施，引导市场主体理性拿地。</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（2）指导企业根据楼面地价、合理成本、产品品质、区域均价等因素，合理制定新建商品住房销售价格。</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3）严格控制房价涨幅。对申请续开的项目，明确去化率30%要求，且原则上不得涨价。对申请高于前一批次分面积段指导价格的项目，必须去化率达到60%以上，且在价格指数空间范围内可给予适当调整，按年、季、月等指数进行严格把关、综合监测。</w:t>
      </w:r>
    </w:p>
    <w:p>
      <w:pPr>
        <w:pStyle w:val="126"/>
        <w:numPr>
          <w:ilvl w:val="0"/>
          <w:numId w:val="4"/>
        </w:numPr>
        <w:snapToGrid w:val="0"/>
        <w:spacing w:line="480" w:lineRule="auto"/>
        <w:ind w:firstLineChars="0"/>
        <w:jc w:val="both"/>
        <w:rPr>
          <w:rFonts w:ascii="Arial" w:hAnsi="Arial"/>
          <w:sz w:val="21"/>
          <w:szCs w:val="28"/>
        </w:rPr>
      </w:pPr>
      <w:r>
        <w:rPr>
          <w:rFonts w:hint="eastAsia" w:ascii="Arial" w:hAnsi="Arial"/>
          <w:sz w:val="21"/>
          <w:szCs w:val="28"/>
        </w:rPr>
        <w:t>落户政策</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（1）人才引进落户：</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1）《温州市高层次人才分类目录》中ABCDE类人才、大专(含技工院校高级工班)以上学历、初级以上职称、高级工以上职业资格(技能等级)的人员，可以在市区先落户后择业。</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2）前项之外的下列人员，可以在就业地落户：</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A.经市委人才办认定的创新团队和创业项目成员。</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B.经市级科技部门认定的地市级以上科技进步奖完成人。</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C.经市级人力社保部门认定的急需紧缺人才、紧缺工种技能人才。</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D.其他由市级职能部门或者区委(区政府)核准并经市委人才办同意引进的人才类人员。</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3）办理亲属投靠落户</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A.父母一方为市区家庭户口的，其未成年子女可申请投靠落户。</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B.夫妻一方为市区家庭户口的，其共同生活的配偶可申请投靠落户。</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C.成年子女为市区家庭户口的，其共同生活的父母可申请投靠落户。</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D.父母为市区家庭户口的，如在市区无成年子女照顾，可允许成年子女投靠(照顾)迁入户口。</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3）居住社保（就业）落户</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A.在市区具有合法稳定住所的，可以在市区落户。</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B.在市区具有合法稳定就业2年、参加职工基本养老保险2年并持有市区居住证的，可在市区落户。</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C.在市区投资办企业、个人创业并缴纳税款，且取得商业用房或办公用房合法所有权的，可以在房产所在地的社区集体户落户。</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D.在市区有合法稳定就业的退役军人，可以在就业地落户。</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E.进一步放宽本科学历人才落户门槛。本科学历人才年龄上限从40周岁放宽至45周岁，研究生及以上学历人才落户政策不变（以上均含非全日制学历及留学回国人员）。</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F.放宽大专学历人员落户条件。40周岁以下大专学历人员，就业参保半年即可落户。</w:t>
      </w:r>
    </w:p>
    <w:p>
      <w:pPr>
        <w:pStyle w:val="126"/>
        <w:numPr>
          <w:ilvl w:val="0"/>
          <w:numId w:val="4"/>
        </w:numPr>
        <w:snapToGrid w:val="0"/>
        <w:spacing w:line="480" w:lineRule="auto"/>
        <w:ind w:firstLineChars="0"/>
        <w:jc w:val="both"/>
        <w:rPr>
          <w:rFonts w:ascii="Arial" w:hAnsi="Arial"/>
          <w:sz w:val="21"/>
          <w:szCs w:val="28"/>
        </w:rPr>
      </w:pPr>
      <w:r>
        <w:rPr>
          <w:rFonts w:hint="eastAsia" w:ascii="Arial" w:hAnsi="Arial"/>
          <w:sz w:val="21"/>
          <w:szCs w:val="28"/>
        </w:rPr>
        <w:t>人才政策</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对新全职来温工作的35周岁以内博士研究生、世界大学排名前200位大学(以最新一期ARWU、THE、QS、U.S.News排名为准)或国内“一流大学”“一流学科”全日制硕士研究生、本科生，分别给予6万元、4万元、3万元就业补贴，分2年发放。</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毕业2年以内的其他高校毕业生到中小微企业就业的，按照博士研究生、硕士研究生、本科、专科学历分别给予个人每月2000元、1000元、500元、300元的就业补贴，补贴期限不超过2年，具体按照《关于进一步做好稳就业工作的实施意见》(温人社发〔2020〕73号)执行。</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3）优先推荐青年人才申报国家和省市科技项目，重大人才工程向青年人才倾斜。组建青年英才举荐委员会，不拘一格举荐选拔特别优秀、有发展潜能的35周岁以下的青年博士研究生，直接认定为市重大人才工程入选对象。</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（4）加强顶尖人才招揽</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1）对自主申报入选或新全职引进的两院院士或发达国家院士、国家最高科技奖获得者等A类人才(ABCDE类人才以最新温州市高层次人才分类目录为依据，下同)，经认定给予500万元个人奖励。</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对自主申报入选或新全职引进A类人才的团队，按照用人单位实际研发投入1:1比例给予最高1000万元奖励(研发投入从人才引进日起算，以专项核算结果为准，下同);</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对省“鲲鹏行动”计划入选者，按省财政奖补1:1的标准给予个人和用人单位配套支持，累计最高给予2亿元支持。</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2）加快高端人才引进</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对自主申报入选或新全职引进的B类、C类人才，在全职到岗后分别给予100万元、50万元个人奖励(对省特级教师，从市外新全职引进的给予50万元安家补贴，自主申报入选的按年度考核奖的形式发放奖励)</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企业每新全职引进1名B类、C类科技创新类人才，按企业实际研发投入1:1比例分别给予500万元、300万元奖励。支持高端人才以柔性形式来温创新创业，个人奖励最高可按全职奖励的50%兑现。</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3）强化高层次人才引育</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更大力度实施“全球精英引进计划”，给予创新长期项目(青年项目)、创业项目、短期项目入选者30万元、30万元、15万元个人奖励，给予海外工程师、海外专家智力项目引进单位10万元、5万元引才奖励，对获省海外工程师、国家级省级海外专家智力项目、外国专家工作站的，按上级奖励1:1额度给予用人单位配套奖励</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实施市“高层次人才特殊支持计划”，分杰出人才、领军人才、青年拔尖人才三类，分别给予50万元、15万元-40万元、15万元-40万元特殊支持，分3年拨付。</w:t>
      </w:r>
    </w:p>
    <w:p>
      <w:pPr>
        <w:adjustRightInd w:val="0"/>
        <w:snapToGrid w:val="0"/>
        <w:spacing w:line="480" w:lineRule="auto"/>
        <w:ind w:firstLine="422" w:firstLineChars="200"/>
        <w:jc w:val="both"/>
        <w:rPr>
          <w:rFonts w:ascii="Arial" w:hAnsi="Arial" w:cs="Arial"/>
          <w:b/>
          <w:bCs/>
          <w:color w:val="000000"/>
          <w:sz w:val="21"/>
          <w:szCs w:val="21"/>
        </w:rPr>
      </w:pPr>
      <w:r>
        <w:rPr>
          <w:rFonts w:hint="eastAsia" w:ascii="Arial" w:hAnsi="Arial" w:cs="Arial"/>
          <w:b/>
          <w:bCs/>
          <w:color w:val="000000"/>
          <w:sz w:val="21"/>
          <w:szCs w:val="21"/>
        </w:rPr>
        <w:t>2、永嘉县政策：</w:t>
      </w:r>
    </w:p>
    <w:p>
      <w:pPr>
        <w:pStyle w:val="126"/>
        <w:numPr>
          <w:ilvl w:val="0"/>
          <w:numId w:val="4"/>
        </w:numPr>
        <w:snapToGrid w:val="0"/>
        <w:spacing w:line="480" w:lineRule="auto"/>
        <w:ind w:firstLineChars="0"/>
        <w:jc w:val="both"/>
        <w:rPr>
          <w:rFonts w:ascii="Arial" w:hAnsi="Arial"/>
          <w:sz w:val="21"/>
          <w:szCs w:val="28"/>
        </w:rPr>
      </w:pPr>
      <w:r>
        <w:rPr>
          <w:rFonts w:hint="eastAsia" w:ascii="Arial" w:hAnsi="Arial"/>
          <w:sz w:val="21"/>
          <w:szCs w:val="28"/>
        </w:rPr>
        <w:t>土地供应及开发政策</w:t>
      </w:r>
    </w:p>
    <w:p>
      <w:pPr>
        <w:numPr>
          <w:ilvl w:val="0"/>
          <w:numId w:val="5"/>
        </w:num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规范确定土地出让起拍价的基础上，取消专家评估政府保留价。</w:t>
      </w:r>
    </w:p>
    <w:p>
      <w:pPr>
        <w:numPr>
          <w:ilvl w:val="0"/>
          <w:numId w:val="5"/>
        </w:num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鼓励未开发房地产用地进行用途调整，调整土地用途、规划条件，转型用于国家支持的养老产业、文化产业、体育产业等新兴产业项目的开发建设。</w:t>
      </w:r>
    </w:p>
    <w:p>
      <w:pPr>
        <w:numPr>
          <w:ilvl w:val="0"/>
          <w:numId w:val="5"/>
        </w:num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对未交付使用的在建商品住房项目，在不改变用地性质和容积率等必要规划条件的前提下，允许房地产开发企业适当调整套型结构。坚持周边配套优先于房地产开发建设的原则，提升宜居环境。</w:t>
      </w:r>
    </w:p>
    <w:p>
      <w:pPr>
        <w:numPr>
          <w:ilvl w:val="0"/>
          <w:numId w:val="5"/>
        </w:num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投资房地产开发项目的市场主体（除本市国有企业外）可自主选择建筑施工企业，任何单位不得擅自设置门槛或指定建筑施工企业进行开发建设。</w:t>
      </w:r>
    </w:p>
    <w:p>
      <w:pPr>
        <w:numPr>
          <w:ilvl w:val="0"/>
          <w:numId w:val="5"/>
        </w:num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鼓励地下空间开发利用，对人防结建的地下车位的投资收益权，按《物权法》“建筑区划内，规划用于停放汽车的车位、车库的归属，由当事人通过出售、附赠或者出租等方式约定”和《人民防空法》“人民防空工程平时由投资者使用管理，收益归投资者所有”等规定办理。</w:t>
      </w:r>
    </w:p>
    <w:p>
      <w:pPr>
        <w:pStyle w:val="126"/>
        <w:numPr>
          <w:ilvl w:val="0"/>
          <w:numId w:val="4"/>
        </w:numPr>
        <w:snapToGrid w:val="0"/>
        <w:spacing w:line="480" w:lineRule="auto"/>
        <w:ind w:firstLineChars="0"/>
        <w:jc w:val="both"/>
        <w:rPr>
          <w:rFonts w:ascii="Arial" w:hAnsi="Arial"/>
          <w:sz w:val="21"/>
          <w:szCs w:val="28"/>
        </w:rPr>
      </w:pPr>
      <w:r>
        <w:rPr>
          <w:rFonts w:hint="eastAsia" w:ascii="Arial" w:hAnsi="Arial"/>
          <w:sz w:val="21"/>
          <w:szCs w:val="28"/>
        </w:rPr>
        <w:t>预售政策</w:t>
      </w:r>
    </w:p>
    <w:p>
      <w:pPr>
        <w:numPr>
          <w:ilvl w:val="0"/>
          <w:numId w:val="6"/>
        </w:num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严格执行《城市商品房预售管理办法》，对商品房预售项目，取得土地使用权证书、建设工程规划许可证和施工许可证后，在满足投入开发建设的资金达到工程建设总投资的25%以上，并确定施工进度和竣工交付日期，即可办理预售许可证。</w:t>
      </w:r>
    </w:p>
    <w:p>
      <w:pPr>
        <w:pStyle w:val="126"/>
        <w:numPr>
          <w:ilvl w:val="0"/>
          <w:numId w:val="4"/>
        </w:numPr>
        <w:snapToGrid w:val="0"/>
        <w:spacing w:line="480" w:lineRule="auto"/>
        <w:ind w:firstLineChars="0"/>
        <w:jc w:val="both"/>
        <w:rPr>
          <w:rFonts w:ascii="Arial" w:hAnsi="Arial"/>
          <w:sz w:val="21"/>
          <w:szCs w:val="28"/>
        </w:rPr>
      </w:pPr>
      <w:r>
        <w:rPr>
          <w:rFonts w:hint="eastAsia" w:ascii="Arial" w:hAnsi="Arial"/>
          <w:sz w:val="21"/>
          <w:szCs w:val="28"/>
        </w:rPr>
        <w:t>购房政策</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w:t>
      </w:r>
      <w:r>
        <w:rPr>
          <w:rFonts w:ascii="Arial" w:hAnsi="Arial" w:cs="Arial"/>
          <w:color w:val="000000"/>
          <w:sz w:val="21"/>
          <w:szCs w:val="21"/>
        </w:rPr>
        <w:t>个人将购买2年以上（含2年）的住房对外销售的，免征营业税；个人将购买不足2年的住房对外销售的，全额征收营业税；对个人购买家庭唯一住房（家庭成员范围包括购房人、配偶以及未成年子女，下同），面积为90平方米及以下的，减按1%的税率征收契税；面积为90平方米以上的，减按1.5%的税率征收契税；对个人购买家庭第二套改善性住房，面积为90平方米及以下的，减按1%的税率征收契税；面积为90平方米以上的，减按2%的税率征收契税。</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优化住房金融服务，在遵守国家统一住房信贷政策的前提下，各金融机构要在首付款比例和利率水平上，加大对购买首套房的支持力度，降低居民购买首套房的融资成本。对符合条件的房地产开发企业的合理融资需求，商业银行要进一步加大支持力度，并积极通过发行住房抵押贷款支持证券（MBS）、发行期限较长的专项金融债券等多种措施筹集资金，专门用于增加首套普通自住房和改善型普通自住房贷款投放。</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3）在商品住房坐落辖区内义务教育学校有空余学额的情况下，本县居民购买预售商品住房，在办理《商品房买卖合同》备案登记后，子女可以享受就学优惠政策；县外居民购买本县住房在领取《房屋所有权证》（户籍不需要迁移）后，子女可以享受就学优惠政策；房屋被征收人以货币化安置补偿款购买新建商品住房后，凭《商品房买卖合同》和房屋征收部门（包括县房屋征收办或组织拆迁工作的当地政府）出具的货币化安置证明，子女可以享受两地选择就学优惠政策。具体优惠政策见当年义务教育阶段学校招生工作实施方案。</w:t>
      </w:r>
    </w:p>
    <w:p>
      <w:pPr>
        <w:pStyle w:val="126"/>
        <w:numPr>
          <w:ilvl w:val="0"/>
          <w:numId w:val="4"/>
        </w:numPr>
        <w:snapToGrid w:val="0"/>
        <w:spacing w:line="480" w:lineRule="auto"/>
        <w:ind w:firstLineChars="0"/>
        <w:jc w:val="both"/>
        <w:rPr>
          <w:rFonts w:ascii="Arial" w:hAnsi="Arial"/>
          <w:sz w:val="21"/>
          <w:szCs w:val="28"/>
        </w:rPr>
      </w:pPr>
      <w:r>
        <w:rPr>
          <w:rFonts w:hint="eastAsia" w:ascii="Arial" w:hAnsi="Arial"/>
          <w:sz w:val="21"/>
          <w:szCs w:val="28"/>
        </w:rPr>
        <w:t>贷款政策</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加大住房公积金贷款力度，住房公积金连续缴存满6个月后，即可申请贷款。缴存职工家庭使用住房公积金委托贷款购买首套普通自住房，最低首付款比例为20%；对拥有1套住房并已结清相应购房贷款的缴存职工家庭，为改善居住条件再次申请住房公积金委托贷款购买普通自住房，最低首付款比例为30%。在住房公积金放贷额度不足的情况下，实行个人住房公积金贷款转商业贷款贴息，贴息资金在住房公积金业务支出中列支。</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鼓励房地产抵押当事人协商议定房地产抵押物价值，确需房地产估价机构评估的，估价费用由商业银行承担。</w:t>
      </w:r>
    </w:p>
    <w:p>
      <w:pPr>
        <w:pStyle w:val="126"/>
        <w:numPr>
          <w:ilvl w:val="0"/>
          <w:numId w:val="4"/>
        </w:numPr>
        <w:snapToGrid w:val="0"/>
        <w:spacing w:line="480" w:lineRule="auto"/>
        <w:ind w:firstLineChars="0"/>
        <w:jc w:val="both"/>
        <w:rPr>
          <w:rFonts w:ascii="Arial" w:hAnsi="Arial"/>
          <w:sz w:val="21"/>
          <w:szCs w:val="28"/>
        </w:rPr>
      </w:pPr>
      <w:r>
        <w:rPr>
          <w:rFonts w:hint="eastAsia" w:ascii="Arial" w:hAnsi="Arial"/>
          <w:sz w:val="21"/>
          <w:szCs w:val="28"/>
        </w:rPr>
        <w:t>人才政策</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（1）领军人才可享受政府提供90平方米以上的专项住房作为奖励或给予100万元的购房补贴；</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（2）人才住房租赁补贴采取“市场提供房源、政府补贴租金”的方式，符合申报条件的有关人才，每月可享受2000元、2500元、3000元不等的租房补助。</w:t>
      </w:r>
    </w:p>
    <w:p>
      <w:pPr>
        <w:pStyle w:val="5"/>
        <w:spacing w:before="0" w:after="0" w:line="480" w:lineRule="auto"/>
        <w:jc w:val="both"/>
        <w:rPr>
          <w:rFonts w:eastAsia="宋体" w:cs="Arial"/>
          <w:b w:val="0"/>
          <w:sz w:val="21"/>
          <w:szCs w:val="21"/>
        </w:rPr>
      </w:pPr>
      <w:r>
        <w:rPr>
          <w:rFonts w:eastAsia="宋体" w:cs="Arial"/>
          <w:sz w:val="21"/>
          <w:szCs w:val="21"/>
        </w:rPr>
        <w:t>（</w:t>
      </w:r>
      <w:r>
        <w:rPr>
          <w:rFonts w:hint="eastAsia" w:eastAsia="宋体" w:cs="Arial"/>
          <w:sz w:val="21"/>
          <w:szCs w:val="21"/>
        </w:rPr>
        <w:t>七</w:t>
      </w:r>
      <w:r>
        <w:rPr>
          <w:rFonts w:eastAsia="宋体" w:cs="Arial"/>
          <w:sz w:val="21"/>
          <w:szCs w:val="21"/>
        </w:rPr>
        <w:t>）区域市场分析</w:t>
      </w:r>
      <w:bookmarkEnd w:id="133"/>
      <w:bookmarkEnd w:id="134"/>
    </w:p>
    <w:p>
      <w:pPr>
        <w:widowControl w:val="0"/>
        <w:adjustRightInd w:val="0"/>
        <w:snapToGrid w:val="0"/>
        <w:spacing w:line="480" w:lineRule="auto"/>
        <w:ind w:firstLine="420" w:firstLineChars="200"/>
        <w:jc w:val="both"/>
        <w:rPr>
          <w:rFonts w:hint="eastAsia" w:ascii="Arial" w:hAnsi="Arial" w:cs="Arial"/>
          <w:color w:val="000000"/>
          <w:sz w:val="21"/>
          <w:szCs w:val="21"/>
        </w:rPr>
      </w:pPr>
      <w:r>
        <w:rPr>
          <w:rFonts w:hint="eastAsia" w:ascii="Arial" w:hAnsi="Arial" w:cs="Arial"/>
          <w:color w:val="000000"/>
          <w:sz w:val="21"/>
          <w:szCs w:val="21"/>
        </w:rPr>
        <w:t>1</w:t>
      </w:r>
      <w:r>
        <w:rPr>
          <w:rFonts w:ascii="Arial" w:hAnsi="Arial" w:cs="Arial"/>
          <w:color w:val="000000"/>
          <w:sz w:val="21"/>
          <w:szCs w:val="21"/>
        </w:rPr>
        <w:t>、</w:t>
      </w:r>
      <w:r>
        <w:rPr>
          <w:rFonts w:hint="eastAsia" w:ascii="Arial" w:hAnsi="Arial" w:cs="Arial"/>
          <w:color w:val="000000"/>
          <w:sz w:val="21"/>
          <w:szCs w:val="21"/>
        </w:rPr>
        <w:t>区域概况</w:t>
      </w:r>
    </w:p>
    <w:p>
      <w:pPr>
        <w:adjustRightInd w:val="0"/>
        <w:snapToGrid w:val="0"/>
        <w:spacing w:line="480" w:lineRule="auto"/>
        <w:ind w:firstLine="420" w:firstLineChars="200"/>
        <w:jc w:val="both"/>
        <w:rPr>
          <w:rFonts w:hint="default"/>
          <w:lang w:val="en-US" w:eastAsia="zh-CN"/>
        </w:rPr>
      </w:pPr>
      <w:r>
        <w:rPr>
          <w:rFonts w:hint="eastAsia" w:ascii="Arial" w:hAnsi="Arial" w:eastAsia="宋体" w:cs="Arial"/>
          <w:color w:val="000000"/>
          <w:sz w:val="21"/>
          <w:szCs w:val="21"/>
          <w:lang w:val="en-US" w:eastAsia="zh-CN" w:bidi="ar-SA"/>
        </w:rPr>
        <w:t>建设项目位于永嘉县瓯北区片。瓯北街道与温州市区隔江相望、跨桥相连，区位优越，有"浙南金三角"之美誉，与鹿城区隔江相望，区域面积50.3平方公里，建成区面积14.7平方公里，下辖27个社区，户籍人口8.9万，常住人口约22万。瓯北街道有着以泵阀、服装、鞋革等产业为支柱的产业基础优势和“省级经济开发区”为依托的平台支撑优势。瓯北区片近些年规划多以居住用地为主，配建部分配套商业及教育用地，整体规划为宜居生活圈。</w:t>
      </w:r>
    </w:p>
    <w:p>
      <w:pPr>
        <w:adjustRightInd w:val="0"/>
        <w:snapToGrid w:val="0"/>
        <w:spacing w:line="480" w:lineRule="auto"/>
        <w:ind w:firstLine="420" w:firstLineChars="200"/>
        <w:jc w:val="both"/>
        <w:rPr>
          <w:rFonts w:hint="eastAsia" w:ascii="Arial" w:hAnsi="Arial" w:eastAsia="宋体" w:cs="Arial"/>
          <w:color w:val="000000"/>
          <w:sz w:val="21"/>
          <w:szCs w:val="21"/>
          <w:lang w:val="en-US" w:eastAsia="zh-CN" w:bidi="ar-SA"/>
        </w:rPr>
      </w:pPr>
    </w:p>
    <w:p>
      <w:pPr>
        <w:adjustRightInd w:val="0"/>
        <w:snapToGrid w:val="0"/>
        <w:spacing w:line="480" w:lineRule="auto"/>
        <w:ind w:firstLine="480" w:firstLineChars="200"/>
        <w:jc w:val="both"/>
        <w:rPr>
          <w:rFonts w:ascii="Arial" w:hAnsi="Arial" w:cs="Arial"/>
          <w:color w:val="000000"/>
          <w:sz w:val="21"/>
          <w:szCs w:val="21"/>
        </w:rPr>
      </w:pPr>
      <w:r>
        <w:drawing>
          <wp:inline distT="0" distB="0" distL="114300" distR="114300">
            <wp:extent cx="5173980" cy="4613275"/>
            <wp:effectExtent l="0" t="0" r="7620" b="4445"/>
            <wp:docPr id="4065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29" name="图片 1"/>
                    <pic:cNvPicPr>
                      <a:picLocks noChangeAspect="1"/>
                    </pic:cNvPicPr>
                  </pic:nvPicPr>
                  <pic:blipFill>
                    <a:blip r:embed="rId42"/>
                    <a:stretch>
                      <a:fillRect/>
                    </a:stretch>
                  </pic:blipFill>
                  <pic:spPr>
                    <a:xfrm>
                      <a:off x="0" y="0"/>
                      <a:ext cx="5173980" cy="4613275"/>
                    </a:xfrm>
                    <a:prstGeom prst="rect">
                      <a:avLst/>
                    </a:prstGeom>
                    <a:noFill/>
                    <a:ln w="9525">
                      <a:noFill/>
                    </a:ln>
                  </pic:spPr>
                </pic:pic>
              </a:graphicData>
            </a:graphic>
          </wp:inline>
        </w:drawing>
      </w:r>
    </w:p>
    <w:p>
      <w:pPr>
        <w:widowControl w:val="0"/>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w:t>
      </w:r>
      <w:r>
        <w:rPr>
          <w:rFonts w:ascii="Arial" w:hAnsi="Arial" w:cs="Arial"/>
          <w:color w:val="000000"/>
          <w:sz w:val="21"/>
          <w:szCs w:val="21"/>
        </w:rPr>
        <w:t>、</w:t>
      </w:r>
      <w:r>
        <w:rPr>
          <w:rFonts w:hint="eastAsia" w:ascii="Arial" w:hAnsi="Arial" w:cs="Arial"/>
          <w:color w:val="000000"/>
          <w:sz w:val="21"/>
          <w:szCs w:val="21"/>
        </w:rPr>
        <w:t>区域房地产市场概况</w:t>
      </w:r>
    </w:p>
    <w:p>
      <w:pPr>
        <w:widowControl w:val="0"/>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（1）区域土地市场分析</w:t>
      </w:r>
    </w:p>
    <w:p>
      <w:pPr>
        <w:widowControl w:val="0"/>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2017年至2022年9月，永嘉县共推出45宗涉宅用地，全部成交，不存在未成交、流拍、中止等情况地块，总成交土地面积119.22万平方米，总成交建筑面积为324.58万平方米，总成交金额约为165.12亿元。</w:t>
      </w:r>
    </w:p>
    <w:p>
      <w:pPr>
        <w:widowControl w:val="0"/>
        <w:adjustRightInd w:val="0"/>
        <w:snapToGrid w:val="0"/>
        <w:spacing w:line="480" w:lineRule="auto"/>
        <w:jc w:val="center"/>
        <w:rPr>
          <w:rFonts w:ascii="Arial" w:hAnsi="Arial" w:cs="Arial"/>
          <w:color w:val="000000"/>
          <w:sz w:val="21"/>
          <w:szCs w:val="21"/>
        </w:rPr>
      </w:pPr>
      <w:r>
        <w:drawing>
          <wp:inline distT="0" distB="0" distL="114300" distR="114300">
            <wp:extent cx="4728845" cy="2469515"/>
            <wp:effectExtent l="4445" t="4445" r="6350" b="10160"/>
            <wp:docPr id="7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widowControl w:val="0"/>
        <w:adjustRightInd w:val="0"/>
        <w:snapToGrid w:val="0"/>
        <w:spacing w:line="480" w:lineRule="auto"/>
        <w:ind w:firstLine="600" w:firstLineChars="400"/>
        <w:jc w:val="both"/>
        <w:rPr>
          <w:rFonts w:ascii="华文细黑" w:hAnsi="华文细黑" w:eastAsia="华文细黑" w:cs="Arial"/>
          <w:color w:val="000000"/>
          <w:sz w:val="15"/>
          <w:szCs w:val="15"/>
        </w:rPr>
      </w:pPr>
      <w:r>
        <w:rPr>
          <w:rFonts w:hint="eastAsia" w:ascii="华文细黑" w:hAnsi="华文细黑" w:eastAsia="华文细黑" w:cs="Arial"/>
          <w:color w:val="000000"/>
          <w:sz w:val="15"/>
          <w:szCs w:val="15"/>
        </w:rPr>
        <w:t>资料来源：</w:t>
      </w:r>
      <w:r>
        <w:rPr>
          <w:rFonts w:ascii="Arial" w:hAnsi="Arial" w:eastAsia="华文细黑" w:cs="Arial"/>
          <w:color w:val="000000"/>
          <w:sz w:val="15"/>
          <w:szCs w:val="15"/>
        </w:rPr>
        <w:t>CREIS</w:t>
      </w:r>
      <w:r>
        <w:rPr>
          <w:rFonts w:hint="eastAsia" w:ascii="华文细黑" w:hAnsi="华文细黑" w:eastAsia="华文细黑" w:cs="Arial"/>
          <w:color w:val="000000"/>
          <w:sz w:val="15"/>
          <w:szCs w:val="15"/>
        </w:rPr>
        <w:t>中指数据</w:t>
      </w:r>
    </w:p>
    <w:p>
      <w:pPr>
        <w:widowControl w:val="0"/>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从各年度成交走势来看，永嘉县土地成交情况较为稳定，2017年共成交9宗涉宅用地，2019年共成交11宗涉宅用地，2018年、2020年及2021年每年均成交8宗涉宅用地。从历年数据来看，永嘉县涉宅用地供应及成交量较为平稳。从供应量来看，2017年至今永嘉县住宅用地成交量基本维持在20万-30万平方米之间，成交建筑面积集中在50-80万平方米之间。成交金额方面，2020年土地成交金额达到最高，年成交金额达到51亿元，其他年份成交金额均较为稳定，主要在30亿元上下浮动。</w:t>
      </w:r>
    </w:p>
    <w:p>
      <w:pPr>
        <w:widowControl w:val="0"/>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sz w:val="21"/>
          <w:szCs w:val="21"/>
        </w:rPr>
        <w:t>2017年至今永嘉县成交楼面单价多集中在4000-6000元/平方米，少数地块已达到17000-18000元/平方米，部分地块溢价成交，溢价率高达60%。从溢价率上来看，2019年为历史峰值，全年平均溢价率为35.37%，平均楼面单价为5827.91元/平方米；2020年至今，开发商拿地情绪平复，地价渐渐归于平稳。其中2020年全年平均溢价率为15.66%，平均楼面单价为5797.25元/平方米；2021年全年平均溢价率为9.18%，平均楼面单价为4601元/平方米。本年度已成交的1宗住宅用地，平均楼面单价为5600元/平方米，无溢价情况。从近5年地价走势来看，整体地价水平运行相对平稳，但溢价率除2019年明显突出以外，之后维持在低位，整体市场竞争激烈程度不强。</w:t>
      </w:r>
    </w:p>
    <w:p>
      <w:pPr>
        <w:widowControl w:val="0"/>
        <w:adjustRightInd w:val="0"/>
        <w:snapToGrid w:val="0"/>
        <w:spacing w:line="480" w:lineRule="auto"/>
        <w:jc w:val="center"/>
        <w:rPr>
          <w:rFonts w:ascii="Arial" w:hAnsi="Arial" w:cs="Arial"/>
          <w:color w:val="000000"/>
          <w:sz w:val="21"/>
          <w:szCs w:val="21"/>
        </w:rPr>
      </w:pPr>
      <w:r>
        <w:drawing>
          <wp:inline distT="0" distB="0" distL="114300" distR="114300">
            <wp:extent cx="5278120" cy="2951480"/>
            <wp:effectExtent l="4445" t="4445" r="5715" b="15875"/>
            <wp:docPr id="7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widowControl w:val="0"/>
        <w:adjustRightInd w:val="0"/>
        <w:snapToGrid w:val="0"/>
        <w:spacing w:line="480" w:lineRule="auto"/>
        <w:jc w:val="both"/>
        <w:rPr>
          <w:rFonts w:ascii="华文细黑" w:hAnsi="华文细黑" w:eastAsia="华文细黑" w:cs="Arial"/>
          <w:color w:val="000000"/>
          <w:sz w:val="15"/>
          <w:szCs w:val="15"/>
        </w:rPr>
      </w:pPr>
      <w:r>
        <w:rPr>
          <w:rFonts w:hint="eastAsia" w:ascii="华文细黑" w:hAnsi="华文细黑" w:eastAsia="华文细黑" w:cs="Arial"/>
          <w:color w:val="000000"/>
          <w:sz w:val="15"/>
          <w:szCs w:val="15"/>
        </w:rPr>
        <w:t>资料来源：</w:t>
      </w:r>
      <w:r>
        <w:rPr>
          <w:rFonts w:ascii="Arial" w:hAnsi="Arial" w:eastAsia="华文细黑" w:cs="Arial"/>
          <w:color w:val="000000"/>
          <w:sz w:val="15"/>
          <w:szCs w:val="15"/>
        </w:rPr>
        <w:t>CREIS</w:t>
      </w:r>
      <w:r>
        <w:rPr>
          <w:rFonts w:hint="eastAsia" w:ascii="华文细黑" w:hAnsi="华文细黑" w:eastAsia="华文细黑" w:cs="Arial"/>
          <w:color w:val="000000"/>
          <w:sz w:val="15"/>
          <w:szCs w:val="15"/>
        </w:rPr>
        <w:t>中指数据</w:t>
      </w:r>
    </w:p>
    <w:p>
      <w:pPr>
        <w:widowControl w:val="0"/>
        <w:adjustRightInd w:val="0"/>
        <w:snapToGrid w:val="0"/>
        <w:spacing w:line="480" w:lineRule="auto"/>
        <w:ind w:firstLine="420" w:firstLineChars="200"/>
        <w:jc w:val="both"/>
        <w:rPr>
          <w:rFonts w:ascii="Arial" w:hAnsi="Arial" w:cs="Arial"/>
          <w:color w:val="000000"/>
          <w:sz w:val="21"/>
          <w:szCs w:val="21"/>
        </w:rPr>
      </w:pPr>
    </w:p>
    <w:p>
      <w:pPr>
        <w:widowControl w:val="0"/>
        <w:adjustRightInd w:val="0"/>
        <w:snapToGrid w:val="0"/>
        <w:spacing w:line="480" w:lineRule="auto"/>
        <w:ind w:firstLine="424" w:firstLineChars="202"/>
        <w:jc w:val="both"/>
        <w:rPr>
          <w:rFonts w:ascii="华文细黑" w:hAnsi="华文细黑" w:eastAsia="华文细黑" w:cs="Arial"/>
          <w:color w:val="000000"/>
          <w:sz w:val="15"/>
          <w:szCs w:val="15"/>
        </w:rPr>
      </w:pPr>
      <w:r>
        <w:rPr>
          <w:rFonts w:hint="eastAsia" w:ascii="Arial" w:hAnsi="Arial" w:cs="Arial"/>
          <w:color w:val="000000"/>
          <w:sz w:val="21"/>
          <w:szCs w:val="21"/>
        </w:rPr>
        <w:t>调研对象地块周边区域涉宅用地成交详细情况以及宗地位置如下表及附图：</w:t>
      </w:r>
    </w:p>
    <w:p>
      <w:pPr>
        <w:widowControl w:val="0"/>
        <w:adjustRightInd w:val="0"/>
        <w:snapToGrid w:val="0"/>
        <w:spacing w:line="480" w:lineRule="auto"/>
        <w:ind w:firstLine="420" w:firstLineChars="200"/>
        <w:jc w:val="both"/>
        <w:rPr>
          <w:rFonts w:ascii="Arial" w:hAnsi="Arial" w:cs="Arial"/>
          <w:color w:val="000000"/>
          <w:sz w:val="21"/>
          <w:szCs w:val="21"/>
        </w:rPr>
      </w:pPr>
    </w:p>
    <w:p>
      <w:pPr>
        <w:widowControl w:val="0"/>
        <w:adjustRightInd w:val="0"/>
        <w:snapToGrid w:val="0"/>
        <w:spacing w:line="480" w:lineRule="auto"/>
        <w:ind w:firstLine="420" w:firstLineChars="200"/>
        <w:jc w:val="both"/>
        <w:rPr>
          <w:rFonts w:ascii="Arial" w:hAnsi="Arial" w:cs="Arial"/>
          <w:color w:val="000000"/>
          <w:sz w:val="21"/>
          <w:szCs w:val="21"/>
        </w:rPr>
        <w:sectPr>
          <w:headerReference r:id="rId14" w:type="first"/>
          <w:pgSz w:w="11906" w:h="16838"/>
          <w:pgMar w:top="1843" w:right="1304" w:bottom="1134" w:left="1304" w:header="1134" w:footer="907" w:gutter="0"/>
          <w:cols w:space="425" w:num="1"/>
          <w:titlePg/>
          <w:docGrid w:linePitch="312" w:charSpace="0"/>
        </w:sectPr>
      </w:pPr>
    </w:p>
    <w:p>
      <w:pPr>
        <w:widowControl w:val="0"/>
        <w:jc w:val="center"/>
        <w:rPr>
          <w:rFonts w:ascii="黑体" w:hAnsi="黑体" w:eastAsia="黑体"/>
          <w:color w:val="292929"/>
          <w:sz w:val="28"/>
          <w:szCs w:val="28"/>
        </w:rPr>
      </w:pPr>
      <w:r>
        <w:rPr>
          <w:rFonts w:hint="eastAsia" w:ascii="Arial" w:hAnsi="Arial" w:eastAsia="黑体"/>
          <w:color w:val="292929"/>
          <w:sz w:val="28"/>
          <w:szCs w:val="28"/>
        </w:rPr>
        <w:t>调研对象地块周边区域</w:t>
      </w:r>
      <w:r>
        <w:rPr>
          <w:rFonts w:hint="eastAsia" w:ascii="黑体" w:hAnsi="黑体" w:eastAsia="黑体"/>
          <w:color w:val="292929"/>
          <w:sz w:val="28"/>
          <w:szCs w:val="28"/>
        </w:rPr>
        <w:t>涉宅用地出让情况一览表</w:t>
      </w:r>
    </w:p>
    <w:tbl>
      <w:tblPr>
        <w:tblStyle w:val="36"/>
        <w:tblW w:w="14077" w:type="dxa"/>
        <w:jc w:val="center"/>
        <w:tblLayout w:type="fixed"/>
        <w:tblCellMar>
          <w:top w:w="0" w:type="dxa"/>
          <w:left w:w="108" w:type="dxa"/>
          <w:bottom w:w="0" w:type="dxa"/>
          <w:right w:w="108" w:type="dxa"/>
        </w:tblCellMar>
      </w:tblPr>
      <w:tblGrid>
        <w:gridCol w:w="420"/>
        <w:gridCol w:w="1130"/>
        <w:gridCol w:w="911"/>
        <w:gridCol w:w="733"/>
        <w:gridCol w:w="964"/>
        <w:gridCol w:w="896"/>
        <w:gridCol w:w="944"/>
        <w:gridCol w:w="628"/>
        <w:gridCol w:w="1583"/>
        <w:gridCol w:w="1013"/>
        <w:gridCol w:w="800"/>
        <w:gridCol w:w="886"/>
        <w:gridCol w:w="666"/>
        <w:gridCol w:w="802"/>
        <w:gridCol w:w="1701"/>
      </w:tblGrid>
      <w:tr>
        <w:tblPrEx>
          <w:tblCellMar>
            <w:top w:w="0" w:type="dxa"/>
            <w:left w:w="108" w:type="dxa"/>
            <w:bottom w:w="0" w:type="dxa"/>
            <w:right w:w="108" w:type="dxa"/>
          </w:tblCellMar>
        </w:tblPrEx>
        <w:trPr>
          <w:trHeight w:val="312" w:hRule="atLeast"/>
          <w:tblHeader/>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序号</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地块名称</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地块</w:t>
            </w:r>
          </w:p>
          <w:p>
            <w:pPr>
              <w:jc w:val="both"/>
              <w:rPr>
                <w:rFonts w:ascii="Arial" w:hAnsi="Arial" w:cs="Arial"/>
                <w:sz w:val="15"/>
                <w:szCs w:val="15"/>
              </w:rPr>
            </w:pPr>
            <w:r>
              <w:rPr>
                <w:rFonts w:ascii="Arial" w:hAnsi="Arial" w:cs="Arial"/>
                <w:sz w:val="15"/>
                <w:szCs w:val="15"/>
              </w:rPr>
              <w:t>编号</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用地</w:t>
            </w:r>
          </w:p>
          <w:p>
            <w:pPr>
              <w:jc w:val="both"/>
              <w:rPr>
                <w:rFonts w:ascii="Arial" w:hAnsi="Arial" w:cs="Arial"/>
                <w:sz w:val="15"/>
                <w:szCs w:val="15"/>
              </w:rPr>
            </w:pPr>
            <w:r>
              <w:rPr>
                <w:rFonts w:ascii="Arial" w:hAnsi="Arial" w:cs="Arial"/>
                <w:sz w:val="15"/>
                <w:szCs w:val="15"/>
              </w:rPr>
              <w:t>性质</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建设用地面积(㎡)</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规划建筑面积(㎡)</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容积率</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出让</w:t>
            </w:r>
          </w:p>
          <w:p>
            <w:pPr>
              <w:jc w:val="both"/>
              <w:rPr>
                <w:rFonts w:ascii="Arial" w:hAnsi="Arial" w:cs="Arial"/>
                <w:sz w:val="15"/>
                <w:szCs w:val="15"/>
              </w:rPr>
            </w:pPr>
            <w:r>
              <w:rPr>
                <w:rFonts w:ascii="Arial" w:hAnsi="Arial" w:cs="Arial"/>
                <w:sz w:val="15"/>
                <w:szCs w:val="15"/>
              </w:rPr>
              <w:t>方式</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详细规划</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成交日期</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成交价(万元)</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成交楼面价(元/㎡)</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溢价率(%)</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成交每亩价（万元/亩）</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受让单位</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3303240012022001</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3303240012022001</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6155.02</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20179.56</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1.0&lt;容积率≤2.9</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普通商品房</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2022/2/16</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11300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5600</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0</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1223.94</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永嘉县建设投资集团有限公司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3303240022021013</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3303240022021013</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综合用地(含住宅)</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7034.5</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21103.5</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1.0&lt;容积率≤3.0</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住宅,商业</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2021/8/12</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14100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6681</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29.36</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1336.28</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温州市云建房地产开发有限公司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3303240012021010</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3303240012021010</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综合用地(含住宅)</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13285.65</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38926.95</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1.0&lt;容积率≤2.93</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住宅,商业</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2021/8/11</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32200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8272</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0</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1615.79</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永嘉嘉锦置业有限公司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4</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3303240042021001</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3303240042021001</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综合用地(含住宅)</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18394.82</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40468.6</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1.0&lt;容积率≤2.2</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城镇住宅用地(普通商品房)/兼容零售商业、餐饮、旅馆用地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2021/7/21</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10500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2595</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2.94</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380.54</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鸿睿众恒(温州)建设发展有限公司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5</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3303240052021003</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3303240052021003</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综合用地(含住宅)</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4077</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7338.6</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1.0&lt;容积率≤1.8</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城镇住宅用地(普通商品房)/兼容零售商业、餐饮、旅馆用地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2021/7/7</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1860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2535</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9.41</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304.15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永嘉新力房地产开发有限公司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6</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3303240172021001</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3303240172021001</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综合用地(含住宅)</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70194.32</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112310.91</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1.0&lt;容积率≤1.6</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商服,住宅</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2021/6/9</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6300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561</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0</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59.83</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永嘉县楠溪江南陈观光农业有限公司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7</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3303240022021003</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3303240022021003</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综合用地(含住宅)</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32079.05</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96237.15</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1.0&lt;容积率≤3.0</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城镇住宅用地(普通商品房)/兼容零售商业、餐饮、旅馆用地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2021/3/10</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80600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8375</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30</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1675.04</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温州隆悦企业管理咨询有限公司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8</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3303240072020011</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3303240072020011</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综合用地(含住宅)</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7165.44</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22212.86</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1.0&lt;容积率≤3.1</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城镇住宅用地(普通商品房)/兼容零售商业、餐饮、旅馆、商务金融用地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2021/1/29</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8950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4029</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0.56</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832.7</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永嘉中晟置业有限公司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9</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3303240012020022</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3303240012020022</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综合用地(含住宅)</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39439.37</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114374.17</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1.0&lt;容积率≤2.9</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住宅、商服</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2021/1/22</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43000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3760</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1.18</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726.86</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杭州正言置业有限公司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10</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东城街道</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3303240012020017</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16091.3</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43285.6</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大于1并且小于或等于2.69</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城镇住宅-普通商品住房用地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2020/12/16</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50700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11713</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30</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2100.52</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上海正隆置业有限公司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11</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永嘉县南城街道城中村改造C地块</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3303240012020016</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综合用地(含住宅)</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30457.15</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118478.31</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&gt;1.0且≤3.89</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城镇住宅用地兼容零售商业、餐饮、旅馆、商务金融用地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2020/10/28</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21500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1815</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0</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470.61</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永嘉嘉程置业有限公司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12</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永嘉县北城街道永建路C区旧城建设项目</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3303240012020013</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综合用地(含住宅)</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18967.21</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58798.35</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&gt;1.0且≤3.1</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城镇住宅用地兼容零售商业、餐饮、旅馆、商务金融用地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2020/8/19</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24400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4150</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17.31</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857.62</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温州温越置业有限公司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13</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桥头镇壬田村</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3303240042020006</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30099.88</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90299.64</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大于1并且小于或等于3</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城镇住宅用地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2020/6/24</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39467</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4371</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1.81</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874.14</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温州市梁凯置业有限公司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14</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东城街道浦东村</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3303240012020004</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30316.44</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81854.39</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大于1并且小于或等于2.7</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城镇住宅用地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2020/4/30</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37550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4587</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8.84</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825.74</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温州恒鑫置业有限公司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15</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三江梅园村</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3303240032020001</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69929.22</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153844.28</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大于1并且小于或等于2.2</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城镇住宅用地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2020/3/25</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58100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3777</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22.06</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553.9</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徐州新绿州房地产咨询有限公司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16</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瓯北城市新区前牌-王家坞村</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3303240022020001</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69825.82</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209477.46</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大于1并且小于或等于3</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城镇住宅用地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2020/2/12</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252700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12063</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32.79</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2412.68</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温州浩盛企业管理有限公司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17</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瓯北街道报喜鸟老工业园区</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3303240022019046</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32778.84</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78669.22</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大于1并且小于或等于2.4</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城镇住宅用地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2020/1/17</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30700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3902</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12.45</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624.39</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永嘉中锐置业有限公司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18</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桥头镇桥一村</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3303240032019010</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7791.67</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19479.18</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大于1并且小于或等于2.5</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城镇住宅用地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2019/11/28</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19100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9805</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57.85</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1634.23</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中建国际投资(杭州)有限公司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19</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桥下镇主城区</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3303240042019010</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62107.83</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118004.88</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大于1并且小于或等于1.9</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城镇住宅用地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2019/9/11</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62600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5305</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9.82</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671.95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浙江百川置业有限公司 祝成集团有限公司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乌牛街道</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3303240052019006</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23957.28</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71871.84</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大于1并且小于或等于3</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城镇住宅用地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2019/7/18</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39850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5545</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53.27</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1108.92</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温州瑞乾置业有限公司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21</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瓯北城市新区花岙村</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3303240022019010</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17796.67</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53390.01</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大于1并且小于或等于3</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城镇住宅用地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2019/5/30</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22860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4282</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69.84</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856.34</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祝成集团有限公司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22</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上塘中心城区</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3303240012019007</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3394.56</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6789.12</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大于1并且小于或等于2</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城镇住宅用地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2019/5/29</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6530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9618</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30.6</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1282.45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永嘉鸿墅置业有限公司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23</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瓯北城市新区浦一村</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3303240022019006</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9507.55</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28522.65</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大于1并且小于或等于3</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城镇住宅用地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2019/5/22</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20712</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7262</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45.23</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1452.33</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温州佳翔企业管理有限公司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24</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上塘中心城区</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3303240012019006</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9017.8</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19839.16</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大于1并且小于或等于2.2</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城镇住宅用地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2019/5/15</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12770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6437</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0.79</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944.06</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永嘉楠城置业有限公司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25</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瓯北城市新区清水埠</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3303240022019005</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69851</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195582.8</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大于1并且小于或等于2.8</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城镇住宅用地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2019/5/8</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121200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6197</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21.2</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1156.75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浙江欣元投资管理有限公司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26</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桥头镇壬田洋</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3303240032019001</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6666.74</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20000.22</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大于1并且小于或等于3</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城镇住宅用地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2019/4/19</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8720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4360</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45.33</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871.99</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温州市中兴房地产开发有限公司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27</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巽宅镇巽宅村</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3303240122018002</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4929</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8872.2</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大于1并且小于或等于1.8</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中低价位、中小套型普通商品住房用地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2019/1/10</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1520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1713</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55.1</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205.59</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苏州华南房地产开发有限公司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28</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瓯北城市新区新桥村</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3303240022018010</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6965.7</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20897.1</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大于1并且小于或等于3</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中低价位、中小套型普通商品住房用地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2019/1/4</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7487</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3583</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0</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716.56</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永嘉新桥房地产开发有限公司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29</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三江商务区</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3303240022018011</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57336.17</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245972.2</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大于1.5并且小于或等于4.29</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中低价位、中小套型普通商品住房用地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2018/11/30</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156400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6358</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70</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1818.52</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浙江首晟投资管理有限公司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30</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南城街道仁堂村</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3303240012018002</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8072.59</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16145.18</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大于1并且小于或等于2</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中低价位、中小套型普通商品住房用地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2018/9/12</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3726</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2308</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0</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307.71</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王成德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31</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北城街道三元堂村</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3303240012018003</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3815.34</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9538.35</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大于1并且小于或等于2.5</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中低价位、中小套型普通商品住房用地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2018/8/9</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2776</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2910</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0.36</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485.06</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浙江鸿鑫房地产开发有限公司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32</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瓯北城市新区新桥村、码道村</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3303240022018009</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44116.2</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123525.36</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大于1并且小于或等于2.8</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中低价位、中小套型普通商品住房用地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2018/8/3</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44716</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3620</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7.45</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675.73</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温州华悦置业有限公司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瓯北城市新区前牌村</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3303240022018008</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2009.04</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5826.22</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大于1并且小于或等于2.9</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中低价位、中小套型普通商品住房用地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2018/6/29</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2210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3793</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0</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733.36</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温州坤宏置业有限公司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34</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北城街道中后村</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3303240012018002</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69931.3</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240563.67</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大于或等于3.44并且小于或等于3.44</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中低价位、中小套型普通商品住房用地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2018/6/27</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49300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2049</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70</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469.99</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温州市京都房地产开发有限公司 上海快都置业有限公司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35</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瓯北城市新区清水埠</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3303240022018005</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69816</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181521.6</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大于1并且小于或等于2.6</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中低价位、中小套型普通商品住房用地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2018/3/16</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65605</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3614</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0</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626.46</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温州鸿兴置业有限公司  </w:t>
            </w:r>
          </w:p>
        </w:tc>
      </w:tr>
      <w:tr>
        <w:tblPrEx>
          <w:tblCellMar>
            <w:top w:w="0" w:type="dxa"/>
            <w:left w:w="108" w:type="dxa"/>
            <w:bottom w:w="0" w:type="dxa"/>
            <w:right w:w="108" w:type="dxa"/>
          </w:tblCellMar>
        </w:tblPrEx>
        <w:trPr>
          <w:trHeight w:val="312" w:hRule="atLeast"/>
          <w:jc w:val="center"/>
        </w:trPr>
        <w:tc>
          <w:tcPr>
            <w:tcW w:w="4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36</w:t>
            </w:r>
          </w:p>
        </w:tc>
        <w:tc>
          <w:tcPr>
            <w:tcW w:w="113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南城街道中兴、中西村</w:t>
            </w:r>
          </w:p>
        </w:tc>
        <w:tc>
          <w:tcPr>
            <w:tcW w:w="9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3303240012017010</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26415.19</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73962.53</w:t>
            </w:r>
          </w:p>
        </w:tc>
        <w:tc>
          <w:tcPr>
            <w:tcW w:w="94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大于1并且小于或等于2.8</w:t>
            </w:r>
          </w:p>
        </w:tc>
        <w:tc>
          <w:tcPr>
            <w:tcW w:w="6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挂牌</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 中低价位、中小套型普通商品住房用地</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2018/1/4</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17000</w:t>
            </w:r>
          </w:p>
        </w:tc>
        <w:tc>
          <w:tcPr>
            <w:tcW w:w="8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2298</w:t>
            </w:r>
          </w:p>
        </w:tc>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0</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429.05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sz w:val="15"/>
                <w:szCs w:val="15"/>
              </w:rPr>
            </w:pPr>
            <w:r>
              <w:rPr>
                <w:rFonts w:ascii="Arial" w:hAnsi="Arial" w:cs="Arial"/>
                <w:sz w:val="15"/>
                <w:szCs w:val="15"/>
              </w:rPr>
              <w:t xml:space="preserve">楠盛置业有限公司  </w:t>
            </w:r>
          </w:p>
        </w:tc>
      </w:tr>
    </w:tbl>
    <w:p>
      <w:pPr>
        <w:widowControl w:val="0"/>
        <w:adjustRightInd w:val="0"/>
        <w:snapToGrid w:val="0"/>
        <w:spacing w:line="480" w:lineRule="auto"/>
        <w:jc w:val="both"/>
        <w:rPr>
          <w:rFonts w:ascii="Arial" w:hAnsi="Arial" w:cs="Arial"/>
          <w:color w:val="000000"/>
          <w:sz w:val="21"/>
          <w:szCs w:val="21"/>
        </w:rPr>
      </w:pPr>
      <w:r>
        <w:rPr>
          <w:rFonts w:hint="eastAsia" w:ascii="华文细黑" w:hAnsi="华文细黑" w:eastAsia="华文细黑" w:cs="Arial"/>
          <w:color w:val="000000"/>
          <w:sz w:val="15"/>
          <w:szCs w:val="15"/>
        </w:rPr>
        <w:t>资料来源：</w:t>
      </w:r>
      <w:r>
        <w:rPr>
          <w:rFonts w:ascii="Arial" w:hAnsi="Arial" w:eastAsia="华文细黑" w:cs="Arial"/>
          <w:color w:val="000000"/>
          <w:sz w:val="15"/>
          <w:szCs w:val="15"/>
        </w:rPr>
        <w:t>CREIS</w:t>
      </w:r>
      <w:r>
        <w:rPr>
          <w:rFonts w:hint="eastAsia" w:ascii="华文细黑" w:hAnsi="华文细黑" w:eastAsia="华文细黑" w:cs="Arial"/>
          <w:color w:val="000000"/>
          <w:sz w:val="15"/>
          <w:szCs w:val="15"/>
        </w:rPr>
        <w:t>中指数据</w:t>
      </w:r>
    </w:p>
    <w:p>
      <w:pPr>
        <w:widowControl w:val="0"/>
        <w:adjustRightInd w:val="0"/>
        <w:snapToGrid w:val="0"/>
        <w:spacing w:line="480" w:lineRule="auto"/>
        <w:jc w:val="center"/>
        <w:rPr>
          <w:rFonts w:ascii="Arial" w:hAnsi="Arial" w:cs="Arial"/>
          <w:color w:val="000000"/>
          <w:sz w:val="21"/>
          <w:szCs w:val="21"/>
        </w:rPr>
      </w:pPr>
    </w:p>
    <w:p>
      <w:pPr>
        <w:widowControl w:val="0"/>
        <w:adjustRightInd w:val="0"/>
        <w:snapToGrid w:val="0"/>
        <w:spacing w:line="480" w:lineRule="auto"/>
        <w:jc w:val="center"/>
        <w:rPr>
          <w:rFonts w:ascii="Arial" w:hAnsi="Arial" w:cs="Arial"/>
          <w:color w:val="000000"/>
          <w:sz w:val="21"/>
          <w:szCs w:val="21"/>
        </w:rPr>
      </w:pPr>
    </w:p>
    <w:p>
      <w:pPr>
        <w:widowControl w:val="0"/>
        <w:adjustRightInd w:val="0"/>
        <w:snapToGrid w:val="0"/>
        <w:spacing w:line="480" w:lineRule="auto"/>
        <w:jc w:val="center"/>
        <w:rPr>
          <w:rFonts w:ascii="Arial" w:hAnsi="Arial" w:cs="Arial"/>
          <w:color w:val="000000"/>
          <w:sz w:val="21"/>
          <w:szCs w:val="21"/>
        </w:rPr>
      </w:pPr>
    </w:p>
    <w:p>
      <w:pPr>
        <w:widowControl w:val="0"/>
        <w:adjustRightInd w:val="0"/>
        <w:snapToGrid w:val="0"/>
        <w:spacing w:line="480" w:lineRule="auto"/>
        <w:jc w:val="center"/>
        <w:rPr>
          <w:rFonts w:ascii="Arial" w:hAnsi="Arial" w:cs="Arial"/>
          <w:color w:val="000000"/>
          <w:sz w:val="21"/>
          <w:szCs w:val="21"/>
        </w:rPr>
      </w:pPr>
    </w:p>
    <w:p>
      <w:pPr>
        <w:widowControl w:val="0"/>
        <w:adjustRightInd w:val="0"/>
        <w:snapToGrid w:val="0"/>
        <w:spacing w:line="480" w:lineRule="auto"/>
        <w:jc w:val="center"/>
        <w:rPr>
          <w:rFonts w:ascii="Arial" w:hAnsi="Arial" w:cs="Arial"/>
          <w:color w:val="000000"/>
          <w:sz w:val="21"/>
          <w:szCs w:val="21"/>
        </w:rPr>
      </w:pPr>
    </w:p>
    <w:p>
      <w:pPr>
        <w:widowControl w:val="0"/>
        <w:adjustRightInd w:val="0"/>
        <w:snapToGrid w:val="0"/>
        <w:spacing w:line="480" w:lineRule="auto"/>
        <w:jc w:val="center"/>
        <w:rPr>
          <w:rFonts w:ascii="Arial" w:hAnsi="Arial" w:cs="Arial"/>
          <w:color w:val="000000"/>
          <w:sz w:val="21"/>
          <w:szCs w:val="21"/>
        </w:rPr>
      </w:pPr>
    </w:p>
    <w:p>
      <w:pPr>
        <w:widowControl w:val="0"/>
        <w:adjustRightInd w:val="0"/>
        <w:snapToGrid w:val="0"/>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经数据分析，永嘉县2020年6月开始引入限地价成交政策，2020年6月起，陆续推出10宗限地价成交地块，有2宗成交地块达到上限价格，达到上限价格时，转为竞报配套用房（政策性住房），剩余8宗地块均未达到土地成交价格上限。具体如下：</w:t>
      </w:r>
    </w:p>
    <w:tbl>
      <w:tblPr>
        <w:tblStyle w:val="36"/>
        <w:tblW w:w="14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0"/>
        <w:gridCol w:w="989"/>
        <w:gridCol w:w="1024"/>
        <w:gridCol w:w="983"/>
        <w:gridCol w:w="829"/>
        <w:gridCol w:w="718"/>
        <w:gridCol w:w="1044"/>
        <w:gridCol w:w="881"/>
        <w:gridCol w:w="748"/>
        <w:gridCol w:w="768"/>
        <w:gridCol w:w="573"/>
        <w:gridCol w:w="665"/>
        <w:gridCol w:w="697"/>
        <w:gridCol w:w="665"/>
        <w:gridCol w:w="655"/>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70" w:type="dxa"/>
            <w:shd w:val="clear" w:color="auto" w:fill="auto"/>
            <w:noWrap/>
            <w:vAlign w:val="center"/>
          </w:tcPr>
          <w:p>
            <w:pPr>
              <w:jc w:val="both"/>
              <w:rPr>
                <w:rFonts w:ascii="Arial" w:hAnsi="Arial" w:cs="Arial"/>
                <w:sz w:val="15"/>
                <w:szCs w:val="15"/>
              </w:rPr>
            </w:pPr>
            <w:r>
              <w:rPr>
                <w:rFonts w:ascii="Arial" w:hAnsi="Arial" w:cs="Arial"/>
                <w:sz w:val="15"/>
                <w:szCs w:val="15"/>
              </w:rPr>
              <w:t>序号</w:t>
            </w:r>
          </w:p>
        </w:tc>
        <w:tc>
          <w:tcPr>
            <w:tcW w:w="892" w:type="dxa"/>
            <w:shd w:val="clear" w:color="auto" w:fill="auto"/>
            <w:noWrap/>
            <w:vAlign w:val="center"/>
          </w:tcPr>
          <w:p>
            <w:pPr>
              <w:jc w:val="both"/>
              <w:rPr>
                <w:rFonts w:ascii="Arial" w:hAnsi="Arial" w:cs="Arial"/>
                <w:sz w:val="15"/>
                <w:szCs w:val="15"/>
              </w:rPr>
            </w:pPr>
            <w:r>
              <w:rPr>
                <w:rFonts w:ascii="Arial" w:hAnsi="Arial" w:cs="Arial"/>
                <w:sz w:val="15"/>
                <w:szCs w:val="15"/>
              </w:rPr>
              <w:t>地块名称</w:t>
            </w:r>
          </w:p>
        </w:tc>
        <w:tc>
          <w:tcPr>
            <w:tcW w:w="923" w:type="dxa"/>
            <w:shd w:val="clear" w:color="auto" w:fill="auto"/>
            <w:noWrap/>
            <w:vAlign w:val="center"/>
          </w:tcPr>
          <w:p>
            <w:pPr>
              <w:jc w:val="both"/>
              <w:rPr>
                <w:rFonts w:ascii="Arial" w:hAnsi="Arial" w:cs="Arial"/>
                <w:sz w:val="15"/>
                <w:szCs w:val="15"/>
              </w:rPr>
            </w:pPr>
            <w:r>
              <w:rPr>
                <w:rFonts w:ascii="Arial" w:hAnsi="Arial" w:cs="Arial"/>
                <w:sz w:val="15"/>
                <w:szCs w:val="15"/>
              </w:rPr>
              <w:t>用地性质</w:t>
            </w:r>
          </w:p>
        </w:tc>
        <w:tc>
          <w:tcPr>
            <w:tcW w:w="886" w:type="dxa"/>
            <w:shd w:val="clear" w:color="auto" w:fill="auto"/>
            <w:noWrap/>
            <w:vAlign w:val="center"/>
          </w:tcPr>
          <w:p>
            <w:pPr>
              <w:jc w:val="both"/>
              <w:rPr>
                <w:rFonts w:ascii="Arial" w:hAnsi="Arial" w:cs="Arial"/>
                <w:sz w:val="15"/>
                <w:szCs w:val="15"/>
              </w:rPr>
            </w:pPr>
            <w:r>
              <w:rPr>
                <w:rFonts w:ascii="Arial" w:hAnsi="Arial" w:cs="Arial"/>
                <w:sz w:val="15"/>
                <w:szCs w:val="15"/>
              </w:rPr>
              <w:t>建设用地面积(㎡)</w:t>
            </w:r>
          </w:p>
        </w:tc>
        <w:tc>
          <w:tcPr>
            <w:tcW w:w="747" w:type="dxa"/>
            <w:shd w:val="clear" w:color="auto" w:fill="auto"/>
            <w:noWrap/>
            <w:vAlign w:val="center"/>
          </w:tcPr>
          <w:p>
            <w:pPr>
              <w:jc w:val="both"/>
              <w:rPr>
                <w:rFonts w:ascii="Arial" w:hAnsi="Arial" w:cs="Arial"/>
                <w:sz w:val="15"/>
                <w:szCs w:val="15"/>
              </w:rPr>
            </w:pPr>
            <w:r>
              <w:rPr>
                <w:rFonts w:ascii="Arial" w:hAnsi="Arial" w:cs="Arial"/>
                <w:sz w:val="15"/>
                <w:szCs w:val="15"/>
              </w:rPr>
              <w:t>规划建筑面积(㎡)</w:t>
            </w:r>
          </w:p>
        </w:tc>
        <w:tc>
          <w:tcPr>
            <w:tcW w:w="647" w:type="dxa"/>
            <w:shd w:val="clear" w:color="auto" w:fill="auto"/>
            <w:noWrap/>
            <w:vAlign w:val="center"/>
          </w:tcPr>
          <w:p>
            <w:pPr>
              <w:jc w:val="both"/>
              <w:rPr>
                <w:rFonts w:ascii="Arial" w:hAnsi="Arial" w:cs="Arial"/>
                <w:sz w:val="15"/>
                <w:szCs w:val="15"/>
              </w:rPr>
            </w:pPr>
            <w:r>
              <w:rPr>
                <w:rFonts w:ascii="Arial" w:hAnsi="Arial" w:cs="Arial"/>
                <w:sz w:val="15"/>
                <w:szCs w:val="15"/>
              </w:rPr>
              <w:t>成交特殊政策</w:t>
            </w:r>
          </w:p>
        </w:tc>
        <w:tc>
          <w:tcPr>
            <w:tcW w:w="941" w:type="dxa"/>
            <w:shd w:val="clear" w:color="auto" w:fill="auto"/>
            <w:noWrap/>
            <w:vAlign w:val="center"/>
          </w:tcPr>
          <w:p>
            <w:pPr>
              <w:jc w:val="both"/>
              <w:rPr>
                <w:rFonts w:ascii="Arial" w:hAnsi="Arial" w:cs="Arial"/>
                <w:sz w:val="15"/>
                <w:szCs w:val="15"/>
              </w:rPr>
            </w:pPr>
            <w:r>
              <w:rPr>
                <w:rFonts w:ascii="Arial" w:hAnsi="Arial" w:cs="Arial"/>
                <w:sz w:val="15"/>
                <w:szCs w:val="15"/>
              </w:rPr>
              <w:t>保障房类型</w:t>
            </w:r>
          </w:p>
        </w:tc>
        <w:tc>
          <w:tcPr>
            <w:tcW w:w="794" w:type="dxa"/>
            <w:shd w:val="clear" w:color="auto" w:fill="auto"/>
            <w:noWrap/>
            <w:vAlign w:val="center"/>
          </w:tcPr>
          <w:p>
            <w:pPr>
              <w:jc w:val="both"/>
              <w:rPr>
                <w:rFonts w:ascii="Arial" w:hAnsi="Arial" w:cs="Arial"/>
                <w:sz w:val="15"/>
                <w:szCs w:val="15"/>
              </w:rPr>
            </w:pPr>
            <w:r>
              <w:rPr>
                <w:rFonts w:ascii="Arial" w:hAnsi="Arial" w:cs="Arial"/>
                <w:sz w:val="15"/>
                <w:szCs w:val="15"/>
              </w:rPr>
              <w:t>成交日期</w:t>
            </w:r>
          </w:p>
        </w:tc>
        <w:tc>
          <w:tcPr>
            <w:tcW w:w="674" w:type="dxa"/>
            <w:shd w:val="clear" w:color="auto" w:fill="auto"/>
            <w:noWrap/>
            <w:vAlign w:val="center"/>
          </w:tcPr>
          <w:p>
            <w:pPr>
              <w:jc w:val="both"/>
              <w:rPr>
                <w:rFonts w:ascii="Arial" w:hAnsi="Arial" w:cs="Arial"/>
                <w:sz w:val="15"/>
                <w:szCs w:val="15"/>
              </w:rPr>
            </w:pPr>
            <w:r>
              <w:rPr>
                <w:rFonts w:ascii="Arial" w:hAnsi="Arial" w:cs="Arial"/>
                <w:sz w:val="15"/>
                <w:szCs w:val="15"/>
              </w:rPr>
              <w:t>成交价(万元)</w:t>
            </w:r>
          </w:p>
        </w:tc>
        <w:tc>
          <w:tcPr>
            <w:tcW w:w="692" w:type="dxa"/>
            <w:shd w:val="clear" w:color="auto" w:fill="auto"/>
            <w:noWrap/>
            <w:vAlign w:val="center"/>
          </w:tcPr>
          <w:p>
            <w:pPr>
              <w:jc w:val="both"/>
              <w:rPr>
                <w:rFonts w:ascii="Arial" w:hAnsi="Arial" w:cs="Arial"/>
                <w:sz w:val="15"/>
                <w:szCs w:val="15"/>
              </w:rPr>
            </w:pPr>
            <w:r>
              <w:rPr>
                <w:rFonts w:ascii="Arial" w:hAnsi="Arial" w:cs="Arial"/>
                <w:sz w:val="15"/>
                <w:szCs w:val="15"/>
              </w:rPr>
              <w:t>成交楼面价(元/㎡)</w:t>
            </w:r>
          </w:p>
        </w:tc>
        <w:tc>
          <w:tcPr>
            <w:tcW w:w="517" w:type="dxa"/>
            <w:shd w:val="clear" w:color="auto" w:fill="auto"/>
            <w:noWrap/>
            <w:vAlign w:val="center"/>
          </w:tcPr>
          <w:p>
            <w:pPr>
              <w:jc w:val="both"/>
              <w:rPr>
                <w:rFonts w:ascii="Arial" w:hAnsi="Arial" w:cs="Arial"/>
                <w:sz w:val="15"/>
                <w:szCs w:val="15"/>
              </w:rPr>
            </w:pPr>
            <w:r>
              <w:rPr>
                <w:rFonts w:ascii="Arial" w:hAnsi="Arial" w:cs="Arial"/>
                <w:sz w:val="15"/>
                <w:szCs w:val="15"/>
              </w:rPr>
              <w:t>溢价率(%)</w:t>
            </w:r>
          </w:p>
        </w:tc>
        <w:tc>
          <w:tcPr>
            <w:tcW w:w="600" w:type="dxa"/>
            <w:shd w:val="clear" w:color="auto" w:fill="auto"/>
            <w:noWrap/>
            <w:vAlign w:val="center"/>
          </w:tcPr>
          <w:p>
            <w:pPr>
              <w:jc w:val="both"/>
              <w:rPr>
                <w:rFonts w:ascii="Arial" w:hAnsi="Arial" w:cs="Arial"/>
                <w:sz w:val="15"/>
                <w:szCs w:val="15"/>
              </w:rPr>
            </w:pPr>
            <w:r>
              <w:rPr>
                <w:rFonts w:ascii="Arial" w:hAnsi="Arial" w:cs="Arial"/>
                <w:sz w:val="15"/>
                <w:szCs w:val="15"/>
              </w:rPr>
              <w:t>限地价(万元)</w:t>
            </w:r>
          </w:p>
        </w:tc>
        <w:tc>
          <w:tcPr>
            <w:tcW w:w="628"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触达限地价</w:t>
            </w:r>
          </w:p>
        </w:tc>
        <w:tc>
          <w:tcPr>
            <w:tcW w:w="600"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楼面价上限(元/㎡)</w:t>
            </w:r>
          </w:p>
        </w:tc>
        <w:tc>
          <w:tcPr>
            <w:tcW w:w="591"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溢价率上限(%)</w:t>
            </w:r>
          </w:p>
        </w:tc>
        <w:tc>
          <w:tcPr>
            <w:tcW w:w="2483"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70" w:type="dxa"/>
            <w:shd w:val="clear" w:color="auto" w:fill="auto"/>
            <w:noWrap/>
            <w:vAlign w:val="center"/>
          </w:tcPr>
          <w:p>
            <w:pPr>
              <w:jc w:val="both"/>
              <w:rPr>
                <w:rFonts w:ascii="Arial" w:hAnsi="Arial" w:cs="Arial"/>
                <w:sz w:val="15"/>
                <w:szCs w:val="15"/>
              </w:rPr>
            </w:pPr>
            <w:r>
              <w:rPr>
                <w:rFonts w:ascii="Arial" w:hAnsi="Arial" w:cs="Arial"/>
                <w:sz w:val="15"/>
                <w:szCs w:val="15"/>
              </w:rPr>
              <w:t>1</w:t>
            </w:r>
          </w:p>
        </w:tc>
        <w:tc>
          <w:tcPr>
            <w:tcW w:w="892" w:type="dxa"/>
            <w:shd w:val="clear" w:color="auto" w:fill="auto"/>
            <w:noWrap/>
            <w:vAlign w:val="center"/>
          </w:tcPr>
          <w:p>
            <w:pPr>
              <w:jc w:val="both"/>
              <w:rPr>
                <w:rFonts w:ascii="Arial" w:hAnsi="Arial" w:cs="Arial"/>
                <w:sz w:val="15"/>
                <w:szCs w:val="15"/>
              </w:rPr>
            </w:pPr>
            <w:r>
              <w:rPr>
                <w:rFonts w:ascii="Arial" w:hAnsi="Arial" w:cs="Arial"/>
                <w:sz w:val="15"/>
                <w:szCs w:val="15"/>
              </w:rPr>
              <w:t>3303240022021013</w:t>
            </w:r>
          </w:p>
        </w:tc>
        <w:tc>
          <w:tcPr>
            <w:tcW w:w="923" w:type="dxa"/>
            <w:shd w:val="clear" w:color="auto" w:fill="auto"/>
            <w:noWrap/>
            <w:vAlign w:val="center"/>
          </w:tcPr>
          <w:p>
            <w:pPr>
              <w:jc w:val="both"/>
              <w:rPr>
                <w:rFonts w:ascii="Arial" w:hAnsi="Arial" w:cs="Arial"/>
                <w:sz w:val="15"/>
                <w:szCs w:val="15"/>
              </w:rPr>
            </w:pPr>
            <w:r>
              <w:rPr>
                <w:rFonts w:ascii="Arial" w:hAnsi="Arial" w:cs="Arial"/>
                <w:sz w:val="15"/>
                <w:szCs w:val="15"/>
              </w:rPr>
              <w:t xml:space="preserve"> 综合用地(含住宅)</w:t>
            </w:r>
          </w:p>
        </w:tc>
        <w:tc>
          <w:tcPr>
            <w:tcW w:w="886" w:type="dxa"/>
            <w:shd w:val="clear" w:color="auto" w:fill="auto"/>
            <w:noWrap/>
            <w:vAlign w:val="center"/>
          </w:tcPr>
          <w:p>
            <w:pPr>
              <w:jc w:val="both"/>
              <w:rPr>
                <w:rFonts w:ascii="Arial" w:hAnsi="Arial" w:cs="Arial"/>
                <w:sz w:val="15"/>
                <w:szCs w:val="15"/>
              </w:rPr>
            </w:pPr>
            <w:r>
              <w:rPr>
                <w:rFonts w:ascii="Arial" w:hAnsi="Arial" w:cs="Arial"/>
                <w:sz w:val="15"/>
                <w:szCs w:val="15"/>
              </w:rPr>
              <w:t>7034.5</w:t>
            </w:r>
          </w:p>
        </w:tc>
        <w:tc>
          <w:tcPr>
            <w:tcW w:w="747" w:type="dxa"/>
            <w:shd w:val="clear" w:color="auto" w:fill="auto"/>
            <w:noWrap/>
            <w:vAlign w:val="center"/>
          </w:tcPr>
          <w:p>
            <w:pPr>
              <w:jc w:val="both"/>
              <w:rPr>
                <w:rFonts w:ascii="Arial" w:hAnsi="Arial" w:cs="Arial"/>
                <w:sz w:val="15"/>
                <w:szCs w:val="15"/>
              </w:rPr>
            </w:pPr>
            <w:r>
              <w:rPr>
                <w:rFonts w:ascii="Arial" w:hAnsi="Arial" w:cs="Arial"/>
                <w:sz w:val="15"/>
                <w:szCs w:val="15"/>
              </w:rPr>
              <w:t>21103.5</w:t>
            </w:r>
          </w:p>
        </w:tc>
        <w:tc>
          <w:tcPr>
            <w:tcW w:w="647" w:type="dxa"/>
            <w:shd w:val="clear" w:color="auto" w:fill="auto"/>
            <w:noWrap/>
            <w:vAlign w:val="center"/>
          </w:tcPr>
          <w:p>
            <w:pPr>
              <w:jc w:val="both"/>
              <w:rPr>
                <w:rFonts w:ascii="Arial" w:hAnsi="Arial" w:cs="Arial"/>
                <w:sz w:val="15"/>
                <w:szCs w:val="15"/>
              </w:rPr>
            </w:pPr>
            <w:r>
              <w:rPr>
                <w:rFonts w:ascii="Arial" w:hAnsi="Arial" w:cs="Arial"/>
                <w:sz w:val="15"/>
                <w:szCs w:val="15"/>
              </w:rPr>
              <w:t xml:space="preserve"> 限地价</w:t>
            </w:r>
          </w:p>
        </w:tc>
        <w:tc>
          <w:tcPr>
            <w:tcW w:w="941" w:type="dxa"/>
            <w:shd w:val="clear" w:color="auto" w:fill="auto"/>
            <w:noWrap/>
            <w:vAlign w:val="center"/>
          </w:tcPr>
          <w:p>
            <w:pPr>
              <w:jc w:val="both"/>
              <w:rPr>
                <w:rFonts w:ascii="Arial" w:hAnsi="Arial" w:cs="Arial"/>
                <w:sz w:val="15"/>
                <w:szCs w:val="15"/>
              </w:rPr>
            </w:pPr>
            <w:r>
              <w:rPr>
                <w:rFonts w:ascii="Arial" w:hAnsi="Arial" w:cs="Arial"/>
                <w:sz w:val="15"/>
                <w:szCs w:val="15"/>
              </w:rPr>
              <w:t xml:space="preserve"> 定向安置房</w:t>
            </w:r>
          </w:p>
        </w:tc>
        <w:tc>
          <w:tcPr>
            <w:tcW w:w="794" w:type="dxa"/>
            <w:shd w:val="clear" w:color="auto" w:fill="auto"/>
            <w:noWrap/>
            <w:vAlign w:val="center"/>
          </w:tcPr>
          <w:p>
            <w:pPr>
              <w:jc w:val="both"/>
              <w:rPr>
                <w:rFonts w:ascii="Arial" w:hAnsi="Arial" w:cs="Arial"/>
                <w:sz w:val="15"/>
                <w:szCs w:val="15"/>
              </w:rPr>
            </w:pPr>
            <w:r>
              <w:rPr>
                <w:rFonts w:ascii="Arial" w:hAnsi="Arial" w:cs="Arial"/>
                <w:sz w:val="15"/>
                <w:szCs w:val="15"/>
              </w:rPr>
              <w:t>2021/8/12</w:t>
            </w:r>
          </w:p>
        </w:tc>
        <w:tc>
          <w:tcPr>
            <w:tcW w:w="674" w:type="dxa"/>
            <w:shd w:val="clear" w:color="auto" w:fill="auto"/>
            <w:noWrap/>
            <w:vAlign w:val="center"/>
          </w:tcPr>
          <w:p>
            <w:pPr>
              <w:jc w:val="both"/>
              <w:rPr>
                <w:rFonts w:ascii="Arial" w:hAnsi="Arial" w:cs="Arial"/>
                <w:sz w:val="15"/>
                <w:szCs w:val="15"/>
              </w:rPr>
            </w:pPr>
            <w:r>
              <w:rPr>
                <w:rFonts w:ascii="Arial" w:hAnsi="Arial" w:cs="Arial"/>
                <w:sz w:val="15"/>
                <w:szCs w:val="15"/>
              </w:rPr>
              <w:t>14100</w:t>
            </w:r>
          </w:p>
        </w:tc>
        <w:tc>
          <w:tcPr>
            <w:tcW w:w="692" w:type="dxa"/>
            <w:shd w:val="clear" w:color="auto" w:fill="auto"/>
            <w:noWrap/>
            <w:vAlign w:val="center"/>
          </w:tcPr>
          <w:p>
            <w:pPr>
              <w:jc w:val="both"/>
              <w:rPr>
                <w:rFonts w:ascii="Arial" w:hAnsi="Arial" w:cs="Arial"/>
                <w:sz w:val="15"/>
                <w:szCs w:val="15"/>
              </w:rPr>
            </w:pPr>
            <w:r>
              <w:rPr>
                <w:rFonts w:ascii="Arial" w:hAnsi="Arial" w:cs="Arial"/>
                <w:sz w:val="15"/>
                <w:szCs w:val="15"/>
              </w:rPr>
              <w:t>6681</w:t>
            </w:r>
          </w:p>
        </w:tc>
        <w:tc>
          <w:tcPr>
            <w:tcW w:w="517" w:type="dxa"/>
            <w:shd w:val="clear" w:color="auto" w:fill="auto"/>
            <w:noWrap/>
            <w:vAlign w:val="center"/>
          </w:tcPr>
          <w:p>
            <w:pPr>
              <w:jc w:val="both"/>
              <w:rPr>
                <w:rFonts w:ascii="Arial" w:hAnsi="Arial" w:cs="Arial"/>
                <w:sz w:val="15"/>
                <w:szCs w:val="15"/>
              </w:rPr>
            </w:pPr>
            <w:r>
              <w:rPr>
                <w:rFonts w:ascii="Arial" w:hAnsi="Arial" w:cs="Arial"/>
                <w:sz w:val="15"/>
                <w:szCs w:val="15"/>
              </w:rPr>
              <w:t>29.36</w:t>
            </w:r>
          </w:p>
        </w:tc>
        <w:tc>
          <w:tcPr>
            <w:tcW w:w="600" w:type="dxa"/>
            <w:shd w:val="clear" w:color="auto" w:fill="auto"/>
            <w:noWrap/>
            <w:vAlign w:val="center"/>
          </w:tcPr>
          <w:p>
            <w:pPr>
              <w:jc w:val="both"/>
              <w:rPr>
                <w:rFonts w:ascii="Arial" w:hAnsi="Arial" w:cs="Arial"/>
                <w:sz w:val="15"/>
                <w:szCs w:val="15"/>
              </w:rPr>
            </w:pPr>
            <w:r>
              <w:rPr>
                <w:rFonts w:ascii="Arial" w:hAnsi="Arial" w:cs="Arial"/>
                <w:sz w:val="15"/>
                <w:szCs w:val="15"/>
              </w:rPr>
              <w:t>14100</w:t>
            </w:r>
          </w:p>
        </w:tc>
        <w:tc>
          <w:tcPr>
            <w:tcW w:w="628"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 xml:space="preserve"> 触达</w:t>
            </w:r>
          </w:p>
        </w:tc>
        <w:tc>
          <w:tcPr>
            <w:tcW w:w="600"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6681</w:t>
            </w:r>
          </w:p>
        </w:tc>
        <w:tc>
          <w:tcPr>
            <w:tcW w:w="591"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29.36</w:t>
            </w:r>
          </w:p>
        </w:tc>
        <w:tc>
          <w:tcPr>
            <w:tcW w:w="2483"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配建计容建筑面积≥5800平方米定向安置房及配套55个地下车位，回迁安置房以4200元/平方米回购，地下车位以10万元/车位回购）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70" w:type="dxa"/>
            <w:shd w:val="clear" w:color="auto" w:fill="auto"/>
            <w:noWrap/>
            <w:vAlign w:val="center"/>
          </w:tcPr>
          <w:p>
            <w:pPr>
              <w:jc w:val="both"/>
              <w:rPr>
                <w:rFonts w:ascii="Arial" w:hAnsi="Arial" w:cs="Arial"/>
                <w:sz w:val="15"/>
                <w:szCs w:val="15"/>
              </w:rPr>
            </w:pPr>
            <w:r>
              <w:rPr>
                <w:rFonts w:ascii="Arial" w:hAnsi="Arial" w:cs="Arial"/>
                <w:sz w:val="15"/>
                <w:szCs w:val="15"/>
              </w:rPr>
              <w:t>2</w:t>
            </w:r>
          </w:p>
        </w:tc>
        <w:tc>
          <w:tcPr>
            <w:tcW w:w="892" w:type="dxa"/>
            <w:shd w:val="clear" w:color="auto" w:fill="auto"/>
            <w:noWrap/>
            <w:vAlign w:val="center"/>
          </w:tcPr>
          <w:p>
            <w:pPr>
              <w:jc w:val="both"/>
              <w:rPr>
                <w:rFonts w:ascii="Arial" w:hAnsi="Arial" w:cs="Arial"/>
                <w:sz w:val="15"/>
                <w:szCs w:val="15"/>
              </w:rPr>
            </w:pPr>
            <w:r>
              <w:rPr>
                <w:rFonts w:ascii="Arial" w:hAnsi="Arial" w:cs="Arial"/>
                <w:sz w:val="15"/>
                <w:szCs w:val="15"/>
              </w:rPr>
              <w:t>3303240012021010</w:t>
            </w:r>
          </w:p>
        </w:tc>
        <w:tc>
          <w:tcPr>
            <w:tcW w:w="923" w:type="dxa"/>
            <w:shd w:val="clear" w:color="auto" w:fill="auto"/>
            <w:noWrap/>
            <w:vAlign w:val="center"/>
          </w:tcPr>
          <w:p>
            <w:pPr>
              <w:jc w:val="both"/>
              <w:rPr>
                <w:rFonts w:ascii="Arial" w:hAnsi="Arial" w:cs="Arial"/>
                <w:sz w:val="15"/>
                <w:szCs w:val="15"/>
              </w:rPr>
            </w:pPr>
            <w:r>
              <w:rPr>
                <w:rFonts w:ascii="Arial" w:hAnsi="Arial" w:cs="Arial"/>
                <w:sz w:val="15"/>
                <w:szCs w:val="15"/>
              </w:rPr>
              <w:t xml:space="preserve"> 综合用地(含住宅)</w:t>
            </w:r>
          </w:p>
        </w:tc>
        <w:tc>
          <w:tcPr>
            <w:tcW w:w="886" w:type="dxa"/>
            <w:shd w:val="clear" w:color="auto" w:fill="auto"/>
            <w:noWrap/>
            <w:vAlign w:val="center"/>
          </w:tcPr>
          <w:p>
            <w:pPr>
              <w:jc w:val="both"/>
              <w:rPr>
                <w:rFonts w:ascii="Arial" w:hAnsi="Arial" w:cs="Arial"/>
                <w:sz w:val="15"/>
                <w:szCs w:val="15"/>
              </w:rPr>
            </w:pPr>
            <w:r>
              <w:rPr>
                <w:rFonts w:ascii="Arial" w:hAnsi="Arial" w:cs="Arial"/>
                <w:sz w:val="15"/>
                <w:szCs w:val="15"/>
              </w:rPr>
              <w:t>13285.65</w:t>
            </w:r>
          </w:p>
        </w:tc>
        <w:tc>
          <w:tcPr>
            <w:tcW w:w="747" w:type="dxa"/>
            <w:shd w:val="clear" w:color="auto" w:fill="auto"/>
            <w:noWrap/>
            <w:vAlign w:val="center"/>
          </w:tcPr>
          <w:p>
            <w:pPr>
              <w:jc w:val="both"/>
              <w:rPr>
                <w:rFonts w:ascii="Arial" w:hAnsi="Arial" w:cs="Arial"/>
                <w:sz w:val="15"/>
                <w:szCs w:val="15"/>
              </w:rPr>
            </w:pPr>
            <w:r>
              <w:rPr>
                <w:rFonts w:ascii="Arial" w:hAnsi="Arial" w:cs="Arial"/>
                <w:sz w:val="15"/>
                <w:szCs w:val="15"/>
              </w:rPr>
              <w:t>38926.95</w:t>
            </w:r>
          </w:p>
        </w:tc>
        <w:tc>
          <w:tcPr>
            <w:tcW w:w="647" w:type="dxa"/>
            <w:shd w:val="clear" w:color="auto" w:fill="auto"/>
            <w:noWrap/>
            <w:vAlign w:val="center"/>
          </w:tcPr>
          <w:p>
            <w:pPr>
              <w:jc w:val="both"/>
              <w:rPr>
                <w:rFonts w:ascii="Arial" w:hAnsi="Arial" w:cs="Arial"/>
                <w:sz w:val="15"/>
                <w:szCs w:val="15"/>
              </w:rPr>
            </w:pPr>
            <w:r>
              <w:rPr>
                <w:rFonts w:ascii="Arial" w:hAnsi="Arial" w:cs="Arial"/>
                <w:sz w:val="15"/>
                <w:szCs w:val="15"/>
              </w:rPr>
              <w:t xml:space="preserve"> 限地价</w:t>
            </w:r>
          </w:p>
        </w:tc>
        <w:tc>
          <w:tcPr>
            <w:tcW w:w="941" w:type="dxa"/>
            <w:shd w:val="clear" w:color="auto" w:fill="auto"/>
            <w:noWrap/>
            <w:vAlign w:val="center"/>
          </w:tcPr>
          <w:p>
            <w:pPr>
              <w:jc w:val="both"/>
              <w:rPr>
                <w:rFonts w:ascii="Arial" w:hAnsi="Arial" w:cs="Arial"/>
                <w:sz w:val="15"/>
                <w:szCs w:val="15"/>
              </w:rPr>
            </w:pPr>
            <w:r>
              <w:rPr>
                <w:rFonts w:ascii="Arial" w:hAnsi="Arial" w:cs="Arial"/>
                <w:sz w:val="15"/>
                <w:szCs w:val="15"/>
              </w:rPr>
              <w:t xml:space="preserve"> </w:t>
            </w:r>
            <w:r>
              <w:rPr>
                <w:rFonts w:hint="eastAsia" w:ascii="Arial" w:hAnsi="Arial" w:cs="Arial"/>
                <w:color w:val="000000"/>
                <w:sz w:val="15"/>
                <w:szCs w:val="15"/>
              </w:rPr>
              <w:t>——</w:t>
            </w:r>
          </w:p>
        </w:tc>
        <w:tc>
          <w:tcPr>
            <w:tcW w:w="794" w:type="dxa"/>
            <w:shd w:val="clear" w:color="auto" w:fill="auto"/>
            <w:noWrap/>
            <w:vAlign w:val="center"/>
          </w:tcPr>
          <w:p>
            <w:pPr>
              <w:jc w:val="both"/>
              <w:rPr>
                <w:rFonts w:ascii="Arial" w:hAnsi="Arial" w:cs="Arial"/>
                <w:sz w:val="15"/>
                <w:szCs w:val="15"/>
              </w:rPr>
            </w:pPr>
            <w:r>
              <w:rPr>
                <w:rFonts w:ascii="Arial" w:hAnsi="Arial" w:cs="Arial"/>
                <w:sz w:val="15"/>
                <w:szCs w:val="15"/>
              </w:rPr>
              <w:t>2021/8/11</w:t>
            </w:r>
          </w:p>
        </w:tc>
        <w:tc>
          <w:tcPr>
            <w:tcW w:w="674" w:type="dxa"/>
            <w:shd w:val="clear" w:color="auto" w:fill="auto"/>
            <w:noWrap/>
            <w:vAlign w:val="center"/>
          </w:tcPr>
          <w:p>
            <w:pPr>
              <w:jc w:val="both"/>
              <w:rPr>
                <w:rFonts w:ascii="Arial" w:hAnsi="Arial" w:cs="Arial"/>
                <w:sz w:val="15"/>
                <w:szCs w:val="15"/>
              </w:rPr>
            </w:pPr>
            <w:r>
              <w:rPr>
                <w:rFonts w:ascii="Arial" w:hAnsi="Arial" w:cs="Arial"/>
                <w:sz w:val="15"/>
                <w:szCs w:val="15"/>
              </w:rPr>
              <w:t>32200</w:t>
            </w:r>
          </w:p>
        </w:tc>
        <w:tc>
          <w:tcPr>
            <w:tcW w:w="692" w:type="dxa"/>
            <w:shd w:val="clear" w:color="auto" w:fill="auto"/>
            <w:noWrap/>
            <w:vAlign w:val="center"/>
          </w:tcPr>
          <w:p>
            <w:pPr>
              <w:jc w:val="both"/>
              <w:rPr>
                <w:rFonts w:ascii="Arial" w:hAnsi="Arial" w:cs="Arial"/>
                <w:sz w:val="15"/>
                <w:szCs w:val="15"/>
              </w:rPr>
            </w:pPr>
            <w:r>
              <w:rPr>
                <w:rFonts w:ascii="Arial" w:hAnsi="Arial" w:cs="Arial"/>
                <w:sz w:val="15"/>
                <w:szCs w:val="15"/>
              </w:rPr>
              <w:t>8272</w:t>
            </w:r>
          </w:p>
        </w:tc>
        <w:tc>
          <w:tcPr>
            <w:tcW w:w="517" w:type="dxa"/>
            <w:shd w:val="clear" w:color="auto" w:fill="auto"/>
            <w:noWrap/>
            <w:vAlign w:val="center"/>
          </w:tcPr>
          <w:p>
            <w:pPr>
              <w:jc w:val="both"/>
              <w:rPr>
                <w:rFonts w:ascii="Arial" w:hAnsi="Arial" w:cs="Arial"/>
                <w:sz w:val="15"/>
                <w:szCs w:val="15"/>
              </w:rPr>
            </w:pPr>
            <w:r>
              <w:rPr>
                <w:rFonts w:ascii="Arial" w:hAnsi="Arial" w:cs="Arial"/>
                <w:sz w:val="15"/>
                <w:szCs w:val="15"/>
              </w:rPr>
              <w:t>0</w:t>
            </w:r>
          </w:p>
        </w:tc>
        <w:tc>
          <w:tcPr>
            <w:tcW w:w="600" w:type="dxa"/>
            <w:shd w:val="clear" w:color="auto" w:fill="auto"/>
            <w:noWrap/>
            <w:vAlign w:val="center"/>
          </w:tcPr>
          <w:p>
            <w:pPr>
              <w:jc w:val="both"/>
              <w:rPr>
                <w:rFonts w:ascii="Arial" w:hAnsi="Arial" w:cs="Arial"/>
                <w:sz w:val="15"/>
                <w:szCs w:val="15"/>
              </w:rPr>
            </w:pPr>
            <w:r>
              <w:rPr>
                <w:rFonts w:ascii="Arial" w:hAnsi="Arial" w:cs="Arial"/>
                <w:sz w:val="15"/>
                <w:szCs w:val="15"/>
              </w:rPr>
              <w:t>41800</w:t>
            </w:r>
          </w:p>
        </w:tc>
        <w:tc>
          <w:tcPr>
            <w:tcW w:w="628"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 xml:space="preserve"> 未触达</w:t>
            </w:r>
          </w:p>
        </w:tc>
        <w:tc>
          <w:tcPr>
            <w:tcW w:w="600"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10738</w:t>
            </w:r>
          </w:p>
        </w:tc>
        <w:tc>
          <w:tcPr>
            <w:tcW w:w="591"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29.81</w:t>
            </w:r>
          </w:p>
        </w:tc>
        <w:tc>
          <w:tcPr>
            <w:tcW w:w="2483" w:type="dxa"/>
            <w:shd w:val="clear" w:color="auto" w:fill="auto"/>
            <w:noWrap/>
            <w:vAlign w:val="center"/>
          </w:tcPr>
          <w:p>
            <w:pPr>
              <w:jc w:val="both"/>
              <w:rPr>
                <w:rFonts w:ascii="Arial" w:hAnsi="Arial" w:cs="Arial"/>
                <w:color w:val="000000"/>
                <w:sz w:val="15"/>
                <w:szCs w:val="15"/>
              </w:rPr>
            </w:pPr>
            <w:r>
              <w:rPr>
                <w:rFonts w:hint="eastAsia" w:ascii="Arial" w:hAnsi="Arial" w:cs="Arial"/>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70" w:type="dxa"/>
            <w:shd w:val="clear" w:color="auto" w:fill="auto"/>
            <w:noWrap/>
            <w:vAlign w:val="center"/>
          </w:tcPr>
          <w:p>
            <w:pPr>
              <w:jc w:val="both"/>
              <w:rPr>
                <w:rFonts w:ascii="Arial" w:hAnsi="Arial" w:cs="Arial"/>
                <w:sz w:val="15"/>
                <w:szCs w:val="15"/>
              </w:rPr>
            </w:pPr>
            <w:r>
              <w:rPr>
                <w:rFonts w:ascii="Arial" w:hAnsi="Arial" w:cs="Arial"/>
                <w:sz w:val="15"/>
                <w:szCs w:val="15"/>
              </w:rPr>
              <w:t>3</w:t>
            </w:r>
          </w:p>
        </w:tc>
        <w:tc>
          <w:tcPr>
            <w:tcW w:w="892" w:type="dxa"/>
            <w:shd w:val="clear" w:color="auto" w:fill="auto"/>
            <w:noWrap/>
            <w:vAlign w:val="center"/>
          </w:tcPr>
          <w:p>
            <w:pPr>
              <w:jc w:val="both"/>
              <w:rPr>
                <w:rFonts w:ascii="Arial" w:hAnsi="Arial" w:cs="Arial"/>
                <w:sz w:val="15"/>
                <w:szCs w:val="15"/>
              </w:rPr>
            </w:pPr>
            <w:r>
              <w:rPr>
                <w:rFonts w:ascii="Arial" w:hAnsi="Arial" w:cs="Arial"/>
                <w:sz w:val="15"/>
                <w:szCs w:val="15"/>
              </w:rPr>
              <w:t>3303240042021001</w:t>
            </w:r>
          </w:p>
        </w:tc>
        <w:tc>
          <w:tcPr>
            <w:tcW w:w="923" w:type="dxa"/>
            <w:shd w:val="clear" w:color="auto" w:fill="auto"/>
            <w:noWrap/>
            <w:vAlign w:val="center"/>
          </w:tcPr>
          <w:p>
            <w:pPr>
              <w:jc w:val="both"/>
              <w:rPr>
                <w:rFonts w:ascii="Arial" w:hAnsi="Arial" w:cs="Arial"/>
                <w:sz w:val="15"/>
                <w:szCs w:val="15"/>
              </w:rPr>
            </w:pPr>
            <w:r>
              <w:rPr>
                <w:rFonts w:ascii="Arial" w:hAnsi="Arial" w:cs="Arial"/>
                <w:sz w:val="15"/>
                <w:szCs w:val="15"/>
              </w:rPr>
              <w:t xml:space="preserve"> 综合用地(含住宅)</w:t>
            </w:r>
          </w:p>
        </w:tc>
        <w:tc>
          <w:tcPr>
            <w:tcW w:w="886" w:type="dxa"/>
            <w:shd w:val="clear" w:color="auto" w:fill="auto"/>
            <w:noWrap/>
            <w:vAlign w:val="center"/>
          </w:tcPr>
          <w:p>
            <w:pPr>
              <w:jc w:val="both"/>
              <w:rPr>
                <w:rFonts w:ascii="Arial" w:hAnsi="Arial" w:cs="Arial"/>
                <w:sz w:val="15"/>
                <w:szCs w:val="15"/>
              </w:rPr>
            </w:pPr>
            <w:r>
              <w:rPr>
                <w:rFonts w:ascii="Arial" w:hAnsi="Arial" w:cs="Arial"/>
                <w:sz w:val="15"/>
                <w:szCs w:val="15"/>
              </w:rPr>
              <w:t>18394.82</w:t>
            </w:r>
          </w:p>
        </w:tc>
        <w:tc>
          <w:tcPr>
            <w:tcW w:w="747" w:type="dxa"/>
            <w:shd w:val="clear" w:color="auto" w:fill="auto"/>
            <w:noWrap/>
            <w:vAlign w:val="center"/>
          </w:tcPr>
          <w:p>
            <w:pPr>
              <w:jc w:val="both"/>
              <w:rPr>
                <w:rFonts w:ascii="Arial" w:hAnsi="Arial" w:cs="Arial"/>
                <w:sz w:val="15"/>
                <w:szCs w:val="15"/>
              </w:rPr>
            </w:pPr>
            <w:r>
              <w:rPr>
                <w:rFonts w:ascii="Arial" w:hAnsi="Arial" w:cs="Arial"/>
                <w:sz w:val="15"/>
                <w:szCs w:val="15"/>
              </w:rPr>
              <w:t>40468.6</w:t>
            </w:r>
          </w:p>
        </w:tc>
        <w:tc>
          <w:tcPr>
            <w:tcW w:w="647" w:type="dxa"/>
            <w:shd w:val="clear" w:color="auto" w:fill="auto"/>
            <w:noWrap/>
            <w:vAlign w:val="center"/>
          </w:tcPr>
          <w:p>
            <w:pPr>
              <w:jc w:val="both"/>
              <w:rPr>
                <w:rFonts w:ascii="Arial" w:hAnsi="Arial" w:cs="Arial"/>
                <w:sz w:val="15"/>
                <w:szCs w:val="15"/>
              </w:rPr>
            </w:pPr>
            <w:r>
              <w:rPr>
                <w:rFonts w:ascii="Arial" w:hAnsi="Arial" w:cs="Arial"/>
                <w:sz w:val="15"/>
                <w:szCs w:val="15"/>
              </w:rPr>
              <w:t xml:space="preserve"> 限地价</w:t>
            </w:r>
          </w:p>
        </w:tc>
        <w:tc>
          <w:tcPr>
            <w:tcW w:w="941" w:type="dxa"/>
            <w:shd w:val="clear" w:color="auto" w:fill="auto"/>
            <w:noWrap/>
            <w:vAlign w:val="center"/>
          </w:tcPr>
          <w:p>
            <w:pPr>
              <w:jc w:val="both"/>
              <w:rPr>
                <w:rFonts w:ascii="Arial" w:hAnsi="Arial" w:cs="Arial"/>
                <w:sz w:val="15"/>
                <w:szCs w:val="15"/>
              </w:rPr>
            </w:pPr>
            <w:r>
              <w:rPr>
                <w:rFonts w:ascii="Arial" w:hAnsi="Arial" w:cs="Arial"/>
                <w:sz w:val="15"/>
                <w:szCs w:val="15"/>
              </w:rPr>
              <w:t xml:space="preserve"> 定向安置房</w:t>
            </w:r>
          </w:p>
        </w:tc>
        <w:tc>
          <w:tcPr>
            <w:tcW w:w="794" w:type="dxa"/>
            <w:shd w:val="clear" w:color="auto" w:fill="auto"/>
            <w:noWrap/>
            <w:vAlign w:val="center"/>
          </w:tcPr>
          <w:p>
            <w:pPr>
              <w:jc w:val="both"/>
              <w:rPr>
                <w:rFonts w:ascii="Arial" w:hAnsi="Arial" w:cs="Arial"/>
                <w:sz w:val="15"/>
                <w:szCs w:val="15"/>
              </w:rPr>
            </w:pPr>
            <w:r>
              <w:rPr>
                <w:rFonts w:ascii="Arial" w:hAnsi="Arial" w:cs="Arial"/>
                <w:sz w:val="15"/>
                <w:szCs w:val="15"/>
              </w:rPr>
              <w:t>2021/7/21</w:t>
            </w:r>
          </w:p>
        </w:tc>
        <w:tc>
          <w:tcPr>
            <w:tcW w:w="674" w:type="dxa"/>
            <w:shd w:val="clear" w:color="auto" w:fill="auto"/>
            <w:noWrap/>
            <w:vAlign w:val="center"/>
          </w:tcPr>
          <w:p>
            <w:pPr>
              <w:jc w:val="both"/>
              <w:rPr>
                <w:rFonts w:ascii="Arial" w:hAnsi="Arial" w:cs="Arial"/>
                <w:sz w:val="15"/>
                <w:szCs w:val="15"/>
              </w:rPr>
            </w:pPr>
            <w:r>
              <w:rPr>
                <w:rFonts w:ascii="Arial" w:hAnsi="Arial" w:cs="Arial"/>
                <w:sz w:val="15"/>
                <w:szCs w:val="15"/>
              </w:rPr>
              <w:t>10500</w:t>
            </w:r>
          </w:p>
        </w:tc>
        <w:tc>
          <w:tcPr>
            <w:tcW w:w="692" w:type="dxa"/>
            <w:shd w:val="clear" w:color="auto" w:fill="auto"/>
            <w:noWrap/>
            <w:vAlign w:val="center"/>
          </w:tcPr>
          <w:p>
            <w:pPr>
              <w:jc w:val="both"/>
              <w:rPr>
                <w:rFonts w:ascii="Arial" w:hAnsi="Arial" w:cs="Arial"/>
                <w:sz w:val="15"/>
                <w:szCs w:val="15"/>
              </w:rPr>
            </w:pPr>
            <w:r>
              <w:rPr>
                <w:rFonts w:ascii="Arial" w:hAnsi="Arial" w:cs="Arial"/>
                <w:sz w:val="15"/>
                <w:szCs w:val="15"/>
              </w:rPr>
              <w:t>2595</w:t>
            </w:r>
          </w:p>
        </w:tc>
        <w:tc>
          <w:tcPr>
            <w:tcW w:w="517" w:type="dxa"/>
            <w:shd w:val="clear" w:color="auto" w:fill="auto"/>
            <w:noWrap/>
            <w:vAlign w:val="center"/>
          </w:tcPr>
          <w:p>
            <w:pPr>
              <w:jc w:val="both"/>
              <w:rPr>
                <w:rFonts w:ascii="Arial" w:hAnsi="Arial" w:cs="Arial"/>
                <w:sz w:val="15"/>
                <w:szCs w:val="15"/>
              </w:rPr>
            </w:pPr>
            <w:r>
              <w:rPr>
                <w:rFonts w:ascii="Arial" w:hAnsi="Arial" w:cs="Arial"/>
                <w:sz w:val="15"/>
                <w:szCs w:val="15"/>
              </w:rPr>
              <w:t>2.94</w:t>
            </w:r>
          </w:p>
        </w:tc>
        <w:tc>
          <w:tcPr>
            <w:tcW w:w="600" w:type="dxa"/>
            <w:shd w:val="clear" w:color="auto" w:fill="auto"/>
            <w:noWrap/>
            <w:vAlign w:val="center"/>
          </w:tcPr>
          <w:p>
            <w:pPr>
              <w:jc w:val="both"/>
              <w:rPr>
                <w:rFonts w:ascii="Arial" w:hAnsi="Arial" w:cs="Arial"/>
                <w:sz w:val="15"/>
                <w:szCs w:val="15"/>
              </w:rPr>
            </w:pPr>
            <w:r>
              <w:rPr>
                <w:rFonts w:ascii="Arial" w:hAnsi="Arial" w:cs="Arial"/>
                <w:sz w:val="15"/>
                <w:szCs w:val="15"/>
              </w:rPr>
              <w:t>13200</w:t>
            </w:r>
          </w:p>
        </w:tc>
        <w:tc>
          <w:tcPr>
            <w:tcW w:w="628"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 xml:space="preserve"> 未触达</w:t>
            </w:r>
          </w:p>
        </w:tc>
        <w:tc>
          <w:tcPr>
            <w:tcW w:w="600"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3262</w:t>
            </w:r>
          </w:p>
        </w:tc>
        <w:tc>
          <w:tcPr>
            <w:tcW w:w="591"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29.41</w:t>
            </w:r>
          </w:p>
        </w:tc>
        <w:tc>
          <w:tcPr>
            <w:tcW w:w="2483" w:type="dxa"/>
            <w:shd w:val="clear" w:color="auto" w:fill="auto"/>
            <w:noWrap/>
            <w:vAlign w:val="center"/>
          </w:tcPr>
          <w:p>
            <w:pPr>
              <w:jc w:val="both"/>
              <w:rPr>
                <w:rFonts w:ascii="Arial" w:hAnsi="Arial" w:cs="Arial"/>
                <w:color w:val="000000"/>
                <w:sz w:val="15"/>
                <w:szCs w:val="15"/>
              </w:rPr>
            </w:pPr>
            <w:r>
              <w:rPr>
                <w:rFonts w:hint="eastAsia" w:ascii="Arial" w:hAnsi="Arial" w:cs="Arial"/>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70" w:type="dxa"/>
            <w:shd w:val="clear" w:color="auto" w:fill="auto"/>
            <w:noWrap/>
            <w:vAlign w:val="center"/>
          </w:tcPr>
          <w:p>
            <w:pPr>
              <w:jc w:val="both"/>
              <w:rPr>
                <w:rFonts w:ascii="Arial" w:hAnsi="Arial" w:cs="Arial"/>
                <w:sz w:val="15"/>
                <w:szCs w:val="15"/>
              </w:rPr>
            </w:pPr>
            <w:r>
              <w:rPr>
                <w:rFonts w:ascii="Arial" w:hAnsi="Arial" w:cs="Arial"/>
                <w:sz w:val="15"/>
                <w:szCs w:val="15"/>
              </w:rPr>
              <w:t>4</w:t>
            </w:r>
          </w:p>
        </w:tc>
        <w:tc>
          <w:tcPr>
            <w:tcW w:w="892" w:type="dxa"/>
            <w:shd w:val="clear" w:color="auto" w:fill="auto"/>
            <w:noWrap/>
            <w:vAlign w:val="center"/>
          </w:tcPr>
          <w:p>
            <w:pPr>
              <w:jc w:val="both"/>
              <w:rPr>
                <w:rFonts w:ascii="Arial" w:hAnsi="Arial" w:cs="Arial"/>
                <w:sz w:val="15"/>
                <w:szCs w:val="15"/>
              </w:rPr>
            </w:pPr>
            <w:r>
              <w:rPr>
                <w:rFonts w:ascii="Arial" w:hAnsi="Arial" w:cs="Arial"/>
                <w:sz w:val="15"/>
                <w:szCs w:val="15"/>
              </w:rPr>
              <w:t>3303240052021003</w:t>
            </w:r>
          </w:p>
        </w:tc>
        <w:tc>
          <w:tcPr>
            <w:tcW w:w="923" w:type="dxa"/>
            <w:shd w:val="clear" w:color="auto" w:fill="auto"/>
            <w:noWrap/>
            <w:vAlign w:val="center"/>
          </w:tcPr>
          <w:p>
            <w:pPr>
              <w:jc w:val="both"/>
              <w:rPr>
                <w:rFonts w:ascii="Arial" w:hAnsi="Arial" w:cs="Arial"/>
                <w:sz w:val="15"/>
                <w:szCs w:val="15"/>
              </w:rPr>
            </w:pPr>
            <w:r>
              <w:rPr>
                <w:rFonts w:ascii="Arial" w:hAnsi="Arial" w:cs="Arial"/>
                <w:sz w:val="15"/>
                <w:szCs w:val="15"/>
              </w:rPr>
              <w:t xml:space="preserve"> 综合用地(含住宅)</w:t>
            </w:r>
          </w:p>
        </w:tc>
        <w:tc>
          <w:tcPr>
            <w:tcW w:w="886" w:type="dxa"/>
            <w:shd w:val="clear" w:color="auto" w:fill="auto"/>
            <w:noWrap/>
            <w:vAlign w:val="center"/>
          </w:tcPr>
          <w:p>
            <w:pPr>
              <w:jc w:val="both"/>
              <w:rPr>
                <w:rFonts w:ascii="Arial" w:hAnsi="Arial" w:cs="Arial"/>
                <w:sz w:val="15"/>
                <w:szCs w:val="15"/>
              </w:rPr>
            </w:pPr>
            <w:r>
              <w:rPr>
                <w:rFonts w:ascii="Arial" w:hAnsi="Arial" w:cs="Arial"/>
                <w:sz w:val="15"/>
                <w:szCs w:val="15"/>
              </w:rPr>
              <w:t>4077</w:t>
            </w:r>
          </w:p>
        </w:tc>
        <w:tc>
          <w:tcPr>
            <w:tcW w:w="747" w:type="dxa"/>
            <w:shd w:val="clear" w:color="auto" w:fill="auto"/>
            <w:noWrap/>
            <w:vAlign w:val="center"/>
          </w:tcPr>
          <w:p>
            <w:pPr>
              <w:jc w:val="both"/>
              <w:rPr>
                <w:rFonts w:ascii="Arial" w:hAnsi="Arial" w:cs="Arial"/>
                <w:sz w:val="15"/>
                <w:szCs w:val="15"/>
              </w:rPr>
            </w:pPr>
            <w:r>
              <w:rPr>
                <w:rFonts w:ascii="Arial" w:hAnsi="Arial" w:cs="Arial"/>
                <w:sz w:val="15"/>
                <w:szCs w:val="15"/>
              </w:rPr>
              <w:t>7338.6</w:t>
            </w:r>
          </w:p>
        </w:tc>
        <w:tc>
          <w:tcPr>
            <w:tcW w:w="647" w:type="dxa"/>
            <w:shd w:val="clear" w:color="auto" w:fill="auto"/>
            <w:noWrap/>
            <w:vAlign w:val="center"/>
          </w:tcPr>
          <w:p>
            <w:pPr>
              <w:jc w:val="both"/>
              <w:rPr>
                <w:rFonts w:ascii="Arial" w:hAnsi="Arial" w:cs="Arial"/>
                <w:sz w:val="15"/>
                <w:szCs w:val="15"/>
              </w:rPr>
            </w:pPr>
            <w:r>
              <w:rPr>
                <w:rFonts w:ascii="Arial" w:hAnsi="Arial" w:cs="Arial"/>
                <w:sz w:val="15"/>
                <w:szCs w:val="15"/>
              </w:rPr>
              <w:t xml:space="preserve"> 限地价</w:t>
            </w:r>
          </w:p>
        </w:tc>
        <w:tc>
          <w:tcPr>
            <w:tcW w:w="941" w:type="dxa"/>
            <w:shd w:val="clear" w:color="auto" w:fill="auto"/>
            <w:noWrap/>
            <w:vAlign w:val="center"/>
          </w:tcPr>
          <w:p>
            <w:pPr>
              <w:jc w:val="both"/>
              <w:rPr>
                <w:rFonts w:ascii="Arial" w:hAnsi="Arial" w:cs="Arial"/>
                <w:sz w:val="15"/>
                <w:szCs w:val="15"/>
              </w:rPr>
            </w:pPr>
            <w:r>
              <w:rPr>
                <w:rFonts w:ascii="Arial" w:hAnsi="Arial" w:cs="Arial"/>
                <w:sz w:val="15"/>
                <w:szCs w:val="15"/>
              </w:rPr>
              <w:t xml:space="preserve"> 定向安置房</w:t>
            </w:r>
          </w:p>
        </w:tc>
        <w:tc>
          <w:tcPr>
            <w:tcW w:w="794" w:type="dxa"/>
            <w:shd w:val="clear" w:color="auto" w:fill="auto"/>
            <w:noWrap/>
            <w:vAlign w:val="center"/>
          </w:tcPr>
          <w:p>
            <w:pPr>
              <w:jc w:val="both"/>
              <w:rPr>
                <w:rFonts w:ascii="Arial" w:hAnsi="Arial" w:cs="Arial"/>
                <w:sz w:val="15"/>
                <w:szCs w:val="15"/>
              </w:rPr>
            </w:pPr>
            <w:r>
              <w:rPr>
                <w:rFonts w:ascii="Arial" w:hAnsi="Arial" w:cs="Arial"/>
                <w:sz w:val="15"/>
                <w:szCs w:val="15"/>
              </w:rPr>
              <w:t>2021/7/7</w:t>
            </w:r>
          </w:p>
        </w:tc>
        <w:tc>
          <w:tcPr>
            <w:tcW w:w="674" w:type="dxa"/>
            <w:shd w:val="clear" w:color="auto" w:fill="auto"/>
            <w:noWrap/>
            <w:vAlign w:val="center"/>
          </w:tcPr>
          <w:p>
            <w:pPr>
              <w:jc w:val="both"/>
              <w:rPr>
                <w:rFonts w:ascii="Arial" w:hAnsi="Arial" w:cs="Arial"/>
                <w:sz w:val="15"/>
                <w:szCs w:val="15"/>
              </w:rPr>
            </w:pPr>
            <w:r>
              <w:rPr>
                <w:rFonts w:ascii="Arial" w:hAnsi="Arial" w:cs="Arial"/>
                <w:sz w:val="15"/>
                <w:szCs w:val="15"/>
              </w:rPr>
              <w:t>1860</w:t>
            </w:r>
          </w:p>
        </w:tc>
        <w:tc>
          <w:tcPr>
            <w:tcW w:w="692" w:type="dxa"/>
            <w:shd w:val="clear" w:color="auto" w:fill="auto"/>
            <w:noWrap/>
            <w:vAlign w:val="center"/>
          </w:tcPr>
          <w:p>
            <w:pPr>
              <w:jc w:val="both"/>
              <w:rPr>
                <w:rFonts w:ascii="Arial" w:hAnsi="Arial" w:cs="Arial"/>
                <w:sz w:val="15"/>
                <w:szCs w:val="15"/>
              </w:rPr>
            </w:pPr>
            <w:r>
              <w:rPr>
                <w:rFonts w:ascii="Arial" w:hAnsi="Arial" w:cs="Arial"/>
                <w:sz w:val="15"/>
                <w:szCs w:val="15"/>
              </w:rPr>
              <w:t>2535</w:t>
            </w:r>
          </w:p>
        </w:tc>
        <w:tc>
          <w:tcPr>
            <w:tcW w:w="517" w:type="dxa"/>
            <w:shd w:val="clear" w:color="auto" w:fill="auto"/>
            <w:noWrap/>
            <w:vAlign w:val="center"/>
          </w:tcPr>
          <w:p>
            <w:pPr>
              <w:jc w:val="both"/>
              <w:rPr>
                <w:rFonts w:ascii="Arial" w:hAnsi="Arial" w:cs="Arial"/>
                <w:sz w:val="15"/>
                <w:szCs w:val="15"/>
              </w:rPr>
            </w:pPr>
            <w:r>
              <w:rPr>
                <w:rFonts w:ascii="Arial" w:hAnsi="Arial" w:cs="Arial"/>
                <w:sz w:val="15"/>
                <w:szCs w:val="15"/>
              </w:rPr>
              <w:t>9.41</w:t>
            </w:r>
          </w:p>
        </w:tc>
        <w:tc>
          <w:tcPr>
            <w:tcW w:w="600" w:type="dxa"/>
            <w:shd w:val="clear" w:color="auto" w:fill="auto"/>
            <w:noWrap/>
            <w:vAlign w:val="center"/>
          </w:tcPr>
          <w:p>
            <w:pPr>
              <w:jc w:val="both"/>
              <w:rPr>
                <w:rFonts w:ascii="Arial" w:hAnsi="Arial" w:cs="Arial"/>
                <w:sz w:val="15"/>
                <w:szCs w:val="15"/>
              </w:rPr>
            </w:pPr>
            <w:r>
              <w:rPr>
                <w:rFonts w:ascii="Arial" w:hAnsi="Arial" w:cs="Arial"/>
                <w:sz w:val="15"/>
                <w:szCs w:val="15"/>
              </w:rPr>
              <w:t>2220</w:t>
            </w:r>
          </w:p>
        </w:tc>
        <w:tc>
          <w:tcPr>
            <w:tcW w:w="628"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 xml:space="preserve"> 未触达</w:t>
            </w:r>
          </w:p>
        </w:tc>
        <w:tc>
          <w:tcPr>
            <w:tcW w:w="600"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3025</w:t>
            </w:r>
          </w:p>
        </w:tc>
        <w:tc>
          <w:tcPr>
            <w:tcW w:w="591"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30.59</w:t>
            </w:r>
          </w:p>
        </w:tc>
        <w:tc>
          <w:tcPr>
            <w:tcW w:w="2483" w:type="dxa"/>
            <w:shd w:val="clear" w:color="auto" w:fill="auto"/>
            <w:noWrap/>
            <w:vAlign w:val="center"/>
          </w:tcPr>
          <w:p>
            <w:pPr>
              <w:jc w:val="both"/>
              <w:rPr>
                <w:rFonts w:ascii="Arial" w:hAnsi="Arial" w:cs="Arial"/>
                <w:color w:val="000000"/>
                <w:sz w:val="15"/>
                <w:szCs w:val="15"/>
              </w:rPr>
            </w:pPr>
            <w:r>
              <w:rPr>
                <w:rFonts w:hint="eastAsia" w:ascii="Arial" w:hAnsi="Arial" w:cs="Arial"/>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70" w:type="dxa"/>
            <w:shd w:val="clear" w:color="auto" w:fill="auto"/>
            <w:noWrap/>
            <w:vAlign w:val="center"/>
          </w:tcPr>
          <w:p>
            <w:pPr>
              <w:jc w:val="both"/>
              <w:rPr>
                <w:rFonts w:ascii="Arial" w:hAnsi="Arial" w:cs="Arial"/>
                <w:sz w:val="15"/>
                <w:szCs w:val="15"/>
              </w:rPr>
            </w:pPr>
            <w:r>
              <w:rPr>
                <w:rFonts w:ascii="Arial" w:hAnsi="Arial" w:cs="Arial"/>
                <w:sz w:val="15"/>
                <w:szCs w:val="15"/>
              </w:rPr>
              <w:t>5</w:t>
            </w:r>
          </w:p>
        </w:tc>
        <w:tc>
          <w:tcPr>
            <w:tcW w:w="892" w:type="dxa"/>
            <w:shd w:val="clear" w:color="auto" w:fill="auto"/>
            <w:noWrap/>
            <w:vAlign w:val="center"/>
          </w:tcPr>
          <w:p>
            <w:pPr>
              <w:jc w:val="both"/>
              <w:rPr>
                <w:rFonts w:ascii="Arial" w:hAnsi="Arial" w:cs="Arial"/>
                <w:sz w:val="15"/>
                <w:szCs w:val="15"/>
              </w:rPr>
            </w:pPr>
            <w:r>
              <w:rPr>
                <w:rFonts w:ascii="Arial" w:hAnsi="Arial" w:cs="Arial"/>
                <w:sz w:val="15"/>
                <w:szCs w:val="15"/>
              </w:rPr>
              <w:t>3303240172021001</w:t>
            </w:r>
          </w:p>
        </w:tc>
        <w:tc>
          <w:tcPr>
            <w:tcW w:w="923" w:type="dxa"/>
            <w:shd w:val="clear" w:color="auto" w:fill="auto"/>
            <w:noWrap/>
            <w:vAlign w:val="center"/>
          </w:tcPr>
          <w:p>
            <w:pPr>
              <w:jc w:val="both"/>
              <w:rPr>
                <w:rFonts w:ascii="Arial" w:hAnsi="Arial" w:cs="Arial"/>
                <w:sz w:val="15"/>
                <w:szCs w:val="15"/>
              </w:rPr>
            </w:pPr>
            <w:r>
              <w:rPr>
                <w:rFonts w:ascii="Arial" w:hAnsi="Arial" w:cs="Arial"/>
                <w:sz w:val="15"/>
                <w:szCs w:val="15"/>
              </w:rPr>
              <w:t xml:space="preserve"> 综合用地(含住宅)</w:t>
            </w:r>
          </w:p>
        </w:tc>
        <w:tc>
          <w:tcPr>
            <w:tcW w:w="886" w:type="dxa"/>
            <w:shd w:val="clear" w:color="auto" w:fill="auto"/>
            <w:noWrap/>
            <w:vAlign w:val="center"/>
          </w:tcPr>
          <w:p>
            <w:pPr>
              <w:jc w:val="both"/>
              <w:rPr>
                <w:rFonts w:ascii="Arial" w:hAnsi="Arial" w:cs="Arial"/>
                <w:sz w:val="15"/>
                <w:szCs w:val="15"/>
              </w:rPr>
            </w:pPr>
            <w:r>
              <w:rPr>
                <w:rFonts w:ascii="Arial" w:hAnsi="Arial" w:cs="Arial"/>
                <w:sz w:val="15"/>
                <w:szCs w:val="15"/>
              </w:rPr>
              <w:t>70194.32</w:t>
            </w:r>
          </w:p>
        </w:tc>
        <w:tc>
          <w:tcPr>
            <w:tcW w:w="747" w:type="dxa"/>
            <w:shd w:val="clear" w:color="auto" w:fill="auto"/>
            <w:noWrap/>
            <w:vAlign w:val="center"/>
          </w:tcPr>
          <w:p>
            <w:pPr>
              <w:jc w:val="both"/>
              <w:rPr>
                <w:rFonts w:ascii="Arial" w:hAnsi="Arial" w:cs="Arial"/>
                <w:sz w:val="15"/>
                <w:szCs w:val="15"/>
              </w:rPr>
            </w:pPr>
            <w:r>
              <w:rPr>
                <w:rFonts w:ascii="Arial" w:hAnsi="Arial" w:cs="Arial"/>
                <w:sz w:val="15"/>
                <w:szCs w:val="15"/>
              </w:rPr>
              <w:t>112310.91</w:t>
            </w:r>
          </w:p>
        </w:tc>
        <w:tc>
          <w:tcPr>
            <w:tcW w:w="647" w:type="dxa"/>
            <w:shd w:val="clear" w:color="auto" w:fill="auto"/>
            <w:noWrap/>
            <w:vAlign w:val="center"/>
          </w:tcPr>
          <w:p>
            <w:pPr>
              <w:jc w:val="both"/>
              <w:rPr>
                <w:rFonts w:ascii="Arial" w:hAnsi="Arial" w:cs="Arial"/>
                <w:sz w:val="15"/>
                <w:szCs w:val="15"/>
              </w:rPr>
            </w:pPr>
            <w:r>
              <w:rPr>
                <w:rFonts w:ascii="Arial" w:hAnsi="Arial" w:cs="Arial"/>
                <w:sz w:val="15"/>
                <w:szCs w:val="15"/>
              </w:rPr>
              <w:t xml:space="preserve"> 限地价</w:t>
            </w:r>
          </w:p>
        </w:tc>
        <w:tc>
          <w:tcPr>
            <w:tcW w:w="941" w:type="dxa"/>
            <w:shd w:val="clear" w:color="auto" w:fill="auto"/>
            <w:noWrap/>
            <w:vAlign w:val="center"/>
          </w:tcPr>
          <w:p>
            <w:pPr>
              <w:jc w:val="both"/>
              <w:rPr>
                <w:rFonts w:ascii="Arial" w:hAnsi="Arial" w:cs="Arial"/>
                <w:sz w:val="15"/>
                <w:szCs w:val="15"/>
              </w:rPr>
            </w:pPr>
            <w:r>
              <w:rPr>
                <w:rFonts w:ascii="Arial" w:hAnsi="Arial" w:cs="Arial"/>
                <w:sz w:val="15"/>
                <w:szCs w:val="15"/>
              </w:rPr>
              <w:t xml:space="preserve"> 定向安置房</w:t>
            </w:r>
          </w:p>
        </w:tc>
        <w:tc>
          <w:tcPr>
            <w:tcW w:w="794" w:type="dxa"/>
            <w:shd w:val="clear" w:color="auto" w:fill="auto"/>
            <w:noWrap/>
            <w:vAlign w:val="center"/>
          </w:tcPr>
          <w:p>
            <w:pPr>
              <w:jc w:val="both"/>
              <w:rPr>
                <w:rFonts w:ascii="Arial" w:hAnsi="Arial" w:cs="Arial"/>
                <w:sz w:val="15"/>
                <w:szCs w:val="15"/>
              </w:rPr>
            </w:pPr>
            <w:r>
              <w:rPr>
                <w:rFonts w:ascii="Arial" w:hAnsi="Arial" w:cs="Arial"/>
                <w:sz w:val="15"/>
                <w:szCs w:val="15"/>
              </w:rPr>
              <w:t>2021/6/9</w:t>
            </w:r>
          </w:p>
        </w:tc>
        <w:tc>
          <w:tcPr>
            <w:tcW w:w="674" w:type="dxa"/>
            <w:shd w:val="clear" w:color="auto" w:fill="auto"/>
            <w:noWrap/>
            <w:vAlign w:val="center"/>
          </w:tcPr>
          <w:p>
            <w:pPr>
              <w:jc w:val="both"/>
              <w:rPr>
                <w:rFonts w:ascii="Arial" w:hAnsi="Arial" w:cs="Arial"/>
                <w:sz w:val="15"/>
                <w:szCs w:val="15"/>
              </w:rPr>
            </w:pPr>
            <w:r>
              <w:rPr>
                <w:rFonts w:ascii="Arial" w:hAnsi="Arial" w:cs="Arial"/>
                <w:sz w:val="15"/>
                <w:szCs w:val="15"/>
              </w:rPr>
              <w:t>6300</w:t>
            </w:r>
          </w:p>
        </w:tc>
        <w:tc>
          <w:tcPr>
            <w:tcW w:w="692" w:type="dxa"/>
            <w:shd w:val="clear" w:color="auto" w:fill="auto"/>
            <w:noWrap/>
            <w:vAlign w:val="center"/>
          </w:tcPr>
          <w:p>
            <w:pPr>
              <w:jc w:val="both"/>
              <w:rPr>
                <w:rFonts w:ascii="Arial" w:hAnsi="Arial" w:cs="Arial"/>
                <w:sz w:val="15"/>
                <w:szCs w:val="15"/>
              </w:rPr>
            </w:pPr>
            <w:r>
              <w:rPr>
                <w:rFonts w:ascii="Arial" w:hAnsi="Arial" w:cs="Arial"/>
                <w:sz w:val="15"/>
                <w:szCs w:val="15"/>
              </w:rPr>
              <w:t>561</w:t>
            </w:r>
          </w:p>
        </w:tc>
        <w:tc>
          <w:tcPr>
            <w:tcW w:w="517" w:type="dxa"/>
            <w:shd w:val="clear" w:color="auto" w:fill="auto"/>
            <w:noWrap/>
            <w:vAlign w:val="center"/>
          </w:tcPr>
          <w:p>
            <w:pPr>
              <w:jc w:val="both"/>
              <w:rPr>
                <w:rFonts w:ascii="Arial" w:hAnsi="Arial" w:cs="Arial"/>
                <w:sz w:val="15"/>
                <w:szCs w:val="15"/>
              </w:rPr>
            </w:pPr>
            <w:r>
              <w:rPr>
                <w:rFonts w:ascii="Arial" w:hAnsi="Arial" w:cs="Arial"/>
                <w:sz w:val="15"/>
                <w:szCs w:val="15"/>
              </w:rPr>
              <w:t>0</w:t>
            </w:r>
          </w:p>
        </w:tc>
        <w:tc>
          <w:tcPr>
            <w:tcW w:w="600" w:type="dxa"/>
            <w:shd w:val="clear" w:color="auto" w:fill="auto"/>
            <w:noWrap/>
            <w:vAlign w:val="center"/>
          </w:tcPr>
          <w:p>
            <w:pPr>
              <w:jc w:val="both"/>
              <w:rPr>
                <w:rFonts w:ascii="Arial" w:hAnsi="Arial" w:cs="Arial"/>
                <w:sz w:val="15"/>
                <w:szCs w:val="15"/>
              </w:rPr>
            </w:pPr>
            <w:r>
              <w:rPr>
                <w:rFonts w:ascii="Arial" w:hAnsi="Arial" w:cs="Arial"/>
                <w:sz w:val="15"/>
                <w:szCs w:val="15"/>
              </w:rPr>
              <w:t>8200</w:t>
            </w:r>
          </w:p>
        </w:tc>
        <w:tc>
          <w:tcPr>
            <w:tcW w:w="628"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 xml:space="preserve"> 未触达</w:t>
            </w:r>
          </w:p>
        </w:tc>
        <w:tc>
          <w:tcPr>
            <w:tcW w:w="600"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730</w:t>
            </w:r>
          </w:p>
        </w:tc>
        <w:tc>
          <w:tcPr>
            <w:tcW w:w="591"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30.16</w:t>
            </w:r>
          </w:p>
        </w:tc>
        <w:tc>
          <w:tcPr>
            <w:tcW w:w="2483" w:type="dxa"/>
            <w:shd w:val="clear" w:color="auto" w:fill="auto"/>
            <w:noWrap/>
            <w:vAlign w:val="center"/>
          </w:tcPr>
          <w:p>
            <w:pPr>
              <w:jc w:val="both"/>
              <w:rPr>
                <w:rFonts w:ascii="Arial" w:hAnsi="Arial" w:cs="Arial"/>
                <w:color w:val="000000"/>
                <w:sz w:val="15"/>
                <w:szCs w:val="15"/>
              </w:rPr>
            </w:pPr>
            <w:r>
              <w:rPr>
                <w:rFonts w:hint="eastAsia" w:ascii="Arial" w:hAnsi="Arial" w:cs="Arial"/>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70" w:type="dxa"/>
            <w:shd w:val="clear" w:color="auto" w:fill="auto"/>
            <w:noWrap/>
            <w:vAlign w:val="center"/>
          </w:tcPr>
          <w:p>
            <w:pPr>
              <w:jc w:val="both"/>
              <w:rPr>
                <w:rFonts w:ascii="Arial" w:hAnsi="Arial" w:cs="Arial"/>
                <w:sz w:val="15"/>
                <w:szCs w:val="15"/>
              </w:rPr>
            </w:pPr>
            <w:r>
              <w:rPr>
                <w:rFonts w:ascii="Arial" w:hAnsi="Arial" w:cs="Arial"/>
                <w:sz w:val="15"/>
                <w:szCs w:val="15"/>
              </w:rPr>
              <w:t>6</w:t>
            </w:r>
          </w:p>
        </w:tc>
        <w:tc>
          <w:tcPr>
            <w:tcW w:w="892" w:type="dxa"/>
            <w:shd w:val="clear" w:color="auto" w:fill="auto"/>
            <w:noWrap/>
            <w:vAlign w:val="center"/>
          </w:tcPr>
          <w:p>
            <w:pPr>
              <w:jc w:val="both"/>
              <w:rPr>
                <w:rFonts w:ascii="Arial" w:hAnsi="Arial" w:cs="Arial"/>
                <w:sz w:val="15"/>
                <w:szCs w:val="15"/>
              </w:rPr>
            </w:pPr>
            <w:r>
              <w:rPr>
                <w:rFonts w:ascii="Arial" w:hAnsi="Arial" w:cs="Arial"/>
                <w:sz w:val="15"/>
                <w:szCs w:val="15"/>
              </w:rPr>
              <w:t>3303240022021003</w:t>
            </w:r>
          </w:p>
        </w:tc>
        <w:tc>
          <w:tcPr>
            <w:tcW w:w="923" w:type="dxa"/>
            <w:shd w:val="clear" w:color="auto" w:fill="auto"/>
            <w:noWrap/>
            <w:vAlign w:val="center"/>
          </w:tcPr>
          <w:p>
            <w:pPr>
              <w:jc w:val="both"/>
              <w:rPr>
                <w:rFonts w:ascii="Arial" w:hAnsi="Arial" w:cs="Arial"/>
                <w:sz w:val="15"/>
                <w:szCs w:val="15"/>
              </w:rPr>
            </w:pPr>
            <w:r>
              <w:rPr>
                <w:rFonts w:ascii="Arial" w:hAnsi="Arial" w:cs="Arial"/>
                <w:sz w:val="15"/>
                <w:szCs w:val="15"/>
              </w:rPr>
              <w:t xml:space="preserve"> 综合用地(含住宅)</w:t>
            </w:r>
          </w:p>
        </w:tc>
        <w:tc>
          <w:tcPr>
            <w:tcW w:w="886" w:type="dxa"/>
            <w:shd w:val="clear" w:color="auto" w:fill="auto"/>
            <w:noWrap/>
            <w:vAlign w:val="center"/>
          </w:tcPr>
          <w:p>
            <w:pPr>
              <w:jc w:val="both"/>
              <w:rPr>
                <w:rFonts w:ascii="Arial" w:hAnsi="Arial" w:cs="Arial"/>
                <w:sz w:val="15"/>
                <w:szCs w:val="15"/>
              </w:rPr>
            </w:pPr>
            <w:r>
              <w:rPr>
                <w:rFonts w:ascii="Arial" w:hAnsi="Arial" w:cs="Arial"/>
                <w:sz w:val="15"/>
                <w:szCs w:val="15"/>
              </w:rPr>
              <w:t>32079.05</w:t>
            </w:r>
          </w:p>
        </w:tc>
        <w:tc>
          <w:tcPr>
            <w:tcW w:w="747" w:type="dxa"/>
            <w:shd w:val="clear" w:color="auto" w:fill="auto"/>
            <w:noWrap/>
            <w:vAlign w:val="center"/>
          </w:tcPr>
          <w:p>
            <w:pPr>
              <w:jc w:val="both"/>
              <w:rPr>
                <w:rFonts w:ascii="Arial" w:hAnsi="Arial" w:cs="Arial"/>
                <w:sz w:val="15"/>
                <w:szCs w:val="15"/>
              </w:rPr>
            </w:pPr>
            <w:r>
              <w:rPr>
                <w:rFonts w:ascii="Arial" w:hAnsi="Arial" w:cs="Arial"/>
                <w:sz w:val="15"/>
                <w:szCs w:val="15"/>
              </w:rPr>
              <w:t>96237.15</w:t>
            </w:r>
          </w:p>
        </w:tc>
        <w:tc>
          <w:tcPr>
            <w:tcW w:w="647" w:type="dxa"/>
            <w:shd w:val="clear" w:color="auto" w:fill="auto"/>
            <w:noWrap/>
            <w:vAlign w:val="center"/>
          </w:tcPr>
          <w:p>
            <w:pPr>
              <w:jc w:val="both"/>
              <w:rPr>
                <w:rFonts w:ascii="Arial" w:hAnsi="Arial" w:cs="Arial"/>
                <w:sz w:val="15"/>
                <w:szCs w:val="15"/>
              </w:rPr>
            </w:pPr>
            <w:r>
              <w:rPr>
                <w:rFonts w:ascii="Arial" w:hAnsi="Arial" w:cs="Arial"/>
                <w:sz w:val="15"/>
                <w:szCs w:val="15"/>
              </w:rPr>
              <w:t xml:space="preserve"> 限地价,竞配建</w:t>
            </w:r>
          </w:p>
        </w:tc>
        <w:tc>
          <w:tcPr>
            <w:tcW w:w="941" w:type="dxa"/>
            <w:shd w:val="clear" w:color="auto" w:fill="auto"/>
            <w:noWrap/>
            <w:vAlign w:val="center"/>
          </w:tcPr>
          <w:p>
            <w:pPr>
              <w:jc w:val="both"/>
              <w:rPr>
                <w:rFonts w:ascii="Arial" w:hAnsi="Arial" w:cs="Arial"/>
                <w:sz w:val="15"/>
                <w:szCs w:val="15"/>
              </w:rPr>
            </w:pPr>
            <w:r>
              <w:rPr>
                <w:rFonts w:ascii="Arial" w:hAnsi="Arial" w:cs="Arial"/>
                <w:sz w:val="15"/>
                <w:szCs w:val="15"/>
              </w:rPr>
              <w:t xml:space="preserve"> 定向安置房</w:t>
            </w:r>
          </w:p>
        </w:tc>
        <w:tc>
          <w:tcPr>
            <w:tcW w:w="794" w:type="dxa"/>
            <w:shd w:val="clear" w:color="auto" w:fill="auto"/>
            <w:noWrap/>
            <w:vAlign w:val="center"/>
          </w:tcPr>
          <w:p>
            <w:pPr>
              <w:jc w:val="both"/>
              <w:rPr>
                <w:rFonts w:ascii="Arial" w:hAnsi="Arial" w:cs="Arial"/>
                <w:sz w:val="15"/>
                <w:szCs w:val="15"/>
              </w:rPr>
            </w:pPr>
            <w:r>
              <w:rPr>
                <w:rFonts w:ascii="Arial" w:hAnsi="Arial" w:cs="Arial"/>
                <w:sz w:val="15"/>
                <w:szCs w:val="15"/>
              </w:rPr>
              <w:t>2021/3/10</w:t>
            </w:r>
          </w:p>
        </w:tc>
        <w:tc>
          <w:tcPr>
            <w:tcW w:w="674" w:type="dxa"/>
            <w:shd w:val="clear" w:color="auto" w:fill="auto"/>
            <w:noWrap/>
            <w:vAlign w:val="center"/>
          </w:tcPr>
          <w:p>
            <w:pPr>
              <w:jc w:val="both"/>
              <w:rPr>
                <w:rFonts w:ascii="Arial" w:hAnsi="Arial" w:cs="Arial"/>
                <w:sz w:val="15"/>
                <w:szCs w:val="15"/>
              </w:rPr>
            </w:pPr>
            <w:r>
              <w:rPr>
                <w:rFonts w:ascii="Arial" w:hAnsi="Arial" w:cs="Arial"/>
                <w:sz w:val="15"/>
                <w:szCs w:val="15"/>
              </w:rPr>
              <w:t>80600</w:t>
            </w:r>
          </w:p>
        </w:tc>
        <w:tc>
          <w:tcPr>
            <w:tcW w:w="692" w:type="dxa"/>
            <w:shd w:val="clear" w:color="auto" w:fill="auto"/>
            <w:noWrap/>
            <w:vAlign w:val="center"/>
          </w:tcPr>
          <w:p>
            <w:pPr>
              <w:jc w:val="both"/>
              <w:rPr>
                <w:rFonts w:ascii="Arial" w:hAnsi="Arial" w:cs="Arial"/>
                <w:sz w:val="15"/>
                <w:szCs w:val="15"/>
              </w:rPr>
            </w:pPr>
            <w:r>
              <w:rPr>
                <w:rFonts w:ascii="Arial" w:hAnsi="Arial" w:cs="Arial"/>
                <w:sz w:val="15"/>
                <w:szCs w:val="15"/>
              </w:rPr>
              <w:t>8375</w:t>
            </w:r>
          </w:p>
        </w:tc>
        <w:tc>
          <w:tcPr>
            <w:tcW w:w="517" w:type="dxa"/>
            <w:shd w:val="clear" w:color="auto" w:fill="auto"/>
            <w:noWrap/>
            <w:vAlign w:val="center"/>
          </w:tcPr>
          <w:p>
            <w:pPr>
              <w:jc w:val="both"/>
              <w:rPr>
                <w:rFonts w:ascii="Arial" w:hAnsi="Arial" w:cs="Arial"/>
                <w:sz w:val="15"/>
                <w:szCs w:val="15"/>
              </w:rPr>
            </w:pPr>
            <w:r>
              <w:rPr>
                <w:rFonts w:ascii="Arial" w:hAnsi="Arial" w:cs="Arial"/>
                <w:sz w:val="15"/>
                <w:szCs w:val="15"/>
              </w:rPr>
              <w:t>30</w:t>
            </w:r>
          </w:p>
        </w:tc>
        <w:tc>
          <w:tcPr>
            <w:tcW w:w="600" w:type="dxa"/>
            <w:shd w:val="clear" w:color="auto" w:fill="auto"/>
            <w:noWrap/>
            <w:vAlign w:val="center"/>
          </w:tcPr>
          <w:p>
            <w:pPr>
              <w:jc w:val="both"/>
              <w:rPr>
                <w:rFonts w:ascii="Arial" w:hAnsi="Arial" w:cs="Arial"/>
                <w:sz w:val="15"/>
                <w:szCs w:val="15"/>
              </w:rPr>
            </w:pPr>
            <w:r>
              <w:rPr>
                <w:rFonts w:ascii="Arial" w:hAnsi="Arial" w:cs="Arial"/>
                <w:sz w:val="15"/>
                <w:szCs w:val="15"/>
              </w:rPr>
              <w:t>80600</w:t>
            </w:r>
          </w:p>
        </w:tc>
        <w:tc>
          <w:tcPr>
            <w:tcW w:w="628"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 xml:space="preserve"> 触达</w:t>
            </w:r>
          </w:p>
        </w:tc>
        <w:tc>
          <w:tcPr>
            <w:tcW w:w="600"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8375</w:t>
            </w:r>
          </w:p>
        </w:tc>
        <w:tc>
          <w:tcPr>
            <w:tcW w:w="591"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30</w:t>
            </w:r>
          </w:p>
        </w:tc>
        <w:tc>
          <w:tcPr>
            <w:tcW w:w="2483"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配建计容建筑面积≥38070平方米定向安置房及配套338个地下车位，回迁安置房以4200元/平方米回购，地下车位以10万元/车位回购）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70" w:type="dxa"/>
            <w:shd w:val="clear" w:color="auto" w:fill="auto"/>
            <w:noWrap/>
            <w:vAlign w:val="center"/>
          </w:tcPr>
          <w:p>
            <w:pPr>
              <w:jc w:val="both"/>
              <w:rPr>
                <w:rFonts w:ascii="Arial" w:hAnsi="Arial" w:cs="Arial"/>
                <w:sz w:val="15"/>
                <w:szCs w:val="15"/>
              </w:rPr>
            </w:pPr>
            <w:r>
              <w:rPr>
                <w:rFonts w:ascii="Arial" w:hAnsi="Arial" w:cs="Arial"/>
                <w:sz w:val="15"/>
                <w:szCs w:val="15"/>
              </w:rPr>
              <w:t>7</w:t>
            </w:r>
          </w:p>
        </w:tc>
        <w:tc>
          <w:tcPr>
            <w:tcW w:w="892" w:type="dxa"/>
            <w:shd w:val="clear" w:color="auto" w:fill="auto"/>
            <w:noWrap/>
            <w:vAlign w:val="center"/>
          </w:tcPr>
          <w:p>
            <w:pPr>
              <w:jc w:val="both"/>
              <w:rPr>
                <w:rFonts w:ascii="Arial" w:hAnsi="Arial" w:cs="Arial"/>
                <w:sz w:val="15"/>
                <w:szCs w:val="15"/>
              </w:rPr>
            </w:pPr>
            <w:r>
              <w:rPr>
                <w:rFonts w:ascii="Arial" w:hAnsi="Arial" w:cs="Arial"/>
                <w:sz w:val="15"/>
                <w:szCs w:val="15"/>
              </w:rPr>
              <w:t>东城街道</w:t>
            </w:r>
          </w:p>
        </w:tc>
        <w:tc>
          <w:tcPr>
            <w:tcW w:w="923" w:type="dxa"/>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886" w:type="dxa"/>
            <w:shd w:val="clear" w:color="auto" w:fill="auto"/>
            <w:noWrap/>
            <w:vAlign w:val="center"/>
          </w:tcPr>
          <w:p>
            <w:pPr>
              <w:jc w:val="both"/>
              <w:rPr>
                <w:rFonts w:ascii="Arial" w:hAnsi="Arial" w:cs="Arial"/>
                <w:sz w:val="15"/>
                <w:szCs w:val="15"/>
              </w:rPr>
            </w:pPr>
            <w:r>
              <w:rPr>
                <w:rFonts w:ascii="Arial" w:hAnsi="Arial" w:cs="Arial"/>
                <w:sz w:val="15"/>
                <w:szCs w:val="15"/>
              </w:rPr>
              <w:t>16091.3</w:t>
            </w:r>
          </w:p>
        </w:tc>
        <w:tc>
          <w:tcPr>
            <w:tcW w:w="747" w:type="dxa"/>
            <w:shd w:val="clear" w:color="auto" w:fill="auto"/>
            <w:noWrap/>
            <w:vAlign w:val="center"/>
          </w:tcPr>
          <w:p>
            <w:pPr>
              <w:jc w:val="both"/>
              <w:rPr>
                <w:rFonts w:ascii="Arial" w:hAnsi="Arial" w:cs="Arial"/>
                <w:sz w:val="15"/>
                <w:szCs w:val="15"/>
              </w:rPr>
            </w:pPr>
            <w:r>
              <w:rPr>
                <w:rFonts w:ascii="Arial" w:hAnsi="Arial" w:cs="Arial"/>
                <w:sz w:val="15"/>
                <w:szCs w:val="15"/>
              </w:rPr>
              <w:t>43285.6</w:t>
            </w:r>
          </w:p>
        </w:tc>
        <w:tc>
          <w:tcPr>
            <w:tcW w:w="647" w:type="dxa"/>
            <w:shd w:val="clear" w:color="auto" w:fill="auto"/>
            <w:noWrap/>
            <w:vAlign w:val="center"/>
          </w:tcPr>
          <w:p>
            <w:pPr>
              <w:jc w:val="both"/>
              <w:rPr>
                <w:rFonts w:ascii="Arial" w:hAnsi="Arial" w:cs="Arial"/>
                <w:sz w:val="15"/>
                <w:szCs w:val="15"/>
              </w:rPr>
            </w:pPr>
            <w:r>
              <w:rPr>
                <w:rFonts w:ascii="Arial" w:hAnsi="Arial" w:cs="Arial"/>
                <w:sz w:val="15"/>
                <w:szCs w:val="15"/>
              </w:rPr>
              <w:t xml:space="preserve"> 限地价,竞配建</w:t>
            </w:r>
          </w:p>
        </w:tc>
        <w:tc>
          <w:tcPr>
            <w:tcW w:w="941" w:type="dxa"/>
            <w:shd w:val="clear" w:color="auto" w:fill="auto"/>
            <w:noWrap/>
            <w:vAlign w:val="center"/>
          </w:tcPr>
          <w:p>
            <w:pPr>
              <w:jc w:val="both"/>
              <w:rPr>
                <w:rFonts w:ascii="Arial" w:hAnsi="Arial" w:cs="Arial"/>
                <w:sz w:val="15"/>
                <w:szCs w:val="15"/>
              </w:rPr>
            </w:pPr>
            <w:r>
              <w:rPr>
                <w:rFonts w:ascii="Arial" w:hAnsi="Arial" w:cs="Arial"/>
                <w:sz w:val="15"/>
                <w:szCs w:val="15"/>
              </w:rPr>
              <w:t xml:space="preserve"> </w:t>
            </w:r>
            <w:r>
              <w:rPr>
                <w:rFonts w:hint="eastAsia" w:ascii="Arial" w:hAnsi="Arial" w:cs="Arial"/>
                <w:color w:val="000000"/>
                <w:sz w:val="15"/>
                <w:szCs w:val="15"/>
              </w:rPr>
              <w:t>——</w:t>
            </w:r>
          </w:p>
        </w:tc>
        <w:tc>
          <w:tcPr>
            <w:tcW w:w="794" w:type="dxa"/>
            <w:shd w:val="clear" w:color="auto" w:fill="auto"/>
            <w:noWrap/>
            <w:vAlign w:val="center"/>
          </w:tcPr>
          <w:p>
            <w:pPr>
              <w:jc w:val="both"/>
              <w:rPr>
                <w:rFonts w:ascii="Arial" w:hAnsi="Arial" w:cs="Arial"/>
                <w:sz w:val="15"/>
                <w:szCs w:val="15"/>
              </w:rPr>
            </w:pPr>
            <w:r>
              <w:rPr>
                <w:rFonts w:ascii="Arial" w:hAnsi="Arial" w:cs="Arial"/>
                <w:sz w:val="15"/>
                <w:szCs w:val="15"/>
              </w:rPr>
              <w:t>2020/12/16</w:t>
            </w:r>
          </w:p>
        </w:tc>
        <w:tc>
          <w:tcPr>
            <w:tcW w:w="674" w:type="dxa"/>
            <w:shd w:val="clear" w:color="auto" w:fill="auto"/>
            <w:noWrap/>
            <w:vAlign w:val="center"/>
          </w:tcPr>
          <w:p>
            <w:pPr>
              <w:jc w:val="both"/>
              <w:rPr>
                <w:rFonts w:ascii="Arial" w:hAnsi="Arial" w:cs="Arial"/>
                <w:sz w:val="15"/>
                <w:szCs w:val="15"/>
              </w:rPr>
            </w:pPr>
            <w:r>
              <w:rPr>
                <w:rFonts w:ascii="Arial" w:hAnsi="Arial" w:cs="Arial"/>
                <w:sz w:val="15"/>
                <w:szCs w:val="15"/>
              </w:rPr>
              <w:t>50700</w:t>
            </w:r>
          </w:p>
        </w:tc>
        <w:tc>
          <w:tcPr>
            <w:tcW w:w="692" w:type="dxa"/>
            <w:shd w:val="clear" w:color="auto" w:fill="auto"/>
            <w:noWrap/>
            <w:vAlign w:val="center"/>
          </w:tcPr>
          <w:p>
            <w:pPr>
              <w:jc w:val="both"/>
              <w:rPr>
                <w:rFonts w:ascii="Arial" w:hAnsi="Arial" w:cs="Arial"/>
                <w:sz w:val="15"/>
                <w:szCs w:val="15"/>
              </w:rPr>
            </w:pPr>
            <w:r>
              <w:rPr>
                <w:rFonts w:ascii="Arial" w:hAnsi="Arial" w:cs="Arial"/>
                <w:sz w:val="15"/>
                <w:szCs w:val="15"/>
              </w:rPr>
              <w:t>11713</w:t>
            </w:r>
          </w:p>
        </w:tc>
        <w:tc>
          <w:tcPr>
            <w:tcW w:w="517" w:type="dxa"/>
            <w:shd w:val="clear" w:color="auto" w:fill="auto"/>
            <w:noWrap/>
            <w:vAlign w:val="center"/>
          </w:tcPr>
          <w:p>
            <w:pPr>
              <w:jc w:val="both"/>
              <w:rPr>
                <w:rFonts w:ascii="Arial" w:hAnsi="Arial" w:cs="Arial"/>
                <w:sz w:val="15"/>
                <w:szCs w:val="15"/>
              </w:rPr>
            </w:pPr>
            <w:r>
              <w:rPr>
                <w:rFonts w:ascii="Arial" w:hAnsi="Arial" w:cs="Arial"/>
                <w:sz w:val="15"/>
                <w:szCs w:val="15"/>
              </w:rPr>
              <w:t>30</w:t>
            </w:r>
          </w:p>
        </w:tc>
        <w:tc>
          <w:tcPr>
            <w:tcW w:w="600" w:type="dxa"/>
            <w:shd w:val="clear" w:color="auto" w:fill="auto"/>
            <w:noWrap/>
            <w:vAlign w:val="center"/>
          </w:tcPr>
          <w:p>
            <w:pPr>
              <w:jc w:val="both"/>
              <w:rPr>
                <w:rFonts w:ascii="Arial" w:hAnsi="Arial" w:cs="Arial"/>
                <w:sz w:val="15"/>
                <w:szCs w:val="15"/>
              </w:rPr>
            </w:pPr>
            <w:r>
              <w:rPr>
                <w:rFonts w:hint="eastAsia" w:ascii="Arial" w:hAnsi="Arial" w:cs="Arial"/>
                <w:color w:val="000000"/>
                <w:sz w:val="15"/>
                <w:szCs w:val="15"/>
              </w:rPr>
              <w:t>——</w:t>
            </w:r>
          </w:p>
        </w:tc>
        <w:tc>
          <w:tcPr>
            <w:tcW w:w="628" w:type="dxa"/>
            <w:shd w:val="clear" w:color="auto" w:fill="auto"/>
            <w:noWrap/>
            <w:vAlign w:val="center"/>
          </w:tcPr>
          <w:p>
            <w:pPr>
              <w:jc w:val="both"/>
              <w:textAlignment w:val="bottom"/>
              <w:rPr>
                <w:rFonts w:ascii="Arial" w:hAnsi="Arial" w:cs="Arial"/>
                <w:color w:val="000000"/>
                <w:sz w:val="15"/>
                <w:szCs w:val="15"/>
              </w:rPr>
            </w:pPr>
            <w:r>
              <w:rPr>
                <w:rFonts w:hint="eastAsia" w:ascii="Arial" w:hAnsi="Arial" w:cs="Arial"/>
                <w:color w:val="000000"/>
                <w:sz w:val="15"/>
                <w:szCs w:val="15"/>
              </w:rPr>
              <w:t>——</w:t>
            </w:r>
          </w:p>
        </w:tc>
        <w:tc>
          <w:tcPr>
            <w:tcW w:w="600" w:type="dxa"/>
            <w:shd w:val="clear" w:color="auto" w:fill="auto"/>
            <w:noWrap/>
            <w:vAlign w:val="center"/>
          </w:tcPr>
          <w:p>
            <w:pPr>
              <w:jc w:val="both"/>
              <w:textAlignment w:val="bottom"/>
              <w:rPr>
                <w:rFonts w:ascii="Arial" w:hAnsi="Arial" w:cs="Arial"/>
                <w:color w:val="000000"/>
                <w:sz w:val="15"/>
                <w:szCs w:val="15"/>
              </w:rPr>
            </w:pPr>
            <w:r>
              <w:rPr>
                <w:rFonts w:hint="eastAsia" w:ascii="Arial" w:hAnsi="Arial" w:cs="Arial"/>
                <w:color w:val="000000"/>
                <w:sz w:val="15"/>
                <w:szCs w:val="15"/>
              </w:rPr>
              <w:t>——</w:t>
            </w:r>
          </w:p>
        </w:tc>
        <w:tc>
          <w:tcPr>
            <w:tcW w:w="591" w:type="dxa"/>
            <w:shd w:val="clear" w:color="auto" w:fill="auto"/>
            <w:noWrap/>
            <w:vAlign w:val="center"/>
          </w:tcPr>
          <w:p>
            <w:pPr>
              <w:jc w:val="both"/>
              <w:textAlignment w:val="bottom"/>
              <w:rPr>
                <w:rFonts w:ascii="Arial" w:hAnsi="Arial" w:cs="Arial"/>
                <w:color w:val="000000"/>
                <w:sz w:val="15"/>
                <w:szCs w:val="15"/>
              </w:rPr>
            </w:pPr>
            <w:r>
              <w:rPr>
                <w:rFonts w:hint="eastAsia" w:ascii="Arial" w:hAnsi="Arial" w:cs="Arial"/>
                <w:color w:val="000000"/>
                <w:sz w:val="15"/>
                <w:szCs w:val="15"/>
              </w:rPr>
              <w:t>——</w:t>
            </w:r>
          </w:p>
        </w:tc>
        <w:tc>
          <w:tcPr>
            <w:tcW w:w="2483" w:type="dxa"/>
            <w:shd w:val="clear" w:color="auto" w:fill="auto"/>
            <w:noWrap/>
            <w:vAlign w:val="center"/>
          </w:tcPr>
          <w:p>
            <w:pPr>
              <w:jc w:val="both"/>
              <w:rPr>
                <w:rFonts w:ascii="Arial" w:hAnsi="Arial" w:cs="Arial"/>
                <w:color w:val="000000"/>
                <w:sz w:val="15"/>
                <w:szCs w:val="15"/>
              </w:rPr>
            </w:pPr>
            <w:r>
              <w:rPr>
                <w:rFonts w:hint="eastAsia" w:ascii="Arial" w:hAnsi="Arial" w:cs="Arial"/>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70" w:type="dxa"/>
            <w:shd w:val="clear" w:color="auto" w:fill="auto"/>
            <w:noWrap/>
            <w:vAlign w:val="center"/>
          </w:tcPr>
          <w:p>
            <w:pPr>
              <w:jc w:val="both"/>
              <w:rPr>
                <w:rFonts w:ascii="Arial" w:hAnsi="Arial" w:cs="Arial"/>
                <w:sz w:val="15"/>
                <w:szCs w:val="15"/>
              </w:rPr>
            </w:pPr>
            <w:r>
              <w:rPr>
                <w:rFonts w:ascii="Arial" w:hAnsi="Arial" w:cs="Arial"/>
                <w:sz w:val="15"/>
                <w:szCs w:val="15"/>
              </w:rPr>
              <w:t>8</w:t>
            </w:r>
          </w:p>
        </w:tc>
        <w:tc>
          <w:tcPr>
            <w:tcW w:w="892" w:type="dxa"/>
            <w:shd w:val="clear" w:color="auto" w:fill="auto"/>
            <w:noWrap/>
            <w:vAlign w:val="center"/>
          </w:tcPr>
          <w:p>
            <w:pPr>
              <w:jc w:val="both"/>
              <w:rPr>
                <w:rFonts w:ascii="Arial" w:hAnsi="Arial" w:cs="Arial"/>
                <w:sz w:val="15"/>
                <w:szCs w:val="15"/>
              </w:rPr>
            </w:pPr>
            <w:r>
              <w:rPr>
                <w:rFonts w:ascii="Arial" w:hAnsi="Arial" w:cs="Arial"/>
                <w:sz w:val="15"/>
                <w:szCs w:val="15"/>
              </w:rPr>
              <w:t>永嘉县南城街道城中村改造C地块</w:t>
            </w:r>
          </w:p>
        </w:tc>
        <w:tc>
          <w:tcPr>
            <w:tcW w:w="923" w:type="dxa"/>
            <w:shd w:val="clear" w:color="auto" w:fill="auto"/>
            <w:noWrap/>
            <w:vAlign w:val="center"/>
          </w:tcPr>
          <w:p>
            <w:pPr>
              <w:jc w:val="both"/>
              <w:rPr>
                <w:rFonts w:ascii="Arial" w:hAnsi="Arial" w:cs="Arial"/>
                <w:sz w:val="15"/>
                <w:szCs w:val="15"/>
              </w:rPr>
            </w:pPr>
            <w:r>
              <w:rPr>
                <w:rFonts w:ascii="Arial" w:hAnsi="Arial" w:cs="Arial"/>
                <w:sz w:val="15"/>
                <w:szCs w:val="15"/>
              </w:rPr>
              <w:t xml:space="preserve"> 综合用地(含住宅)</w:t>
            </w:r>
          </w:p>
        </w:tc>
        <w:tc>
          <w:tcPr>
            <w:tcW w:w="886" w:type="dxa"/>
            <w:shd w:val="clear" w:color="auto" w:fill="auto"/>
            <w:noWrap/>
            <w:vAlign w:val="center"/>
          </w:tcPr>
          <w:p>
            <w:pPr>
              <w:jc w:val="both"/>
              <w:rPr>
                <w:rFonts w:ascii="Arial" w:hAnsi="Arial" w:cs="Arial"/>
                <w:sz w:val="15"/>
                <w:szCs w:val="15"/>
              </w:rPr>
            </w:pPr>
            <w:r>
              <w:rPr>
                <w:rFonts w:ascii="Arial" w:hAnsi="Arial" w:cs="Arial"/>
                <w:sz w:val="15"/>
                <w:szCs w:val="15"/>
              </w:rPr>
              <w:t>30457.15</w:t>
            </w:r>
          </w:p>
        </w:tc>
        <w:tc>
          <w:tcPr>
            <w:tcW w:w="747" w:type="dxa"/>
            <w:shd w:val="clear" w:color="auto" w:fill="auto"/>
            <w:noWrap/>
            <w:vAlign w:val="center"/>
          </w:tcPr>
          <w:p>
            <w:pPr>
              <w:jc w:val="both"/>
              <w:rPr>
                <w:rFonts w:ascii="Arial" w:hAnsi="Arial" w:cs="Arial"/>
                <w:sz w:val="15"/>
                <w:szCs w:val="15"/>
              </w:rPr>
            </w:pPr>
            <w:r>
              <w:rPr>
                <w:rFonts w:ascii="Arial" w:hAnsi="Arial" w:cs="Arial"/>
                <w:sz w:val="15"/>
                <w:szCs w:val="15"/>
              </w:rPr>
              <w:t>118478.31</w:t>
            </w:r>
          </w:p>
        </w:tc>
        <w:tc>
          <w:tcPr>
            <w:tcW w:w="647" w:type="dxa"/>
            <w:shd w:val="clear" w:color="auto" w:fill="auto"/>
            <w:noWrap/>
            <w:vAlign w:val="center"/>
          </w:tcPr>
          <w:p>
            <w:pPr>
              <w:jc w:val="both"/>
              <w:rPr>
                <w:rFonts w:ascii="Arial" w:hAnsi="Arial" w:cs="Arial"/>
                <w:sz w:val="15"/>
                <w:szCs w:val="15"/>
              </w:rPr>
            </w:pPr>
            <w:r>
              <w:rPr>
                <w:rFonts w:ascii="Arial" w:hAnsi="Arial" w:cs="Arial"/>
                <w:sz w:val="15"/>
                <w:szCs w:val="15"/>
              </w:rPr>
              <w:t xml:space="preserve"> 限地价</w:t>
            </w:r>
          </w:p>
        </w:tc>
        <w:tc>
          <w:tcPr>
            <w:tcW w:w="941" w:type="dxa"/>
            <w:shd w:val="clear" w:color="auto" w:fill="auto"/>
            <w:noWrap/>
            <w:vAlign w:val="center"/>
          </w:tcPr>
          <w:p>
            <w:pPr>
              <w:jc w:val="both"/>
              <w:rPr>
                <w:rFonts w:ascii="Arial" w:hAnsi="Arial" w:cs="Arial"/>
                <w:sz w:val="15"/>
                <w:szCs w:val="15"/>
              </w:rPr>
            </w:pPr>
            <w:r>
              <w:rPr>
                <w:rFonts w:ascii="Arial" w:hAnsi="Arial" w:cs="Arial"/>
                <w:sz w:val="15"/>
                <w:szCs w:val="15"/>
              </w:rPr>
              <w:t xml:space="preserve"> 定向安置房</w:t>
            </w:r>
          </w:p>
        </w:tc>
        <w:tc>
          <w:tcPr>
            <w:tcW w:w="794" w:type="dxa"/>
            <w:shd w:val="clear" w:color="auto" w:fill="auto"/>
            <w:noWrap/>
            <w:vAlign w:val="center"/>
          </w:tcPr>
          <w:p>
            <w:pPr>
              <w:jc w:val="both"/>
              <w:rPr>
                <w:rFonts w:ascii="Arial" w:hAnsi="Arial" w:cs="Arial"/>
                <w:sz w:val="15"/>
                <w:szCs w:val="15"/>
              </w:rPr>
            </w:pPr>
            <w:r>
              <w:rPr>
                <w:rFonts w:ascii="Arial" w:hAnsi="Arial" w:cs="Arial"/>
                <w:sz w:val="15"/>
                <w:szCs w:val="15"/>
              </w:rPr>
              <w:t>2020/10/28</w:t>
            </w:r>
          </w:p>
        </w:tc>
        <w:tc>
          <w:tcPr>
            <w:tcW w:w="674" w:type="dxa"/>
            <w:shd w:val="clear" w:color="auto" w:fill="auto"/>
            <w:noWrap/>
            <w:vAlign w:val="center"/>
          </w:tcPr>
          <w:p>
            <w:pPr>
              <w:jc w:val="both"/>
              <w:rPr>
                <w:rFonts w:ascii="Arial" w:hAnsi="Arial" w:cs="Arial"/>
                <w:sz w:val="15"/>
                <w:szCs w:val="15"/>
              </w:rPr>
            </w:pPr>
            <w:r>
              <w:rPr>
                <w:rFonts w:ascii="Arial" w:hAnsi="Arial" w:cs="Arial"/>
                <w:sz w:val="15"/>
                <w:szCs w:val="15"/>
              </w:rPr>
              <w:t>21500</w:t>
            </w:r>
          </w:p>
        </w:tc>
        <w:tc>
          <w:tcPr>
            <w:tcW w:w="692" w:type="dxa"/>
            <w:shd w:val="clear" w:color="auto" w:fill="auto"/>
            <w:noWrap/>
            <w:vAlign w:val="center"/>
          </w:tcPr>
          <w:p>
            <w:pPr>
              <w:jc w:val="both"/>
              <w:rPr>
                <w:rFonts w:ascii="Arial" w:hAnsi="Arial" w:cs="Arial"/>
                <w:sz w:val="15"/>
                <w:szCs w:val="15"/>
              </w:rPr>
            </w:pPr>
            <w:r>
              <w:rPr>
                <w:rFonts w:ascii="Arial" w:hAnsi="Arial" w:cs="Arial"/>
                <w:sz w:val="15"/>
                <w:szCs w:val="15"/>
              </w:rPr>
              <w:t>1815</w:t>
            </w:r>
          </w:p>
        </w:tc>
        <w:tc>
          <w:tcPr>
            <w:tcW w:w="517" w:type="dxa"/>
            <w:shd w:val="clear" w:color="auto" w:fill="auto"/>
            <w:noWrap/>
            <w:vAlign w:val="center"/>
          </w:tcPr>
          <w:p>
            <w:pPr>
              <w:jc w:val="both"/>
              <w:rPr>
                <w:rFonts w:ascii="Arial" w:hAnsi="Arial" w:cs="Arial"/>
                <w:sz w:val="15"/>
                <w:szCs w:val="15"/>
              </w:rPr>
            </w:pPr>
            <w:r>
              <w:rPr>
                <w:rFonts w:ascii="Arial" w:hAnsi="Arial" w:cs="Arial"/>
                <w:sz w:val="15"/>
                <w:szCs w:val="15"/>
              </w:rPr>
              <w:t>0</w:t>
            </w:r>
          </w:p>
        </w:tc>
        <w:tc>
          <w:tcPr>
            <w:tcW w:w="600" w:type="dxa"/>
            <w:shd w:val="clear" w:color="auto" w:fill="auto"/>
            <w:noWrap/>
            <w:vAlign w:val="center"/>
          </w:tcPr>
          <w:p>
            <w:pPr>
              <w:jc w:val="both"/>
              <w:rPr>
                <w:rFonts w:ascii="Arial" w:hAnsi="Arial" w:cs="Arial"/>
                <w:sz w:val="15"/>
                <w:szCs w:val="15"/>
              </w:rPr>
            </w:pPr>
            <w:r>
              <w:rPr>
                <w:rFonts w:ascii="Arial" w:hAnsi="Arial" w:cs="Arial"/>
                <w:sz w:val="15"/>
                <w:szCs w:val="15"/>
              </w:rPr>
              <w:t>27900</w:t>
            </w:r>
          </w:p>
        </w:tc>
        <w:tc>
          <w:tcPr>
            <w:tcW w:w="628"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 xml:space="preserve"> 未触达</w:t>
            </w:r>
          </w:p>
        </w:tc>
        <w:tc>
          <w:tcPr>
            <w:tcW w:w="600"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2355</w:t>
            </w:r>
          </w:p>
        </w:tc>
        <w:tc>
          <w:tcPr>
            <w:tcW w:w="591"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29.77</w:t>
            </w:r>
          </w:p>
        </w:tc>
        <w:tc>
          <w:tcPr>
            <w:tcW w:w="2483" w:type="dxa"/>
            <w:shd w:val="clear" w:color="auto" w:fill="auto"/>
            <w:noWrap/>
            <w:vAlign w:val="center"/>
          </w:tcPr>
          <w:p>
            <w:pPr>
              <w:jc w:val="both"/>
              <w:rPr>
                <w:rFonts w:ascii="Arial" w:hAnsi="Arial" w:cs="Arial"/>
                <w:color w:val="000000"/>
                <w:sz w:val="15"/>
                <w:szCs w:val="15"/>
              </w:rPr>
            </w:pPr>
            <w:r>
              <w:rPr>
                <w:rFonts w:hint="eastAsia" w:ascii="Arial" w:hAnsi="Arial" w:cs="Arial"/>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70" w:type="dxa"/>
            <w:shd w:val="clear" w:color="auto" w:fill="auto"/>
            <w:noWrap/>
            <w:vAlign w:val="center"/>
          </w:tcPr>
          <w:p>
            <w:pPr>
              <w:jc w:val="both"/>
              <w:rPr>
                <w:rFonts w:ascii="Arial" w:hAnsi="Arial" w:cs="Arial"/>
                <w:sz w:val="15"/>
                <w:szCs w:val="15"/>
              </w:rPr>
            </w:pPr>
            <w:r>
              <w:rPr>
                <w:rFonts w:ascii="Arial" w:hAnsi="Arial" w:cs="Arial"/>
                <w:sz w:val="15"/>
                <w:szCs w:val="15"/>
              </w:rPr>
              <w:t>9</w:t>
            </w:r>
          </w:p>
        </w:tc>
        <w:tc>
          <w:tcPr>
            <w:tcW w:w="892" w:type="dxa"/>
            <w:shd w:val="clear" w:color="auto" w:fill="auto"/>
            <w:noWrap/>
            <w:vAlign w:val="center"/>
          </w:tcPr>
          <w:p>
            <w:pPr>
              <w:jc w:val="both"/>
              <w:rPr>
                <w:rFonts w:ascii="Arial" w:hAnsi="Arial" w:cs="Arial"/>
                <w:sz w:val="15"/>
                <w:szCs w:val="15"/>
              </w:rPr>
            </w:pPr>
            <w:r>
              <w:rPr>
                <w:rFonts w:ascii="Arial" w:hAnsi="Arial" w:cs="Arial"/>
                <w:sz w:val="15"/>
                <w:szCs w:val="15"/>
              </w:rPr>
              <w:t>永嘉县北城街道永建路C区旧城建设项目</w:t>
            </w:r>
          </w:p>
        </w:tc>
        <w:tc>
          <w:tcPr>
            <w:tcW w:w="923" w:type="dxa"/>
            <w:shd w:val="clear" w:color="auto" w:fill="auto"/>
            <w:noWrap/>
            <w:vAlign w:val="center"/>
          </w:tcPr>
          <w:p>
            <w:pPr>
              <w:jc w:val="both"/>
              <w:rPr>
                <w:rFonts w:ascii="Arial" w:hAnsi="Arial" w:cs="Arial"/>
                <w:sz w:val="15"/>
                <w:szCs w:val="15"/>
              </w:rPr>
            </w:pPr>
            <w:r>
              <w:rPr>
                <w:rFonts w:ascii="Arial" w:hAnsi="Arial" w:cs="Arial"/>
                <w:sz w:val="15"/>
                <w:szCs w:val="15"/>
              </w:rPr>
              <w:t xml:space="preserve"> 综合用地(含住宅)</w:t>
            </w:r>
          </w:p>
        </w:tc>
        <w:tc>
          <w:tcPr>
            <w:tcW w:w="886" w:type="dxa"/>
            <w:shd w:val="clear" w:color="auto" w:fill="auto"/>
            <w:noWrap/>
            <w:vAlign w:val="center"/>
          </w:tcPr>
          <w:p>
            <w:pPr>
              <w:jc w:val="both"/>
              <w:rPr>
                <w:rFonts w:ascii="Arial" w:hAnsi="Arial" w:cs="Arial"/>
                <w:sz w:val="15"/>
                <w:szCs w:val="15"/>
              </w:rPr>
            </w:pPr>
            <w:r>
              <w:rPr>
                <w:rFonts w:ascii="Arial" w:hAnsi="Arial" w:cs="Arial"/>
                <w:sz w:val="15"/>
                <w:szCs w:val="15"/>
              </w:rPr>
              <w:t>18967.21</w:t>
            </w:r>
          </w:p>
        </w:tc>
        <w:tc>
          <w:tcPr>
            <w:tcW w:w="747" w:type="dxa"/>
            <w:shd w:val="clear" w:color="auto" w:fill="auto"/>
            <w:noWrap/>
            <w:vAlign w:val="center"/>
          </w:tcPr>
          <w:p>
            <w:pPr>
              <w:jc w:val="both"/>
              <w:rPr>
                <w:rFonts w:ascii="Arial" w:hAnsi="Arial" w:cs="Arial"/>
                <w:sz w:val="15"/>
                <w:szCs w:val="15"/>
              </w:rPr>
            </w:pPr>
            <w:r>
              <w:rPr>
                <w:rFonts w:ascii="Arial" w:hAnsi="Arial" w:cs="Arial"/>
                <w:sz w:val="15"/>
                <w:szCs w:val="15"/>
              </w:rPr>
              <w:t>58798.35</w:t>
            </w:r>
          </w:p>
        </w:tc>
        <w:tc>
          <w:tcPr>
            <w:tcW w:w="647" w:type="dxa"/>
            <w:shd w:val="clear" w:color="auto" w:fill="auto"/>
            <w:noWrap/>
            <w:vAlign w:val="center"/>
          </w:tcPr>
          <w:p>
            <w:pPr>
              <w:jc w:val="both"/>
              <w:rPr>
                <w:rFonts w:ascii="Arial" w:hAnsi="Arial" w:cs="Arial"/>
                <w:sz w:val="15"/>
                <w:szCs w:val="15"/>
              </w:rPr>
            </w:pPr>
            <w:r>
              <w:rPr>
                <w:rFonts w:ascii="Arial" w:hAnsi="Arial" w:cs="Arial"/>
                <w:sz w:val="15"/>
                <w:szCs w:val="15"/>
              </w:rPr>
              <w:t xml:space="preserve"> 限地价</w:t>
            </w:r>
          </w:p>
        </w:tc>
        <w:tc>
          <w:tcPr>
            <w:tcW w:w="941" w:type="dxa"/>
            <w:shd w:val="clear" w:color="auto" w:fill="auto"/>
            <w:noWrap/>
            <w:vAlign w:val="center"/>
          </w:tcPr>
          <w:p>
            <w:pPr>
              <w:jc w:val="both"/>
              <w:rPr>
                <w:rFonts w:ascii="Arial" w:hAnsi="Arial" w:cs="Arial"/>
                <w:sz w:val="15"/>
                <w:szCs w:val="15"/>
              </w:rPr>
            </w:pPr>
            <w:r>
              <w:rPr>
                <w:rFonts w:ascii="Arial" w:hAnsi="Arial" w:cs="Arial"/>
                <w:sz w:val="15"/>
                <w:szCs w:val="15"/>
              </w:rPr>
              <w:t xml:space="preserve"> 定向安置房</w:t>
            </w:r>
          </w:p>
        </w:tc>
        <w:tc>
          <w:tcPr>
            <w:tcW w:w="794" w:type="dxa"/>
            <w:shd w:val="clear" w:color="auto" w:fill="auto"/>
            <w:noWrap/>
            <w:vAlign w:val="center"/>
          </w:tcPr>
          <w:p>
            <w:pPr>
              <w:jc w:val="both"/>
              <w:rPr>
                <w:rFonts w:ascii="Arial" w:hAnsi="Arial" w:cs="Arial"/>
                <w:sz w:val="15"/>
                <w:szCs w:val="15"/>
              </w:rPr>
            </w:pPr>
            <w:r>
              <w:rPr>
                <w:rFonts w:ascii="Arial" w:hAnsi="Arial" w:cs="Arial"/>
                <w:sz w:val="15"/>
                <w:szCs w:val="15"/>
              </w:rPr>
              <w:t>2020/8/19</w:t>
            </w:r>
          </w:p>
        </w:tc>
        <w:tc>
          <w:tcPr>
            <w:tcW w:w="674" w:type="dxa"/>
            <w:shd w:val="clear" w:color="auto" w:fill="auto"/>
            <w:noWrap/>
            <w:vAlign w:val="center"/>
          </w:tcPr>
          <w:p>
            <w:pPr>
              <w:jc w:val="both"/>
              <w:rPr>
                <w:rFonts w:ascii="Arial" w:hAnsi="Arial" w:cs="Arial"/>
                <w:sz w:val="15"/>
                <w:szCs w:val="15"/>
              </w:rPr>
            </w:pPr>
            <w:r>
              <w:rPr>
                <w:rFonts w:ascii="Arial" w:hAnsi="Arial" w:cs="Arial"/>
                <w:sz w:val="15"/>
                <w:szCs w:val="15"/>
              </w:rPr>
              <w:t>24400</w:t>
            </w:r>
          </w:p>
        </w:tc>
        <w:tc>
          <w:tcPr>
            <w:tcW w:w="692" w:type="dxa"/>
            <w:shd w:val="clear" w:color="auto" w:fill="auto"/>
            <w:noWrap/>
            <w:vAlign w:val="center"/>
          </w:tcPr>
          <w:p>
            <w:pPr>
              <w:jc w:val="both"/>
              <w:rPr>
                <w:rFonts w:ascii="Arial" w:hAnsi="Arial" w:cs="Arial"/>
                <w:sz w:val="15"/>
                <w:szCs w:val="15"/>
              </w:rPr>
            </w:pPr>
            <w:r>
              <w:rPr>
                <w:rFonts w:ascii="Arial" w:hAnsi="Arial" w:cs="Arial"/>
                <w:sz w:val="15"/>
                <w:szCs w:val="15"/>
              </w:rPr>
              <w:t>4150</w:t>
            </w:r>
          </w:p>
        </w:tc>
        <w:tc>
          <w:tcPr>
            <w:tcW w:w="517" w:type="dxa"/>
            <w:shd w:val="clear" w:color="auto" w:fill="auto"/>
            <w:noWrap/>
            <w:vAlign w:val="center"/>
          </w:tcPr>
          <w:p>
            <w:pPr>
              <w:jc w:val="both"/>
              <w:rPr>
                <w:rFonts w:ascii="Arial" w:hAnsi="Arial" w:cs="Arial"/>
                <w:sz w:val="15"/>
                <w:szCs w:val="15"/>
              </w:rPr>
            </w:pPr>
            <w:r>
              <w:rPr>
                <w:rFonts w:ascii="Arial" w:hAnsi="Arial" w:cs="Arial"/>
                <w:sz w:val="15"/>
                <w:szCs w:val="15"/>
              </w:rPr>
              <w:t>17.31</w:t>
            </w:r>
          </w:p>
        </w:tc>
        <w:tc>
          <w:tcPr>
            <w:tcW w:w="600" w:type="dxa"/>
            <w:shd w:val="clear" w:color="auto" w:fill="auto"/>
            <w:noWrap/>
            <w:vAlign w:val="center"/>
          </w:tcPr>
          <w:p>
            <w:pPr>
              <w:jc w:val="both"/>
              <w:rPr>
                <w:rFonts w:ascii="Arial" w:hAnsi="Arial" w:cs="Arial"/>
                <w:sz w:val="15"/>
                <w:szCs w:val="15"/>
              </w:rPr>
            </w:pPr>
            <w:r>
              <w:rPr>
                <w:rFonts w:ascii="Arial" w:hAnsi="Arial" w:cs="Arial"/>
                <w:sz w:val="15"/>
                <w:szCs w:val="15"/>
              </w:rPr>
              <w:t>31100</w:t>
            </w:r>
          </w:p>
        </w:tc>
        <w:tc>
          <w:tcPr>
            <w:tcW w:w="628"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 xml:space="preserve"> 未触达</w:t>
            </w:r>
          </w:p>
        </w:tc>
        <w:tc>
          <w:tcPr>
            <w:tcW w:w="600"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5289</w:t>
            </w:r>
          </w:p>
        </w:tc>
        <w:tc>
          <w:tcPr>
            <w:tcW w:w="591" w:type="dxa"/>
            <w:shd w:val="clear" w:color="auto" w:fill="auto"/>
            <w:noWrap/>
            <w:vAlign w:val="center"/>
          </w:tcPr>
          <w:p>
            <w:pPr>
              <w:jc w:val="both"/>
              <w:textAlignment w:val="bottom"/>
              <w:rPr>
                <w:rFonts w:ascii="Arial" w:hAnsi="Arial" w:cs="Arial"/>
                <w:color w:val="000000"/>
                <w:sz w:val="15"/>
                <w:szCs w:val="15"/>
              </w:rPr>
            </w:pPr>
            <w:r>
              <w:rPr>
                <w:rFonts w:ascii="Arial" w:hAnsi="Arial" w:cs="Arial"/>
                <w:color w:val="000000"/>
                <w:sz w:val="15"/>
                <w:szCs w:val="15"/>
                <w:lang w:bidi="ar"/>
              </w:rPr>
              <w:t>49.52</w:t>
            </w:r>
          </w:p>
        </w:tc>
        <w:tc>
          <w:tcPr>
            <w:tcW w:w="2483" w:type="dxa"/>
            <w:shd w:val="clear" w:color="auto" w:fill="auto"/>
            <w:noWrap/>
            <w:vAlign w:val="center"/>
          </w:tcPr>
          <w:p>
            <w:pPr>
              <w:jc w:val="both"/>
              <w:rPr>
                <w:rFonts w:ascii="Arial" w:hAnsi="Arial" w:cs="Arial"/>
                <w:color w:val="000000"/>
                <w:sz w:val="15"/>
                <w:szCs w:val="15"/>
              </w:rPr>
            </w:pPr>
            <w:r>
              <w:rPr>
                <w:rFonts w:hint="eastAsia" w:ascii="Arial" w:hAnsi="Arial" w:cs="Arial"/>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70" w:type="dxa"/>
            <w:shd w:val="clear" w:color="auto" w:fill="auto"/>
            <w:noWrap/>
            <w:vAlign w:val="center"/>
          </w:tcPr>
          <w:p>
            <w:pPr>
              <w:jc w:val="both"/>
              <w:rPr>
                <w:rFonts w:ascii="Arial" w:hAnsi="Arial" w:cs="Arial"/>
                <w:sz w:val="15"/>
                <w:szCs w:val="15"/>
              </w:rPr>
            </w:pPr>
            <w:r>
              <w:rPr>
                <w:rFonts w:ascii="Arial" w:hAnsi="Arial" w:cs="Arial"/>
                <w:sz w:val="15"/>
                <w:szCs w:val="15"/>
              </w:rPr>
              <w:t>10</w:t>
            </w:r>
          </w:p>
        </w:tc>
        <w:tc>
          <w:tcPr>
            <w:tcW w:w="892" w:type="dxa"/>
            <w:shd w:val="clear" w:color="auto" w:fill="auto"/>
            <w:noWrap/>
            <w:vAlign w:val="center"/>
          </w:tcPr>
          <w:p>
            <w:pPr>
              <w:jc w:val="both"/>
              <w:rPr>
                <w:rFonts w:ascii="Arial" w:hAnsi="Arial" w:cs="Arial"/>
                <w:sz w:val="15"/>
                <w:szCs w:val="15"/>
              </w:rPr>
            </w:pPr>
            <w:r>
              <w:rPr>
                <w:rFonts w:ascii="Arial" w:hAnsi="Arial" w:cs="Arial"/>
                <w:sz w:val="15"/>
                <w:szCs w:val="15"/>
              </w:rPr>
              <w:t>桥头镇壬田村</w:t>
            </w:r>
          </w:p>
        </w:tc>
        <w:tc>
          <w:tcPr>
            <w:tcW w:w="923" w:type="dxa"/>
            <w:shd w:val="clear" w:color="auto" w:fill="auto"/>
            <w:noWrap/>
            <w:vAlign w:val="center"/>
          </w:tcPr>
          <w:p>
            <w:pPr>
              <w:jc w:val="both"/>
              <w:rPr>
                <w:rFonts w:ascii="Arial" w:hAnsi="Arial" w:cs="Arial"/>
                <w:sz w:val="15"/>
                <w:szCs w:val="15"/>
              </w:rPr>
            </w:pPr>
            <w:r>
              <w:rPr>
                <w:rFonts w:ascii="Arial" w:hAnsi="Arial" w:cs="Arial"/>
                <w:sz w:val="15"/>
                <w:szCs w:val="15"/>
              </w:rPr>
              <w:t xml:space="preserve"> 住宅用地</w:t>
            </w:r>
          </w:p>
        </w:tc>
        <w:tc>
          <w:tcPr>
            <w:tcW w:w="886" w:type="dxa"/>
            <w:shd w:val="clear" w:color="auto" w:fill="auto"/>
            <w:noWrap/>
            <w:vAlign w:val="center"/>
          </w:tcPr>
          <w:p>
            <w:pPr>
              <w:jc w:val="both"/>
              <w:rPr>
                <w:rFonts w:ascii="Arial" w:hAnsi="Arial" w:cs="Arial"/>
                <w:sz w:val="15"/>
                <w:szCs w:val="15"/>
              </w:rPr>
            </w:pPr>
            <w:r>
              <w:rPr>
                <w:rFonts w:ascii="Arial" w:hAnsi="Arial" w:cs="Arial"/>
                <w:sz w:val="15"/>
                <w:szCs w:val="15"/>
              </w:rPr>
              <w:t>30099.88</w:t>
            </w:r>
          </w:p>
        </w:tc>
        <w:tc>
          <w:tcPr>
            <w:tcW w:w="747" w:type="dxa"/>
            <w:shd w:val="clear" w:color="auto" w:fill="auto"/>
            <w:noWrap/>
            <w:vAlign w:val="center"/>
          </w:tcPr>
          <w:p>
            <w:pPr>
              <w:jc w:val="both"/>
              <w:rPr>
                <w:rFonts w:ascii="Arial" w:hAnsi="Arial" w:cs="Arial"/>
                <w:sz w:val="15"/>
                <w:szCs w:val="15"/>
              </w:rPr>
            </w:pPr>
            <w:r>
              <w:rPr>
                <w:rFonts w:ascii="Arial" w:hAnsi="Arial" w:cs="Arial"/>
                <w:sz w:val="15"/>
                <w:szCs w:val="15"/>
              </w:rPr>
              <w:t>90299.64</w:t>
            </w:r>
          </w:p>
        </w:tc>
        <w:tc>
          <w:tcPr>
            <w:tcW w:w="647" w:type="dxa"/>
            <w:shd w:val="clear" w:color="auto" w:fill="auto"/>
            <w:noWrap/>
            <w:vAlign w:val="center"/>
          </w:tcPr>
          <w:p>
            <w:pPr>
              <w:jc w:val="both"/>
              <w:rPr>
                <w:rFonts w:ascii="Arial" w:hAnsi="Arial" w:cs="Arial"/>
                <w:sz w:val="15"/>
                <w:szCs w:val="15"/>
              </w:rPr>
            </w:pPr>
            <w:r>
              <w:rPr>
                <w:rFonts w:ascii="Arial" w:hAnsi="Arial" w:cs="Arial"/>
                <w:sz w:val="15"/>
                <w:szCs w:val="15"/>
              </w:rPr>
              <w:t xml:space="preserve"> 限地价</w:t>
            </w:r>
          </w:p>
        </w:tc>
        <w:tc>
          <w:tcPr>
            <w:tcW w:w="941" w:type="dxa"/>
            <w:shd w:val="clear" w:color="auto" w:fill="auto"/>
            <w:noWrap/>
            <w:vAlign w:val="center"/>
          </w:tcPr>
          <w:p>
            <w:pPr>
              <w:jc w:val="both"/>
              <w:rPr>
                <w:rFonts w:ascii="Arial" w:hAnsi="Arial" w:cs="Arial"/>
                <w:sz w:val="15"/>
                <w:szCs w:val="15"/>
              </w:rPr>
            </w:pPr>
            <w:r>
              <w:rPr>
                <w:rFonts w:ascii="Arial" w:hAnsi="Arial" w:cs="Arial"/>
                <w:sz w:val="15"/>
                <w:szCs w:val="15"/>
              </w:rPr>
              <w:t xml:space="preserve"> </w:t>
            </w:r>
            <w:r>
              <w:rPr>
                <w:rFonts w:hint="eastAsia" w:ascii="Arial" w:hAnsi="Arial" w:cs="Arial"/>
                <w:color w:val="000000"/>
                <w:sz w:val="15"/>
                <w:szCs w:val="15"/>
              </w:rPr>
              <w:t>——</w:t>
            </w:r>
          </w:p>
        </w:tc>
        <w:tc>
          <w:tcPr>
            <w:tcW w:w="794" w:type="dxa"/>
            <w:shd w:val="clear" w:color="auto" w:fill="auto"/>
            <w:noWrap/>
            <w:vAlign w:val="center"/>
          </w:tcPr>
          <w:p>
            <w:pPr>
              <w:jc w:val="both"/>
              <w:rPr>
                <w:rFonts w:ascii="Arial" w:hAnsi="Arial" w:cs="Arial"/>
                <w:sz w:val="15"/>
                <w:szCs w:val="15"/>
              </w:rPr>
            </w:pPr>
            <w:r>
              <w:rPr>
                <w:rFonts w:ascii="Arial" w:hAnsi="Arial" w:cs="Arial"/>
                <w:sz w:val="15"/>
                <w:szCs w:val="15"/>
              </w:rPr>
              <w:t>2020/6/24</w:t>
            </w:r>
          </w:p>
        </w:tc>
        <w:tc>
          <w:tcPr>
            <w:tcW w:w="674" w:type="dxa"/>
            <w:shd w:val="clear" w:color="auto" w:fill="auto"/>
            <w:noWrap/>
            <w:vAlign w:val="center"/>
          </w:tcPr>
          <w:p>
            <w:pPr>
              <w:jc w:val="both"/>
              <w:rPr>
                <w:rFonts w:ascii="Arial" w:hAnsi="Arial" w:cs="Arial"/>
                <w:sz w:val="15"/>
                <w:szCs w:val="15"/>
              </w:rPr>
            </w:pPr>
            <w:r>
              <w:rPr>
                <w:rFonts w:ascii="Arial" w:hAnsi="Arial" w:cs="Arial"/>
                <w:sz w:val="15"/>
                <w:szCs w:val="15"/>
              </w:rPr>
              <w:t>39467</w:t>
            </w:r>
          </w:p>
        </w:tc>
        <w:tc>
          <w:tcPr>
            <w:tcW w:w="692" w:type="dxa"/>
            <w:shd w:val="clear" w:color="auto" w:fill="auto"/>
            <w:noWrap/>
            <w:vAlign w:val="center"/>
          </w:tcPr>
          <w:p>
            <w:pPr>
              <w:jc w:val="both"/>
              <w:rPr>
                <w:rFonts w:ascii="Arial" w:hAnsi="Arial" w:cs="Arial"/>
                <w:sz w:val="15"/>
                <w:szCs w:val="15"/>
              </w:rPr>
            </w:pPr>
            <w:r>
              <w:rPr>
                <w:rFonts w:ascii="Arial" w:hAnsi="Arial" w:cs="Arial"/>
                <w:sz w:val="15"/>
                <w:szCs w:val="15"/>
              </w:rPr>
              <w:t>4371</w:t>
            </w:r>
          </w:p>
        </w:tc>
        <w:tc>
          <w:tcPr>
            <w:tcW w:w="517" w:type="dxa"/>
            <w:shd w:val="clear" w:color="auto" w:fill="auto"/>
            <w:noWrap/>
            <w:vAlign w:val="center"/>
          </w:tcPr>
          <w:p>
            <w:pPr>
              <w:jc w:val="both"/>
              <w:rPr>
                <w:rFonts w:ascii="Arial" w:hAnsi="Arial" w:cs="Arial"/>
                <w:sz w:val="15"/>
                <w:szCs w:val="15"/>
              </w:rPr>
            </w:pPr>
            <w:r>
              <w:rPr>
                <w:rFonts w:ascii="Arial" w:hAnsi="Arial" w:cs="Arial"/>
                <w:sz w:val="15"/>
                <w:szCs w:val="15"/>
              </w:rPr>
              <w:t>1.81</w:t>
            </w:r>
          </w:p>
        </w:tc>
        <w:tc>
          <w:tcPr>
            <w:tcW w:w="600" w:type="dxa"/>
            <w:shd w:val="clear" w:color="auto" w:fill="auto"/>
            <w:noWrap/>
            <w:vAlign w:val="center"/>
          </w:tcPr>
          <w:p>
            <w:pPr>
              <w:jc w:val="both"/>
              <w:rPr>
                <w:rFonts w:ascii="Arial" w:hAnsi="Arial" w:cs="Arial"/>
                <w:sz w:val="15"/>
                <w:szCs w:val="15"/>
              </w:rPr>
            </w:pPr>
            <w:r>
              <w:rPr>
                <w:rFonts w:hint="eastAsia" w:ascii="Arial" w:hAnsi="Arial" w:cs="Arial"/>
                <w:color w:val="000000"/>
                <w:sz w:val="15"/>
                <w:szCs w:val="15"/>
              </w:rPr>
              <w:t>——</w:t>
            </w:r>
          </w:p>
        </w:tc>
        <w:tc>
          <w:tcPr>
            <w:tcW w:w="628" w:type="dxa"/>
            <w:shd w:val="clear" w:color="auto" w:fill="auto"/>
            <w:noWrap/>
            <w:vAlign w:val="center"/>
          </w:tcPr>
          <w:p>
            <w:pPr>
              <w:jc w:val="both"/>
              <w:textAlignment w:val="bottom"/>
              <w:rPr>
                <w:rFonts w:ascii="Arial" w:hAnsi="Arial" w:cs="Arial"/>
                <w:color w:val="000000"/>
                <w:sz w:val="15"/>
                <w:szCs w:val="15"/>
              </w:rPr>
            </w:pPr>
            <w:r>
              <w:rPr>
                <w:rFonts w:hint="eastAsia" w:ascii="Arial" w:hAnsi="Arial" w:cs="Arial"/>
                <w:color w:val="000000"/>
                <w:sz w:val="15"/>
                <w:szCs w:val="15"/>
              </w:rPr>
              <w:t>——</w:t>
            </w:r>
          </w:p>
        </w:tc>
        <w:tc>
          <w:tcPr>
            <w:tcW w:w="600" w:type="dxa"/>
            <w:shd w:val="clear" w:color="auto" w:fill="auto"/>
            <w:noWrap/>
            <w:vAlign w:val="center"/>
          </w:tcPr>
          <w:p>
            <w:pPr>
              <w:jc w:val="both"/>
              <w:textAlignment w:val="bottom"/>
              <w:rPr>
                <w:rFonts w:ascii="Arial" w:hAnsi="Arial" w:cs="Arial"/>
                <w:color w:val="000000"/>
                <w:sz w:val="15"/>
                <w:szCs w:val="15"/>
              </w:rPr>
            </w:pPr>
            <w:r>
              <w:rPr>
                <w:rFonts w:hint="eastAsia" w:ascii="Arial" w:hAnsi="Arial" w:cs="Arial"/>
                <w:color w:val="000000"/>
                <w:sz w:val="15"/>
                <w:szCs w:val="15"/>
              </w:rPr>
              <w:t>——</w:t>
            </w:r>
          </w:p>
        </w:tc>
        <w:tc>
          <w:tcPr>
            <w:tcW w:w="591" w:type="dxa"/>
            <w:shd w:val="clear" w:color="auto" w:fill="auto"/>
            <w:noWrap/>
            <w:vAlign w:val="center"/>
          </w:tcPr>
          <w:p>
            <w:pPr>
              <w:jc w:val="both"/>
              <w:textAlignment w:val="bottom"/>
              <w:rPr>
                <w:rFonts w:ascii="Arial" w:hAnsi="Arial" w:cs="Arial"/>
                <w:color w:val="000000"/>
                <w:sz w:val="15"/>
                <w:szCs w:val="15"/>
              </w:rPr>
            </w:pPr>
            <w:r>
              <w:rPr>
                <w:rFonts w:hint="eastAsia" w:ascii="Arial" w:hAnsi="Arial" w:cs="Arial"/>
                <w:color w:val="000000"/>
                <w:sz w:val="15"/>
                <w:szCs w:val="15"/>
              </w:rPr>
              <w:t>——</w:t>
            </w:r>
          </w:p>
        </w:tc>
        <w:tc>
          <w:tcPr>
            <w:tcW w:w="2483" w:type="dxa"/>
            <w:shd w:val="clear" w:color="auto" w:fill="auto"/>
            <w:noWrap/>
            <w:vAlign w:val="center"/>
          </w:tcPr>
          <w:p>
            <w:pPr>
              <w:jc w:val="both"/>
              <w:rPr>
                <w:rFonts w:ascii="Arial" w:hAnsi="Arial" w:cs="Arial"/>
                <w:color w:val="000000"/>
                <w:sz w:val="15"/>
                <w:szCs w:val="15"/>
              </w:rPr>
            </w:pPr>
            <w:r>
              <w:rPr>
                <w:rFonts w:hint="eastAsia" w:ascii="Arial" w:hAnsi="Arial" w:cs="Arial"/>
                <w:color w:val="000000"/>
                <w:sz w:val="15"/>
                <w:szCs w:val="15"/>
              </w:rPr>
              <w:t>——</w:t>
            </w:r>
          </w:p>
        </w:tc>
      </w:tr>
    </w:tbl>
    <w:p>
      <w:pPr>
        <w:widowControl w:val="0"/>
        <w:adjustRightInd w:val="0"/>
        <w:snapToGrid w:val="0"/>
        <w:spacing w:line="480" w:lineRule="auto"/>
        <w:ind w:firstLine="420" w:firstLineChars="200"/>
        <w:rPr>
          <w:rFonts w:ascii="Arial" w:hAnsi="Arial" w:cs="Arial"/>
          <w:color w:val="000000"/>
          <w:sz w:val="21"/>
          <w:szCs w:val="21"/>
        </w:rPr>
      </w:pPr>
    </w:p>
    <w:p>
      <w:pPr>
        <w:widowControl w:val="0"/>
        <w:tabs>
          <w:tab w:val="left" w:pos="567"/>
        </w:tabs>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根据上表，有2宗地块与项目地块类似，其均需配建安置房，具体为上述表中序号1及序号6地块。其中序号1暂未查询到相关销售信息，序号6地块现已开发建设，楼盘推广名为</w:t>
      </w:r>
      <w:r>
        <w:rPr>
          <w:rFonts w:hint="eastAsia" w:ascii="Arial" w:hAnsi="Arial" w:cs="Arial"/>
          <w:sz w:val="21"/>
          <w:szCs w:val="21"/>
        </w:rPr>
        <w:t>“凯迪博学园”，于</w:t>
      </w:r>
      <w:r>
        <w:rPr>
          <w:rFonts w:ascii="Arial" w:hAnsi="Arial" w:cs="Arial"/>
          <w:sz w:val="21"/>
          <w:szCs w:val="21"/>
        </w:rPr>
        <w:t>202</w:t>
      </w:r>
      <w:r>
        <w:rPr>
          <w:rFonts w:hint="eastAsia" w:ascii="Arial" w:hAnsi="Arial" w:cs="Arial"/>
          <w:sz w:val="21"/>
          <w:szCs w:val="21"/>
        </w:rPr>
        <w:t>2</w:t>
      </w:r>
      <w:r>
        <w:rPr>
          <w:rFonts w:ascii="Arial" w:hAnsi="Arial" w:cs="Arial"/>
          <w:sz w:val="21"/>
          <w:szCs w:val="21"/>
        </w:rPr>
        <w:t>年</w:t>
      </w:r>
      <w:r>
        <w:rPr>
          <w:rFonts w:hint="eastAsia" w:ascii="Arial" w:hAnsi="Arial" w:cs="Arial"/>
          <w:sz w:val="21"/>
          <w:szCs w:val="21"/>
        </w:rPr>
        <w:t>1</w:t>
      </w:r>
      <w:r>
        <w:rPr>
          <w:rFonts w:ascii="Arial" w:hAnsi="Arial" w:cs="Arial"/>
          <w:sz w:val="21"/>
          <w:szCs w:val="21"/>
        </w:rPr>
        <w:t>月开盘，</w:t>
      </w:r>
      <w:r>
        <w:rPr>
          <w:rFonts w:hint="eastAsia" w:ascii="Arial" w:hAnsi="Arial" w:cs="Arial"/>
          <w:sz w:val="21"/>
          <w:szCs w:val="21"/>
        </w:rPr>
        <w:t>毛坯交付，开盘以来成交均价23700</w:t>
      </w:r>
      <w:r>
        <w:rPr>
          <w:rFonts w:ascii="Arial" w:hAnsi="Arial" w:cs="Arial"/>
          <w:sz w:val="21"/>
          <w:szCs w:val="21"/>
        </w:rPr>
        <w:t>元/</w:t>
      </w:r>
      <w:r>
        <w:rPr>
          <w:rFonts w:hint="eastAsia" w:ascii="Arial" w:hAnsi="Arial" w:cs="Arial"/>
          <w:sz w:val="21"/>
          <w:szCs w:val="21"/>
        </w:rPr>
        <w:t>㎡。</w:t>
      </w:r>
      <w:r>
        <w:rPr>
          <w:rFonts w:hint="eastAsia" w:ascii="Arial" w:hAnsi="Arial" w:cs="Arial"/>
          <w:color w:val="000000"/>
          <w:sz w:val="21"/>
          <w:szCs w:val="21"/>
        </w:rPr>
        <w:t>考虑到拿地政策影响，其对未来售价会有一定限制。总的来看，纯住宅地块拿地价大于综合用地（含住宅）地价，沿江一带宗地价格大于内陆宗地价格。</w:t>
      </w:r>
    </w:p>
    <w:p>
      <w:pPr>
        <w:widowControl w:val="0"/>
        <w:adjustRightInd w:val="0"/>
        <w:snapToGrid w:val="0"/>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项目地块位于瓯北区片，项目地块5公里范围内近3年成交5宗土地，其中一宗土地以楼面单价12063元/平方米成交，两宗土地以楼面单价3777及3902元/平方米成交，另外两宗以楼面单价6681及8375元/平方米成交。反观永嘉县其他片区，乌牛区片历年拿地价格主要集中在3500-5500元/平方米；上塘区片最近几年出让及成交地块较多，拿地价主要集中在3000-5000元/平方米，个别地块达到11000/平方米。总的来看，乌牛区片由于地理位置较远，拿地价偏低；上塘区片，由于靠近永嘉县县城，拿地价略高于乌牛；而项目所在瓯江片区因靠近温州市区，随着近年来各项配套设施的完善，各年拿地价相对位于永嘉县高位。</w:t>
      </w:r>
    </w:p>
    <w:p>
      <w:pPr>
        <w:jc w:val="center"/>
      </w:pPr>
      <w:r>
        <w:drawing>
          <wp:inline distT="0" distB="0" distL="114300" distR="114300">
            <wp:extent cx="8801735" cy="4146550"/>
            <wp:effectExtent l="0" t="0" r="6985" b="1397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5"/>
                    <a:stretch>
                      <a:fillRect/>
                    </a:stretch>
                  </pic:blipFill>
                  <pic:spPr>
                    <a:xfrm>
                      <a:off x="0" y="0"/>
                      <a:ext cx="8801735" cy="4146550"/>
                    </a:xfrm>
                    <a:prstGeom prst="rect">
                      <a:avLst/>
                    </a:prstGeom>
                    <a:noFill/>
                    <a:ln>
                      <a:noFill/>
                    </a:ln>
                  </pic:spPr>
                </pic:pic>
              </a:graphicData>
            </a:graphic>
          </wp:inline>
        </w:drawing>
      </w:r>
    </w:p>
    <w:p>
      <w:r>
        <w:rPr>
          <w:rFonts w:hint="eastAsia" w:ascii="华文细黑" w:hAnsi="华文细黑" w:eastAsia="华文细黑" w:cs="Arial"/>
          <w:color w:val="000000"/>
          <w:sz w:val="15"/>
          <w:szCs w:val="15"/>
        </w:rPr>
        <w:t>资料来源：</w:t>
      </w:r>
      <w:r>
        <w:rPr>
          <w:rFonts w:ascii="Arial" w:hAnsi="Arial" w:eastAsia="华文细黑" w:cs="Arial"/>
          <w:color w:val="000000"/>
          <w:sz w:val="15"/>
          <w:szCs w:val="15"/>
        </w:rPr>
        <w:t>CREIS</w:t>
      </w:r>
      <w:r>
        <w:rPr>
          <w:rFonts w:hint="eastAsia" w:ascii="华文细黑" w:hAnsi="华文细黑" w:eastAsia="华文细黑" w:cs="Arial"/>
          <w:color w:val="000000"/>
          <w:sz w:val="15"/>
          <w:szCs w:val="15"/>
        </w:rPr>
        <w:t>中指数据</w:t>
      </w:r>
    </w:p>
    <w:p>
      <w:pPr>
        <w:widowControl w:val="0"/>
        <w:adjustRightInd w:val="0"/>
        <w:snapToGrid w:val="0"/>
        <w:spacing w:line="480" w:lineRule="auto"/>
        <w:ind w:firstLine="420" w:firstLineChars="200"/>
        <w:jc w:val="center"/>
        <w:rPr>
          <w:rFonts w:ascii="Arial" w:hAnsi="Arial" w:cs="Arial"/>
          <w:color w:val="000000"/>
          <w:sz w:val="21"/>
          <w:szCs w:val="21"/>
        </w:rPr>
        <w:sectPr>
          <w:headerReference r:id="rId17" w:type="first"/>
          <w:headerReference r:id="rId15" w:type="default"/>
          <w:headerReference r:id="rId16" w:type="even"/>
          <w:pgSz w:w="16838" w:h="11906" w:orient="landscape"/>
          <w:pgMar w:top="1304" w:right="1843" w:bottom="1304" w:left="1134" w:header="1134" w:footer="907" w:gutter="0"/>
          <w:cols w:space="425" w:num="1"/>
          <w:titlePg/>
          <w:docGrid w:linePitch="326" w:charSpace="0"/>
        </w:sectPr>
      </w:pPr>
    </w:p>
    <w:p>
      <w:pPr>
        <w:widowControl w:val="0"/>
        <w:adjustRightInd w:val="0"/>
        <w:snapToGrid w:val="0"/>
        <w:spacing w:line="480" w:lineRule="auto"/>
        <w:ind w:firstLine="420" w:firstLineChars="200"/>
        <w:rPr>
          <w:rFonts w:ascii="Arial" w:hAnsi="Arial" w:cs="Arial"/>
          <w:color w:val="000000"/>
          <w:sz w:val="21"/>
          <w:szCs w:val="21"/>
        </w:rPr>
      </w:pPr>
    </w:p>
    <w:p>
      <w:pPr>
        <w:widowControl w:val="0"/>
        <w:adjustRightInd w:val="0"/>
        <w:snapToGrid w:val="0"/>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（2）区域房地产市场分析</w:t>
      </w:r>
    </w:p>
    <w:p>
      <w:pPr>
        <w:widowControl w:val="0"/>
        <w:adjustRightInd w:val="0"/>
        <w:snapToGrid w:val="0"/>
        <w:spacing w:line="480" w:lineRule="auto"/>
        <w:ind w:firstLine="420" w:firstLineChars="200"/>
        <w:rPr>
          <w:rFonts w:ascii="Arial" w:hAnsi="Arial"/>
          <w:sz w:val="21"/>
        </w:rPr>
      </w:pPr>
      <w:r>
        <w:rPr>
          <w:rFonts w:hint="eastAsia" w:ascii="Arial" w:hAnsi="Arial" w:cs="Arial"/>
          <w:color w:val="000000"/>
          <w:sz w:val="21"/>
          <w:szCs w:val="21"/>
        </w:rPr>
        <w:t>从近5年商品住宅交易数据来看，永嘉县2019年至今上市楼盘数量相对稳定，各年累计在售楼盘数量在30-40个之间，各年新增在售楼盘数量在5-8个之间。其中2020年全年在售项目及开盘项目为历史高点，批准上市面积亦达到峰值。</w:t>
      </w:r>
      <w:r>
        <w:rPr>
          <w:rFonts w:hint="eastAsia" w:ascii="Arial" w:hAnsi="Arial"/>
          <w:sz w:val="21"/>
        </w:rPr>
        <w:t>2021年受疫情以及市场调控影响，供应量冲高回落。</w:t>
      </w:r>
      <w:r>
        <w:rPr>
          <w:rFonts w:hint="eastAsia" w:ascii="Arial" w:hAnsi="Arial" w:cs="Arial"/>
          <w:color w:val="000000"/>
          <w:sz w:val="21"/>
          <w:szCs w:val="21"/>
        </w:rPr>
        <w:t>2019年全年累计在售楼盘41个，新开盘楼盘7个，全年新批上市面积785390.12平方米，环比下降20.41%，2020年全年累计在售楼盘41个，其中新开盘楼盘8个，全年新批上市面积1461960.52平方米，环比上升86.14%；之后2021年新批上市面积509066.3平方米，环比下降65.18%。2022年1-8月新批上市面积259206.77平方米，相比2021年1-8月同期上涨了242.81%。</w:t>
      </w:r>
      <w:r>
        <w:rPr>
          <w:rFonts w:hint="eastAsia" w:ascii="Arial" w:hAnsi="Arial"/>
          <w:sz w:val="21"/>
        </w:rPr>
        <w:t>预计随着经济好转、房地产市场宽松带动以及上多个供地项目入市，下半年供应或将回升。</w:t>
      </w:r>
    </w:p>
    <w:p>
      <w:pPr>
        <w:widowControl w:val="0"/>
        <w:adjustRightInd w:val="0"/>
        <w:snapToGrid w:val="0"/>
        <w:spacing w:line="480" w:lineRule="auto"/>
        <w:ind w:firstLine="420" w:firstLineChars="200"/>
        <w:jc w:val="center"/>
        <w:rPr>
          <w:rFonts w:ascii="Arial" w:hAnsi="Arial" w:cs="Arial"/>
          <w:color w:val="000000"/>
          <w:sz w:val="21"/>
          <w:szCs w:val="21"/>
        </w:rPr>
      </w:pPr>
      <w:r>
        <w:rPr>
          <w:rFonts w:hint="eastAsia" w:ascii="Arial" w:hAnsi="Arial" w:cs="Arial"/>
          <w:color w:val="000000"/>
          <w:sz w:val="21"/>
          <w:szCs w:val="21"/>
        </w:rPr>
        <w:t>2018年至2022年8月在售楼盘情况</w:t>
      </w:r>
    </w:p>
    <w:p>
      <w:pPr>
        <w:widowControl w:val="0"/>
        <w:adjustRightInd w:val="0"/>
        <w:snapToGrid w:val="0"/>
        <w:spacing w:line="480" w:lineRule="auto"/>
        <w:ind w:firstLine="480" w:firstLineChars="200"/>
        <w:rPr>
          <w:rFonts w:ascii="Arial" w:hAnsi="Arial" w:cs="Arial"/>
          <w:color w:val="000000"/>
          <w:sz w:val="21"/>
          <w:szCs w:val="21"/>
        </w:rPr>
      </w:pPr>
      <w:r>
        <w:drawing>
          <wp:inline distT="0" distB="0" distL="114300" distR="114300">
            <wp:extent cx="5234940" cy="3054350"/>
            <wp:effectExtent l="4445" t="4445" r="18415" b="19685"/>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widowControl w:val="0"/>
        <w:adjustRightInd w:val="0"/>
        <w:snapToGrid w:val="0"/>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2020年全年，商品住宅成交总面积为1004482平方米，累计成交套数8225套，累计成交金额为1878587.17万元，成交均价为18702元/平方米。2021年全年，商品住宅成交总面积为486487平方米，环比下降54.57%；累计成交套数3813套，环比下降53.64%；累计成交金额为1032645.23万元，环比下降45.03%，成交均价为21227元/平方米。2022年1-8月，永嘉县商品住宅成交总面积为183457平方米，同比下降46.74%；累计成交套数1512套，同比下降44.02%；累计成交金额为309175.07万元，同比下降56.34%；成交均价为16853元/平方米，同比下降18.01%。</w:t>
      </w:r>
    </w:p>
    <w:p>
      <w:pPr>
        <w:widowControl w:val="0"/>
        <w:adjustRightInd w:val="0"/>
        <w:snapToGrid w:val="0"/>
        <w:spacing w:line="480" w:lineRule="auto"/>
        <w:ind w:firstLine="420" w:firstLineChars="200"/>
        <w:jc w:val="center"/>
        <w:rPr>
          <w:rFonts w:ascii="Arial" w:hAnsi="Arial" w:cs="Arial"/>
          <w:color w:val="000000"/>
          <w:sz w:val="21"/>
          <w:szCs w:val="21"/>
        </w:rPr>
      </w:pPr>
      <w:r>
        <w:rPr>
          <w:rFonts w:hint="eastAsia" w:ascii="Arial" w:hAnsi="Arial" w:cs="Arial"/>
          <w:color w:val="000000"/>
          <w:sz w:val="21"/>
          <w:szCs w:val="21"/>
        </w:rPr>
        <w:t>2018年至2022年8月全部在售楼盘成交面积及成交金额情况</w:t>
      </w:r>
    </w:p>
    <w:p>
      <w:pPr>
        <w:widowControl w:val="0"/>
        <w:adjustRightInd w:val="0"/>
        <w:snapToGrid w:val="0"/>
        <w:spacing w:line="480" w:lineRule="auto"/>
        <w:ind w:firstLine="480" w:firstLineChars="200"/>
        <w:jc w:val="center"/>
        <w:rPr>
          <w:rFonts w:ascii="Arial" w:hAnsi="Arial" w:cs="Arial"/>
          <w:color w:val="000000"/>
          <w:sz w:val="21"/>
          <w:szCs w:val="21"/>
        </w:rPr>
      </w:pPr>
      <w:r>
        <w:drawing>
          <wp:inline distT="0" distB="0" distL="114300" distR="114300">
            <wp:extent cx="5316855" cy="2485390"/>
            <wp:effectExtent l="4445" t="4445" r="12700" b="952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widowControl w:val="0"/>
        <w:adjustRightInd w:val="0"/>
        <w:snapToGrid w:val="0"/>
        <w:spacing w:line="480" w:lineRule="auto"/>
        <w:ind w:firstLine="420" w:firstLineChars="200"/>
        <w:jc w:val="center"/>
        <w:rPr>
          <w:rFonts w:ascii="Arial" w:hAnsi="Arial" w:cs="Arial"/>
          <w:color w:val="000000"/>
          <w:sz w:val="21"/>
          <w:szCs w:val="21"/>
        </w:rPr>
      </w:pPr>
      <w:r>
        <w:rPr>
          <w:rFonts w:hint="eastAsia" w:ascii="Arial" w:hAnsi="Arial" w:cs="Arial"/>
          <w:color w:val="000000"/>
          <w:sz w:val="21"/>
          <w:szCs w:val="21"/>
        </w:rPr>
        <w:t>2018年至2022年8月全部在售楼盘成交套数及成交单价情况</w:t>
      </w:r>
    </w:p>
    <w:p>
      <w:pPr>
        <w:widowControl w:val="0"/>
        <w:adjustRightInd w:val="0"/>
        <w:snapToGrid w:val="0"/>
        <w:spacing w:line="480" w:lineRule="auto"/>
        <w:ind w:firstLine="480" w:firstLineChars="200"/>
        <w:jc w:val="center"/>
        <w:rPr>
          <w:rFonts w:ascii="Arial" w:hAnsi="Arial" w:cs="Arial"/>
          <w:color w:val="000000"/>
          <w:sz w:val="21"/>
          <w:szCs w:val="21"/>
        </w:rPr>
      </w:pPr>
      <w:r>
        <w:drawing>
          <wp:inline distT="0" distB="0" distL="114300" distR="114300">
            <wp:extent cx="5327650" cy="2641600"/>
            <wp:effectExtent l="4445" t="4445" r="17145" b="5715"/>
            <wp:docPr id="3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widowControl w:val="0"/>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其中2019年全年永嘉县新开盘项目商品住宅成交面积为746809.8平方米，2020年成交面积1249986.44平方米，成交面积环比上涨67.38%。2021年成交面积为276392.24万平方米，环比77.89%。2022年1-8月成交商品住宅成交面积142274平方米，相比去年同期成交量仍保持上涨势头，同比涨幅207.37%。</w:t>
      </w:r>
    </w:p>
    <w:p>
      <w:pPr>
        <w:widowControl w:val="0"/>
        <w:adjustRightInd w:val="0"/>
        <w:snapToGrid w:val="0"/>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去化方面，2019年永嘉县新开盘项目批准上市套数3215套，累计成交2952套，去化率约91.82%；2020年永嘉县新开盘项目批准上市套数7177套，累计成交6291套，去化率约87.66%；2021年永嘉县新开盘项目批准上市套数2001套，累计成交1151套，去化率约57.52%；2022年1-8月永嘉县批准上市套数2040套，累计成交1049套，去化率约51.42%。</w:t>
      </w:r>
    </w:p>
    <w:p>
      <w:pPr>
        <w:widowControl w:val="0"/>
        <w:adjustRightInd w:val="0"/>
        <w:snapToGrid w:val="0"/>
        <w:spacing w:line="480" w:lineRule="auto"/>
        <w:ind w:firstLine="420" w:firstLineChars="200"/>
        <w:jc w:val="center"/>
        <w:rPr>
          <w:rFonts w:ascii="Arial" w:hAnsi="Arial" w:cs="Arial"/>
          <w:color w:val="000000"/>
          <w:sz w:val="21"/>
          <w:szCs w:val="21"/>
        </w:rPr>
      </w:pPr>
      <w:r>
        <w:rPr>
          <w:rFonts w:hint="eastAsia" w:ascii="Arial" w:hAnsi="Arial" w:cs="Arial"/>
          <w:color w:val="000000"/>
          <w:sz w:val="21"/>
          <w:szCs w:val="21"/>
        </w:rPr>
        <w:t>2018年至2022年8月新开盘项目销售情况及去化情况</w:t>
      </w:r>
    </w:p>
    <w:p>
      <w:pPr>
        <w:widowControl w:val="0"/>
        <w:adjustRightInd w:val="0"/>
        <w:snapToGrid w:val="0"/>
        <w:spacing w:line="480" w:lineRule="auto"/>
        <w:ind w:firstLine="480" w:firstLineChars="200"/>
      </w:pPr>
      <w:r>
        <w:drawing>
          <wp:inline distT="0" distB="0" distL="114300" distR="114300">
            <wp:extent cx="5330825" cy="2227580"/>
            <wp:effectExtent l="4445" t="4445" r="13970" b="8255"/>
            <wp:docPr id="39526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widowControl w:val="0"/>
        <w:adjustRightInd w:val="0"/>
        <w:snapToGrid w:val="0"/>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（3）项目周边部分在售居住项目分析</w:t>
      </w:r>
    </w:p>
    <w:p>
      <w:pPr>
        <w:widowControl w:val="0"/>
        <w:tabs>
          <w:tab w:val="left" w:pos="567"/>
        </w:tabs>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项目位于温州市永嘉县，</w:t>
      </w:r>
      <w:r>
        <w:rPr>
          <w:rFonts w:ascii="Arial" w:hAnsi="Arial" w:cs="Arial"/>
          <w:sz w:val="21"/>
          <w:szCs w:val="21"/>
        </w:rPr>
        <w:t>项目</w:t>
      </w:r>
      <w:r>
        <w:rPr>
          <w:rFonts w:hint="eastAsia" w:ascii="Arial" w:hAnsi="Arial" w:cs="Arial"/>
          <w:sz w:val="21"/>
          <w:szCs w:val="21"/>
        </w:rPr>
        <w:t>所在瓯北区片</w:t>
      </w:r>
      <w:r>
        <w:rPr>
          <w:rFonts w:ascii="Arial" w:hAnsi="Arial" w:cs="Arial"/>
          <w:sz w:val="21"/>
          <w:szCs w:val="21"/>
        </w:rPr>
        <w:t>内在售项目</w:t>
      </w:r>
      <w:r>
        <w:rPr>
          <w:rFonts w:hint="eastAsia" w:ascii="Arial" w:hAnsi="Arial" w:cs="Arial"/>
          <w:sz w:val="21"/>
          <w:szCs w:val="21"/>
        </w:rPr>
        <w:t>相对较少</w:t>
      </w:r>
      <w:r>
        <w:rPr>
          <w:rFonts w:ascii="Arial" w:hAnsi="Arial" w:cs="Arial"/>
          <w:sz w:val="21"/>
          <w:szCs w:val="21"/>
        </w:rPr>
        <w:t>，</w:t>
      </w:r>
      <w:r>
        <w:rPr>
          <w:rFonts w:hint="eastAsia" w:ascii="Arial" w:hAnsi="Arial" w:cs="Arial"/>
          <w:sz w:val="21"/>
          <w:szCs w:val="21"/>
        </w:rPr>
        <w:t>同时参考上塘区片及乌牛区片其他在售楼盘信息，目前</w:t>
      </w:r>
      <w:r>
        <w:rPr>
          <w:rFonts w:ascii="Arial" w:hAnsi="Arial" w:cs="Arial"/>
          <w:sz w:val="21"/>
          <w:szCs w:val="21"/>
        </w:rPr>
        <w:t>去化情况较好，产品供应以刚需、刚改为主，</w:t>
      </w:r>
      <w:r>
        <w:rPr>
          <w:rFonts w:hint="eastAsia" w:ascii="Arial" w:hAnsi="Arial" w:cs="Arial"/>
          <w:sz w:val="21"/>
          <w:szCs w:val="21"/>
        </w:rPr>
        <w:t>市场</w:t>
      </w:r>
      <w:r>
        <w:rPr>
          <w:rFonts w:ascii="Arial" w:hAnsi="Arial" w:cs="Arial"/>
          <w:sz w:val="21"/>
          <w:szCs w:val="21"/>
        </w:rPr>
        <w:t>需求较强，</w:t>
      </w:r>
      <w:r>
        <w:rPr>
          <w:rFonts w:hint="eastAsia" w:ascii="Arial" w:hAnsi="Arial" w:cs="Arial"/>
          <w:sz w:val="21"/>
          <w:szCs w:val="21"/>
        </w:rPr>
        <w:t>虽受疫情因素的影响，整体市场销售情况相对低位，但随着市场逐渐恢复，</w:t>
      </w:r>
      <w:r>
        <w:rPr>
          <w:rFonts w:ascii="Arial" w:hAnsi="Arial" w:cs="Arial"/>
          <w:sz w:val="21"/>
          <w:szCs w:val="21"/>
        </w:rPr>
        <w:t>预计未来</w:t>
      </w:r>
      <w:r>
        <w:rPr>
          <w:rFonts w:hint="eastAsia" w:ascii="Arial" w:hAnsi="Arial" w:cs="Arial"/>
          <w:sz w:val="21"/>
          <w:szCs w:val="21"/>
        </w:rPr>
        <w:t>项目</w:t>
      </w:r>
      <w:r>
        <w:rPr>
          <w:rFonts w:ascii="Arial" w:hAnsi="Arial" w:cs="Arial"/>
          <w:sz w:val="21"/>
          <w:szCs w:val="21"/>
        </w:rPr>
        <w:t>去化</w:t>
      </w:r>
      <w:r>
        <w:rPr>
          <w:rFonts w:hint="eastAsia" w:ascii="Arial" w:hAnsi="Arial" w:cs="Arial"/>
          <w:sz w:val="21"/>
          <w:szCs w:val="21"/>
        </w:rPr>
        <w:t>情况仍相对</w:t>
      </w:r>
      <w:r>
        <w:rPr>
          <w:rFonts w:ascii="Arial" w:hAnsi="Arial" w:cs="Arial"/>
          <w:sz w:val="21"/>
          <w:szCs w:val="21"/>
        </w:rPr>
        <w:t>乐观。</w:t>
      </w:r>
    </w:p>
    <w:p>
      <w:pPr>
        <w:widowControl w:val="0"/>
        <w:tabs>
          <w:tab w:val="left" w:pos="567"/>
        </w:tabs>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通过对项目周边住宅市场调研分析，所在区域住宅产品以高层、小高层为主，多为毛坯交付，售价水平多集中在24000-28000之间。</w:t>
      </w:r>
    </w:p>
    <w:p>
      <w:pPr>
        <w:widowControl w:val="0"/>
        <w:tabs>
          <w:tab w:val="left" w:pos="567"/>
        </w:tabs>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根据现场市调、</w:t>
      </w:r>
      <w:r>
        <w:rPr>
          <w:rFonts w:ascii="Arial" w:hAnsi="Arial" w:cs="Arial"/>
          <w:sz w:val="21"/>
          <w:szCs w:val="21"/>
        </w:rPr>
        <w:t>CREIS中指数据</w:t>
      </w:r>
      <w:r>
        <w:rPr>
          <w:rFonts w:hint="eastAsia" w:ascii="Arial" w:hAnsi="Arial" w:cs="Arial"/>
          <w:sz w:val="21"/>
          <w:szCs w:val="21"/>
        </w:rPr>
        <w:t>、电话访谈记录等查询数据显示，项目所在3公里范围内暂无新建在售项目，本次参考其他区片楼盘售价及定位，力求辅证项目地块去化及售价信息。</w:t>
      </w:r>
    </w:p>
    <w:p>
      <w:pPr>
        <w:widowControl w:val="0"/>
        <w:tabs>
          <w:tab w:val="left" w:pos="567"/>
        </w:tabs>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1）国鸿·财富中心：</w:t>
      </w:r>
    </w:p>
    <w:p>
      <w:pPr>
        <w:widowControl w:val="0"/>
        <w:tabs>
          <w:tab w:val="left" w:pos="567"/>
        </w:tabs>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“国鸿·财富中心”位于项目东侧1.7公里，其属于三江国际商务区片区，为超高层产品，销售均价27000</w:t>
      </w:r>
      <w:r>
        <w:rPr>
          <w:rFonts w:ascii="Arial" w:hAnsi="Arial" w:cs="Arial"/>
          <w:sz w:val="21"/>
          <w:szCs w:val="21"/>
        </w:rPr>
        <w:t>元/</w:t>
      </w:r>
      <w:r>
        <w:rPr>
          <w:rFonts w:hint="eastAsia" w:ascii="Arial" w:hAnsi="Arial" w:cs="Arial"/>
          <w:sz w:val="21"/>
          <w:szCs w:val="21"/>
        </w:rPr>
        <w:t>㎡；但其所处区片环境、配套较好，未来规划为高端商务区，且项目自身定位较高，可观江景，与本开发项目有一定差别。</w:t>
      </w:r>
    </w:p>
    <w:p>
      <w:pPr>
        <w:widowControl w:val="0"/>
        <w:tabs>
          <w:tab w:val="left" w:pos="567"/>
        </w:tabs>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“国鸿·财富中心”于</w:t>
      </w:r>
      <w:r>
        <w:rPr>
          <w:rFonts w:ascii="Arial" w:hAnsi="Arial" w:cs="Arial"/>
          <w:sz w:val="21"/>
          <w:szCs w:val="21"/>
        </w:rPr>
        <w:t>202</w:t>
      </w:r>
      <w:r>
        <w:rPr>
          <w:rFonts w:hint="eastAsia" w:ascii="Arial" w:hAnsi="Arial" w:cs="Arial"/>
          <w:sz w:val="21"/>
          <w:szCs w:val="21"/>
        </w:rPr>
        <w:t>1</w:t>
      </w:r>
      <w:r>
        <w:rPr>
          <w:rFonts w:ascii="Arial" w:hAnsi="Arial" w:cs="Arial"/>
          <w:sz w:val="21"/>
          <w:szCs w:val="21"/>
        </w:rPr>
        <w:t>年</w:t>
      </w:r>
      <w:r>
        <w:rPr>
          <w:rFonts w:hint="eastAsia" w:ascii="Arial" w:hAnsi="Arial" w:cs="Arial"/>
          <w:sz w:val="21"/>
          <w:szCs w:val="21"/>
        </w:rPr>
        <w:t>1</w:t>
      </w:r>
      <w:r>
        <w:rPr>
          <w:rFonts w:ascii="Arial" w:hAnsi="Arial" w:cs="Arial"/>
          <w:sz w:val="21"/>
          <w:szCs w:val="21"/>
        </w:rPr>
        <w:t>月开盘，</w:t>
      </w:r>
      <w:r>
        <w:rPr>
          <w:rFonts w:hint="eastAsia" w:ascii="Arial" w:hAnsi="Arial" w:cs="Arial"/>
          <w:sz w:val="21"/>
          <w:szCs w:val="21"/>
        </w:rPr>
        <w:t>毛坯交付，备案价为28700元/平方米，开盘以来成交均价27000</w:t>
      </w:r>
      <w:r>
        <w:rPr>
          <w:rFonts w:ascii="Arial" w:hAnsi="Arial" w:cs="Arial"/>
          <w:sz w:val="21"/>
          <w:szCs w:val="21"/>
        </w:rPr>
        <w:t>元/</w:t>
      </w:r>
      <w:r>
        <w:rPr>
          <w:rFonts w:hint="eastAsia" w:ascii="Arial" w:hAnsi="Arial" w:cs="Arial"/>
          <w:sz w:val="21"/>
          <w:szCs w:val="21"/>
        </w:rPr>
        <w:t>㎡。累计上市2459套，累计成交1565套，剩余894套，成交建筑面积508848.11平方米，去化率约65%。</w:t>
      </w:r>
      <w:r>
        <w:rPr>
          <w:rFonts w:ascii="Arial" w:hAnsi="Arial" w:cs="Arial"/>
          <w:sz w:val="21"/>
          <w:szCs w:val="21"/>
        </w:rPr>
        <w:t>中指显示</w:t>
      </w:r>
      <w:r>
        <w:rPr>
          <w:rFonts w:hint="eastAsia" w:ascii="Arial" w:hAnsi="Arial" w:cs="Arial"/>
          <w:sz w:val="21"/>
          <w:szCs w:val="21"/>
        </w:rPr>
        <w:t>2021年2月成交10套，2021年3月成交375套，2021年4月成交310套，2021年6-8月共成交3套，2021年9月，加推共成交468套，2021年10月成交33套，后续成交相对平稳，2021年11月至2022年9</w:t>
      </w:r>
      <w:r>
        <w:rPr>
          <w:rFonts w:ascii="Arial" w:hAnsi="Arial" w:cs="Arial"/>
          <w:sz w:val="21"/>
          <w:szCs w:val="21"/>
        </w:rPr>
        <w:t>月共签约</w:t>
      </w:r>
      <w:r>
        <w:rPr>
          <w:rFonts w:hint="eastAsia" w:ascii="Arial" w:hAnsi="Arial" w:cs="Arial"/>
          <w:sz w:val="21"/>
          <w:szCs w:val="21"/>
        </w:rPr>
        <w:t>104</w:t>
      </w:r>
      <w:r>
        <w:rPr>
          <w:rFonts w:ascii="Arial" w:hAnsi="Arial" w:cs="Arial"/>
          <w:sz w:val="21"/>
          <w:szCs w:val="21"/>
        </w:rPr>
        <w:t>套，月均去化</w:t>
      </w:r>
      <w:r>
        <w:rPr>
          <w:rFonts w:hint="eastAsia" w:ascii="Arial" w:hAnsi="Arial" w:cs="Arial"/>
          <w:sz w:val="21"/>
          <w:szCs w:val="21"/>
        </w:rPr>
        <w:t>10</w:t>
      </w:r>
      <w:r>
        <w:rPr>
          <w:rFonts w:ascii="Arial" w:hAnsi="Arial" w:cs="Arial"/>
          <w:sz w:val="21"/>
          <w:szCs w:val="21"/>
        </w:rPr>
        <w:t>套。</w:t>
      </w:r>
    </w:p>
    <w:p>
      <w:pPr>
        <w:widowControl w:val="0"/>
        <w:tabs>
          <w:tab w:val="left" w:pos="567"/>
        </w:tabs>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2）江屿云庄：</w:t>
      </w:r>
    </w:p>
    <w:p>
      <w:pPr>
        <w:widowControl w:val="0"/>
        <w:tabs>
          <w:tab w:val="left" w:pos="567"/>
        </w:tabs>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“江屿云庄”位于项目西侧4.7公里，其属于瓯北老城区，主要为高层及小高层产品，另有部分叠拼产品，均价26300</w:t>
      </w:r>
      <w:r>
        <w:rPr>
          <w:rFonts w:ascii="Arial" w:hAnsi="Arial" w:cs="Arial"/>
          <w:sz w:val="21"/>
          <w:szCs w:val="21"/>
        </w:rPr>
        <w:t>元/㎡</w:t>
      </w:r>
      <w:r>
        <w:rPr>
          <w:rFonts w:hint="eastAsia" w:ascii="Arial" w:hAnsi="Arial" w:cs="Arial"/>
          <w:sz w:val="21"/>
          <w:szCs w:val="21"/>
        </w:rPr>
        <w:t>；由于其位于老城区，位置好，区域内各项发展较早，其配套完善，南侧临近公园，自然环境好，楼盘建筑密度较小，生活较舒适。</w:t>
      </w:r>
    </w:p>
    <w:p>
      <w:pPr>
        <w:widowControl w:val="0"/>
        <w:tabs>
          <w:tab w:val="left" w:pos="567"/>
        </w:tabs>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“江屿云庄”于</w:t>
      </w:r>
      <w:r>
        <w:rPr>
          <w:rFonts w:ascii="Arial" w:hAnsi="Arial" w:cs="Arial"/>
          <w:sz w:val="21"/>
          <w:szCs w:val="21"/>
        </w:rPr>
        <w:t>202</w:t>
      </w:r>
      <w:r>
        <w:rPr>
          <w:rFonts w:hint="eastAsia" w:ascii="Arial" w:hAnsi="Arial" w:cs="Arial"/>
          <w:sz w:val="21"/>
          <w:szCs w:val="21"/>
        </w:rPr>
        <w:t>0</w:t>
      </w:r>
      <w:r>
        <w:rPr>
          <w:rFonts w:ascii="Arial" w:hAnsi="Arial" w:cs="Arial"/>
          <w:sz w:val="21"/>
          <w:szCs w:val="21"/>
        </w:rPr>
        <w:t>年</w:t>
      </w:r>
      <w:r>
        <w:rPr>
          <w:rFonts w:hint="eastAsia" w:ascii="Arial" w:hAnsi="Arial" w:cs="Arial"/>
          <w:sz w:val="21"/>
          <w:szCs w:val="21"/>
        </w:rPr>
        <w:t>9</w:t>
      </w:r>
      <w:r>
        <w:rPr>
          <w:rFonts w:ascii="Arial" w:hAnsi="Arial" w:cs="Arial"/>
          <w:sz w:val="21"/>
          <w:szCs w:val="21"/>
        </w:rPr>
        <w:t>月开盘，</w:t>
      </w:r>
      <w:r>
        <w:rPr>
          <w:rFonts w:hint="eastAsia" w:ascii="Arial" w:hAnsi="Arial" w:cs="Arial"/>
          <w:sz w:val="21"/>
          <w:szCs w:val="21"/>
        </w:rPr>
        <w:t>毛坯交付，开盘以来成交均价26300</w:t>
      </w:r>
      <w:r>
        <w:rPr>
          <w:rFonts w:ascii="Arial" w:hAnsi="Arial" w:cs="Arial"/>
          <w:sz w:val="21"/>
          <w:szCs w:val="21"/>
        </w:rPr>
        <w:t>元/</w:t>
      </w:r>
      <w:r>
        <w:rPr>
          <w:rFonts w:hint="eastAsia" w:ascii="Arial" w:hAnsi="Arial" w:cs="Arial"/>
          <w:sz w:val="21"/>
          <w:szCs w:val="21"/>
        </w:rPr>
        <w:t>㎡。累计上市1504套，累计成交972套，剩余532套，成交建筑面积410192.94平方米，去化率约65%。</w:t>
      </w:r>
      <w:r>
        <w:rPr>
          <w:rFonts w:ascii="Arial" w:hAnsi="Arial" w:cs="Arial"/>
          <w:sz w:val="21"/>
          <w:szCs w:val="21"/>
        </w:rPr>
        <w:t>中指显示</w:t>
      </w:r>
      <w:r>
        <w:rPr>
          <w:rFonts w:hint="eastAsia" w:ascii="Arial" w:hAnsi="Arial" w:cs="Arial"/>
          <w:sz w:val="21"/>
          <w:szCs w:val="21"/>
        </w:rPr>
        <w:t>2020年12月至2022年9</w:t>
      </w:r>
      <w:r>
        <w:rPr>
          <w:rFonts w:ascii="Arial" w:hAnsi="Arial" w:cs="Arial"/>
          <w:sz w:val="21"/>
          <w:szCs w:val="21"/>
        </w:rPr>
        <w:t>月共签约</w:t>
      </w:r>
      <w:r>
        <w:rPr>
          <w:rFonts w:hint="eastAsia" w:ascii="Arial" w:hAnsi="Arial" w:cs="Arial"/>
          <w:sz w:val="21"/>
          <w:szCs w:val="21"/>
        </w:rPr>
        <w:t>578</w:t>
      </w:r>
      <w:r>
        <w:rPr>
          <w:rFonts w:ascii="Arial" w:hAnsi="Arial" w:cs="Arial"/>
          <w:sz w:val="21"/>
          <w:szCs w:val="21"/>
        </w:rPr>
        <w:t>套，月均去化</w:t>
      </w:r>
      <w:r>
        <w:rPr>
          <w:rFonts w:hint="eastAsia" w:ascii="Arial" w:hAnsi="Arial" w:cs="Arial"/>
          <w:sz w:val="21"/>
          <w:szCs w:val="21"/>
        </w:rPr>
        <w:t>29</w:t>
      </w:r>
      <w:r>
        <w:rPr>
          <w:rFonts w:ascii="Arial" w:hAnsi="Arial" w:cs="Arial"/>
          <w:sz w:val="21"/>
          <w:szCs w:val="21"/>
        </w:rPr>
        <w:t>套。</w:t>
      </w:r>
    </w:p>
    <w:p>
      <w:pPr>
        <w:widowControl w:val="0"/>
        <w:tabs>
          <w:tab w:val="left" w:pos="567"/>
        </w:tabs>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3）凯迪博学园：</w:t>
      </w:r>
    </w:p>
    <w:p>
      <w:pPr>
        <w:widowControl w:val="0"/>
        <w:tabs>
          <w:tab w:val="left" w:pos="567"/>
        </w:tabs>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“凯迪博学园”位于项目西侧4公里，其属于瓯北老城区，主要为高层产品，均价23700</w:t>
      </w:r>
      <w:r>
        <w:rPr>
          <w:rFonts w:ascii="Arial" w:hAnsi="Arial" w:cs="Arial"/>
          <w:sz w:val="21"/>
          <w:szCs w:val="21"/>
        </w:rPr>
        <w:t>元/㎡</w:t>
      </w:r>
      <w:r>
        <w:rPr>
          <w:rFonts w:hint="eastAsia" w:ascii="Arial" w:hAnsi="Arial" w:cs="Arial"/>
          <w:sz w:val="21"/>
          <w:szCs w:val="21"/>
        </w:rPr>
        <w:t>；“凯迪博学园”与“江屿云庄”同位于老城区，位置好，区域内各项发展较早，其配套完善，但其环境相对“江屿云庄”较差，且楼盘建筑密度较大，但其紧邻罗浮中学，为学区房。</w:t>
      </w:r>
    </w:p>
    <w:p>
      <w:pPr>
        <w:widowControl w:val="0"/>
        <w:tabs>
          <w:tab w:val="left" w:pos="567"/>
        </w:tabs>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“凯迪博学园”于</w:t>
      </w:r>
      <w:r>
        <w:rPr>
          <w:rFonts w:ascii="Arial" w:hAnsi="Arial" w:cs="Arial"/>
          <w:sz w:val="21"/>
          <w:szCs w:val="21"/>
        </w:rPr>
        <w:t>202</w:t>
      </w:r>
      <w:r>
        <w:rPr>
          <w:rFonts w:hint="eastAsia" w:ascii="Arial" w:hAnsi="Arial" w:cs="Arial"/>
          <w:sz w:val="21"/>
          <w:szCs w:val="21"/>
        </w:rPr>
        <w:t>2</w:t>
      </w:r>
      <w:r>
        <w:rPr>
          <w:rFonts w:ascii="Arial" w:hAnsi="Arial" w:cs="Arial"/>
          <w:sz w:val="21"/>
          <w:szCs w:val="21"/>
        </w:rPr>
        <w:t>年</w:t>
      </w:r>
      <w:r>
        <w:rPr>
          <w:rFonts w:hint="eastAsia" w:ascii="Arial" w:hAnsi="Arial" w:cs="Arial"/>
          <w:sz w:val="21"/>
          <w:szCs w:val="21"/>
        </w:rPr>
        <w:t>1</w:t>
      </w:r>
      <w:r>
        <w:rPr>
          <w:rFonts w:ascii="Arial" w:hAnsi="Arial" w:cs="Arial"/>
          <w:sz w:val="21"/>
          <w:szCs w:val="21"/>
        </w:rPr>
        <w:t>月开盘，</w:t>
      </w:r>
      <w:r>
        <w:rPr>
          <w:rFonts w:hint="eastAsia" w:ascii="Arial" w:hAnsi="Arial" w:cs="Arial"/>
          <w:sz w:val="21"/>
          <w:szCs w:val="21"/>
        </w:rPr>
        <w:t>毛坯交付，开盘以来成交均价23700</w:t>
      </w:r>
      <w:r>
        <w:rPr>
          <w:rFonts w:ascii="Arial" w:hAnsi="Arial" w:cs="Arial"/>
          <w:sz w:val="21"/>
          <w:szCs w:val="21"/>
        </w:rPr>
        <w:t>元/</w:t>
      </w:r>
      <w:r>
        <w:rPr>
          <w:rFonts w:hint="eastAsia" w:ascii="Arial" w:hAnsi="Arial" w:cs="Arial"/>
          <w:sz w:val="21"/>
          <w:szCs w:val="21"/>
        </w:rPr>
        <w:t>㎡。累计上市365套，累计成交46套，剩余319套，成交建筑面积36024.79平方米，去化率约13%。</w:t>
      </w:r>
      <w:r>
        <w:rPr>
          <w:rFonts w:ascii="Arial" w:hAnsi="Arial" w:cs="Arial"/>
          <w:sz w:val="21"/>
          <w:szCs w:val="21"/>
        </w:rPr>
        <w:t>中指显示</w:t>
      </w:r>
      <w:r>
        <w:rPr>
          <w:rFonts w:hint="eastAsia" w:ascii="Arial" w:hAnsi="Arial" w:cs="Arial"/>
          <w:sz w:val="21"/>
          <w:szCs w:val="21"/>
        </w:rPr>
        <w:t>2022年4月成交15套，其他月份均成交1套</w:t>
      </w:r>
      <w:r>
        <w:rPr>
          <w:rFonts w:ascii="Arial" w:hAnsi="Arial" w:cs="Arial"/>
          <w:sz w:val="21"/>
          <w:szCs w:val="21"/>
        </w:rPr>
        <w:t>。</w:t>
      </w:r>
    </w:p>
    <w:p>
      <w:pPr>
        <w:widowControl w:val="0"/>
        <w:tabs>
          <w:tab w:val="left" w:pos="567"/>
        </w:tabs>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4）耀江湾：</w:t>
      </w:r>
    </w:p>
    <w:p>
      <w:pPr>
        <w:widowControl w:val="0"/>
        <w:tabs>
          <w:tab w:val="left" w:pos="567"/>
        </w:tabs>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“耀江湾”位于项目东侧12.2公里，其属于乌牛片区，主要为高层产品，均价13800</w:t>
      </w:r>
      <w:r>
        <w:rPr>
          <w:rFonts w:ascii="Arial" w:hAnsi="Arial" w:cs="Arial"/>
          <w:sz w:val="21"/>
          <w:szCs w:val="21"/>
        </w:rPr>
        <w:t>元/㎡</w:t>
      </w:r>
      <w:r>
        <w:rPr>
          <w:rFonts w:hint="eastAsia" w:ascii="Arial" w:hAnsi="Arial" w:cs="Arial"/>
          <w:sz w:val="21"/>
          <w:szCs w:val="21"/>
        </w:rPr>
        <w:t>；乌牛区片位置相对位置较偏僻，距永嘉县城及瓯北区片均约15公里，其主要定位为物流仓储及电商服务区域，目前区域内有一定配套及生活设施，但其整体发展相对较缓。</w:t>
      </w:r>
    </w:p>
    <w:p>
      <w:pPr>
        <w:widowControl w:val="0"/>
        <w:tabs>
          <w:tab w:val="left" w:pos="567"/>
        </w:tabs>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“耀江湾”于</w:t>
      </w:r>
      <w:r>
        <w:rPr>
          <w:rFonts w:ascii="Arial" w:hAnsi="Arial" w:cs="Arial"/>
          <w:sz w:val="21"/>
          <w:szCs w:val="21"/>
        </w:rPr>
        <w:t>20</w:t>
      </w:r>
      <w:r>
        <w:rPr>
          <w:rFonts w:hint="eastAsia" w:ascii="Arial" w:hAnsi="Arial" w:cs="Arial"/>
          <w:sz w:val="21"/>
          <w:szCs w:val="21"/>
        </w:rPr>
        <w:t>19</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月开盘，</w:t>
      </w:r>
      <w:r>
        <w:rPr>
          <w:rFonts w:hint="eastAsia" w:ascii="Arial" w:hAnsi="Arial" w:cs="Arial"/>
          <w:sz w:val="21"/>
          <w:szCs w:val="21"/>
        </w:rPr>
        <w:t>项目为高层产品，毛坯交付，开盘以来成交均价13800</w:t>
      </w:r>
      <w:r>
        <w:rPr>
          <w:rFonts w:ascii="Arial" w:hAnsi="Arial" w:cs="Arial"/>
          <w:sz w:val="21"/>
          <w:szCs w:val="21"/>
        </w:rPr>
        <w:t>元/</w:t>
      </w:r>
      <w:r>
        <w:rPr>
          <w:rFonts w:hint="eastAsia" w:ascii="Arial" w:hAnsi="Arial" w:cs="Arial"/>
          <w:sz w:val="21"/>
          <w:szCs w:val="21"/>
        </w:rPr>
        <w:t>㎡。累计上市666套，累计成交650套，剩余16套，成交建筑面积141697.04平方米，去化率约98%。</w:t>
      </w:r>
      <w:r>
        <w:rPr>
          <w:rFonts w:ascii="Arial" w:hAnsi="Arial" w:cs="Arial"/>
          <w:sz w:val="21"/>
          <w:szCs w:val="21"/>
        </w:rPr>
        <w:t>中指显示</w:t>
      </w:r>
      <w:r>
        <w:rPr>
          <w:rFonts w:hint="eastAsia" w:ascii="Arial" w:hAnsi="Arial" w:cs="Arial"/>
          <w:sz w:val="21"/>
          <w:szCs w:val="21"/>
        </w:rPr>
        <w:t>2019年12月成交3套，2020年1月成交81套，2021年2月至2021年4月成交61套，2020年5月成交345套，2021年6月成交121套，后续成交相对平稳，2021年7月至今共成交287套，</w:t>
      </w:r>
      <w:r>
        <w:rPr>
          <w:rFonts w:ascii="Arial" w:hAnsi="Arial" w:cs="Arial"/>
          <w:sz w:val="21"/>
          <w:szCs w:val="21"/>
        </w:rPr>
        <w:t>月均去化</w:t>
      </w:r>
      <w:r>
        <w:rPr>
          <w:rFonts w:hint="eastAsia" w:ascii="Arial" w:hAnsi="Arial" w:cs="Arial"/>
          <w:sz w:val="21"/>
          <w:szCs w:val="21"/>
        </w:rPr>
        <w:t>11</w:t>
      </w:r>
      <w:r>
        <w:rPr>
          <w:rFonts w:ascii="Arial" w:hAnsi="Arial" w:cs="Arial"/>
          <w:sz w:val="21"/>
          <w:szCs w:val="21"/>
        </w:rPr>
        <w:t>套。</w:t>
      </w:r>
    </w:p>
    <w:p>
      <w:pPr>
        <w:widowControl w:val="0"/>
        <w:tabs>
          <w:tab w:val="left" w:pos="567"/>
        </w:tabs>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5）潮鸣里：</w:t>
      </w:r>
    </w:p>
    <w:p>
      <w:pPr>
        <w:widowControl w:val="0"/>
        <w:tabs>
          <w:tab w:val="left" w:pos="567"/>
        </w:tabs>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“潮鸣里”位于项目东侧4.9公里，均价19400</w:t>
      </w:r>
      <w:r>
        <w:rPr>
          <w:rFonts w:ascii="Arial" w:hAnsi="Arial" w:cs="Arial"/>
          <w:sz w:val="21"/>
          <w:szCs w:val="21"/>
        </w:rPr>
        <w:t>元/㎡</w:t>
      </w:r>
      <w:r>
        <w:rPr>
          <w:rFonts w:hint="eastAsia" w:ascii="Arial" w:hAnsi="Arial" w:cs="Arial"/>
          <w:sz w:val="21"/>
          <w:szCs w:val="21"/>
        </w:rPr>
        <w:t>；“潮鸣里”所处位置较偏僻，但其紧邻瓯江，且周边多为沿江风景区，自然环境好，目前区域内配套及生活设施分配较分散。</w:t>
      </w:r>
    </w:p>
    <w:p>
      <w:pPr>
        <w:widowControl w:val="0"/>
        <w:tabs>
          <w:tab w:val="left" w:pos="567"/>
        </w:tabs>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“潮鸣里”于</w:t>
      </w:r>
      <w:r>
        <w:rPr>
          <w:rFonts w:ascii="Arial" w:hAnsi="Arial" w:cs="Arial"/>
          <w:sz w:val="21"/>
          <w:szCs w:val="21"/>
        </w:rPr>
        <w:t>2020年12月</w:t>
      </w:r>
      <w:r>
        <w:rPr>
          <w:rFonts w:hint="eastAsia" w:ascii="Arial" w:hAnsi="Arial" w:cs="Arial"/>
          <w:sz w:val="21"/>
          <w:szCs w:val="21"/>
        </w:rPr>
        <w:t>开盘，在售均价19400</w:t>
      </w:r>
      <w:r>
        <w:rPr>
          <w:rFonts w:ascii="Arial" w:hAnsi="Arial" w:cs="Arial"/>
          <w:sz w:val="21"/>
          <w:szCs w:val="21"/>
        </w:rPr>
        <w:t>元/㎡</w:t>
      </w:r>
      <w:r>
        <w:rPr>
          <w:rFonts w:hint="eastAsia" w:ascii="Arial" w:hAnsi="Arial" w:cs="Arial"/>
          <w:sz w:val="21"/>
          <w:szCs w:val="21"/>
        </w:rPr>
        <w:t>，累计上市818套，累计成交402</w:t>
      </w:r>
      <w:r>
        <w:rPr>
          <w:rFonts w:ascii="Arial" w:hAnsi="Arial" w:cs="Arial"/>
          <w:sz w:val="21"/>
          <w:szCs w:val="21"/>
        </w:rPr>
        <w:t>套，</w:t>
      </w:r>
      <w:r>
        <w:rPr>
          <w:rFonts w:hint="eastAsia" w:ascii="Arial" w:hAnsi="Arial" w:cs="Arial"/>
          <w:sz w:val="21"/>
          <w:szCs w:val="21"/>
        </w:rPr>
        <w:t>剩余416</w:t>
      </w:r>
      <w:r>
        <w:rPr>
          <w:rFonts w:ascii="Arial" w:hAnsi="Arial" w:cs="Arial"/>
          <w:sz w:val="21"/>
          <w:szCs w:val="21"/>
        </w:rPr>
        <w:t>套，去化</w:t>
      </w:r>
      <w:r>
        <w:rPr>
          <w:rFonts w:hint="eastAsia" w:ascii="Arial" w:hAnsi="Arial" w:cs="Arial"/>
          <w:sz w:val="21"/>
          <w:szCs w:val="21"/>
        </w:rPr>
        <w:t>50</w:t>
      </w:r>
      <w:r>
        <w:rPr>
          <w:rFonts w:ascii="Arial" w:hAnsi="Arial" w:cs="Arial"/>
          <w:sz w:val="21"/>
          <w:szCs w:val="21"/>
        </w:rPr>
        <w:t>%，202</w:t>
      </w:r>
      <w:r>
        <w:rPr>
          <w:rFonts w:hint="eastAsia" w:ascii="Arial" w:hAnsi="Arial" w:cs="Arial"/>
          <w:sz w:val="21"/>
          <w:szCs w:val="21"/>
        </w:rPr>
        <w:t>0</w:t>
      </w:r>
      <w:r>
        <w:rPr>
          <w:rFonts w:ascii="Arial" w:hAnsi="Arial" w:cs="Arial"/>
          <w:sz w:val="21"/>
          <w:szCs w:val="21"/>
        </w:rPr>
        <w:t>年</w:t>
      </w:r>
      <w:r>
        <w:rPr>
          <w:rFonts w:hint="eastAsia" w:ascii="Arial" w:hAnsi="Arial" w:cs="Arial"/>
          <w:sz w:val="21"/>
          <w:szCs w:val="21"/>
        </w:rPr>
        <w:t>12月成交401套，2021年1月成交99套，2021年28月成交76套，2021年3月成交39套，2021年4月成交41套</w:t>
      </w:r>
      <w:r>
        <w:rPr>
          <w:rFonts w:ascii="Arial" w:hAnsi="Arial" w:cs="Arial"/>
          <w:sz w:val="21"/>
          <w:szCs w:val="21"/>
        </w:rPr>
        <w:t>。</w:t>
      </w:r>
      <w:r>
        <w:rPr>
          <w:rFonts w:hint="eastAsia" w:ascii="Arial" w:hAnsi="Arial" w:cs="Arial"/>
          <w:sz w:val="21"/>
          <w:szCs w:val="21"/>
        </w:rPr>
        <w:t>后续成交相对平稳，2021年5月至今共成交146套，</w:t>
      </w:r>
      <w:r>
        <w:rPr>
          <w:rFonts w:ascii="Arial" w:hAnsi="Arial" w:cs="Arial"/>
          <w:sz w:val="21"/>
          <w:szCs w:val="21"/>
        </w:rPr>
        <w:t>月均去化</w:t>
      </w:r>
      <w:r>
        <w:rPr>
          <w:rFonts w:hint="eastAsia" w:ascii="Arial" w:hAnsi="Arial" w:cs="Arial"/>
          <w:sz w:val="21"/>
          <w:szCs w:val="21"/>
        </w:rPr>
        <w:t>9</w:t>
      </w:r>
      <w:r>
        <w:rPr>
          <w:rFonts w:ascii="Arial" w:hAnsi="Arial" w:cs="Arial"/>
          <w:sz w:val="21"/>
          <w:szCs w:val="21"/>
        </w:rPr>
        <w:t>套。</w:t>
      </w:r>
    </w:p>
    <w:p>
      <w:pPr>
        <w:widowControl w:val="0"/>
        <w:tabs>
          <w:tab w:val="left" w:pos="567"/>
        </w:tabs>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6）永乐嘉园：</w:t>
      </w:r>
    </w:p>
    <w:p>
      <w:pPr>
        <w:widowControl w:val="0"/>
        <w:tabs>
          <w:tab w:val="left" w:pos="567"/>
        </w:tabs>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永乐嘉园”位于项目东侧12.7公里，为安置房及商品房小区，属于乌牛片区，“永乐嘉园”小区与项目类似，为回迁安置房项目并配建部分商品房。乌牛区片位置相对位置较偏僻，距永嘉县城及瓯北区片均约15公里，其主要定位为物流仓储及电商服务区域，目前区域内有一定配套及生活设施，但其整体发展相对较缓。</w:t>
      </w:r>
    </w:p>
    <w:p>
      <w:pPr>
        <w:widowControl w:val="0"/>
        <w:tabs>
          <w:tab w:val="left" w:pos="567"/>
        </w:tabs>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“永乐嘉园”于</w:t>
      </w:r>
      <w:r>
        <w:rPr>
          <w:rFonts w:ascii="Arial" w:hAnsi="Arial" w:cs="Arial"/>
          <w:sz w:val="21"/>
          <w:szCs w:val="21"/>
        </w:rPr>
        <w:t>20</w:t>
      </w:r>
      <w:r>
        <w:rPr>
          <w:rFonts w:hint="eastAsia" w:ascii="Arial" w:hAnsi="Arial" w:cs="Arial"/>
          <w:sz w:val="21"/>
          <w:szCs w:val="21"/>
        </w:rPr>
        <w:t>22</w:t>
      </w:r>
      <w:r>
        <w:rPr>
          <w:rFonts w:ascii="Arial" w:hAnsi="Arial" w:cs="Arial"/>
          <w:sz w:val="21"/>
          <w:szCs w:val="21"/>
        </w:rPr>
        <w:t>年</w:t>
      </w:r>
      <w:r>
        <w:rPr>
          <w:rFonts w:hint="eastAsia" w:ascii="Arial" w:hAnsi="Arial" w:cs="Arial"/>
          <w:sz w:val="21"/>
          <w:szCs w:val="21"/>
        </w:rPr>
        <w:t>6</w:t>
      </w:r>
      <w:r>
        <w:rPr>
          <w:rFonts w:ascii="Arial" w:hAnsi="Arial" w:cs="Arial"/>
          <w:sz w:val="21"/>
          <w:szCs w:val="21"/>
        </w:rPr>
        <w:t>月</w:t>
      </w:r>
      <w:r>
        <w:rPr>
          <w:rFonts w:hint="eastAsia" w:ascii="Arial" w:hAnsi="Arial" w:cs="Arial"/>
          <w:sz w:val="21"/>
          <w:szCs w:val="21"/>
        </w:rPr>
        <w:t>开盘，开盘以来销售均价8900</w:t>
      </w:r>
      <w:r>
        <w:rPr>
          <w:rFonts w:ascii="Arial" w:hAnsi="Arial" w:cs="Arial"/>
          <w:sz w:val="21"/>
          <w:szCs w:val="21"/>
        </w:rPr>
        <w:t>元/㎡</w:t>
      </w:r>
      <w:r>
        <w:rPr>
          <w:rFonts w:hint="eastAsia" w:ascii="Arial" w:hAnsi="Arial" w:cs="Arial"/>
          <w:sz w:val="21"/>
          <w:szCs w:val="21"/>
        </w:rPr>
        <w:t>，该项目累计上市208套，累计成交70</w:t>
      </w:r>
      <w:r>
        <w:rPr>
          <w:rFonts w:ascii="Arial" w:hAnsi="Arial" w:cs="Arial"/>
          <w:sz w:val="21"/>
          <w:szCs w:val="21"/>
        </w:rPr>
        <w:t>套，</w:t>
      </w:r>
      <w:r>
        <w:rPr>
          <w:rFonts w:hint="eastAsia" w:ascii="Arial" w:hAnsi="Arial" w:cs="Arial"/>
          <w:sz w:val="21"/>
          <w:szCs w:val="21"/>
        </w:rPr>
        <w:t>剩余138</w:t>
      </w:r>
      <w:r>
        <w:rPr>
          <w:rFonts w:ascii="Arial" w:hAnsi="Arial" w:cs="Arial"/>
          <w:sz w:val="21"/>
          <w:szCs w:val="21"/>
        </w:rPr>
        <w:t>套，去化</w:t>
      </w:r>
      <w:r>
        <w:rPr>
          <w:rFonts w:hint="eastAsia" w:ascii="Arial" w:hAnsi="Arial" w:cs="Arial"/>
          <w:sz w:val="21"/>
          <w:szCs w:val="21"/>
        </w:rPr>
        <w:t>35</w:t>
      </w:r>
      <w:r>
        <w:rPr>
          <w:rFonts w:ascii="Arial" w:hAnsi="Arial" w:cs="Arial"/>
          <w:sz w:val="21"/>
          <w:szCs w:val="21"/>
        </w:rPr>
        <w:t>%，202</w:t>
      </w:r>
      <w:r>
        <w:rPr>
          <w:rFonts w:hint="eastAsia" w:ascii="Arial" w:hAnsi="Arial" w:cs="Arial"/>
          <w:sz w:val="21"/>
          <w:szCs w:val="21"/>
        </w:rPr>
        <w:t>2</w:t>
      </w:r>
      <w:r>
        <w:rPr>
          <w:rFonts w:ascii="Arial" w:hAnsi="Arial" w:cs="Arial"/>
          <w:sz w:val="21"/>
          <w:szCs w:val="21"/>
        </w:rPr>
        <w:t>年</w:t>
      </w:r>
      <w:r>
        <w:rPr>
          <w:rFonts w:hint="eastAsia" w:ascii="Arial" w:hAnsi="Arial" w:cs="Arial"/>
          <w:sz w:val="21"/>
          <w:szCs w:val="21"/>
        </w:rPr>
        <w:t>6月成交27套，2022年7月成交11套，2022年8月成交30套，2022年9月成交2套</w:t>
      </w:r>
      <w:r>
        <w:rPr>
          <w:rFonts w:ascii="Arial" w:hAnsi="Arial" w:cs="Arial"/>
          <w:sz w:val="21"/>
          <w:szCs w:val="21"/>
        </w:rPr>
        <w:t>。</w:t>
      </w:r>
    </w:p>
    <w:p>
      <w:pPr>
        <w:widowControl w:val="0"/>
        <w:tabs>
          <w:tab w:val="left" w:pos="567"/>
        </w:tabs>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“永乐嘉园”周边二手房售价在15000元/平方米左右。本次参考“永乐嘉园”小区项目品质、项目定位，同时调查其周边二手房售价，综合考虑其在售楼盘及二手房价差，并以此来辅证项目未来售价。</w:t>
      </w:r>
    </w:p>
    <w:p>
      <w:pPr>
        <w:widowControl w:val="0"/>
        <w:tabs>
          <w:tab w:val="left" w:pos="567"/>
        </w:tabs>
        <w:adjustRightInd w:val="0"/>
        <w:snapToGrid w:val="0"/>
        <w:spacing w:line="480" w:lineRule="auto"/>
        <w:ind w:firstLine="420" w:firstLineChars="200"/>
        <w:jc w:val="both"/>
        <w:rPr>
          <w:rFonts w:ascii="Arial" w:hAnsi="Arial" w:cs="Arial"/>
          <w:sz w:val="21"/>
          <w:szCs w:val="21"/>
        </w:rPr>
      </w:pPr>
      <w:r>
        <w:rPr>
          <w:rFonts w:ascii="Arial" w:hAnsi="Arial" w:cs="Arial"/>
          <w:color w:val="000000"/>
          <w:sz w:val="21"/>
          <w:szCs w:val="21"/>
        </w:rPr>
        <w:t>项目周边</w:t>
      </w:r>
      <w:r>
        <w:rPr>
          <w:rFonts w:hint="eastAsia" w:ascii="Arial" w:hAnsi="Arial" w:cs="Arial"/>
          <w:color w:val="000000"/>
          <w:sz w:val="21"/>
          <w:szCs w:val="21"/>
        </w:rPr>
        <w:t>部分在售居住项目详情见下图及下表：</w:t>
      </w:r>
    </w:p>
    <w:tbl>
      <w:tblPr>
        <w:tblStyle w:val="36"/>
        <w:tblW w:w="0" w:type="auto"/>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299"/>
      </w:tblGrid>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469" w:hRule="exact"/>
          <w:jc w:val="center"/>
        </w:trPr>
        <w:tc>
          <w:tcPr>
            <w:tcW w:w="9299" w:type="dxa"/>
          </w:tcPr>
          <w:p>
            <w:pPr>
              <w:rPr>
                <w:rFonts w:ascii="Calibri" w:hAnsi="Calibri"/>
                <w:kern w:val="2"/>
                <w:sz w:val="21"/>
                <w:szCs w:val="22"/>
              </w:rPr>
            </w:pPr>
            <w:r>
              <mc:AlternateContent>
                <mc:Choice Requires="wps">
                  <w:drawing>
                    <wp:anchor distT="0" distB="0" distL="114300" distR="114300" simplePos="0" relativeHeight="251687936" behindDoc="0" locked="0" layoutInCell="1" allowOverlap="1">
                      <wp:simplePos x="0" y="0"/>
                      <wp:positionH relativeFrom="column">
                        <wp:posOffset>1841500</wp:posOffset>
                      </wp:positionH>
                      <wp:positionV relativeFrom="paragraph">
                        <wp:posOffset>2013585</wp:posOffset>
                      </wp:positionV>
                      <wp:extent cx="284480" cy="264160"/>
                      <wp:effectExtent l="19685" t="20320" r="31115" b="20320"/>
                      <wp:wrapNone/>
                      <wp:docPr id="74" name="五角星 74"/>
                      <wp:cNvGraphicFramePr/>
                      <a:graphic xmlns:a="http://schemas.openxmlformats.org/drawingml/2006/main">
                        <a:graphicData uri="http://schemas.microsoft.com/office/word/2010/wordprocessingShape">
                          <wps:wsp>
                            <wps:cNvSpPr/>
                            <wps:spPr>
                              <a:xfrm>
                                <a:off x="0" y="0"/>
                                <a:ext cx="284480" cy="26416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45pt;margin-top:158.55pt;height:20.8pt;width:22.4pt;z-index:251687936;v-text-anchor:middle;mso-width-relative:page;mso-height-relative:page;" fillcolor="#FFFF00" filled="t" stroked="t" coordsize="284480,264160" o:gfxdata="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t2Qa7Z&#10;AAAACwEAAA8AAAAAAAAAAQAgAAAAIgAAAGRycy9kb3ducmV2LnhtbFBLAQIUABQAAAAIAIdO4kCJ&#10;bb+LkQIAACUFAAAOAAAAAAAAAAEAIAAAACgBAABkcnMvZTJvRG9jLnhtbFBLBQYAAAAABgAGAFkB&#10;AAArBgAAAAA=&#10;" path="m0,100899l108662,100900,142240,0,175817,100900,284479,100899,196569,163259,230148,264159,142240,201798,54331,264159,87910,163259xe">
                      <v:path textboxrect="0,0,284480,264160" o:connectlocs="142240,0;0,100899;54331,264159;230148,264159;284479,100899" o:connectangles="247,164,82,82,0"/>
                      <v:fill on="t" focussize="0,0"/>
                      <v:stroke weight="1pt" color="#2F528F [3204]"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4867275</wp:posOffset>
                      </wp:positionH>
                      <wp:positionV relativeFrom="paragraph">
                        <wp:posOffset>2954655</wp:posOffset>
                      </wp:positionV>
                      <wp:extent cx="772795" cy="262255"/>
                      <wp:effectExtent l="12700" t="327025" r="22225" b="20320"/>
                      <wp:wrapNone/>
                      <wp:docPr id="62" name="线形标注 1 62"/>
                      <wp:cNvGraphicFramePr/>
                      <a:graphic xmlns:a="http://schemas.openxmlformats.org/drawingml/2006/main">
                        <a:graphicData uri="http://schemas.microsoft.com/office/word/2010/wordprocessingShape">
                          <wps:wsp>
                            <wps:cNvSpPr/>
                            <wps:spPr>
                              <a:xfrm>
                                <a:off x="0" y="0"/>
                                <a:ext cx="772795" cy="262255"/>
                              </a:xfrm>
                              <a:prstGeom prst="borderCallout1">
                                <a:avLst>
                                  <a:gd name="adj1" fmla="val -4943"/>
                                  <a:gd name="adj2" fmla="val 40159"/>
                                  <a:gd name="adj3" fmla="val -124269"/>
                                  <a:gd name="adj4" fmla="val 35875"/>
                                </a:avLst>
                              </a:prstGeom>
                              <a:solidFill>
                                <a:srgbClr val="558ED5"/>
                              </a:solidFill>
                              <a:ln w="25400" cap="flat" cmpd="sng">
                                <a:solidFill>
                                  <a:srgbClr val="385D8A"/>
                                </a:solidFill>
                                <a:prstDash val="solid"/>
                                <a:miter/>
                                <a:headEnd type="none" w="med" len="med"/>
                                <a:tailEnd type="none" w="med" len="med"/>
                              </a:ln>
                            </wps:spPr>
                            <wps:txbx>
                              <w:txbxContent>
                                <w:p>
                                  <w:pPr>
                                    <w:spacing w:line="240" w:lineRule="exact"/>
                                    <w:jc w:val="center"/>
                                    <w:rPr>
                                      <w:rFonts w:ascii="Arial" w:hAnsi="Arial"/>
                                      <w:b/>
                                      <w:color w:val="FFFFFF"/>
                                      <w:sz w:val="18"/>
                                      <w:szCs w:val="18"/>
                                    </w:rPr>
                                  </w:pPr>
                                  <w:r>
                                    <w:rPr>
                                      <w:rFonts w:hint="eastAsia" w:ascii="Arial" w:hAnsi="Arial"/>
                                      <w:b/>
                                      <w:color w:val="FFFFFF"/>
                                      <w:sz w:val="18"/>
                                      <w:szCs w:val="18"/>
                                    </w:rPr>
                                    <w:t>永乐嘉园</w:t>
                                  </w:r>
                                </w:p>
                              </w:txbxContent>
                            </wps:txbx>
                            <wps:bodyPr anchor="ctr" anchorCtr="0" upright="1"/>
                          </wps:wsp>
                        </a:graphicData>
                      </a:graphic>
                    </wp:anchor>
                  </w:drawing>
                </mc:Choice>
                <mc:Fallback>
                  <w:pict>
                    <v:shape id="_x0000_s1026" o:spid="_x0000_s1026" o:spt="47" type="#_x0000_t47" style="position:absolute;left:0pt;margin-left:383.25pt;margin-top:232.65pt;height:20.65pt;width:60.85pt;z-index:251677696;v-text-anchor:middle;mso-width-relative:page;mso-height-relative:page;" fillcolor="#558ED5" filled="t" stroked="t" coordsize="21600,21600" o:gfxdata="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5beTqNsAAAALAQAADwAAAAAAAAABACAAAAAiAAAAZHJzL2Rvd25yZXYueG1sUEsB&#10;AhQAFAAAAAgAh07iQL+to/dkAgAA8wQAAA4AAAAAAAAAAQAgAAAAKgEAAGRycy9lMm9Eb2MueG1s&#10;UEsFBgAAAAAGAAYAWQEAAAAGAAAAAA==&#10;" adj="7749,-26842,8674,-1068">
                      <v:fill on="t" focussize="0,0"/>
                      <v:stroke weight="2pt" color="#385D8A" joinstyle="miter"/>
                      <v:imagedata o:title=""/>
                      <o:lock v:ext="edit" aspectratio="f"/>
                      <v:textbox>
                        <w:txbxContent>
                          <w:p>
                            <w:pPr>
                              <w:spacing w:line="240" w:lineRule="exact"/>
                              <w:jc w:val="center"/>
                              <w:rPr>
                                <w:rFonts w:ascii="Arial" w:hAnsi="Arial"/>
                                <w:b/>
                                <w:color w:val="FFFFFF"/>
                                <w:sz w:val="18"/>
                                <w:szCs w:val="18"/>
                              </w:rPr>
                            </w:pPr>
                            <w:r>
                              <w:rPr>
                                <w:rFonts w:hint="eastAsia" w:ascii="Arial" w:hAnsi="Arial"/>
                                <w:b/>
                                <w:color w:val="FFFFFF"/>
                                <w:sz w:val="18"/>
                                <w:szCs w:val="18"/>
                              </w:rPr>
                              <w:t>永乐嘉园</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4328795</wp:posOffset>
                      </wp:positionH>
                      <wp:positionV relativeFrom="paragraph">
                        <wp:posOffset>2177415</wp:posOffset>
                      </wp:positionV>
                      <wp:extent cx="620395" cy="261620"/>
                      <wp:effectExtent l="12700" t="12700" r="83185" b="228600"/>
                      <wp:wrapNone/>
                      <wp:docPr id="59" name="线形标注 1 59"/>
                      <wp:cNvGraphicFramePr/>
                      <a:graphic xmlns:a="http://schemas.openxmlformats.org/drawingml/2006/main">
                        <a:graphicData uri="http://schemas.microsoft.com/office/word/2010/wordprocessingShape">
                          <wps:wsp>
                            <wps:cNvSpPr/>
                            <wps:spPr>
                              <a:xfrm>
                                <a:off x="0" y="0"/>
                                <a:ext cx="620395" cy="261620"/>
                              </a:xfrm>
                              <a:prstGeom prst="borderCallout1">
                                <a:avLst>
                                  <a:gd name="adj1" fmla="val 93932"/>
                                  <a:gd name="adj2" fmla="val 68627"/>
                                  <a:gd name="adj3" fmla="val 181348"/>
                                  <a:gd name="adj4" fmla="val 110239"/>
                                </a:avLst>
                              </a:prstGeom>
                              <a:solidFill>
                                <a:srgbClr val="558ED5"/>
                              </a:solidFill>
                              <a:ln w="25400" cap="flat" cmpd="sng">
                                <a:solidFill>
                                  <a:srgbClr val="385D8A"/>
                                </a:solidFill>
                                <a:prstDash val="solid"/>
                                <a:miter/>
                                <a:headEnd type="none" w="med" len="med"/>
                                <a:tailEnd type="none" w="med" len="med"/>
                              </a:ln>
                            </wps:spPr>
                            <wps:txbx>
                              <w:txbxContent>
                                <w:p>
                                  <w:pPr>
                                    <w:spacing w:line="240" w:lineRule="exact"/>
                                    <w:jc w:val="both"/>
                                    <w:rPr>
                                      <w:rFonts w:ascii="Arial" w:hAnsi="Arial"/>
                                      <w:b/>
                                      <w:color w:val="FFFFFF"/>
                                      <w:sz w:val="18"/>
                                      <w:szCs w:val="18"/>
                                    </w:rPr>
                                  </w:pPr>
                                  <w:r>
                                    <w:rPr>
                                      <w:rFonts w:hint="eastAsia" w:ascii="Arial" w:hAnsi="Arial"/>
                                      <w:b/>
                                      <w:color w:val="FFFFFF"/>
                                      <w:sz w:val="18"/>
                                      <w:szCs w:val="18"/>
                                    </w:rPr>
                                    <w:t>耀江湾</w:t>
                                  </w:r>
                                </w:p>
                              </w:txbxContent>
                            </wps:txbx>
                            <wps:bodyPr anchor="ctr" anchorCtr="0" upright="1"/>
                          </wps:wsp>
                        </a:graphicData>
                      </a:graphic>
                    </wp:anchor>
                  </w:drawing>
                </mc:Choice>
                <mc:Fallback>
                  <w:pict>
                    <v:shape id="_x0000_s1026" o:spid="_x0000_s1026" o:spt="47" type="#_x0000_t47" style="position:absolute;left:0pt;margin-left:340.85pt;margin-top:171.45pt;height:20.6pt;width:48.85pt;z-index:251675648;v-text-anchor:middle;mso-width-relative:page;mso-height-relative:page;" fillcolor="#558ED5" filled="t" stroked="t" coordsize="21600,21600" o:gfxdata="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T2P07aAAAACwEAAA8AAAAAAAAAAQAgAAAAIgAAAGRycy9kb3ducmV2LnhtbFBLAQIUABQA&#10;AAAIAIdO4kCH90tJYAIAAPMEAAAOAAAAAAAAAAEAIAAAACkBAABkcnMvZTJvRG9jLnhtbFBLBQYA&#10;AAAABgAGAFkBAAD7BQAAAAA=&#10;" adj="23812,39171,14823,20289">
                      <v:fill on="t" focussize="0,0"/>
                      <v:stroke weight="2pt" color="#385D8A" joinstyle="miter"/>
                      <v:imagedata o:title=""/>
                      <o:lock v:ext="edit" aspectratio="f"/>
                      <v:textbox>
                        <w:txbxContent>
                          <w:p>
                            <w:pPr>
                              <w:spacing w:line="240" w:lineRule="exact"/>
                              <w:jc w:val="both"/>
                              <w:rPr>
                                <w:rFonts w:ascii="Arial" w:hAnsi="Arial"/>
                                <w:b/>
                                <w:color w:val="FFFFFF"/>
                                <w:sz w:val="18"/>
                                <w:szCs w:val="18"/>
                              </w:rPr>
                            </w:pPr>
                            <w:r>
                              <w:rPr>
                                <w:rFonts w:hint="eastAsia" w:ascii="Arial" w:hAnsi="Arial"/>
                                <w:b/>
                                <w:color w:val="FFFFFF"/>
                                <w:sz w:val="18"/>
                                <w:szCs w:val="18"/>
                              </w:rPr>
                              <w:t>耀江湾</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2764155</wp:posOffset>
                      </wp:positionH>
                      <wp:positionV relativeFrom="paragraph">
                        <wp:posOffset>2634615</wp:posOffset>
                      </wp:positionV>
                      <wp:extent cx="722630" cy="237490"/>
                      <wp:effectExtent l="12700" t="191770" r="26670" b="12700"/>
                      <wp:wrapNone/>
                      <wp:docPr id="60" name="线形标注 1 60"/>
                      <wp:cNvGraphicFramePr/>
                      <a:graphic xmlns:a="http://schemas.openxmlformats.org/drawingml/2006/main">
                        <a:graphicData uri="http://schemas.microsoft.com/office/word/2010/wordprocessingShape">
                          <wps:wsp>
                            <wps:cNvSpPr/>
                            <wps:spPr>
                              <a:xfrm>
                                <a:off x="0" y="0"/>
                                <a:ext cx="722630" cy="237490"/>
                              </a:xfrm>
                              <a:prstGeom prst="borderCallout1">
                                <a:avLst>
                                  <a:gd name="adj1" fmla="val 2247"/>
                                  <a:gd name="adj2" fmla="val 45388"/>
                                  <a:gd name="adj3" fmla="val -77272"/>
                                  <a:gd name="adj4" fmla="val 67926"/>
                                </a:avLst>
                              </a:prstGeom>
                              <a:solidFill>
                                <a:srgbClr val="558ED5"/>
                              </a:solidFill>
                              <a:ln w="25400" cap="flat" cmpd="sng">
                                <a:solidFill>
                                  <a:srgbClr val="385D8A"/>
                                </a:solidFill>
                                <a:prstDash val="solid"/>
                                <a:miter/>
                                <a:headEnd type="none" w="med" len="med"/>
                                <a:tailEnd type="none" w="med" len="med"/>
                              </a:ln>
                            </wps:spPr>
                            <wps:txbx>
                              <w:txbxContent>
                                <w:p>
                                  <w:pPr>
                                    <w:spacing w:line="240" w:lineRule="exact"/>
                                    <w:jc w:val="center"/>
                                    <w:rPr>
                                      <w:rFonts w:ascii="Arial" w:hAnsi="Arial"/>
                                      <w:b/>
                                      <w:color w:val="FFFFFF"/>
                                      <w:sz w:val="18"/>
                                      <w:szCs w:val="18"/>
                                    </w:rPr>
                                  </w:pPr>
                                  <w:r>
                                    <w:rPr>
                                      <w:rFonts w:hint="eastAsia" w:ascii="Arial" w:hAnsi="Arial"/>
                                      <w:b/>
                                      <w:color w:val="FFFFFF"/>
                                      <w:sz w:val="18"/>
                                      <w:szCs w:val="18"/>
                                    </w:rPr>
                                    <w:t>潮鸣里</w:t>
                                  </w:r>
                                </w:p>
                              </w:txbxContent>
                            </wps:txbx>
                            <wps:bodyPr anchor="ctr" anchorCtr="0" upright="1"/>
                          </wps:wsp>
                        </a:graphicData>
                      </a:graphic>
                    </wp:anchor>
                  </w:drawing>
                </mc:Choice>
                <mc:Fallback>
                  <w:pict>
                    <v:shape id="_x0000_s1026" o:spid="_x0000_s1026" o:spt="47" type="#_x0000_t47" style="position:absolute;left:0pt;margin-left:217.65pt;margin-top:207.45pt;height:18.7pt;width:56.9pt;z-index:251676672;v-text-anchor:middle;mso-width-relative:page;mso-height-relative:page;" fillcolor="#558ED5" filled="t" stroked="t" coordsize="21600,21600" o:gfxdata="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i4XdPXAAAACwEAAA8AAAAAAAAAAQAgAAAAIgAAAGRycy9kb3ducmV2LnhtbFBLAQIUABQAAAAI&#10;AIdO4kDgYNrsYAIAAPEEAAAOAAAAAAAAAAEAIAAAACYBAABkcnMvZTJvRG9jLnhtbFBLBQYAAAAA&#10;BgAGAFkBAAD4BQAAAAA=&#10;" adj="14672,-16691,9804,485">
                      <v:fill on="t" focussize="0,0"/>
                      <v:stroke weight="2pt" color="#385D8A" joinstyle="miter"/>
                      <v:imagedata o:title=""/>
                      <o:lock v:ext="edit" aspectratio="f"/>
                      <v:textbox>
                        <w:txbxContent>
                          <w:p>
                            <w:pPr>
                              <w:spacing w:line="240" w:lineRule="exact"/>
                              <w:jc w:val="center"/>
                              <w:rPr>
                                <w:rFonts w:ascii="Arial" w:hAnsi="Arial"/>
                                <w:b/>
                                <w:color w:val="FFFFFF"/>
                                <w:sz w:val="18"/>
                                <w:szCs w:val="18"/>
                              </w:rPr>
                            </w:pPr>
                            <w:r>
                              <w:rPr>
                                <w:rFonts w:hint="eastAsia" w:ascii="Arial" w:hAnsi="Arial"/>
                                <w:b/>
                                <w:color w:val="FFFFFF"/>
                                <w:sz w:val="18"/>
                                <w:szCs w:val="18"/>
                              </w:rPr>
                              <w:t>潮鸣里</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2499995</wp:posOffset>
                      </wp:positionH>
                      <wp:positionV relativeFrom="paragraph">
                        <wp:posOffset>1989455</wp:posOffset>
                      </wp:positionV>
                      <wp:extent cx="899795" cy="262255"/>
                      <wp:effectExtent l="153670" t="12700" r="13335" b="136525"/>
                      <wp:wrapNone/>
                      <wp:docPr id="57" name="线形标注 1 57"/>
                      <wp:cNvGraphicFramePr/>
                      <a:graphic xmlns:a="http://schemas.openxmlformats.org/drawingml/2006/main">
                        <a:graphicData uri="http://schemas.microsoft.com/office/word/2010/wordprocessingShape">
                          <wps:wsp>
                            <wps:cNvSpPr/>
                            <wps:spPr>
                              <a:xfrm>
                                <a:off x="0" y="0"/>
                                <a:ext cx="899795" cy="262255"/>
                              </a:xfrm>
                              <a:prstGeom prst="borderCallout1">
                                <a:avLst>
                                  <a:gd name="adj1" fmla="val 56181"/>
                                  <a:gd name="adj2" fmla="val -2829"/>
                                  <a:gd name="adj3" fmla="val 147191"/>
                                  <a:gd name="adj4" fmla="val -15831"/>
                                </a:avLst>
                              </a:prstGeom>
                              <a:solidFill>
                                <a:srgbClr val="558ED5"/>
                              </a:solidFill>
                              <a:ln w="25400" cap="flat" cmpd="sng">
                                <a:solidFill>
                                  <a:srgbClr val="385D8A"/>
                                </a:solidFill>
                                <a:prstDash val="solid"/>
                                <a:miter/>
                                <a:headEnd type="none" w="med" len="med"/>
                                <a:tailEnd type="none" w="med" len="med"/>
                              </a:ln>
                            </wps:spPr>
                            <wps:txbx>
                              <w:txbxContent>
                                <w:p>
                                  <w:pPr>
                                    <w:spacing w:line="240" w:lineRule="exact"/>
                                    <w:jc w:val="center"/>
                                  </w:pPr>
                                  <w:r>
                                    <w:rPr>
                                      <w:rFonts w:hint="eastAsia"/>
                                      <w:color w:val="FFFFFF" w:themeColor="background1"/>
                                      <w:sz w:val="18"/>
                                      <w:szCs w:val="18"/>
                                      <w14:textFill>
                                        <w14:solidFill>
                                          <w14:schemeClr w14:val="bg1"/>
                                        </w14:solidFill>
                                      </w14:textFill>
                                    </w:rPr>
                                    <w:t>国鸿财富中心</w:t>
                                  </w:r>
                                </w:p>
                              </w:txbxContent>
                            </wps:txbx>
                            <wps:bodyPr anchor="ctr" anchorCtr="0" upright="1"/>
                          </wps:wsp>
                        </a:graphicData>
                      </a:graphic>
                    </wp:anchor>
                  </w:drawing>
                </mc:Choice>
                <mc:Fallback>
                  <w:pict>
                    <v:shape id="_x0000_s1026" o:spid="_x0000_s1026" o:spt="47" type="#_x0000_t47" style="position:absolute;left:0pt;margin-left:196.85pt;margin-top:156.65pt;height:20.65pt;width:70.85pt;z-index:251674624;v-text-anchor:middle;mso-width-relative:page;mso-height-relative:page;" fillcolor="#558ED5" filled="t" stroked="t" coordsize="21600,21600" o:gfxdata="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mS+JS2gAAAAsBAAAPAAAAAAAAAAEAIAAAACIAAABkcnMvZG93bnJldi54bWxQSwEC&#10;FAAUAAAACACHTuJA8wmkgmQCAADzBAAADgAAAAAAAAABACAAAAApAQAAZHJzL2Uyb0RvYy54bWxQ&#10;SwUGAAAAAAYABgBZAQAA/wUAAAAA&#10;" adj="-3419,31793,-611,12135">
                      <v:fill on="t" focussize="0,0"/>
                      <v:stroke weight="2pt" color="#385D8A" joinstyle="miter"/>
                      <v:imagedata o:title=""/>
                      <o:lock v:ext="edit" aspectratio="f"/>
                      <v:textbox>
                        <w:txbxContent>
                          <w:p>
                            <w:pPr>
                              <w:spacing w:line="240" w:lineRule="exact"/>
                              <w:jc w:val="center"/>
                            </w:pPr>
                            <w:r>
                              <w:rPr>
                                <w:rFonts w:hint="eastAsia"/>
                                <w:color w:val="FFFFFF" w:themeColor="background1"/>
                                <w:sz w:val="18"/>
                                <w:szCs w:val="18"/>
                                <w14:textFill>
                                  <w14:solidFill>
                                    <w14:schemeClr w14:val="bg1"/>
                                  </w14:solidFill>
                                </w14:textFill>
                              </w:rPr>
                              <w:t>国鸿财富中心</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396875</wp:posOffset>
                      </wp:positionH>
                      <wp:positionV relativeFrom="paragraph">
                        <wp:posOffset>1735455</wp:posOffset>
                      </wp:positionV>
                      <wp:extent cx="874395" cy="282575"/>
                      <wp:effectExtent l="12700" t="12700" r="27305" b="344805"/>
                      <wp:wrapNone/>
                      <wp:docPr id="54" name="线形标注 1 54"/>
                      <wp:cNvGraphicFramePr/>
                      <a:graphic xmlns:a="http://schemas.openxmlformats.org/drawingml/2006/main">
                        <a:graphicData uri="http://schemas.microsoft.com/office/word/2010/wordprocessingShape">
                          <wps:wsp>
                            <wps:cNvSpPr/>
                            <wps:spPr>
                              <a:xfrm>
                                <a:off x="0" y="0"/>
                                <a:ext cx="874395" cy="282575"/>
                              </a:xfrm>
                              <a:prstGeom prst="borderCallout1">
                                <a:avLst>
                                  <a:gd name="adj1" fmla="val 106516"/>
                                  <a:gd name="adj2" fmla="val 49455"/>
                                  <a:gd name="adj3" fmla="val 217303"/>
                                  <a:gd name="adj4" fmla="val 73057"/>
                                </a:avLst>
                              </a:prstGeom>
                              <a:solidFill>
                                <a:srgbClr val="558ED5"/>
                              </a:solidFill>
                              <a:ln w="25400" cap="flat" cmpd="sng">
                                <a:solidFill>
                                  <a:srgbClr val="385D8A"/>
                                </a:solidFill>
                                <a:prstDash val="solid"/>
                                <a:miter/>
                                <a:headEnd type="none" w="med" len="med"/>
                                <a:tailEnd type="none" w="med" len="med"/>
                              </a:ln>
                            </wps:spPr>
                            <wps:txbx>
                              <w:txbxContent>
                                <w:p>
                                  <w:pPr>
                                    <w:spacing w:line="240" w:lineRule="exact"/>
                                    <w:jc w:val="center"/>
                                    <w:rPr>
                                      <w:rFonts w:ascii="Arial" w:hAnsi="Arial"/>
                                      <w:b/>
                                      <w:color w:val="FFFFFF"/>
                                      <w:sz w:val="18"/>
                                      <w:szCs w:val="18"/>
                                    </w:rPr>
                                  </w:pPr>
                                  <w:r>
                                    <w:rPr>
                                      <w:rFonts w:hint="eastAsia" w:ascii="Arial" w:hAnsi="Arial"/>
                                      <w:b/>
                                      <w:color w:val="FFFFFF"/>
                                      <w:sz w:val="18"/>
                                      <w:szCs w:val="18"/>
                                    </w:rPr>
                                    <w:t>凯迪博学园</w:t>
                                  </w:r>
                                </w:p>
                              </w:txbxContent>
                            </wps:txbx>
                            <wps:bodyPr anchor="ctr" anchorCtr="0" upright="1"/>
                          </wps:wsp>
                        </a:graphicData>
                      </a:graphic>
                    </wp:anchor>
                  </w:drawing>
                </mc:Choice>
                <mc:Fallback>
                  <w:pict>
                    <v:shape id="_x0000_s1026" o:spid="_x0000_s1026" o:spt="47" type="#_x0000_t47" style="position:absolute;left:0pt;margin-left:31.25pt;margin-top:136.65pt;height:22.25pt;width:68.85pt;z-index:251673600;v-text-anchor:middle;mso-width-relative:page;mso-height-relative:page;" fillcolor="#558ED5" filled="t" stroked="t" coordsize="21600,21600" o:gfxdata="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qA2XrZAAAACgEAAA8AAAAAAAAAAQAgAAAAIgAAAGRycy9kb3ducmV2LnhtbFBL&#10;AQIUABQAAAAIAIdO4kBEWKj6ZwIAAPMEAAAOAAAAAAAAAAEAIAAAACgBAABkcnMvZTJvRG9jLnht&#10;bFBLBQYAAAAABgAGAFkBAAABBgAAAAA=&#10;" adj="15780,46937,10682,23007">
                      <v:fill on="t" focussize="0,0"/>
                      <v:stroke weight="2pt" color="#385D8A" joinstyle="miter"/>
                      <v:imagedata o:title=""/>
                      <o:lock v:ext="edit" aspectratio="f"/>
                      <v:textbox>
                        <w:txbxContent>
                          <w:p>
                            <w:pPr>
                              <w:spacing w:line="240" w:lineRule="exact"/>
                              <w:jc w:val="center"/>
                              <w:rPr>
                                <w:rFonts w:ascii="Arial" w:hAnsi="Arial"/>
                                <w:b/>
                                <w:color w:val="FFFFFF"/>
                                <w:sz w:val="18"/>
                                <w:szCs w:val="18"/>
                              </w:rPr>
                            </w:pPr>
                            <w:r>
                              <w:rPr>
                                <w:rFonts w:hint="eastAsia" w:ascii="Arial" w:hAnsi="Arial"/>
                                <w:b/>
                                <w:color w:val="FFFFFF"/>
                                <w:sz w:val="18"/>
                                <w:szCs w:val="18"/>
                              </w:rPr>
                              <w:t>凯迪博学园</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161290</wp:posOffset>
                      </wp:positionH>
                      <wp:positionV relativeFrom="paragraph">
                        <wp:posOffset>2746375</wp:posOffset>
                      </wp:positionV>
                      <wp:extent cx="757555" cy="257175"/>
                      <wp:effectExtent l="12700" t="260350" r="22225" b="15875"/>
                      <wp:wrapNone/>
                      <wp:docPr id="52" name="线形标注 1 52"/>
                      <wp:cNvGraphicFramePr/>
                      <a:graphic xmlns:a="http://schemas.openxmlformats.org/drawingml/2006/main">
                        <a:graphicData uri="http://schemas.microsoft.com/office/word/2010/wordprocessingShape">
                          <wps:wsp>
                            <wps:cNvSpPr/>
                            <wps:spPr>
                              <a:xfrm>
                                <a:off x="0" y="0"/>
                                <a:ext cx="757555" cy="257175"/>
                              </a:xfrm>
                              <a:prstGeom prst="borderCallout1">
                                <a:avLst>
                                  <a:gd name="adj1" fmla="val 4495"/>
                                  <a:gd name="adj2" fmla="val 59694"/>
                                  <a:gd name="adj3" fmla="val -97523"/>
                                  <a:gd name="adj4" fmla="val 96806"/>
                                </a:avLst>
                              </a:prstGeom>
                              <a:solidFill>
                                <a:srgbClr val="558ED5"/>
                              </a:solidFill>
                              <a:ln w="25400" cap="flat" cmpd="sng">
                                <a:solidFill>
                                  <a:srgbClr val="385D8A"/>
                                </a:solidFill>
                                <a:prstDash val="solid"/>
                                <a:miter/>
                                <a:headEnd type="none" w="med" len="med"/>
                                <a:tailEnd type="none" w="med" len="med"/>
                              </a:ln>
                            </wps:spPr>
                            <wps:txbx>
                              <w:txbxContent>
                                <w:p>
                                  <w:pPr>
                                    <w:spacing w:line="240" w:lineRule="exact"/>
                                    <w:jc w:val="center"/>
                                    <w:rPr>
                                      <w:rFonts w:ascii="Arial" w:hAnsi="Arial"/>
                                      <w:b/>
                                      <w:color w:val="FFFFFF"/>
                                      <w:sz w:val="18"/>
                                      <w:szCs w:val="18"/>
                                    </w:rPr>
                                  </w:pPr>
                                  <w:r>
                                    <w:rPr>
                                      <w:rFonts w:hint="eastAsia" w:ascii="Arial" w:hAnsi="Arial"/>
                                      <w:b/>
                                      <w:color w:val="FFFFFF"/>
                                      <w:sz w:val="18"/>
                                      <w:szCs w:val="18"/>
                                    </w:rPr>
                                    <w:t>江屿云庄</w:t>
                                  </w:r>
                                </w:p>
                              </w:txbxContent>
                            </wps:txbx>
                            <wps:bodyPr anchor="ctr" anchorCtr="0" upright="1"/>
                          </wps:wsp>
                        </a:graphicData>
                      </a:graphic>
                    </wp:anchor>
                  </w:drawing>
                </mc:Choice>
                <mc:Fallback>
                  <w:pict>
                    <v:shape id="_x0000_s1026" o:spid="_x0000_s1026" o:spt="47" type="#_x0000_t47" style="position:absolute;left:0pt;margin-left:12.7pt;margin-top:216.25pt;height:20.25pt;width:59.65pt;z-index:251672576;v-text-anchor:middle;mso-width-relative:page;mso-height-relative:page;" fillcolor="#558ED5" filled="t" stroked="t" coordsize="21600,21600" o:gfxdata="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XmUNJ2QAAAAoBAAAPAAAAAAAAAAEAIAAAACIAAABkcnMvZG93bnJldi54bWxQSwEC&#10;FAAUAAAACACHTuJAPfD7t2UCAADxBAAADgAAAAAAAAABACAAAAAoAQAAZHJzL2Uyb0RvYy54bWxQ&#10;SwUGAAAAAAYABgBZAQAA/wUAAAAA&#10;" adj="20910,-21065,12894,971">
                      <v:fill on="t" focussize="0,0"/>
                      <v:stroke weight="2pt" color="#385D8A" joinstyle="miter"/>
                      <v:imagedata o:title=""/>
                      <o:lock v:ext="edit" aspectratio="f"/>
                      <v:textbox>
                        <w:txbxContent>
                          <w:p>
                            <w:pPr>
                              <w:spacing w:line="240" w:lineRule="exact"/>
                              <w:jc w:val="center"/>
                              <w:rPr>
                                <w:rFonts w:ascii="Arial" w:hAnsi="Arial"/>
                                <w:b/>
                                <w:color w:val="FFFFFF"/>
                                <w:sz w:val="18"/>
                                <w:szCs w:val="18"/>
                              </w:rPr>
                            </w:pPr>
                            <w:r>
                              <w:rPr>
                                <w:rFonts w:hint="eastAsia" w:ascii="Arial" w:hAnsi="Arial"/>
                                <w:b/>
                                <w:color w:val="FFFFFF"/>
                                <w:sz w:val="18"/>
                                <w:szCs w:val="18"/>
                              </w:rPr>
                              <w:t>江屿云庄</w:t>
                            </w:r>
                          </w:p>
                        </w:txbxContent>
                      </v:textbox>
                    </v:shape>
                  </w:pict>
                </mc:Fallback>
              </mc:AlternateContent>
            </w:r>
            <w:r>
              <w:drawing>
                <wp:inline distT="0" distB="0" distL="114300" distR="114300">
                  <wp:extent cx="5862955" cy="4049395"/>
                  <wp:effectExtent l="0" t="0" r="4445" b="444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50"/>
                          <a:stretch>
                            <a:fillRect/>
                          </a:stretch>
                        </pic:blipFill>
                        <pic:spPr>
                          <a:xfrm>
                            <a:off x="0" y="0"/>
                            <a:ext cx="5862955" cy="4049395"/>
                          </a:xfrm>
                          <a:prstGeom prst="rect">
                            <a:avLst/>
                          </a:prstGeom>
                          <a:noFill/>
                          <a:ln>
                            <a:noFill/>
                          </a:ln>
                        </pic:spPr>
                      </pic:pic>
                    </a:graphicData>
                  </a:graphic>
                </wp:inline>
              </w:drawing>
            </w:r>
          </w:p>
        </w:tc>
      </w:tr>
    </w:tbl>
    <w:p>
      <w:pPr>
        <w:widowControl w:val="0"/>
        <w:adjustRightInd w:val="0"/>
        <w:snapToGrid w:val="0"/>
        <w:spacing w:line="480" w:lineRule="auto"/>
        <w:ind w:firstLine="420" w:firstLineChars="200"/>
        <w:rPr>
          <w:rFonts w:ascii="Arial" w:hAnsi="Arial" w:cs="Arial"/>
          <w:color w:val="000000"/>
          <w:sz w:val="21"/>
          <w:szCs w:val="21"/>
        </w:rPr>
      </w:pPr>
    </w:p>
    <w:p>
      <w:pPr>
        <w:rPr>
          <w:rFonts w:ascii="Arial" w:hAnsi="Arial" w:cs="Arial"/>
          <w:color w:val="000000"/>
          <w:sz w:val="21"/>
          <w:szCs w:val="21"/>
        </w:rPr>
      </w:pPr>
      <w:r>
        <w:rPr>
          <w:rFonts w:ascii="Arial" w:hAnsi="Arial" w:cs="Arial"/>
          <w:color w:val="000000"/>
          <w:sz w:val="21"/>
          <w:szCs w:val="21"/>
        </w:rPr>
        <w:br w:type="page"/>
      </w:r>
    </w:p>
    <w:tbl>
      <w:tblPr>
        <w:tblStyle w:val="36"/>
        <w:tblW w:w="9298" w:type="dxa"/>
        <w:jc w:val="center"/>
        <w:tblLayout w:type="autofit"/>
        <w:tblCellMar>
          <w:top w:w="57" w:type="dxa"/>
          <w:left w:w="57" w:type="dxa"/>
          <w:bottom w:w="57" w:type="dxa"/>
          <w:right w:w="57" w:type="dxa"/>
        </w:tblCellMar>
      </w:tblPr>
      <w:tblGrid>
        <w:gridCol w:w="942"/>
        <w:gridCol w:w="2776"/>
        <w:gridCol w:w="2776"/>
        <w:gridCol w:w="2804"/>
      </w:tblGrid>
      <w:tr>
        <w:tblPrEx>
          <w:tblCellMar>
            <w:top w:w="57" w:type="dxa"/>
            <w:left w:w="57" w:type="dxa"/>
            <w:bottom w:w="57" w:type="dxa"/>
            <w:right w:w="57" w:type="dxa"/>
          </w:tblCellMar>
        </w:tblPrEx>
        <w:trPr>
          <w:cantSplit/>
          <w:trHeight w:val="283" w:hRule="atLeast"/>
          <w:tblHeader/>
          <w:jc w:val="center"/>
        </w:trPr>
        <w:tc>
          <w:tcPr>
            <w:tcW w:w="942" w:type="dxa"/>
            <w:tcBorders>
              <w:top w:val="single" w:color="auto" w:sz="12" w:space="0"/>
              <w:bottom w:val="single" w:color="auto" w:sz="12" w:space="0"/>
            </w:tcBorders>
            <w:shd w:val="clear" w:color="000000" w:fill="963634"/>
            <w:vAlign w:val="center"/>
          </w:tcPr>
          <w:p>
            <w:pPr>
              <w:rPr>
                <w:rFonts w:ascii="Arial" w:hAnsi="Arial" w:eastAsia="华文细黑" w:cs="Arial"/>
                <w:b/>
                <w:bCs/>
                <w:color w:val="FFFFFF" w:themeColor="background1"/>
                <w:sz w:val="15"/>
                <w:szCs w:val="15"/>
                <w14:textFill>
                  <w14:solidFill>
                    <w14:schemeClr w14:val="bg1"/>
                  </w14:solidFill>
                </w14:textFill>
              </w:rPr>
            </w:pPr>
            <w:r>
              <w:rPr>
                <w:rFonts w:ascii="Arial" w:hAnsi="Arial" w:eastAsia="华文细黑" w:cs="Arial"/>
                <w:b/>
                <w:bCs/>
                <w:color w:val="FFFFFF" w:themeColor="background1"/>
                <w:sz w:val="15"/>
                <w:szCs w:val="15"/>
                <w14:textFill>
                  <w14:solidFill>
                    <w14:schemeClr w14:val="bg1"/>
                  </w14:solidFill>
                </w14:textFill>
              </w:rPr>
              <w:t>项目名称</w:t>
            </w:r>
          </w:p>
        </w:tc>
        <w:tc>
          <w:tcPr>
            <w:tcW w:w="2776" w:type="dxa"/>
            <w:tcBorders>
              <w:top w:val="single" w:color="auto" w:sz="12" w:space="0"/>
              <w:bottom w:val="single" w:color="auto" w:sz="12" w:space="0"/>
            </w:tcBorders>
            <w:shd w:val="clear" w:color="000000" w:fill="963634"/>
            <w:vAlign w:val="center"/>
          </w:tcPr>
          <w:p>
            <w:pPr>
              <w:jc w:val="both"/>
              <w:rPr>
                <w:rFonts w:ascii="Arial" w:hAnsi="Arial" w:eastAsia="华文细黑" w:cs="Arial"/>
                <w:b/>
                <w:bCs/>
                <w:color w:val="FFFFFF" w:themeColor="background1"/>
                <w:sz w:val="15"/>
                <w:szCs w:val="15"/>
                <w14:textFill>
                  <w14:solidFill>
                    <w14:schemeClr w14:val="bg1"/>
                  </w14:solidFill>
                </w14:textFill>
              </w:rPr>
            </w:pPr>
            <w:r>
              <w:rPr>
                <w:rFonts w:hint="eastAsia" w:ascii="Arial" w:hAnsi="Arial" w:eastAsia="华文细黑" w:cs="Arial"/>
                <w:b/>
                <w:bCs/>
                <w:color w:val="FFFFFF" w:themeColor="background1"/>
                <w:sz w:val="15"/>
                <w:szCs w:val="15"/>
                <w14:textFill>
                  <w14:solidFill>
                    <w14:schemeClr w14:val="bg1"/>
                  </w14:solidFill>
                </w14:textFill>
              </w:rPr>
              <w:t>国鸿财富中心</w:t>
            </w:r>
          </w:p>
        </w:tc>
        <w:tc>
          <w:tcPr>
            <w:tcW w:w="2776" w:type="dxa"/>
            <w:tcBorders>
              <w:top w:val="single" w:color="auto" w:sz="12" w:space="0"/>
              <w:bottom w:val="single" w:color="auto" w:sz="12" w:space="0"/>
            </w:tcBorders>
            <w:shd w:val="clear" w:color="000000" w:fill="963634"/>
            <w:vAlign w:val="center"/>
          </w:tcPr>
          <w:p>
            <w:pPr>
              <w:jc w:val="both"/>
              <w:rPr>
                <w:rFonts w:ascii="Arial" w:hAnsi="Arial" w:eastAsia="华文细黑" w:cs="Arial"/>
                <w:b/>
                <w:bCs/>
                <w:color w:val="FFFFFF" w:themeColor="background1"/>
                <w:sz w:val="15"/>
                <w:szCs w:val="15"/>
                <w14:textFill>
                  <w14:solidFill>
                    <w14:schemeClr w14:val="bg1"/>
                  </w14:solidFill>
                </w14:textFill>
              </w:rPr>
            </w:pPr>
            <w:r>
              <w:rPr>
                <w:rFonts w:hint="eastAsia" w:ascii="Arial" w:hAnsi="Arial" w:eastAsia="华文细黑" w:cs="Arial"/>
                <w:b/>
                <w:bCs/>
                <w:color w:val="FFFFFF" w:themeColor="background1"/>
                <w:sz w:val="15"/>
                <w:szCs w:val="15"/>
                <w14:textFill>
                  <w14:solidFill>
                    <w14:schemeClr w14:val="bg1"/>
                  </w14:solidFill>
                </w14:textFill>
              </w:rPr>
              <w:t>江屿云庄</w:t>
            </w:r>
          </w:p>
        </w:tc>
        <w:tc>
          <w:tcPr>
            <w:tcW w:w="2804" w:type="dxa"/>
            <w:tcBorders>
              <w:top w:val="single" w:color="auto" w:sz="12" w:space="0"/>
              <w:bottom w:val="single" w:color="auto" w:sz="12" w:space="0"/>
            </w:tcBorders>
            <w:shd w:val="clear" w:color="000000" w:fill="963634"/>
            <w:vAlign w:val="center"/>
          </w:tcPr>
          <w:p>
            <w:pPr>
              <w:jc w:val="both"/>
              <w:rPr>
                <w:rFonts w:ascii="Arial" w:hAnsi="Arial" w:eastAsia="华文细黑" w:cs="Arial"/>
                <w:b/>
                <w:bCs/>
                <w:color w:val="FFFFFF" w:themeColor="background1"/>
                <w:sz w:val="15"/>
                <w:szCs w:val="15"/>
                <w14:textFill>
                  <w14:solidFill>
                    <w14:schemeClr w14:val="bg1"/>
                  </w14:solidFill>
                </w14:textFill>
              </w:rPr>
            </w:pPr>
            <w:r>
              <w:rPr>
                <w:rFonts w:hint="eastAsia" w:ascii="Arial" w:hAnsi="Arial" w:eastAsia="华文细黑" w:cs="Arial"/>
                <w:b/>
                <w:bCs/>
                <w:color w:val="FFFFFF" w:themeColor="background1"/>
                <w:sz w:val="15"/>
                <w:szCs w:val="15"/>
                <w14:textFill>
                  <w14:solidFill>
                    <w14:schemeClr w14:val="bg1"/>
                  </w14:solidFill>
                </w14:textFill>
              </w:rPr>
              <w:t>凯迪博学园</w:t>
            </w:r>
          </w:p>
        </w:tc>
      </w:tr>
      <w:tr>
        <w:tblPrEx>
          <w:tblCellMar>
            <w:top w:w="57" w:type="dxa"/>
            <w:left w:w="57" w:type="dxa"/>
            <w:bottom w:w="57" w:type="dxa"/>
            <w:right w:w="57" w:type="dxa"/>
          </w:tblCellMar>
        </w:tblPrEx>
        <w:trPr>
          <w:cantSplit/>
          <w:trHeight w:val="283" w:hRule="atLeast"/>
          <w:jc w:val="center"/>
        </w:trPr>
        <w:tc>
          <w:tcPr>
            <w:tcW w:w="942" w:type="dxa"/>
            <w:shd w:val="clear" w:color="000000" w:fill="963634"/>
            <w:vAlign w:val="center"/>
          </w:tcPr>
          <w:p>
            <w:pPr>
              <w:jc w:val="center"/>
              <w:rPr>
                <w:rFonts w:ascii="Arial" w:hAnsi="Arial" w:eastAsia="华文细黑" w:cs="Arial"/>
                <w:b/>
                <w:bCs/>
                <w:sz w:val="15"/>
                <w:szCs w:val="15"/>
              </w:rPr>
            </w:pPr>
          </w:p>
        </w:tc>
        <w:tc>
          <w:tcPr>
            <w:tcW w:w="2776" w:type="dxa"/>
            <w:shd w:val="clear" w:color="auto" w:fill="auto"/>
            <w:vAlign w:val="center"/>
          </w:tcPr>
          <w:p>
            <w:pPr>
              <w:jc w:val="center"/>
              <w:rPr>
                <w:rFonts w:ascii="Arial" w:hAnsi="Arial" w:eastAsia="华文细黑" w:cs="Arial"/>
                <w:sz w:val="15"/>
                <w:szCs w:val="15"/>
              </w:rPr>
            </w:pPr>
            <w:r>
              <w:rPr>
                <w:rFonts w:hint="eastAsia" w:ascii="Arial" w:hAnsi="Arial" w:eastAsia="华文细黑" w:cs="Arial"/>
                <w:sz w:val="15"/>
                <w:szCs w:val="15"/>
              </w:rPr>
              <w:drawing>
                <wp:inline distT="0" distB="0" distL="114300" distR="114300">
                  <wp:extent cx="1629410" cy="1015365"/>
                  <wp:effectExtent l="0" t="0" r="1270" b="5715"/>
                  <wp:docPr id="63" name="图片 63" descr="微信图片_202209081938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微信图片_202209081938363"/>
                          <pic:cNvPicPr>
                            <a:picLocks noChangeAspect="1"/>
                          </pic:cNvPicPr>
                        </pic:nvPicPr>
                        <pic:blipFill>
                          <a:blip r:embed="rId51"/>
                          <a:stretch>
                            <a:fillRect/>
                          </a:stretch>
                        </pic:blipFill>
                        <pic:spPr>
                          <a:xfrm>
                            <a:off x="0" y="0"/>
                            <a:ext cx="1629410" cy="1015365"/>
                          </a:xfrm>
                          <a:prstGeom prst="rect">
                            <a:avLst/>
                          </a:prstGeom>
                        </pic:spPr>
                      </pic:pic>
                    </a:graphicData>
                  </a:graphic>
                </wp:inline>
              </w:drawing>
            </w:r>
          </w:p>
        </w:tc>
        <w:tc>
          <w:tcPr>
            <w:tcW w:w="2776" w:type="dxa"/>
            <w:shd w:val="clear" w:color="auto" w:fill="auto"/>
            <w:vAlign w:val="center"/>
          </w:tcPr>
          <w:p>
            <w:pPr>
              <w:jc w:val="center"/>
              <w:rPr>
                <w:rFonts w:ascii="Arial" w:hAnsi="Arial" w:eastAsia="华文细黑" w:cs="Arial"/>
                <w:sz w:val="15"/>
                <w:szCs w:val="15"/>
              </w:rPr>
            </w:pPr>
            <w:r>
              <w:rPr>
                <w:rFonts w:hint="eastAsia" w:ascii="Arial" w:hAnsi="Arial" w:eastAsia="华文细黑" w:cs="Arial"/>
                <w:sz w:val="15"/>
                <w:szCs w:val="15"/>
              </w:rPr>
              <w:drawing>
                <wp:inline distT="0" distB="0" distL="114300" distR="114300">
                  <wp:extent cx="1639570" cy="996315"/>
                  <wp:effectExtent l="0" t="0" r="6350" b="9525"/>
                  <wp:docPr id="64" name="图片 64" descr="微信图片_2022090819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微信图片_20220908193836"/>
                          <pic:cNvPicPr>
                            <a:picLocks noChangeAspect="1"/>
                          </pic:cNvPicPr>
                        </pic:nvPicPr>
                        <pic:blipFill>
                          <a:blip r:embed="rId52"/>
                          <a:stretch>
                            <a:fillRect/>
                          </a:stretch>
                        </pic:blipFill>
                        <pic:spPr>
                          <a:xfrm>
                            <a:off x="0" y="0"/>
                            <a:ext cx="1639570" cy="996315"/>
                          </a:xfrm>
                          <a:prstGeom prst="rect">
                            <a:avLst/>
                          </a:prstGeom>
                        </pic:spPr>
                      </pic:pic>
                    </a:graphicData>
                  </a:graphic>
                </wp:inline>
              </w:drawing>
            </w:r>
          </w:p>
        </w:tc>
        <w:tc>
          <w:tcPr>
            <w:tcW w:w="2804" w:type="dxa"/>
            <w:shd w:val="clear" w:color="auto" w:fill="auto"/>
            <w:vAlign w:val="center"/>
          </w:tcPr>
          <w:p>
            <w:pPr>
              <w:jc w:val="center"/>
              <w:rPr>
                <w:rFonts w:ascii="Arial" w:hAnsi="Arial" w:eastAsia="华文细黑" w:cs="Arial"/>
                <w:sz w:val="15"/>
                <w:szCs w:val="15"/>
              </w:rPr>
            </w:pPr>
            <w:r>
              <w:rPr>
                <w:rFonts w:hint="eastAsia" w:ascii="Arial" w:hAnsi="Arial" w:eastAsia="华文细黑" w:cs="Arial"/>
                <w:sz w:val="15"/>
                <w:szCs w:val="15"/>
              </w:rPr>
              <w:drawing>
                <wp:inline distT="0" distB="0" distL="114300" distR="114300">
                  <wp:extent cx="1591310" cy="990600"/>
                  <wp:effectExtent l="0" t="0" r="8890" b="0"/>
                  <wp:docPr id="65" name="图片 65" descr="微信图片_20220908193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微信图片_202209081938364"/>
                          <pic:cNvPicPr>
                            <a:picLocks noChangeAspect="1"/>
                          </pic:cNvPicPr>
                        </pic:nvPicPr>
                        <pic:blipFill>
                          <a:blip r:embed="rId53"/>
                          <a:stretch>
                            <a:fillRect/>
                          </a:stretch>
                        </pic:blipFill>
                        <pic:spPr>
                          <a:xfrm>
                            <a:off x="0" y="0"/>
                            <a:ext cx="1591310" cy="990600"/>
                          </a:xfrm>
                          <a:prstGeom prst="rect">
                            <a:avLst/>
                          </a:prstGeom>
                        </pic:spPr>
                      </pic:pic>
                    </a:graphicData>
                  </a:graphic>
                </wp:inline>
              </w:drawing>
            </w:r>
          </w:p>
        </w:tc>
      </w:tr>
      <w:tr>
        <w:tblPrEx>
          <w:tblCellMar>
            <w:top w:w="57" w:type="dxa"/>
            <w:left w:w="57" w:type="dxa"/>
            <w:bottom w:w="57" w:type="dxa"/>
            <w:right w:w="57" w:type="dxa"/>
          </w:tblCellMar>
        </w:tblPrEx>
        <w:trPr>
          <w:cantSplit/>
          <w:trHeight w:val="283" w:hRule="atLeast"/>
          <w:jc w:val="center"/>
        </w:trPr>
        <w:tc>
          <w:tcPr>
            <w:tcW w:w="942" w:type="dxa"/>
            <w:tcBorders>
              <w:top w:val="single" w:color="auto" w:sz="4" w:space="0"/>
            </w:tcBorders>
            <w:shd w:val="clear" w:color="000000" w:fill="C0C0C0"/>
            <w:vAlign w:val="center"/>
          </w:tcPr>
          <w:p>
            <w:pPr>
              <w:jc w:val="both"/>
              <w:rPr>
                <w:rFonts w:ascii="Arial" w:hAnsi="Arial" w:eastAsia="华文细黑" w:cs="Arial"/>
                <w:b/>
                <w:bCs/>
                <w:sz w:val="15"/>
                <w:szCs w:val="15"/>
              </w:rPr>
            </w:pPr>
            <w:r>
              <w:rPr>
                <w:rFonts w:ascii="Arial" w:hAnsi="Arial" w:eastAsia="华文细黑" w:cs="Arial"/>
                <w:b/>
                <w:bCs/>
                <w:sz w:val="15"/>
                <w:szCs w:val="15"/>
              </w:rPr>
              <w:t>与本项目直线距离</w:t>
            </w:r>
          </w:p>
        </w:tc>
        <w:tc>
          <w:tcPr>
            <w:tcW w:w="2776" w:type="dxa"/>
            <w:tcBorders>
              <w:top w:val="single" w:color="auto" w:sz="4" w:space="0"/>
            </w:tcBorders>
            <w:shd w:val="clear" w:color="auto" w:fill="auto"/>
            <w:vAlign w:val="center"/>
          </w:tcPr>
          <w:p>
            <w:pPr>
              <w:jc w:val="both"/>
              <w:rPr>
                <w:rFonts w:ascii="Arial" w:hAnsi="Arial" w:eastAsia="华文细黑" w:cs="Arial"/>
                <w:sz w:val="15"/>
                <w:szCs w:val="15"/>
              </w:rPr>
            </w:pPr>
            <w:r>
              <w:rPr>
                <w:rFonts w:hint="eastAsia" w:ascii="Arial" w:hAnsi="Arial" w:eastAsia="华文细黑" w:cs="Arial"/>
                <w:sz w:val="15"/>
                <w:szCs w:val="15"/>
              </w:rPr>
              <w:t>1.7</w:t>
            </w:r>
            <w:r>
              <w:rPr>
                <w:rFonts w:ascii="Arial" w:hAnsi="Arial" w:eastAsia="华文细黑" w:cs="Arial"/>
                <w:sz w:val="15"/>
                <w:szCs w:val="15"/>
              </w:rPr>
              <w:t>公里</w:t>
            </w:r>
          </w:p>
        </w:tc>
        <w:tc>
          <w:tcPr>
            <w:tcW w:w="2776" w:type="dxa"/>
            <w:tcBorders>
              <w:top w:val="single" w:color="auto" w:sz="4" w:space="0"/>
            </w:tcBorders>
            <w:shd w:val="clear" w:color="auto" w:fill="auto"/>
            <w:vAlign w:val="center"/>
          </w:tcPr>
          <w:p>
            <w:pPr>
              <w:jc w:val="both"/>
              <w:rPr>
                <w:rFonts w:ascii="Arial" w:hAnsi="Arial" w:eastAsia="华文细黑" w:cs="Arial"/>
                <w:sz w:val="15"/>
                <w:szCs w:val="15"/>
              </w:rPr>
            </w:pPr>
            <w:r>
              <w:rPr>
                <w:rFonts w:hint="eastAsia" w:ascii="Arial" w:hAnsi="Arial" w:eastAsia="华文细黑" w:cs="Arial"/>
                <w:sz w:val="15"/>
                <w:szCs w:val="15"/>
              </w:rPr>
              <w:t>4.7</w:t>
            </w:r>
            <w:r>
              <w:rPr>
                <w:rFonts w:ascii="Arial" w:hAnsi="Arial" w:eastAsia="华文细黑" w:cs="Arial"/>
                <w:sz w:val="15"/>
                <w:szCs w:val="15"/>
              </w:rPr>
              <w:t>公里</w:t>
            </w:r>
          </w:p>
        </w:tc>
        <w:tc>
          <w:tcPr>
            <w:tcW w:w="2804" w:type="dxa"/>
            <w:tcBorders>
              <w:top w:val="single" w:color="auto" w:sz="4" w:space="0"/>
            </w:tcBorders>
            <w:shd w:val="clear" w:color="auto" w:fill="auto"/>
            <w:vAlign w:val="center"/>
          </w:tcPr>
          <w:p>
            <w:pPr>
              <w:jc w:val="both"/>
              <w:rPr>
                <w:rFonts w:ascii="Arial" w:hAnsi="Arial" w:eastAsia="华文细黑" w:cs="Arial"/>
                <w:sz w:val="15"/>
                <w:szCs w:val="15"/>
              </w:rPr>
            </w:pPr>
            <w:r>
              <w:rPr>
                <w:rFonts w:hint="eastAsia" w:ascii="Arial" w:hAnsi="Arial" w:eastAsia="华文细黑" w:cs="Arial"/>
                <w:sz w:val="15"/>
                <w:szCs w:val="15"/>
              </w:rPr>
              <w:t>4</w:t>
            </w:r>
            <w:r>
              <w:rPr>
                <w:rFonts w:ascii="Arial" w:hAnsi="Arial" w:eastAsia="华文细黑" w:cs="Arial"/>
                <w:sz w:val="15"/>
                <w:szCs w:val="15"/>
              </w:rPr>
              <w:t>公里</w:t>
            </w:r>
          </w:p>
        </w:tc>
      </w:tr>
      <w:tr>
        <w:tblPrEx>
          <w:tblCellMar>
            <w:top w:w="57" w:type="dxa"/>
            <w:left w:w="57" w:type="dxa"/>
            <w:bottom w:w="57" w:type="dxa"/>
            <w:right w:w="57" w:type="dxa"/>
          </w:tblCellMar>
        </w:tblPrEx>
        <w:trPr>
          <w:cantSplit/>
          <w:trHeight w:val="283" w:hRule="atLeast"/>
          <w:jc w:val="center"/>
        </w:trPr>
        <w:tc>
          <w:tcPr>
            <w:tcW w:w="942" w:type="dxa"/>
            <w:shd w:val="clear" w:color="000000" w:fill="C0C0C0"/>
            <w:vAlign w:val="center"/>
          </w:tcPr>
          <w:p>
            <w:pPr>
              <w:jc w:val="both"/>
              <w:rPr>
                <w:rFonts w:ascii="Arial" w:hAnsi="Arial" w:eastAsia="华文细黑" w:cs="Arial"/>
                <w:b/>
                <w:bCs/>
                <w:sz w:val="15"/>
                <w:szCs w:val="15"/>
              </w:rPr>
            </w:pPr>
            <w:r>
              <w:rPr>
                <w:rFonts w:ascii="Arial" w:hAnsi="Arial" w:eastAsia="华文细黑" w:cs="Arial"/>
                <w:b/>
                <w:bCs/>
                <w:sz w:val="15"/>
                <w:szCs w:val="15"/>
              </w:rPr>
              <w:t>开发商</w:t>
            </w:r>
          </w:p>
        </w:tc>
        <w:tc>
          <w:tcPr>
            <w:tcW w:w="2776" w:type="dxa"/>
            <w:shd w:val="clear" w:color="auto" w:fill="auto"/>
            <w:vAlign w:val="center"/>
          </w:tcPr>
          <w:p>
            <w:pPr>
              <w:jc w:val="both"/>
              <w:rPr>
                <w:rFonts w:ascii="Arial" w:hAnsi="Arial" w:eastAsia="华文细黑" w:cs="Arial"/>
                <w:sz w:val="15"/>
                <w:szCs w:val="15"/>
              </w:rPr>
            </w:pPr>
            <w:r>
              <w:rPr>
                <w:rFonts w:ascii="微软雅黑" w:hAnsi="微软雅黑" w:eastAsia="微软雅黑" w:cs="微软雅黑"/>
                <w:color w:val="303133"/>
                <w:sz w:val="14"/>
                <w:szCs w:val="14"/>
                <w:shd w:val="clear" w:color="auto" w:fill="FFFFFF"/>
              </w:rPr>
              <w:t>永嘉鸿凯文化有限公司</w:t>
            </w:r>
          </w:p>
        </w:tc>
        <w:tc>
          <w:tcPr>
            <w:tcW w:w="2776" w:type="dxa"/>
            <w:shd w:val="clear" w:color="auto" w:fill="auto"/>
            <w:vAlign w:val="center"/>
          </w:tcPr>
          <w:p>
            <w:pPr>
              <w:jc w:val="both"/>
              <w:rPr>
                <w:rFonts w:ascii="Arial" w:hAnsi="Arial" w:eastAsia="华文细黑" w:cs="Arial"/>
                <w:sz w:val="15"/>
                <w:szCs w:val="15"/>
              </w:rPr>
            </w:pPr>
            <w:r>
              <w:rPr>
                <w:rFonts w:hint="eastAsia" w:ascii="Arial" w:hAnsi="Arial" w:eastAsia="华文细黑" w:cs="Arial"/>
                <w:sz w:val="15"/>
                <w:szCs w:val="15"/>
              </w:rPr>
              <w:t>温州德信瓯景置业有限公司</w:t>
            </w:r>
          </w:p>
        </w:tc>
        <w:tc>
          <w:tcPr>
            <w:tcW w:w="2804" w:type="dxa"/>
            <w:shd w:val="clear" w:color="auto" w:fill="auto"/>
            <w:vAlign w:val="center"/>
          </w:tcPr>
          <w:p>
            <w:pPr>
              <w:jc w:val="both"/>
              <w:rPr>
                <w:rFonts w:ascii="Arial" w:hAnsi="Arial" w:eastAsia="华文细黑" w:cs="Arial"/>
                <w:sz w:val="15"/>
                <w:szCs w:val="15"/>
              </w:rPr>
            </w:pPr>
            <w:r>
              <w:rPr>
                <w:rFonts w:hint="eastAsia" w:ascii="Arial" w:hAnsi="Arial" w:eastAsia="华文细黑" w:cs="Arial"/>
                <w:sz w:val="15"/>
                <w:szCs w:val="15"/>
              </w:rPr>
              <w:t>融创中国＆凯迪集团</w:t>
            </w:r>
          </w:p>
        </w:tc>
      </w:tr>
      <w:tr>
        <w:tblPrEx>
          <w:tblCellMar>
            <w:top w:w="57" w:type="dxa"/>
            <w:left w:w="57" w:type="dxa"/>
            <w:bottom w:w="57" w:type="dxa"/>
            <w:right w:w="57" w:type="dxa"/>
          </w:tblCellMar>
        </w:tblPrEx>
        <w:trPr>
          <w:cantSplit/>
          <w:trHeight w:val="283" w:hRule="atLeast"/>
          <w:jc w:val="center"/>
        </w:trPr>
        <w:tc>
          <w:tcPr>
            <w:tcW w:w="942" w:type="dxa"/>
            <w:shd w:val="clear" w:color="000000" w:fill="C0C0C0"/>
            <w:vAlign w:val="center"/>
          </w:tcPr>
          <w:p>
            <w:pPr>
              <w:jc w:val="both"/>
              <w:rPr>
                <w:rFonts w:ascii="Arial" w:hAnsi="Arial" w:eastAsia="华文细黑" w:cs="Arial"/>
                <w:b/>
                <w:bCs/>
                <w:sz w:val="15"/>
                <w:szCs w:val="15"/>
              </w:rPr>
            </w:pPr>
            <w:r>
              <w:rPr>
                <w:rFonts w:ascii="Arial" w:hAnsi="Arial" w:eastAsia="华文细黑" w:cs="Arial"/>
                <w:b/>
                <w:bCs/>
                <w:sz w:val="15"/>
                <w:szCs w:val="15"/>
              </w:rPr>
              <w:t>项目位置</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三江商务区环江大道</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瓯北镇王家圩永发大街以西约20米</w:t>
            </w:r>
          </w:p>
        </w:tc>
        <w:tc>
          <w:tcPr>
            <w:tcW w:w="280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瓯北街道双塔路与王家圩路交汇处</w:t>
            </w:r>
          </w:p>
        </w:tc>
      </w:tr>
      <w:tr>
        <w:tblPrEx>
          <w:tblCellMar>
            <w:top w:w="57" w:type="dxa"/>
            <w:left w:w="57" w:type="dxa"/>
            <w:bottom w:w="57" w:type="dxa"/>
            <w:right w:w="57" w:type="dxa"/>
          </w:tblCellMar>
        </w:tblPrEx>
        <w:trPr>
          <w:cantSplit/>
          <w:trHeight w:val="680" w:hRule="atLeast"/>
          <w:jc w:val="center"/>
        </w:trPr>
        <w:tc>
          <w:tcPr>
            <w:tcW w:w="942" w:type="dxa"/>
            <w:shd w:val="clear" w:color="000000" w:fill="C0C0C0"/>
            <w:vAlign w:val="center"/>
          </w:tcPr>
          <w:p>
            <w:pPr>
              <w:jc w:val="both"/>
              <w:rPr>
                <w:rFonts w:ascii="Arial" w:hAnsi="Arial" w:eastAsia="华文细黑" w:cs="Arial"/>
                <w:b/>
                <w:bCs/>
                <w:sz w:val="15"/>
                <w:szCs w:val="15"/>
              </w:rPr>
            </w:pPr>
            <w:r>
              <w:rPr>
                <w:rFonts w:ascii="Arial" w:hAnsi="Arial" w:eastAsia="华文细黑" w:cs="Arial"/>
                <w:b/>
                <w:bCs/>
                <w:sz w:val="15"/>
                <w:szCs w:val="15"/>
              </w:rPr>
              <w:t>项目规模</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占地面积：469054.26㎡</w:t>
            </w:r>
          </w:p>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建筑面积：607765.26㎡</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占地面积69826㎡</w:t>
            </w:r>
          </w:p>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建筑面积273162㎡</w:t>
            </w:r>
          </w:p>
        </w:tc>
        <w:tc>
          <w:tcPr>
            <w:tcW w:w="280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占地面积：32079 ㎡</w:t>
            </w:r>
          </w:p>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建筑面积：134362 ㎡</w:t>
            </w:r>
          </w:p>
        </w:tc>
      </w:tr>
      <w:tr>
        <w:tblPrEx>
          <w:tblCellMar>
            <w:top w:w="57" w:type="dxa"/>
            <w:left w:w="57" w:type="dxa"/>
            <w:bottom w:w="57" w:type="dxa"/>
            <w:right w:w="57" w:type="dxa"/>
          </w:tblCellMar>
        </w:tblPrEx>
        <w:trPr>
          <w:cantSplit/>
          <w:trHeight w:val="680" w:hRule="atLeast"/>
          <w:jc w:val="center"/>
        </w:trPr>
        <w:tc>
          <w:tcPr>
            <w:tcW w:w="942" w:type="dxa"/>
            <w:shd w:val="clear" w:color="000000" w:fill="C0C0C0"/>
            <w:vAlign w:val="center"/>
          </w:tcPr>
          <w:p>
            <w:pPr>
              <w:jc w:val="both"/>
              <w:rPr>
                <w:rFonts w:ascii="Arial" w:hAnsi="Arial" w:eastAsia="华文细黑" w:cs="Arial"/>
                <w:b/>
                <w:bCs/>
                <w:sz w:val="15"/>
                <w:szCs w:val="15"/>
              </w:rPr>
            </w:pPr>
            <w:r>
              <w:rPr>
                <w:rFonts w:hint="eastAsia" w:ascii="Arial" w:hAnsi="Arial" w:eastAsia="华文细黑" w:cs="Arial"/>
                <w:b/>
                <w:bCs/>
                <w:sz w:val="15"/>
                <w:szCs w:val="15"/>
              </w:rPr>
              <w:t>土地信息</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2</w:t>
            </w:r>
            <w:r>
              <w:rPr>
                <w:rFonts w:ascii="微软雅黑" w:hAnsi="微软雅黑" w:eastAsia="微软雅黑" w:cs="微软雅黑"/>
                <w:color w:val="303133"/>
                <w:sz w:val="14"/>
                <w:szCs w:val="14"/>
                <w:shd w:val="clear" w:color="auto" w:fill="FFFFFF"/>
              </w:rPr>
              <w:t>019</w:t>
            </w:r>
            <w:r>
              <w:rPr>
                <w:rFonts w:hint="eastAsia" w:ascii="微软雅黑" w:hAnsi="微软雅黑" w:eastAsia="微软雅黑" w:cs="微软雅黑"/>
                <w:color w:val="303133"/>
                <w:sz w:val="14"/>
                <w:szCs w:val="14"/>
                <w:shd w:val="clear" w:color="auto" w:fill="FFFFFF"/>
              </w:rPr>
              <w:t>年9月成交</w:t>
            </w:r>
          </w:p>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楼面单价4267</w:t>
            </w:r>
            <w:r>
              <w:rPr>
                <w:rFonts w:ascii="微软雅黑" w:hAnsi="微软雅黑" w:eastAsia="微软雅黑" w:cs="微软雅黑"/>
                <w:color w:val="303133"/>
                <w:sz w:val="14"/>
                <w:szCs w:val="14"/>
                <w:shd w:val="clear" w:color="auto" w:fill="FFFFFF"/>
              </w:rPr>
              <w:t>元/㎡</w:t>
            </w:r>
            <w:r>
              <w:rPr>
                <w:rFonts w:hint="eastAsia" w:ascii="微软雅黑" w:hAnsi="微软雅黑" w:eastAsia="微软雅黑" w:cs="微软雅黑"/>
                <w:color w:val="303133"/>
                <w:sz w:val="14"/>
                <w:szCs w:val="14"/>
                <w:shd w:val="clear" w:color="auto" w:fill="FFFFFF"/>
              </w:rPr>
              <w:t>、4871</w:t>
            </w:r>
            <w:r>
              <w:rPr>
                <w:rFonts w:ascii="微软雅黑" w:hAnsi="微软雅黑" w:eastAsia="微软雅黑" w:cs="微软雅黑"/>
                <w:color w:val="303133"/>
                <w:sz w:val="14"/>
                <w:szCs w:val="14"/>
                <w:shd w:val="clear" w:color="auto" w:fill="FFFFFF"/>
              </w:rPr>
              <w:t>元/㎡</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2020-02-12成交</w:t>
            </w:r>
          </w:p>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楼面单价12063</w:t>
            </w:r>
            <w:r>
              <w:rPr>
                <w:rFonts w:ascii="微软雅黑" w:hAnsi="微软雅黑" w:eastAsia="微软雅黑" w:cs="微软雅黑"/>
                <w:color w:val="303133"/>
                <w:sz w:val="14"/>
                <w:szCs w:val="14"/>
                <w:shd w:val="clear" w:color="auto" w:fill="FFFFFF"/>
              </w:rPr>
              <w:t>元/㎡</w:t>
            </w:r>
          </w:p>
        </w:tc>
        <w:tc>
          <w:tcPr>
            <w:tcW w:w="280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2</w:t>
            </w:r>
            <w:r>
              <w:rPr>
                <w:rFonts w:ascii="微软雅黑" w:hAnsi="微软雅黑" w:eastAsia="微软雅黑" w:cs="微软雅黑"/>
                <w:color w:val="303133"/>
                <w:sz w:val="14"/>
                <w:szCs w:val="14"/>
                <w:shd w:val="clear" w:color="auto" w:fill="FFFFFF"/>
              </w:rPr>
              <w:t>0</w:t>
            </w:r>
            <w:r>
              <w:rPr>
                <w:rFonts w:hint="eastAsia" w:ascii="微软雅黑" w:hAnsi="微软雅黑" w:eastAsia="微软雅黑" w:cs="微软雅黑"/>
                <w:color w:val="303133"/>
                <w:sz w:val="14"/>
                <w:szCs w:val="14"/>
                <w:shd w:val="clear" w:color="auto" w:fill="FFFFFF"/>
              </w:rPr>
              <w:t>21年3月成交</w:t>
            </w:r>
          </w:p>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楼面单价8375</w:t>
            </w:r>
            <w:r>
              <w:rPr>
                <w:rFonts w:ascii="微软雅黑" w:hAnsi="微软雅黑" w:eastAsia="微软雅黑" w:cs="微软雅黑"/>
                <w:color w:val="303133"/>
                <w:sz w:val="14"/>
                <w:szCs w:val="14"/>
                <w:shd w:val="clear" w:color="auto" w:fill="FFFFFF"/>
              </w:rPr>
              <w:t>元/㎡</w:t>
            </w:r>
          </w:p>
        </w:tc>
      </w:tr>
      <w:tr>
        <w:tblPrEx>
          <w:tblCellMar>
            <w:top w:w="57" w:type="dxa"/>
            <w:left w:w="57" w:type="dxa"/>
            <w:bottom w:w="57" w:type="dxa"/>
            <w:right w:w="57" w:type="dxa"/>
          </w:tblCellMar>
        </w:tblPrEx>
        <w:trPr>
          <w:cantSplit/>
          <w:trHeight w:val="283" w:hRule="atLeast"/>
          <w:jc w:val="center"/>
        </w:trPr>
        <w:tc>
          <w:tcPr>
            <w:tcW w:w="942" w:type="dxa"/>
            <w:shd w:val="clear" w:color="000000" w:fill="C0C0C0"/>
            <w:vAlign w:val="center"/>
          </w:tcPr>
          <w:p>
            <w:pPr>
              <w:jc w:val="both"/>
              <w:rPr>
                <w:rFonts w:ascii="Arial" w:hAnsi="Arial" w:eastAsia="华文细黑" w:cs="Arial"/>
                <w:b/>
                <w:bCs/>
                <w:sz w:val="15"/>
                <w:szCs w:val="15"/>
              </w:rPr>
            </w:pPr>
            <w:r>
              <w:rPr>
                <w:rFonts w:ascii="Arial" w:hAnsi="Arial" w:eastAsia="华文细黑" w:cs="Arial"/>
                <w:b/>
                <w:bCs/>
                <w:sz w:val="15"/>
                <w:szCs w:val="15"/>
              </w:rPr>
              <w:t>容积率</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4.78</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 xml:space="preserve">3.00 </w:t>
            </w:r>
          </w:p>
        </w:tc>
        <w:tc>
          <w:tcPr>
            <w:tcW w:w="280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3.00</w:t>
            </w:r>
          </w:p>
        </w:tc>
      </w:tr>
      <w:tr>
        <w:tblPrEx>
          <w:tblCellMar>
            <w:top w:w="57" w:type="dxa"/>
            <w:left w:w="57" w:type="dxa"/>
            <w:bottom w:w="57" w:type="dxa"/>
            <w:right w:w="57" w:type="dxa"/>
          </w:tblCellMar>
        </w:tblPrEx>
        <w:trPr>
          <w:cantSplit/>
          <w:trHeight w:val="283" w:hRule="atLeast"/>
          <w:jc w:val="center"/>
        </w:trPr>
        <w:tc>
          <w:tcPr>
            <w:tcW w:w="942" w:type="dxa"/>
            <w:shd w:val="clear" w:color="000000" w:fill="C0C0C0"/>
            <w:vAlign w:val="center"/>
          </w:tcPr>
          <w:p>
            <w:pPr>
              <w:jc w:val="both"/>
              <w:rPr>
                <w:rFonts w:ascii="Arial" w:hAnsi="Arial" w:eastAsia="华文细黑" w:cs="Arial"/>
                <w:b/>
                <w:bCs/>
                <w:sz w:val="15"/>
                <w:szCs w:val="15"/>
              </w:rPr>
            </w:pPr>
            <w:r>
              <w:rPr>
                <w:rFonts w:ascii="Arial" w:hAnsi="Arial" w:eastAsia="华文细黑" w:cs="Arial"/>
                <w:b/>
                <w:bCs/>
                <w:sz w:val="15"/>
                <w:szCs w:val="15"/>
              </w:rPr>
              <w:t>楼栋总数</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ascii="微软雅黑" w:hAnsi="微软雅黑" w:eastAsia="微软雅黑" w:cs="微软雅黑"/>
                <w:color w:val="303133"/>
                <w:sz w:val="14"/>
                <w:szCs w:val="14"/>
                <w:shd w:val="clear" w:color="auto" w:fill="FFFFFF"/>
              </w:rPr>
              <w:t>1</w:t>
            </w:r>
            <w:r>
              <w:rPr>
                <w:rFonts w:hint="eastAsia" w:ascii="微软雅黑" w:hAnsi="微软雅黑" w:eastAsia="微软雅黑" w:cs="微软雅黑"/>
                <w:color w:val="303133"/>
                <w:sz w:val="14"/>
                <w:szCs w:val="14"/>
                <w:shd w:val="clear" w:color="auto" w:fill="FFFFFF"/>
              </w:rPr>
              <w:t>3</w:t>
            </w:r>
            <w:r>
              <w:rPr>
                <w:rFonts w:ascii="微软雅黑" w:hAnsi="微软雅黑" w:eastAsia="微软雅黑" w:cs="微软雅黑"/>
                <w:color w:val="303133"/>
                <w:sz w:val="14"/>
                <w:szCs w:val="14"/>
                <w:shd w:val="clear" w:color="auto" w:fill="FFFFFF"/>
              </w:rPr>
              <w:t>栋</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2</w:t>
            </w:r>
            <w:r>
              <w:rPr>
                <w:rFonts w:ascii="微软雅黑" w:hAnsi="微软雅黑" w:eastAsia="微软雅黑" w:cs="微软雅黑"/>
                <w:color w:val="303133"/>
                <w:sz w:val="14"/>
                <w:szCs w:val="14"/>
                <w:shd w:val="clear" w:color="auto" w:fill="FFFFFF"/>
              </w:rPr>
              <w:t>4栋</w:t>
            </w:r>
          </w:p>
        </w:tc>
        <w:tc>
          <w:tcPr>
            <w:tcW w:w="280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ascii="微软雅黑" w:hAnsi="微软雅黑" w:eastAsia="微软雅黑" w:cs="微软雅黑"/>
                <w:color w:val="303133"/>
                <w:sz w:val="14"/>
                <w:szCs w:val="14"/>
                <w:shd w:val="clear" w:color="auto" w:fill="FFFFFF"/>
              </w:rPr>
              <w:t>12栋</w:t>
            </w:r>
          </w:p>
        </w:tc>
      </w:tr>
      <w:tr>
        <w:tblPrEx>
          <w:tblCellMar>
            <w:top w:w="57" w:type="dxa"/>
            <w:left w:w="57" w:type="dxa"/>
            <w:bottom w:w="57" w:type="dxa"/>
            <w:right w:w="57" w:type="dxa"/>
          </w:tblCellMar>
        </w:tblPrEx>
        <w:trPr>
          <w:cantSplit/>
          <w:trHeight w:val="283" w:hRule="atLeast"/>
          <w:jc w:val="center"/>
        </w:trPr>
        <w:tc>
          <w:tcPr>
            <w:tcW w:w="942" w:type="dxa"/>
            <w:shd w:val="clear" w:color="000000" w:fill="C0C0C0"/>
            <w:vAlign w:val="center"/>
          </w:tcPr>
          <w:p>
            <w:pPr>
              <w:jc w:val="both"/>
              <w:rPr>
                <w:rFonts w:ascii="Arial" w:hAnsi="Arial" w:eastAsia="华文细黑" w:cs="Arial"/>
                <w:b/>
                <w:bCs/>
                <w:sz w:val="15"/>
                <w:szCs w:val="15"/>
                <w:highlight w:val="yellow"/>
              </w:rPr>
            </w:pPr>
            <w:r>
              <w:rPr>
                <w:rFonts w:hint="eastAsia" w:ascii="Arial" w:hAnsi="Arial" w:eastAsia="华文细黑" w:cs="Arial"/>
                <w:b/>
                <w:bCs/>
                <w:sz w:val="15"/>
                <w:szCs w:val="15"/>
              </w:rPr>
              <w:t>建筑类型</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超高层</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高层、小高层、叠拼</w:t>
            </w:r>
          </w:p>
        </w:tc>
        <w:tc>
          <w:tcPr>
            <w:tcW w:w="280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高层</w:t>
            </w:r>
          </w:p>
        </w:tc>
      </w:tr>
      <w:tr>
        <w:tblPrEx>
          <w:tblCellMar>
            <w:top w:w="57" w:type="dxa"/>
            <w:left w:w="57" w:type="dxa"/>
            <w:bottom w:w="57" w:type="dxa"/>
            <w:right w:w="57" w:type="dxa"/>
          </w:tblCellMar>
        </w:tblPrEx>
        <w:trPr>
          <w:cantSplit/>
          <w:trHeight w:val="283" w:hRule="atLeast"/>
          <w:jc w:val="center"/>
        </w:trPr>
        <w:tc>
          <w:tcPr>
            <w:tcW w:w="942" w:type="dxa"/>
            <w:shd w:val="clear" w:color="000000" w:fill="C0C0C0"/>
            <w:vAlign w:val="center"/>
          </w:tcPr>
          <w:p>
            <w:pPr>
              <w:jc w:val="both"/>
              <w:rPr>
                <w:rFonts w:ascii="Arial" w:hAnsi="Arial" w:eastAsia="华文细黑" w:cs="Arial"/>
                <w:b/>
                <w:bCs/>
                <w:sz w:val="15"/>
                <w:szCs w:val="15"/>
              </w:rPr>
            </w:pPr>
            <w:r>
              <w:rPr>
                <w:rFonts w:hint="eastAsia" w:ascii="Arial" w:hAnsi="Arial" w:eastAsia="华文细黑" w:cs="Arial"/>
                <w:b/>
                <w:bCs/>
                <w:sz w:val="15"/>
                <w:szCs w:val="15"/>
              </w:rPr>
              <w:t>首期开盘时间</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2021年1月</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2020年9月18日</w:t>
            </w:r>
          </w:p>
        </w:tc>
        <w:tc>
          <w:tcPr>
            <w:tcW w:w="280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2022年1月8日</w:t>
            </w:r>
          </w:p>
        </w:tc>
      </w:tr>
      <w:tr>
        <w:tblPrEx>
          <w:tblCellMar>
            <w:top w:w="57" w:type="dxa"/>
            <w:left w:w="57" w:type="dxa"/>
            <w:bottom w:w="57" w:type="dxa"/>
            <w:right w:w="57" w:type="dxa"/>
          </w:tblCellMar>
        </w:tblPrEx>
        <w:trPr>
          <w:cantSplit/>
          <w:trHeight w:val="283" w:hRule="atLeast"/>
          <w:jc w:val="center"/>
        </w:trPr>
        <w:tc>
          <w:tcPr>
            <w:tcW w:w="942" w:type="dxa"/>
            <w:shd w:val="clear" w:color="000000" w:fill="C0C0C0"/>
            <w:vAlign w:val="center"/>
          </w:tcPr>
          <w:p>
            <w:pPr>
              <w:jc w:val="both"/>
              <w:rPr>
                <w:rFonts w:ascii="Arial" w:hAnsi="Arial" w:eastAsia="华文细黑" w:cs="Arial"/>
                <w:b/>
                <w:bCs/>
                <w:sz w:val="15"/>
                <w:szCs w:val="15"/>
              </w:rPr>
            </w:pPr>
            <w:r>
              <w:rPr>
                <w:rFonts w:ascii="Arial" w:hAnsi="Arial" w:eastAsia="华文细黑" w:cs="Arial"/>
                <w:b/>
                <w:bCs/>
                <w:sz w:val="15"/>
                <w:szCs w:val="15"/>
              </w:rPr>
              <w:t>主力产品</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四居(建面158㎡) 、四居(建面167㎡)、四居(建面169㎡)</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四居(建面109㎡)、 四居(建面130㎡)、 四居(建面130㎡)</w:t>
            </w:r>
          </w:p>
        </w:tc>
        <w:tc>
          <w:tcPr>
            <w:tcW w:w="280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三居(建面102㎡) 、四居(建面129㎡</w:t>
            </w:r>
          </w:p>
        </w:tc>
      </w:tr>
      <w:tr>
        <w:tblPrEx>
          <w:tblCellMar>
            <w:top w:w="57" w:type="dxa"/>
            <w:left w:w="57" w:type="dxa"/>
            <w:bottom w:w="57" w:type="dxa"/>
            <w:right w:w="57" w:type="dxa"/>
          </w:tblCellMar>
        </w:tblPrEx>
        <w:trPr>
          <w:cantSplit/>
          <w:trHeight w:val="283" w:hRule="atLeast"/>
          <w:jc w:val="center"/>
        </w:trPr>
        <w:tc>
          <w:tcPr>
            <w:tcW w:w="942" w:type="dxa"/>
            <w:shd w:val="clear" w:color="000000" w:fill="C0C0C0"/>
          </w:tcPr>
          <w:p>
            <w:pPr>
              <w:jc w:val="both"/>
              <w:rPr>
                <w:rFonts w:ascii="Arial" w:hAnsi="Arial" w:eastAsia="华文细黑" w:cs="Arial"/>
                <w:b/>
                <w:bCs/>
                <w:sz w:val="15"/>
                <w:szCs w:val="15"/>
              </w:rPr>
            </w:pPr>
            <w:r>
              <w:rPr>
                <w:rFonts w:hint="eastAsia" w:ascii="Arial" w:hAnsi="Arial" w:eastAsia="华文细黑" w:cs="Arial"/>
                <w:b/>
                <w:bCs/>
                <w:sz w:val="15"/>
                <w:szCs w:val="15"/>
              </w:rPr>
              <w:t>停车位</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约1500个</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地下1753个，地面约136个</w:t>
            </w:r>
          </w:p>
        </w:tc>
        <w:tc>
          <w:tcPr>
            <w:tcW w:w="280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1024个</w:t>
            </w:r>
          </w:p>
        </w:tc>
      </w:tr>
      <w:tr>
        <w:tblPrEx>
          <w:tblCellMar>
            <w:top w:w="57" w:type="dxa"/>
            <w:left w:w="57" w:type="dxa"/>
            <w:bottom w:w="57" w:type="dxa"/>
            <w:right w:w="57" w:type="dxa"/>
          </w:tblCellMar>
        </w:tblPrEx>
        <w:trPr>
          <w:cantSplit/>
          <w:trHeight w:val="283" w:hRule="atLeast"/>
          <w:jc w:val="center"/>
        </w:trPr>
        <w:tc>
          <w:tcPr>
            <w:tcW w:w="942" w:type="dxa"/>
            <w:shd w:val="clear" w:color="000000" w:fill="C0C0C0"/>
            <w:vAlign w:val="center"/>
          </w:tcPr>
          <w:p>
            <w:pPr>
              <w:jc w:val="both"/>
              <w:rPr>
                <w:rFonts w:ascii="Arial" w:hAnsi="Arial" w:eastAsia="华文细黑" w:cs="Arial"/>
                <w:b/>
                <w:bCs/>
                <w:sz w:val="15"/>
                <w:szCs w:val="15"/>
              </w:rPr>
            </w:pPr>
            <w:r>
              <w:rPr>
                <w:rFonts w:ascii="Arial" w:hAnsi="Arial" w:eastAsia="华文细黑" w:cs="Arial"/>
                <w:b/>
                <w:bCs/>
                <w:sz w:val="15"/>
                <w:szCs w:val="15"/>
              </w:rPr>
              <w:t>总户数</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1472户</w:t>
            </w:r>
          </w:p>
        </w:tc>
        <w:tc>
          <w:tcPr>
            <w:tcW w:w="280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838户</w:t>
            </w:r>
          </w:p>
        </w:tc>
      </w:tr>
      <w:tr>
        <w:tblPrEx>
          <w:tblCellMar>
            <w:top w:w="57" w:type="dxa"/>
            <w:left w:w="57" w:type="dxa"/>
            <w:bottom w:w="57" w:type="dxa"/>
            <w:right w:w="57" w:type="dxa"/>
          </w:tblCellMar>
        </w:tblPrEx>
        <w:trPr>
          <w:cantSplit/>
          <w:trHeight w:val="283" w:hRule="atLeast"/>
          <w:jc w:val="center"/>
        </w:trPr>
        <w:tc>
          <w:tcPr>
            <w:tcW w:w="942" w:type="dxa"/>
            <w:shd w:val="clear" w:color="000000" w:fill="C0C0C0"/>
            <w:vAlign w:val="center"/>
          </w:tcPr>
          <w:p>
            <w:pPr>
              <w:jc w:val="both"/>
              <w:rPr>
                <w:rFonts w:ascii="Arial" w:hAnsi="Arial" w:eastAsia="华文细黑" w:cs="Arial"/>
                <w:b/>
                <w:bCs/>
                <w:sz w:val="15"/>
                <w:szCs w:val="15"/>
              </w:rPr>
            </w:pPr>
            <w:r>
              <w:rPr>
                <w:rFonts w:hint="eastAsia" w:ascii="Arial" w:hAnsi="Arial" w:eastAsia="华文细黑" w:cs="Arial"/>
                <w:b/>
                <w:bCs/>
                <w:sz w:val="15"/>
                <w:szCs w:val="15"/>
              </w:rPr>
              <w:t>物业公司</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浙江国鸿物业服务有限公司</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盛全物业服务股份有限公司</w:t>
            </w:r>
          </w:p>
        </w:tc>
        <w:tc>
          <w:tcPr>
            <w:tcW w:w="280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融创物业服务集团有限公司</w:t>
            </w:r>
          </w:p>
        </w:tc>
      </w:tr>
      <w:tr>
        <w:tblPrEx>
          <w:tblCellMar>
            <w:top w:w="57" w:type="dxa"/>
            <w:left w:w="57" w:type="dxa"/>
            <w:bottom w:w="57" w:type="dxa"/>
            <w:right w:w="57" w:type="dxa"/>
          </w:tblCellMar>
        </w:tblPrEx>
        <w:trPr>
          <w:cantSplit/>
          <w:trHeight w:val="283" w:hRule="atLeast"/>
          <w:jc w:val="center"/>
        </w:trPr>
        <w:tc>
          <w:tcPr>
            <w:tcW w:w="942" w:type="dxa"/>
            <w:shd w:val="clear" w:color="000000" w:fill="C0C0C0"/>
            <w:vAlign w:val="center"/>
          </w:tcPr>
          <w:p>
            <w:pPr>
              <w:jc w:val="both"/>
              <w:rPr>
                <w:rFonts w:ascii="Arial" w:hAnsi="Arial" w:eastAsia="华文细黑" w:cs="Arial"/>
                <w:b/>
                <w:bCs/>
                <w:sz w:val="15"/>
                <w:szCs w:val="15"/>
              </w:rPr>
            </w:pPr>
            <w:r>
              <w:rPr>
                <w:rFonts w:hint="eastAsia" w:ascii="Arial" w:hAnsi="Arial" w:eastAsia="华文细黑" w:cs="Arial"/>
                <w:b/>
                <w:bCs/>
                <w:sz w:val="15"/>
                <w:szCs w:val="15"/>
              </w:rPr>
              <w:t>物业费</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2.80元/m²/月</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2.50元/m²/月、叠墅3.5元/m²/月</w:t>
            </w:r>
          </w:p>
        </w:tc>
        <w:tc>
          <w:tcPr>
            <w:tcW w:w="280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2.50元/m²/月</w:t>
            </w:r>
          </w:p>
        </w:tc>
      </w:tr>
      <w:tr>
        <w:tblPrEx>
          <w:tblCellMar>
            <w:top w:w="57" w:type="dxa"/>
            <w:left w:w="57" w:type="dxa"/>
            <w:bottom w:w="57" w:type="dxa"/>
            <w:right w:w="57" w:type="dxa"/>
          </w:tblCellMar>
        </w:tblPrEx>
        <w:trPr>
          <w:cantSplit/>
          <w:trHeight w:val="283" w:hRule="atLeast"/>
          <w:jc w:val="center"/>
        </w:trPr>
        <w:tc>
          <w:tcPr>
            <w:tcW w:w="942" w:type="dxa"/>
            <w:shd w:val="clear" w:color="000000" w:fill="C0C0C0"/>
            <w:vAlign w:val="center"/>
          </w:tcPr>
          <w:p>
            <w:pPr>
              <w:jc w:val="both"/>
              <w:rPr>
                <w:rFonts w:ascii="Arial" w:hAnsi="Arial" w:eastAsia="华文细黑" w:cs="Arial"/>
                <w:b/>
                <w:bCs/>
                <w:sz w:val="15"/>
                <w:szCs w:val="15"/>
              </w:rPr>
            </w:pPr>
            <w:r>
              <w:rPr>
                <w:rFonts w:ascii="Arial" w:hAnsi="Arial" w:eastAsia="华文细黑" w:cs="Arial"/>
                <w:b/>
                <w:bCs/>
                <w:sz w:val="15"/>
                <w:szCs w:val="15"/>
              </w:rPr>
              <w:t>交房时间</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2024年4月</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2023年6月</w:t>
            </w:r>
          </w:p>
        </w:tc>
        <w:tc>
          <w:tcPr>
            <w:tcW w:w="280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2024年7月</w:t>
            </w:r>
          </w:p>
        </w:tc>
      </w:tr>
      <w:tr>
        <w:tblPrEx>
          <w:tblCellMar>
            <w:top w:w="57" w:type="dxa"/>
            <w:left w:w="57" w:type="dxa"/>
            <w:bottom w:w="57" w:type="dxa"/>
            <w:right w:w="57" w:type="dxa"/>
          </w:tblCellMar>
        </w:tblPrEx>
        <w:trPr>
          <w:cantSplit/>
          <w:trHeight w:val="23" w:hRule="atLeast"/>
          <w:jc w:val="center"/>
        </w:trPr>
        <w:tc>
          <w:tcPr>
            <w:tcW w:w="942" w:type="dxa"/>
            <w:shd w:val="clear" w:color="000000" w:fill="C0C0C0"/>
            <w:vAlign w:val="center"/>
          </w:tcPr>
          <w:p>
            <w:pPr>
              <w:jc w:val="both"/>
              <w:rPr>
                <w:rFonts w:ascii="Arial" w:hAnsi="Arial" w:eastAsia="华文细黑" w:cs="Arial"/>
                <w:b/>
                <w:bCs/>
                <w:sz w:val="15"/>
                <w:szCs w:val="15"/>
              </w:rPr>
            </w:pPr>
            <w:r>
              <w:rPr>
                <w:rFonts w:ascii="Arial" w:hAnsi="Arial" w:eastAsia="华文细黑" w:cs="Arial"/>
                <w:b/>
                <w:bCs/>
                <w:sz w:val="15"/>
                <w:szCs w:val="15"/>
              </w:rPr>
              <w:t>装修情况</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毛坯</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毛坯</w:t>
            </w:r>
          </w:p>
        </w:tc>
        <w:tc>
          <w:tcPr>
            <w:tcW w:w="280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毛坯</w:t>
            </w:r>
          </w:p>
        </w:tc>
      </w:tr>
      <w:tr>
        <w:tblPrEx>
          <w:tblCellMar>
            <w:top w:w="57" w:type="dxa"/>
            <w:left w:w="57" w:type="dxa"/>
            <w:bottom w:w="57" w:type="dxa"/>
            <w:right w:w="57" w:type="dxa"/>
          </w:tblCellMar>
        </w:tblPrEx>
        <w:trPr>
          <w:cantSplit/>
          <w:trHeight w:val="283" w:hRule="atLeast"/>
          <w:jc w:val="center"/>
        </w:trPr>
        <w:tc>
          <w:tcPr>
            <w:tcW w:w="942" w:type="dxa"/>
            <w:shd w:val="clear" w:color="000000" w:fill="C0C0C0"/>
            <w:vAlign w:val="center"/>
          </w:tcPr>
          <w:p>
            <w:pPr>
              <w:jc w:val="both"/>
              <w:rPr>
                <w:rFonts w:ascii="Arial" w:hAnsi="Arial" w:eastAsia="华文细黑" w:cs="Arial"/>
                <w:b/>
                <w:bCs/>
                <w:sz w:val="15"/>
                <w:szCs w:val="15"/>
              </w:rPr>
            </w:pPr>
            <w:r>
              <w:rPr>
                <w:rFonts w:ascii="Arial" w:hAnsi="Arial" w:eastAsia="华文细黑" w:cs="Arial"/>
                <w:b/>
                <w:bCs/>
                <w:sz w:val="15"/>
                <w:szCs w:val="15"/>
              </w:rPr>
              <w:t>销售状态</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在售</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ascii="微软雅黑" w:hAnsi="微软雅黑" w:eastAsia="微软雅黑" w:cs="微软雅黑"/>
                <w:color w:val="303133"/>
                <w:sz w:val="14"/>
                <w:szCs w:val="14"/>
                <w:shd w:val="clear" w:color="auto" w:fill="FFFFFF"/>
              </w:rPr>
              <w:t>在售</w:t>
            </w:r>
          </w:p>
        </w:tc>
        <w:tc>
          <w:tcPr>
            <w:tcW w:w="280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ascii="微软雅黑" w:hAnsi="微软雅黑" w:eastAsia="微软雅黑" w:cs="微软雅黑"/>
                <w:color w:val="303133"/>
                <w:sz w:val="14"/>
                <w:szCs w:val="14"/>
                <w:shd w:val="clear" w:color="auto" w:fill="FFFFFF"/>
              </w:rPr>
              <w:t>在售</w:t>
            </w:r>
          </w:p>
        </w:tc>
      </w:tr>
      <w:tr>
        <w:tblPrEx>
          <w:tblCellMar>
            <w:top w:w="57" w:type="dxa"/>
            <w:left w:w="57" w:type="dxa"/>
            <w:bottom w:w="57" w:type="dxa"/>
            <w:right w:w="57" w:type="dxa"/>
          </w:tblCellMar>
        </w:tblPrEx>
        <w:trPr>
          <w:cantSplit/>
          <w:trHeight w:val="283" w:hRule="atLeast"/>
          <w:jc w:val="center"/>
        </w:trPr>
        <w:tc>
          <w:tcPr>
            <w:tcW w:w="942" w:type="dxa"/>
            <w:shd w:val="clear" w:color="000000" w:fill="C0C0C0"/>
            <w:vAlign w:val="center"/>
          </w:tcPr>
          <w:p>
            <w:pPr>
              <w:jc w:val="both"/>
              <w:rPr>
                <w:rFonts w:ascii="Arial" w:hAnsi="Arial" w:eastAsia="华文细黑" w:cs="Arial"/>
                <w:b/>
                <w:bCs/>
                <w:sz w:val="15"/>
                <w:szCs w:val="15"/>
              </w:rPr>
            </w:pPr>
            <w:r>
              <w:rPr>
                <w:rFonts w:ascii="Arial" w:hAnsi="Arial" w:eastAsia="华文细黑" w:cs="Arial"/>
                <w:b/>
                <w:bCs/>
                <w:sz w:val="15"/>
                <w:szCs w:val="15"/>
              </w:rPr>
              <w:t>销售情况</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住宅27000元/㎡，商业24000元/㎡，办公12000元/㎡</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26300元/㎡</w:t>
            </w:r>
          </w:p>
        </w:tc>
        <w:tc>
          <w:tcPr>
            <w:tcW w:w="280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23700元/㎡</w:t>
            </w:r>
          </w:p>
        </w:tc>
      </w:tr>
      <w:tr>
        <w:tblPrEx>
          <w:tblCellMar>
            <w:top w:w="57" w:type="dxa"/>
            <w:left w:w="57" w:type="dxa"/>
            <w:bottom w:w="57" w:type="dxa"/>
            <w:right w:w="57" w:type="dxa"/>
          </w:tblCellMar>
        </w:tblPrEx>
        <w:trPr>
          <w:cantSplit/>
          <w:trHeight w:val="283" w:hRule="atLeast"/>
          <w:jc w:val="center"/>
        </w:trPr>
        <w:tc>
          <w:tcPr>
            <w:tcW w:w="942" w:type="dxa"/>
            <w:shd w:val="clear" w:color="000000" w:fill="C0C0C0"/>
            <w:vAlign w:val="center"/>
          </w:tcPr>
          <w:p>
            <w:pPr>
              <w:jc w:val="both"/>
              <w:rPr>
                <w:rFonts w:ascii="Arial" w:hAnsi="Arial" w:eastAsia="华文细黑" w:cs="Arial"/>
                <w:b/>
                <w:bCs/>
                <w:sz w:val="15"/>
                <w:szCs w:val="15"/>
                <w:highlight w:val="yellow"/>
              </w:rPr>
            </w:pPr>
            <w:r>
              <w:rPr>
                <w:rFonts w:ascii="Arial" w:hAnsi="Arial" w:eastAsia="华文细黑" w:cs="Arial"/>
                <w:b/>
                <w:bCs/>
                <w:sz w:val="15"/>
                <w:szCs w:val="15"/>
              </w:rPr>
              <w:t>去化情况</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2021年1月开盘，共推出2459套，已售1565套，去化率约65%</w:t>
            </w:r>
          </w:p>
        </w:tc>
        <w:tc>
          <w:tcPr>
            <w:tcW w:w="2776"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2020年9月开盘，共推出1504套，已售972套，去化率65%</w:t>
            </w:r>
          </w:p>
        </w:tc>
        <w:tc>
          <w:tcPr>
            <w:tcW w:w="280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2022年1月开盘，共推出365套，成交46套，去化率13%</w:t>
            </w:r>
          </w:p>
        </w:tc>
      </w:tr>
      <w:tr>
        <w:tblPrEx>
          <w:tblCellMar>
            <w:top w:w="57" w:type="dxa"/>
            <w:left w:w="57" w:type="dxa"/>
            <w:bottom w:w="57" w:type="dxa"/>
            <w:right w:w="57" w:type="dxa"/>
          </w:tblCellMar>
        </w:tblPrEx>
        <w:trPr>
          <w:cantSplit/>
          <w:trHeight w:val="283" w:hRule="atLeast"/>
          <w:jc w:val="center"/>
        </w:trPr>
        <w:tc>
          <w:tcPr>
            <w:tcW w:w="942" w:type="dxa"/>
            <w:tcBorders>
              <w:bottom w:val="single" w:color="auto" w:sz="12" w:space="0"/>
            </w:tcBorders>
            <w:shd w:val="clear" w:color="000000" w:fill="C0C0C0"/>
            <w:vAlign w:val="center"/>
          </w:tcPr>
          <w:p>
            <w:pPr>
              <w:jc w:val="both"/>
              <w:rPr>
                <w:rFonts w:ascii="Arial" w:hAnsi="Arial" w:eastAsia="华文细黑" w:cs="Arial"/>
                <w:b/>
                <w:bCs/>
                <w:sz w:val="15"/>
                <w:szCs w:val="15"/>
              </w:rPr>
            </w:pPr>
            <w:r>
              <w:rPr>
                <w:rFonts w:hint="eastAsia" w:ascii="Arial" w:hAnsi="Arial" w:eastAsia="华文细黑" w:cs="Arial"/>
                <w:b/>
                <w:bCs/>
                <w:sz w:val="15"/>
                <w:szCs w:val="15"/>
              </w:rPr>
              <w:t>车位售价</w:t>
            </w:r>
          </w:p>
        </w:tc>
        <w:tc>
          <w:tcPr>
            <w:tcW w:w="2776" w:type="dxa"/>
            <w:tcBorders>
              <w:bottom w:val="single" w:color="auto" w:sz="12" w:space="0"/>
            </w:tcBorders>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无产权，原价20万左右，折后17-18万</w:t>
            </w:r>
          </w:p>
        </w:tc>
        <w:tc>
          <w:tcPr>
            <w:tcW w:w="2776" w:type="dxa"/>
            <w:tcBorders>
              <w:bottom w:val="single" w:color="auto" w:sz="12" w:space="0"/>
            </w:tcBorders>
            <w:shd w:val="clear" w:color="auto" w:fill="auto"/>
            <w:vAlign w:val="center"/>
          </w:tcPr>
          <w:p>
            <w:pPr>
              <w:jc w:val="both"/>
              <w:rPr>
                <w:rFonts w:ascii="微软雅黑" w:hAnsi="微软雅黑" w:eastAsia="微软雅黑" w:cs="微软雅黑"/>
                <w:color w:val="303133"/>
                <w:sz w:val="14"/>
                <w:szCs w:val="14"/>
                <w:shd w:val="clear" w:color="auto" w:fill="FFFFFF"/>
              </w:rPr>
            </w:pPr>
            <w:r>
              <w:rPr>
                <w:rFonts w:ascii="微软雅黑" w:hAnsi="微软雅黑" w:eastAsia="微软雅黑" w:cs="微软雅黑"/>
                <w:color w:val="303133"/>
                <w:sz w:val="14"/>
                <w:szCs w:val="14"/>
                <w:shd w:val="clear" w:color="auto" w:fill="FFFFFF"/>
              </w:rPr>
              <w:t>——</w:t>
            </w:r>
          </w:p>
        </w:tc>
        <w:tc>
          <w:tcPr>
            <w:tcW w:w="2804" w:type="dxa"/>
            <w:tcBorders>
              <w:bottom w:val="single" w:color="auto" w:sz="12" w:space="0"/>
            </w:tcBorders>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5万</w:t>
            </w:r>
          </w:p>
        </w:tc>
      </w:tr>
    </w:tbl>
    <w:p>
      <w:pPr>
        <w:jc w:val="center"/>
        <w:rPr>
          <w:rFonts w:ascii="Arial" w:hAnsi="Arial" w:cs="Arial"/>
          <w:color w:val="000000"/>
          <w:sz w:val="21"/>
          <w:szCs w:val="21"/>
        </w:rPr>
      </w:pPr>
    </w:p>
    <w:p>
      <w:pPr>
        <w:spacing w:line="360" w:lineRule="auto"/>
        <w:rPr>
          <w:rFonts w:ascii="Arial" w:hAnsi="Arial" w:eastAsia="华文细黑" w:cs="Arial"/>
          <w:color w:val="000000"/>
          <w:sz w:val="21"/>
          <w:szCs w:val="21"/>
        </w:rPr>
        <w:sectPr>
          <w:headerReference r:id="rId20" w:type="first"/>
          <w:headerReference r:id="rId18" w:type="default"/>
          <w:headerReference r:id="rId19" w:type="even"/>
          <w:pgSz w:w="11906" w:h="16838"/>
          <w:pgMar w:top="1843" w:right="1304" w:bottom="1134" w:left="1304" w:header="1134" w:footer="907" w:gutter="0"/>
          <w:cols w:space="425" w:num="1"/>
          <w:titlePg/>
          <w:docGrid w:linePitch="312" w:charSpace="0"/>
        </w:sectPr>
      </w:pPr>
      <w:r>
        <w:rPr>
          <w:rFonts w:hint="eastAsia" w:ascii="华文细黑" w:hAnsi="华文细黑" w:eastAsia="华文细黑" w:cs="Arial"/>
          <w:color w:val="000000"/>
          <w:sz w:val="15"/>
          <w:szCs w:val="15"/>
        </w:rPr>
        <w:t>资料来源：房天下网站、</w:t>
      </w:r>
      <w:r>
        <w:rPr>
          <w:rFonts w:ascii="华文细黑" w:hAnsi="华文细黑" w:eastAsia="华文细黑" w:cs="Arial"/>
          <w:color w:val="000000"/>
          <w:sz w:val="15"/>
          <w:szCs w:val="15"/>
        </w:rPr>
        <w:t>CREIS中指数据</w:t>
      </w:r>
      <w:r>
        <w:rPr>
          <w:rFonts w:hint="eastAsia" w:ascii="华文细黑" w:hAnsi="华文细黑" w:eastAsia="华文细黑" w:cs="Arial"/>
          <w:color w:val="000000"/>
          <w:sz w:val="15"/>
          <w:szCs w:val="15"/>
        </w:rPr>
        <w:t>、市场调研资料、电话市调数据</w:t>
      </w:r>
    </w:p>
    <w:tbl>
      <w:tblPr>
        <w:tblStyle w:val="36"/>
        <w:tblW w:w="9298" w:type="dxa"/>
        <w:jc w:val="center"/>
        <w:tblLayout w:type="fixed"/>
        <w:tblCellMar>
          <w:top w:w="57" w:type="dxa"/>
          <w:left w:w="57" w:type="dxa"/>
          <w:bottom w:w="57" w:type="dxa"/>
          <w:right w:w="57" w:type="dxa"/>
        </w:tblCellMar>
      </w:tblPr>
      <w:tblGrid>
        <w:gridCol w:w="1364"/>
        <w:gridCol w:w="3949"/>
        <w:gridCol w:w="3985"/>
      </w:tblGrid>
      <w:tr>
        <w:tblPrEx>
          <w:tblCellMar>
            <w:top w:w="57" w:type="dxa"/>
            <w:left w:w="57" w:type="dxa"/>
            <w:bottom w:w="57" w:type="dxa"/>
            <w:right w:w="57" w:type="dxa"/>
          </w:tblCellMar>
        </w:tblPrEx>
        <w:trPr>
          <w:cantSplit/>
          <w:trHeight w:val="283" w:hRule="atLeast"/>
          <w:tblHeader/>
          <w:jc w:val="center"/>
        </w:trPr>
        <w:tc>
          <w:tcPr>
            <w:tcW w:w="993" w:type="dxa"/>
            <w:tcBorders>
              <w:top w:val="single" w:color="auto" w:sz="12" w:space="0"/>
              <w:bottom w:val="single" w:color="auto" w:sz="12" w:space="0"/>
            </w:tcBorders>
            <w:shd w:val="clear" w:color="000000" w:fill="963634"/>
            <w:vAlign w:val="center"/>
          </w:tcPr>
          <w:p>
            <w:pPr>
              <w:rPr>
                <w:rFonts w:ascii="Arial" w:hAnsi="Arial" w:eastAsia="华文细黑" w:cs="Arial"/>
                <w:b/>
                <w:bCs/>
                <w:color w:val="FFFFFF" w:themeColor="background1"/>
                <w:sz w:val="15"/>
                <w:szCs w:val="15"/>
                <w14:textFill>
                  <w14:solidFill>
                    <w14:schemeClr w14:val="bg1"/>
                  </w14:solidFill>
                </w14:textFill>
              </w:rPr>
            </w:pPr>
            <w:r>
              <w:rPr>
                <w:rFonts w:ascii="Arial" w:hAnsi="Arial" w:eastAsia="华文细黑" w:cs="Arial"/>
                <w:b/>
                <w:bCs/>
                <w:color w:val="FFFFFF" w:themeColor="background1"/>
                <w:sz w:val="15"/>
                <w:szCs w:val="15"/>
                <w14:textFill>
                  <w14:solidFill>
                    <w14:schemeClr w14:val="bg1"/>
                  </w14:solidFill>
                </w14:textFill>
              </w:rPr>
              <w:t>项目名称</w:t>
            </w:r>
          </w:p>
        </w:tc>
        <w:tc>
          <w:tcPr>
            <w:tcW w:w="2874" w:type="dxa"/>
            <w:tcBorders>
              <w:top w:val="single" w:color="auto" w:sz="12" w:space="0"/>
              <w:bottom w:val="single" w:color="auto" w:sz="12" w:space="0"/>
            </w:tcBorders>
            <w:shd w:val="clear" w:color="000000" w:fill="963634"/>
            <w:vAlign w:val="center"/>
          </w:tcPr>
          <w:p>
            <w:pPr>
              <w:jc w:val="both"/>
              <w:rPr>
                <w:rFonts w:ascii="Arial" w:hAnsi="Arial" w:eastAsia="华文细黑" w:cs="Arial"/>
                <w:b/>
                <w:bCs/>
                <w:color w:val="FFFFFF" w:themeColor="background1"/>
                <w:sz w:val="15"/>
                <w:szCs w:val="15"/>
                <w14:textFill>
                  <w14:solidFill>
                    <w14:schemeClr w14:val="bg1"/>
                  </w14:solidFill>
                </w14:textFill>
              </w:rPr>
            </w:pPr>
            <w:r>
              <w:rPr>
                <w:rFonts w:hint="eastAsia" w:ascii="Arial" w:hAnsi="Arial" w:eastAsia="华文细黑" w:cs="Arial"/>
                <w:b/>
                <w:bCs/>
                <w:color w:val="FFFFFF" w:themeColor="background1"/>
                <w:sz w:val="15"/>
                <w:szCs w:val="15"/>
                <w14:textFill>
                  <w14:solidFill>
                    <w14:schemeClr w14:val="bg1"/>
                  </w14:solidFill>
                </w14:textFill>
              </w:rPr>
              <w:t>耀江湾</w:t>
            </w:r>
          </w:p>
        </w:tc>
        <w:tc>
          <w:tcPr>
            <w:tcW w:w="2900" w:type="dxa"/>
            <w:tcBorders>
              <w:top w:val="single" w:color="auto" w:sz="12" w:space="0"/>
              <w:bottom w:val="single" w:color="auto" w:sz="12" w:space="0"/>
            </w:tcBorders>
            <w:shd w:val="clear" w:color="000000" w:fill="963634"/>
            <w:vAlign w:val="center"/>
          </w:tcPr>
          <w:p>
            <w:pPr>
              <w:jc w:val="both"/>
              <w:rPr>
                <w:rFonts w:ascii="Arial" w:hAnsi="Arial" w:eastAsia="华文细黑" w:cs="Arial"/>
                <w:b/>
                <w:bCs/>
                <w:color w:val="FFFFFF" w:themeColor="background1"/>
                <w:sz w:val="15"/>
                <w:szCs w:val="15"/>
                <w14:textFill>
                  <w14:solidFill>
                    <w14:schemeClr w14:val="bg1"/>
                  </w14:solidFill>
                </w14:textFill>
              </w:rPr>
            </w:pPr>
            <w:r>
              <w:rPr>
                <w:rFonts w:hint="eastAsia" w:ascii="Arial" w:hAnsi="Arial" w:eastAsia="华文细黑" w:cs="Arial"/>
                <w:b/>
                <w:bCs/>
                <w:color w:val="FFFFFF" w:themeColor="background1"/>
                <w:sz w:val="15"/>
                <w:szCs w:val="15"/>
                <w14:textFill>
                  <w14:solidFill>
                    <w14:schemeClr w14:val="bg1"/>
                  </w14:solidFill>
                </w14:textFill>
              </w:rPr>
              <w:t>潮鸣里</w:t>
            </w:r>
          </w:p>
        </w:tc>
      </w:tr>
      <w:tr>
        <w:tblPrEx>
          <w:tblCellMar>
            <w:top w:w="57" w:type="dxa"/>
            <w:left w:w="57" w:type="dxa"/>
            <w:bottom w:w="57" w:type="dxa"/>
            <w:right w:w="57" w:type="dxa"/>
          </w:tblCellMar>
        </w:tblPrEx>
        <w:trPr>
          <w:cantSplit/>
          <w:trHeight w:val="1355" w:hRule="atLeast"/>
          <w:jc w:val="center"/>
        </w:trPr>
        <w:tc>
          <w:tcPr>
            <w:tcW w:w="993" w:type="dxa"/>
            <w:shd w:val="clear" w:color="000000" w:fill="963634"/>
            <w:vAlign w:val="center"/>
          </w:tcPr>
          <w:p>
            <w:pPr>
              <w:jc w:val="center"/>
              <w:rPr>
                <w:rFonts w:ascii="Arial" w:hAnsi="Arial" w:eastAsia="华文细黑" w:cs="Arial"/>
                <w:b/>
                <w:bCs/>
                <w:sz w:val="15"/>
                <w:szCs w:val="15"/>
              </w:rPr>
            </w:pPr>
          </w:p>
        </w:tc>
        <w:tc>
          <w:tcPr>
            <w:tcW w:w="2874" w:type="dxa"/>
            <w:shd w:val="clear" w:color="auto" w:fill="auto"/>
            <w:vAlign w:val="center"/>
          </w:tcPr>
          <w:p>
            <w:pPr>
              <w:jc w:val="center"/>
              <w:rPr>
                <w:rFonts w:ascii="Arial" w:hAnsi="Arial" w:eastAsia="华文细黑" w:cs="Arial"/>
                <w:sz w:val="15"/>
                <w:szCs w:val="15"/>
              </w:rPr>
            </w:pPr>
            <w:r>
              <w:drawing>
                <wp:inline distT="0" distB="0" distL="114300" distR="114300">
                  <wp:extent cx="1764665" cy="1199515"/>
                  <wp:effectExtent l="0" t="0" r="3175"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4"/>
                          <a:stretch>
                            <a:fillRect/>
                          </a:stretch>
                        </pic:blipFill>
                        <pic:spPr>
                          <a:xfrm>
                            <a:off x="0" y="0"/>
                            <a:ext cx="1764665" cy="1199515"/>
                          </a:xfrm>
                          <a:prstGeom prst="rect">
                            <a:avLst/>
                          </a:prstGeom>
                          <a:noFill/>
                          <a:ln>
                            <a:noFill/>
                          </a:ln>
                        </pic:spPr>
                      </pic:pic>
                    </a:graphicData>
                  </a:graphic>
                </wp:inline>
              </w:drawing>
            </w:r>
          </w:p>
        </w:tc>
        <w:tc>
          <w:tcPr>
            <w:tcW w:w="2900" w:type="dxa"/>
            <w:shd w:val="clear" w:color="auto" w:fill="auto"/>
            <w:vAlign w:val="center"/>
          </w:tcPr>
          <w:p>
            <w:pPr>
              <w:jc w:val="center"/>
              <w:rPr>
                <w:rFonts w:ascii="Arial" w:hAnsi="Arial" w:eastAsia="华文细黑" w:cs="Arial"/>
                <w:sz w:val="15"/>
                <w:szCs w:val="15"/>
              </w:rPr>
            </w:pPr>
            <w:r>
              <w:drawing>
                <wp:inline distT="0" distB="0" distL="114300" distR="114300">
                  <wp:extent cx="1816100" cy="1200785"/>
                  <wp:effectExtent l="0" t="0" r="12700" b="31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5"/>
                          <a:stretch>
                            <a:fillRect/>
                          </a:stretch>
                        </pic:blipFill>
                        <pic:spPr>
                          <a:xfrm>
                            <a:off x="0" y="0"/>
                            <a:ext cx="1816100" cy="1200785"/>
                          </a:xfrm>
                          <a:prstGeom prst="rect">
                            <a:avLst/>
                          </a:prstGeom>
                          <a:noFill/>
                          <a:ln>
                            <a:noFill/>
                          </a:ln>
                        </pic:spPr>
                      </pic:pic>
                    </a:graphicData>
                  </a:graphic>
                </wp:inline>
              </w:drawing>
            </w:r>
          </w:p>
        </w:tc>
      </w:tr>
      <w:tr>
        <w:tblPrEx>
          <w:tblCellMar>
            <w:top w:w="57" w:type="dxa"/>
            <w:left w:w="57" w:type="dxa"/>
            <w:bottom w:w="57" w:type="dxa"/>
            <w:right w:w="57" w:type="dxa"/>
          </w:tblCellMar>
        </w:tblPrEx>
        <w:trPr>
          <w:cantSplit/>
          <w:trHeight w:val="283" w:hRule="atLeast"/>
          <w:jc w:val="center"/>
        </w:trPr>
        <w:tc>
          <w:tcPr>
            <w:tcW w:w="993" w:type="dxa"/>
            <w:tcBorders>
              <w:top w:val="single" w:color="auto" w:sz="4" w:space="0"/>
            </w:tcBorders>
            <w:shd w:val="clear" w:color="000000" w:fill="C0C0C0"/>
            <w:vAlign w:val="center"/>
          </w:tcPr>
          <w:p>
            <w:pPr>
              <w:jc w:val="both"/>
              <w:rPr>
                <w:rFonts w:ascii="Arial" w:hAnsi="Arial" w:eastAsia="华文细黑" w:cs="Arial"/>
                <w:b/>
                <w:bCs/>
                <w:sz w:val="15"/>
                <w:szCs w:val="15"/>
              </w:rPr>
            </w:pPr>
            <w:r>
              <w:rPr>
                <w:rFonts w:ascii="Arial" w:hAnsi="Arial" w:eastAsia="华文细黑" w:cs="Arial"/>
                <w:b/>
                <w:bCs/>
                <w:sz w:val="15"/>
                <w:szCs w:val="15"/>
              </w:rPr>
              <w:t>与本项目直线距离</w:t>
            </w:r>
          </w:p>
        </w:tc>
        <w:tc>
          <w:tcPr>
            <w:tcW w:w="2874" w:type="dxa"/>
            <w:tcBorders>
              <w:top w:val="single" w:color="auto" w:sz="4" w:space="0"/>
            </w:tcBorders>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12.2</w:t>
            </w:r>
            <w:r>
              <w:rPr>
                <w:rFonts w:ascii="微软雅黑" w:hAnsi="微软雅黑" w:eastAsia="微软雅黑" w:cs="微软雅黑"/>
                <w:color w:val="303133"/>
                <w:sz w:val="14"/>
                <w:szCs w:val="14"/>
                <w:shd w:val="clear" w:color="auto" w:fill="FFFFFF"/>
              </w:rPr>
              <w:t>公里</w:t>
            </w:r>
          </w:p>
        </w:tc>
        <w:tc>
          <w:tcPr>
            <w:tcW w:w="2900" w:type="dxa"/>
            <w:tcBorders>
              <w:top w:val="single" w:color="auto" w:sz="4" w:space="0"/>
            </w:tcBorders>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4.9</w:t>
            </w:r>
            <w:r>
              <w:rPr>
                <w:rFonts w:ascii="微软雅黑" w:hAnsi="微软雅黑" w:eastAsia="微软雅黑" w:cs="微软雅黑"/>
                <w:color w:val="303133"/>
                <w:sz w:val="14"/>
                <w:szCs w:val="14"/>
                <w:shd w:val="clear" w:color="auto" w:fill="FFFFFF"/>
              </w:rPr>
              <w:t>公里</w:t>
            </w:r>
          </w:p>
        </w:tc>
      </w:tr>
      <w:tr>
        <w:tblPrEx>
          <w:tblCellMar>
            <w:top w:w="57" w:type="dxa"/>
            <w:left w:w="57" w:type="dxa"/>
            <w:bottom w:w="57" w:type="dxa"/>
            <w:right w:w="57" w:type="dxa"/>
          </w:tblCellMar>
        </w:tblPrEx>
        <w:trPr>
          <w:cantSplit/>
          <w:trHeight w:val="283" w:hRule="atLeast"/>
          <w:jc w:val="center"/>
        </w:trPr>
        <w:tc>
          <w:tcPr>
            <w:tcW w:w="993" w:type="dxa"/>
            <w:shd w:val="clear" w:color="000000" w:fill="C0C0C0"/>
            <w:vAlign w:val="center"/>
          </w:tcPr>
          <w:p>
            <w:pPr>
              <w:jc w:val="both"/>
              <w:rPr>
                <w:rFonts w:ascii="Arial" w:hAnsi="Arial" w:eastAsia="华文细黑" w:cs="Arial"/>
                <w:b/>
                <w:bCs/>
                <w:sz w:val="15"/>
                <w:szCs w:val="15"/>
              </w:rPr>
            </w:pPr>
            <w:r>
              <w:rPr>
                <w:rFonts w:ascii="Arial" w:hAnsi="Arial" w:eastAsia="华文细黑" w:cs="Arial"/>
                <w:b/>
                <w:bCs/>
                <w:sz w:val="15"/>
                <w:szCs w:val="15"/>
              </w:rPr>
              <w:t>开发商</w:t>
            </w:r>
          </w:p>
        </w:tc>
        <w:tc>
          <w:tcPr>
            <w:tcW w:w="287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ascii="微软雅黑" w:hAnsi="微软雅黑" w:eastAsia="微软雅黑" w:cs="微软雅黑"/>
                <w:color w:val="303133"/>
                <w:sz w:val="14"/>
                <w:szCs w:val="14"/>
                <w:shd w:val="clear" w:color="auto" w:fill="FFFFFF"/>
              </w:rPr>
              <w:t>永嘉鸿科置业有限公司</w:t>
            </w:r>
          </w:p>
        </w:tc>
        <w:tc>
          <w:tcPr>
            <w:tcW w:w="2900"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ascii="微软雅黑" w:hAnsi="微软雅黑" w:eastAsia="微软雅黑" w:cs="微软雅黑"/>
                <w:color w:val="303133"/>
                <w:sz w:val="14"/>
                <w:szCs w:val="14"/>
                <w:shd w:val="clear" w:color="auto" w:fill="FFFFFF"/>
              </w:rPr>
              <w:t>温州新绿洲房地产开发有限公司</w:t>
            </w:r>
          </w:p>
        </w:tc>
      </w:tr>
      <w:tr>
        <w:tblPrEx>
          <w:tblCellMar>
            <w:top w:w="57" w:type="dxa"/>
            <w:left w:w="57" w:type="dxa"/>
            <w:bottom w:w="57" w:type="dxa"/>
            <w:right w:w="57" w:type="dxa"/>
          </w:tblCellMar>
        </w:tblPrEx>
        <w:trPr>
          <w:cantSplit/>
          <w:trHeight w:val="283" w:hRule="atLeast"/>
          <w:jc w:val="center"/>
        </w:trPr>
        <w:tc>
          <w:tcPr>
            <w:tcW w:w="993" w:type="dxa"/>
            <w:shd w:val="clear" w:color="000000" w:fill="C0C0C0"/>
            <w:vAlign w:val="center"/>
          </w:tcPr>
          <w:p>
            <w:pPr>
              <w:jc w:val="both"/>
              <w:rPr>
                <w:rFonts w:ascii="Arial" w:hAnsi="Arial" w:eastAsia="华文细黑" w:cs="Arial"/>
                <w:b/>
                <w:bCs/>
                <w:sz w:val="15"/>
                <w:szCs w:val="15"/>
              </w:rPr>
            </w:pPr>
            <w:r>
              <w:rPr>
                <w:rFonts w:ascii="Arial" w:hAnsi="Arial" w:eastAsia="华文细黑" w:cs="Arial"/>
                <w:b/>
                <w:bCs/>
                <w:sz w:val="15"/>
                <w:szCs w:val="15"/>
              </w:rPr>
              <w:t>项目位置</w:t>
            </w:r>
          </w:p>
        </w:tc>
        <w:tc>
          <w:tcPr>
            <w:tcW w:w="287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ascii="微软雅黑" w:hAnsi="微软雅黑" w:eastAsia="微软雅黑" w:cs="微软雅黑"/>
                <w:color w:val="303133"/>
                <w:sz w:val="14"/>
                <w:szCs w:val="14"/>
                <w:shd w:val="clear" w:color="auto" w:fill="FFFFFF"/>
              </w:rPr>
              <w:t>乌牛广安路与乌仁路交汇处</w:t>
            </w:r>
          </w:p>
        </w:tc>
        <w:tc>
          <w:tcPr>
            <w:tcW w:w="2900"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ascii="微软雅黑" w:hAnsi="微软雅黑" w:eastAsia="微软雅黑" w:cs="微软雅黑"/>
                <w:color w:val="303133"/>
                <w:sz w:val="14"/>
                <w:szCs w:val="14"/>
                <w:shd w:val="clear" w:color="auto" w:fill="FFFFFF"/>
              </w:rPr>
              <w:t>永嘉县G104国道旁</w:t>
            </w:r>
          </w:p>
        </w:tc>
      </w:tr>
      <w:tr>
        <w:tblPrEx>
          <w:tblCellMar>
            <w:top w:w="57" w:type="dxa"/>
            <w:left w:w="57" w:type="dxa"/>
            <w:bottom w:w="57" w:type="dxa"/>
            <w:right w:w="57" w:type="dxa"/>
          </w:tblCellMar>
        </w:tblPrEx>
        <w:trPr>
          <w:cantSplit/>
          <w:trHeight w:val="680" w:hRule="atLeast"/>
          <w:jc w:val="center"/>
        </w:trPr>
        <w:tc>
          <w:tcPr>
            <w:tcW w:w="993" w:type="dxa"/>
            <w:shd w:val="clear" w:color="000000" w:fill="C0C0C0"/>
            <w:vAlign w:val="center"/>
          </w:tcPr>
          <w:p>
            <w:pPr>
              <w:jc w:val="both"/>
              <w:rPr>
                <w:rFonts w:ascii="Arial" w:hAnsi="Arial" w:eastAsia="华文细黑" w:cs="Arial"/>
                <w:b/>
                <w:bCs/>
                <w:sz w:val="15"/>
                <w:szCs w:val="15"/>
              </w:rPr>
            </w:pPr>
            <w:r>
              <w:rPr>
                <w:rFonts w:ascii="Arial" w:hAnsi="Arial" w:eastAsia="华文细黑" w:cs="Arial"/>
                <w:b/>
                <w:bCs/>
                <w:sz w:val="15"/>
                <w:szCs w:val="15"/>
              </w:rPr>
              <w:t>项目规模</w:t>
            </w:r>
          </w:p>
        </w:tc>
        <w:tc>
          <w:tcPr>
            <w:tcW w:w="287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ascii="微软雅黑" w:hAnsi="微软雅黑" w:eastAsia="微软雅黑" w:cs="微软雅黑"/>
                <w:color w:val="303133"/>
                <w:sz w:val="14"/>
                <w:szCs w:val="14"/>
                <w:shd w:val="clear" w:color="auto" w:fill="FFFFFF"/>
              </w:rPr>
              <w:t>占地面积：</w:t>
            </w:r>
            <w:r>
              <w:rPr>
                <w:rFonts w:hint="eastAsia" w:ascii="微软雅黑" w:hAnsi="微软雅黑" w:eastAsia="微软雅黑" w:cs="微软雅黑"/>
                <w:color w:val="303133"/>
                <w:sz w:val="14"/>
                <w:szCs w:val="14"/>
                <w:shd w:val="clear" w:color="auto" w:fill="FFFFFF"/>
              </w:rPr>
              <w:t>23957</w:t>
            </w:r>
            <w:r>
              <w:rPr>
                <w:rFonts w:ascii="微软雅黑" w:hAnsi="微软雅黑" w:eastAsia="微软雅黑" w:cs="微软雅黑"/>
                <w:color w:val="303133"/>
                <w:sz w:val="14"/>
                <w:szCs w:val="14"/>
                <w:shd w:val="clear" w:color="auto" w:fill="FFFFFF"/>
              </w:rPr>
              <w:t>㎡；</w:t>
            </w:r>
          </w:p>
          <w:p>
            <w:pPr>
              <w:jc w:val="both"/>
              <w:rPr>
                <w:rFonts w:ascii="微软雅黑" w:hAnsi="微软雅黑" w:eastAsia="微软雅黑" w:cs="微软雅黑"/>
                <w:color w:val="303133"/>
                <w:sz w:val="14"/>
                <w:szCs w:val="14"/>
                <w:shd w:val="clear" w:color="auto" w:fill="FFFFFF"/>
              </w:rPr>
            </w:pPr>
            <w:r>
              <w:rPr>
                <w:rFonts w:ascii="微软雅黑" w:hAnsi="微软雅黑" w:eastAsia="微软雅黑" w:cs="微软雅黑"/>
                <w:color w:val="303133"/>
                <w:sz w:val="14"/>
                <w:szCs w:val="14"/>
                <w:shd w:val="clear" w:color="auto" w:fill="FFFFFF"/>
              </w:rPr>
              <w:t>建筑面积：</w:t>
            </w:r>
            <w:r>
              <w:rPr>
                <w:rFonts w:hint="eastAsia" w:ascii="微软雅黑" w:hAnsi="微软雅黑" w:eastAsia="微软雅黑" w:cs="微软雅黑"/>
                <w:color w:val="303133"/>
                <w:sz w:val="14"/>
                <w:szCs w:val="14"/>
                <w:shd w:val="clear" w:color="auto" w:fill="FFFFFF"/>
              </w:rPr>
              <w:t>71871</w:t>
            </w:r>
            <w:r>
              <w:rPr>
                <w:rFonts w:ascii="微软雅黑" w:hAnsi="微软雅黑" w:eastAsia="微软雅黑" w:cs="微软雅黑"/>
                <w:color w:val="303133"/>
                <w:sz w:val="14"/>
                <w:szCs w:val="14"/>
                <w:shd w:val="clear" w:color="auto" w:fill="FFFFFF"/>
              </w:rPr>
              <w:t>㎡</w:t>
            </w:r>
          </w:p>
        </w:tc>
        <w:tc>
          <w:tcPr>
            <w:tcW w:w="2900"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占地面积：71682</w:t>
            </w:r>
            <w:r>
              <w:rPr>
                <w:rFonts w:ascii="微软雅黑" w:hAnsi="微软雅黑" w:eastAsia="微软雅黑" w:cs="微软雅黑"/>
                <w:color w:val="303133"/>
                <w:sz w:val="14"/>
                <w:szCs w:val="14"/>
                <w:shd w:val="clear" w:color="auto" w:fill="FFFFFF"/>
              </w:rPr>
              <w:t>㎡；</w:t>
            </w:r>
          </w:p>
          <w:p>
            <w:pPr>
              <w:jc w:val="both"/>
              <w:rPr>
                <w:rFonts w:ascii="微软雅黑" w:hAnsi="微软雅黑" w:eastAsia="微软雅黑" w:cs="微软雅黑"/>
                <w:color w:val="303133"/>
                <w:sz w:val="14"/>
                <w:szCs w:val="14"/>
                <w:shd w:val="clear" w:color="auto" w:fill="FFFFFF"/>
              </w:rPr>
            </w:pPr>
            <w:r>
              <w:rPr>
                <w:rFonts w:ascii="微软雅黑" w:hAnsi="微软雅黑" w:eastAsia="微软雅黑" w:cs="微软雅黑"/>
                <w:color w:val="303133"/>
                <w:sz w:val="14"/>
                <w:szCs w:val="14"/>
                <w:shd w:val="clear" w:color="auto" w:fill="FFFFFF"/>
              </w:rPr>
              <w:t>建筑面积：</w:t>
            </w:r>
            <w:r>
              <w:rPr>
                <w:rFonts w:hint="eastAsia" w:ascii="微软雅黑" w:hAnsi="微软雅黑" w:eastAsia="微软雅黑" w:cs="微软雅黑"/>
                <w:color w:val="303133"/>
                <w:sz w:val="14"/>
                <w:szCs w:val="14"/>
                <w:shd w:val="clear" w:color="auto" w:fill="FFFFFF"/>
              </w:rPr>
              <w:t>157700.4</w:t>
            </w:r>
            <w:r>
              <w:rPr>
                <w:rFonts w:ascii="微软雅黑" w:hAnsi="微软雅黑" w:eastAsia="微软雅黑" w:cs="微软雅黑"/>
                <w:color w:val="303133"/>
                <w:sz w:val="14"/>
                <w:szCs w:val="14"/>
                <w:shd w:val="clear" w:color="auto" w:fill="FFFFFF"/>
              </w:rPr>
              <w:t>㎡</w:t>
            </w:r>
          </w:p>
        </w:tc>
      </w:tr>
      <w:tr>
        <w:tblPrEx>
          <w:tblCellMar>
            <w:top w:w="57" w:type="dxa"/>
            <w:left w:w="57" w:type="dxa"/>
            <w:bottom w:w="57" w:type="dxa"/>
            <w:right w:w="57" w:type="dxa"/>
          </w:tblCellMar>
        </w:tblPrEx>
        <w:trPr>
          <w:cantSplit/>
          <w:trHeight w:val="680" w:hRule="atLeast"/>
          <w:jc w:val="center"/>
        </w:trPr>
        <w:tc>
          <w:tcPr>
            <w:tcW w:w="993" w:type="dxa"/>
            <w:shd w:val="clear" w:color="000000" w:fill="C0C0C0"/>
            <w:vAlign w:val="center"/>
          </w:tcPr>
          <w:p>
            <w:pPr>
              <w:jc w:val="both"/>
              <w:rPr>
                <w:rFonts w:ascii="Arial" w:hAnsi="Arial" w:eastAsia="华文细黑" w:cs="Arial"/>
                <w:b/>
                <w:bCs/>
                <w:sz w:val="15"/>
                <w:szCs w:val="15"/>
              </w:rPr>
            </w:pPr>
            <w:r>
              <w:rPr>
                <w:rFonts w:hint="eastAsia" w:ascii="Arial" w:hAnsi="Arial" w:eastAsia="华文细黑" w:cs="Arial"/>
                <w:b/>
                <w:bCs/>
                <w:sz w:val="15"/>
                <w:szCs w:val="15"/>
              </w:rPr>
              <w:t>土地信息</w:t>
            </w:r>
          </w:p>
        </w:tc>
        <w:tc>
          <w:tcPr>
            <w:tcW w:w="287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2</w:t>
            </w:r>
            <w:r>
              <w:rPr>
                <w:rFonts w:ascii="微软雅黑" w:hAnsi="微软雅黑" w:eastAsia="微软雅黑" w:cs="微软雅黑"/>
                <w:color w:val="303133"/>
                <w:sz w:val="14"/>
                <w:szCs w:val="14"/>
                <w:shd w:val="clear" w:color="auto" w:fill="FFFFFF"/>
              </w:rPr>
              <w:t>0</w:t>
            </w:r>
            <w:r>
              <w:rPr>
                <w:rFonts w:hint="eastAsia" w:ascii="微软雅黑" w:hAnsi="微软雅黑" w:eastAsia="微软雅黑" w:cs="微软雅黑"/>
                <w:color w:val="303133"/>
                <w:sz w:val="14"/>
                <w:szCs w:val="14"/>
                <w:shd w:val="clear" w:color="auto" w:fill="FFFFFF"/>
              </w:rPr>
              <w:t>19年</w:t>
            </w:r>
            <w:r>
              <w:rPr>
                <w:rFonts w:ascii="微软雅黑" w:hAnsi="微软雅黑" w:eastAsia="微软雅黑" w:cs="微软雅黑"/>
                <w:color w:val="303133"/>
                <w:sz w:val="14"/>
                <w:szCs w:val="14"/>
                <w:shd w:val="clear" w:color="auto" w:fill="FFFFFF"/>
              </w:rPr>
              <w:t>7</w:t>
            </w:r>
            <w:r>
              <w:rPr>
                <w:rFonts w:hint="eastAsia" w:ascii="微软雅黑" w:hAnsi="微软雅黑" w:eastAsia="微软雅黑" w:cs="微软雅黑"/>
                <w:color w:val="303133"/>
                <w:sz w:val="14"/>
                <w:szCs w:val="14"/>
                <w:shd w:val="clear" w:color="auto" w:fill="FFFFFF"/>
              </w:rPr>
              <w:t>月成交</w:t>
            </w:r>
          </w:p>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楼面单价5545</w:t>
            </w:r>
            <w:r>
              <w:rPr>
                <w:rFonts w:ascii="微软雅黑" w:hAnsi="微软雅黑" w:eastAsia="微软雅黑" w:cs="微软雅黑"/>
                <w:color w:val="303133"/>
                <w:sz w:val="14"/>
                <w:szCs w:val="14"/>
                <w:shd w:val="clear" w:color="auto" w:fill="FFFFFF"/>
              </w:rPr>
              <w:t>元/㎡</w:t>
            </w:r>
          </w:p>
        </w:tc>
        <w:tc>
          <w:tcPr>
            <w:tcW w:w="2900"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2</w:t>
            </w:r>
            <w:r>
              <w:rPr>
                <w:rFonts w:ascii="微软雅黑" w:hAnsi="微软雅黑" w:eastAsia="微软雅黑" w:cs="微软雅黑"/>
                <w:color w:val="303133"/>
                <w:sz w:val="14"/>
                <w:szCs w:val="14"/>
                <w:shd w:val="clear" w:color="auto" w:fill="FFFFFF"/>
              </w:rPr>
              <w:t>020</w:t>
            </w:r>
            <w:r>
              <w:rPr>
                <w:rFonts w:hint="eastAsia" w:ascii="微软雅黑" w:hAnsi="微软雅黑" w:eastAsia="微软雅黑" w:cs="微软雅黑"/>
                <w:color w:val="303133"/>
                <w:sz w:val="14"/>
                <w:szCs w:val="14"/>
                <w:shd w:val="clear" w:color="auto" w:fill="FFFFFF"/>
              </w:rPr>
              <w:t>年3月成交</w:t>
            </w:r>
          </w:p>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楼面单价3777</w:t>
            </w:r>
            <w:r>
              <w:rPr>
                <w:rFonts w:ascii="微软雅黑" w:hAnsi="微软雅黑" w:eastAsia="微软雅黑" w:cs="微软雅黑"/>
                <w:color w:val="303133"/>
                <w:sz w:val="14"/>
                <w:szCs w:val="14"/>
                <w:shd w:val="clear" w:color="auto" w:fill="FFFFFF"/>
              </w:rPr>
              <w:t>元/㎡</w:t>
            </w:r>
          </w:p>
        </w:tc>
      </w:tr>
      <w:tr>
        <w:tblPrEx>
          <w:tblCellMar>
            <w:top w:w="57" w:type="dxa"/>
            <w:left w:w="57" w:type="dxa"/>
            <w:bottom w:w="57" w:type="dxa"/>
            <w:right w:w="57" w:type="dxa"/>
          </w:tblCellMar>
        </w:tblPrEx>
        <w:trPr>
          <w:cantSplit/>
          <w:trHeight w:val="283" w:hRule="atLeast"/>
          <w:jc w:val="center"/>
        </w:trPr>
        <w:tc>
          <w:tcPr>
            <w:tcW w:w="993" w:type="dxa"/>
            <w:shd w:val="clear" w:color="000000" w:fill="C0C0C0"/>
            <w:vAlign w:val="center"/>
          </w:tcPr>
          <w:p>
            <w:pPr>
              <w:jc w:val="both"/>
              <w:rPr>
                <w:rFonts w:ascii="Arial" w:hAnsi="Arial" w:eastAsia="华文细黑" w:cs="Arial"/>
                <w:b/>
                <w:bCs/>
                <w:sz w:val="15"/>
                <w:szCs w:val="15"/>
              </w:rPr>
            </w:pPr>
            <w:r>
              <w:rPr>
                <w:rFonts w:ascii="Arial" w:hAnsi="Arial" w:eastAsia="华文细黑" w:cs="Arial"/>
                <w:b/>
                <w:bCs/>
                <w:sz w:val="15"/>
                <w:szCs w:val="15"/>
              </w:rPr>
              <w:t>容积率</w:t>
            </w:r>
          </w:p>
        </w:tc>
        <w:tc>
          <w:tcPr>
            <w:tcW w:w="287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3</w:t>
            </w:r>
          </w:p>
        </w:tc>
        <w:tc>
          <w:tcPr>
            <w:tcW w:w="2900" w:type="dxa"/>
            <w:shd w:val="clear" w:color="auto" w:fill="auto"/>
            <w:vAlign w:val="center"/>
          </w:tcPr>
          <w:p>
            <w:pPr>
              <w:jc w:val="both"/>
              <w:rPr>
                <w:rFonts w:ascii="微软雅黑" w:hAnsi="微软雅黑" w:eastAsia="微软雅黑" w:cs="微软雅黑"/>
                <w:color w:val="303133"/>
                <w:sz w:val="14"/>
                <w:szCs w:val="14"/>
                <w:highlight w:val="yellow"/>
                <w:shd w:val="clear" w:color="auto" w:fill="FFFFFF"/>
              </w:rPr>
            </w:pPr>
            <w:r>
              <w:rPr>
                <w:rFonts w:hint="eastAsia" w:ascii="微软雅黑" w:hAnsi="微软雅黑" w:eastAsia="微软雅黑" w:cs="微软雅黑"/>
                <w:color w:val="303133"/>
                <w:sz w:val="14"/>
                <w:szCs w:val="14"/>
                <w:shd w:val="clear" w:color="auto" w:fill="FFFFFF"/>
              </w:rPr>
              <w:t>2.2</w:t>
            </w:r>
          </w:p>
        </w:tc>
      </w:tr>
      <w:tr>
        <w:tblPrEx>
          <w:tblCellMar>
            <w:top w:w="57" w:type="dxa"/>
            <w:left w:w="57" w:type="dxa"/>
            <w:bottom w:w="57" w:type="dxa"/>
            <w:right w:w="57" w:type="dxa"/>
          </w:tblCellMar>
        </w:tblPrEx>
        <w:trPr>
          <w:cantSplit/>
          <w:trHeight w:val="283" w:hRule="atLeast"/>
          <w:jc w:val="center"/>
        </w:trPr>
        <w:tc>
          <w:tcPr>
            <w:tcW w:w="993" w:type="dxa"/>
            <w:shd w:val="clear" w:color="000000" w:fill="C0C0C0"/>
            <w:vAlign w:val="center"/>
          </w:tcPr>
          <w:p>
            <w:pPr>
              <w:jc w:val="both"/>
              <w:rPr>
                <w:rFonts w:ascii="Arial" w:hAnsi="Arial" w:eastAsia="华文细黑" w:cs="Arial"/>
                <w:b/>
                <w:bCs/>
                <w:sz w:val="15"/>
                <w:szCs w:val="15"/>
              </w:rPr>
            </w:pPr>
            <w:r>
              <w:rPr>
                <w:rFonts w:ascii="Arial" w:hAnsi="Arial" w:eastAsia="华文细黑" w:cs="Arial"/>
                <w:b/>
                <w:bCs/>
                <w:sz w:val="15"/>
                <w:szCs w:val="15"/>
              </w:rPr>
              <w:t>楼栋总数</w:t>
            </w:r>
          </w:p>
        </w:tc>
        <w:tc>
          <w:tcPr>
            <w:tcW w:w="287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10</w:t>
            </w:r>
            <w:r>
              <w:rPr>
                <w:rFonts w:ascii="微软雅黑" w:hAnsi="微软雅黑" w:eastAsia="微软雅黑" w:cs="微软雅黑"/>
                <w:color w:val="303133"/>
                <w:sz w:val="14"/>
                <w:szCs w:val="14"/>
                <w:shd w:val="clear" w:color="auto" w:fill="FFFFFF"/>
              </w:rPr>
              <w:t>栋</w:t>
            </w:r>
          </w:p>
        </w:tc>
        <w:tc>
          <w:tcPr>
            <w:tcW w:w="2900"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21栋</w:t>
            </w:r>
          </w:p>
        </w:tc>
      </w:tr>
      <w:tr>
        <w:tblPrEx>
          <w:tblCellMar>
            <w:top w:w="57" w:type="dxa"/>
            <w:left w:w="57" w:type="dxa"/>
            <w:bottom w:w="57" w:type="dxa"/>
            <w:right w:w="57" w:type="dxa"/>
          </w:tblCellMar>
        </w:tblPrEx>
        <w:trPr>
          <w:cantSplit/>
          <w:trHeight w:val="283" w:hRule="atLeast"/>
          <w:jc w:val="center"/>
        </w:trPr>
        <w:tc>
          <w:tcPr>
            <w:tcW w:w="993" w:type="dxa"/>
            <w:shd w:val="clear" w:color="000000" w:fill="C0C0C0"/>
            <w:vAlign w:val="center"/>
          </w:tcPr>
          <w:p>
            <w:pPr>
              <w:jc w:val="both"/>
              <w:rPr>
                <w:rFonts w:ascii="Arial" w:hAnsi="Arial" w:eastAsia="华文细黑" w:cs="Arial"/>
                <w:b/>
                <w:bCs/>
                <w:sz w:val="15"/>
                <w:szCs w:val="15"/>
                <w:highlight w:val="yellow"/>
              </w:rPr>
            </w:pPr>
            <w:r>
              <w:rPr>
                <w:rFonts w:hint="eastAsia" w:ascii="Arial" w:hAnsi="Arial" w:eastAsia="华文细黑" w:cs="Arial"/>
                <w:b/>
                <w:bCs/>
                <w:sz w:val="15"/>
                <w:szCs w:val="15"/>
              </w:rPr>
              <w:t>建筑类型</w:t>
            </w:r>
          </w:p>
        </w:tc>
        <w:tc>
          <w:tcPr>
            <w:tcW w:w="2874" w:type="dxa"/>
            <w:shd w:val="clear" w:color="auto" w:fill="auto"/>
            <w:vAlign w:val="center"/>
          </w:tcPr>
          <w:p>
            <w:pPr>
              <w:jc w:val="both"/>
              <w:rPr>
                <w:rFonts w:ascii="Arial" w:hAnsi="Arial" w:eastAsia="华文细黑" w:cs="Arial"/>
                <w:sz w:val="15"/>
                <w:szCs w:val="15"/>
              </w:rPr>
            </w:pPr>
            <w:r>
              <w:rPr>
                <w:rFonts w:ascii="Arial" w:hAnsi="Arial" w:eastAsia="华文细黑" w:cs="Arial"/>
                <w:sz w:val="15"/>
                <w:szCs w:val="15"/>
              </w:rPr>
              <w:t>高层</w:t>
            </w:r>
          </w:p>
        </w:tc>
        <w:tc>
          <w:tcPr>
            <w:tcW w:w="2900" w:type="dxa"/>
            <w:shd w:val="clear" w:color="auto" w:fill="auto"/>
            <w:vAlign w:val="center"/>
          </w:tcPr>
          <w:p>
            <w:pPr>
              <w:jc w:val="both"/>
              <w:rPr>
                <w:rFonts w:ascii="Arial" w:hAnsi="Arial" w:eastAsia="华文细黑" w:cs="Arial"/>
                <w:sz w:val="15"/>
                <w:szCs w:val="15"/>
              </w:rPr>
            </w:pPr>
            <w:r>
              <w:rPr>
                <w:rFonts w:hint="eastAsia" w:ascii="Arial" w:hAnsi="Arial" w:eastAsia="华文细黑" w:cs="Arial"/>
                <w:sz w:val="15"/>
                <w:szCs w:val="15"/>
              </w:rPr>
              <w:t>小高层、合院</w:t>
            </w:r>
          </w:p>
        </w:tc>
      </w:tr>
      <w:tr>
        <w:tblPrEx>
          <w:tblCellMar>
            <w:top w:w="57" w:type="dxa"/>
            <w:left w:w="57" w:type="dxa"/>
            <w:bottom w:w="57" w:type="dxa"/>
            <w:right w:w="57" w:type="dxa"/>
          </w:tblCellMar>
        </w:tblPrEx>
        <w:trPr>
          <w:cantSplit/>
          <w:trHeight w:val="283" w:hRule="atLeast"/>
          <w:jc w:val="center"/>
        </w:trPr>
        <w:tc>
          <w:tcPr>
            <w:tcW w:w="993" w:type="dxa"/>
            <w:shd w:val="clear" w:color="000000" w:fill="C0C0C0"/>
            <w:vAlign w:val="center"/>
          </w:tcPr>
          <w:p>
            <w:pPr>
              <w:jc w:val="both"/>
              <w:rPr>
                <w:rFonts w:ascii="Arial" w:hAnsi="Arial" w:eastAsia="华文细黑" w:cs="Arial"/>
                <w:b/>
                <w:bCs/>
                <w:sz w:val="15"/>
                <w:szCs w:val="15"/>
              </w:rPr>
            </w:pPr>
            <w:r>
              <w:rPr>
                <w:rFonts w:hint="eastAsia" w:ascii="Arial" w:hAnsi="Arial" w:eastAsia="华文细黑" w:cs="Arial"/>
                <w:b/>
                <w:bCs/>
                <w:sz w:val="15"/>
                <w:szCs w:val="15"/>
              </w:rPr>
              <w:t>首期开盘时间</w:t>
            </w:r>
          </w:p>
        </w:tc>
        <w:tc>
          <w:tcPr>
            <w:tcW w:w="287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ascii="微软雅黑" w:hAnsi="微软雅黑" w:eastAsia="微软雅黑" w:cs="微软雅黑"/>
                <w:color w:val="303133"/>
                <w:sz w:val="14"/>
                <w:szCs w:val="14"/>
                <w:shd w:val="clear" w:color="auto" w:fill="FFFFFF"/>
              </w:rPr>
              <w:t>20</w:t>
            </w:r>
            <w:r>
              <w:rPr>
                <w:rFonts w:hint="eastAsia" w:ascii="微软雅黑" w:hAnsi="微软雅黑" w:eastAsia="微软雅黑" w:cs="微软雅黑"/>
                <w:color w:val="303133"/>
                <w:sz w:val="14"/>
                <w:szCs w:val="14"/>
                <w:shd w:val="clear" w:color="auto" w:fill="FFFFFF"/>
              </w:rPr>
              <w:t>19</w:t>
            </w:r>
            <w:r>
              <w:rPr>
                <w:rFonts w:ascii="微软雅黑" w:hAnsi="微软雅黑" w:eastAsia="微软雅黑" w:cs="微软雅黑"/>
                <w:color w:val="303133"/>
                <w:sz w:val="14"/>
                <w:szCs w:val="14"/>
                <w:shd w:val="clear" w:color="auto" w:fill="FFFFFF"/>
              </w:rPr>
              <w:t>年12月</w:t>
            </w:r>
          </w:p>
        </w:tc>
        <w:tc>
          <w:tcPr>
            <w:tcW w:w="2900"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ascii="微软雅黑" w:hAnsi="微软雅黑" w:eastAsia="微软雅黑" w:cs="微软雅黑"/>
                <w:color w:val="303133"/>
                <w:sz w:val="14"/>
                <w:szCs w:val="14"/>
                <w:shd w:val="clear" w:color="auto" w:fill="FFFFFF"/>
              </w:rPr>
              <w:t>2021年1月</w:t>
            </w:r>
          </w:p>
        </w:tc>
      </w:tr>
      <w:tr>
        <w:tblPrEx>
          <w:tblCellMar>
            <w:top w:w="57" w:type="dxa"/>
            <w:left w:w="57" w:type="dxa"/>
            <w:bottom w:w="57" w:type="dxa"/>
            <w:right w:w="57" w:type="dxa"/>
          </w:tblCellMar>
        </w:tblPrEx>
        <w:trPr>
          <w:cantSplit/>
          <w:trHeight w:val="283" w:hRule="atLeast"/>
          <w:jc w:val="center"/>
        </w:trPr>
        <w:tc>
          <w:tcPr>
            <w:tcW w:w="993" w:type="dxa"/>
            <w:shd w:val="clear" w:color="000000" w:fill="C0C0C0"/>
            <w:vAlign w:val="center"/>
          </w:tcPr>
          <w:p>
            <w:pPr>
              <w:jc w:val="both"/>
              <w:rPr>
                <w:rFonts w:ascii="Arial" w:hAnsi="Arial" w:eastAsia="华文细黑" w:cs="Arial"/>
                <w:b/>
                <w:bCs/>
                <w:sz w:val="15"/>
                <w:szCs w:val="15"/>
              </w:rPr>
            </w:pPr>
            <w:r>
              <w:rPr>
                <w:rFonts w:ascii="Arial" w:hAnsi="Arial" w:eastAsia="华文细黑" w:cs="Arial"/>
                <w:b/>
                <w:bCs/>
                <w:sz w:val="15"/>
                <w:szCs w:val="15"/>
              </w:rPr>
              <w:t>主力产品</w:t>
            </w:r>
          </w:p>
        </w:tc>
        <w:tc>
          <w:tcPr>
            <w:tcW w:w="287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ascii="微软雅黑" w:hAnsi="微软雅黑" w:eastAsia="微软雅黑" w:cs="微软雅黑"/>
                <w:color w:val="303133"/>
                <w:sz w:val="14"/>
                <w:szCs w:val="14"/>
                <w:shd w:val="clear" w:color="auto" w:fill="FFFFFF"/>
              </w:rPr>
              <w:t>三居(建面99㎡)</w:t>
            </w:r>
            <w:r>
              <w:rPr>
                <w:rFonts w:hint="eastAsia" w:ascii="微软雅黑" w:hAnsi="微软雅黑" w:eastAsia="微软雅黑" w:cs="微软雅黑"/>
                <w:color w:val="303133"/>
                <w:sz w:val="14"/>
                <w:szCs w:val="14"/>
                <w:shd w:val="clear" w:color="auto" w:fill="FFFFFF"/>
              </w:rPr>
              <w:t>、</w:t>
            </w:r>
            <w:r>
              <w:rPr>
                <w:rFonts w:ascii="微软雅黑" w:hAnsi="微软雅黑" w:eastAsia="微软雅黑" w:cs="微软雅黑"/>
                <w:color w:val="303133"/>
                <w:sz w:val="14"/>
                <w:szCs w:val="14"/>
                <w:shd w:val="clear" w:color="auto" w:fill="FFFFFF"/>
              </w:rPr>
              <w:t xml:space="preserve"> 三居(建面109㎡)</w:t>
            </w:r>
            <w:r>
              <w:rPr>
                <w:rFonts w:hint="eastAsia" w:ascii="微软雅黑" w:hAnsi="微软雅黑" w:eastAsia="微软雅黑" w:cs="微软雅黑"/>
                <w:color w:val="303133"/>
                <w:sz w:val="14"/>
                <w:szCs w:val="14"/>
                <w:shd w:val="clear" w:color="auto" w:fill="FFFFFF"/>
              </w:rPr>
              <w:t>、</w:t>
            </w:r>
            <w:r>
              <w:rPr>
                <w:rFonts w:ascii="微软雅黑" w:hAnsi="微软雅黑" w:eastAsia="微软雅黑" w:cs="微软雅黑"/>
                <w:color w:val="303133"/>
                <w:sz w:val="14"/>
                <w:szCs w:val="14"/>
                <w:shd w:val="clear" w:color="auto" w:fill="FFFFFF"/>
              </w:rPr>
              <w:t xml:space="preserve"> 三居(建面115㎡)</w:t>
            </w:r>
          </w:p>
        </w:tc>
        <w:tc>
          <w:tcPr>
            <w:tcW w:w="2900"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ascii="微软雅黑" w:hAnsi="微软雅黑" w:eastAsia="微软雅黑" w:cs="微软雅黑"/>
                <w:color w:val="303133"/>
                <w:sz w:val="14"/>
                <w:szCs w:val="14"/>
                <w:shd w:val="clear" w:color="auto" w:fill="FFFFFF"/>
              </w:rPr>
              <w:t>三居(建面107㎡) 三居(建面116㎡) 四居(建面118㎡)</w:t>
            </w:r>
          </w:p>
        </w:tc>
      </w:tr>
      <w:tr>
        <w:tblPrEx>
          <w:tblCellMar>
            <w:top w:w="57" w:type="dxa"/>
            <w:left w:w="57" w:type="dxa"/>
            <w:bottom w:w="57" w:type="dxa"/>
            <w:right w:w="57" w:type="dxa"/>
          </w:tblCellMar>
        </w:tblPrEx>
        <w:trPr>
          <w:cantSplit/>
          <w:trHeight w:val="283" w:hRule="atLeast"/>
          <w:jc w:val="center"/>
        </w:trPr>
        <w:tc>
          <w:tcPr>
            <w:tcW w:w="993" w:type="dxa"/>
            <w:shd w:val="clear" w:color="000000" w:fill="C0C0C0"/>
          </w:tcPr>
          <w:p>
            <w:pPr>
              <w:jc w:val="both"/>
              <w:rPr>
                <w:rFonts w:ascii="Arial" w:hAnsi="Arial" w:eastAsia="华文细黑" w:cs="Arial"/>
                <w:b/>
                <w:bCs/>
                <w:sz w:val="15"/>
                <w:szCs w:val="15"/>
              </w:rPr>
            </w:pPr>
            <w:r>
              <w:rPr>
                <w:rFonts w:hint="eastAsia" w:ascii="Arial" w:hAnsi="Arial" w:eastAsia="华文细黑" w:cs="Arial"/>
                <w:b/>
                <w:bCs/>
                <w:sz w:val="15"/>
                <w:szCs w:val="15"/>
              </w:rPr>
              <w:t>停车位</w:t>
            </w:r>
          </w:p>
        </w:tc>
        <w:tc>
          <w:tcPr>
            <w:tcW w:w="287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w:t>
            </w:r>
          </w:p>
        </w:tc>
        <w:tc>
          <w:tcPr>
            <w:tcW w:w="2900"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ascii="微软雅黑" w:hAnsi="微软雅黑" w:eastAsia="微软雅黑" w:cs="微软雅黑"/>
                <w:color w:val="303133"/>
                <w:sz w:val="14"/>
                <w:szCs w:val="14"/>
                <w:shd w:val="clear" w:color="auto" w:fill="FFFFFF"/>
              </w:rPr>
              <w:t>G37地块共1396个，G30地块车位未知</w:t>
            </w:r>
          </w:p>
        </w:tc>
      </w:tr>
      <w:tr>
        <w:tblPrEx>
          <w:tblCellMar>
            <w:top w:w="57" w:type="dxa"/>
            <w:left w:w="57" w:type="dxa"/>
            <w:bottom w:w="57" w:type="dxa"/>
            <w:right w:w="57" w:type="dxa"/>
          </w:tblCellMar>
        </w:tblPrEx>
        <w:trPr>
          <w:cantSplit/>
          <w:trHeight w:val="283" w:hRule="atLeast"/>
          <w:jc w:val="center"/>
        </w:trPr>
        <w:tc>
          <w:tcPr>
            <w:tcW w:w="993" w:type="dxa"/>
            <w:shd w:val="clear" w:color="000000" w:fill="C0C0C0"/>
            <w:vAlign w:val="center"/>
          </w:tcPr>
          <w:p>
            <w:pPr>
              <w:jc w:val="both"/>
              <w:rPr>
                <w:rFonts w:ascii="Arial" w:hAnsi="Arial" w:eastAsia="华文细黑" w:cs="Arial"/>
                <w:b/>
                <w:bCs/>
                <w:sz w:val="15"/>
                <w:szCs w:val="15"/>
              </w:rPr>
            </w:pPr>
            <w:r>
              <w:rPr>
                <w:rFonts w:ascii="Arial" w:hAnsi="Arial" w:eastAsia="华文细黑" w:cs="Arial"/>
                <w:b/>
                <w:bCs/>
                <w:sz w:val="15"/>
                <w:szCs w:val="15"/>
              </w:rPr>
              <w:t>总户数</w:t>
            </w:r>
          </w:p>
        </w:tc>
        <w:tc>
          <w:tcPr>
            <w:tcW w:w="287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600</w:t>
            </w:r>
            <w:r>
              <w:rPr>
                <w:rFonts w:ascii="微软雅黑" w:hAnsi="微软雅黑" w:eastAsia="微软雅黑" w:cs="微软雅黑"/>
                <w:color w:val="303133"/>
                <w:sz w:val="14"/>
                <w:szCs w:val="14"/>
                <w:shd w:val="clear" w:color="auto" w:fill="FFFFFF"/>
              </w:rPr>
              <w:t>户</w:t>
            </w:r>
          </w:p>
        </w:tc>
        <w:tc>
          <w:tcPr>
            <w:tcW w:w="2900"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1200</w:t>
            </w:r>
          </w:p>
        </w:tc>
      </w:tr>
      <w:tr>
        <w:tblPrEx>
          <w:tblCellMar>
            <w:top w:w="57" w:type="dxa"/>
            <w:left w:w="57" w:type="dxa"/>
            <w:bottom w:w="57" w:type="dxa"/>
            <w:right w:w="57" w:type="dxa"/>
          </w:tblCellMar>
        </w:tblPrEx>
        <w:trPr>
          <w:cantSplit/>
          <w:trHeight w:val="283" w:hRule="atLeast"/>
          <w:jc w:val="center"/>
        </w:trPr>
        <w:tc>
          <w:tcPr>
            <w:tcW w:w="993" w:type="dxa"/>
            <w:shd w:val="clear" w:color="000000" w:fill="C0C0C0"/>
            <w:vAlign w:val="center"/>
          </w:tcPr>
          <w:p>
            <w:pPr>
              <w:jc w:val="both"/>
              <w:rPr>
                <w:rFonts w:ascii="Arial" w:hAnsi="Arial" w:eastAsia="华文细黑" w:cs="Arial"/>
                <w:b/>
                <w:bCs/>
                <w:sz w:val="15"/>
                <w:szCs w:val="15"/>
              </w:rPr>
            </w:pPr>
            <w:r>
              <w:rPr>
                <w:rFonts w:hint="eastAsia" w:ascii="Arial" w:hAnsi="Arial" w:eastAsia="华文细黑" w:cs="Arial"/>
                <w:b/>
                <w:bCs/>
                <w:sz w:val="15"/>
                <w:szCs w:val="15"/>
              </w:rPr>
              <w:t>物业公司</w:t>
            </w:r>
          </w:p>
        </w:tc>
        <w:tc>
          <w:tcPr>
            <w:tcW w:w="287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ascii="微软雅黑" w:hAnsi="微软雅黑" w:eastAsia="微软雅黑" w:cs="微软雅黑"/>
                <w:color w:val="303133"/>
                <w:sz w:val="14"/>
                <w:szCs w:val="14"/>
                <w:shd w:val="clear" w:color="auto" w:fill="FFFFFF"/>
              </w:rPr>
              <w:t>金科物业服务集团有限公司</w:t>
            </w:r>
          </w:p>
        </w:tc>
        <w:tc>
          <w:tcPr>
            <w:tcW w:w="2900"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ascii="微软雅黑" w:hAnsi="微软雅黑" w:eastAsia="微软雅黑" w:cs="微软雅黑"/>
                <w:color w:val="303133"/>
                <w:sz w:val="14"/>
                <w:szCs w:val="14"/>
                <w:shd w:val="clear" w:color="auto" w:fill="FFFFFF"/>
              </w:rPr>
              <w:t>绿城物业</w:t>
            </w:r>
          </w:p>
        </w:tc>
      </w:tr>
      <w:tr>
        <w:tblPrEx>
          <w:tblCellMar>
            <w:top w:w="57" w:type="dxa"/>
            <w:left w:w="57" w:type="dxa"/>
            <w:bottom w:w="57" w:type="dxa"/>
            <w:right w:w="57" w:type="dxa"/>
          </w:tblCellMar>
        </w:tblPrEx>
        <w:trPr>
          <w:cantSplit/>
          <w:trHeight w:val="283" w:hRule="atLeast"/>
          <w:jc w:val="center"/>
        </w:trPr>
        <w:tc>
          <w:tcPr>
            <w:tcW w:w="993" w:type="dxa"/>
            <w:shd w:val="clear" w:color="000000" w:fill="C0C0C0"/>
            <w:vAlign w:val="center"/>
          </w:tcPr>
          <w:p>
            <w:pPr>
              <w:jc w:val="both"/>
              <w:rPr>
                <w:rFonts w:ascii="Arial" w:hAnsi="Arial" w:eastAsia="华文细黑" w:cs="Arial"/>
                <w:b/>
                <w:bCs/>
                <w:sz w:val="15"/>
                <w:szCs w:val="15"/>
              </w:rPr>
            </w:pPr>
            <w:r>
              <w:rPr>
                <w:rFonts w:hint="eastAsia" w:ascii="Arial" w:hAnsi="Arial" w:eastAsia="华文细黑" w:cs="Arial"/>
                <w:b/>
                <w:bCs/>
                <w:sz w:val="15"/>
                <w:szCs w:val="15"/>
              </w:rPr>
              <w:t>物业费</w:t>
            </w:r>
          </w:p>
        </w:tc>
        <w:tc>
          <w:tcPr>
            <w:tcW w:w="2874" w:type="dxa"/>
            <w:shd w:val="clear" w:color="auto" w:fill="auto"/>
            <w:vAlign w:val="center"/>
          </w:tcPr>
          <w:p>
            <w:pPr>
              <w:jc w:val="both"/>
              <w:rPr>
                <w:rFonts w:ascii="Arial" w:hAnsi="Arial" w:eastAsia="华文细黑" w:cs="Arial"/>
                <w:sz w:val="15"/>
                <w:szCs w:val="15"/>
              </w:rPr>
            </w:pPr>
            <w:r>
              <w:rPr>
                <w:rFonts w:hint="eastAsia" w:ascii="Arial" w:hAnsi="Arial" w:eastAsia="华文细黑" w:cs="Arial"/>
                <w:sz w:val="15"/>
                <w:szCs w:val="15"/>
              </w:rPr>
              <w:t>——</w:t>
            </w:r>
          </w:p>
        </w:tc>
        <w:tc>
          <w:tcPr>
            <w:tcW w:w="2900" w:type="dxa"/>
            <w:shd w:val="clear" w:color="auto" w:fill="auto"/>
            <w:vAlign w:val="center"/>
          </w:tcPr>
          <w:p>
            <w:pPr>
              <w:jc w:val="both"/>
              <w:rPr>
                <w:rFonts w:ascii="Arial" w:hAnsi="Arial" w:eastAsia="华文细黑" w:cs="Arial"/>
                <w:sz w:val="15"/>
                <w:szCs w:val="15"/>
              </w:rPr>
            </w:pPr>
            <w:r>
              <w:rPr>
                <w:rFonts w:hint="eastAsia" w:ascii="Arial" w:hAnsi="Arial" w:eastAsia="华文细黑" w:cs="Arial"/>
                <w:sz w:val="15"/>
                <w:szCs w:val="15"/>
              </w:rPr>
              <w:t>——</w:t>
            </w:r>
          </w:p>
        </w:tc>
      </w:tr>
      <w:tr>
        <w:tblPrEx>
          <w:tblCellMar>
            <w:top w:w="57" w:type="dxa"/>
            <w:left w:w="57" w:type="dxa"/>
            <w:bottom w:w="57" w:type="dxa"/>
            <w:right w:w="57" w:type="dxa"/>
          </w:tblCellMar>
        </w:tblPrEx>
        <w:trPr>
          <w:cantSplit/>
          <w:trHeight w:val="283" w:hRule="atLeast"/>
          <w:jc w:val="center"/>
        </w:trPr>
        <w:tc>
          <w:tcPr>
            <w:tcW w:w="993" w:type="dxa"/>
            <w:shd w:val="clear" w:color="000000" w:fill="C0C0C0"/>
            <w:vAlign w:val="center"/>
          </w:tcPr>
          <w:p>
            <w:pPr>
              <w:jc w:val="both"/>
              <w:rPr>
                <w:rFonts w:ascii="Arial" w:hAnsi="Arial" w:eastAsia="华文细黑" w:cs="Arial"/>
                <w:b/>
                <w:bCs/>
                <w:sz w:val="15"/>
                <w:szCs w:val="15"/>
              </w:rPr>
            </w:pPr>
            <w:r>
              <w:rPr>
                <w:rFonts w:ascii="Arial" w:hAnsi="Arial" w:eastAsia="华文细黑" w:cs="Arial"/>
                <w:b/>
                <w:bCs/>
                <w:sz w:val="15"/>
                <w:szCs w:val="15"/>
              </w:rPr>
              <w:t>交房时间</w:t>
            </w:r>
          </w:p>
        </w:tc>
        <w:tc>
          <w:tcPr>
            <w:tcW w:w="2874" w:type="dxa"/>
            <w:shd w:val="clear" w:color="auto" w:fill="auto"/>
            <w:vAlign w:val="center"/>
          </w:tcPr>
          <w:p>
            <w:pPr>
              <w:jc w:val="both"/>
              <w:rPr>
                <w:rFonts w:ascii="Arial" w:hAnsi="Arial" w:eastAsia="华文细黑" w:cs="Arial"/>
                <w:sz w:val="15"/>
                <w:szCs w:val="15"/>
              </w:rPr>
            </w:pPr>
            <w:r>
              <w:rPr>
                <w:rFonts w:ascii="Arial" w:hAnsi="Arial" w:eastAsia="华文细黑" w:cs="Arial"/>
                <w:sz w:val="15"/>
                <w:szCs w:val="15"/>
              </w:rPr>
              <w:t>2023年</w:t>
            </w:r>
          </w:p>
        </w:tc>
        <w:tc>
          <w:tcPr>
            <w:tcW w:w="2900" w:type="dxa"/>
            <w:shd w:val="clear" w:color="auto" w:fill="auto"/>
            <w:vAlign w:val="center"/>
          </w:tcPr>
          <w:p>
            <w:pPr>
              <w:jc w:val="both"/>
              <w:rPr>
                <w:rFonts w:ascii="Arial" w:hAnsi="Arial" w:eastAsia="华文细黑" w:cs="Arial"/>
                <w:sz w:val="15"/>
                <w:szCs w:val="15"/>
              </w:rPr>
            </w:pPr>
            <w:r>
              <w:rPr>
                <w:rFonts w:ascii="Arial" w:hAnsi="Arial" w:eastAsia="华文细黑" w:cs="Arial"/>
                <w:sz w:val="15"/>
                <w:szCs w:val="15"/>
              </w:rPr>
              <w:t>2023年</w:t>
            </w:r>
          </w:p>
        </w:tc>
      </w:tr>
      <w:tr>
        <w:tblPrEx>
          <w:tblCellMar>
            <w:top w:w="57" w:type="dxa"/>
            <w:left w:w="57" w:type="dxa"/>
            <w:bottom w:w="57" w:type="dxa"/>
            <w:right w:w="57" w:type="dxa"/>
          </w:tblCellMar>
        </w:tblPrEx>
        <w:trPr>
          <w:cantSplit/>
          <w:trHeight w:val="23" w:hRule="atLeast"/>
          <w:jc w:val="center"/>
        </w:trPr>
        <w:tc>
          <w:tcPr>
            <w:tcW w:w="993" w:type="dxa"/>
            <w:shd w:val="clear" w:color="000000" w:fill="C0C0C0"/>
            <w:vAlign w:val="center"/>
          </w:tcPr>
          <w:p>
            <w:pPr>
              <w:jc w:val="both"/>
              <w:rPr>
                <w:rFonts w:ascii="Arial" w:hAnsi="Arial" w:eastAsia="华文细黑" w:cs="Arial"/>
                <w:b/>
                <w:bCs/>
                <w:sz w:val="15"/>
                <w:szCs w:val="15"/>
              </w:rPr>
            </w:pPr>
            <w:r>
              <w:rPr>
                <w:rFonts w:ascii="Arial" w:hAnsi="Arial" w:eastAsia="华文细黑" w:cs="Arial"/>
                <w:b/>
                <w:bCs/>
                <w:sz w:val="15"/>
                <w:szCs w:val="15"/>
              </w:rPr>
              <w:t>装修情况</w:t>
            </w:r>
          </w:p>
        </w:tc>
        <w:tc>
          <w:tcPr>
            <w:tcW w:w="287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毛坯</w:t>
            </w:r>
          </w:p>
        </w:tc>
        <w:tc>
          <w:tcPr>
            <w:tcW w:w="2900"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毛坯</w:t>
            </w:r>
          </w:p>
        </w:tc>
      </w:tr>
      <w:tr>
        <w:tblPrEx>
          <w:tblCellMar>
            <w:top w:w="57" w:type="dxa"/>
            <w:left w:w="57" w:type="dxa"/>
            <w:bottom w:w="57" w:type="dxa"/>
            <w:right w:w="57" w:type="dxa"/>
          </w:tblCellMar>
        </w:tblPrEx>
        <w:trPr>
          <w:cantSplit/>
          <w:trHeight w:val="283" w:hRule="atLeast"/>
          <w:jc w:val="center"/>
        </w:trPr>
        <w:tc>
          <w:tcPr>
            <w:tcW w:w="993" w:type="dxa"/>
            <w:shd w:val="clear" w:color="000000" w:fill="C0C0C0"/>
            <w:vAlign w:val="center"/>
          </w:tcPr>
          <w:p>
            <w:pPr>
              <w:jc w:val="both"/>
              <w:rPr>
                <w:rFonts w:ascii="Arial" w:hAnsi="Arial" w:eastAsia="华文细黑" w:cs="Arial"/>
                <w:b/>
                <w:bCs/>
                <w:sz w:val="15"/>
                <w:szCs w:val="15"/>
              </w:rPr>
            </w:pPr>
            <w:r>
              <w:rPr>
                <w:rFonts w:ascii="Arial" w:hAnsi="Arial" w:eastAsia="华文细黑" w:cs="Arial"/>
                <w:b/>
                <w:bCs/>
                <w:sz w:val="15"/>
                <w:szCs w:val="15"/>
              </w:rPr>
              <w:t>销售状态</w:t>
            </w:r>
          </w:p>
        </w:tc>
        <w:tc>
          <w:tcPr>
            <w:tcW w:w="287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ascii="微软雅黑" w:hAnsi="微软雅黑" w:eastAsia="微软雅黑" w:cs="微软雅黑"/>
                <w:color w:val="303133"/>
                <w:sz w:val="14"/>
                <w:szCs w:val="14"/>
                <w:shd w:val="clear" w:color="auto" w:fill="FFFFFF"/>
              </w:rPr>
              <w:t>在售</w:t>
            </w:r>
          </w:p>
        </w:tc>
        <w:tc>
          <w:tcPr>
            <w:tcW w:w="2900"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ascii="微软雅黑" w:hAnsi="微软雅黑" w:eastAsia="微软雅黑" w:cs="微软雅黑"/>
                <w:color w:val="303133"/>
                <w:sz w:val="14"/>
                <w:szCs w:val="14"/>
                <w:shd w:val="clear" w:color="auto" w:fill="FFFFFF"/>
              </w:rPr>
              <w:t>在售</w:t>
            </w:r>
          </w:p>
        </w:tc>
      </w:tr>
      <w:tr>
        <w:tblPrEx>
          <w:tblCellMar>
            <w:top w:w="57" w:type="dxa"/>
            <w:left w:w="57" w:type="dxa"/>
            <w:bottom w:w="57" w:type="dxa"/>
            <w:right w:w="57" w:type="dxa"/>
          </w:tblCellMar>
        </w:tblPrEx>
        <w:trPr>
          <w:cantSplit/>
          <w:trHeight w:val="283" w:hRule="atLeast"/>
          <w:jc w:val="center"/>
        </w:trPr>
        <w:tc>
          <w:tcPr>
            <w:tcW w:w="993" w:type="dxa"/>
            <w:shd w:val="clear" w:color="000000" w:fill="C0C0C0"/>
            <w:vAlign w:val="center"/>
          </w:tcPr>
          <w:p>
            <w:pPr>
              <w:jc w:val="both"/>
              <w:rPr>
                <w:rFonts w:ascii="Arial" w:hAnsi="Arial" w:eastAsia="华文细黑" w:cs="Arial"/>
                <w:b/>
                <w:bCs/>
                <w:sz w:val="15"/>
                <w:szCs w:val="15"/>
              </w:rPr>
            </w:pPr>
            <w:r>
              <w:rPr>
                <w:rFonts w:ascii="Arial" w:hAnsi="Arial" w:eastAsia="华文细黑" w:cs="Arial"/>
                <w:b/>
                <w:bCs/>
                <w:sz w:val="15"/>
                <w:szCs w:val="15"/>
              </w:rPr>
              <w:t>销售情况</w:t>
            </w:r>
          </w:p>
        </w:tc>
        <w:tc>
          <w:tcPr>
            <w:tcW w:w="2874"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在售</w:t>
            </w:r>
            <w:r>
              <w:rPr>
                <w:rFonts w:ascii="微软雅黑" w:hAnsi="微软雅黑" w:eastAsia="微软雅黑" w:cs="微软雅黑"/>
                <w:color w:val="303133"/>
                <w:sz w:val="14"/>
                <w:szCs w:val="14"/>
                <w:shd w:val="clear" w:color="auto" w:fill="FFFFFF"/>
              </w:rPr>
              <w:t>均价</w:t>
            </w:r>
            <w:r>
              <w:rPr>
                <w:rFonts w:hint="eastAsia" w:ascii="微软雅黑" w:hAnsi="微软雅黑" w:eastAsia="微软雅黑" w:cs="微软雅黑"/>
                <w:color w:val="303133"/>
                <w:sz w:val="14"/>
                <w:szCs w:val="14"/>
                <w:shd w:val="clear" w:color="auto" w:fill="FFFFFF"/>
              </w:rPr>
              <w:t>13800</w:t>
            </w:r>
            <w:r>
              <w:rPr>
                <w:rFonts w:ascii="微软雅黑" w:hAnsi="微软雅黑" w:eastAsia="微软雅黑" w:cs="微软雅黑"/>
                <w:color w:val="303133"/>
                <w:sz w:val="14"/>
                <w:szCs w:val="14"/>
                <w:shd w:val="clear" w:color="auto" w:fill="FFFFFF"/>
              </w:rPr>
              <w:t>元/㎡</w:t>
            </w:r>
          </w:p>
        </w:tc>
        <w:tc>
          <w:tcPr>
            <w:tcW w:w="2900" w:type="dxa"/>
            <w:shd w:val="clear" w:color="auto" w:fill="auto"/>
            <w:vAlign w:val="center"/>
          </w:tcPr>
          <w:p>
            <w:pPr>
              <w:jc w:val="both"/>
              <w:rPr>
                <w:rFonts w:ascii="微软雅黑" w:hAnsi="微软雅黑" w:eastAsia="微软雅黑" w:cs="微软雅黑"/>
                <w:color w:val="303133"/>
                <w:sz w:val="14"/>
                <w:szCs w:val="14"/>
                <w:shd w:val="clear" w:color="auto" w:fill="FFFFFF"/>
              </w:rPr>
            </w:pPr>
            <w:r>
              <w:rPr>
                <w:rFonts w:hint="eastAsia" w:ascii="微软雅黑" w:hAnsi="微软雅黑" w:eastAsia="微软雅黑" w:cs="微软雅黑"/>
                <w:color w:val="303133"/>
                <w:sz w:val="14"/>
                <w:szCs w:val="14"/>
                <w:shd w:val="clear" w:color="auto" w:fill="FFFFFF"/>
              </w:rPr>
              <w:t>已售成交均价及在售均价19400</w:t>
            </w:r>
            <w:r>
              <w:rPr>
                <w:rFonts w:ascii="微软雅黑" w:hAnsi="微软雅黑" w:eastAsia="微软雅黑" w:cs="微软雅黑"/>
                <w:color w:val="303133"/>
                <w:sz w:val="14"/>
                <w:szCs w:val="14"/>
                <w:shd w:val="clear" w:color="auto" w:fill="FFFFFF"/>
              </w:rPr>
              <w:t>元/</w:t>
            </w:r>
            <w:r>
              <w:rPr>
                <w:rFonts w:hint="eastAsia" w:ascii="微软雅黑" w:hAnsi="微软雅黑" w:eastAsia="微软雅黑" w:cs="微软雅黑"/>
                <w:color w:val="303133"/>
                <w:sz w:val="14"/>
                <w:szCs w:val="14"/>
                <w:shd w:val="clear" w:color="auto" w:fill="FFFFFF"/>
              </w:rPr>
              <w:t>㎡</w:t>
            </w:r>
          </w:p>
        </w:tc>
      </w:tr>
      <w:tr>
        <w:tblPrEx>
          <w:tblCellMar>
            <w:top w:w="57" w:type="dxa"/>
            <w:left w:w="57" w:type="dxa"/>
            <w:bottom w:w="57" w:type="dxa"/>
            <w:right w:w="57" w:type="dxa"/>
          </w:tblCellMar>
        </w:tblPrEx>
        <w:trPr>
          <w:cantSplit/>
          <w:trHeight w:val="283" w:hRule="atLeast"/>
          <w:jc w:val="center"/>
        </w:trPr>
        <w:tc>
          <w:tcPr>
            <w:tcW w:w="993" w:type="dxa"/>
            <w:shd w:val="clear" w:color="000000" w:fill="C0C0C0"/>
            <w:vAlign w:val="center"/>
          </w:tcPr>
          <w:p>
            <w:pPr>
              <w:jc w:val="both"/>
              <w:rPr>
                <w:rFonts w:ascii="Arial" w:hAnsi="Arial" w:eastAsia="华文细黑" w:cs="Arial"/>
                <w:b/>
                <w:bCs/>
                <w:sz w:val="15"/>
                <w:szCs w:val="15"/>
                <w:highlight w:val="yellow"/>
              </w:rPr>
            </w:pPr>
            <w:bookmarkStart w:id="135" w:name="_Hlk104427507"/>
            <w:r>
              <w:rPr>
                <w:rFonts w:ascii="Arial" w:hAnsi="Arial" w:eastAsia="华文细黑" w:cs="Arial"/>
                <w:b/>
                <w:bCs/>
                <w:sz w:val="15"/>
                <w:szCs w:val="15"/>
              </w:rPr>
              <w:t>去化情况</w:t>
            </w:r>
          </w:p>
        </w:tc>
        <w:tc>
          <w:tcPr>
            <w:tcW w:w="2874" w:type="dxa"/>
            <w:shd w:val="clear" w:color="auto" w:fill="auto"/>
            <w:vAlign w:val="center"/>
          </w:tcPr>
          <w:p>
            <w:pPr>
              <w:jc w:val="both"/>
              <w:rPr>
                <w:rFonts w:ascii="Arial" w:hAnsi="Arial" w:eastAsia="华文细黑" w:cs="Arial"/>
                <w:sz w:val="15"/>
                <w:szCs w:val="15"/>
              </w:rPr>
            </w:pPr>
            <w:r>
              <w:rPr>
                <w:rFonts w:hint="eastAsia" w:ascii="Arial" w:hAnsi="Arial" w:eastAsia="华文细黑" w:cs="Arial"/>
                <w:sz w:val="15"/>
                <w:szCs w:val="15"/>
              </w:rPr>
              <w:t>共推出666套可售房源，累计签约650套，去化接近98%</w:t>
            </w:r>
            <w:r>
              <w:rPr>
                <w:rFonts w:ascii="Arial" w:hAnsi="Arial" w:eastAsia="华文细黑" w:cs="Arial"/>
                <w:sz w:val="15"/>
                <w:szCs w:val="15"/>
              </w:rPr>
              <w:t>。</w:t>
            </w:r>
          </w:p>
        </w:tc>
        <w:tc>
          <w:tcPr>
            <w:tcW w:w="2900" w:type="dxa"/>
            <w:shd w:val="clear" w:color="auto" w:fill="auto"/>
            <w:vAlign w:val="center"/>
          </w:tcPr>
          <w:p>
            <w:pPr>
              <w:jc w:val="both"/>
              <w:rPr>
                <w:rFonts w:ascii="Arial" w:hAnsi="Arial" w:eastAsia="华文细黑" w:cs="Arial"/>
                <w:sz w:val="15"/>
                <w:szCs w:val="15"/>
              </w:rPr>
            </w:pPr>
            <w:r>
              <w:rPr>
                <w:rFonts w:ascii="Arial" w:hAnsi="Arial" w:eastAsia="华文细黑" w:cs="Arial"/>
                <w:sz w:val="15"/>
                <w:szCs w:val="15"/>
              </w:rPr>
              <w:t>202</w:t>
            </w:r>
            <w:r>
              <w:rPr>
                <w:rFonts w:hint="eastAsia" w:ascii="Arial" w:hAnsi="Arial" w:eastAsia="华文细黑" w:cs="Arial"/>
                <w:sz w:val="15"/>
                <w:szCs w:val="15"/>
              </w:rPr>
              <w:t>0</w:t>
            </w:r>
            <w:r>
              <w:rPr>
                <w:rFonts w:ascii="Arial" w:hAnsi="Arial" w:eastAsia="华文细黑" w:cs="Arial"/>
                <w:sz w:val="15"/>
                <w:szCs w:val="15"/>
              </w:rPr>
              <w:t>年1</w:t>
            </w:r>
            <w:r>
              <w:rPr>
                <w:rFonts w:hint="eastAsia" w:ascii="Arial" w:hAnsi="Arial" w:eastAsia="华文细黑" w:cs="Arial"/>
                <w:sz w:val="15"/>
                <w:szCs w:val="15"/>
              </w:rPr>
              <w:t>2</w:t>
            </w:r>
            <w:r>
              <w:rPr>
                <w:rFonts w:ascii="Arial" w:hAnsi="Arial" w:eastAsia="华文细黑" w:cs="Arial"/>
                <w:sz w:val="15"/>
                <w:szCs w:val="15"/>
              </w:rPr>
              <w:t>月开盘，累计推出</w:t>
            </w:r>
            <w:r>
              <w:rPr>
                <w:rFonts w:hint="eastAsia" w:ascii="Arial" w:hAnsi="Arial" w:eastAsia="华文细黑" w:cs="Arial"/>
                <w:sz w:val="15"/>
                <w:szCs w:val="15"/>
              </w:rPr>
              <w:t>818</w:t>
            </w:r>
            <w:r>
              <w:rPr>
                <w:rFonts w:ascii="Arial" w:hAnsi="Arial" w:eastAsia="华文细黑" w:cs="Arial"/>
                <w:sz w:val="15"/>
                <w:szCs w:val="15"/>
              </w:rPr>
              <w:t>套，累计</w:t>
            </w:r>
            <w:r>
              <w:rPr>
                <w:rFonts w:hint="eastAsia" w:ascii="Arial" w:hAnsi="Arial" w:eastAsia="华文细黑" w:cs="Arial"/>
                <w:sz w:val="15"/>
                <w:szCs w:val="15"/>
              </w:rPr>
              <w:t>成交402</w:t>
            </w:r>
            <w:r>
              <w:rPr>
                <w:rFonts w:ascii="Arial" w:hAnsi="Arial" w:eastAsia="华文细黑" w:cs="Arial"/>
                <w:sz w:val="15"/>
                <w:szCs w:val="15"/>
              </w:rPr>
              <w:t>套，</w:t>
            </w:r>
            <w:r>
              <w:rPr>
                <w:rFonts w:hint="eastAsia" w:ascii="Arial" w:hAnsi="Arial" w:eastAsia="华文细黑" w:cs="Arial"/>
                <w:sz w:val="15"/>
                <w:szCs w:val="15"/>
              </w:rPr>
              <w:t>去化率约50%</w:t>
            </w:r>
            <w:r>
              <w:rPr>
                <w:rFonts w:ascii="Arial" w:hAnsi="Arial" w:eastAsia="华文细黑" w:cs="Arial"/>
                <w:sz w:val="15"/>
                <w:szCs w:val="15"/>
              </w:rPr>
              <w:t>。</w:t>
            </w:r>
          </w:p>
        </w:tc>
      </w:tr>
      <w:bookmarkEnd w:id="135"/>
      <w:tr>
        <w:tblPrEx>
          <w:tblCellMar>
            <w:top w:w="57" w:type="dxa"/>
            <w:left w:w="57" w:type="dxa"/>
            <w:bottom w:w="57" w:type="dxa"/>
            <w:right w:w="57" w:type="dxa"/>
          </w:tblCellMar>
        </w:tblPrEx>
        <w:trPr>
          <w:cantSplit/>
          <w:trHeight w:val="498" w:hRule="atLeast"/>
          <w:jc w:val="center"/>
        </w:trPr>
        <w:tc>
          <w:tcPr>
            <w:tcW w:w="993" w:type="dxa"/>
            <w:tcBorders>
              <w:bottom w:val="single" w:color="auto" w:sz="12" w:space="0"/>
            </w:tcBorders>
            <w:shd w:val="clear" w:color="000000" w:fill="C0C0C0"/>
            <w:vAlign w:val="center"/>
          </w:tcPr>
          <w:p>
            <w:pPr>
              <w:jc w:val="both"/>
              <w:rPr>
                <w:rFonts w:ascii="Arial" w:hAnsi="Arial" w:eastAsia="华文细黑" w:cs="Arial"/>
                <w:b/>
                <w:bCs/>
                <w:sz w:val="15"/>
                <w:szCs w:val="15"/>
              </w:rPr>
            </w:pPr>
            <w:r>
              <w:rPr>
                <w:rFonts w:hint="eastAsia" w:ascii="Arial" w:hAnsi="Arial" w:eastAsia="华文细黑" w:cs="Arial"/>
                <w:b/>
                <w:bCs/>
                <w:sz w:val="15"/>
                <w:szCs w:val="15"/>
              </w:rPr>
              <w:t>车位售价</w:t>
            </w:r>
          </w:p>
        </w:tc>
        <w:tc>
          <w:tcPr>
            <w:tcW w:w="2874" w:type="dxa"/>
            <w:tcBorders>
              <w:bottom w:val="single" w:color="auto" w:sz="12" w:space="0"/>
            </w:tcBorders>
            <w:shd w:val="clear" w:color="auto" w:fill="auto"/>
            <w:vAlign w:val="center"/>
          </w:tcPr>
          <w:p>
            <w:pPr>
              <w:jc w:val="both"/>
              <w:rPr>
                <w:rFonts w:ascii="Arial" w:hAnsi="Arial" w:eastAsia="华文细黑" w:cs="Arial"/>
                <w:sz w:val="15"/>
                <w:szCs w:val="15"/>
              </w:rPr>
            </w:pPr>
            <w:r>
              <w:rPr>
                <w:rFonts w:hint="eastAsia" w:ascii="Arial" w:hAnsi="Arial" w:eastAsia="华文细黑" w:cs="Arial"/>
                <w:sz w:val="15"/>
                <w:szCs w:val="15"/>
              </w:rPr>
              <w:t>——</w:t>
            </w:r>
          </w:p>
        </w:tc>
        <w:tc>
          <w:tcPr>
            <w:tcW w:w="2900" w:type="dxa"/>
            <w:tcBorders>
              <w:bottom w:val="single" w:color="auto" w:sz="12" w:space="0"/>
            </w:tcBorders>
            <w:shd w:val="clear" w:color="auto" w:fill="auto"/>
            <w:vAlign w:val="center"/>
          </w:tcPr>
          <w:p>
            <w:pPr>
              <w:jc w:val="both"/>
              <w:rPr>
                <w:rFonts w:ascii="Arial" w:hAnsi="Arial" w:eastAsia="华文细黑" w:cs="Arial"/>
                <w:sz w:val="15"/>
                <w:szCs w:val="15"/>
              </w:rPr>
            </w:pPr>
            <w:r>
              <w:rPr>
                <w:rFonts w:hint="eastAsia" w:ascii="Arial" w:hAnsi="Arial" w:eastAsia="华文细黑" w:cs="Arial"/>
                <w:sz w:val="15"/>
                <w:szCs w:val="15"/>
              </w:rPr>
              <w:t>——</w:t>
            </w:r>
          </w:p>
        </w:tc>
      </w:tr>
    </w:tbl>
    <w:p>
      <w:pPr>
        <w:spacing w:line="360" w:lineRule="auto"/>
        <w:rPr>
          <w:rFonts w:ascii="Arial" w:hAnsi="Arial" w:cs="Arial"/>
          <w:color w:val="000000"/>
          <w:sz w:val="21"/>
          <w:szCs w:val="21"/>
        </w:rPr>
      </w:pPr>
      <w:r>
        <w:rPr>
          <w:rFonts w:hint="eastAsia" w:ascii="华文细黑" w:hAnsi="华文细黑" w:eastAsia="华文细黑" w:cs="Arial"/>
          <w:color w:val="000000"/>
          <w:sz w:val="15"/>
          <w:szCs w:val="15"/>
        </w:rPr>
        <w:t>资料来源：房天下网站、</w:t>
      </w:r>
      <w:r>
        <w:rPr>
          <w:rFonts w:ascii="华文细黑" w:hAnsi="华文细黑" w:eastAsia="华文细黑" w:cs="Arial"/>
          <w:color w:val="000000"/>
          <w:sz w:val="15"/>
          <w:szCs w:val="15"/>
        </w:rPr>
        <w:t>CREIS中指数据</w:t>
      </w:r>
      <w:r>
        <w:rPr>
          <w:rFonts w:hint="eastAsia" w:ascii="华文细黑" w:hAnsi="华文细黑" w:eastAsia="华文细黑" w:cs="Arial"/>
          <w:color w:val="000000"/>
          <w:sz w:val="15"/>
          <w:szCs w:val="15"/>
        </w:rPr>
        <w:t>、市场调研资料、电话市调数据</w:t>
      </w:r>
    </w:p>
    <w:p>
      <w:pPr>
        <w:widowControl w:val="0"/>
        <w:adjustRightInd w:val="0"/>
        <w:snapToGrid w:val="0"/>
        <w:spacing w:line="480" w:lineRule="auto"/>
        <w:ind w:firstLine="420" w:firstLineChars="200"/>
        <w:jc w:val="both"/>
        <w:rPr>
          <w:rFonts w:ascii="Arial" w:hAnsi="Arial" w:cs="Arial"/>
          <w:color w:val="000000"/>
          <w:sz w:val="21"/>
          <w:szCs w:val="21"/>
        </w:rPr>
      </w:pPr>
    </w:p>
    <w:p>
      <w:pPr>
        <w:pStyle w:val="2"/>
        <w:ind w:firstLine="280"/>
      </w:pPr>
    </w:p>
    <w:p>
      <w:pPr>
        <w:widowControl w:val="0"/>
        <w:adjustRightInd w:val="0"/>
        <w:snapToGrid w:val="0"/>
        <w:spacing w:line="480" w:lineRule="auto"/>
        <w:ind w:firstLine="420" w:firstLineChars="200"/>
        <w:jc w:val="both"/>
        <w:rPr>
          <w:rFonts w:ascii="Arial" w:hAnsi="Arial" w:cs="Arial"/>
          <w:color w:val="000000"/>
          <w:sz w:val="21"/>
          <w:szCs w:val="21"/>
        </w:rPr>
      </w:pPr>
    </w:p>
    <w:p>
      <w:pPr>
        <w:widowControl w:val="0"/>
        <w:adjustRightInd w:val="0"/>
        <w:snapToGrid w:val="0"/>
        <w:spacing w:line="480" w:lineRule="auto"/>
        <w:ind w:firstLine="420" w:firstLineChars="200"/>
        <w:jc w:val="both"/>
        <w:rPr>
          <w:rFonts w:ascii="Arial" w:hAnsi="Arial" w:cs="Arial"/>
          <w:color w:val="000000"/>
          <w:sz w:val="21"/>
          <w:szCs w:val="21"/>
        </w:rPr>
      </w:pPr>
    </w:p>
    <w:p>
      <w:pPr>
        <w:widowControl w:val="0"/>
        <w:tabs>
          <w:tab w:val="left" w:pos="567"/>
        </w:tabs>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项目</w:t>
      </w:r>
      <w:r>
        <w:rPr>
          <w:rFonts w:hint="eastAsia" w:ascii="Arial" w:hAnsi="Arial" w:cs="Arial"/>
          <w:sz w:val="21"/>
          <w:szCs w:val="21"/>
        </w:rPr>
        <w:t>所在版块</w:t>
      </w:r>
      <w:r>
        <w:rPr>
          <w:rFonts w:ascii="Arial" w:hAnsi="Arial" w:cs="Arial"/>
          <w:sz w:val="21"/>
          <w:szCs w:val="21"/>
        </w:rPr>
        <w:t>内</w:t>
      </w:r>
      <w:r>
        <w:rPr>
          <w:rFonts w:hint="eastAsia" w:ascii="Arial" w:hAnsi="Arial" w:cs="Arial"/>
          <w:sz w:val="21"/>
          <w:szCs w:val="21"/>
        </w:rPr>
        <w:t>存量房项目成交较密集，通过评估人员市场调研，项目周边品质较高，楼龄较近、物业管理水平较好的次新房，售价在20000元/平方米左右；品质一般，楼龄有一定年代、物业管理水平一般的存量房，售价在16000-18000元/平方米左右；附近江景房需求较旺盛，售价在25000-30000元/平方米左右。项目周边二手房小区车位售价普遍12万/个起，产权车位和无产权车位售价差距不大。</w:t>
      </w:r>
    </w:p>
    <w:p>
      <w:pPr>
        <w:widowControl w:val="0"/>
        <w:tabs>
          <w:tab w:val="left" w:pos="567"/>
        </w:tabs>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根据现场市调、链家网数据、房天下数据、电话访谈记录等查询数据显示，周边存量房销售情况见下：</w:t>
      </w:r>
    </w:p>
    <w:tbl>
      <w:tblPr>
        <w:tblStyle w:val="36"/>
        <w:tblW w:w="9511" w:type="dxa"/>
        <w:jc w:val="center"/>
        <w:tblLayout w:type="fixed"/>
        <w:tblCellMar>
          <w:top w:w="0" w:type="dxa"/>
          <w:left w:w="108" w:type="dxa"/>
          <w:bottom w:w="0" w:type="dxa"/>
          <w:right w:w="108" w:type="dxa"/>
        </w:tblCellMar>
      </w:tblPr>
      <w:tblGrid>
        <w:gridCol w:w="1575"/>
        <w:gridCol w:w="1283"/>
        <w:gridCol w:w="1985"/>
        <w:gridCol w:w="1477"/>
        <w:gridCol w:w="3191"/>
      </w:tblGrid>
      <w:tr>
        <w:tblPrEx>
          <w:tblCellMar>
            <w:top w:w="0" w:type="dxa"/>
            <w:left w:w="108" w:type="dxa"/>
            <w:bottom w:w="0" w:type="dxa"/>
            <w:right w:w="108" w:type="dxa"/>
          </w:tblCellMar>
        </w:tblPrEx>
        <w:trPr>
          <w:trHeight w:val="420" w:hRule="atLeast"/>
          <w:jc w:val="center"/>
        </w:trPr>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b/>
                <w:bCs/>
                <w:color w:val="303133"/>
                <w:sz w:val="15"/>
                <w:szCs w:val="15"/>
                <w:shd w:val="clear" w:color="auto" w:fill="FFFFFF"/>
              </w:rPr>
            </w:pPr>
            <w:r>
              <w:rPr>
                <w:rFonts w:ascii="Arial" w:hAnsi="Arial" w:cs="Arial"/>
                <w:b/>
                <w:bCs/>
                <w:color w:val="303133"/>
                <w:sz w:val="15"/>
                <w:szCs w:val="15"/>
                <w:shd w:val="clear" w:color="auto" w:fill="FFFFFF"/>
              </w:rPr>
              <w:t>楼盘名称</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b/>
                <w:bCs/>
                <w:color w:val="303133"/>
                <w:sz w:val="15"/>
                <w:szCs w:val="15"/>
                <w:shd w:val="clear" w:color="auto" w:fill="FFFFFF"/>
              </w:rPr>
            </w:pPr>
            <w:r>
              <w:rPr>
                <w:rFonts w:ascii="Arial" w:hAnsi="Arial" w:cs="Arial"/>
                <w:b/>
                <w:bCs/>
                <w:color w:val="303133"/>
                <w:sz w:val="15"/>
                <w:szCs w:val="15"/>
                <w:shd w:val="clear" w:color="auto" w:fill="FFFFFF"/>
              </w:rPr>
              <w:t>类型</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b/>
                <w:bCs/>
                <w:color w:val="303133"/>
                <w:sz w:val="15"/>
                <w:szCs w:val="15"/>
                <w:shd w:val="clear" w:color="auto" w:fill="FFFFFF"/>
              </w:rPr>
            </w:pPr>
            <w:r>
              <w:rPr>
                <w:rFonts w:ascii="Arial" w:hAnsi="Arial" w:cs="Arial"/>
                <w:b/>
                <w:bCs/>
                <w:color w:val="303133"/>
                <w:sz w:val="15"/>
                <w:szCs w:val="15"/>
                <w:shd w:val="clear" w:color="auto" w:fill="FFFFFF"/>
              </w:rPr>
              <w:t>市场挂网售价（元/㎡）</w:t>
            </w:r>
          </w:p>
        </w:tc>
        <w:tc>
          <w:tcPr>
            <w:tcW w:w="1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b/>
                <w:bCs/>
                <w:color w:val="303133"/>
                <w:sz w:val="15"/>
                <w:szCs w:val="15"/>
                <w:shd w:val="clear" w:color="auto" w:fill="FFFFFF"/>
              </w:rPr>
            </w:pPr>
            <w:r>
              <w:rPr>
                <w:rFonts w:ascii="Arial" w:hAnsi="Arial" w:cs="Arial"/>
                <w:b/>
                <w:bCs/>
                <w:color w:val="303133"/>
                <w:sz w:val="15"/>
                <w:szCs w:val="15"/>
                <w:shd w:val="clear" w:color="auto" w:fill="FFFFFF"/>
              </w:rPr>
              <w:t>建成年代</w:t>
            </w:r>
          </w:p>
        </w:tc>
        <w:tc>
          <w:tcPr>
            <w:tcW w:w="3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b/>
                <w:bCs/>
                <w:color w:val="303133"/>
                <w:sz w:val="15"/>
                <w:szCs w:val="15"/>
                <w:shd w:val="clear" w:color="auto" w:fill="FFFFFF"/>
              </w:rPr>
            </w:pPr>
            <w:r>
              <w:rPr>
                <w:rFonts w:ascii="Arial" w:hAnsi="Arial" w:cs="Arial"/>
                <w:b/>
                <w:bCs/>
                <w:color w:val="303133"/>
                <w:sz w:val="15"/>
                <w:szCs w:val="15"/>
                <w:shd w:val="clear" w:color="auto" w:fill="FFFFFF"/>
              </w:rPr>
              <w:t>备  注</w:t>
            </w:r>
          </w:p>
        </w:tc>
      </w:tr>
      <w:tr>
        <w:tblPrEx>
          <w:tblCellMar>
            <w:top w:w="0" w:type="dxa"/>
            <w:left w:w="108" w:type="dxa"/>
            <w:bottom w:w="0" w:type="dxa"/>
            <w:right w:w="108" w:type="dxa"/>
          </w:tblCellMar>
        </w:tblPrEx>
        <w:trPr>
          <w:trHeight w:val="420" w:hRule="atLeast"/>
          <w:jc w:val="center"/>
        </w:trPr>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永嘉碧桂园</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高层</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21000</w:t>
            </w:r>
          </w:p>
        </w:tc>
        <w:tc>
          <w:tcPr>
            <w:tcW w:w="1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2018</w:t>
            </w:r>
          </w:p>
        </w:tc>
        <w:tc>
          <w:tcPr>
            <w:tcW w:w="3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江景房、距离项目最近、楼盘品质较高</w:t>
            </w:r>
          </w:p>
        </w:tc>
      </w:tr>
      <w:tr>
        <w:tblPrEx>
          <w:tblCellMar>
            <w:top w:w="0" w:type="dxa"/>
            <w:left w:w="108" w:type="dxa"/>
            <w:bottom w:w="0" w:type="dxa"/>
            <w:right w:w="108" w:type="dxa"/>
          </w:tblCellMar>
        </w:tblPrEx>
        <w:trPr>
          <w:trHeight w:val="420" w:hRule="atLeast"/>
          <w:jc w:val="center"/>
        </w:trPr>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华鸿幸福里</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高层</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16000</w:t>
            </w:r>
          </w:p>
        </w:tc>
        <w:tc>
          <w:tcPr>
            <w:tcW w:w="1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2015</w:t>
            </w:r>
          </w:p>
        </w:tc>
        <w:tc>
          <w:tcPr>
            <w:tcW w:w="3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小区品质较普通</w:t>
            </w:r>
          </w:p>
        </w:tc>
      </w:tr>
      <w:tr>
        <w:tblPrEx>
          <w:tblCellMar>
            <w:top w:w="0" w:type="dxa"/>
            <w:left w:w="108" w:type="dxa"/>
            <w:bottom w:w="0" w:type="dxa"/>
            <w:right w:w="108" w:type="dxa"/>
          </w:tblCellMar>
        </w:tblPrEx>
        <w:trPr>
          <w:trHeight w:val="420" w:hRule="atLeast"/>
          <w:jc w:val="center"/>
        </w:trPr>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华鸿江山壹号</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高层</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17000</w:t>
            </w:r>
          </w:p>
        </w:tc>
        <w:tc>
          <w:tcPr>
            <w:tcW w:w="1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w:t>
            </w:r>
          </w:p>
        </w:tc>
        <w:tc>
          <w:tcPr>
            <w:tcW w:w="3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江景房</w:t>
            </w:r>
          </w:p>
        </w:tc>
      </w:tr>
      <w:tr>
        <w:tblPrEx>
          <w:tblCellMar>
            <w:top w:w="0" w:type="dxa"/>
            <w:left w:w="108" w:type="dxa"/>
            <w:bottom w:w="0" w:type="dxa"/>
            <w:right w:w="108" w:type="dxa"/>
          </w:tblCellMar>
        </w:tblPrEx>
        <w:trPr>
          <w:trHeight w:val="420" w:hRule="atLeast"/>
          <w:jc w:val="center"/>
        </w:trPr>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紫金花园</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洋房</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25000</w:t>
            </w:r>
          </w:p>
        </w:tc>
        <w:tc>
          <w:tcPr>
            <w:tcW w:w="1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2012</w:t>
            </w:r>
          </w:p>
        </w:tc>
        <w:tc>
          <w:tcPr>
            <w:tcW w:w="3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楼盘品质较高</w:t>
            </w:r>
          </w:p>
        </w:tc>
      </w:tr>
      <w:tr>
        <w:tblPrEx>
          <w:tblCellMar>
            <w:top w:w="0" w:type="dxa"/>
            <w:left w:w="108" w:type="dxa"/>
            <w:bottom w:w="0" w:type="dxa"/>
            <w:right w:w="108" w:type="dxa"/>
          </w:tblCellMar>
        </w:tblPrEx>
        <w:trPr>
          <w:trHeight w:val="420" w:hRule="atLeast"/>
          <w:jc w:val="center"/>
        </w:trPr>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五中花园</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多层</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17000</w:t>
            </w:r>
          </w:p>
        </w:tc>
        <w:tc>
          <w:tcPr>
            <w:tcW w:w="1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2002</w:t>
            </w:r>
          </w:p>
        </w:tc>
        <w:tc>
          <w:tcPr>
            <w:tcW w:w="3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小区品质较普通</w:t>
            </w:r>
          </w:p>
        </w:tc>
      </w:tr>
      <w:tr>
        <w:tblPrEx>
          <w:tblCellMar>
            <w:top w:w="0" w:type="dxa"/>
            <w:left w:w="108" w:type="dxa"/>
            <w:bottom w:w="0" w:type="dxa"/>
            <w:right w:w="108" w:type="dxa"/>
          </w:tblCellMar>
        </w:tblPrEx>
        <w:trPr>
          <w:trHeight w:val="420" w:hRule="atLeast"/>
          <w:jc w:val="center"/>
        </w:trPr>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绿岛山庄</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洋房</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16000</w:t>
            </w:r>
          </w:p>
        </w:tc>
        <w:tc>
          <w:tcPr>
            <w:tcW w:w="1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w:t>
            </w:r>
          </w:p>
        </w:tc>
        <w:tc>
          <w:tcPr>
            <w:tcW w:w="3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小区品质较普通</w:t>
            </w:r>
          </w:p>
        </w:tc>
      </w:tr>
      <w:tr>
        <w:tblPrEx>
          <w:tblCellMar>
            <w:top w:w="0" w:type="dxa"/>
            <w:left w:w="108" w:type="dxa"/>
            <w:bottom w:w="0" w:type="dxa"/>
            <w:right w:w="108" w:type="dxa"/>
          </w:tblCellMar>
        </w:tblPrEx>
        <w:trPr>
          <w:trHeight w:val="420" w:hRule="atLeast"/>
          <w:jc w:val="center"/>
        </w:trPr>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中楠瓯江府</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高层</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30000</w:t>
            </w:r>
          </w:p>
        </w:tc>
        <w:tc>
          <w:tcPr>
            <w:tcW w:w="1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2020</w:t>
            </w:r>
          </w:p>
        </w:tc>
        <w:tc>
          <w:tcPr>
            <w:tcW w:w="3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江景房、楼盘品质高</w:t>
            </w:r>
          </w:p>
        </w:tc>
      </w:tr>
      <w:tr>
        <w:tblPrEx>
          <w:tblCellMar>
            <w:top w:w="0" w:type="dxa"/>
            <w:left w:w="108" w:type="dxa"/>
            <w:bottom w:w="0" w:type="dxa"/>
            <w:right w:w="108" w:type="dxa"/>
          </w:tblCellMar>
        </w:tblPrEx>
        <w:trPr>
          <w:trHeight w:val="420" w:hRule="atLeast"/>
          <w:jc w:val="center"/>
        </w:trPr>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中瓯金色海岸</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高层</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33000</w:t>
            </w:r>
          </w:p>
        </w:tc>
        <w:tc>
          <w:tcPr>
            <w:tcW w:w="1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2014</w:t>
            </w:r>
          </w:p>
        </w:tc>
        <w:tc>
          <w:tcPr>
            <w:tcW w:w="3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Arial" w:hAnsi="Arial" w:cs="Arial"/>
                <w:color w:val="303133"/>
                <w:sz w:val="15"/>
                <w:szCs w:val="15"/>
                <w:shd w:val="clear" w:color="auto" w:fill="FFFFFF"/>
              </w:rPr>
            </w:pPr>
            <w:r>
              <w:rPr>
                <w:rFonts w:ascii="Arial" w:hAnsi="Arial" w:cs="Arial"/>
                <w:color w:val="303133"/>
                <w:sz w:val="15"/>
                <w:szCs w:val="15"/>
                <w:shd w:val="clear" w:color="auto" w:fill="FFFFFF"/>
              </w:rPr>
              <w:t>江景房、楼盘品质高</w:t>
            </w:r>
          </w:p>
        </w:tc>
      </w:tr>
    </w:tbl>
    <w:p>
      <w:pPr>
        <w:widowControl w:val="0"/>
        <w:tabs>
          <w:tab w:val="left" w:pos="567"/>
        </w:tabs>
        <w:adjustRightInd w:val="0"/>
        <w:snapToGrid w:val="0"/>
        <w:spacing w:line="480" w:lineRule="auto"/>
        <w:ind w:firstLine="420" w:firstLineChars="200"/>
        <w:jc w:val="both"/>
        <w:rPr>
          <w:rFonts w:ascii="Arial" w:hAnsi="Arial" w:cs="Arial"/>
          <w:color w:val="000000"/>
          <w:sz w:val="21"/>
          <w:szCs w:val="21"/>
        </w:rPr>
      </w:pPr>
    </w:p>
    <w:p>
      <w:pPr>
        <w:widowControl w:val="0"/>
        <w:tabs>
          <w:tab w:val="left" w:pos="567"/>
        </w:tabs>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通过链家网数据、房天下数据相关人员解答，瓯北区片二手房挂网售价于成交售价差异较小，一般成交价为挂网价的98%。</w:t>
      </w:r>
    </w:p>
    <w:p>
      <w:pPr>
        <w:pStyle w:val="2"/>
        <w:ind w:firstLine="210"/>
        <w:rPr>
          <w:rFonts w:ascii="Arial" w:hAnsi="Arial" w:cs="Arial"/>
          <w:sz w:val="21"/>
          <w:szCs w:val="21"/>
        </w:rPr>
      </w:pPr>
    </w:p>
    <w:p>
      <w:pPr>
        <w:pStyle w:val="2"/>
        <w:ind w:firstLine="210"/>
        <w:rPr>
          <w:rFonts w:ascii="Arial" w:hAnsi="Arial" w:cs="Arial"/>
          <w:sz w:val="21"/>
          <w:szCs w:val="21"/>
        </w:rPr>
      </w:pPr>
    </w:p>
    <w:p>
      <w:pPr>
        <w:pStyle w:val="2"/>
        <w:ind w:firstLine="210"/>
        <w:rPr>
          <w:rFonts w:ascii="Arial" w:hAnsi="Arial" w:cs="Arial"/>
          <w:sz w:val="21"/>
          <w:szCs w:val="21"/>
        </w:rPr>
      </w:pPr>
    </w:p>
    <w:p>
      <w:pPr>
        <w:pStyle w:val="2"/>
        <w:ind w:firstLine="210"/>
        <w:rPr>
          <w:rFonts w:ascii="Arial" w:hAnsi="Arial" w:cs="Arial"/>
          <w:sz w:val="21"/>
          <w:szCs w:val="21"/>
        </w:rPr>
      </w:pPr>
    </w:p>
    <w:p>
      <w:pPr>
        <w:pStyle w:val="2"/>
        <w:ind w:firstLine="210"/>
        <w:rPr>
          <w:rFonts w:ascii="Arial" w:hAnsi="Arial" w:cs="Arial"/>
          <w:sz w:val="21"/>
          <w:szCs w:val="21"/>
        </w:rPr>
      </w:pPr>
    </w:p>
    <w:p>
      <w:pPr>
        <w:pStyle w:val="2"/>
        <w:ind w:firstLine="210"/>
        <w:rPr>
          <w:rFonts w:ascii="Arial" w:hAnsi="Arial" w:cs="Arial"/>
          <w:sz w:val="21"/>
          <w:szCs w:val="21"/>
        </w:rPr>
      </w:pPr>
    </w:p>
    <w:p>
      <w:pPr>
        <w:pStyle w:val="2"/>
        <w:ind w:firstLine="210"/>
        <w:rPr>
          <w:rFonts w:ascii="Arial" w:hAnsi="Arial" w:cs="Arial"/>
          <w:sz w:val="21"/>
          <w:szCs w:val="21"/>
        </w:rPr>
      </w:pPr>
    </w:p>
    <w:p>
      <w:pPr>
        <w:pStyle w:val="2"/>
        <w:ind w:firstLine="210"/>
        <w:rPr>
          <w:rFonts w:ascii="Arial" w:hAnsi="Arial" w:cs="Arial"/>
          <w:sz w:val="21"/>
          <w:szCs w:val="21"/>
        </w:rPr>
      </w:pPr>
    </w:p>
    <w:p>
      <w:pPr>
        <w:pStyle w:val="2"/>
        <w:ind w:firstLine="210"/>
        <w:rPr>
          <w:rFonts w:ascii="Arial" w:hAnsi="Arial" w:cs="Arial"/>
          <w:sz w:val="21"/>
          <w:szCs w:val="21"/>
        </w:rPr>
      </w:pPr>
    </w:p>
    <w:p>
      <w:pPr>
        <w:pStyle w:val="2"/>
        <w:ind w:firstLine="210"/>
        <w:rPr>
          <w:rFonts w:ascii="Arial" w:hAnsi="Arial" w:cs="Arial"/>
          <w:sz w:val="21"/>
          <w:szCs w:val="21"/>
        </w:rPr>
      </w:pPr>
    </w:p>
    <w:p>
      <w:pPr>
        <w:pStyle w:val="2"/>
        <w:ind w:firstLine="210"/>
        <w:rPr>
          <w:rFonts w:ascii="Arial" w:hAnsi="Arial" w:cs="Arial"/>
          <w:sz w:val="21"/>
          <w:szCs w:val="21"/>
        </w:rPr>
      </w:pPr>
    </w:p>
    <w:p>
      <w:pPr>
        <w:pStyle w:val="2"/>
        <w:ind w:firstLine="210"/>
        <w:rPr>
          <w:rFonts w:ascii="Arial" w:hAnsi="Arial" w:cs="Arial"/>
          <w:sz w:val="21"/>
          <w:szCs w:val="21"/>
        </w:rPr>
      </w:pPr>
    </w:p>
    <w:p>
      <w:pPr>
        <w:pStyle w:val="2"/>
        <w:ind w:firstLine="210"/>
        <w:rPr>
          <w:rFonts w:ascii="Arial" w:hAnsi="Arial" w:cs="Arial"/>
          <w:sz w:val="21"/>
          <w:szCs w:val="21"/>
        </w:rPr>
      </w:pPr>
    </w:p>
    <w:p>
      <w:pPr>
        <w:pStyle w:val="2"/>
        <w:ind w:firstLine="210"/>
        <w:rPr>
          <w:rFonts w:ascii="Arial" w:hAnsi="Arial" w:cs="Arial"/>
          <w:sz w:val="21"/>
          <w:szCs w:val="21"/>
        </w:rPr>
      </w:pPr>
    </w:p>
    <w:p>
      <w:pPr>
        <w:widowControl w:val="0"/>
        <w:tabs>
          <w:tab w:val="left" w:pos="567"/>
        </w:tabs>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项目周边</w:t>
      </w:r>
      <w:r>
        <w:rPr>
          <w:rFonts w:hint="eastAsia" w:ascii="Arial" w:hAnsi="Arial" w:cs="Arial"/>
          <w:color w:val="000000"/>
          <w:sz w:val="21"/>
          <w:szCs w:val="21"/>
        </w:rPr>
        <w:t>部分存量房项目详情见下图及下表：</w:t>
      </w:r>
    </w:p>
    <w:tbl>
      <w:tblPr>
        <w:tblStyle w:val="36"/>
        <w:tblW w:w="0" w:type="auto"/>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299"/>
      </w:tblGrid>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312" w:hRule="exact"/>
          <w:jc w:val="center"/>
        </w:trPr>
        <w:tc>
          <w:tcPr>
            <w:tcW w:w="9299" w:type="dxa"/>
          </w:tcPr>
          <w:p>
            <w:pPr>
              <w:rPr>
                <w:rFonts w:ascii="Calibri" w:hAnsi="Calibri"/>
                <w:kern w:val="2"/>
                <w:sz w:val="21"/>
                <w:szCs w:val="22"/>
              </w:rPr>
            </w:pPr>
            <w:r>
              <mc:AlternateContent>
                <mc:Choice Requires="wps">
                  <w:drawing>
                    <wp:anchor distT="0" distB="0" distL="114300" distR="114300" simplePos="0" relativeHeight="251681792" behindDoc="0" locked="0" layoutInCell="1" allowOverlap="1">
                      <wp:simplePos x="0" y="0"/>
                      <wp:positionH relativeFrom="column">
                        <wp:posOffset>4832985</wp:posOffset>
                      </wp:positionH>
                      <wp:positionV relativeFrom="paragraph">
                        <wp:posOffset>1330960</wp:posOffset>
                      </wp:positionV>
                      <wp:extent cx="223520" cy="213995"/>
                      <wp:effectExtent l="14605" t="15240" r="20955" b="14605"/>
                      <wp:wrapNone/>
                      <wp:docPr id="35" name="五角星 35"/>
                      <wp:cNvGraphicFramePr/>
                      <a:graphic xmlns:a="http://schemas.openxmlformats.org/drawingml/2006/main">
                        <a:graphicData uri="http://schemas.microsoft.com/office/word/2010/wordprocessingShape">
                          <wps:wsp>
                            <wps:cNvSpPr/>
                            <wps:spPr>
                              <a:xfrm>
                                <a:off x="2904490" y="3943985"/>
                                <a:ext cx="223520" cy="213995"/>
                              </a:xfrm>
                              <a:prstGeom prst="star5">
                                <a:avLst/>
                              </a:prstGeom>
                            </wps:spPr>
                            <wps:style>
                              <a:lnRef idx="1">
                                <a:schemeClr val="accent2"/>
                              </a:lnRef>
                              <a:fillRef idx="3">
                                <a:schemeClr val="accent2"/>
                              </a:fillRef>
                              <a:effectRef idx="2">
                                <a:schemeClr val="accent2"/>
                              </a:effectRef>
                              <a:fontRef idx="minor">
                                <a:schemeClr val="lt1"/>
                              </a:fontRef>
                            </wps:style>
                            <wps:txbx>
                              <w:txbxContent>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80.55pt;margin-top:104.8pt;height:16.85pt;width:17.6pt;z-index:251681792;v-text-anchor:middle;mso-width-relative:page;mso-height-relative:page;" fillcolor="#F18C55 [3280]" filled="t" stroked="t" coordsize="223520,213995" o:gfxdata="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J60ucTbAAAACwEAAA8AAAAAAAAA&#10;AQAgAAAAIgAAAGRycy9kb3ducmV2LnhtbFBLAQIUABQAAAAIAIdO4kCRNYQyKwMAAL4GAAAOAAAA&#10;AAAAAAEAIAAAACoBAABkcnMvZTJvRG9jLnhtbFBLBQYAAAAABgAGAFkBAADHBgAAAAA=&#10;" path="m0,81738l85377,81739,111760,0,138142,81739,223519,81738,154447,132255,180831,213994,111760,163476,42688,213994,69072,132255xe">
                      <v:path textboxrect="0,0,223520,213995" o:connectlocs="111760,0;0,81738;42688,213994;180831,213994;223519,81738" o:connectangles="247,164,82,82,0"/>
                      <v:fill type="gradient" on="t" color2="#E56B17 [3184]" colors="0f #F18C55;32768f #F67B28;65536f #E56B17" focus="100%" focussize="0,0" rotate="t">
                        <o:fill type="gradientUnscaled" v:ext="backwardCompatible"/>
                      </v:fill>
                      <v:stroke weight="0.5pt" color="#ED7D31 [3205]" miterlimit="8" joinstyle="miter"/>
                      <v:imagedata o:title=""/>
                      <o:lock v:ext="edit" aspectratio="f"/>
                      <v:textbox>
                        <w:txbxContent>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4664075</wp:posOffset>
                      </wp:positionH>
                      <wp:positionV relativeFrom="paragraph">
                        <wp:posOffset>1898015</wp:posOffset>
                      </wp:positionV>
                      <wp:extent cx="822960" cy="251460"/>
                      <wp:effectExtent l="12700" t="230505" r="17780" b="20955"/>
                      <wp:wrapNone/>
                      <wp:docPr id="37" name="线形标注 1 37"/>
                      <wp:cNvGraphicFramePr/>
                      <a:graphic xmlns:a="http://schemas.openxmlformats.org/drawingml/2006/main">
                        <a:graphicData uri="http://schemas.microsoft.com/office/word/2010/wordprocessingShape">
                          <wps:wsp>
                            <wps:cNvSpPr/>
                            <wps:spPr>
                              <a:xfrm>
                                <a:off x="0" y="0"/>
                                <a:ext cx="822960" cy="251460"/>
                              </a:xfrm>
                              <a:prstGeom prst="borderCallout1">
                                <a:avLst>
                                  <a:gd name="adj1" fmla="val 5050"/>
                                  <a:gd name="adj2" fmla="val 50077"/>
                                  <a:gd name="adj3" fmla="val -89898"/>
                                  <a:gd name="adj4" fmla="val 39660"/>
                                </a:avLst>
                              </a:prstGeom>
                              <a:solidFill>
                                <a:srgbClr val="558ED5"/>
                              </a:solidFill>
                              <a:ln w="25400" cap="flat" cmpd="sng">
                                <a:solidFill>
                                  <a:srgbClr val="385D8A"/>
                                </a:solidFill>
                                <a:prstDash val="solid"/>
                                <a:miter/>
                                <a:headEnd type="none" w="med" len="med"/>
                                <a:tailEnd type="none" w="med" len="med"/>
                              </a:ln>
                            </wps:spPr>
                            <wps:txbx>
                              <w:txbxContent>
                                <w:p>
                                  <w:pPr>
                                    <w:spacing w:line="240" w:lineRule="exact"/>
                                    <w:jc w:val="both"/>
                                    <w:rPr>
                                      <w:rFonts w:ascii="Arial" w:hAnsi="Arial"/>
                                      <w:b/>
                                      <w:color w:val="FFFFFF"/>
                                      <w:sz w:val="18"/>
                                      <w:szCs w:val="18"/>
                                    </w:rPr>
                                  </w:pPr>
                                  <w:r>
                                    <w:rPr>
                                      <w:rFonts w:hint="eastAsia" w:ascii="Arial" w:hAnsi="Arial"/>
                                      <w:b/>
                                      <w:color w:val="FFFFFF"/>
                                      <w:sz w:val="18"/>
                                      <w:szCs w:val="18"/>
                                    </w:rPr>
                                    <w:t>永嘉碧桂园</w:t>
                                  </w:r>
                                </w:p>
                              </w:txbxContent>
                            </wps:txbx>
                            <wps:bodyPr anchor="ctr" anchorCtr="0" upright="1"/>
                          </wps:wsp>
                        </a:graphicData>
                      </a:graphic>
                    </wp:anchor>
                  </w:drawing>
                </mc:Choice>
                <mc:Fallback>
                  <w:pict>
                    <v:shape id="_x0000_s1026" o:spid="_x0000_s1026" o:spt="47" type="#_x0000_t47" style="position:absolute;left:0pt;margin-left:367.25pt;margin-top:149.45pt;height:19.8pt;width:64.8pt;z-index:251682816;v-text-anchor:middle;mso-width-relative:page;mso-height-relative:page;" fillcolor="#558ED5" filled="t" stroked="t" coordsize="21600,21600" o:gfxdata="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qXAudsAAAALAQAADwAAAAAAAAABACAAAAAiAAAAZHJzL2Rvd25yZXYueG1sUEsBAhQA&#10;FAAAAAgAh07iQELPPQphAgAA8QQAAA4AAAAAAAAAAQAgAAAAKgEAAGRycy9lMm9Eb2MueG1sUEsF&#10;BgAAAAAGAAYAWQEAAP0FAAAAAA==&#10;" adj="8567,-19418,10817,1091">
                      <v:fill on="t" focussize="0,0"/>
                      <v:stroke weight="2pt" color="#385D8A" joinstyle="miter"/>
                      <v:imagedata o:title=""/>
                      <o:lock v:ext="edit" aspectratio="f"/>
                      <v:textbox>
                        <w:txbxContent>
                          <w:p>
                            <w:pPr>
                              <w:spacing w:line="240" w:lineRule="exact"/>
                              <w:jc w:val="both"/>
                              <w:rPr>
                                <w:rFonts w:ascii="Arial" w:hAnsi="Arial"/>
                                <w:b/>
                                <w:color w:val="FFFFFF"/>
                                <w:sz w:val="18"/>
                                <w:szCs w:val="18"/>
                              </w:rPr>
                            </w:pPr>
                            <w:r>
                              <w:rPr>
                                <w:rFonts w:hint="eastAsia" w:ascii="Arial" w:hAnsi="Arial"/>
                                <w:b/>
                                <w:color w:val="FFFFFF"/>
                                <w:sz w:val="18"/>
                                <w:szCs w:val="18"/>
                              </w:rPr>
                              <w:t>永嘉碧桂园</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534035</wp:posOffset>
                      </wp:positionH>
                      <wp:positionV relativeFrom="paragraph">
                        <wp:posOffset>2675255</wp:posOffset>
                      </wp:positionV>
                      <wp:extent cx="934720" cy="277495"/>
                      <wp:effectExtent l="12700" t="12700" r="12700" b="258445"/>
                      <wp:wrapNone/>
                      <wp:docPr id="38" name="线形标注 1 38"/>
                      <wp:cNvGraphicFramePr/>
                      <a:graphic xmlns:a="http://schemas.openxmlformats.org/drawingml/2006/main">
                        <a:graphicData uri="http://schemas.microsoft.com/office/word/2010/wordprocessingShape">
                          <wps:wsp>
                            <wps:cNvSpPr/>
                            <wps:spPr>
                              <a:xfrm>
                                <a:off x="0" y="0"/>
                                <a:ext cx="934720" cy="277495"/>
                              </a:xfrm>
                              <a:prstGeom prst="borderCallout1">
                                <a:avLst>
                                  <a:gd name="adj1" fmla="val 104719"/>
                                  <a:gd name="adj2" fmla="val 62236"/>
                                  <a:gd name="adj3" fmla="val 186741"/>
                                  <a:gd name="adj4" fmla="val 82352"/>
                                </a:avLst>
                              </a:prstGeom>
                              <a:solidFill>
                                <a:srgbClr val="558ED5"/>
                              </a:solidFill>
                              <a:ln w="25400" cap="flat" cmpd="sng">
                                <a:solidFill>
                                  <a:srgbClr val="385D8A"/>
                                </a:solidFill>
                                <a:prstDash val="solid"/>
                                <a:miter/>
                                <a:headEnd type="none" w="med" len="med"/>
                                <a:tailEnd type="none" w="med" len="med"/>
                              </a:ln>
                            </wps:spPr>
                            <wps:txbx>
                              <w:txbxContent>
                                <w:p>
                                  <w:pPr>
                                    <w:rPr>
                                      <w:rFonts w:ascii="Arial" w:hAnsi="Arial"/>
                                      <w:b/>
                                      <w:color w:val="FFFFFF"/>
                                      <w:sz w:val="18"/>
                                      <w:szCs w:val="18"/>
                                    </w:rPr>
                                  </w:pPr>
                                  <w:r>
                                    <w:rPr>
                                      <w:rFonts w:hint="eastAsia" w:ascii="Arial" w:hAnsi="Arial"/>
                                      <w:b/>
                                      <w:color w:val="FFFFFF"/>
                                      <w:sz w:val="18"/>
                                      <w:szCs w:val="18"/>
                                    </w:rPr>
                                    <w:t>中瓯金色海岸</w:t>
                                  </w:r>
                                </w:p>
                              </w:txbxContent>
                            </wps:txbx>
                            <wps:bodyPr anchor="ctr" anchorCtr="0" upright="1"/>
                          </wps:wsp>
                        </a:graphicData>
                      </a:graphic>
                    </wp:anchor>
                  </w:drawing>
                </mc:Choice>
                <mc:Fallback>
                  <w:pict>
                    <v:shape id="_x0000_s1026" o:spid="_x0000_s1026" o:spt="47" type="#_x0000_t47" style="position:absolute;left:0pt;margin-left:42.05pt;margin-top:210.65pt;height:21.85pt;width:73.6pt;z-index:251686912;v-text-anchor:middle;mso-width-relative:page;mso-height-relative:page;" fillcolor="#558ED5" filled="t" stroked="t" coordsize="21600,21600" o:gfxdata="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rgxWa1wAAAAoBAAAPAAAAAAAAAAEAIAAAACIAAABkcnMvZG93bnJldi54bWxQSwECFAAUAAAA&#10;CACHTuJAPkeyFGECAADzBAAADgAAAAAAAAABACAAAAAmAQAAZHJzL2Uyb0RvYy54bWxQSwUGAAAA&#10;AAYABgBZAQAA+QUAAAAA&#10;" adj="17788,40336,13443,22619">
                      <v:fill on="t" focussize="0,0"/>
                      <v:stroke weight="2pt" color="#385D8A" joinstyle="miter"/>
                      <v:imagedata o:title=""/>
                      <o:lock v:ext="edit" aspectratio="f"/>
                      <v:textbox>
                        <w:txbxContent>
                          <w:p>
                            <w:pPr>
                              <w:rPr>
                                <w:rFonts w:ascii="Arial" w:hAnsi="Arial"/>
                                <w:b/>
                                <w:color w:val="FFFFFF"/>
                                <w:sz w:val="18"/>
                                <w:szCs w:val="18"/>
                              </w:rPr>
                            </w:pPr>
                            <w:r>
                              <w:rPr>
                                <w:rFonts w:hint="eastAsia" w:ascii="Arial" w:hAnsi="Arial"/>
                                <w:b/>
                                <w:color w:val="FFFFFF"/>
                                <w:sz w:val="18"/>
                                <w:szCs w:val="18"/>
                              </w:rPr>
                              <w:t>中瓯金色海岸</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242570</wp:posOffset>
                      </wp:positionH>
                      <wp:positionV relativeFrom="paragraph">
                        <wp:posOffset>3609975</wp:posOffset>
                      </wp:positionV>
                      <wp:extent cx="838835" cy="257175"/>
                      <wp:effectExtent l="12700" t="244475" r="17145" b="16510"/>
                      <wp:wrapNone/>
                      <wp:docPr id="39" name="线形标注 1 39"/>
                      <wp:cNvGraphicFramePr/>
                      <a:graphic xmlns:a="http://schemas.openxmlformats.org/drawingml/2006/main">
                        <a:graphicData uri="http://schemas.microsoft.com/office/word/2010/wordprocessingShape">
                          <wps:wsp>
                            <wps:cNvSpPr/>
                            <wps:spPr>
                              <a:xfrm>
                                <a:off x="0" y="0"/>
                                <a:ext cx="838835" cy="257175"/>
                              </a:xfrm>
                              <a:prstGeom prst="borderCallout1">
                                <a:avLst>
                                  <a:gd name="adj1" fmla="val 4495"/>
                                  <a:gd name="adj2" fmla="val 59694"/>
                                  <a:gd name="adj3" fmla="val -91604"/>
                                  <a:gd name="adj4" fmla="val 90158"/>
                                </a:avLst>
                              </a:prstGeom>
                              <a:solidFill>
                                <a:srgbClr val="558ED5"/>
                              </a:solidFill>
                              <a:ln w="25400" cap="flat" cmpd="sng">
                                <a:solidFill>
                                  <a:srgbClr val="385D8A"/>
                                </a:solidFill>
                                <a:prstDash val="solid"/>
                                <a:miter/>
                                <a:headEnd type="none" w="med" len="med"/>
                                <a:tailEnd type="none" w="med" len="med"/>
                              </a:ln>
                            </wps:spPr>
                            <wps:txbx>
                              <w:txbxContent>
                                <w:p>
                                  <w:pPr>
                                    <w:rPr>
                                      <w:rFonts w:ascii="Arial" w:hAnsi="Arial"/>
                                      <w:b/>
                                      <w:color w:val="FFFFFF"/>
                                      <w:sz w:val="18"/>
                                      <w:szCs w:val="18"/>
                                    </w:rPr>
                                  </w:pPr>
                                  <w:r>
                                    <w:rPr>
                                      <w:rFonts w:hint="eastAsia" w:ascii="Arial" w:hAnsi="Arial"/>
                                      <w:b/>
                                      <w:color w:val="FFFFFF"/>
                                      <w:sz w:val="18"/>
                                      <w:szCs w:val="18"/>
                                    </w:rPr>
                                    <w:t>中楠瓯江府</w:t>
                                  </w:r>
                                </w:p>
                              </w:txbxContent>
                            </wps:txbx>
                            <wps:bodyPr anchor="ctr" anchorCtr="0" upright="1"/>
                          </wps:wsp>
                        </a:graphicData>
                      </a:graphic>
                    </wp:anchor>
                  </w:drawing>
                </mc:Choice>
                <mc:Fallback>
                  <w:pict>
                    <v:shape id="_x0000_s1026" o:spid="_x0000_s1026" o:spt="47" type="#_x0000_t47" style="position:absolute;left:0pt;margin-left:19.1pt;margin-top:284.25pt;height:20.25pt;width:66.05pt;z-index:251678720;v-text-anchor:middle;mso-width-relative:page;mso-height-relative:page;" fillcolor="#558ED5" filled="t" stroked="t" coordsize="21600,21600" o:gfxdata="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dn+37YAAAACgEAAA8AAAAAAAAAAQAgAAAAIgAAAGRycy9kb3ducmV2LnhtbFBLAQIU&#10;ABQAAAAIAIdO4kDnLar/ZQIAAPEEAAAOAAAAAAAAAAEAIAAAACcBAABkcnMvZTJvRG9jLnhtbFBL&#10;BQYAAAAABgAGAFkBAAD+BQAAAAA=&#10;" adj="19474,-19786,12894,971">
                      <v:fill on="t" focussize="0,0"/>
                      <v:stroke weight="2pt" color="#385D8A" joinstyle="miter"/>
                      <v:imagedata o:title=""/>
                      <o:lock v:ext="edit" aspectratio="f"/>
                      <v:textbox>
                        <w:txbxContent>
                          <w:p>
                            <w:pPr>
                              <w:rPr>
                                <w:rFonts w:ascii="Arial" w:hAnsi="Arial"/>
                                <w:b/>
                                <w:color w:val="FFFFFF"/>
                                <w:sz w:val="18"/>
                                <w:szCs w:val="18"/>
                              </w:rPr>
                            </w:pPr>
                            <w:r>
                              <w:rPr>
                                <w:rFonts w:hint="eastAsia" w:ascii="Arial" w:hAnsi="Arial"/>
                                <w:b/>
                                <w:color w:val="FFFFFF"/>
                                <w:sz w:val="18"/>
                                <w:szCs w:val="18"/>
                              </w:rPr>
                              <w:t>中楠瓯江府</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3373755</wp:posOffset>
                      </wp:positionH>
                      <wp:positionV relativeFrom="paragraph">
                        <wp:posOffset>2497455</wp:posOffset>
                      </wp:positionV>
                      <wp:extent cx="687070" cy="262255"/>
                      <wp:effectExtent l="120650" t="12700" r="15240" b="136525"/>
                      <wp:wrapNone/>
                      <wp:docPr id="40" name="线形标注 1 40"/>
                      <wp:cNvGraphicFramePr/>
                      <a:graphic xmlns:a="http://schemas.openxmlformats.org/drawingml/2006/main">
                        <a:graphicData uri="http://schemas.microsoft.com/office/word/2010/wordprocessingShape">
                          <wps:wsp>
                            <wps:cNvSpPr/>
                            <wps:spPr>
                              <a:xfrm>
                                <a:off x="0" y="0"/>
                                <a:ext cx="687070" cy="262255"/>
                              </a:xfrm>
                              <a:prstGeom prst="borderCallout1">
                                <a:avLst>
                                  <a:gd name="adj1" fmla="val 56181"/>
                                  <a:gd name="adj2" fmla="val -2829"/>
                                  <a:gd name="adj3" fmla="val 147191"/>
                                  <a:gd name="adj4" fmla="val -15831"/>
                                </a:avLst>
                              </a:prstGeom>
                              <a:solidFill>
                                <a:srgbClr val="558ED5"/>
                              </a:solidFill>
                              <a:ln w="25400" cap="flat" cmpd="sng">
                                <a:solidFill>
                                  <a:srgbClr val="385D8A"/>
                                </a:solidFill>
                                <a:prstDash val="solid"/>
                                <a:miter/>
                                <a:headEnd type="none" w="med" len="med"/>
                                <a:tailEnd type="none" w="med" len="med"/>
                              </a:ln>
                            </wps:spPr>
                            <wps:txbx>
                              <w:txbxContent>
                                <w:p>
                                  <w:pPr>
                                    <w:rPr>
                                      <w:color w:val="FFFFFF" w:themeColor="background1"/>
                                      <w:sz w:val="18"/>
                                      <w:szCs w:val="18"/>
                                      <w14:textFill>
                                        <w14:solidFill>
                                          <w14:schemeClr w14:val="bg1"/>
                                        </w14:solidFill>
                                      </w14:textFill>
                                    </w:rPr>
                                  </w:pPr>
                                  <w:r>
                                    <w:rPr>
                                      <w:rFonts w:hint="eastAsia"/>
                                      <w:color w:val="FFFFFF" w:themeColor="background1"/>
                                      <w:sz w:val="18"/>
                                      <w:szCs w:val="18"/>
                                      <w14:textFill>
                                        <w14:solidFill>
                                          <w14:schemeClr w14:val="bg1"/>
                                        </w14:solidFill>
                                      </w14:textFill>
                                    </w:rPr>
                                    <w:t>绿岛山庄</w:t>
                                  </w:r>
                                </w:p>
                              </w:txbxContent>
                            </wps:txbx>
                            <wps:bodyPr anchor="ctr" anchorCtr="0" upright="1"/>
                          </wps:wsp>
                        </a:graphicData>
                      </a:graphic>
                    </wp:anchor>
                  </w:drawing>
                </mc:Choice>
                <mc:Fallback>
                  <w:pict>
                    <v:shape id="_x0000_s1026" o:spid="_x0000_s1026" o:spt="47" type="#_x0000_t47" style="position:absolute;left:0pt;margin-left:265.65pt;margin-top:196.65pt;height:20.65pt;width:54.1pt;z-index:251680768;v-text-anchor:middle;mso-width-relative:page;mso-height-relative:page;" fillcolor="#558ED5" filled="t" stroked="t" coordsize="21600,21600" o:gfxdata="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EBt+B3aAAAACwEAAA8AAAAAAAAAAQAgAAAAIgAAAGRycy9kb3ducmV2LnhtbFBLAQIU&#10;ABQAAAAIAIdO4kBQKE66YwIAAPMEAAAOAAAAAAAAAAEAIAAAACkBAABkcnMvZTJvRG9jLnhtbFBL&#10;BQYAAAAABgAGAFkBAAD+BQAAAAA=&#10;" adj="-3419,31793,-611,12135">
                      <v:fill on="t" focussize="0,0"/>
                      <v:stroke weight="2pt" color="#385D8A" joinstyle="miter"/>
                      <v:imagedata o:title=""/>
                      <o:lock v:ext="edit" aspectratio="f"/>
                      <v:textbox>
                        <w:txbxContent>
                          <w:p>
                            <w:pPr>
                              <w:rPr>
                                <w:color w:val="FFFFFF" w:themeColor="background1"/>
                                <w:sz w:val="18"/>
                                <w:szCs w:val="18"/>
                                <w14:textFill>
                                  <w14:solidFill>
                                    <w14:schemeClr w14:val="bg1"/>
                                  </w14:solidFill>
                                </w14:textFill>
                              </w:rPr>
                            </w:pPr>
                            <w:r>
                              <w:rPr>
                                <w:rFonts w:hint="eastAsia"/>
                                <w:color w:val="FFFFFF" w:themeColor="background1"/>
                                <w:sz w:val="18"/>
                                <w:szCs w:val="18"/>
                                <w14:textFill>
                                  <w14:solidFill>
                                    <w14:schemeClr w14:val="bg1"/>
                                  </w14:solidFill>
                                </w14:textFill>
                              </w:rPr>
                              <w:t>绿岛山庄</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1748155</wp:posOffset>
                      </wp:positionH>
                      <wp:positionV relativeFrom="paragraph">
                        <wp:posOffset>3279775</wp:posOffset>
                      </wp:positionV>
                      <wp:extent cx="772795" cy="262255"/>
                      <wp:effectExtent l="12700" t="346710" r="22225" b="15875"/>
                      <wp:wrapNone/>
                      <wp:docPr id="41" name="线形标注 1 41"/>
                      <wp:cNvGraphicFramePr/>
                      <a:graphic xmlns:a="http://schemas.openxmlformats.org/drawingml/2006/main">
                        <a:graphicData uri="http://schemas.microsoft.com/office/word/2010/wordprocessingShape">
                          <wps:wsp>
                            <wps:cNvSpPr/>
                            <wps:spPr>
                              <a:xfrm>
                                <a:off x="0" y="0"/>
                                <a:ext cx="772795" cy="262255"/>
                              </a:xfrm>
                              <a:prstGeom prst="borderCallout1">
                                <a:avLst>
                                  <a:gd name="adj1" fmla="val -4842"/>
                                  <a:gd name="adj2" fmla="val 51355"/>
                                  <a:gd name="adj3" fmla="val -131961"/>
                                  <a:gd name="adj4" fmla="val 53656"/>
                                </a:avLst>
                              </a:prstGeom>
                              <a:solidFill>
                                <a:srgbClr val="558ED5"/>
                              </a:solidFill>
                              <a:ln w="25400" cap="flat" cmpd="sng">
                                <a:solidFill>
                                  <a:srgbClr val="385D8A"/>
                                </a:solidFill>
                                <a:prstDash val="solid"/>
                                <a:miter/>
                                <a:headEnd type="none" w="med" len="med"/>
                                <a:tailEnd type="none" w="med" len="med"/>
                              </a:ln>
                            </wps:spPr>
                            <wps:txbx>
                              <w:txbxContent>
                                <w:p>
                                  <w:pPr>
                                    <w:spacing w:line="240" w:lineRule="exact"/>
                                    <w:jc w:val="center"/>
                                    <w:rPr>
                                      <w:rFonts w:ascii="Arial" w:hAnsi="Arial"/>
                                      <w:b/>
                                      <w:color w:val="FFFFFF"/>
                                      <w:sz w:val="18"/>
                                      <w:szCs w:val="18"/>
                                    </w:rPr>
                                  </w:pPr>
                                  <w:r>
                                    <w:rPr>
                                      <w:rFonts w:hint="eastAsia" w:ascii="Arial" w:hAnsi="Arial"/>
                                      <w:b/>
                                      <w:color w:val="FFFFFF"/>
                                      <w:sz w:val="18"/>
                                      <w:szCs w:val="18"/>
                                    </w:rPr>
                                    <w:t>五中花园</w:t>
                                  </w:r>
                                </w:p>
                              </w:txbxContent>
                            </wps:txbx>
                            <wps:bodyPr anchor="ctr" anchorCtr="0" upright="1"/>
                          </wps:wsp>
                        </a:graphicData>
                      </a:graphic>
                    </wp:anchor>
                  </w:drawing>
                </mc:Choice>
                <mc:Fallback>
                  <w:pict>
                    <v:shape id="_x0000_s1026" o:spid="_x0000_s1026" o:spt="47" type="#_x0000_t47" style="position:absolute;left:0pt;margin-left:137.65pt;margin-top:258.25pt;height:20.65pt;width:60.85pt;z-index:251684864;v-text-anchor:middle;mso-width-relative:page;mso-height-relative:page;" fillcolor="#558ED5" filled="t" stroked="t" coordsize="21600,21600" o:gfxdata="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N+nF7aAAAACwEAAA8AAAAAAAAAAQAgAAAAIgAAAGRycy9kb3ducmV2LnhtbFBL&#10;AQIUABQAAAAIAIdO4kAdyxmhZgIAAPMEAAAOAAAAAAAAAAEAIAAAACkBAABkcnMvZTJvRG9jLnht&#10;bFBLBQYAAAAABgAGAFkBAAABBgAAAAA=&#10;" adj="11590,-28504,11093,-1046">
                      <v:fill on="t" focussize="0,0"/>
                      <v:stroke weight="2pt" color="#385D8A" joinstyle="miter"/>
                      <v:imagedata o:title=""/>
                      <o:lock v:ext="edit" aspectratio="f"/>
                      <v:textbox>
                        <w:txbxContent>
                          <w:p>
                            <w:pPr>
                              <w:spacing w:line="240" w:lineRule="exact"/>
                              <w:jc w:val="center"/>
                              <w:rPr>
                                <w:rFonts w:ascii="Arial" w:hAnsi="Arial"/>
                                <w:b/>
                                <w:color w:val="FFFFFF"/>
                                <w:sz w:val="18"/>
                                <w:szCs w:val="18"/>
                              </w:rPr>
                            </w:pPr>
                            <w:r>
                              <w:rPr>
                                <w:rFonts w:hint="eastAsia" w:ascii="Arial" w:hAnsi="Arial"/>
                                <w:b/>
                                <w:color w:val="FFFFFF"/>
                                <w:sz w:val="18"/>
                                <w:szCs w:val="18"/>
                              </w:rPr>
                              <w:t>五中花园</w:t>
                            </w:r>
                          </w:p>
                        </w:txbxContent>
                      </v:textbox>
                    </v:shape>
                  </w:pict>
                </mc:Fallback>
              </mc:AlternateContent>
            </w:r>
            <w:r>
              <w:drawing>
                <wp:inline distT="0" distB="0" distL="114300" distR="114300">
                  <wp:extent cx="5855970" cy="3901440"/>
                  <wp:effectExtent l="0" t="0" r="11430" b="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56"/>
                          <a:stretch>
                            <a:fillRect/>
                          </a:stretch>
                        </pic:blipFill>
                        <pic:spPr>
                          <a:xfrm>
                            <a:off x="0" y="0"/>
                            <a:ext cx="5855970" cy="3901440"/>
                          </a:xfrm>
                          <a:prstGeom prst="rect">
                            <a:avLst/>
                          </a:prstGeom>
                          <a:noFill/>
                          <a:ln>
                            <a:noFill/>
                          </a:ln>
                        </pic:spPr>
                      </pic:pic>
                    </a:graphicData>
                  </a:graphic>
                </wp:inline>
              </w:drawing>
            </w:r>
            <w:r>
              <mc:AlternateContent>
                <mc:Choice Requires="wps">
                  <w:drawing>
                    <wp:anchor distT="0" distB="0" distL="114300" distR="114300" simplePos="0" relativeHeight="251683840" behindDoc="0" locked="0" layoutInCell="1" allowOverlap="1">
                      <wp:simplePos x="0" y="0"/>
                      <wp:positionH relativeFrom="column">
                        <wp:posOffset>2748915</wp:posOffset>
                      </wp:positionH>
                      <wp:positionV relativeFrom="paragraph">
                        <wp:posOffset>3310255</wp:posOffset>
                      </wp:positionV>
                      <wp:extent cx="722630" cy="266065"/>
                      <wp:effectExtent l="12700" t="213360" r="26670" b="23495"/>
                      <wp:wrapNone/>
                      <wp:docPr id="43" name="线形标注 1 43"/>
                      <wp:cNvGraphicFramePr/>
                      <a:graphic xmlns:a="http://schemas.openxmlformats.org/drawingml/2006/main">
                        <a:graphicData uri="http://schemas.microsoft.com/office/word/2010/wordprocessingShape">
                          <wps:wsp>
                            <wps:cNvSpPr/>
                            <wps:spPr>
                              <a:xfrm>
                                <a:off x="0" y="0"/>
                                <a:ext cx="722630" cy="266065"/>
                              </a:xfrm>
                              <a:prstGeom prst="borderCallout1">
                                <a:avLst>
                                  <a:gd name="adj1" fmla="val 2247"/>
                                  <a:gd name="adj2" fmla="val 45388"/>
                                  <a:gd name="adj3" fmla="val -77272"/>
                                  <a:gd name="adj4" fmla="val 67926"/>
                                </a:avLst>
                              </a:prstGeom>
                              <a:solidFill>
                                <a:srgbClr val="558ED5"/>
                              </a:solidFill>
                              <a:ln w="25400" cap="flat" cmpd="sng">
                                <a:solidFill>
                                  <a:srgbClr val="385D8A"/>
                                </a:solidFill>
                                <a:prstDash val="solid"/>
                                <a:miter/>
                                <a:headEnd type="none" w="med" len="med"/>
                                <a:tailEnd type="none" w="med" len="med"/>
                              </a:ln>
                            </wps:spPr>
                            <wps:txbx>
                              <w:txbxContent>
                                <w:p>
                                  <w:pPr>
                                    <w:rPr>
                                      <w:rFonts w:ascii="Arial" w:hAnsi="Arial"/>
                                      <w:b/>
                                      <w:color w:val="FFFFFF"/>
                                      <w:sz w:val="18"/>
                                      <w:szCs w:val="18"/>
                                    </w:rPr>
                                  </w:pPr>
                                  <w:r>
                                    <w:rPr>
                                      <w:rFonts w:hint="eastAsia" w:ascii="Arial" w:hAnsi="Arial"/>
                                      <w:b/>
                                      <w:color w:val="FFFFFF"/>
                                      <w:sz w:val="18"/>
                                      <w:szCs w:val="18"/>
                                    </w:rPr>
                                    <w:t>紫金花园</w:t>
                                  </w:r>
                                </w:p>
                              </w:txbxContent>
                            </wps:txbx>
                            <wps:bodyPr anchor="ctr" anchorCtr="0" upright="1"/>
                          </wps:wsp>
                        </a:graphicData>
                      </a:graphic>
                    </wp:anchor>
                  </w:drawing>
                </mc:Choice>
                <mc:Fallback>
                  <w:pict>
                    <v:shape id="_x0000_s1026" o:spid="_x0000_s1026" o:spt="47" type="#_x0000_t47" style="position:absolute;left:0pt;margin-left:216.45pt;margin-top:260.65pt;height:20.95pt;width:56.9pt;z-index:251683840;v-text-anchor:middle;mso-width-relative:page;mso-height-relative:page;" fillcolor="#558ED5" filled="t" stroked="t" coordsize="21600,21600" o:gfxdata="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b9G4rYAAAACwEAAA8AAAAAAAAAAQAgAAAAIgAAAGRycy9kb3ducmV2LnhtbFBLAQIUABQA&#10;AAAIAIdO4kB5N1rcYgIAAPEEAAAOAAAAAAAAAAEAIAAAACcBAABkcnMvZTJvRG9jLnhtbFBLBQYA&#10;AAAABgAGAFkBAAD7BQAAAAA=&#10;" adj="14672,-16691,9804,485">
                      <v:fill on="t" focussize="0,0"/>
                      <v:stroke weight="2pt" color="#385D8A" joinstyle="miter"/>
                      <v:imagedata o:title=""/>
                      <o:lock v:ext="edit" aspectratio="f"/>
                      <v:textbox>
                        <w:txbxContent>
                          <w:p>
                            <w:pPr>
                              <w:rPr>
                                <w:rFonts w:ascii="Arial" w:hAnsi="Arial"/>
                                <w:b/>
                                <w:color w:val="FFFFFF"/>
                                <w:sz w:val="18"/>
                                <w:szCs w:val="18"/>
                              </w:rPr>
                            </w:pPr>
                            <w:r>
                              <w:rPr>
                                <w:rFonts w:hint="eastAsia" w:ascii="Arial" w:hAnsi="Arial"/>
                                <w:b/>
                                <w:color w:val="FFFFFF"/>
                                <w:sz w:val="18"/>
                                <w:szCs w:val="18"/>
                              </w:rPr>
                              <w:t>紫金花园</w:t>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4563110</wp:posOffset>
                      </wp:positionH>
                      <wp:positionV relativeFrom="paragraph">
                        <wp:posOffset>170815</wp:posOffset>
                      </wp:positionV>
                      <wp:extent cx="929640" cy="282575"/>
                      <wp:effectExtent l="12700" t="12700" r="307340" b="40005"/>
                      <wp:wrapNone/>
                      <wp:docPr id="44" name="线形标注 1 44"/>
                      <wp:cNvGraphicFramePr/>
                      <a:graphic xmlns:a="http://schemas.openxmlformats.org/drawingml/2006/main">
                        <a:graphicData uri="http://schemas.microsoft.com/office/word/2010/wordprocessingShape">
                          <wps:wsp>
                            <wps:cNvSpPr/>
                            <wps:spPr>
                              <a:xfrm>
                                <a:off x="0" y="0"/>
                                <a:ext cx="929640" cy="282575"/>
                              </a:xfrm>
                              <a:prstGeom prst="borderCallout1">
                                <a:avLst>
                                  <a:gd name="adj1" fmla="val 59775"/>
                                  <a:gd name="adj2" fmla="val 100580"/>
                                  <a:gd name="adj3" fmla="val 107640"/>
                                  <a:gd name="adj4" fmla="val 131154"/>
                                </a:avLst>
                              </a:prstGeom>
                              <a:solidFill>
                                <a:srgbClr val="558ED5"/>
                              </a:solidFill>
                              <a:ln w="25400" cap="flat" cmpd="sng">
                                <a:solidFill>
                                  <a:srgbClr val="385D8A"/>
                                </a:solidFill>
                                <a:prstDash val="solid"/>
                                <a:miter/>
                                <a:headEnd type="none" w="med" len="med"/>
                                <a:tailEnd type="none" w="med" len="med"/>
                              </a:ln>
                            </wps:spPr>
                            <wps:txbx>
                              <w:txbxContent>
                                <w:p>
                                  <w:pPr>
                                    <w:spacing w:line="240" w:lineRule="exact"/>
                                    <w:jc w:val="center"/>
                                    <w:rPr>
                                      <w:rFonts w:ascii="Arial" w:hAnsi="Arial"/>
                                      <w:b/>
                                      <w:color w:val="FFFFFF"/>
                                      <w:sz w:val="18"/>
                                      <w:szCs w:val="18"/>
                                    </w:rPr>
                                  </w:pPr>
                                  <w:r>
                                    <w:rPr>
                                      <w:rFonts w:hint="eastAsia" w:ascii="Arial" w:hAnsi="Arial"/>
                                      <w:b/>
                                      <w:color w:val="FFFFFF"/>
                                      <w:sz w:val="18"/>
                                      <w:szCs w:val="18"/>
                                    </w:rPr>
                                    <w:t>华鸿江山壹号</w:t>
                                  </w:r>
                                </w:p>
                              </w:txbxContent>
                            </wps:txbx>
                            <wps:bodyPr anchor="ctr" anchorCtr="0" upright="1"/>
                          </wps:wsp>
                        </a:graphicData>
                      </a:graphic>
                    </wp:anchor>
                  </w:drawing>
                </mc:Choice>
                <mc:Fallback>
                  <w:pict>
                    <v:shape id="_x0000_s1026" o:spid="_x0000_s1026" o:spt="47" type="#_x0000_t47" style="position:absolute;left:0pt;margin-left:359.3pt;margin-top:13.45pt;height:22.25pt;width:73.2pt;z-index:251685888;v-text-anchor:middle;mso-width-relative:page;mso-height-relative:page;" fillcolor="#558ED5" filled="t" stroked="t" coordsize="21600,21600" o:gfxdata="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Fe8bnaAAAACQEAAA8AAAAAAAAAAQAgAAAAIgAAAGRycy9kb3ducmV2LnhtbFBL&#10;AQIUABQAAAAIAIdO4kB0rdp0ZgIAAPQEAAAOAAAAAAAAAAEAIAAAACkBAABkcnMvZTJvRG9jLnht&#10;bFBLBQYAAAAABgAGAFkBAAABBgAAAAA=&#10;" adj="28329,23250,21725,12911">
                      <v:fill on="t" focussize="0,0"/>
                      <v:stroke weight="2pt" color="#385D8A" joinstyle="miter"/>
                      <v:imagedata o:title=""/>
                      <o:lock v:ext="edit" aspectratio="f"/>
                      <v:textbox>
                        <w:txbxContent>
                          <w:p>
                            <w:pPr>
                              <w:spacing w:line="240" w:lineRule="exact"/>
                              <w:jc w:val="center"/>
                              <w:rPr>
                                <w:rFonts w:ascii="Arial" w:hAnsi="Arial"/>
                                <w:b/>
                                <w:color w:val="FFFFFF"/>
                                <w:sz w:val="18"/>
                                <w:szCs w:val="18"/>
                              </w:rPr>
                            </w:pPr>
                            <w:r>
                              <w:rPr>
                                <w:rFonts w:hint="eastAsia" w:ascii="Arial" w:hAnsi="Arial"/>
                                <w:b/>
                                <w:color w:val="FFFFFF"/>
                                <w:sz w:val="18"/>
                                <w:szCs w:val="18"/>
                              </w:rPr>
                              <w:t>华鸿江山壹号</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4267835</wp:posOffset>
                      </wp:positionH>
                      <wp:positionV relativeFrom="paragraph">
                        <wp:posOffset>699135</wp:posOffset>
                      </wp:positionV>
                      <wp:extent cx="874395" cy="282575"/>
                      <wp:effectExtent l="12700" t="12700" r="27305" b="253365"/>
                      <wp:wrapNone/>
                      <wp:docPr id="45" name="线形标注 1 45"/>
                      <wp:cNvGraphicFramePr/>
                      <a:graphic xmlns:a="http://schemas.openxmlformats.org/drawingml/2006/main">
                        <a:graphicData uri="http://schemas.microsoft.com/office/word/2010/wordprocessingShape">
                          <wps:wsp>
                            <wps:cNvSpPr/>
                            <wps:spPr>
                              <a:xfrm>
                                <a:off x="0" y="0"/>
                                <a:ext cx="874395" cy="282575"/>
                              </a:xfrm>
                              <a:prstGeom prst="borderCallout1">
                                <a:avLst>
                                  <a:gd name="adj1" fmla="val 104719"/>
                                  <a:gd name="adj2" fmla="val 62236"/>
                                  <a:gd name="adj3" fmla="val 186741"/>
                                  <a:gd name="adj4" fmla="val 82352"/>
                                </a:avLst>
                              </a:prstGeom>
                              <a:solidFill>
                                <a:srgbClr val="558ED5"/>
                              </a:solidFill>
                              <a:ln w="25400" cap="flat" cmpd="sng">
                                <a:solidFill>
                                  <a:srgbClr val="385D8A"/>
                                </a:solidFill>
                                <a:prstDash val="solid"/>
                                <a:miter/>
                                <a:headEnd type="none" w="med" len="med"/>
                                <a:tailEnd type="none" w="med" len="med"/>
                              </a:ln>
                            </wps:spPr>
                            <wps:txbx>
                              <w:txbxContent>
                                <w:p>
                                  <w:pPr>
                                    <w:spacing w:line="240" w:lineRule="exact"/>
                                    <w:jc w:val="center"/>
                                    <w:rPr>
                                      <w:rFonts w:ascii="Arial" w:hAnsi="Arial"/>
                                      <w:b/>
                                      <w:color w:val="FFFFFF"/>
                                      <w:sz w:val="18"/>
                                      <w:szCs w:val="18"/>
                                    </w:rPr>
                                  </w:pPr>
                                  <w:r>
                                    <w:rPr>
                                      <w:rFonts w:hint="eastAsia" w:ascii="Arial" w:hAnsi="Arial"/>
                                      <w:b/>
                                      <w:color w:val="FFFFFF"/>
                                      <w:sz w:val="18"/>
                                      <w:szCs w:val="18"/>
                                    </w:rPr>
                                    <w:t>华鸿幸福里</w:t>
                                  </w:r>
                                </w:p>
                              </w:txbxContent>
                            </wps:txbx>
                            <wps:bodyPr anchor="ctr" anchorCtr="0" upright="1"/>
                          </wps:wsp>
                        </a:graphicData>
                      </a:graphic>
                    </wp:anchor>
                  </w:drawing>
                </mc:Choice>
                <mc:Fallback>
                  <w:pict>
                    <v:shape id="_x0000_s1026" o:spid="_x0000_s1026" o:spt="47" type="#_x0000_t47" style="position:absolute;left:0pt;margin-left:336.05pt;margin-top:55.05pt;height:22.25pt;width:68.85pt;z-index:251679744;v-text-anchor:middle;mso-width-relative:page;mso-height-relative:page;" fillcolor="#558ED5" filled="t" stroked="t" coordsize="21600,21600" o:gfxdata="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ZsRLM2AAAAAsBAAAPAAAAAAAAAAEAIAAAACIAAABkcnMvZG93bnJldi54bWxQSwECFAAU&#10;AAAACACHTuJAa+DXhWMCAADzBAAADgAAAAAAAAABACAAAAAnAQAAZHJzL2Uyb0RvYy54bWxQSwUG&#10;AAAAAAYABgBZAQAA/AUAAAAA&#10;" adj="17788,40336,13443,22619">
                      <v:fill on="t" focussize="0,0"/>
                      <v:stroke weight="2pt" color="#385D8A" joinstyle="miter"/>
                      <v:imagedata o:title=""/>
                      <o:lock v:ext="edit" aspectratio="f"/>
                      <v:textbox>
                        <w:txbxContent>
                          <w:p>
                            <w:pPr>
                              <w:spacing w:line="240" w:lineRule="exact"/>
                              <w:jc w:val="center"/>
                              <w:rPr>
                                <w:rFonts w:ascii="Arial" w:hAnsi="Arial"/>
                                <w:b/>
                                <w:color w:val="FFFFFF"/>
                                <w:sz w:val="18"/>
                                <w:szCs w:val="18"/>
                              </w:rPr>
                            </w:pPr>
                            <w:r>
                              <w:rPr>
                                <w:rFonts w:hint="eastAsia" w:ascii="Arial" w:hAnsi="Arial"/>
                                <w:b/>
                                <w:color w:val="FFFFFF"/>
                                <w:sz w:val="18"/>
                                <w:szCs w:val="18"/>
                              </w:rPr>
                              <w:t>华鸿幸福里</w:t>
                            </w:r>
                          </w:p>
                        </w:txbxContent>
                      </v:textbox>
                    </v:shape>
                  </w:pict>
                </mc:Fallback>
              </mc:AlternateContent>
            </w:r>
          </w:p>
        </w:tc>
      </w:tr>
    </w:tbl>
    <w:p>
      <w:pPr>
        <w:pStyle w:val="5"/>
        <w:snapToGrid w:val="0"/>
        <w:spacing w:before="0" w:after="0" w:line="480" w:lineRule="auto"/>
        <w:jc w:val="both"/>
        <w:rPr>
          <w:rFonts w:eastAsia="宋体" w:cs="Arial"/>
          <w:sz w:val="21"/>
          <w:szCs w:val="21"/>
        </w:rPr>
      </w:pPr>
    </w:p>
    <w:p>
      <w:pPr>
        <w:widowControl w:val="0"/>
        <w:tabs>
          <w:tab w:val="left" w:pos="567"/>
        </w:tabs>
        <w:adjustRightInd w:val="0"/>
        <w:snapToGrid w:val="0"/>
        <w:spacing w:line="480" w:lineRule="auto"/>
        <w:ind w:firstLine="420" w:firstLineChars="200"/>
        <w:jc w:val="both"/>
        <w:rPr>
          <w:rFonts w:ascii="Arial" w:hAnsi="Arial" w:cs="Arial"/>
          <w:color w:val="000000"/>
          <w:sz w:val="21"/>
          <w:szCs w:val="21"/>
        </w:rPr>
      </w:pPr>
    </w:p>
    <w:p>
      <w:pPr>
        <w:widowControl w:val="0"/>
        <w:tabs>
          <w:tab w:val="left" w:pos="567"/>
        </w:tabs>
        <w:adjustRightInd w:val="0"/>
        <w:snapToGrid w:val="0"/>
        <w:spacing w:line="480" w:lineRule="auto"/>
        <w:ind w:firstLine="420" w:firstLineChars="200"/>
        <w:jc w:val="both"/>
        <w:rPr>
          <w:rFonts w:ascii="Arial" w:hAnsi="Arial" w:cs="Arial"/>
          <w:color w:val="000000"/>
          <w:sz w:val="21"/>
          <w:szCs w:val="21"/>
        </w:rPr>
      </w:pPr>
    </w:p>
    <w:p>
      <w:pPr>
        <w:widowControl w:val="0"/>
        <w:tabs>
          <w:tab w:val="left" w:pos="567"/>
        </w:tabs>
        <w:adjustRightInd w:val="0"/>
        <w:snapToGrid w:val="0"/>
        <w:spacing w:line="480" w:lineRule="auto"/>
        <w:ind w:firstLine="420" w:firstLineChars="200"/>
        <w:jc w:val="both"/>
        <w:rPr>
          <w:rFonts w:ascii="Arial" w:hAnsi="Arial" w:cs="Arial"/>
          <w:color w:val="000000"/>
          <w:sz w:val="21"/>
          <w:szCs w:val="21"/>
        </w:rPr>
      </w:pPr>
    </w:p>
    <w:p>
      <w:pPr>
        <w:widowControl w:val="0"/>
        <w:tabs>
          <w:tab w:val="left" w:pos="567"/>
        </w:tabs>
        <w:adjustRightInd w:val="0"/>
        <w:snapToGrid w:val="0"/>
        <w:spacing w:line="480" w:lineRule="auto"/>
        <w:ind w:firstLine="420" w:firstLineChars="200"/>
        <w:jc w:val="both"/>
        <w:rPr>
          <w:rFonts w:ascii="Arial" w:hAnsi="Arial" w:cs="Arial"/>
          <w:color w:val="000000"/>
          <w:sz w:val="21"/>
          <w:szCs w:val="21"/>
        </w:rPr>
      </w:pPr>
    </w:p>
    <w:p>
      <w:pPr>
        <w:widowControl w:val="0"/>
        <w:tabs>
          <w:tab w:val="left" w:pos="567"/>
        </w:tabs>
        <w:adjustRightInd w:val="0"/>
        <w:snapToGrid w:val="0"/>
        <w:spacing w:line="480" w:lineRule="auto"/>
        <w:ind w:firstLine="420" w:firstLineChars="200"/>
        <w:jc w:val="both"/>
        <w:rPr>
          <w:rFonts w:ascii="Arial" w:hAnsi="Arial" w:cs="Arial"/>
          <w:color w:val="000000"/>
          <w:sz w:val="21"/>
          <w:szCs w:val="21"/>
        </w:rPr>
      </w:pPr>
    </w:p>
    <w:p>
      <w:pPr>
        <w:widowControl w:val="0"/>
        <w:tabs>
          <w:tab w:val="left" w:pos="567"/>
        </w:tabs>
        <w:adjustRightInd w:val="0"/>
        <w:snapToGrid w:val="0"/>
        <w:spacing w:line="480" w:lineRule="auto"/>
        <w:ind w:firstLine="420" w:firstLineChars="200"/>
        <w:jc w:val="both"/>
        <w:rPr>
          <w:rFonts w:ascii="Arial" w:hAnsi="Arial" w:cs="Arial"/>
          <w:color w:val="000000"/>
          <w:sz w:val="21"/>
          <w:szCs w:val="21"/>
        </w:rPr>
      </w:pPr>
    </w:p>
    <w:p>
      <w:pPr>
        <w:widowControl w:val="0"/>
        <w:tabs>
          <w:tab w:val="left" w:pos="567"/>
        </w:tabs>
        <w:adjustRightInd w:val="0"/>
        <w:snapToGrid w:val="0"/>
        <w:spacing w:line="480" w:lineRule="auto"/>
        <w:ind w:firstLine="420" w:firstLineChars="200"/>
        <w:jc w:val="both"/>
        <w:rPr>
          <w:rFonts w:ascii="Arial" w:hAnsi="Arial" w:cs="Arial"/>
          <w:color w:val="000000"/>
          <w:sz w:val="21"/>
          <w:szCs w:val="21"/>
        </w:rPr>
      </w:pPr>
    </w:p>
    <w:p>
      <w:pPr>
        <w:widowControl w:val="0"/>
        <w:tabs>
          <w:tab w:val="left" w:pos="567"/>
        </w:tabs>
        <w:adjustRightInd w:val="0"/>
        <w:snapToGrid w:val="0"/>
        <w:spacing w:line="480" w:lineRule="auto"/>
        <w:ind w:firstLine="420" w:firstLineChars="200"/>
        <w:jc w:val="both"/>
        <w:rPr>
          <w:rFonts w:ascii="Arial" w:hAnsi="Arial" w:cs="Arial"/>
          <w:color w:val="000000"/>
          <w:sz w:val="21"/>
          <w:szCs w:val="21"/>
        </w:rPr>
      </w:pPr>
    </w:p>
    <w:p>
      <w:pPr>
        <w:widowControl w:val="0"/>
        <w:tabs>
          <w:tab w:val="left" w:pos="567"/>
        </w:tabs>
        <w:adjustRightInd w:val="0"/>
        <w:snapToGrid w:val="0"/>
        <w:spacing w:line="480" w:lineRule="auto"/>
        <w:ind w:firstLine="420" w:firstLineChars="200"/>
        <w:jc w:val="both"/>
        <w:rPr>
          <w:rFonts w:ascii="Arial" w:hAnsi="Arial" w:cs="Arial"/>
          <w:color w:val="000000"/>
          <w:sz w:val="21"/>
          <w:szCs w:val="21"/>
        </w:rPr>
      </w:pPr>
    </w:p>
    <w:p>
      <w:pPr>
        <w:widowControl w:val="0"/>
        <w:tabs>
          <w:tab w:val="left" w:pos="567"/>
        </w:tabs>
        <w:adjustRightInd w:val="0"/>
        <w:snapToGrid w:val="0"/>
        <w:spacing w:line="480" w:lineRule="auto"/>
        <w:ind w:firstLine="420" w:firstLineChars="200"/>
        <w:jc w:val="both"/>
        <w:rPr>
          <w:rFonts w:ascii="Arial" w:hAnsi="Arial" w:cs="Arial"/>
          <w:color w:val="000000"/>
          <w:sz w:val="21"/>
          <w:szCs w:val="21"/>
        </w:rPr>
      </w:pPr>
    </w:p>
    <w:p>
      <w:pPr>
        <w:widowControl w:val="0"/>
        <w:tabs>
          <w:tab w:val="left" w:pos="567"/>
        </w:tabs>
        <w:adjustRightInd w:val="0"/>
        <w:snapToGrid w:val="0"/>
        <w:spacing w:line="480" w:lineRule="auto"/>
        <w:ind w:firstLine="420" w:firstLineChars="200"/>
        <w:jc w:val="both"/>
        <w:rPr>
          <w:rFonts w:ascii="Arial" w:hAnsi="Arial" w:cs="Arial"/>
          <w:color w:val="000000"/>
          <w:sz w:val="21"/>
          <w:szCs w:val="21"/>
        </w:rPr>
      </w:pPr>
    </w:p>
    <w:p>
      <w:pPr>
        <w:widowControl w:val="0"/>
        <w:tabs>
          <w:tab w:val="left" w:pos="567"/>
        </w:tabs>
        <w:adjustRightInd w:val="0"/>
        <w:snapToGrid w:val="0"/>
        <w:spacing w:line="480" w:lineRule="auto"/>
        <w:ind w:firstLine="420" w:firstLineChars="200"/>
        <w:jc w:val="both"/>
        <w:rPr>
          <w:rFonts w:ascii="Arial" w:hAnsi="Arial" w:cs="Arial"/>
          <w:color w:val="000000"/>
          <w:sz w:val="21"/>
          <w:szCs w:val="21"/>
        </w:rPr>
      </w:pPr>
    </w:p>
    <w:p>
      <w:pPr>
        <w:widowControl w:val="0"/>
        <w:adjustRightInd w:val="0"/>
        <w:snapToGrid w:val="0"/>
        <w:spacing w:line="480" w:lineRule="auto"/>
        <w:ind w:firstLine="420" w:firstLineChars="200"/>
        <w:jc w:val="both"/>
        <w:rPr>
          <w:rFonts w:ascii="Arial" w:hAnsi="Arial" w:cs="Arial"/>
          <w:color w:val="000000"/>
          <w:sz w:val="21"/>
          <w:szCs w:val="21"/>
        </w:rPr>
        <w:sectPr>
          <w:headerReference r:id="rId22" w:type="first"/>
          <w:headerReference r:id="rId21" w:type="default"/>
          <w:pgSz w:w="11906" w:h="16838"/>
          <w:pgMar w:top="1843" w:right="1304" w:bottom="1134" w:left="1304" w:header="1134" w:footer="907" w:gutter="0"/>
          <w:cols w:space="425" w:num="1"/>
          <w:titlePg/>
          <w:docGrid w:linePitch="312" w:charSpace="0"/>
        </w:sectPr>
      </w:pP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32"/>
    <w:p>
      <w:pPr>
        <w:pStyle w:val="5"/>
        <w:snapToGrid w:val="0"/>
        <w:spacing w:before="0" w:after="0" w:line="480" w:lineRule="auto"/>
        <w:jc w:val="both"/>
        <w:rPr>
          <w:rFonts w:eastAsia="宋体" w:cs="Arial"/>
          <w:sz w:val="21"/>
          <w:szCs w:val="21"/>
        </w:rPr>
      </w:pPr>
      <w:bookmarkStart w:id="136" w:name="_Toc106177884"/>
      <w:bookmarkStart w:id="137" w:name="_Toc74250075"/>
      <w:r>
        <w:rPr>
          <w:rFonts w:eastAsia="宋体" w:cs="Arial"/>
          <w:sz w:val="21"/>
          <w:szCs w:val="21"/>
        </w:rPr>
        <w:t>二、项目市场竞争能力分析</w:t>
      </w:r>
      <w:bookmarkEnd w:id="136"/>
      <w:bookmarkEnd w:id="137"/>
    </w:p>
    <w:p>
      <w:pPr>
        <w:pStyle w:val="5"/>
        <w:snapToGrid w:val="0"/>
        <w:spacing w:before="0" w:after="0" w:line="480" w:lineRule="auto"/>
        <w:ind w:firstLine="207" w:firstLineChars="98"/>
        <w:jc w:val="both"/>
        <w:rPr>
          <w:rFonts w:eastAsia="宋体" w:cs="Arial"/>
          <w:sz w:val="21"/>
          <w:szCs w:val="21"/>
        </w:rPr>
      </w:pPr>
      <w:bookmarkStart w:id="138" w:name="_Toc74250076"/>
      <w:bookmarkStart w:id="139" w:name="_Toc106177885"/>
      <w:r>
        <w:rPr>
          <w:rFonts w:eastAsia="宋体" w:cs="Arial"/>
          <w:sz w:val="21"/>
          <w:szCs w:val="21"/>
        </w:rPr>
        <w:t>（一）优势</w:t>
      </w:r>
      <w:bookmarkEnd w:id="138"/>
      <w:bookmarkEnd w:id="139"/>
    </w:p>
    <w:p>
      <w:pPr>
        <w:widowControl w:val="0"/>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1</w:t>
      </w:r>
      <w:r>
        <w:rPr>
          <w:rFonts w:ascii="Arial" w:hAnsi="Arial" w:cs="Arial"/>
          <w:sz w:val="21"/>
          <w:szCs w:val="21"/>
        </w:rPr>
        <w:t>、</w:t>
      </w:r>
      <w:r>
        <w:rPr>
          <w:rFonts w:hint="eastAsia" w:ascii="Arial" w:hAnsi="Arial" w:cs="Arial"/>
          <w:sz w:val="21"/>
          <w:szCs w:val="21"/>
        </w:rPr>
        <w:t>建设项目地块属纯住宅地块，地块素质较为优越。</w:t>
      </w:r>
    </w:p>
    <w:p>
      <w:pPr>
        <w:widowControl w:val="0"/>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2、项目位于永嘉县南部区域，东侧紧邻楠溪江，南侧距瓯江约1.5公里。临近双塔公园，建设项目东北侧部分楼盘可观江景，自然环境好。</w:t>
      </w:r>
    </w:p>
    <w:p>
      <w:pPr>
        <w:widowControl w:val="0"/>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3、项目东北侧距永嘉站约3.5公里，西侧距永嘉客运中心约4公里，南侧距温州市政府6.6公里，区位优势较显著。</w:t>
      </w:r>
    </w:p>
    <w:p>
      <w:pPr>
        <w:widowControl w:val="0"/>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4、</w:t>
      </w:r>
      <w:r>
        <w:rPr>
          <w:rFonts w:ascii="Arial" w:hAnsi="Arial" w:cs="Arial"/>
          <w:sz w:val="21"/>
          <w:szCs w:val="21"/>
        </w:rPr>
        <w:t>项目</w:t>
      </w:r>
      <w:r>
        <w:rPr>
          <w:rFonts w:hint="eastAsia" w:ascii="Arial" w:hAnsi="Arial" w:cs="Arial"/>
          <w:sz w:val="21"/>
          <w:szCs w:val="21"/>
        </w:rPr>
        <w:t>所在区域周边2公里内暂无在售新盘，目前周边多为2015年之后建设的次新房，建设类型多为高层住宅，</w:t>
      </w:r>
      <w:r>
        <w:rPr>
          <w:rFonts w:ascii="Arial" w:hAnsi="Arial" w:cs="Arial"/>
          <w:sz w:val="21"/>
          <w:szCs w:val="21"/>
        </w:rPr>
        <w:t>产品供应</w:t>
      </w:r>
      <w:r>
        <w:rPr>
          <w:rFonts w:hint="eastAsia" w:ascii="Arial" w:hAnsi="Arial" w:cs="Arial"/>
          <w:sz w:val="21"/>
          <w:szCs w:val="21"/>
        </w:rPr>
        <w:t>多为刚需用房，沿江多为改善型江景房；</w:t>
      </w:r>
      <w:r>
        <w:rPr>
          <w:rFonts w:ascii="Arial" w:hAnsi="Arial" w:cs="Arial"/>
          <w:sz w:val="21"/>
          <w:szCs w:val="21"/>
        </w:rPr>
        <w:t>市场需求较强</w:t>
      </w:r>
      <w:r>
        <w:rPr>
          <w:rFonts w:hint="eastAsia" w:ascii="Arial" w:hAnsi="Arial" w:cs="Arial"/>
          <w:sz w:val="21"/>
          <w:szCs w:val="21"/>
        </w:rPr>
        <w:t>。</w:t>
      </w:r>
    </w:p>
    <w:p>
      <w:pPr>
        <w:pStyle w:val="5"/>
        <w:snapToGrid w:val="0"/>
        <w:spacing w:before="0" w:after="0" w:line="480" w:lineRule="auto"/>
        <w:ind w:firstLine="207" w:firstLineChars="98"/>
        <w:jc w:val="both"/>
        <w:rPr>
          <w:rFonts w:eastAsia="宋体" w:cs="Arial"/>
          <w:sz w:val="21"/>
          <w:szCs w:val="21"/>
        </w:rPr>
      </w:pPr>
      <w:bookmarkStart w:id="140" w:name="_Toc74250077"/>
      <w:bookmarkStart w:id="141" w:name="_Toc106177886"/>
      <w:r>
        <w:rPr>
          <w:rFonts w:eastAsia="宋体" w:cs="Arial"/>
          <w:sz w:val="21"/>
          <w:szCs w:val="21"/>
        </w:rPr>
        <w:t>（二）劣势</w:t>
      </w:r>
      <w:bookmarkEnd w:id="140"/>
      <w:bookmarkEnd w:id="141"/>
    </w:p>
    <w:p>
      <w:pPr>
        <w:widowControl w:val="0"/>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1、项目地块东部临现状山体，未来开发建设成本相对较高。</w:t>
      </w:r>
    </w:p>
    <w:p>
      <w:pPr>
        <w:widowControl w:val="0"/>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2、建设项目为商品房及安置房小区，且项目临江房源优先分配给回迁安置用户，未来销售会受一定限制。</w:t>
      </w:r>
    </w:p>
    <w:p>
      <w:pPr>
        <w:pStyle w:val="5"/>
        <w:snapToGrid w:val="0"/>
        <w:spacing w:before="0" w:after="0" w:line="480" w:lineRule="auto"/>
        <w:ind w:firstLine="207" w:firstLineChars="98"/>
        <w:jc w:val="both"/>
        <w:rPr>
          <w:rFonts w:eastAsia="宋体" w:cs="Arial"/>
          <w:sz w:val="21"/>
          <w:szCs w:val="21"/>
        </w:rPr>
      </w:pPr>
      <w:bookmarkStart w:id="142" w:name="_Toc74250078"/>
      <w:bookmarkStart w:id="143" w:name="_Toc106177887"/>
      <w:r>
        <w:rPr>
          <w:rFonts w:hint="eastAsia" w:eastAsia="宋体" w:cs="Arial"/>
          <w:sz w:val="21"/>
          <w:szCs w:val="21"/>
        </w:rPr>
        <w:t>（三）机会</w:t>
      </w:r>
      <w:bookmarkEnd w:id="142"/>
      <w:bookmarkEnd w:id="143"/>
    </w:p>
    <w:p>
      <w:pPr>
        <w:widowControl w:val="0"/>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1、建设项目大部分为回迁安置房，配建少量商品住宅，售价较低，对于刚需客群有较大吸引力；</w:t>
      </w:r>
    </w:p>
    <w:p>
      <w:pPr>
        <w:widowControl w:val="0"/>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2、建设项目位于瓯北片区，南侧靠近温州市城区，进入温州市区便捷，温州市区购房需求可外溢至建设项目板块。</w:t>
      </w:r>
    </w:p>
    <w:p>
      <w:pPr>
        <w:widowControl w:val="0"/>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3、</w:t>
      </w:r>
      <w:r>
        <w:rPr>
          <w:rFonts w:ascii="Arial" w:hAnsi="Arial" w:cs="Arial"/>
          <w:sz w:val="21"/>
          <w:szCs w:val="21"/>
        </w:rPr>
        <w:t>2022年</w:t>
      </w:r>
      <w:r>
        <w:rPr>
          <w:rFonts w:hint="eastAsia" w:ascii="Arial" w:hAnsi="Arial" w:cs="Arial"/>
          <w:sz w:val="21"/>
          <w:szCs w:val="21"/>
        </w:rPr>
        <w:t>永嘉县</w:t>
      </w:r>
      <w:r>
        <w:rPr>
          <w:rFonts w:ascii="Arial" w:hAnsi="Arial" w:cs="Arial"/>
          <w:sz w:val="21"/>
          <w:szCs w:val="21"/>
        </w:rPr>
        <w:t>房地产</w:t>
      </w:r>
      <w:r>
        <w:rPr>
          <w:rFonts w:hint="eastAsia" w:ascii="Arial" w:hAnsi="Arial" w:cs="Arial"/>
          <w:sz w:val="21"/>
          <w:szCs w:val="21"/>
        </w:rPr>
        <w:t>政策整体处于放宽趋势：建设项目达到正负零即可开始预售</w:t>
      </w:r>
      <w:r>
        <w:rPr>
          <w:rFonts w:hint="eastAsia" w:ascii="Arial" w:hAnsi="Arial"/>
          <w:sz w:val="21"/>
          <w:szCs w:val="28"/>
        </w:rPr>
        <w:t>。</w:t>
      </w:r>
    </w:p>
    <w:p>
      <w:pPr>
        <w:pStyle w:val="5"/>
        <w:snapToGrid w:val="0"/>
        <w:spacing w:before="0" w:after="0" w:line="480" w:lineRule="auto"/>
        <w:ind w:firstLine="207" w:firstLineChars="98"/>
        <w:jc w:val="both"/>
        <w:rPr>
          <w:rFonts w:eastAsia="宋体" w:cs="Arial"/>
          <w:sz w:val="21"/>
          <w:szCs w:val="21"/>
        </w:rPr>
      </w:pPr>
      <w:bookmarkStart w:id="144" w:name="_Toc106177888"/>
      <w:bookmarkStart w:id="145" w:name="_Toc74250079"/>
      <w:r>
        <w:rPr>
          <w:rFonts w:hint="eastAsia" w:eastAsia="宋体" w:cs="Arial"/>
          <w:sz w:val="21"/>
          <w:szCs w:val="21"/>
        </w:rPr>
        <w:t>（四）威胁</w:t>
      </w:r>
      <w:bookmarkEnd w:id="144"/>
      <w:bookmarkEnd w:id="145"/>
    </w:p>
    <w:p>
      <w:pPr>
        <w:widowControl w:val="0"/>
        <w:adjustRightInd w:val="0"/>
        <w:snapToGrid w:val="0"/>
        <w:spacing w:line="480" w:lineRule="auto"/>
        <w:ind w:firstLine="420" w:firstLineChars="200"/>
        <w:jc w:val="both"/>
        <w:rPr>
          <w:rFonts w:ascii="Arial" w:hAnsi="Arial" w:cs="Arial"/>
          <w:sz w:val="21"/>
          <w:szCs w:val="21"/>
        </w:rPr>
      </w:pPr>
      <w:bookmarkStart w:id="146" w:name="_Toc106177889"/>
      <w:bookmarkStart w:id="147" w:name="_Toc187666149"/>
      <w:bookmarkStart w:id="148" w:name="_Toc74250080"/>
      <w:r>
        <w:rPr>
          <w:rFonts w:hint="eastAsia" w:ascii="Arial" w:hAnsi="Arial" w:cs="Arial"/>
          <w:sz w:val="21"/>
          <w:szCs w:val="21"/>
        </w:rPr>
        <w:t>永嘉县整体需求及供应较为稳定，但由于疫情影响，且整体大环境较为萎靡，人群消费能力有所下降，购房需求减小。</w:t>
      </w:r>
    </w:p>
    <w:p>
      <w:pPr>
        <w:pStyle w:val="5"/>
        <w:snapToGrid w:val="0"/>
        <w:spacing w:before="0" w:after="0" w:line="480" w:lineRule="auto"/>
        <w:jc w:val="both"/>
        <w:rPr>
          <w:rFonts w:eastAsia="宋体" w:cs="Arial"/>
          <w:b w:val="0"/>
          <w:bCs/>
          <w:color w:val="000000"/>
          <w:sz w:val="21"/>
          <w:szCs w:val="21"/>
        </w:rPr>
      </w:pPr>
      <w:r>
        <w:rPr>
          <w:rFonts w:eastAsia="宋体" w:cs="Arial"/>
          <w:sz w:val="21"/>
          <w:szCs w:val="21"/>
        </w:rPr>
        <w:t>三、市场前景预测</w:t>
      </w:r>
      <w:bookmarkEnd w:id="146"/>
      <w:bookmarkEnd w:id="147"/>
      <w:bookmarkEnd w:id="148"/>
      <w:bookmarkStart w:id="149" w:name="_Toc132426480"/>
    </w:p>
    <w:p>
      <w:pPr>
        <w:pStyle w:val="5"/>
        <w:snapToGrid w:val="0"/>
        <w:spacing w:before="0" w:after="0" w:line="480" w:lineRule="auto"/>
        <w:ind w:firstLine="207" w:firstLineChars="98"/>
        <w:jc w:val="both"/>
        <w:rPr>
          <w:rFonts w:eastAsia="宋体" w:cs="Arial"/>
          <w:b w:val="0"/>
          <w:color w:val="000000"/>
          <w:sz w:val="21"/>
          <w:szCs w:val="21"/>
        </w:rPr>
      </w:pPr>
      <w:bookmarkStart w:id="150" w:name="_Toc106177890"/>
      <w:bookmarkStart w:id="151" w:name="_Toc74250081"/>
      <w:bookmarkStart w:id="152" w:name="_Toc187666150"/>
      <w:r>
        <w:rPr>
          <w:rFonts w:eastAsia="宋体" w:cs="Arial"/>
          <w:sz w:val="21"/>
          <w:szCs w:val="21"/>
        </w:rPr>
        <w:t>（一）项目定位分析</w:t>
      </w:r>
      <w:bookmarkEnd w:id="149"/>
      <w:bookmarkEnd w:id="150"/>
      <w:bookmarkEnd w:id="151"/>
      <w:bookmarkEnd w:id="152"/>
    </w:p>
    <w:p>
      <w:pPr>
        <w:adjustRightInd w:val="0"/>
        <w:snapToGrid w:val="0"/>
        <w:spacing w:line="480" w:lineRule="auto"/>
        <w:ind w:firstLine="420" w:firstLineChars="200"/>
        <w:jc w:val="both"/>
        <w:rPr>
          <w:rFonts w:ascii="Arial" w:hAnsi="Arial" w:cs="Arial"/>
          <w:sz w:val="21"/>
          <w:szCs w:val="21"/>
        </w:rPr>
      </w:pPr>
      <w:bookmarkStart w:id="153" w:name="_Toc187666151"/>
      <w:r>
        <w:rPr>
          <w:rFonts w:hint="eastAsia" w:ascii="Arial" w:hAnsi="Arial" w:cs="Arial"/>
          <w:sz w:val="21"/>
          <w:szCs w:val="21"/>
        </w:rPr>
        <w:t xml:space="preserve">项目定位：本项目定位为刚需首置客户； </w:t>
      </w:r>
    </w:p>
    <w:p>
      <w:pPr>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客群定位：项目客群定位以瓯江区片刚改客群为主力；</w:t>
      </w:r>
    </w:p>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项目定位：</w:t>
      </w:r>
      <w:r>
        <w:rPr>
          <w:rFonts w:hint="eastAsia" w:ascii="Arial" w:hAnsi="Arial" w:cs="Arial"/>
          <w:sz w:val="21"/>
          <w:szCs w:val="21"/>
        </w:rPr>
        <w:t>本</w:t>
      </w:r>
      <w:r>
        <w:rPr>
          <w:rFonts w:ascii="Arial" w:hAnsi="Arial" w:cs="Arial"/>
          <w:sz w:val="21"/>
          <w:szCs w:val="21"/>
        </w:rPr>
        <w:t>项目</w:t>
      </w:r>
      <w:r>
        <w:rPr>
          <w:rFonts w:hint="eastAsia" w:ascii="Arial" w:hAnsi="Arial" w:cs="Arial"/>
          <w:sz w:val="21"/>
          <w:szCs w:val="21"/>
        </w:rPr>
        <w:t>定位为回迁安置房小区，配建部分商品住宅</w:t>
      </w:r>
      <w:r>
        <w:rPr>
          <w:rFonts w:ascii="Arial" w:hAnsi="Arial" w:cs="Arial"/>
          <w:sz w:val="21"/>
          <w:szCs w:val="21"/>
        </w:rPr>
        <w:t>。</w:t>
      </w:r>
    </w:p>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客群定位：项目</w:t>
      </w:r>
      <w:r>
        <w:rPr>
          <w:rFonts w:hint="eastAsia" w:ascii="Arial" w:hAnsi="Arial" w:cs="Arial"/>
          <w:sz w:val="21"/>
          <w:szCs w:val="21"/>
        </w:rPr>
        <w:t>通过便捷交通、高性价比、新房销售吸引周边刚需客户，同时吸引温州市区外溢需求客户</w:t>
      </w:r>
      <w:r>
        <w:rPr>
          <w:rFonts w:ascii="Arial" w:hAnsi="Arial" w:cs="Arial"/>
          <w:sz w:val="21"/>
          <w:szCs w:val="21"/>
        </w:rPr>
        <w:t>。</w:t>
      </w:r>
    </w:p>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产品定位：</w:t>
      </w:r>
      <w:r>
        <w:rPr>
          <w:rFonts w:hint="eastAsia" w:ascii="Arial" w:hAnsi="Arial" w:cs="Arial"/>
          <w:sz w:val="21"/>
          <w:szCs w:val="21"/>
        </w:rPr>
        <w:t>建设项目规划为</w:t>
      </w:r>
      <w:r>
        <w:rPr>
          <w:rFonts w:ascii="Arial" w:hAnsi="Arial" w:cs="Arial"/>
          <w:sz w:val="21"/>
          <w:szCs w:val="21"/>
        </w:rPr>
        <w:t>居住项目</w:t>
      </w:r>
      <w:r>
        <w:rPr>
          <w:rFonts w:hint="eastAsia" w:ascii="Arial" w:hAnsi="Arial" w:cs="Arial"/>
          <w:sz w:val="21"/>
          <w:szCs w:val="21"/>
        </w:rPr>
        <w:t>，</w:t>
      </w:r>
      <w:r>
        <w:rPr>
          <w:rFonts w:ascii="Arial" w:hAnsi="Arial" w:cs="Arial"/>
          <w:sz w:val="21"/>
          <w:szCs w:val="21"/>
        </w:rPr>
        <w:t>住宅</w:t>
      </w:r>
      <w:r>
        <w:rPr>
          <w:rFonts w:hint="eastAsia" w:ascii="Arial" w:hAnsi="Arial" w:cs="Arial"/>
          <w:sz w:val="21"/>
          <w:szCs w:val="21"/>
        </w:rPr>
        <w:t>产品类型为小高层及高层产品：主力产品为120</w:t>
      </w:r>
      <w:r>
        <w:rPr>
          <w:rFonts w:ascii="Arial" w:hAnsi="Arial" w:cs="Arial"/>
          <w:sz w:val="21"/>
          <w:szCs w:val="21"/>
        </w:rPr>
        <w:t>㎡</w:t>
      </w:r>
      <w:r>
        <w:rPr>
          <w:rFonts w:hint="eastAsia" w:ascii="Arial" w:hAnsi="Arial" w:cs="Arial"/>
          <w:sz w:val="21"/>
          <w:szCs w:val="21"/>
        </w:rPr>
        <w:t>、130㎡三居。</w:t>
      </w:r>
    </w:p>
    <w:p>
      <w:pPr>
        <w:pStyle w:val="5"/>
        <w:snapToGrid w:val="0"/>
        <w:spacing w:before="0" w:after="0" w:line="480" w:lineRule="auto"/>
        <w:ind w:firstLine="207" w:firstLineChars="98"/>
        <w:jc w:val="both"/>
        <w:rPr>
          <w:rFonts w:eastAsia="宋体" w:cs="Arial"/>
          <w:sz w:val="21"/>
          <w:szCs w:val="21"/>
        </w:rPr>
      </w:pPr>
      <w:bookmarkStart w:id="154" w:name="_Toc74250082"/>
      <w:bookmarkStart w:id="155" w:name="_Toc106177891"/>
      <w:r>
        <w:rPr>
          <w:rFonts w:eastAsia="宋体" w:cs="Arial"/>
          <w:sz w:val="21"/>
          <w:szCs w:val="21"/>
        </w:rPr>
        <w:t>（二）项目销售价格定位分析</w:t>
      </w:r>
      <w:bookmarkEnd w:id="153"/>
      <w:bookmarkEnd w:id="154"/>
      <w:bookmarkEnd w:id="155"/>
    </w:p>
    <w:p>
      <w:pPr>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通过对项目周边住宅市场调研分析，地块位于瓯北片区，目前地块周边暂无新房在售，多为二手住房，二手住宅售价水平在16000-18000元/平方米，部分品质较高、管理较好的次新房小区，二手住宅售价水平在20000-22000元/平方米，而周边江景房售价水平在20000-30000元/平方米。考虑到调研对象自身为回迁安置房小区，配建部分商品住宅，结合前述分析，综合确定调研对象在本报告出具日期销售均价为高层产品15000元/平方米。</w:t>
      </w:r>
    </w:p>
    <w:p>
      <w:pPr>
        <w:widowControl w:val="0"/>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考虑到全国房地产市场仍处于萎靡状态，且疫情影响反复，虽当地政府已经放购房政策，积极推动市场发展，但仍需时间的验证。</w:t>
      </w:r>
      <w:r>
        <w:rPr>
          <w:rFonts w:ascii="Arial" w:hAnsi="Arial" w:cs="Arial"/>
          <w:sz w:val="21"/>
          <w:szCs w:val="21"/>
        </w:rPr>
        <w:t>本项目拟</w:t>
      </w:r>
      <w:r>
        <w:rPr>
          <w:rFonts w:hint="eastAsia" w:ascii="Arial" w:hAnsi="Arial" w:cs="Arial"/>
          <w:sz w:val="21"/>
          <w:szCs w:val="21"/>
        </w:rPr>
        <w:t>建设为高层住宅及地下车库，</w:t>
      </w:r>
      <w:r>
        <w:rPr>
          <w:rFonts w:ascii="Arial" w:hAnsi="Arial" w:cs="Arial"/>
          <w:sz w:val="21"/>
          <w:szCs w:val="21"/>
        </w:rPr>
        <w:t>预期售价是以现有周边项目的</w:t>
      </w:r>
      <w:r>
        <w:rPr>
          <w:rFonts w:hint="eastAsia" w:ascii="Arial" w:hAnsi="Arial" w:cs="Arial"/>
          <w:sz w:val="21"/>
          <w:szCs w:val="21"/>
        </w:rPr>
        <w:t>二手住宅</w:t>
      </w:r>
      <w:r>
        <w:rPr>
          <w:rFonts w:ascii="Arial" w:hAnsi="Arial" w:cs="Arial"/>
          <w:sz w:val="21"/>
          <w:szCs w:val="21"/>
        </w:rPr>
        <w:t>销售均价为基础，考虑未来几年房地产市场价格涨幅</w:t>
      </w:r>
      <w:r>
        <w:rPr>
          <w:rFonts w:hint="eastAsia" w:ascii="Arial" w:hAnsi="Arial" w:cs="Arial"/>
          <w:sz w:val="21"/>
          <w:szCs w:val="21"/>
        </w:rPr>
        <w:t>、建设项目品质、区域发展</w:t>
      </w:r>
      <w:r>
        <w:rPr>
          <w:rFonts w:ascii="Arial" w:hAnsi="Arial" w:cs="Arial"/>
          <w:sz w:val="21"/>
          <w:szCs w:val="21"/>
        </w:rPr>
        <w:t>等因素综合确定，价格</w:t>
      </w:r>
      <w:r>
        <w:rPr>
          <w:rFonts w:hint="eastAsia" w:ascii="Arial" w:hAnsi="Arial" w:cs="Arial"/>
          <w:sz w:val="21"/>
          <w:szCs w:val="21"/>
        </w:rPr>
        <w:t>与</w:t>
      </w:r>
      <w:r>
        <w:rPr>
          <w:rFonts w:ascii="Arial" w:hAnsi="Arial" w:cs="Arial"/>
          <w:sz w:val="21"/>
          <w:szCs w:val="21"/>
        </w:rPr>
        <w:t>现阶段</w:t>
      </w:r>
      <w:r>
        <w:rPr>
          <w:rFonts w:hint="eastAsia" w:ascii="Arial" w:hAnsi="Arial" w:cs="Arial"/>
          <w:sz w:val="21"/>
          <w:szCs w:val="21"/>
        </w:rPr>
        <w:t>周边大部分</w:t>
      </w:r>
      <w:r>
        <w:rPr>
          <w:rFonts w:ascii="Arial" w:hAnsi="Arial" w:cs="Arial"/>
          <w:sz w:val="21"/>
          <w:szCs w:val="21"/>
        </w:rPr>
        <w:t>房地产</w:t>
      </w:r>
      <w:r>
        <w:rPr>
          <w:rFonts w:hint="eastAsia" w:ascii="Arial" w:hAnsi="Arial" w:cs="Arial"/>
          <w:sz w:val="21"/>
          <w:szCs w:val="21"/>
        </w:rPr>
        <w:t>项目</w:t>
      </w:r>
      <w:r>
        <w:rPr>
          <w:rFonts w:ascii="Arial" w:hAnsi="Arial" w:cs="Arial"/>
          <w:sz w:val="21"/>
          <w:szCs w:val="21"/>
        </w:rPr>
        <w:t>销售价格</w:t>
      </w:r>
      <w:r>
        <w:rPr>
          <w:rFonts w:hint="eastAsia" w:ascii="Arial" w:hAnsi="Arial" w:cs="Arial"/>
          <w:sz w:val="21"/>
          <w:szCs w:val="21"/>
        </w:rPr>
        <w:t>较为一致</w:t>
      </w:r>
      <w:r>
        <w:rPr>
          <w:rFonts w:ascii="Arial" w:hAnsi="Arial" w:cs="Arial"/>
          <w:sz w:val="21"/>
          <w:szCs w:val="21"/>
        </w:rPr>
        <w:t>。由于项目</w:t>
      </w:r>
      <w:r>
        <w:rPr>
          <w:rFonts w:hint="eastAsia" w:ascii="Arial" w:hAnsi="Arial" w:cs="Arial"/>
          <w:sz w:val="21"/>
          <w:szCs w:val="21"/>
        </w:rPr>
        <w:t>区域板块规划</w:t>
      </w:r>
      <w:r>
        <w:rPr>
          <w:rFonts w:ascii="Arial" w:hAnsi="Arial" w:cs="Arial"/>
          <w:sz w:val="21"/>
          <w:szCs w:val="21"/>
        </w:rPr>
        <w:t>条件未来有一定</w:t>
      </w:r>
      <w:r>
        <w:rPr>
          <w:rFonts w:hint="eastAsia" w:ascii="Arial" w:hAnsi="Arial" w:cs="Arial"/>
          <w:sz w:val="21"/>
          <w:szCs w:val="21"/>
        </w:rPr>
        <w:t>利好，</w:t>
      </w:r>
      <w:r>
        <w:rPr>
          <w:rFonts w:ascii="Arial" w:hAnsi="Arial" w:cs="Arial"/>
          <w:sz w:val="21"/>
          <w:szCs w:val="21"/>
        </w:rPr>
        <w:t>在确保能够实现有效的营销策略以及房地产市场得以持续稳定增长的前提条件下，我们认为上述定价是可以实现的。</w:t>
      </w:r>
      <w:r>
        <w:rPr>
          <w:rFonts w:hint="eastAsia" w:ascii="Arial" w:hAnsi="Arial" w:cs="Arial"/>
          <w:sz w:val="21"/>
          <w:szCs w:val="21"/>
        </w:rPr>
        <w:t>另结合本调研对象自身情况以及未来市场竞争压力，遵循谨慎性原则，确定调研对象销售期内售价水平无增长。</w:t>
      </w:r>
    </w:p>
    <w:p>
      <w:pPr>
        <w:adjustRightInd w:val="0"/>
        <w:snapToGrid w:val="0"/>
        <w:spacing w:line="480" w:lineRule="auto"/>
        <w:rPr>
          <w:rFonts w:ascii="Arial" w:hAnsi="Arial" w:cs="Arial"/>
          <w:szCs w:val="21"/>
        </w:rPr>
        <w:sectPr>
          <w:headerReference r:id="rId24" w:type="first"/>
          <w:headerReference r:id="rId23" w:type="even"/>
          <w:pgSz w:w="11906" w:h="16838"/>
          <w:pgMar w:top="1843" w:right="1304" w:bottom="1134" w:left="1304" w:header="1134" w:footer="907" w:gutter="0"/>
          <w:cols w:space="425" w:num="1"/>
          <w:titlePg/>
          <w:docGrid w:linePitch="312" w:charSpace="0"/>
        </w:sectPr>
      </w:pPr>
    </w:p>
    <w:p>
      <w:pPr>
        <w:pStyle w:val="4"/>
        <w:spacing w:before="240"/>
        <w:rPr>
          <w:rFonts w:ascii="Arial" w:hAnsi="Arial" w:eastAsia="方正黑体简体" w:cs="Arial"/>
          <w:b w:val="0"/>
          <w:bCs/>
          <w:sz w:val="32"/>
          <w:szCs w:val="32"/>
        </w:rPr>
      </w:pPr>
      <w:bookmarkStart w:id="156" w:name="_Toc106177892"/>
      <w:r>
        <w:rPr>
          <w:rFonts w:ascii="Arial" w:hAnsi="Arial" w:eastAsia="方正黑体简体" w:cs="Arial"/>
          <w:b w:val="0"/>
          <w:bCs/>
          <w:sz w:val="32"/>
          <w:szCs w:val="32"/>
        </w:rPr>
        <w:t>第四章  投资估算和筹资评价</w:t>
      </w:r>
      <w:bookmarkEnd w:id="156"/>
    </w:p>
    <w:p>
      <w:pPr>
        <w:pStyle w:val="5"/>
        <w:spacing w:before="0" w:after="0" w:line="480" w:lineRule="auto"/>
        <w:rPr>
          <w:rFonts w:eastAsia="宋体" w:cs="Arial"/>
          <w:sz w:val="21"/>
          <w:szCs w:val="21"/>
        </w:rPr>
      </w:pPr>
      <w:bookmarkStart w:id="157" w:name="_Toc106177893"/>
      <w:bookmarkStart w:id="158" w:name="_Toc76889705"/>
      <w:r>
        <w:rPr>
          <w:rFonts w:eastAsia="宋体" w:cs="Arial"/>
          <w:sz w:val="21"/>
          <w:szCs w:val="21"/>
        </w:rPr>
        <w:t>一、投资估算</w:t>
      </w:r>
      <w:bookmarkEnd w:id="157"/>
      <w:bookmarkEnd w:id="158"/>
    </w:p>
    <w:p>
      <w:pPr>
        <w:pStyle w:val="5"/>
        <w:spacing w:before="0" w:after="0" w:line="480" w:lineRule="auto"/>
        <w:ind w:firstLine="207" w:firstLineChars="98"/>
        <w:jc w:val="both"/>
        <w:rPr>
          <w:rFonts w:eastAsia="宋体" w:cs="Arial"/>
          <w:sz w:val="21"/>
          <w:szCs w:val="21"/>
        </w:rPr>
      </w:pPr>
      <w:bookmarkStart w:id="159" w:name="_Toc106177894"/>
      <w:bookmarkStart w:id="160" w:name="_Toc99176032"/>
      <w:bookmarkStart w:id="161" w:name="_Toc99251663"/>
      <w:r>
        <w:rPr>
          <w:rFonts w:eastAsia="宋体" w:cs="Arial"/>
          <w:sz w:val="21"/>
          <w:szCs w:val="21"/>
        </w:rPr>
        <w:t>（一）估算原则</w:t>
      </w:r>
      <w:bookmarkEnd w:id="159"/>
      <w:bookmarkEnd w:id="160"/>
      <w:bookmarkEnd w:id="161"/>
    </w:p>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本次评估以企业提供的资料以及评估人员市场调研获取的信息为依据，按照国家和</w:t>
      </w:r>
      <w:r>
        <w:rPr>
          <w:rFonts w:hint="eastAsia" w:ascii="Arial" w:hAnsi="Arial" w:cs="Arial"/>
          <w:sz w:val="21"/>
          <w:szCs w:val="21"/>
        </w:rPr>
        <w:t>永嘉县</w:t>
      </w:r>
      <w:r>
        <w:rPr>
          <w:rFonts w:ascii="Arial" w:hAnsi="Arial" w:cs="Arial"/>
          <w:sz w:val="21"/>
          <w:szCs w:val="21"/>
        </w:rPr>
        <w:t>有关政策法规进行调整，估算项目总投资并进行筹资能力评价。</w:t>
      </w:r>
    </w:p>
    <w:p>
      <w:pPr>
        <w:pStyle w:val="5"/>
        <w:spacing w:before="0" w:after="0" w:line="480" w:lineRule="auto"/>
        <w:ind w:firstLine="207" w:firstLineChars="98"/>
        <w:jc w:val="both"/>
        <w:rPr>
          <w:rFonts w:eastAsia="宋体" w:cs="Arial"/>
          <w:sz w:val="21"/>
          <w:szCs w:val="21"/>
        </w:rPr>
      </w:pPr>
      <w:bookmarkStart w:id="162" w:name="_Toc106177895"/>
      <w:bookmarkStart w:id="163" w:name="_Toc12072687"/>
      <w:r>
        <w:rPr>
          <w:rFonts w:eastAsia="宋体" w:cs="Arial"/>
          <w:sz w:val="21"/>
          <w:szCs w:val="21"/>
        </w:rPr>
        <w:t>（二）投资构成及估算依据</w:t>
      </w:r>
      <w:bookmarkEnd w:id="162"/>
      <w:bookmarkEnd w:id="163"/>
    </w:p>
    <w:p>
      <w:pPr>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建设项目为根据建设单位提供的资料，总用地面积为60343平方米，规划总建筑面积为248573.95平方米，地上计容建筑面积为172855.95平方米。</w:t>
      </w:r>
    </w:p>
    <w:p>
      <w:pPr>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ZX-H2-22地块总用地面积为54899平方米，规划总建筑面积为235835.95平方米，地上计容总建筑面积为164695.95平方米（其中：住宅146016.95平方米（商品住宅19086.95平方米，安置住宅126930平方米）、商业用房15307平方米、配套用房3372平方米）；地下总建筑面积为71141平方米，规划为地下车库、设备及人防。</w:t>
      </w:r>
    </w:p>
    <w:p>
      <w:pPr>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ZX-H2-24地块总用地面积为5444平方米，规划总建筑面积为12738平方米，地上计容总建筑面积为8160平方米（其中：农贸市场7200平方米，配套用房960平方米）；地下总建筑面积为4578平方米，规划为地下车库、设备及人防。</w:t>
      </w:r>
    </w:p>
    <w:p>
      <w:pPr>
        <w:adjustRightInd w:val="0"/>
        <w:snapToGrid w:val="0"/>
        <w:spacing w:line="480" w:lineRule="auto"/>
        <w:ind w:firstLine="420" w:firstLineChars="200"/>
        <w:jc w:val="both"/>
        <w:rPr>
          <w:rFonts w:cs="Arial"/>
          <w:sz w:val="21"/>
          <w:szCs w:val="21"/>
        </w:rPr>
      </w:pPr>
      <w:r>
        <w:rPr>
          <w:rFonts w:cs="Arial"/>
          <w:sz w:val="21"/>
          <w:szCs w:val="21"/>
        </w:rPr>
        <w:t>（三）项目投资估算</w:t>
      </w:r>
    </w:p>
    <w:p>
      <w:pPr>
        <w:adjustRightInd w:val="0"/>
        <w:snapToGrid w:val="0"/>
        <w:spacing w:line="480" w:lineRule="auto"/>
        <w:ind w:firstLine="420" w:firstLineChars="200"/>
        <w:rPr>
          <w:rFonts w:ascii="Arial" w:hAnsi="Arial" w:cs="Arial"/>
          <w:color w:val="000000"/>
          <w:sz w:val="21"/>
          <w:szCs w:val="21"/>
        </w:rPr>
      </w:pPr>
      <w:r>
        <w:rPr>
          <w:rFonts w:ascii="Arial" w:hAnsi="Arial" w:cs="Arial"/>
          <w:color w:val="000000"/>
          <w:sz w:val="21"/>
          <w:szCs w:val="21"/>
        </w:rPr>
        <w:t>1、土地费用</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（1）土地取得费用：</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 1 \* GB3 </w:instrText>
      </w:r>
      <w:r>
        <w:rPr>
          <w:rFonts w:ascii="Arial" w:hAnsi="Arial" w:cs="Arial"/>
          <w:color w:val="000000"/>
          <w:sz w:val="21"/>
          <w:szCs w:val="21"/>
        </w:rPr>
        <w:fldChar w:fldCharType="separate"/>
      </w:r>
      <w:r>
        <w:rPr>
          <w:rFonts w:hint="eastAsia"/>
          <w:color w:val="000000"/>
          <w:sz w:val="21"/>
          <w:szCs w:val="21"/>
        </w:rPr>
        <w:t>①</w:t>
      </w:r>
      <w:r>
        <w:rPr>
          <w:rFonts w:ascii="Arial" w:hAnsi="Arial" w:cs="Arial"/>
          <w:color w:val="000000"/>
          <w:sz w:val="21"/>
          <w:szCs w:val="21"/>
        </w:rPr>
        <w:fldChar w:fldCharType="end"/>
      </w:r>
      <w:r>
        <w:rPr>
          <w:rFonts w:ascii="Arial" w:hAnsi="Arial" w:cs="Arial"/>
          <w:color w:val="000000"/>
          <w:sz w:val="21"/>
          <w:szCs w:val="21"/>
        </w:rPr>
        <w:t>地价款</w:t>
      </w:r>
      <w:r>
        <w:rPr>
          <w:rFonts w:hint="eastAsia" w:ascii="Arial" w:hAnsi="Arial" w:cs="Arial"/>
          <w:color w:val="000000"/>
          <w:sz w:val="21"/>
          <w:szCs w:val="21"/>
        </w:rPr>
        <w:t>及</w:t>
      </w:r>
      <w:r>
        <w:rPr>
          <w:rFonts w:ascii="Arial" w:hAnsi="Arial" w:cs="Arial"/>
          <w:color w:val="000000"/>
          <w:sz w:val="21"/>
          <w:szCs w:val="21"/>
        </w:rPr>
        <w:t>契税</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根据</w:t>
      </w:r>
      <w:r>
        <w:rPr>
          <w:rFonts w:hint="eastAsia" w:ascii="Arial" w:hAnsi="Arial" w:cs="Arial"/>
          <w:sz w:val="21"/>
          <w:szCs w:val="21"/>
        </w:rPr>
        <w:t>建设单位提供的资料介绍</w:t>
      </w:r>
      <w:r>
        <w:rPr>
          <w:rFonts w:ascii="Arial" w:hAnsi="Arial" w:cs="Arial"/>
          <w:color w:val="000000"/>
          <w:sz w:val="21"/>
          <w:szCs w:val="21"/>
        </w:rPr>
        <w:t>，项目出让国有建设用地使用权地价款</w:t>
      </w:r>
      <w:r>
        <w:rPr>
          <w:rFonts w:hint="eastAsia" w:ascii="Arial" w:hAnsi="Arial" w:cs="Arial"/>
          <w:color w:val="000000"/>
          <w:sz w:val="21"/>
          <w:szCs w:val="21"/>
        </w:rPr>
        <w:t>拟为</w:t>
      </w:r>
      <w:r>
        <w:rPr>
          <w:rFonts w:ascii="Arial" w:hAnsi="Arial" w:cs="Arial"/>
          <w:color w:val="000000"/>
          <w:sz w:val="21"/>
          <w:szCs w:val="21"/>
        </w:rPr>
        <w:t>（含</w:t>
      </w:r>
      <w:r>
        <w:rPr>
          <w:rFonts w:hint="eastAsia" w:ascii="Arial" w:hAnsi="Arial" w:cs="Arial"/>
          <w:color w:val="000000"/>
          <w:sz w:val="21"/>
          <w:szCs w:val="21"/>
        </w:rPr>
        <w:t>成交价款、</w:t>
      </w:r>
      <w:r>
        <w:rPr>
          <w:rFonts w:ascii="Arial" w:hAnsi="Arial" w:cs="Arial"/>
          <w:color w:val="000000"/>
          <w:sz w:val="21"/>
          <w:szCs w:val="21"/>
        </w:rPr>
        <w:t>契税</w:t>
      </w:r>
      <w:r>
        <w:rPr>
          <w:rFonts w:hint="eastAsia" w:ascii="Arial" w:hAnsi="Arial" w:cs="Arial"/>
          <w:color w:val="000000"/>
          <w:sz w:val="21"/>
          <w:szCs w:val="21"/>
        </w:rPr>
        <w:t>及印花税</w:t>
      </w:r>
      <w:r>
        <w:rPr>
          <w:rFonts w:ascii="Arial" w:hAnsi="Arial" w:cs="Arial"/>
          <w:color w:val="000000"/>
          <w:sz w:val="21"/>
          <w:szCs w:val="21"/>
        </w:rPr>
        <w:t>）为</w:t>
      </w:r>
      <w:r>
        <w:rPr>
          <w:rFonts w:hint="eastAsia" w:ascii="Arial" w:hAnsi="Arial" w:cs="Arial"/>
          <w:color w:val="000000"/>
          <w:sz w:val="21"/>
          <w:szCs w:val="21"/>
        </w:rPr>
        <w:t>14015万</w:t>
      </w:r>
      <w:r>
        <w:rPr>
          <w:rFonts w:ascii="Arial" w:hAnsi="Arial" w:cs="Arial"/>
          <w:color w:val="000000"/>
          <w:sz w:val="21"/>
          <w:szCs w:val="21"/>
        </w:rPr>
        <w:t>元</w:t>
      </w:r>
      <w:r>
        <w:rPr>
          <w:rFonts w:hint="eastAsia" w:ascii="Arial" w:hAnsi="Arial" w:cs="Arial"/>
          <w:color w:val="000000"/>
          <w:sz w:val="21"/>
          <w:szCs w:val="21"/>
        </w:rPr>
        <w:t>，其中成交价款为13600万元，契税及印花税415万元。</w:t>
      </w:r>
    </w:p>
    <w:p>
      <w:pPr>
        <w:adjustRightInd w:val="0"/>
        <w:snapToGrid w:val="0"/>
        <w:spacing w:line="480" w:lineRule="auto"/>
        <w:ind w:firstLine="420" w:firstLineChars="200"/>
        <w:jc w:val="both"/>
        <w:rPr>
          <w:color w:val="000000"/>
          <w:sz w:val="21"/>
          <w:szCs w:val="21"/>
        </w:rPr>
      </w:pPr>
      <w:r>
        <w:rPr>
          <w:rFonts w:hint="eastAsia"/>
          <w:color w:val="000000"/>
          <w:sz w:val="21"/>
          <w:szCs w:val="21"/>
        </w:rPr>
        <w:t>②城市基础设施建设费</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根据</w:t>
      </w:r>
      <w:r>
        <w:rPr>
          <w:rFonts w:hint="eastAsia" w:ascii="Arial" w:hAnsi="Arial" w:cs="Arial"/>
          <w:color w:val="000000"/>
          <w:sz w:val="21"/>
          <w:szCs w:val="21"/>
        </w:rPr>
        <w:t>永嘉县人民政府文件《永嘉县人民政府关于印发永嘉县市政基础设施配套费管理办法的通知》[永政发〔2021〕79号]</w:t>
      </w:r>
      <w:r>
        <w:rPr>
          <w:rFonts w:ascii="Arial" w:hAnsi="Arial" w:cs="Arial"/>
          <w:color w:val="000000"/>
          <w:sz w:val="21"/>
          <w:szCs w:val="21"/>
        </w:rPr>
        <w:t>，</w:t>
      </w:r>
      <w:r>
        <w:rPr>
          <w:rFonts w:hint="eastAsia" w:ascii="Arial" w:hAnsi="Arial" w:cs="Arial"/>
          <w:color w:val="000000"/>
          <w:sz w:val="21"/>
          <w:szCs w:val="21"/>
        </w:rPr>
        <w:t>永嘉县城市基础设施配套费收费标准是：住宅按50元/平方米（建筑面积）缴纳城市基础设施配套费；回迁安置住房无需缴纳该笔费用；则有：</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城市基础设施配套费</w:t>
      </w:r>
      <w:r>
        <w:rPr>
          <w:rFonts w:ascii="Arial" w:hAnsi="Arial" w:cs="Arial"/>
          <w:color w:val="000000"/>
          <w:sz w:val="21"/>
          <w:szCs w:val="21"/>
        </w:rPr>
        <w:t>=</w:t>
      </w:r>
      <w:r>
        <w:rPr>
          <w:rFonts w:hint="eastAsia" w:ascii="Arial" w:hAnsi="Arial" w:cs="Arial"/>
          <w:color w:val="000000"/>
          <w:sz w:val="21"/>
          <w:szCs w:val="21"/>
        </w:rPr>
        <w:t>19086.95</w:t>
      </w:r>
      <w:r>
        <w:rPr>
          <w:rFonts w:ascii="Arial" w:hAnsi="Arial" w:cs="Arial"/>
          <w:color w:val="000000"/>
          <w:sz w:val="21"/>
          <w:szCs w:val="21"/>
        </w:rPr>
        <w:t>×</w:t>
      </w:r>
      <w:r>
        <w:rPr>
          <w:rFonts w:hint="eastAsia" w:ascii="Arial" w:hAnsi="Arial" w:cs="Arial"/>
          <w:color w:val="000000"/>
          <w:sz w:val="21"/>
          <w:szCs w:val="21"/>
        </w:rPr>
        <w:t>50</w:t>
      </w:r>
      <w:r>
        <w:rPr>
          <w:rFonts w:ascii="Arial" w:hAnsi="Arial" w:cs="Arial"/>
          <w:color w:val="000000"/>
          <w:sz w:val="21"/>
          <w:szCs w:val="21"/>
        </w:rPr>
        <w:t>÷10000</w:t>
      </w:r>
    </w:p>
    <w:p>
      <w:pPr>
        <w:adjustRightInd w:val="0"/>
        <w:snapToGrid w:val="0"/>
        <w:spacing w:line="480" w:lineRule="auto"/>
        <w:ind w:firstLine="2310" w:firstLineChars="1100"/>
        <w:jc w:val="both"/>
        <w:rPr>
          <w:rFonts w:ascii="Arial" w:hAnsi="Arial" w:cs="Arial"/>
          <w:color w:val="000000"/>
          <w:sz w:val="21"/>
          <w:szCs w:val="21"/>
        </w:rPr>
      </w:pPr>
      <w:r>
        <w:rPr>
          <w:rFonts w:hint="eastAsia" w:ascii="Arial" w:hAnsi="Arial" w:cs="Arial"/>
          <w:color w:val="000000"/>
          <w:sz w:val="21"/>
          <w:szCs w:val="21"/>
        </w:rPr>
        <w:t>=95（万元）</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（2）土地费用合计金额：</w:t>
      </w:r>
      <w:r>
        <w:rPr>
          <w:rFonts w:hint="eastAsia" w:ascii="Arial" w:hAnsi="Arial" w:cs="Arial"/>
          <w:color w:val="000000"/>
          <w:sz w:val="21"/>
          <w:szCs w:val="21"/>
        </w:rPr>
        <w:t>14110</w:t>
      </w:r>
      <w:r>
        <w:rPr>
          <w:rFonts w:ascii="Arial" w:hAnsi="Arial" w:cs="Arial"/>
          <w:color w:val="000000"/>
          <w:sz w:val="21"/>
          <w:szCs w:val="21"/>
        </w:rPr>
        <w:t>万元。</w:t>
      </w:r>
    </w:p>
    <w:p>
      <w:pPr>
        <w:adjustRightInd w:val="0"/>
        <w:snapToGrid w:val="0"/>
        <w:spacing w:line="480" w:lineRule="auto"/>
        <w:ind w:firstLine="420" w:firstLineChars="200"/>
        <w:rPr>
          <w:rFonts w:ascii="Arial" w:hAnsi="Arial" w:cs="Arial"/>
          <w:color w:val="000000"/>
          <w:sz w:val="21"/>
          <w:szCs w:val="21"/>
        </w:rPr>
      </w:pPr>
      <w:r>
        <w:rPr>
          <w:rFonts w:ascii="Arial" w:hAnsi="Arial" w:cs="Arial"/>
          <w:color w:val="000000"/>
          <w:sz w:val="21"/>
          <w:szCs w:val="21"/>
        </w:rPr>
        <w:t>2、前期工程费用</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（1）规划、测量、勘察、设计费</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本项费用的取费标准为项目建安工程费的</w:t>
      </w:r>
      <w:r>
        <w:rPr>
          <w:rFonts w:hint="eastAsia" w:ascii="Arial" w:hAnsi="Arial" w:cs="Arial"/>
          <w:color w:val="000000"/>
          <w:sz w:val="21"/>
          <w:szCs w:val="21"/>
        </w:rPr>
        <w:t>1.5</w:t>
      </w:r>
      <w:r>
        <w:rPr>
          <w:rFonts w:ascii="Arial" w:hAnsi="Arial" w:cs="Arial"/>
          <w:color w:val="000000"/>
          <w:sz w:val="21"/>
          <w:szCs w:val="21"/>
        </w:rPr>
        <w:t>%，则该项费用为：</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规划、测量、勘察、设计费=</w:t>
      </w:r>
      <w:r>
        <w:rPr>
          <w:rFonts w:hint="eastAsia" w:ascii="Arial" w:hAnsi="Arial" w:cs="Arial"/>
          <w:color w:val="000000"/>
          <w:sz w:val="21"/>
          <w:szCs w:val="21"/>
        </w:rPr>
        <w:t>1.05</w:t>
      </w:r>
      <w:r>
        <w:rPr>
          <w:rFonts w:ascii="Arial" w:hAnsi="Arial" w:cs="Arial"/>
          <w:color w:val="000000"/>
          <w:sz w:val="21"/>
          <w:szCs w:val="21"/>
        </w:rPr>
        <w:t>%×</w:t>
      </w:r>
      <w:r>
        <w:rPr>
          <w:rFonts w:hint="eastAsia" w:ascii="Arial" w:hAnsi="Arial" w:cs="Arial"/>
          <w:color w:val="000000"/>
          <w:sz w:val="21"/>
          <w:szCs w:val="21"/>
        </w:rPr>
        <w:t>63255</w:t>
      </w:r>
      <w:r>
        <w:rPr>
          <w:rFonts w:ascii="Arial" w:hAnsi="Arial" w:cs="Arial"/>
          <w:color w:val="000000"/>
          <w:sz w:val="21"/>
          <w:szCs w:val="21"/>
        </w:rPr>
        <w:t>=</w:t>
      </w:r>
      <w:r>
        <w:rPr>
          <w:rFonts w:hint="eastAsia" w:ascii="Arial" w:hAnsi="Arial" w:cs="Arial"/>
          <w:color w:val="000000"/>
          <w:sz w:val="21"/>
          <w:szCs w:val="21"/>
        </w:rPr>
        <w:t>949</w:t>
      </w:r>
      <w:r>
        <w:rPr>
          <w:rFonts w:ascii="Arial" w:hAnsi="Arial" w:cs="Arial"/>
          <w:color w:val="000000"/>
          <w:sz w:val="21"/>
          <w:szCs w:val="21"/>
        </w:rPr>
        <w:t>（万元）</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（2）报批报建费用</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本项费用的取费标准为项目房屋开发费的</w:t>
      </w:r>
      <w:r>
        <w:rPr>
          <w:rFonts w:hint="eastAsia" w:ascii="Arial" w:hAnsi="Arial" w:cs="Arial"/>
          <w:color w:val="000000"/>
          <w:sz w:val="21"/>
          <w:szCs w:val="21"/>
        </w:rPr>
        <w:t>1</w:t>
      </w:r>
      <w:r>
        <w:rPr>
          <w:rFonts w:ascii="Arial" w:hAnsi="Arial" w:cs="Arial"/>
          <w:color w:val="000000"/>
          <w:sz w:val="21"/>
          <w:szCs w:val="21"/>
        </w:rPr>
        <w:t>%计算，则该项费用为：</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报批报建费用=</w:t>
      </w:r>
      <w:r>
        <w:rPr>
          <w:rFonts w:hint="eastAsia" w:ascii="Arial" w:hAnsi="Arial" w:cs="Arial"/>
          <w:color w:val="000000"/>
          <w:sz w:val="21"/>
          <w:szCs w:val="21"/>
        </w:rPr>
        <w:t>1</w:t>
      </w:r>
      <w:r>
        <w:rPr>
          <w:rFonts w:ascii="Arial" w:hAnsi="Arial" w:cs="Arial"/>
          <w:color w:val="000000"/>
          <w:sz w:val="21"/>
          <w:szCs w:val="21"/>
        </w:rPr>
        <w:t>%×</w:t>
      </w:r>
      <w:r>
        <w:rPr>
          <w:rFonts w:hint="eastAsia" w:ascii="Arial" w:hAnsi="Arial" w:cs="Arial"/>
          <w:sz w:val="21"/>
          <w:szCs w:val="21"/>
        </w:rPr>
        <w:t>71955</w:t>
      </w:r>
      <w:r>
        <w:rPr>
          <w:rFonts w:ascii="Arial" w:hAnsi="Arial" w:cs="Arial"/>
          <w:color w:val="000000"/>
          <w:sz w:val="21"/>
          <w:szCs w:val="21"/>
        </w:rPr>
        <w:t>=</w:t>
      </w:r>
      <w:r>
        <w:rPr>
          <w:rFonts w:hint="eastAsia" w:ascii="Arial" w:hAnsi="Arial" w:cs="Arial"/>
          <w:color w:val="000000"/>
          <w:sz w:val="21"/>
          <w:szCs w:val="21"/>
        </w:rPr>
        <w:t>720</w:t>
      </w:r>
      <w:r>
        <w:rPr>
          <w:rFonts w:ascii="Arial" w:hAnsi="Arial" w:cs="Arial"/>
          <w:color w:val="000000"/>
          <w:sz w:val="21"/>
          <w:szCs w:val="21"/>
        </w:rPr>
        <w:t>（万元）</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（3）三通一平费用</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本项费用的取费标准以每建筑平方米</w:t>
      </w:r>
      <w:r>
        <w:rPr>
          <w:rFonts w:hint="eastAsia" w:ascii="Arial" w:hAnsi="Arial" w:cs="Arial"/>
          <w:color w:val="000000"/>
          <w:sz w:val="21"/>
          <w:szCs w:val="21"/>
        </w:rPr>
        <w:t>25</w:t>
      </w:r>
      <w:r>
        <w:rPr>
          <w:rFonts w:ascii="Arial" w:hAnsi="Arial" w:cs="Arial"/>
          <w:color w:val="000000"/>
          <w:sz w:val="21"/>
          <w:szCs w:val="21"/>
        </w:rPr>
        <w:t>元为标准</w:t>
      </w:r>
      <w:r>
        <w:rPr>
          <w:rFonts w:hint="eastAsia" w:ascii="Arial" w:hAnsi="Arial" w:cs="Arial"/>
          <w:color w:val="000000"/>
          <w:sz w:val="21"/>
          <w:szCs w:val="21"/>
        </w:rPr>
        <w:t>，则</w:t>
      </w:r>
      <w:r>
        <w:rPr>
          <w:rFonts w:ascii="Arial" w:hAnsi="Arial" w:cs="Arial"/>
          <w:color w:val="000000"/>
          <w:sz w:val="21"/>
          <w:szCs w:val="21"/>
        </w:rPr>
        <w:t>该项费用为：</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三通一平费用</w:t>
      </w:r>
      <w:r>
        <w:rPr>
          <w:rFonts w:ascii="Arial" w:hAnsi="Arial" w:cs="Arial"/>
          <w:color w:val="000000"/>
          <w:sz w:val="21"/>
          <w:szCs w:val="21"/>
        </w:rPr>
        <w:t>=</w:t>
      </w:r>
      <w:r>
        <w:rPr>
          <w:rFonts w:hint="eastAsia" w:ascii="Arial" w:hAnsi="Arial" w:cs="Arial"/>
          <w:color w:val="000000"/>
          <w:sz w:val="21"/>
          <w:szCs w:val="21"/>
        </w:rPr>
        <w:t>25</w:t>
      </w:r>
      <w:r>
        <w:rPr>
          <w:rFonts w:ascii="Arial" w:hAnsi="Arial" w:cs="Arial"/>
          <w:color w:val="000000"/>
          <w:sz w:val="21"/>
          <w:szCs w:val="21"/>
        </w:rPr>
        <w:t>×</w:t>
      </w:r>
      <w:r>
        <w:rPr>
          <w:rFonts w:hint="eastAsia" w:ascii="Arial" w:hAnsi="Arial" w:cs="Arial"/>
          <w:color w:val="000000"/>
          <w:sz w:val="21"/>
          <w:szCs w:val="21"/>
        </w:rPr>
        <w:t>248573.95</w:t>
      </w:r>
      <w:r>
        <w:rPr>
          <w:rFonts w:ascii="Arial" w:hAnsi="Arial" w:cs="Arial"/>
          <w:color w:val="000000"/>
          <w:sz w:val="21"/>
          <w:szCs w:val="21"/>
        </w:rPr>
        <w:t>÷10000=</w:t>
      </w:r>
      <w:r>
        <w:rPr>
          <w:rFonts w:hint="eastAsia" w:ascii="Arial" w:hAnsi="Arial" w:cs="Arial"/>
          <w:sz w:val="21"/>
          <w:szCs w:val="21"/>
        </w:rPr>
        <w:t>621</w:t>
      </w:r>
      <w:r>
        <w:rPr>
          <w:rFonts w:ascii="Arial" w:hAnsi="Arial" w:cs="Arial"/>
          <w:color w:val="000000"/>
          <w:sz w:val="21"/>
          <w:szCs w:val="21"/>
        </w:rPr>
        <w:t>（万元）</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（4）临时设施费</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本项费用的取费标准以每建筑平方米</w:t>
      </w:r>
      <w:r>
        <w:rPr>
          <w:rFonts w:hint="eastAsia" w:ascii="Arial" w:hAnsi="Arial" w:cs="Arial"/>
          <w:color w:val="000000"/>
          <w:sz w:val="21"/>
          <w:szCs w:val="21"/>
        </w:rPr>
        <w:t>25</w:t>
      </w:r>
      <w:r>
        <w:rPr>
          <w:rFonts w:ascii="Arial" w:hAnsi="Arial" w:cs="Arial"/>
          <w:color w:val="000000"/>
          <w:sz w:val="21"/>
          <w:szCs w:val="21"/>
        </w:rPr>
        <w:t>元为标准</w:t>
      </w:r>
      <w:r>
        <w:rPr>
          <w:rFonts w:hint="eastAsia" w:ascii="Arial" w:hAnsi="Arial" w:cs="Arial"/>
          <w:color w:val="000000"/>
          <w:sz w:val="21"/>
          <w:szCs w:val="21"/>
        </w:rPr>
        <w:t>，则</w:t>
      </w:r>
      <w:r>
        <w:rPr>
          <w:rFonts w:ascii="Arial" w:hAnsi="Arial" w:cs="Arial"/>
          <w:color w:val="000000"/>
          <w:sz w:val="21"/>
          <w:szCs w:val="21"/>
        </w:rPr>
        <w:t>该项费用为：</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临时设施费</w:t>
      </w:r>
      <w:r>
        <w:rPr>
          <w:rFonts w:ascii="Arial" w:hAnsi="Arial" w:cs="Arial"/>
          <w:color w:val="000000"/>
          <w:sz w:val="21"/>
          <w:szCs w:val="21"/>
        </w:rPr>
        <w:t>=</w:t>
      </w:r>
      <w:r>
        <w:rPr>
          <w:rFonts w:hint="eastAsia" w:ascii="Arial" w:hAnsi="Arial" w:cs="Arial"/>
          <w:color w:val="000000"/>
          <w:sz w:val="21"/>
          <w:szCs w:val="21"/>
        </w:rPr>
        <w:t>25</w:t>
      </w:r>
      <w:r>
        <w:rPr>
          <w:rFonts w:ascii="Arial" w:hAnsi="Arial" w:cs="Arial"/>
          <w:color w:val="000000"/>
          <w:sz w:val="21"/>
          <w:szCs w:val="21"/>
        </w:rPr>
        <w:t>×</w:t>
      </w:r>
      <w:r>
        <w:rPr>
          <w:rFonts w:hint="eastAsia" w:ascii="Arial" w:hAnsi="Arial" w:cs="Arial"/>
          <w:color w:val="000000"/>
          <w:sz w:val="21"/>
          <w:szCs w:val="21"/>
        </w:rPr>
        <w:t>248573.95</w:t>
      </w:r>
      <w:r>
        <w:rPr>
          <w:rFonts w:ascii="Arial" w:hAnsi="Arial" w:cs="Arial"/>
          <w:color w:val="000000"/>
          <w:sz w:val="21"/>
          <w:szCs w:val="21"/>
        </w:rPr>
        <w:t>÷10000=</w:t>
      </w:r>
      <w:r>
        <w:rPr>
          <w:rFonts w:hint="eastAsia" w:ascii="Arial" w:hAnsi="Arial" w:cs="Arial"/>
          <w:sz w:val="21"/>
          <w:szCs w:val="21"/>
        </w:rPr>
        <w:t>621</w:t>
      </w:r>
      <w:r>
        <w:rPr>
          <w:rFonts w:ascii="Arial" w:hAnsi="Arial" w:cs="Arial"/>
          <w:color w:val="000000"/>
          <w:sz w:val="21"/>
          <w:szCs w:val="21"/>
        </w:rPr>
        <w:t>（万元）</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w:t>
      </w:r>
      <w:r>
        <w:rPr>
          <w:rFonts w:hint="eastAsia" w:ascii="Arial" w:hAnsi="Arial" w:cs="Arial"/>
          <w:color w:val="000000"/>
          <w:sz w:val="21"/>
          <w:szCs w:val="21"/>
        </w:rPr>
        <w:t>5</w:t>
      </w:r>
      <w:r>
        <w:rPr>
          <w:rFonts w:ascii="Arial" w:hAnsi="Arial" w:cs="Arial"/>
          <w:color w:val="000000"/>
          <w:sz w:val="21"/>
          <w:szCs w:val="21"/>
        </w:rPr>
        <w:t>）前期工程费用合计金额：</w:t>
      </w:r>
      <w:r>
        <w:rPr>
          <w:rFonts w:hint="eastAsia" w:ascii="Arial" w:hAnsi="Arial" w:cs="Arial"/>
          <w:color w:val="000000"/>
          <w:sz w:val="21"/>
          <w:szCs w:val="21"/>
        </w:rPr>
        <w:t>2911</w:t>
      </w:r>
      <w:r>
        <w:rPr>
          <w:rFonts w:ascii="Arial" w:hAnsi="Arial" w:cs="Arial"/>
          <w:color w:val="000000"/>
          <w:sz w:val="21"/>
          <w:szCs w:val="21"/>
        </w:rPr>
        <w:t>万元。</w:t>
      </w:r>
    </w:p>
    <w:p>
      <w:pPr>
        <w:adjustRightInd w:val="0"/>
        <w:snapToGrid w:val="0"/>
        <w:spacing w:line="480" w:lineRule="auto"/>
        <w:ind w:firstLine="420" w:firstLineChars="200"/>
        <w:jc w:val="both"/>
        <w:rPr>
          <w:rFonts w:ascii="Arial" w:hAnsi="Arial" w:cs="Arial"/>
          <w:bCs/>
          <w:color w:val="000000"/>
          <w:sz w:val="21"/>
          <w:szCs w:val="21"/>
        </w:rPr>
      </w:pPr>
      <w:bookmarkStart w:id="164" w:name="_Toc12072688"/>
      <w:bookmarkStart w:id="165" w:name="_Toc522074585"/>
      <w:bookmarkStart w:id="166" w:name="_Toc109118459"/>
      <w:bookmarkStart w:id="167" w:name="_Toc109012110"/>
      <w:bookmarkStart w:id="168" w:name="_Toc118531925"/>
      <w:bookmarkStart w:id="169" w:name="_Toc532810734"/>
      <w:r>
        <w:rPr>
          <w:rFonts w:ascii="Arial" w:hAnsi="Arial" w:cs="Arial"/>
          <w:bCs/>
          <w:color w:val="000000"/>
          <w:sz w:val="21"/>
          <w:szCs w:val="21"/>
        </w:rPr>
        <w:t>3、房屋开发费</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（1）建安工程费：</w:t>
      </w:r>
    </w:p>
    <w:p>
      <w:pPr>
        <w:adjustRightInd w:val="0"/>
        <w:snapToGrid w:val="0"/>
        <w:spacing w:line="360" w:lineRule="auto"/>
        <w:ind w:firstLine="420" w:firstLineChars="200"/>
        <w:jc w:val="both"/>
        <w:rPr>
          <w:rFonts w:ascii="Arial" w:hAnsi="Arial" w:cs="Arial"/>
          <w:color w:val="000000"/>
          <w:sz w:val="21"/>
          <w:szCs w:val="21"/>
        </w:rPr>
      </w:pPr>
      <w:r>
        <w:rPr>
          <w:rFonts w:ascii="Arial" w:hAnsi="Arial" w:cs="Arial"/>
          <w:color w:val="000000"/>
          <w:sz w:val="21"/>
          <w:szCs w:val="21"/>
        </w:rPr>
        <w:t>根据建设单位的介绍、有关文件规定及项目的建造标准，各部位建安费用如下：</w:t>
      </w:r>
    </w:p>
    <w:p>
      <w:pPr>
        <w:pStyle w:val="2"/>
        <w:ind w:firstLine="210"/>
        <w:rPr>
          <w:rFonts w:ascii="Arial" w:hAnsi="Arial" w:cs="Arial"/>
          <w:color w:val="000000"/>
          <w:sz w:val="21"/>
          <w:szCs w:val="21"/>
        </w:rPr>
      </w:pPr>
    </w:p>
    <w:p>
      <w:pPr>
        <w:pStyle w:val="2"/>
        <w:ind w:firstLine="210"/>
        <w:rPr>
          <w:rFonts w:ascii="Arial" w:hAnsi="Arial" w:cs="Arial"/>
          <w:color w:val="000000"/>
          <w:sz w:val="21"/>
          <w:szCs w:val="21"/>
        </w:rPr>
      </w:pPr>
    </w:p>
    <w:p>
      <w:pPr>
        <w:pStyle w:val="2"/>
        <w:ind w:firstLine="210"/>
        <w:rPr>
          <w:rFonts w:ascii="Arial" w:hAnsi="Arial" w:cs="Arial"/>
          <w:color w:val="000000"/>
          <w:sz w:val="21"/>
          <w:szCs w:val="21"/>
        </w:rPr>
      </w:pPr>
    </w:p>
    <w:tbl>
      <w:tblPr>
        <w:tblStyle w:val="36"/>
        <w:tblW w:w="49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553"/>
        <w:gridCol w:w="1842"/>
        <w:gridCol w:w="2407"/>
        <w:gridCol w:w="2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283" w:hRule="atLeast"/>
          <w:tblHeader/>
          <w:jc w:val="center"/>
        </w:trPr>
        <w:tc>
          <w:tcPr>
            <w:tcW w:w="1373" w:type="pct"/>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项目</w:t>
            </w:r>
          </w:p>
        </w:tc>
        <w:tc>
          <w:tcPr>
            <w:tcW w:w="991" w:type="pct"/>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总价（万元）</w:t>
            </w:r>
          </w:p>
        </w:tc>
        <w:tc>
          <w:tcPr>
            <w:tcW w:w="1294" w:type="pct"/>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建筑面积（平方米）</w:t>
            </w:r>
          </w:p>
        </w:tc>
        <w:tc>
          <w:tcPr>
            <w:tcW w:w="1340" w:type="pct"/>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建安单价（元/平方米）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283" w:hRule="atLeast"/>
          <w:jc w:val="center"/>
        </w:trPr>
        <w:tc>
          <w:tcPr>
            <w:tcW w:w="1373" w:type="pct"/>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普通住宅</w:t>
            </w:r>
          </w:p>
        </w:tc>
        <w:tc>
          <w:tcPr>
            <w:tcW w:w="1842" w:type="dxa"/>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 xml:space="preserve">4772 </w:t>
            </w:r>
          </w:p>
        </w:tc>
        <w:tc>
          <w:tcPr>
            <w:tcW w:w="2407" w:type="dxa"/>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 xml:space="preserve">19086.95 </w:t>
            </w:r>
          </w:p>
        </w:tc>
        <w:tc>
          <w:tcPr>
            <w:tcW w:w="2493" w:type="dxa"/>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 xml:space="preserve">2500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283" w:hRule="atLeast"/>
          <w:jc w:val="center"/>
        </w:trPr>
        <w:tc>
          <w:tcPr>
            <w:tcW w:w="1373" w:type="pct"/>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安置住宅</w:t>
            </w:r>
          </w:p>
        </w:tc>
        <w:tc>
          <w:tcPr>
            <w:tcW w:w="1842" w:type="dxa"/>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 xml:space="preserve">35559 </w:t>
            </w:r>
          </w:p>
        </w:tc>
        <w:tc>
          <w:tcPr>
            <w:tcW w:w="2407" w:type="dxa"/>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 xml:space="preserve">142237.00 </w:t>
            </w:r>
          </w:p>
        </w:tc>
        <w:tc>
          <w:tcPr>
            <w:tcW w:w="2493" w:type="dxa"/>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 xml:space="preserve">2500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283" w:hRule="atLeast"/>
          <w:jc w:val="center"/>
        </w:trPr>
        <w:tc>
          <w:tcPr>
            <w:tcW w:w="1373" w:type="pct"/>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安置商业</w:t>
            </w:r>
          </w:p>
        </w:tc>
        <w:tc>
          <w:tcPr>
            <w:tcW w:w="1842" w:type="dxa"/>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 xml:space="preserve">255 </w:t>
            </w:r>
          </w:p>
        </w:tc>
        <w:tc>
          <w:tcPr>
            <w:tcW w:w="2407" w:type="dxa"/>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 xml:space="preserve">850.00 </w:t>
            </w:r>
          </w:p>
        </w:tc>
        <w:tc>
          <w:tcPr>
            <w:tcW w:w="2493" w:type="dxa"/>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 xml:space="preserve">3000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283" w:hRule="atLeast"/>
          <w:jc w:val="center"/>
        </w:trPr>
        <w:tc>
          <w:tcPr>
            <w:tcW w:w="1373" w:type="pct"/>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商品住宅地下车库</w:t>
            </w:r>
          </w:p>
        </w:tc>
        <w:tc>
          <w:tcPr>
            <w:tcW w:w="1842" w:type="dxa"/>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hint="eastAsia" w:ascii="Arial" w:hAnsi="Arial" w:eastAsia="华文细黑" w:cs="Arial"/>
                <w:sz w:val="18"/>
                <w:szCs w:val="18"/>
              </w:rPr>
              <w:t>1295</w:t>
            </w:r>
          </w:p>
        </w:tc>
        <w:tc>
          <w:tcPr>
            <w:tcW w:w="2407" w:type="dxa"/>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hint="eastAsia" w:ascii="Arial" w:hAnsi="Arial" w:eastAsia="华文细黑" w:cs="Arial"/>
                <w:sz w:val="18"/>
                <w:szCs w:val="18"/>
              </w:rPr>
              <w:t>5180</w:t>
            </w:r>
          </w:p>
        </w:tc>
        <w:tc>
          <w:tcPr>
            <w:tcW w:w="2493" w:type="dxa"/>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hint="eastAsia" w:ascii="Arial" w:hAnsi="Arial" w:eastAsia="华文细黑" w:cs="Arial"/>
                <w:sz w:val="18"/>
                <w:szCs w:val="18"/>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283" w:hRule="atLeast"/>
          <w:jc w:val="center"/>
        </w:trPr>
        <w:tc>
          <w:tcPr>
            <w:tcW w:w="1373" w:type="pct"/>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非人防地下车库（可售）</w:t>
            </w:r>
          </w:p>
        </w:tc>
        <w:tc>
          <w:tcPr>
            <w:tcW w:w="1842" w:type="dxa"/>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 xml:space="preserve">10203 </w:t>
            </w:r>
          </w:p>
        </w:tc>
        <w:tc>
          <w:tcPr>
            <w:tcW w:w="2407" w:type="dxa"/>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 xml:space="preserve">40810.00 </w:t>
            </w:r>
          </w:p>
        </w:tc>
        <w:tc>
          <w:tcPr>
            <w:tcW w:w="2493" w:type="dxa"/>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 xml:space="preserve">2500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283" w:hRule="atLeast"/>
          <w:jc w:val="center"/>
        </w:trPr>
        <w:tc>
          <w:tcPr>
            <w:tcW w:w="1373" w:type="pct"/>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公共配套</w:t>
            </w:r>
          </w:p>
        </w:tc>
        <w:tc>
          <w:tcPr>
            <w:tcW w:w="1842" w:type="dxa"/>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 xml:space="preserve">3739 </w:t>
            </w:r>
          </w:p>
        </w:tc>
        <w:tc>
          <w:tcPr>
            <w:tcW w:w="2407" w:type="dxa"/>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 xml:space="preserve">10682.00 </w:t>
            </w:r>
          </w:p>
        </w:tc>
        <w:tc>
          <w:tcPr>
            <w:tcW w:w="2493" w:type="dxa"/>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 xml:space="preserve">3500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283" w:hRule="atLeast"/>
          <w:jc w:val="center"/>
        </w:trPr>
        <w:tc>
          <w:tcPr>
            <w:tcW w:w="1373" w:type="pct"/>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地下设备及其他</w:t>
            </w:r>
          </w:p>
        </w:tc>
        <w:tc>
          <w:tcPr>
            <w:tcW w:w="1842" w:type="dxa"/>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hint="eastAsia" w:ascii="Arial" w:hAnsi="Arial" w:eastAsia="华文细黑" w:cs="Arial"/>
                <w:sz w:val="18"/>
                <w:szCs w:val="18"/>
              </w:rPr>
              <w:t>5847</w:t>
            </w:r>
          </w:p>
        </w:tc>
        <w:tc>
          <w:tcPr>
            <w:tcW w:w="2407" w:type="dxa"/>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hint="eastAsia" w:ascii="Arial" w:hAnsi="Arial" w:eastAsia="华文细黑" w:cs="Arial"/>
                <w:sz w:val="18"/>
                <w:szCs w:val="18"/>
              </w:rPr>
              <w:t>23388</w:t>
            </w:r>
          </w:p>
        </w:tc>
        <w:tc>
          <w:tcPr>
            <w:tcW w:w="2493" w:type="dxa"/>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hint="eastAsia" w:ascii="Arial" w:hAnsi="Arial" w:eastAsia="华文细黑" w:cs="Arial"/>
                <w:sz w:val="18"/>
                <w:szCs w:val="18"/>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283" w:hRule="atLeast"/>
          <w:jc w:val="center"/>
        </w:trPr>
        <w:tc>
          <w:tcPr>
            <w:tcW w:w="1373" w:type="pct"/>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人防</w:t>
            </w:r>
          </w:p>
        </w:tc>
        <w:tc>
          <w:tcPr>
            <w:tcW w:w="1842" w:type="dxa"/>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 xml:space="preserve">5847 </w:t>
            </w:r>
          </w:p>
        </w:tc>
        <w:tc>
          <w:tcPr>
            <w:tcW w:w="2407" w:type="dxa"/>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 xml:space="preserve">23388.00 </w:t>
            </w:r>
          </w:p>
        </w:tc>
        <w:tc>
          <w:tcPr>
            <w:tcW w:w="2493" w:type="dxa"/>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 xml:space="preserve">2500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283" w:hRule="atLeast"/>
          <w:jc w:val="center"/>
        </w:trPr>
        <w:tc>
          <w:tcPr>
            <w:tcW w:w="1373" w:type="pct"/>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合计</w:t>
            </w:r>
          </w:p>
        </w:tc>
        <w:tc>
          <w:tcPr>
            <w:tcW w:w="991" w:type="pct"/>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hint="eastAsia" w:ascii="Arial" w:hAnsi="Arial" w:eastAsia="华文细黑" w:cs="Arial"/>
                <w:sz w:val="18"/>
                <w:szCs w:val="18"/>
              </w:rPr>
              <w:t>63255</w:t>
            </w:r>
          </w:p>
        </w:tc>
        <w:tc>
          <w:tcPr>
            <w:tcW w:w="1294" w:type="pct"/>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hint="eastAsia" w:ascii="Arial" w:hAnsi="Arial" w:eastAsia="华文细黑" w:cs="Arial"/>
                <w:sz w:val="18"/>
                <w:szCs w:val="18"/>
              </w:rPr>
              <w:t>248573.95</w:t>
            </w:r>
          </w:p>
        </w:tc>
        <w:tc>
          <w:tcPr>
            <w:tcW w:w="1340" w:type="pct"/>
            <w:shd w:val="clear" w:color="auto" w:fill="auto"/>
            <w:noWrap/>
            <w:vAlign w:val="center"/>
          </w:tcPr>
          <w:p>
            <w:pPr>
              <w:adjustRightInd w:val="0"/>
              <w:snapToGrid w:val="0"/>
              <w:spacing w:line="240" w:lineRule="exact"/>
              <w:jc w:val="both"/>
              <w:rPr>
                <w:rFonts w:ascii="Arial" w:hAnsi="Arial" w:eastAsia="华文细黑" w:cs="Arial"/>
                <w:sz w:val="18"/>
                <w:szCs w:val="18"/>
              </w:rPr>
            </w:pPr>
            <w:r>
              <w:rPr>
                <w:rFonts w:ascii="Arial" w:hAnsi="Arial" w:eastAsia="华文细黑" w:cs="Arial"/>
                <w:sz w:val="18"/>
                <w:szCs w:val="18"/>
              </w:rPr>
              <w:t>——</w:t>
            </w:r>
          </w:p>
        </w:tc>
      </w:tr>
    </w:tbl>
    <w:p>
      <w:pPr>
        <w:adjustRightInd w:val="0"/>
        <w:snapToGrid w:val="0"/>
        <w:spacing w:before="100" w:beforeAutospacing="1" w:line="480" w:lineRule="auto"/>
        <w:ind w:firstLine="420" w:firstLineChars="200"/>
        <w:rPr>
          <w:rFonts w:ascii="Arial" w:hAnsi="Arial" w:cs="Arial"/>
          <w:color w:val="000000"/>
          <w:sz w:val="21"/>
          <w:szCs w:val="21"/>
        </w:rPr>
      </w:pPr>
      <w:r>
        <w:rPr>
          <w:rFonts w:ascii="Arial" w:hAnsi="Arial" w:cs="Arial"/>
          <w:color w:val="000000"/>
          <w:sz w:val="21"/>
          <w:szCs w:val="21"/>
        </w:rPr>
        <w:t>（2）室外工程费：</w:t>
      </w:r>
    </w:p>
    <w:p>
      <w:pPr>
        <w:adjustRightInd w:val="0"/>
        <w:snapToGrid w:val="0"/>
        <w:spacing w:line="480" w:lineRule="auto"/>
        <w:ind w:firstLine="420" w:firstLineChars="200"/>
        <w:rPr>
          <w:rFonts w:ascii="Arial" w:hAnsi="Arial" w:cs="Arial"/>
          <w:color w:val="000000"/>
          <w:sz w:val="21"/>
          <w:szCs w:val="21"/>
        </w:rPr>
      </w:pPr>
      <w:r>
        <w:rPr>
          <w:rFonts w:ascii="Arial" w:hAnsi="Arial" w:cs="Arial"/>
          <w:color w:val="000000"/>
          <w:sz w:val="21"/>
          <w:szCs w:val="21"/>
        </w:rPr>
        <w:t>室外工程费包含红线内市政基础设施配套费用，根据项目的实际情况，以每建筑平方米</w:t>
      </w:r>
      <w:r>
        <w:rPr>
          <w:rFonts w:hint="eastAsia" w:ascii="Arial" w:hAnsi="Arial" w:cs="Arial"/>
          <w:color w:val="000000"/>
          <w:sz w:val="21"/>
          <w:szCs w:val="21"/>
        </w:rPr>
        <w:t>300</w:t>
      </w:r>
      <w:r>
        <w:rPr>
          <w:rFonts w:ascii="Arial" w:hAnsi="Arial" w:cs="Arial"/>
          <w:color w:val="000000"/>
          <w:sz w:val="21"/>
          <w:szCs w:val="21"/>
        </w:rPr>
        <w:t>元为标准计算红线内市政基础设施配套费用。</w:t>
      </w:r>
    </w:p>
    <w:p>
      <w:pPr>
        <w:adjustRightInd w:val="0"/>
        <w:snapToGrid w:val="0"/>
        <w:spacing w:line="480" w:lineRule="auto"/>
        <w:ind w:firstLine="420" w:firstLineChars="200"/>
        <w:rPr>
          <w:rFonts w:ascii="Arial" w:hAnsi="Arial" w:cs="Arial"/>
          <w:color w:val="000000"/>
          <w:sz w:val="21"/>
          <w:szCs w:val="21"/>
        </w:rPr>
      </w:pPr>
      <w:r>
        <w:rPr>
          <w:rFonts w:ascii="Arial" w:hAnsi="Arial" w:cs="Arial"/>
          <w:color w:val="000000"/>
          <w:sz w:val="21"/>
          <w:szCs w:val="21"/>
        </w:rPr>
        <w:t>室外工程费=</w:t>
      </w:r>
      <w:r>
        <w:rPr>
          <w:rFonts w:hint="eastAsia" w:ascii="Arial" w:hAnsi="Arial" w:cs="Arial"/>
          <w:color w:val="000000"/>
          <w:sz w:val="21"/>
          <w:szCs w:val="21"/>
        </w:rPr>
        <w:t>300</w:t>
      </w:r>
      <w:r>
        <w:rPr>
          <w:rFonts w:ascii="Arial" w:hAnsi="Arial" w:cs="Arial"/>
          <w:color w:val="000000"/>
          <w:sz w:val="21"/>
          <w:szCs w:val="21"/>
        </w:rPr>
        <w:t>×</w:t>
      </w:r>
      <w:r>
        <w:rPr>
          <w:rFonts w:hint="eastAsia" w:ascii="Arial" w:hAnsi="Arial" w:cs="Arial"/>
          <w:color w:val="000000"/>
          <w:sz w:val="21"/>
          <w:szCs w:val="21"/>
        </w:rPr>
        <w:t>248573.95</w:t>
      </w:r>
      <w:r>
        <w:rPr>
          <w:rFonts w:ascii="Arial" w:hAnsi="Arial" w:cs="Arial"/>
          <w:color w:val="000000"/>
          <w:sz w:val="21"/>
          <w:szCs w:val="21"/>
        </w:rPr>
        <w:t>÷10000=</w:t>
      </w:r>
      <w:r>
        <w:rPr>
          <w:rFonts w:hint="eastAsia" w:ascii="Arial" w:hAnsi="Arial" w:cs="Arial"/>
          <w:color w:val="000000"/>
          <w:sz w:val="21"/>
          <w:szCs w:val="21"/>
        </w:rPr>
        <w:t>7457</w:t>
      </w:r>
      <w:r>
        <w:rPr>
          <w:rFonts w:ascii="Arial" w:hAnsi="Arial" w:cs="Arial"/>
          <w:color w:val="000000"/>
          <w:sz w:val="21"/>
          <w:szCs w:val="21"/>
        </w:rPr>
        <w:t>（万元）</w:t>
      </w:r>
    </w:p>
    <w:p>
      <w:pPr>
        <w:adjustRightInd w:val="0"/>
        <w:snapToGrid w:val="0"/>
        <w:spacing w:line="480" w:lineRule="auto"/>
        <w:ind w:firstLine="420" w:firstLineChars="200"/>
        <w:rPr>
          <w:rFonts w:ascii="Arial" w:hAnsi="Arial" w:cs="Arial"/>
          <w:color w:val="000000"/>
          <w:sz w:val="21"/>
          <w:szCs w:val="21"/>
        </w:rPr>
      </w:pPr>
      <w:r>
        <w:rPr>
          <w:rFonts w:ascii="Arial" w:hAnsi="Arial" w:cs="Arial"/>
          <w:color w:val="000000"/>
          <w:sz w:val="21"/>
          <w:szCs w:val="21"/>
        </w:rPr>
        <w:t>（3）附属工程费</w:t>
      </w:r>
    </w:p>
    <w:p>
      <w:pPr>
        <w:adjustRightInd w:val="0"/>
        <w:snapToGrid w:val="0"/>
        <w:spacing w:line="480" w:lineRule="auto"/>
        <w:ind w:firstLine="420" w:firstLineChars="200"/>
        <w:rPr>
          <w:rFonts w:ascii="Arial" w:hAnsi="Arial" w:cs="Arial"/>
          <w:color w:val="000000"/>
          <w:sz w:val="21"/>
          <w:szCs w:val="21"/>
        </w:rPr>
      </w:pPr>
      <w:r>
        <w:rPr>
          <w:rFonts w:ascii="Arial" w:hAnsi="Arial" w:cs="Arial"/>
          <w:color w:val="000000"/>
          <w:sz w:val="21"/>
          <w:szCs w:val="21"/>
        </w:rPr>
        <w:t>附属工程费为项目相关配套项目的费用，如：变配电室、活动站等以及小区绿化费用。根据项目的实际情况，以每建筑平方米</w:t>
      </w:r>
      <w:r>
        <w:rPr>
          <w:rFonts w:hint="eastAsia" w:ascii="Arial" w:hAnsi="Arial" w:cs="Arial"/>
          <w:color w:val="000000"/>
          <w:sz w:val="21"/>
          <w:szCs w:val="21"/>
        </w:rPr>
        <w:t>50</w:t>
      </w:r>
      <w:r>
        <w:rPr>
          <w:rFonts w:ascii="Arial" w:hAnsi="Arial" w:cs="Arial"/>
          <w:color w:val="000000"/>
          <w:sz w:val="21"/>
          <w:szCs w:val="21"/>
        </w:rPr>
        <w:t>元为计算标准，总计为：</w:t>
      </w:r>
    </w:p>
    <w:p>
      <w:pPr>
        <w:adjustRightInd w:val="0"/>
        <w:snapToGrid w:val="0"/>
        <w:spacing w:line="480" w:lineRule="auto"/>
        <w:ind w:firstLine="420" w:firstLineChars="200"/>
        <w:rPr>
          <w:rFonts w:ascii="Arial" w:hAnsi="Arial" w:cs="Arial"/>
          <w:color w:val="000000"/>
          <w:sz w:val="21"/>
          <w:szCs w:val="21"/>
        </w:rPr>
      </w:pPr>
      <w:r>
        <w:rPr>
          <w:rFonts w:ascii="Arial" w:hAnsi="Arial" w:cs="Arial"/>
          <w:color w:val="000000"/>
          <w:sz w:val="21"/>
          <w:szCs w:val="21"/>
        </w:rPr>
        <w:t>附属工程费=</w:t>
      </w:r>
      <w:r>
        <w:rPr>
          <w:rFonts w:hint="eastAsia" w:ascii="Arial" w:hAnsi="Arial" w:cs="Arial"/>
          <w:color w:val="000000"/>
          <w:sz w:val="21"/>
          <w:szCs w:val="21"/>
        </w:rPr>
        <w:t>50</w:t>
      </w:r>
      <w:r>
        <w:rPr>
          <w:rFonts w:ascii="Arial" w:hAnsi="Arial" w:cs="Arial"/>
          <w:color w:val="000000"/>
          <w:sz w:val="21"/>
          <w:szCs w:val="21"/>
        </w:rPr>
        <w:t>×</w:t>
      </w:r>
      <w:r>
        <w:rPr>
          <w:rFonts w:hint="eastAsia" w:ascii="Arial" w:hAnsi="Arial" w:cs="Arial"/>
          <w:color w:val="000000"/>
          <w:sz w:val="21"/>
          <w:szCs w:val="21"/>
        </w:rPr>
        <w:t>248573.95</w:t>
      </w:r>
      <w:r>
        <w:rPr>
          <w:rFonts w:ascii="Arial" w:hAnsi="Arial" w:cs="Arial"/>
          <w:color w:val="000000"/>
          <w:sz w:val="21"/>
          <w:szCs w:val="21"/>
        </w:rPr>
        <w:t>÷10000=</w:t>
      </w:r>
      <w:r>
        <w:rPr>
          <w:rFonts w:hint="eastAsia" w:ascii="Arial" w:hAnsi="Arial" w:cs="Arial"/>
          <w:color w:val="000000"/>
          <w:sz w:val="21"/>
          <w:szCs w:val="21"/>
        </w:rPr>
        <w:t>1243</w:t>
      </w:r>
      <w:r>
        <w:rPr>
          <w:rFonts w:ascii="Arial" w:hAnsi="Arial" w:cs="Arial"/>
          <w:color w:val="000000"/>
          <w:sz w:val="21"/>
          <w:szCs w:val="21"/>
        </w:rPr>
        <w:t>（万元）</w:t>
      </w:r>
    </w:p>
    <w:p>
      <w:pPr>
        <w:adjustRightInd w:val="0"/>
        <w:snapToGrid w:val="0"/>
        <w:spacing w:line="480" w:lineRule="auto"/>
        <w:ind w:firstLine="420" w:firstLineChars="200"/>
        <w:rPr>
          <w:rFonts w:ascii="Arial" w:hAnsi="Arial" w:cs="Arial"/>
          <w:color w:val="000000"/>
          <w:sz w:val="21"/>
          <w:szCs w:val="21"/>
        </w:rPr>
      </w:pPr>
      <w:r>
        <w:rPr>
          <w:rFonts w:ascii="Arial" w:hAnsi="Arial" w:cs="Arial"/>
          <w:color w:val="000000"/>
          <w:sz w:val="21"/>
          <w:szCs w:val="21"/>
        </w:rPr>
        <w:t>（4）房屋开发费合计：</w:t>
      </w:r>
      <w:r>
        <w:rPr>
          <w:rFonts w:hint="eastAsia" w:ascii="Arial" w:hAnsi="Arial" w:cs="Arial"/>
          <w:color w:val="000000"/>
          <w:sz w:val="21"/>
          <w:szCs w:val="21"/>
        </w:rPr>
        <w:t>71955</w:t>
      </w:r>
      <w:r>
        <w:rPr>
          <w:rFonts w:ascii="Arial" w:hAnsi="Arial" w:cs="Arial"/>
          <w:color w:val="000000"/>
          <w:sz w:val="21"/>
          <w:szCs w:val="21"/>
        </w:rPr>
        <w:t>万元</w:t>
      </w:r>
    </w:p>
    <w:p>
      <w:pPr>
        <w:adjustRightInd w:val="0"/>
        <w:snapToGrid w:val="0"/>
        <w:spacing w:line="480" w:lineRule="auto"/>
        <w:ind w:firstLine="420" w:firstLineChars="200"/>
        <w:rPr>
          <w:rFonts w:ascii="Arial" w:hAnsi="Arial" w:cs="Arial"/>
          <w:bCs/>
          <w:color w:val="000000"/>
          <w:sz w:val="21"/>
          <w:szCs w:val="21"/>
        </w:rPr>
      </w:pPr>
      <w:r>
        <w:rPr>
          <w:rFonts w:ascii="Arial" w:hAnsi="Arial" w:cs="Arial"/>
          <w:bCs/>
          <w:color w:val="000000"/>
          <w:sz w:val="21"/>
          <w:szCs w:val="21"/>
        </w:rPr>
        <w:t>4、开发间接费用</w:t>
      </w:r>
    </w:p>
    <w:p>
      <w:pPr>
        <w:adjustRightInd w:val="0"/>
        <w:snapToGrid w:val="0"/>
        <w:spacing w:line="480" w:lineRule="auto"/>
        <w:ind w:firstLine="420" w:firstLineChars="200"/>
        <w:rPr>
          <w:rFonts w:ascii="Arial" w:hAnsi="Arial" w:cs="Arial"/>
          <w:color w:val="000000"/>
          <w:sz w:val="21"/>
          <w:szCs w:val="21"/>
        </w:rPr>
      </w:pPr>
      <w:r>
        <w:rPr>
          <w:rFonts w:ascii="Arial" w:hAnsi="Arial" w:cs="Arial"/>
          <w:color w:val="000000"/>
          <w:sz w:val="21"/>
          <w:szCs w:val="21"/>
        </w:rPr>
        <w:t>该费用为与成本概算有关的费用,包括标书编制费、招投标管理费、机电设备委托招标服务费、质量监督费等费用，考虑到项目目前状况，按照房屋开发费的</w:t>
      </w:r>
      <w:r>
        <w:rPr>
          <w:rFonts w:hint="eastAsia" w:ascii="Arial" w:hAnsi="Arial" w:cs="Arial"/>
          <w:color w:val="000000"/>
          <w:sz w:val="21"/>
          <w:szCs w:val="21"/>
        </w:rPr>
        <w:t>1.5</w:t>
      </w:r>
      <w:r>
        <w:rPr>
          <w:rFonts w:ascii="Arial" w:hAnsi="Arial" w:cs="Arial"/>
          <w:color w:val="000000"/>
          <w:sz w:val="21"/>
          <w:szCs w:val="21"/>
        </w:rPr>
        <w:t>%计算：</w:t>
      </w:r>
    </w:p>
    <w:p>
      <w:pPr>
        <w:adjustRightInd w:val="0"/>
        <w:snapToGrid w:val="0"/>
        <w:spacing w:line="480" w:lineRule="auto"/>
        <w:ind w:firstLine="420" w:firstLineChars="200"/>
        <w:rPr>
          <w:rFonts w:ascii="Arial" w:hAnsi="Arial" w:cs="Arial"/>
          <w:color w:val="000000"/>
          <w:sz w:val="21"/>
          <w:szCs w:val="21"/>
        </w:rPr>
      </w:pPr>
      <w:r>
        <w:rPr>
          <w:rFonts w:ascii="Arial" w:hAnsi="Arial" w:cs="Arial"/>
          <w:color w:val="000000"/>
          <w:sz w:val="21"/>
          <w:szCs w:val="21"/>
        </w:rPr>
        <w:t>开发间接费用=</w:t>
      </w:r>
      <w:r>
        <w:rPr>
          <w:rFonts w:hint="eastAsia" w:ascii="Arial" w:hAnsi="Arial" w:cs="Arial"/>
          <w:color w:val="000000"/>
          <w:sz w:val="21"/>
          <w:szCs w:val="21"/>
        </w:rPr>
        <w:t>1.5</w:t>
      </w:r>
      <w:r>
        <w:rPr>
          <w:rFonts w:ascii="Arial" w:hAnsi="Arial" w:cs="Arial"/>
          <w:color w:val="000000"/>
          <w:sz w:val="21"/>
          <w:szCs w:val="21"/>
        </w:rPr>
        <w:t>%×</w:t>
      </w:r>
      <w:r>
        <w:rPr>
          <w:rFonts w:hint="eastAsia" w:ascii="Arial" w:hAnsi="Arial" w:cs="Arial"/>
          <w:color w:val="000000"/>
          <w:sz w:val="21"/>
          <w:szCs w:val="21"/>
        </w:rPr>
        <w:t>71955</w:t>
      </w:r>
      <w:r>
        <w:rPr>
          <w:rFonts w:ascii="Arial" w:hAnsi="Arial" w:cs="Arial"/>
          <w:color w:val="000000"/>
          <w:sz w:val="21"/>
          <w:szCs w:val="21"/>
        </w:rPr>
        <w:t>＝</w:t>
      </w:r>
      <w:r>
        <w:rPr>
          <w:rFonts w:hint="eastAsia" w:ascii="Arial" w:hAnsi="Arial" w:cs="Arial"/>
          <w:color w:val="000000"/>
          <w:sz w:val="21"/>
          <w:szCs w:val="21"/>
        </w:rPr>
        <w:t>1079</w:t>
      </w:r>
      <w:r>
        <w:rPr>
          <w:rFonts w:ascii="Arial" w:hAnsi="Arial" w:cs="Arial"/>
          <w:color w:val="000000"/>
          <w:sz w:val="21"/>
          <w:szCs w:val="21"/>
        </w:rPr>
        <w:t>（万元）</w:t>
      </w:r>
    </w:p>
    <w:p>
      <w:pPr>
        <w:adjustRightInd w:val="0"/>
        <w:snapToGrid w:val="0"/>
        <w:spacing w:line="420" w:lineRule="auto"/>
        <w:ind w:firstLine="420" w:firstLineChars="200"/>
        <w:rPr>
          <w:rFonts w:ascii="Arial" w:hAnsi="Arial" w:cs="Arial"/>
          <w:color w:val="000000"/>
          <w:sz w:val="21"/>
          <w:szCs w:val="21"/>
        </w:rPr>
      </w:pPr>
      <w:r>
        <w:rPr>
          <w:rFonts w:ascii="Arial" w:hAnsi="Arial" w:cs="Arial"/>
          <w:color w:val="000000"/>
          <w:sz w:val="21"/>
          <w:szCs w:val="21"/>
        </w:rPr>
        <w:t>5、销售费用</w:t>
      </w:r>
    </w:p>
    <w:p>
      <w:pPr>
        <w:adjustRightInd w:val="0"/>
        <w:snapToGrid w:val="0"/>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销售费用为企业预售及销售过程中发生的广告费等销售费用，综合考虑项目的销售收入及项目本身的实际情况，按项目销售收入的2</w:t>
      </w:r>
      <w:r>
        <w:rPr>
          <w:rFonts w:ascii="Arial" w:hAnsi="Arial" w:cs="Arial"/>
          <w:color w:val="000000"/>
          <w:sz w:val="21"/>
          <w:szCs w:val="21"/>
        </w:rPr>
        <w:t>%确定，销售费用为</w:t>
      </w:r>
      <w:r>
        <w:rPr>
          <w:rFonts w:hint="eastAsia" w:ascii="Arial" w:hAnsi="Arial" w:cs="Arial"/>
          <w:color w:val="000000"/>
          <w:sz w:val="21"/>
          <w:szCs w:val="21"/>
        </w:rPr>
        <w:t>2111</w:t>
      </w:r>
      <w:r>
        <w:rPr>
          <w:rFonts w:ascii="Arial" w:hAnsi="Arial" w:cs="Arial"/>
          <w:color w:val="000000"/>
          <w:sz w:val="21"/>
          <w:szCs w:val="21"/>
        </w:rPr>
        <w:t>万元。</w:t>
      </w:r>
    </w:p>
    <w:p>
      <w:pPr>
        <w:adjustRightInd w:val="0"/>
        <w:snapToGrid w:val="0"/>
        <w:spacing w:line="480" w:lineRule="auto"/>
        <w:ind w:firstLine="420" w:firstLineChars="200"/>
        <w:rPr>
          <w:rFonts w:ascii="Arial" w:hAnsi="Arial" w:cs="Arial"/>
          <w:color w:val="000000"/>
          <w:sz w:val="21"/>
          <w:szCs w:val="21"/>
        </w:rPr>
      </w:pPr>
      <w:r>
        <w:rPr>
          <w:rFonts w:ascii="Arial" w:hAnsi="Arial" w:cs="Arial"/>
          <w:color w:val="000000"/>
          <w:sz w:val="21"/>
          <w:szCs w:val="21"/>
        </w:rPr>
        <w:t>6、管理费用</w:t>
      </w:r>
    </w:p>
    <w:p>
      <w:pPr>
        <w:adjustRightInd w:val="0"/>
        <w:snapToGrid w:val="0"/>
        <w:spacing w:line="480" w:lineRule="auto"/>
        <w:ind w:firstLine="420" w:firstLineChars="200"/>
        <w:rPr>
          <w:rFonts w:ascii="Arial" w:hAnsi="Arial" w:cs="Arial"/>
          <w:color w:val="000000"/>
          <w:sz w:val="21"/>
          <w:szCs w:val="21"/>
        </w:rPr>
      </w:pPr>
      <w:r>
        <w:rPr>
          <w:rFonts w:ascii="Arial" w:hAnsi="Arial" w:cs="Arial"/>
          <w:color w:val="000000"/>
          <w:sz w:val="21"/>
          <w:szCs w:val="21"/>
        </w:rPr>
        <w:t>管理费用按照土地费用、前期工程费、房屋开发费及其他费用之和的</w:t>
      </w:r>
      <w:r>
        <w:rPr>
          <w:rFonts w:hint="eastAsia" w:ascii="Arial" w:hAnsi="Arial" w:cs="Arial"/>
          <w:color w:val="000000"/>
          <w:sz w:val="21"/>
          <w:szCs w:val="21"/>
        </w:rPr>
        <w:t>1.5</w:t>
      </w:r>
      <w:r>
        <w:rPr>
          <w:rFonts w:ascii="Arial" w:hAnsi="Arial" w:cs="Arial"/>
          <w:color w:val="000000"/>
          <w:sz w:val="21"/>
          <w:szCs w:val="21"/>
        </w:rPr>
        <w:t>%计算，合计为</w:t>
      </w:r>
      <w:r>
        <w:rPr>
          <w:rFonts w:hint="eastAsia" w:ascii="Arial" w:hAnsi="Arial" w:cs="Arial"/>
          <w:color w:val="000000"/>
          <w:sz w:val="21"/>
          <w:szCs w:val="21"/>
        </w:rPr>
        <w:t>1138</w:t>
      </w:r>
      <w:r>
        <w:rPr>
          <w:rFonts w:ascii="Arial" w:hAnsi="Arial" w:cs="Arial"/>
          <w:color w:val="000000"/>
          <w:sz w:val="21"/>
          <w:szCs w:val="21"/>
        </w:rPr>
        <w:t>万元。</w:t>
      </w:r>
    </w:p>
    <w:p>
      <w:pPr>
        <w:adjustRightInd w:val="0"/>
        <w:snapToGrid w:val="0"/>
        <w:spacing w:line="480" w:lineRule="auto"/>
        <w:ind w:firstLine="420" w:firstLineChars="200"/>
        <w:rPr>
          <w:rFonts w:ascii="Arial" w:hAnsi="Arial" w:cs="Arial"/>
          <w:bCs/>
          <w:color w:val="000000"/>
          <w:sz w:val="21"/>
          <w:szCs w:val="21"/>
        </w:rPr>
      </w:pPr>
      <w:r>
        <w:rPr>
          <w:rFonts w:hint="eastAsia" w:ascii="Arial" w:hAnsi="Arial" w:cs="Arial"/>
          <w:bCs/>
          <w:color w:val="000000"/>
          <w:sz w:val="21"/>
          <w:szCs w:val="21"/>
        </w:rPr>
        <w:t>7</w:t>
      </w:r>
      <w:r>
        <w:rPr>
          <w:rFonts w:ascii="Arial" w:hAnsi="Arial" w:cs="Arial"/>
          <w:bCs/>
          <w:color w:val="000000"/>
          <w:sz w:val="21"/>
          <w:szCs w:val="21"/>
        </w:rPr>
        <w:t>、不可预见费</w:t>
      </w:r>
    </w:p>
    <w:p>
      <w:pPr>
        <w:adjustRightInd w:val="0"/>
        <w:snapToGrid w:val="0"/>
        <w:spacing w:line="480" w:lineRule="auto"/>
        <w:ind w:firstLine="420" w:firstLineChars="200"/>
        <w:rPr>
          <w:rFonts w:ascii="Arial" w:hAnsi="Arial" w:cs="Arial"/>
          <w:bCs/>
          <w:color w:val="000000"/>
          <w:sz w:val="21"/>
          <w:szCs w:val="21"/>
        </w:rPr>
      </w:pPr>
      <w:r>
        <w:rPr>
          <w:rFonts w:ascii="Arial" w:hAnsi="Arial" w:cs="Arial"/>
          <w:bCs/>
          <w:color w:val="000000"/>
          <w:sz w:val="21"/>
          <w:szCs w:val="21"/>
        </w:rPr>
        <w:t>不可预见费按照土地费用、前期工程费、房屋开发费及其他费用之和的</w:t>
      </w:r>
      <w:r>
        <w:rPr>
          <w:rFonts w:hint="eastAsia" w:ascii="Arial" w:hAnsi="Arial" w:cs="Arial"/>
          <w:bCs/>
          <w:color w:val="000000"/>
          <w:sz w:val="21"/>
          <w:szCs w:val="21"/>
        </w:rPr>
        <w:t>1.5</w:t>
      </w:r>
      <w:r>
        <w:rPr>
          <w:rFonts w:ascii="Arial" w:hAnsi="Arial" w:cs="Arial"/>
          <w:bCs/>
          <w:color w:val="000000"/>
          <w:sz w:val="21"/>
          <w:szCs w:val="21"/>
        </w:rPr>
        <w:t>%计算</w:t>
      </w:r>
      <w:r>
        <w:rPr>
          <w:rFonts w:hint="eastAsia" w:ascii="Arial" w:hAnsi="Arial" w:cs="Arial"/>
          <w:bCs/>
          <w:color w:val="000000"/>
          <w:sz w:val="21"/>
          <w:szCs w:val="21"/>
        </w:rPr>
        <w:t>（考虑项目有可能发生的融资成本等）</w:t>
      </w:r>
      <w:r>
        <w:rPr>
          <w:rFonts w:ascii="Arial" w:hAnsi="Arial" w:cs="Arial"/>
          <w:bCs/>
          <w:color w:val="000000"/>
          <w:sz w:val="21"/>
          <w:szCs w:val="21"/>
        </w:rPr>
        <w:t>，为</w:t>
      </w:r>
      <w:r>
        <w:rPr>
          <w:rFonts w:hint="eastAsia" w:ascii="Arial" w:hAnsi="Arial" w:cs="Arial"/>
          <w:bCs/>
          <w:color w:val="000000"/>
          <w:sz w:val="21"/>
          <w:szCs w:val="21"/>
        </w:rPr>
        <w:t>1139</w:t>
      </w:r>
      <w:r>
        <w:rPr>
          <w:rFonts w:ascii="Arial" w:hAnsi="Arial" w:cs="Arial"/>
          <w:bCs/>
          <w:color w:val="000000"/>
          <w:sz w:val="21"/>
          <w:szCs w:val="21"/>
        </w:rPr>
        <w:t>万元。</w:t>
      </w:r>
    </w:p>
    <w:p>
      <w:pPr>
        <w:adjustRightInd w:val="0"/>
        <w:snapToGrid w:val="0"/>
        <w:spacing w:line="480" w:lineRule="auto"/>
        <w:ind w:firstLine="420" w:firstLineChars="200"/>
        <w:rPr>
          <w:rFonts w:ascii="Arial" w:hAnsi="Arial" w:cs="Arial"/>
          <w:bCs/>
          <w:color w:val="000000"/>
          <w:sz w:val="21"/>
          <w:szCs w:val="21"/>
        </w:rPr>
      </w:pPr>
      <w:r>
        <w:rPr>
          <w:rFonts w:hint="eastAsia" w:ascii="Arial" w:hAnsi="Arial" w:cs="Arial"/>
          <w:bCs/>
          <w:color w:val="000000"/>
          <w:sz w:val="21"/>
          <w:szCs w:val="21"/>
        </w:rPr>
        <w:t>8、专项维修基金</w:t>
      </w:r>
    </w:p>
    <w:p>
      <w:pPr>
        <w:adjustRightInd w:val="0"/>
        <w:snapToGrid w:val="0"/>
        <w:spacing w:line="480" w:lineRule="auto"/>
        <w:ind w:firstLine="420" w:firstLineChars="200"/>
        <w:rPr>
          <w:rFonts w:ascii="Arial" w:hAnsi="Arial" w:cs="Arial"/>
          <w:bCs/>
          <w:color w:val="000000"/>
          <w:sz w:val="21"/>
          <w:szCs w:val="21"/>
        </w:rPr>
      </w:pPr>
      <w:r>
        <w:rPr>
          <w:rFonts w:hint="eastAsia" w:ascii="Arial" w:hAnsi="Arial" w:cs="Arial"/>
          <w:bCs/>
          <w:color w:val="000000"/>
          <w:sz w:val="21"/>
          <w:szCs w:val="21"/>
        </w:rPr>
        <w:t>建设单位需按建安工程费用的2%的标准缴纳专项维修基金，为1439万元。</w:t>
      </w:r>
    </w:p>
    <w:p>
      <w:pPr>
        <w:adjustRightInd w:val="0"/>
        <w:snapToGrid w:val="0"/>
        <w:spacing w:line="480" w:lineRule="auto"/>
        <w:ind w:firstLine="420" w:firstLineChars="200"/>
        <w:rPr>
          <w:rFonts w:ascii="Arial" w:hAnsi="Arial" w:cs="Arial"/>
          <w:bCs/>
          <w:color w:val="000000"/>
          <w:sz w:val="21"/>
          <w:szCs w:val="21"/>
        </w:rPr>
      </w:pPr>
      <w:r>
        <w:rPr>
          <w:rFonts w:hint="eastAsia" w:ascii="Arial" w:hAnsi="Arial" w:cs="Arial"/>
          <w:bCs/>
          <w:color w:val="000000"/>
          <w:sz w:val="21"/>
          <w:szCs w:val="21"/>
        </w:rPr>
        <w:t>9</w:t>
      </w:r>
      <w:r>
        <w:rPr>
          <w:rFonts w:ascii="Arial" w:hAnsi="Arial" w:cs="Arial"/>
          <w:bCs/>
          <w:color w:val="000000"/>
          <w:sz w:val="21"/>
          <w:szCs w:val="21"/>
        </w:rPr>
        <w:t>、投资估算合计</w:t>
      </w:r>
    </w:p>
    <w:p>
      <w:pPr>
        <w:adjustRightInd w:val="0"/>
        <w:snapToGrid w:val="0"/>
        <w:spacing w:line="480" w:lineRule="auto"/>
        <w:ind w:firstLine="420" w:firstLineChars="200"/>
        <w:rPr>
          <w:rFonts w:ascii="Arial" w:hAnsi="Arial" w:cs="Arial"/>
          <w:bCs/>
          <w:color w:val="000000"/>
          <w:sz w:val="21"/>
          <w:szCs w:val="21"/>
        </w:rPr>
      </w:pPr>
      <w:r>
        <w:rPr>
          <w:rFonts w:ascii="Arial" w:hAnsi="Arial" w:cs="Arial"/>
          <w:bCs/>
          <w:color w:val="000000"/>
          <w:sz w:val="21"/>
          <w:szCs w:val="21"/>
        </w:rPr>
        <w:t>经测算，项目总投资为</w:t>
      </w:r>
      <w:r>
        <w:rPr>
          <w:rFonts w:hint="eastAsia" w:ascii="Arial" w:hAnsi="Arial" w:cs="Arial"/>
          <w:bCs/>
          <w:color w:val="000000"/>
          <w:sz w:val="21"/>
          <w:szCs w:val="21"/>
        </w:rPr>
        <w:t>95882</w:t>
      </w:r>
      <w:r>
        <w:rPr>
          <w:rFonts w:ascii="Arial" w:hAnsi="Arial" w:cs="Arial"/>
          <w:bCs/>
          <w:color w:val="000000"/>
          <w:sz w:val="21"/>
          <w:szCs w:val="21"/>
        </w:rPr>
        <w:t>万元。各项目投资构成如下：</w:t>
      </w:r>
    </w:p>
    <w:tbl>
      <w:tblPr>
        <w:tblStyle w:val="36"/>
        <w:tblW w:w="9299" w:type="dxa"/>
        <w:jc w:val="center"/>
        <w:tblLayout w:type="fixed"/>
        <w:tblCellMar>
          <w:top w:w="57" w:type="dxa"/>
          <w:left w:w="57" w:type="dxa"/>
          <w:bottom w:w="57" w:type="dxa"/>
          <w:right w:w="57" w:type="dxa"/>
        </w:tblCellMar>
      </w:tblPr>
      <w:tblGrid>
        <w:gridCol w:w="2108"/>
        <w:gridCol w:w="2108"/>
        <w:gridCol w:w="2107"/>
        <w:gridCol w:w="2976"/>
      </w:tblGrid>
      <w:tr>
        <w:tblPrEx>
          <w:tblCellMar>
            <w:top w:w="57" w:type="dxa"/>
            <w:left w:w="57" w:type="dxa"/>
            <w:bottom w:w="57" w:type="dxa"/>
            <w:right w:w="57" w:type="dxa"/>
          </w:tblCellMar>
        </w:tblPrEx>
        <w:trPr>
          <w:cantSplit/>
          <w:trHeight w:val="283" w:hRule="atLeast"/>
          <w:jc w:val="center"/>
        </w:trPr>
        <w:tc>
          <w:tcPr>
            <w:tcW w:w="2108"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40" w:lineRule="exact"/>
              <w:jc w:val="both"/>
              <w:rPr>
                <w:rFonts w:ascii="Arial" w:hAnsi="Arial" w:eastAsia="华文细黑" w:cs="Arial"/>
                <w:sz w:val="18"/>
                <w:szCs w:val="18"/>
              </w:rPr>
            </w:pPr>
            <w:r>
              <w:rPr>
                <w:rFonts w:ascii="Arial" w:hAnsi="Arial" w:eastAsia="华文细黑" w:cs="Arial"/>
                <w:sz w:val="18"/>
                <w:szCs w:val="18"/>
              </w:rPr>
              <w:t>项</w:t>
            </w:r>
            <w:r>
              <w:rPr>
                <w:rFonts w:hint="eastAsia" w:ascii="Arial" w:hAnsi="Arial" w:eastAsia="华文细黑" w:cs="Arial"/>
                <w:sz w:val="18"/>
                <w:szCs w:val="18"/>
              </w:rPr>
              <w:t xml:space="preserve">        </w:t>
            </w:r>
            <w:r>
              <w:rPr>
                <w:rFonts w:ascii="Arial" w:hAnsi="Arial" w:eastAsia="华文细黑" w:cs="Arial"/>
                <w:sz w:val="18"/>
                <w:szCs w:val="18"/>
              </w:rPr>
              <w:t>目</w:t>
            </w:r>
          </w:p>
        </w:tc>
        <w:tc>
          <w:tcPr>
            <w:tcW w:w="2108" w:type="dxa"/>
            <w:tcBorders>
              <w:top w:val="single" w:color="auto" w:sz="4" w:space="0"/>
              <w:left w:val="nil"/>
              <w:bottom w:val="single" w:color="auto" w:sz="4" w:space="0"/>
              <w:right w:val="single" w:color="auto" w:sz="4" w:space="0"/>
            </w:tcBorders>
            <w:shd w:val="clear" w:color="auto" w:fill="FFFFFF"/>
            <w:noWrap/>
            <w:vAlign w:val="bottom"/>
          </w:tcPr>
          <w:p>
            <w:pPr>
              <w:spacing w:line="240" w:lineRule="exact"/>
              <w:jc w:val="both"/>
              <w:rPr>
                <w:rFonts w:ascii="Arial" w:hAnsi="Arial" w:eastAsia="华文细黑" w:cs="Arial"/>
                <w:sz w:val="18"/>
                <w:szCs w:val="18"/>
              </w:rPr>
            </w:pPr>
            <w:r>
              <w:rPr>
                <w:rFonts w:ascii="Arial" w:hAnsi="Arial" w:eastAsia="华文细黑" w:cs="Arial"/>
                <w:sz w:val="18"/>
                <w:szCs w:val="18"/>
              </w:rPr>
              <w:t>投资额（万元）</w:t>
            </w:r>
          </w:p>
        </w:tc>
        <w:tc>
          <w:tcPr>
            <w:tcW w:w="2107" w:type="dxa"/>
            <w:tcBorders>
              <w:top w:val="single" w:color="auto" w:sz="4" w:space="0"/>
              <w:left w:val="nil"/>
              <w:bottom w:val="single" w:color="auto" w:sz="4" w:space="0"/>
              <w:right w:val="single" w:color="auto" w:sz="4" w:space="0"/>
            </w:tcBorders>
            <w:shd w:val="clear" w:color="auto" w:fill="FFFFFF"/>
            <w:noWrap/>
            <w:vAlign w:val="bottom"/>
          </w:tcPr>
          <w:p>
            <w:pPr>
              <w:spacing w:line="240" w:lineRule="exact"/>
              <w:jc w:val="both"/>
              <w:rPr>
                <w:rFonts w:ascii="Arial" w:hAnsi="Arial" w:eastAsia="华文细黑" w:cs="Arial"/>
                <w:sz w:val="18"/>
                <w:szCs w:val="18"/>
              </w:rPr>
            </w:pPr>
            <w:r>
              <w:rPr>
                <w:rFonts w:ascii="Arial" w:hAnsi="Arial" w:eastAsia="华文细黑" w:cs="Arial"/>
                <w:sz w:val="18"/>
                <w:szCs w:val="18"/>
              </w:rPr>
              <w:t>占项目总投资比例</w:t>
            </w:r>
          </w:p>
        </w:tc>
        <w:tc>
          <w:tcPr>
            <w:tcW w:w="2976" w:type="dxa"/>
            <w:tcBorders>
              <w:top w:val="single" w:color="auto" w:sz="4" w:space="0"/>
              <w:left w:val="nil"/>
              <w:bottom w:val="single" w:color="auto" w:sz="4" w:space="0"/>
              <w:right w:val="single" w:color="auto" w:sz="4" w:space="0"/>
            </w:tcBorders>
            <w:shd w:val="clear" w:color="auto" w:fill="FFFFFF"/>
            <w:noWrap/>
            <w:vAlign w:val="bottom"/>
          </w:tcPr>
          <w:p>
            <w:pPr>
              <w:spacing w:line="240" w:lineRule="exact"/>
              <w:jc w:val="both"/>
              <w:rPr>
                <w:rFonts w:ascii="Arial" w:hAnsi="Arial" w:eastAsia="华文细黑" w:cs="Arial"/>
                <w:sz w:val="18"/>
                <w:szCs w:val="18"/>
              </w:rPr>
            </w:pPr>
            <w:r>
              <w:rPr>
                <w:rFonts w:ascii="Arial" w:hAnsi="Arial" w:eastAsia="华文细黑" w:cs="Arial"/>
                <w:sz w:val="18"/>
                <w:szCs w:val="18"/>
              </w:rPr>
              <w:t>建筑面积单方造价（元</w:t>
            </w:r>
            <w:r>
              <w:rPr>
                <w:rFonts w:hint="eastAsia" w:ascii="Arial" w:hAnsi="Arial" w:eastAsia="华文细黑" w:cs="Arial"/>
                <w:sz w:val="18"/>
                <w:szCs w:val="18"/>
              </w:rPr>
              <w:t>/</w:t>
            </w:r>
            <w:r>
              <w:rPr>
                <w:rFonts w:ascii="Arial" w:hAnsi="Arial" w:eastAsia="华文细黑" w:cs="Arial"/>
                <w:sz w:val="18"/>
                <w:szCs w:val="18"/>
              </w:rPr>
              <w:t>平方米）</w:t>
            </w:r>
          </w:p>
        </w:tc>
      </w:tr>
      <w:tr>
        <w:tblPrEx>
          <w:tblCellMar>
            <w:top w:w="57" w:type="dxa"/>
            <w:left w:w="57" w:type="dxa"/>
            <w:bottom w:w="57" w:type="dxa"/>
            <w:right w:w="57" w:type="dxa"/>
          </w:tblCellMar>
        </w:tblPrEx>
        <w:trPr>
          <w:cantSplit/>
          <w:trHeight w:val="283" w:hRule="atLeast"/>
          <w:jc w:val="center"/>
        </w:trPr>
        <w:tc>
          <w:tcPr>
            <w:tcW w:w="2108" w:type="dxa"/>
            <w:tcBorders>
              <w:top w:val="nil"/>
              <w:left w:val="single" w:color="auto" w:sz="4" w:space="0"/>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土地费用</w:t>
            </w:r>
          </w:p>
        </w:tc>
        <w:tc>
          <w:tcPr>
            <w:tcW w:w="2108" w:type="dxa"/>
            <w:tcBorders>
              <w:top w:val="nil"/>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14110</w:t>
            </w:r>
          </w:p>
        </w:tc>
        <w:tc>
          <w:tcPr>
            <w:tcW w:w="2107" w:type="dxa"/>
            <w:tcBorders>
              <w:top w:val="nil"/>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14.70%</w:t>
            </w:r>
          </w:p>
        </w:tc>
        <w:tc>
          <w:tcPr>
            <w:tcW w:w="2976" w:type="dxa"/>
            <w:tcBorders>
              <w:top w:val="nil"/>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568</w:t>
            </w:r>
          </w:p>
        </w:tc>
      </w:tr>
      <w:tr>
        <w:tblPrEx>
          <w:tblCellMar>
            <w:top w:w="57" w:type="dxa"/>
            <w:left w:w="57" w:type="dxa"/>
            <w:bottom w:w="57" w:type="dxa"/>
            <w:right w:w="57" w:type="dxa"/>
          </w:tblCellMar>
        </w:tblPrEx>
        <w:trPr>
          <w:cantSplit/>
          <w:trHeight w:val="283" w:hRule="atLeast"/>
          <w:jc w:val="center"/>
        </w:trPr>
        <w:tc>
          <w:tcPr>
            <w:tcW w:w="2108" w:type="dxa"/>
            <w:tcBorders>
              <w:top w:val="nil"/>
              <w:left w:val="single" w:color="auto" w:sz="4" w:space="0"/>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前期工程费</w:t>
            </w:r>
          </w:p>
        </w:tc>
        <w:tc>
          <w:tcPr>
            <w:tcW w:w="2108" w:type="dxa"/>
            <w:tcBorders>
              <w:top w:val="nil"/>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2911</w:t>
            </w:r>
          </w:p>
        </w:tc>
        <w:tc>
          <w:tcPr>
            <w:tcW w:w="2107" w:type="dxa"/>
            <w:tcBorders>
              <w:top w:val="nil"/>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3.04%</w:t>
            </w:r>
          </w:p>
        </w:tc>
        <w:tc>
          <w:tcPr>
            <w:tcW w:w="2976" w:type="dxa"/>
            <w:tcBorders>
              <w:top w:val="nil"/>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117</w:t>
            </w:r>
          </w:p>
        </w:tc>
      </w:tr>
      <w:tr>
        <w:tblPrEx>
          <w:tblCellMar>
            <w:top w:w="57" w:type="dxa"/>
            <w:left w:w="57" w:type="dxa"/>
            <w:bottom w:w="57" w:type="dxa"/>
            <w:right w:w="57" w:type="dxa"/>
          </w:tblCellMar>
        </w:tblPrEx>
        <w:trPr>
          <w:cantSplit/>
          <w:trHeight w:val="283" w:hRule="atLeast"/>
          <w:jc w:val="center"/>
        </w:trPr>
        <w:tc>
          <w:tcPr>
            <w:tcW w:w="2108" w:type="dxa"/>
            <w:tcBorders>
              <w:top w:val="nil"/>
              <w:left w:val="single" w:color="auto" w:sz="4" w:space="0"/>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房屋开发费</w:t>
            </w:r>
          </w:p>
        </w:tc>
        <w:tc>
          <w:tcPr>
            <w:tcW w:w="2108" w:type="dxa"/>
            <w:tcBorders>
              <w:top w:val="nil"/>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71955</w:t>
            </w:r>
          </w:p>
        </w:tc>
        <w:tc>
          <w:tcPr>
            <w:tcW w:w="2107" w:type="dxa"/>
            <w:tcBorders>
              <w:top w:val="nil"/>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75.05%</w:t>
            </w:r>
          </w:p>
        </w:tc>
        <w:tc>
          <w:tcPr>
            <w:tcW w:w="2976" w:type="dxa"/>
            <w:tcBorders>
              <w:top w:val="nil"/>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2895</w:t>
            </w:r>
          </w:p>
        </w:tc>
      </w:tr>
      <w:tr>
        <w:tblPrEx>
          <w:tblCellMar>
            <w:top w:w="57" w:type="dxa"/>
            <w:left w:w="57" w:type="dxa"/>
            <w:bottom w:w="57" w:type="dxa"/>
            <w:right w:w="57" w:type="dxa"/>
          </w:tblCellMar>
        </w:tblPrEx>
        <w:trPr>
          <w:cantSplit/>
          <w:trHeight w:val="283" w:hRule="atLeast"/>
          <w:jc w:val="center"/>
        </w:trPr>
        <w:tc>
          <w:tcPr>
            <w:tcW w:w="2108" w:type="dxa"/>
            <w:tcBorders>
              <w:top w:val="nil"/>
              <w:left w:val="single" w:color="auto" w:sz="4" w:space="0"/>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其中：建安工程费</w:t>
            </w:r>
          </w:p>
        </w:tc>
        <w:tc>
          <w:tcPr>
            <w:tcW w:w="2108" w:type="dxa"/>
            <w:tcBorders>
              <w:top w:val="nil"/>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63255</w:t>
            </w:r>
          </w:p>
        </w:tc>
        <w:tc>
          <w:tcPr>
            <w:tcW w:w="2107" w:type="dxa"/>
            <w:tcBorders>
              <w:top w:val="nil"/>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65.97%</w:t>
            </w:r>
          </w:p>
        </w:tc>
        <w:tc>
          <w:tcPr>
            <w:tcW w:w="2976" w:type="dxa"/>
            <w:tcBorders>
              <w:top w:val="nil"/>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2545</w:t>
            </w:r>
          </w:p>
        </w:tc>
      </w:tr>
      <w:tr>
        <w:tblPrEx>
          <w:tblCellMar>
            <w:top w:w="57" w:type="dxa"/>
            <w:left w:w="57" w:type="dxa"/>
            <w:bottom w:w="57" w:type="dxa"/>
            <w:right w:w="57" w:type="dxa"/>
          </w:tblCellMar>
        </w:tblPrEx>
        <w:trPr>
          <w:cantSplit/>
          <w:trHeight w:val="283" w:hRule="atLeast"/>
          <w:jc w:val="center"/>
        </w:trPr>
        <w:tc>
          <w:tcPr>
            <w:tcW w:w="2108" w:type="dxa"/>
            <w:tcBorders>
              <w:top w:val="nil"/>
              <w:left w:val="single" w:color="auto" w:sz="4" w:space="0"/>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开发间接费用</w:t>
            </w:r>
          </w:p>
        </w:tc>
        <w:tc>
          <w:tcPr>
            <w:tcW w:w="2108" w:type="dxa"/>
            <w:tcBorders>
              <w:top w:val="nil"/>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1079</w:t>
            </w:r>
          </w:p>
        </w:tc>
        <w:tc>
          <w:tcPr>
            <w:tcW w:w="2107" w:type="dxa"/>
            <w:tcBorders>
              <w:top w:val="nil"/>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1.13%</w:t>
            </w:r>
          </w:p>
        </w:tc>
        <w:tc>
          <w:tcPr>
            <w:tcW w:w="2976" w:type="dxa"/>
            <w:tcBorders>
              <w:top w:val="nil"/>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43</w:t>
            </w:r>
          </w:p>
        </w:tc>
      </w:tr>
      <w:tr>
        <w:tblPrEx>
          <w:tblCellMar>
            <w:top w:w="57" w:type="dxa"/>
            <w:left w:w="57" w:type="dxa"/>
            <w:bottom w:w="57" w:type="dxa"/>
            <w:right w:w="57" w:type="dxa"/>
          </w:tblCellMar>
        </w:tblPrEx>
        <w:trPr>
          <w:cantSplit/>
          <w:trHeight w:val="283" w:hRule="atLeast"/>
          <w:jc w:val="center"/>
        </w:trPr>
        <w:tc>
          <w:tcPr>
            <w:tcW w:w="2108" w:type="dxa"/>
            <w:tcBorders>
              <w:top w:val="nil"/>
              <w:left w:val="single" w:color="auto" w:sz="4" w:space="0"/>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销售费用</w:t>
            </w:r>
          </w:p>
        </w:tc>
        <w:tc>
          <w:tcPr>
            <w:tcW w:w="2108" w:type="dxa"/>
            <w:tcBorders>
              <w:top w:val="nil"/>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2111</w:t>
            </w:r>
          </w:p>
        </w:tc>
        <w:tc>
          <w:tcPr>
            <w:tcW w:w="2107" w:type="dxa"/>
            <w:tcBorders>
              <w:top w:val="nil"/>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2.20%</w:t>
            </w:r>
          </w:p>
        </w:tc>
        <w:tc>
          <w:tcPr>
            <w:tcW w:w="2976" w:type="dxa"/>
            <w:tcBorders>
              <w:top w:val="nil"/>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85</w:t>
            </w:r>
          </w:p>
        </w:tc>
      </w:tr>
      <w:tr>
        <w:tblPrEx>
          <w:tblCellMar>
            <w:top w:w="57" w:type="dxa"/>
            <w:left w:w="57" w:type="dxa"/>
            <w:bottom w:w="57" w:type="dxa"/>
            <w:right w:w="57" w:type="dxa"/>
          </w:tblCellMar>
        </w:tblPrEx>
        <w:trPr>
          <w:cantSplit/>
          <w:trHeight w:val="283" w:hRule="atLeast"/>
          <w:jc w:val="center"/>
        </w:trPr>
        <w:tc>
          <w:tcPr>
            <w:tcW w:w="2108" w:type="dxa"/>
            <w:tcBorders>
              <w:top w:val="nil"/>
              <w:left w:val="single" w:color="auto" w:sz="4" w:space="0"/>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管理费用</w:t>
            </w:r>
          </w:p>
        </w:tc>
        <w:tc>
          <w:tcPr>
            <w:tcW w:w="2108" w:type="dxa"/>
            <w:tcBorders>
              <w:top w:val="nil"/>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1138</w:t>
            </w:r>
          </w:p>
        </w:tc>
        <w:tc>
          <w:tcPr>
            <w:tcW w:w="2107" w:type="dxa"/>
            <w:tcBorders>
              <w:top w:val="nil"/>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1.19%</w:t>
            </w:r>
          </w:p>
        </w:tc>
        <w:tc>
          <w:tcPr>
            <w:tcW w:w="2976" w:type="dxa"/>
            <w:tcBorders>
              <w:top w:val="nil"/>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46</w:t>
            </w:r>
          </w:p>
        </w:tc>
      </w:tr>
      <w:tr>
        <w:tblPrEx>
          <w:tblCellMar>
            <w:top w:w="57" w:type="dxa"/>
            <w:left w:w="57" w:type="dxa"/>
            <w:bottom w:w="57" w:type="dxa"/>
            <w:right w:w="57" w:type="dxa"/>
          </w:tblCellMar>
        </w:tblPrEx>
        <w:trPr>
          <w:cantSplit/>
          <w:trHeight w:val="283" w:hRule="atLeast"/>
          <w:jc w:val="center"/>
        </w:trPr>
        <w:tc>
          <w:tcPr>
            <w:tcW w:w="2108" w:type="dxa"/>
            <w:tcBorders>
              <w:top w:val="nil"/>
              <w:left w:val="single" w:color="auto" w:sz="4" w:space="0"/>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财务费用</w:t>
            </w:r>
          </w:p>
        </w:tc>
        <w:tc>
          <w:tcPr>
            <w:tcW w:w="2108" w:type="dxa"/>
            <w:tcBorders>
              <w:top w:val="nil"/>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0</w:t>
            </w:r>
          </w:p>
        </w:tc>
        <w:tc>
          <w:tcPr>
            <w:tcW w:w="2107" w:type="dxa"/>
            <w:tcBorders>
              <w:top w:val="nil"/>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0.00%</w:t>
            </w:r>
          </w:p>
        </w:tc>
        <w:tc>
          <w:tcPr>
            <w:tcW w:w="2976" w:type="dxa"/>
            <w:tcBorders>
              <w:top w:val="nil"/>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0</w:t>
            </w:r>
          </w:p>
        </w:tc>
      </w:tr>
      <w:tr>
        <w:tblPrEx>
          <w:tblCellMar>
            <w:top w:w="57" w:type="dxa"/>
            <w:left w:w="57" w:type="dxa"/>
            <w:bottom w:w="57" w:type="dxa"/>
            <w:right w:w="57" w:type="dxa"/>
          </w:tblCellMar>
        </w:tblPrEx>
        <w:trPr>
          <w:cantSplit/>
          <w:trHeight w:val="283" w:hRule="atLeast"/>
          <w:jc w:val="center"/>
        </w:trPr>
        <w:tc>
          <w:tcPr>
            <w:tcW w:w="2108"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不可预见费</w:t>
            </w:r>
          </w:p>
        </w:tc>
        <w:tc>
          <w:tcPr>
            <w:tcW w:w="2108" w:type="dxa"/>
            <w:tcBorders>
              <w:top w:val="single" w:color="auto" w:sz="4" w:space="0"/>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1139</w:t>
            </w:r>
          </w:p>
        </w:tc>
        <w:tc>
          <w:tcPr>
            <w:tcW w:w="2107" w:type="dxa"/>
            <w:tcBorders>
              <w:top w:val="single" w:color="auto" w:sz="4" w:space="0"/>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1.19%</w:t>
            </w:r>
          </w:p>
        </w:tc>
        <w:tc>
          <w:tcPr>
            <w:tcW w:w="2976" w:type="dxa"/>
            <w:tcBorders>
              <w:top w:val="single" w:color="auto" w:sz="4" w:space="0"/>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46</w:t>
            </w:r>
          </w:p>
        </w:tc>
      </w:tr>
      <w:tr>
        <w:tblPrEx>
          <w:tblCellMar>
            <w:top w:w="57" w:type="dxa"/>
            <w:left w:w="57" w:type="dxa"/>
            <w:bottom w:w="57" w:type="dxa"/>
            <w:right w:w="57" w:type="dxa"/>
          </w:tblCellMar>
        </w:tblPrEx>
        <w:trPr>
          <w:cantSplit/>
          <w:trHeight w:val="283" w:hRule="atLeast"/>
          <w:jc w:val="center"/>
        </w:trPr>
        <w:tc>
          <w:tcPr>
            <w:tcW w:w="2108"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相</w:t>
            </w:r>
            <w:r>
              <w:rPr>
                <w:rFonts w:hint="eastAsia" w:ascii="Arial" w:hAnsi="Arial" w:cs="Arial"/>
                <w:bCs/>
                <w:color w:val="000000"/>
                <w:sz w:val="21"/>
                <w:szCs w:val="21"/>
              </w:rPr>
              <w:t>专项维修基金</w:t>
            </w:r>
          </w:p>
        </w:tc>
        <w:tc>
          <w:tcPr>
            <w:tcW w:w="2108" w:type="dxa"/>
            <w:tcBorders>
              <w:top w:val="single" w:color="auto" w:sz="4" w:space="0"/>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1439</w:t>
            </w:r>
          </w:p>
        </w:tc>
        <w:tc>
          <w:tcPr>
            <w:tcW w:w="2107" w:type="dxa"/>
            <w:tcBorders>
              <w:top w:val="single" w:color="auto" w:sz="4" w:space="0"/>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1.50%</w:t>
            </w:r>
          </w:p>
        </w:tc>
        <w:tc>
          <w:tcPr>
            <w:tcW w:w="2976" w:type="dxa"/>
            <w:tcBorders>
              <w:top w:val="single" w:color="auto" w:sz="4" w:space="0"/>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58</w:t>
            </w:r>
          </w:p>
        </w:tc>
      </w:tr>
      <w:tr>
        <w:tblPrEx>
          <w:tblCellMar>
            <w:top w:w="57" w:type="dxa"/>
            <w:left w:w="57" w:type="dxa"/>
            <w:bottom w:w="57" w:type="dxa"/>
            <w:right w:w="57" w:type="dxa"/>
          </w:tblCellMar>
        </w:tblPrEx>
        <w:trPr>
          <w:cantSplit/>
          <w:trHeight w:val="283" w:hRule="atLeast"/>
          <w:jc w:val="center"/>
        </w:trPr>
        <w:tc>
          <w:tcPr>
            <w:tcW w:w="2108"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hint="eastAsia" w:ascii="Arial" w:hAnsi="Arial" w:eastAsia="华文细黑" w:cs="Arial"/>
                <w:sz w:val="18"/>
                <w:szCs w:val="18"/>
              </w:rPr>
              <w:t>合计</w:t>
            </w:r>
          </w:p>
        </w:tc>
        <w:tc>
          <w:tcPr>
            <w:tcW w:w="2108" w:type="dxa"/>
            <w:tcBorders>
              <w:top w:val="single" w:color="auto" w:sz="4" w:space="0"/>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95882</w:t>
            </w:r>
          </w:p>
        </w:tc>
        <w:tc>
          <w:tcPr>
            <w:tcW w:w="2107" w:type="dxa"/>
            <w:tcBorders>
              <w:top w:val="single" w:color="auto" w:sz="4" w:space="0"/>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100.00%</w:t>
            </w:r>
          </w:p>
        </w:tc>
        <w:tc>
          <w:tcPr>
            <w:tcW w:w="2976" w:type="dxa"/>
            <w:tcBorders>
              <w:top w:val="single" w:color="auto" w:sz="4" w:space="0"/>
              <w:left w:val="nil"/>
              <w:bottom w:val="single" w:color="auto" w:sz="4" w:space="0"/>
              <w:right w:val="single" w:color="auto" w:sz="4" w:space="0"/>
            </w:tcBorders>
            <w:shd w:val="clear" w:color="auto" w:fill="FFFFFF"/>
            <w:noWrap/>
            <w:vAlign w:val="center"/>
          </w:tcPr>
          <w:p>
            <w:pPr>
              <w:spacing w:line="240" w:lineRule="exact"/>
              <w:jc w:val="both"/>
              <w:rPr>
                <w:rFonts w:ascii="Arial" w:hAnsi="Arial" w:eastAsia="华文细黑" w:cs="Arial"/>
                <w:sz w:val="18"/>
                <w:szCs w:val="18"/>
              </w:rPr>
            </w:pPr>
            <w:r>
              <w:rPr>
                <w:rFonts w:ascii="Arial" w:hAnsi="Arial" w:eastAsia="华文细黑" w:cs="Arial"/>
                <w:sz w:val="18"/>
                <w:szCs w:val="18"/>
              </w:rPr>
              <w:t>3857</w:t>
            </w:r>
          </w:p>
        </w:tc>
      </w:tr>
    </w:tbl>
    <w:p>
      <w:pPr>
        <w:pStyle w:val="59"/>
        <w:autoSpaceDE/>
        <w:autoSpaceDN/>
        <w:adjustRightInd/>
        <w:rPr>
          <w:rFonts w:ascii="Arial" w:hAnsi="Arial" w:cs="Arial"/>
          <w:kern w:val="2"/>
          <w:sz w:val="10"/>
          <w:szCs w:val="10"/>
        </w:rPr>
      </w:pPr>
      <w:r>
        <w:rPr>
          <w:rFonts w:ascii="Arial" w:hAnsi="Arial" w:cs="Arial"/>
          <w:kern w:val="2"/>
          <w:sz w:val="10"/>
          <w:szCs w:val="10"/>
        </w:rPr>
        <w:t xml:space="preserve">      </w:t>
      </w:r>
    </w:p>
    <w:p>
      <w:pPr>
        <w:adjustRightInd w:val="0"/>
        <w:snapToGrid w:val="0"/>
        <w:spacing w:line="480" w:lineRule="auto"/>
        <w:ind w:firstLine="420" w:firstLineChars="200"/>
        <w:rPr>
          <w:rFonts w:ascii="Arial" w:hAnsi="Arial" w:cs="Arial"/>
          <w:color w:val="000000"/>
          <w:sz w:val="21"/>
          <w:szCs w:val="21"/>
        </w:rPr>
      </w:pPr>
      <w:r>
        <w:rPr>
          <w:rFonts w:ascii="Arial" w:hAnsi="Arial" w:cs="Arial"/>
          <w:color w:val="000000"/>
          <w:sz w:val="21"/>
          <w:szCs w:val="21"/>
        </w:rPr>
        <w:t>评估认为，该项目总体投资估算基本符合项目实际情况，投资估算结果基本合理。</w:t>
      </w:r>
    </w:p>
    <w:p>
      <w:pPr>
        <w:pStyle w:val="5"/>
        <w:keepNext w:val="0"/>
        <w:keepLines w:val="0"/>
        <w:widowControl w:val="0"/>
        <w:spacing w:before="0" w:after="0" w:line="480" w:lineRule="auto"/>
        <w:rPr>
          <w:rFonts w:eastAsia="宋体" w:cs="Arial"/>
          <w:sz w:val="21"/>
          <w:szCs w:val="21"/>
        </w:rPr>
      </w:pPr>
      <w:bookmarkStart w:id="170" w:name="_Toc146106155"/>
      <w:bookmarkStart w:id="171" w:name="_Toc106177896"/>
      <w:r>
        <w:rPr>
          <w:rFonts w:eastAsia="宋体" w:cs="Arial"/>
          <w:sz w:val="21"/>
          <w:szCs w:val="21"/>
        </w:rPr>
        <w:t>二、筹资评价</w:t>
      </w:r>
      <w:bookmarkEnd w:id="170"/>
      <w:bookmarkEnd w:id="171"/>
    </w:p>
    <w:p>
      <w:pPr>
        <w:widowControl w:val="0"/>
        <w:adjustRightInd w:val="0"/>
        <w:snapToGrid w:val="0"/>
        <w:spacing w:line="480" w:lineRule="auto"/>
        <w:ind w:firstLine="420" w:firstLineChars="200"/>
        <w:rPr>
          <w:rFonts w:ascii="Arial" w:hAnsi="Arial" w:cs="Arial"/>
          <w:bCs/>
          <w:color w:val="000000"/>
          <w:sz w:val="21"/>
          <w:szCs w:val="21"/>
        </w:rPr>
      </w:pPr>
      <w:r>
        <w:rPr>
          <w:rFonts w:ascii="Arial" w:hAnsi="Arial" w:cs="Arial"/>
          <w:color w:val="000000"/>
          <w:sz w:val="21"/>
          <w:szCs w:val="21"/>
        </w:rPr>
        <w:t>项目总投资</w:t>
      </w:r>
      <w:r>
        <w:rPr>
          <w:rFonts w:hint="eastAsia" w:ascii="Arial" w:hAnsi="Arial" w:cs="Arial"/>
          <w:bCs/>
          <w:color w:val="000000"/>
          <w:sz w:val="21"/>
          <w:szCs w:val="21"/>
        </w:rPr>
        <w:t>95882</w:t>
      </w:r>
      <w:r>
        <w:rPr>
          <w:rFonts w:ascii="Arial" w:hAnsi="Arial" w:cs="Arial"/>
          <w:color w:val="000000"/>
          <w:sz w:val="21"/>
          <w:szCs w:val="21"/>
        </w:rPr>
        <w:t>万元，其中：</w:t>
      </w:r>
      <w:r>
        <w:rPr>
          <w:rFonts w:hint="eastAsia" w:ascii="Arial" w:hAnsi="Arial" w:cs="Arial"/>
          <w:color w:val="000000"/>
          <w:sz w:val="21"/>
          <w:szCs w:val="21"/>
        </w:rPr>
        <w:t>五矿信托股东借款15000</w:t>
      </w:r>
      <w:r>
        <w:rPr>
          <w:rFonts w:ascii="Arial" w:hAnsi="Arial" w:cs="Arial"/>
          <w:bCs/>
          <w:color w:val="000000"/>
          <w:sz w:val="21"/>
          <w:szCs w:val="21"/>
        </w:rPr>
        <w:t>万元。其他全部为</w:t>
      </w:r>
      <w:r>
        <w:rPr>
          <w:rFonts w:hint="eastAsia" w:ascii="Arial" w:hAnsi="Arial" w:cs="Arial"/>
          <w:bCs/>
          <w:color w:val="000000"/>
          <w:sz w:val="21"/>
          <w:szCs w:val="21"/>
        </w:rPr>
        <w:t>安置住房回购款及商品房</w:t>
      </w:r>
      <w:r>
        <w:rPr>
          <w:rFonts w:ascii="Arial" w:hAnsi="Arial" w:cs="Arial"/>
          <w:bCs/>
          <w:color w:val="000000"/>
          <w:sz w:val="21"/>
          <w:szCs w:val="21"/>
        </w:rPr>
        <w:t>销售回款再投入。</w:t>
      </w:r>
    </w:p>
    <w:p>
      <w:pPr>
        <w:pStyle w:val="5"/>
        <w:spacing w:before="0" w:after="0" w:line="480" w:lineRule="auto"/>
        <w:rPr>
          <w:rFonts w:eastAsia="宋体" w:cs="Arial"/>
          <w:sz w:val="21"/>
          <w:szCs w:val="21"/>
        </w:rPr>
      </w:pPr>
      <w:bookmarkStart w:id="172" w:name="_Toc146106156"/>
      <w:bookmarkStart w:id="173" w:name="_Toc106177897"/>
      <w:r>
        <w:rPr>
          <w:rFonts w:eastAsia="宋体" w:cs="Arial"/>
          <w:sz w:val="21"/>
          <w:szCs w:val="21"/>
        </w:rPr>
        <w:t>三、投资计划安排</w:t>
      </w:r>
      <w:bookmarkEnd w:id="172"/>
      <w:bookmarkEnd w:id="173"/>
    </w:p>
    <w:p>
      <w:pPr>
        <w:adjustRightInd w:val="0"/>
        <w:snapToGrid w:val="0"/>
        <w:spacing w:line="480" w:lineRule="auto"/>
        <w:ind w:firstLine="420" w:firstLineChars="200"/>
        <w:rPr>
          <w:rFonts w:ascii="Arial" w:hAnsi="Arial" w:cs="Arial"/>
          <w:color w:val="000000"/>
          <w:sz w:val="21"/>
          <w:szCs w:val="21"/>
        </w:rPr>
      </w:pPr>
      <w:r>
        <w:rPr>
          <w:rFonts w:ascii="Arial" w:hAnsi="Arial" w:cs="Arial"/>
          <w:color w:val="000000"/>
          <w:sz w:val="21"/>
          <w:szCs w:val="21"/>
        </w:rPr>
        <w:t>根据项目建设计划，具体投入进度如下：</w:t>
      </w:r>
    </w:p>
    <w:tbl>
      <w:tblPr>
        <w:tblStyle w:val="36"/>
        <w:tblW w:w="9298" w:type="dxa"/>
        <w:jc w:val="center"/>
        <w:tblLayout w:type="autofit"/>
        <w:tblCellMar>
          <w:top w:w="0" w:type="dxa"/>
          <w:left w:w="108" w:type="dxa"/>
          <w:bottom w:w="0" w:type="dxa"/>
          <w:right w:w="108" w:type="dxa"/>
        </w:tblCellMar>
      </w:tblPr>
      <w:tblGrid>
        <w:gridCol w:w="1573"/>
        <w:gridCol w:w="1697"/>
        <w:gridCol w:w="1697"/>
        <w:gridCol w:w="1573"/>
        <w:gridCol w:w="2758"/>
      </w:tblGrid>
      <w:tr>
        <w:tblPrEx>
          <w:tblCellMar>
            <w:top w:w="0" w:type="dxa"/>
            <w:left w:w="108" w:type="dxa"/>
            <w:bottom w:w="0" w:type="dxa"/>
            <w:right w:w="108" w:type="dxa"/>
          </w:tblCellMar>
        </w:tblPrEx>
        <w:trPr>
          <w:trHeight w:val="420" w:hRule="atLeast"/>
          <w:jc w:val="center"/>
        </w:trPr>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年份</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季度</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投资额</w:t>
            </w:r>
            <w:r>
              <w:rPr>
                <w:rFonts w:hint="eastAsia" w:ascii="华文细黑" w:hAnsi="华文细黑" w:eastAsia="华文细黑"/>
                <w:sz w:val="18"/>
                <w:szCs w:val="18"/>
              </w:rPr>
              <w:t>（万元）</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占比</w:t>
            </w:r>
          </w:p>
        </w:tc>
        <w:tc>
          <w:tcPr>
            <w:tcW w:w="27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资金用途</w:t>
            </w:r>
          </w:p>
        </w:tc>
      </w:tr>
      <w:tr>
        <w:tblPrEx>
          <w:tblCellMar>
            <w:top w:w="0" w:type="dxa"/>
            <w:left w:w="108" w:type="dxa"/>
            <w:bottom w:w="0" w:type="dxa"/>
            <w:right w:w="108" w:type="dxa"/>
          </w:tblCellMar>
        </w:tblPrEx>
        <w:trPr>
          <w:trHeight w:val="420" w:hRule="atLeast"/>
          <w:jc w:val="center"/>
        </w:trPr>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202</w:t>
            </w:r>
            <w:r>
              <w:rPr>
                <w:rFonts w:hint="eastAsia" w:ascii="Arial" w:hAnsi="Arial" w:eastAsia="华文细黑"/>
                <w:sz w:val="18"/>
                <w:szCs w:val="18"/>
              </w:rPr>
              <w:t>2</w:t>
            </w:r>
            <w:r>
              <w:rPr>
                <w:rFonts w:ascii="Arial" w:hAnsi="Arial" w:eastAsia="华文细黑"/>
                <w:sz w:val="18"/>
                <w:szCs w:val="18"/>
              </w:rPr>
              <w:t>年</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Q4</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15309</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15.97%</w:t>
            </w:r>
          </w:p>
        </w:tc>
        <w:tc>
          <w:tcPr>
            <w:tcW w:w="27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土地费用、前期工程费、管理费用、不可预见费</w:t>
            </w:r>
          </w:p>
        </w:tc>
      </w:tr>
      <w:tr>
        <w:tblPrEx>
          <w:tblCellMar>
            <w:top w:w="0" w:type="dxa"/>
            <w:left w:w="108" w:type="dxa"/>
            <w:bottom w:w="0" w:type="dxa"/>
            <w:right w:w="108" w:type="dxa"/>
          </w:tblCellMar>
        </w:tblPrEx>
        <w:trPr>
          <w:trHeight w:val="420" w:hRule="atLeast"/>
          <w:jc w:val="center"/>
        </w:trPr>
        <w:tc>
          <w:tcPr>
            <w:tcW w:w="15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2023年</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Q1</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 xml:space="preserve">899 </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0.94%</w:t>
            </w:r>
          </w:p>
        </w:tc>
        <w:tc>
          <w:tcPr>
            <w:tcW w:w="27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房屋开发费、开发间接费用、管理费用、财务费用、不可预见费、销售费用</w:t>
            </w:r>
          </w:p>
        </w:tc>
      </w:tr>
      <w:tr>
        <w:tblPrEx>
          <w:tblCellMar>
            <w:top w:w="0" w:type="dxa"/>
            <w:left w:w="108" w:type="dxa"/>
            <w:bottom w:w="0" w:type="dxa"/>
            <w:right w:w="108" w:type="dxa"/>
          </w:tblCellMar>
        </w:tblPrEx>
        <w:trPr>
          <w:trHeight w:val="420" w:hRule="atLeast"/>
          <w:jc w:val="center"/>
        </w:trPr>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Q2</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 xml:space="preserve">8,087 </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8.43%</w:t>
            </w:r>
          </w:p>
        </w:tc>
        <w:tc>
          <w:tcPr>
            <w:tcW w:w="27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p>
        </w:tc>
      </w:tr>
      <w:tr>
        <w:tblPrEx>
          <w:tblCellMar>
            <w:top w:w="0" w:type="dxa"/>
            <w:left w:w="108" w:type="dxa"/>
            <w:bottom w:w="0" w:type="dxa"/>
            <w:right w:w="108" w:type="dxa"/>
          </w:tblCellMar>
        </w:tblPrEx>
        <w:trPr>
          <w:trHeight w:val="420" w:hRule="atLeast"/>
          <w:jc w:val="center"/>
        </w:trPr>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Q3</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 xml:space="preserve">6,670 </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6.96%</w:t>
            </w:r>
          </w:p>
        </w:tc>
        <w:tc>
          <w:tcPr>
            <w:tcW w:w="27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p>
        </w:tc>
      </w:tr>
      <w:tr>
        <w:tblPrEx>
          <w:tblCellMar>
            <w:top w:w="0" w:type="dxa"/>
            <w:left w:w="108" w:type="dxa"/>
            <w:bottom w:w="0" w:type="dxa"/>
            <w:right w:w="108" w:type="dxa"/>
          </w:tblCellMar>
        </w:tblPrEx>
        <w:trPr>
          <w:trHeight w:val="420" w:hRule="atLeast"/>
          <w:jc w:val="center"/>
        </w:trPr>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Q4</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 xml:space="preserve">6,670 </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6.96%</w:t>
            </w:r>
          </w:p>
        </w:tc>
        <w:tc>
          <w:tcPr>
            <w:tcW w:w="27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p>
        </w:tc>
      </w:tr>
      <w:tr>
        <w:tblPrEx>
          <w:tblCellMar>
            <w:top w:w="0" w:type="dxa"/>
            <w:left w:w="108" w:type="dxa"/>
            <w:bottom w:w="0" w:type="dxa"/>
            <w:right w:w="108" w:type="dxa"/>
          </w:tblCellMar>
        </w:tblPrEx>
        <w:trPr>
          <w:trHeight w:val="420" w:hRule="atLeast"/>
          <w:jc w:val="center"/>
        </w:trPr>
        <w:tc>
          <w:tcPr>
            <w:tcW w:w="15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2024年</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Q1</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 xml:space="preserve">7,131 </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7.44%</w:t>
            </w:r>
          </w:p>
        </w:tc>
        <w:tc>
          <w:tcPr>
            <w:tcW w:w="27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房屋开发费、开发间接费用、管理费用、财务费用、不可预见费、销售费用</w:t>
            </w:r>
          </w:p>
        </w:tc>
      </w:tr>
      <w:tr>
        <w:tblPrEx>
          <w:tblCellMar>
            <w:top w:w="0" w:type="dxa"/>
            <w:left w:w="108" w:type="dxa"/>
            <w:bottom w:w="0" w:type="dxa"/>
            <w:right w:w="108" w:type="dxa"/>
          </w:tblCellMar>
        </w:tblPrEx>
        <w:trPr>
          <w:trHeight w:val="420" w:hRule="atLeast"/>
          <w:jc w:val="center"/>
        </w:trPr>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Q2</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 xml:space="preserve">7,581 </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7.91%</w:t>
            </w:r>
          </w:p>
        </w:tc>
        <w:tc>
          <w:tcPr>
            <w:tcW w:w="27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p>
        </w:tc>
      </w:tr>
      <w:tr>
        <w:tblPrEx>
          <w:tblCellMar>
            <w:top w:w="0" w:type="dxa"/>
            <w:left w:w="108" w:type="dxa"/>
            <w:bottom w:w="0" w:type="dxa"/>
            <w:right w:w="108" w:type="dxa"/>
          </w:tblCellMar>
        </w:tblPrEx>
        <w:trPr>
          <w:trHeight w:val="420" w:hRule="atLeast"/>
          <w:jc w:val="center"/>
        </w:trPr>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Q3</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 xml:space="preserve">7,581 </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7.91%</w:t>
            </w:r>
          </w:p>
        </w:tc>
        <w:tc>
          <w:tcPr>
            <w:tcW w:w="27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p>
        </w:tc>
      </w:tr>
      <w:tr>
        <w:tblPrEx>
          <w:tblCellMar>
            <w:top w:w="0" w:type="dxa"/>
            <w:left w:w="108" w:type="dxa"/>
            <w:bottom w:w="0" w:type="dxa"/>
            <w:right w:w="108" w:type="dxa"/>
          </w:tblCellMar>
        </w:tblPrEx>
        <w:trPr>
          <w:trHeight w:val="420" w:hRule="atLeast"/>
          <w:jc w:val="center"/>
        </w:trPr>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Q4</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 xml:space="preserve">11,347 </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11.83%</w:t>
            </w:r>
          </w:p>
        </w:tc>
        <w:tc>
          <w:tcPr>
            <w:tcW w:w="27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p>
        </w:tc>
      </w:tr>
      <w:tr>
        <w:tblPrEx>
          <w:tblCellMar>
            <w:top w:w="0" w:type="dxa"/>
            <w:left w:w="108" w:type="dxa"/>
            <w:bottom w:w="0" w:type="dxa"/>
            <w:right w:w="108" w:type="dxa"/>
          </w:tblCellMar>
        </w:tblPrEx>
        <w:trPr>
          <w:trHeight w:val="420" w:hRule="atLeast"/>
          <w:jc w:val="center"/>
        </w:trPr>
        <w:tc>
          <w:tcPr>
            <w:tcW w:w="15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2025年</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Q1</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 xml:space="preserve">8,483 </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8.85%</w:t>
            </w:r>
          </w:p>
        </w:tc>
        <w:tc>
          <w:tcPr>
            <w:tcW w:w="27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房屋开发费、开发间接费用、管理费用、财务费用、不可预见费、销售费用</w:t>
            </w:r>
          </w:p>
        </w:tc>
      </w:tr>
      <w:tr>
        <w:tblPrEx>
          <w:tblCellMar>
            <w:top w:w="0" w:type="dxa"/>
            <w:left w:w="108" w:type="dxa"/>
            <w:bottom w:w="0" w:type="dxa"/>
            <w:right w:w="108" w:type="dxa"/>
          </w:tblCellMar>
        </w:tblPrEx>
        <w:trPr>
          <w:trHeight w:val="420" w:hRule="atLeast"/>
          <w:jc w:val="center"/>
        </w:trPr>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Q2</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 xml:space="preserve">8,927 </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9.31%</w:t>
            </w:r>
          </w:p>
        </w:tc>
        <w:tc>
          <w:tcPr>
            <w:tcW w:w="27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p>
        </w:tc>
      </w:tr>
      <w:tr>
        <w:tblPrEx>
          <w:tblCellMar>
            <w:top w:w="0" w:type="dxa"/>
            <w:left w:w="108" w:type="dxa"/>
            <w:bottom w:w="0" w:type="dxa"/>
            <w:right w:w="108" w:type="dxa"/>
          </w:tblCellMar>
        </w:tblPrEx>
        <w:trPr>
          <w:trHeight w:val="420" w:hRule="atLeast"/>
          <w:jc w:val="center"/>
        </w:trPr>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Q3</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7,05</w:t>
            </w:r>
            <w:r>
              <w:rPr>
                <w:rFonts w:hint="eastAsia" w:ascii="Arial" w:hAnsi="Arial" w:eastAsia="华文细黑"/>
                <w:sz w:val="18"/>
                <w:szCs w:val="18"/>
              </w:rPr>
              <w:t>1</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7.3</w:t>
            </w:r>
            <w:r>
              <w:rPr>
                <w:rFonts w:hint="eastAsia" w:ascii="Arial" w:hAnsi="Arial" w:eastAsia="华文细黑"/>
                <w:sz w:val="18"/>
                <w:szCs w:val="18"/>
              </w:rPr>
              <w:t>5</w:t>
            </w:r>
            <w:r>
              <w:rPr>
                <w:rFonts w:ascii="Arial" w:hAnsi="Arial" w:eastAsia="华文细黑"/>
                <w:sz w:val="18"/>
                <w:szCs w:val="18"/>
              </w:rPr>
              <w:t>%</w:t>
            </w:r>
          </w:p>
        </w:tc>
        <w:tc>
          <w:tcPr>
            <w:tcW w:w="27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p>
        </w:tc>
      </w:tr>
      <w:tr>
        <w:tblPrEx>
          <w:tblCellMar>
            <w:top w:w="0" w:type="dxa"/>
            <w:left w:w="108" w:type="dxa"/>
            <w:bottom w:w="0" w:type="dxa"/>
            <w:right w:w="108" w:type="dxa"/>
          </w:tblCellMar>
        </w:tblPrEx>
        <w:trPr>
          <w:trHeight w:val="420" w:hRule="atLeast"/>
          <w:jc w:val="center"/>
        </w:trPr>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Q4</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14</w:t>
            </w:r>
            <w:r>
              <w:rPr>
                <w:rFonts w:hint="eastAsia" w:ascii="Arial" w:hAnsi="Arial" w:eastAsia="华文细黑"/>
                <w:sz w:val="18"/>
                <w:szCs w:val="18"/>
              </w:rPr>
              <w:t>6</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ascii="Arial" w:hAnsi="Arial" w:eastAsia="华文细黑"/>
                <w:sz w:val="18"/>
                <w:szCs w:val="18"/>
              </w:rPr>
              <w:t>0.1</w:t>
            </w:r>
            <w:r>
              <w:rPr>
                <w:rFonts w:hint="eastAsia" w:ascii="Arial" w:hAnsi="Arial" w:eastAsia="华文细黑"/>
                <w:sz w:val="18"/>
                <w:szCs w:val="18"/>
              </w:rPr>
              <w:t>4</w:t>
            </w:r>
            <w:r>
              <w:rPr>
                <w:rFonts w:ascii="Arial" w:hAnsi="Arial" w:eastAsia="华文细黑"/>
                <w:sz w:val="18"/>
                <w:szCs w:val="18"/>
              </w:rPr>
              <w:t>%</w:t>
            </w:r>
          </w:p>
        </w:tc>
        <w:tc>
          <w:tcPr>
            <w:tcW w:w="27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p>
        </w:tc>
      </w:tr>
      <w:tr>
        <w:tblPrEx>
          <w:tblCellMar>
            <w:top w:w="0" w:type="dxa"/>
            <w:left w:w="108" w:type="dxa"/>
            <w:bottom w:w="0" w:type="dxa"/>
            <w:right w:w="108" w:type="dxa"/>
          </w:tblCellMar>
        </w:tblPrEx>
        <w:trPr>
          <w:trHeight w:val="420" w:hRule="atLeast"/>
          <w:jc w:val="center"/>
        </w:trPr>
        <w:tc>
          <w:tcPr>
            <w:tcW w:w="32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hint="eastAsia" w:ascii="Arial" w:hAnsi="Arial" w:eastAsia="华文细黑"/>
                <w:sz w:val="18"/>
                <w:szCs w:val="18"/>
              </w:rPr>
              <w:t>合计</w:t>
            </w:r>
          </w:p>
        </w:tc>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hint="eastAsia" w:ascii="Arial" w:hAnsi="Arial" w:eastAsia="华文细黑"/>
                <w:sz w:val="18"/>
                <w:szCs w:val="18"/>
              </w:rPr>
              <w:t>95882</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hint="eastAsia" w:ascii="Arial" w:hAnsi="Arial" w:eastAsia="华文细黑"/>
                <w:sz w:val="18"/>
                <w:szCs w:val="18"/>
              </w:rPr>
              <w:t>100%</w:t>
            </w:r>
          </w:p>
        </w:tc>
        <w:tc>
          <w:tcPr>
            <w:tcW w:w="27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0" w:lineRule="atLeast"/>
              <w:jc w:val="both"/>
              <w:rPr>
                <w:rFonts w:ascii="Arial" w:hAnsi="Arial" w:eastAsia="华文细黑"/>
                <w:sz w:val="18"/>
                <w:szCs w:val="18"/>
              </w:rPr>
            </w:pPr>
            <w:r>
              <w:rPr>
                <w:rFonts w:hint="eastAsia" w:ascii="Arial" w:hAnsi="Arial" w:eastAsia="华文细黑"/>
                <w:sz w:val="18"/>
                <w:szCs w:val="18"/>
              </w:rPr>
              <w:t>——</w:t>
            </w:r>
          </w:p>
        </w:tc>
      </w:tr>
    </w:tbl>
    <w:p>
      <w:pPr>
        <w:spacing w:line="0" w:lineRule="atLeast"/>
        <w:jc w:val="both"/>
        <w:rPr>
          <w:rFonts w:ascii="Arial" w:hAnsi="Arial" w:eastAsia="华文细黑"/>
          <w:sz w:val="18"/>
          <w:szCs w:val="18"/>
        </w:rPr>
      </w:pPr>
    </w:p>
    <w:p>
      <w:pPr>
        <w:spacing w:line="480" w:lineRule="auto"/>
        <w:ind w:firstLine="420" w:firstLineChars="200"/>
        <w:rPr>
          <w:rFonts w:ascii="Arial" w:hAnsi="Arial" w:cs="Arial"/>
          <w:sz w:val="21"/>
          <w:szCs w:val="21"/>
        </w:rPr>
      </w:pPr>
      <w:r>
        <w:rPr>
          <w:rFonts w:ascii="Arial" w:hAnsi="Arial" w:cs="Arial"/>
          <w:color w:val="000000"/>
          <w:sz w:val="21"/>
          <w:szCs w:val="21"/>
        </w:rPr>
        <w:t>项目投资计划与实施进度基本吻合。</w:t>
      </w:r>
    </w:p>
    <w:p>
      <w:pPr>
        <w:rPr>
          <w:rFonts w:ascii="Arial" w:hAnsi="Arial" w:cs="Arial"/>
        </w:rPr>
      </w:pPr>
      <w:r>
        <w:rPr>
          <w:rFonts w:ascii="Arial" w:hAnsi="Arial" w:cs="Arial"/>
        </w:rPr>
        <w:br w:type="page"/>
      </w:r>
    </w:p>
    <w:bookmarkEnd w:id="164"/>
    <w:bookmarkEnd w:id="165"/>
    <w:bookmarkEnd w:id="166"/>
    <w:bookmarkEnd w:id="167"/>
    <w:bookmarkEnd w:id="168"/>
    <w:bookmarkEnd w:id="169"/>
    <w:p>
      <w:pPr>
        <w:pStyle w:val="4"/>
        <w:spacing w:before="240"/>
        <w:rPr>
          <w:rFonts w:ascii="Arial" w:hAnsi="Arial" w:eastAsia="方正黑体简体" w:cs="Arial"/>
          <w:b w:val="0"/>
          <w:bCs/>
          <w:sz w:val="32"/>
          <w:szCs w:val="32"/>
        </w:rPr>
      </w:pPr>
      <w:bookmarkStart w:id="174" w:name="_Toc106177898"/>
      <w:bookmarkStart w:id="175" w:name="_Toc76889708"/>
      <w:r>
        <w:rPr>
          <w:rFonts w:ascii="Arial" w:hAnsi="Arial" w:eastAsia="方正黑体简体" w:cs="Arial"/>
          <w:b w:val="0"/>
          <w:bCs/>
          <w:sz w:val="32"/>
          <w:szCs w:val="32"/>
        </w:rPr>
        <w:t>第五章  项目效益</w:t>
      </w:r>
      <w:bookmarkEnd w:id="174"/>
      <w:bookmarkEnd w:id="175"/>
    </w:p>
    <w:p>
      <w:pPr>
        <w:pStyle w:val="5"/>
        <w:spacing w:before="0" w:after="0" w:line="480" w:lineRule="auto"/>
        <w:rPr>
          <w:rFonts w:eastAsia="宋体" w:cs="Arial"/>
          <w:sz w:val="21"/>
          <w:szCs w:val="21"/>
        </w:rPr>
      </w:pPr>
      <w:bookmarkStart w:id="176" w:name="_Toc109118462"/>
      <w:bookmarkStart w:id="177" w:name="_Toc532810737"/>
      <w:bookmarkStart w:id="178" w:name="_Toc118531928"/>
      <w:bookmarkStart w:id="179" w:name="_Toc109012113"/>
      <w:bookmarkStart w:id="180" w:name="_Toc106177899"/>
      <w:bookmarkStart w:id="181" w:name="_Toc146106158"/>
      <w:bookmarkStart w:id="182" w:name="_Toc12072691"/>
      <w:bookmarkStart w:id="183" w:name="_Toc522074588"/>
      <w:r>
        <w:rPr>
          <w:rFonts w:eastAsia="宋体" w:cs="Arial"/>
          <w:sz w:val="21"/>
          <w:szCs w:val="21"/>
        </w:rPr>
        <w:t>一、测算原则及考虑因素</w:t>
      </w:r>
      <w:bookmarkEnd w:id="176"/>
      <w:bookmarkEnd w:id="177"/>
      <w:bookmarkEnd w:id="178"/>
      <w:bookmarkEnd w:id="179"/>
      <w:bookmarkEnd w:id="180"/>
      <w:bookmarkEnd w:id="181"/>
      <w:bookmarkEnd w:id="182"/>
      <w:bookmarkEnd w:id="183"/>
    </w:p>
    <w:p>
      <w:pPr>
        <w:spacing w:line="480" w:lineRule="auto"/>
        <w:ind w:firstLine="420" w:firstLineChars="200"/>
        <w:rPr>
          <w:rFonts w:ascii="Arial" w:hAnsi="Arial" w:cs="Arial"/>
          <w:color w:val="000000"/>
          <w:sz w:val="21"/>
          <w:szCs w:val="21"/>
        </w:rPr>
      </w:pPr>
      <w:r>
        <w:rPr>
          <w:rFonts w:ascii="Arial" w:hAnsi="Arial" w:cs="Arial"/>
          <w:color w:val="000000"/>
          <w:sz w:val="21"/>
          <w:szCs w:val="21"/>
        </w:rPr>
        <w:t>本项目评估主要根据国家现行房地产开发企业财务制度和现行税制，结合房地产行业特点，按谨慎性原则进行分析判断。本次评估数据来源以企业提供的资料，企业财务报表以及评估人员市场调研获取的信息为依据。</w:t>
      </w:r>
    </w:p>
    <w:p>
      <w:pPr>
        <w:pStyle w:val="5"/>
        <w:spacing w:before="0" w:after="0" w:line="480" w:lineRule="auto"/>
        <w:ind w:firstLine="207" w:firstLineChars="98"/>
        <w:rPr>
          <w:rFonts w:eastAsia="宋体" w:cs="Arial"/>
          <w:sz w:val="21"/>
          <w:szCs w:val="21"/>
        </w:rPr>
      </w:pPr>
      <w:bookmarkStart w:id="184" w:name="_Toc118531929"/>
      <w:bookmarkStart w:id="185" w:name="_Toc12072692"/>
      <w:bookmarkStart w:id="186" w:name="_Toc532810738"/>
      <w:bookmarkStart w:id="187" w:name="_Toc109012114"/>
      <w:bookmarkStart w:id="188" w:name="_Toc106177900"/>
      <w:bookmarkStart w:id="189" w:name="_Toc146106159"/>
      <w:bookmarkStart w:id="190" w:name="_Toc522074589"/>
      <w:bookmarkStart w:id="191" w:name="_Toc109118463"/>
      <w:r>
        <w:rPr>
          <w:rFonts w:eastAsia="宋体" w:cs="Arial"/>
          <w:sz w:val="21"/>
          <w:szCs w:val="21"/>
        </w:rPr>
        <w:t>二、预测数据的计取</w:t>
      </w:r>
      <w:bookmarkEnd w:id="184"/>
      <w:bookmarkEnd w:id="185"/>
      <w:bookmarkEnd w:id="186"/>
      <w:bookmarkEnd w:id="187"/>
      <w:bookmarkEnd w:id="188"/>
      <w:bookmarkEnd w:id="189"/>
      <w:bookmarkEnd w:id="190"/>
      <w:bookmarkEnd w:id="191"/>
    </w:p>
    <w:p>
      <w:pPr>
        <w:pStyle w:val="5"/>
        <w:spacing w:before="0" w:after="0" w:line="480" w:lineRule="auto"/>
        <w:ind w:firstLine="207" w:firstLineChars="98"/>
        <w:rPr>
          <w:rFonts w:eastAsia="宋体" w:cs="Arial"/>
          <w:sz w:val="21"/>
          <w:szCs w:val="21"/>
        </w:rPr>
      </w:pPr>
      <w:bookmarkStart w:id="192" w:name="_Toc109012115"/>
      <w:bookmarkStart w:id="193" w:name="_Toc106177901"/>
      <w:bookmarkStart w:id="194" w:name="_Toc146106160"/>
      <w:bookmarkStart w:id="195" w:name="_Toc12072693"/>
      <w:r>
        <w:rPr>
          <w:rFonts w:eastAsia="宋体" w:cs="Arial"/>
          <w:sz w:val="21"/>
          <w:szCs w:val="21"/>
        </w:rPr>
        <w:t>（一）收入测算</w:t>
      </w:r>
      <w:bookmarkEnd w:id="192"/>
      <w:bookmarkEnd w:id="193"/>
      <w:bookmarkEnd w:id="194"/>
      <w:bookmarkEnd w:id="195"/>
    </w:p>
    <w:p>
      <w:pPr>
        <w:adjustRightInd w:val="0"/>
        <w:snapToGrid w:val="0"/>
        <w:spacing w:line="480" w:lineRule="auto"/>
        <w:ind w:firstLine="420" w:firstLineChars="200"/>
        <w:rPr>
          <w:rFonts w:ascii="Arial" w:hAnsi="Arial" w:cs="Arial"/>
          <w:sz w:val="21"/>
          <w:szCs w:val="21"/>
        </w:rPr>
      </w:pPr>
      <w:r>
        <w:rPr>
          <w:rFonts w:hint="eastAsia" w:ascii="Arial" w:hAnsi="Arial" w:cs="Arial"/>
          <w:sz w:val="21"/>
          <w:szCs w:val="21"/>
        </w:rPr>
        <w:t>1.</w:t>
      </w:r>
      <w:r>
        <w:rPr>
          <w:rFonts w:ascii="Arial" w:hAnsi="Arial" w:cs="Arial"/>
          <w:sz w:val="21"/>
          <w:szCs w:val="21"/>
        </w:rPr>
        <w:t>建设期</w:t>
      </w:r>
      <w:r>
        <w:rPr>
          <w:rFonts w:ascii="Arial" w:hAnsi="Arial" w:cs="Arial"/>
          <w:color w:val="000000"/>
          <w:sz w:val="21"/>
          <w:szCs w:val="21"/>
        </w:rPr>
        <w:t>：根据项目工程建设及销售计划安排，</w:t>
      </w:r>
      <w:r>
        <w:rPr>
          <w:rFonts w:ascii="Arial" w:hAnsi="Arial" w:cs="Arial"/>
          <w:sz w:val="21"/>
          <w:szCs w:val="21"/>
        </w:rPr>
        <w:t>项目建设期取</w:t>
      </w:r>
      <w:r>
        <w:rPr>
          <w:rFonts w:hint="eastAsia" w:ascii="Arial" w:hAnsi="Arial" w:cs="Arial"/>
          <w:sz w:val="21"/>
          <w:szCs w:val="21"/>
        </w:rPr>
        <w:t>30</w:t>
      </w:r>
      <w:r>
        <w:rPr>
          <w:rFonts w:hint="eastAsia" w:ascii="Arial" w:hAnsi="Arial" w:cs="Arial"/>
          <w:color w:val="000000"/>
          <w:sz w:val="21"/>
          <w:szCs w:val="21"/>
        </w:rPr>
        <w:t>个月</w:t>
      </w:r>
      <w:r>
        <w:rPr>
          <w:rFonts w:hint="eastAsia" w:ascii="Arial" w:hAnsi="Arial" w:cs="Arial"/>
          <w:sz w:val="21"/>
          <w:szCs w:val="21"/>
        </w:rPr>
        <w:t>，销售周期取24个月。</w:t>
      </w:r>
    </w:p>
    <w:p>
      <w:pPr>
        <w:adjustRightInd w:val="0"/>
        <w:snapToGrid w:val="0"/>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2.</w:t>
      </w:r>
      <w:r>
        <w:rPr>
          <w:rFonts w:ascii="Arial" w:hAnsi="Arial" w:cs="Arial"/>
          <w:color w:val="000000"/>
          <w:sz w:val="21"/>
          <w:szCs w:val="21"/>
        </w:rPr>
        <w:t>销售价格及销售量预测</w:t>
      </w:r>
    </w:p>
    <w:p>
      <w:pPr>
        <w:adjustRightInd w:val="0"/>
        <w:snapToGrid w:val="0"/>
        <w:spacing w:line="480" w:lineRule="auto"/>
        <w:ind w:firstLine="420" w:firstLineChars="200"/>
        <w:rPr>
          <w:rFonts w:ascii="Arial" w:hAnsi="Arial" w:cs="Arial"/>
          <w:color w:val="000000"/>
          <w:sz w:val="21"/>
          <w:szCs w:val="21"/>
        </w:rPr>
      </w:pPr>
      <w:r>
        <w:rPr>
          <w:rFonts w:ascii="Arial" w:hAnsi="Arial" w:cs="Arial"/>
          <w:color w:val="000000"/>
          <w:sz w:val="21"/>
          <w:szCs w:val="21"/>
        </w:rPr>
        <w:t>项目销售收入为</w:t>
      </w:r>
      <w:r>
        <w:rPr>
          <w:rFonts w:hint="eastAsia" w:ascii="Arial" w:hAnsi="Arial" w:cs="Arial"/>
          <w:color w:val="000000"/>
          <w:sz w:val="21"/>
          <w:szCs w:val="21"/>
        </w:rPr>
        <w:t>商品住宅</w:t>
      </w:r>
      <w:r>
        <w:rPr>
          <w:rFonts w:ascii="Arial" w:hAnsi="Arial" w:cs="Arial"/>
          <w:color w:val="000000"/>
          <w:sz w:val="21"/>
          <w:szCs w:val="21"/>
        </w:rPr>
        <w:t>销售收入</w:t>
      </w:r>
      <w:r>
        <w:rPr>
          <w:rFonts w:hint="eastAsia" w:ascii="Arial" w:hAnsi="Arial" w:cs="Arial"/>
          <w:color w:val="000000"/>
          <w:sz w:val="21"/>
          <w:szCs w:val="21"/>
        </w:rPr>
        <w:t>及回购建设款</w:t>
      </w:r>
      <w:r>
        <w:rPr>
          <w:rFonts w:ascii="Arial" w:hAnsi="Arial" w:cs="Arial"/>
          <w:color w:val="000000"/>
          <w:sz w:val="21"/>
          <w:szCs w:val="21"/>
        </w:rPr>
        <w:t>，根据建设单位提供的相关资料，确定项目销售价格、可销售面积及销售比率如下：</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82"/>
        <w:gridCol w:w="1943"/>
        <w:gridCol w:w="1843"/>
        <w:gridCol w:w="1843"/>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trPr>
        <w:tc>
          <w:tcPr>
            <w:tcW w:w="1106" w:type="pct"/>
            <w:vAlign w:val="center"/>
          </w:tcPr>
          <w:p>
            <w:pPr>
              <w:jc w:val="both"/>
              <w:rPr>
                <w:rFonts w:ascii="Arial" w:hAnsi="Arial" w:eastAsia="华文细黑" w:cs="Arial"/>
                <w:color w:val="000000"/>
                <w:sz w:val="18"/>
                <w:szCs w:val="18"/>
              </w:rPr>
            </w:pPr>
            <w:r>
              <w:rPr>
                <w:rFonts w:ascii="Arial" w:hAnsi="Arial" w:eastAsia="华文细黑" w:cs="Arial"/>
                <w:color w:val="000000"/>
                <w:sz w:val="18"/>
                <w:szCs w:val="18"/>
              </w:rPr>
              <w:t>用途</w:t>
            </w:r>
          </w:p>
        </w:tc>
        <w:tc>
          <w:tcPr>
            <w:tcW w:w="1032" w:type="pct"/>
            <w:vAlign w:val="center"/>
          </w:tcPr>
          <w:p>
            <w:pPr>
              <w:jc w:val="both"/>
              <w:rPr>
                <w:rFonts w:ascii="Arial" w:hAnsi="Arial" w:eastAsia="华文细黑" w:cs="Arial"/>
                <w:color w:val="000000"/>
                <w:sz w:val="18"/>
                <w:szCs w:val="18"/>
              </w:rPr>
            </w:pPr>
            <w:r>
              <w:rPr>
                <w:rFonts w:ascii="Arial" w:hAnsi="Arial" w:eastAsia="华文细黑" w:cs="Arial"/>
                <w:color w:val="000000"/>
                <w:sz w:val="18"/>
                <w:szCs w:val="18"/>
              </w:rPr>
              <w:t>销售均价</w:t>
            </w:r>
          </w:p>
          <w:p>
            <w:pPr>
              <w:jc w:val="both"/>
              <w:rPr>
                <w:rFonts w:ascii="Arial" w:hAnsi="Arial" w:eastAsia="华文细黑" w:cs="Arial"/>
                <w:color w:val="000000"/>
                <w:sz w:val="18"/>
                <w:szCs w:val="18"/>
              </w:rPr>
            </w:pPr>
            <w:r>
              <w:rPr>
                <w:rFonts w:ascii="Arial" w:hAnsi="Arial" w:eastAsia="华文细黑" w:cs="Arial"/>
                <w:color w:val="000000"/>
                <w:sz w:val="18"/>
                <w:szCs w:val="18"/>
              </w:rPr>
              <w:t>（元/平方米，元/个）</w:t>
            </w:r>
          </w:p>
        </w:tc>
        <w:tc>
          <w:tcPr>
            <w:tcW w:w="979" w:type="pct"/>
            <w:vAlign w:val="center"/>
          </w:tcPr>
          <w:p>
            <w:pPr>
              <w:jc w:val="both"/>
              <w:rPr>
                <w:rFonts w:ascii="Arial" w:hAnsi="Arial" w:eastAsia="华文细黑" w:cs="Arial"/>
                <w:color w:val="000000"/>
                <w:sz w:val="18"/>
                <w:szCs w:val="18"/>
              </w:rPr>
            </w:pPr>
            <w:r>
              <w:rPr>
                <w:rFonts w:ascii="Arial" w:hAnsi="Arial" w:eastAsia="华文细黑" w:cs="Arial"/>
                <w:color w:val="000000"/>
                <w:sz w:val="18"/>
                <w:szCs w:val="18"/>
              </w:rPr>
              <w:t>可销售面积</w:t>
            </w:r>
          </w:p>
          <w:p>
            <w:pPr>
              <w:jc w:val="both"/>
              <w:rPr>
                <w:rFonts w:ascii="Arial" w:hAnsi="Arial" w:eastAsia="华文细黑" w:cs="Arial"/>
                <w:color w:val="000000"/>
                <w:sz w:val="18"/>
                <w:szCs w:val="18"/>
              </w:rPr>
            </w:pPr>
            <w:r>
              <w:rPr>
                <w:rFonts w:ascii="Arial" w:hAnsi="Arial" w:eastAsia="华文细黑" w:cs="Arial"/>
                <w:color w:val="000000"/>
                <w:sz w:val="18"/>
                <w:szCs w:val="18"/>
              </w:rPr>
              <w:t>（平方米，个）</w:t>
            </w:r>
          </w:p>
        </w:tc>
        <w:tc>
          <w:tcPr>
            <w:tcW w:w="979" w:type="pct"/>
            <w:vAlign w:val="center"/>
          </w:tcPr>
          <w:p>
            <w:pPr>
              <w:jc w:val="both"/>
              <w:rPr>
                <w:rFonts w:ascii="Arial" w:hAnsi="Arial" w:eastAsia="华文细黑" w:cs="Arial"/>
                <w:color w:val="000000"/>
                <w:sz w:val="18"/>
                <w:szCs w:val="18"/>
              </w:rPr>
            </w:pPr>
            <w:r>
              <w:rPr>
                <w:rFonts w:ascii="Arial" w:hAnsi="Arial" w:eastAsia="华文细黑" w:cs="Arial"/>
                <w:color w:val="000000"/>
                <w:sz w:val="18"/>
                <w:szCs w:val="18"/>
              </w:rPr>
              <w:t>销售比率</w:t>
            </w:r>
          </w:p>
        </w:tc>
        <w:tc>
          <w:tcPr>
            <w:tcW w:w="903" w:type="pct"/>
            <w:vAlign w:val="center"/>
          </w:tcPr>
          <w:p>
            <w:pPr>
              <w:jc w:val="both"/>
              <w:rPr>
                <w:rFonts w:ascii="Arial" w:hAnsi="Arial" w:eastAsia="华文细黑" w:cs="Arial"/>
                <w:color w:val="000000"/>
                <w:sz w:val="18"/>
                <w:szCs w:val="18"/>
              </w:rPr>
            </w:pPr>
            <w:r>
              <w:rPr>
                <w:rFonts w:ascii="Arial" w:hAnsi="Arial" w:eastAsia="华文细黑" w:cs="Arial"/>
                <w:color w:val="000000"/>
                <w:sz w:val="18"/>
                <w:szCs w:val="18"/>
              </w:rPr>
              <w:t>销售收入</w:t>
            </w:r>
          </w:p>
          <w:p>
            <w:pPr>
              <w:jc w:val="both"/>
              <w:rPr>
                <w:rFonts w:ascii="Arial" w:hAnsi="Arial" w:eastAsia="华文细黑" w:cs="Arial"/>
                <w:color w:val="000000"/>
                <w:sz w:val="18"/>
                <w:szCs w:val="18"/>
              </w:rPr>
            </w:pPr>
            <w:r>
              <w:rPr>
                <w:rFonts w:ascii="Arial" w:hAnsi="Arial" w:eastAsia="华文细黑" w:cs="Arial"/>
                <w:color w:val="000000"/>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trPr>
        <w:tc>
          <w:tcPr>
            <w:tcW w:w="1106" w:type="pct"/>
            <w:vAlign w:val="center"/>
          </w:tcPr>
          <w:p>
            <w:pPr>
              <w:jc w:val="both"/>
              <w:rPr>
                <w:rFonts w:ascii="Arial" w:hAnsi="Arial" w:eastAsia="华文细黑" w:cs="Arial"/>
                <w:sz w:val="18"/>
                <w:szCs w:val="18"/>
              </w:rPr>
            </w:pPr>
            <w:r>
              <w:rPr>
                <w:rFonts w:hint="eastAsia" w:ascii="Arial" w:hAnsi="Arial" w:eastAsia="华文细黑" w:cs="Arial"/>
                <w:sz w:val="18"/>
                <w:szCs w:val="18"/>
              </w:rPr>
              <w:t>商品住宅</w:t>
            </w:r>
          </w:p>
        </w:tc>
        <w:tc>
          <w:tcPr>
            <w:tcW w:w="1032" w:type="pct"/>
            <w:vAlign w:val="center"/>
          </w:tcPr>
          <w:p>
            <w:pPr>
              <w:jc w:val="both"/>
              <w:rPr>
                <w:rFonts w:ascii="Arial" w:hAnsi="Arial" w:eastAsia="华文细黑" w:cs="Arial"/>
                <w:sz w:val="18"/>
                <w:szCs w:val="18"/>
              </w:rPr>
            </w:pPr>
            <w:r>
              <w:rPr>
                <w:rFonts w:hint="eastAsia" w:ascii="Arial" w:hAnsi="Arial" w:eastAsia="华文细黑" w:cs="Arial"/>
                <w:sz w:val="18"/>
                <w:szCs w:val="18"/>
              </w:rPr>
              <w:t>15000</w:t>
            </w:r>
          </w:p>
        </w:tc>
        <w:tc>
          <w:tcPr>
            <w:tcW w:w="979" w:type="pct"/>
            <w:shd w:val="clear" w:color="auto" w:fill="auto"/>
            <w:vAlign w:val="center"/>
          </w:tcPr>
          <w:p>
            <w:pPr>
              <w:jc w:val="both"/>
              <w:rPr>
                <w:rFonts w:ascii="Arial" w:hAnsi="Arial" w:eastAsia="华文细黑" w:cs="Arial"/>
                <w:sz w:val="18"/>
                <w:szCs w:val="18"/>
              </w:rPr>
            </w:pPr>
            <w:r>
              <w:rPr>
                <w:rFonts w:hint="eastAsia" w:ascii="Arial" w:hAnsi="Arial" w:eastAsia="华文细黑" w:cs="Arial"/>
                <w:sz w:val="18"/>
                <w:szCs w:val="18"/>
              </w:rPr>
              <w:t>19086.95</w:t>
            </w:r>
          </w:p>
        </w:tc>
        <w:tc>
          <w:tcPr>
            <w:tcW w:w="979" w:type="pct"/>
            <w:shd w:val="clear" w:color="auto" w:fill="auto"/>
            <w:vAlign w:val="center"/>
          </w:tcPr>
          <w:p>
            <w:pPr>
              <w:jc w:val="both"/>
              <w:rPr>
                <w:rFonts w:ascii="Arial" w:hAnsi="Arial" w:eastAsia="华文细黑" w:cs="Arial"/>
                <w:sz w:val="18"/>
                <w:szCs w:val="18"/>
              </w:rPr>
            </w:pPr>
            <w:r>
              <w:rPr>
                <w:rFonts w:hint="eastAsia" w:ascii="Arial" w:hAnsi="Arial" w:eastAsia="华文细黑" w:cs="Arial"/>
                <w:sz w:val="18"/>
                <w:szCs w:val="18"/>
              </w:rPr>
              <w:t>100%</w:t>
            </w:r>
          </w:p>
        </w:tc>
        <w:tc>
          <w:tcPr>
            <w:tcW w:w="903" w:type="pct"/>
            <w:shd w:val="clear" w:color="auto" w:fill="auto"/>
            <w:vAlign w:val="center"/>
          </w:tcPr>
          <w:p>
            <w:pPr>
              <w:jc w:val="both"/>
              <w:rPr>
                <w:rFonts w:ascii="Arial" w:hAnsi="Arial" w:eastAsia="华文细黑" w:cs="Arial"/>
                <w:sz w:val="18"/>
                <w:szCs w:val="18"/>
              </w:rPr>
            </w:pPr>
            <w:r>
              <w:rPr>
                <w:rFonts w:hint="eastAsia" w:ascii="Arial" w:hAnsi="Arial" w:eastAsia="华文细黑" w:cs="Arial"/>
                <w:sz w:val="18"/>
                <w:szCs w:val="18"/>
              </w:rPr>
              <w:t>28634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trPr>
        <w:tc>
          <w:tcPr>
            <w:tcW w:w="1106" w:type="pct"/>
            <w:vAlign w:val="center"/>
          </w:tcPr>
          <w:p>
            <w:pPr>
              <w:jc w:val="both"/>
              <w:rPr>
                <w:rFonts w:ascii="Arial" w:hAnsi="Arial" w:eastAsia="华文细黑" w:cs="Arial"/>
                <w:sz w:val="18"/>
                <w:szCs w:val="18"/>
              </w:rPr>
            </w:pPr>
            <w:r>
              <w:rPr>
                <w:rFonts w:hint="eastAsia" w:ascii="Arial" w:hAnsi="Arial" w:eastAsia="华文细黑" w:cs="Arial"/>
                <w:sz w:val="18"/>
                <w:szCs w:val="18"/>
              </w:rPr>
              <w:t>回迁安置配建</w:t>
            </w:r>
          </w:p>
        </w:tc>
        <w:tc>
          <w:tcPr>
            <w:tcW w:w="1032" w:type="pct"/>
            <w:vAlign w:val="center"/>
          </w:tcPr>
          <w:p>
            <w:pPr>
              <w:jc w:val="both"/>
              <w:rPr>
                <w:rFonts w:ascii="Arial" w:hAnsi="Arial" w:eastAsia="华文细黑" w:cs="Arial"/>
                <w:sz w:val="18"/>
                <w:szCs w:val="18"/>
              </w:rPr>
            </w:pPr>
            <w:r>
              <w:rPr>
                <w:rFonts w:hint="eastAsia" w:ascii="Arial" w:hAnsi="Arial" w:eastAsia="华文细黑" w:cs="Arial"/>
                <w:sz w:val="18"/>
                <w:szCs w:val="18"/>
              </w:rPr>
              <w:t>4200</w:t>
            </w:r>
          </w:p>
        </w:tc>
        <w:tc>
          <w:tcPr>
            <w:tcW w:w="979" w:type="pct"/>
            <w:vAlign w:val="center"/>
          </w:tcPr>
          <w:p>
            <w:pPr>
              <w:jc w:val="both"/>
              <w:rPr>
                <w:rFonts w:ascii="Arial" w:hAnsi="Arial" w:eastAsia="华文细黑" w:cs="Arial"/>
                <w:sz w:val="18"/>
                <w:szCs w:val="18"/>
              </w:rPr>
            </w:pPr>
            <w:r>
              <w:rPr>
                <w:rFonts w:hint="eastAsia" w:ascii="Arial" w:hAnsi="Arial" w:eastAsia="华文细黑" w:cs="Arial"/>
                <w:sz w:val="18"/>
                <w:szCs w:val="18"/>
              </w:rPr>
              <w:t>143087</w:t>
            </w:r>
          </w:p>
        </w:tc>
        <w:tc>
          <w:tcPr>
            <w:tcW w:w="979" w:type="pct"/>
            <w:vAlign w:val="center"/>
          </w:tcPr>
          <w:p>
            <w:pPr>
              <w:jc w:val="both"/>
              <w:rPr>
                <w:rFonts w:ascii="Arial" w:hAnsi="Arial" w:eastAsia="华文细黑" w:cs="Arial"/>
                <w:sz w:val="18"/>
                <w:szCs w:val="18"/>
              </w:rPr>
            </w:pPr>
            <w:r>
              <w:rPr>
                <w:rFonts w:hint="eastAsia" w:ascii="Arial" w:hAnsi="Arial" w:eastAsia="华文细黑" w:cs="Arial"/>
                <w:sz w:val="18"/>
                <w:szCs w:val="18"/>
              </w:rPr>
              <w:t>100%</w:t>
            </w:r>
          </w:p>
        </w:tc>
        <w:tc>
          <w:tcPr>
            <w:tcW w:w="903" w:type="pct"/>
            <w:vAlign w:val="center"/>
          </w:tcPr>
          <w:p>
            <w:pPr>
              <w:jc w:val="both"/>
              <w:rPr>
                <w:rFonts w:ascii="Arial" w:hAnsi="Arial" w:eastAsia="华文细黑" w:cs="Arial"/>
                <w:sz w:val="18"/>
                <w:szCs w:val="18"/>
              </w:rPr>
            </w:pPr>
            <w:r>
              <w:rPr>
                <w:rFonts w:hint="eastAsia" w:ascii="Arial" w:hAnsi="Arial" w:eastAsia="华文细黑" w:cs="Arial"/>
                <w:sz w:val="18"/>
                <w:szCs w:val="18"/>
              </w:rPr>
              <w:t>60098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trPr>
        <w:tc>
          <w:tcPr>
            <w:tcW w:w="2082" w:type="dxa"/>
            <w:vAlign w:val="center"/>
          </w:tcPr>
          <w:p>
            <w:pPr>
              <w:jc w:val="both"/>
              <w:rPr>
                <w:rFonts w:ascii="Arial" w:hAnsi="Arial" w:eastAsia="华文细黑" w:cs="Arial"/>
                <w:sz w:val="18"/>
                <w:szCs w:val="18"/>
              </w:rPr>
            </w:pPr>
            <w:r>
              <w:rPr>
                <w:rFonts w:ascii="Arial" w:hAnsi="Arial" w:eastAsia="华文细黑" w:cs="Arial"/>
                <w:sz w:val="18"/>
                <w:szCs w:val="18"/>
              </w:rPr>
              <w:t>商品住宅地下车库</w:t>
            </w:r>
          </w:p>
        </w:tc>
        <w:tc>
          <w:tcPr>
            <w:tcW w:w="1943" w:type="dxa"/>
            <w:vAlign w:val="center"/>
          </w:tcPr>
          <w:p>
            <w:pPr>
              <w:jc w:val="both"/>
              <w:rPr>
                <w:rFonts w:ascii="Arial" w:hAnsi="Arial" w:eastAsia="华文细黑" w:cs="Arial"/>
                <w:sz w:val="18"/>
                <w:szCs w:val="18"/>
              </w:rPr>
            </w:pPr>
            <w:r>
              <w:rPr>
                <w:rFonts w:ascii="Arial" w:hAnsi="Arial" w:eastAsia="华文细黑" w:cs="Arial"/>
                <w:sz w:val="18"/>
                <w:szCs w:val="18"/>
              </w:rPr>
              <w:t>142800</w:t>
            </w:r>
          </w:p>
        </w:tc>
        <w:tc>
          <w:tcPr>
            <w:tcW w:w="1843" w:type="dxa"/>
            <w:vAlign w:val="center"/>
          </w:tcPr>
          <w:p>
            <w:pPr>
              <w:jc w:val="both"/>
              <w:rPr>
                <w:rFonts w:ascii="Arial" w:hAnsi="Arial" w:eastAsia="华文细黑" w:cs="Arial"/>
                <w:sz w:val="18"/>
                <w:szCs w:val="18"/>
              </w:rPr>
            </w:pPr>
            <w:r>
              <w:rPr>
                <w:rFonts w:ascii="Arial" w:hAnsi="Arial" w:eastAsia="华文细黑" w:cs="Arial"/>
                <w:sz w:val="18"/>
                <w:szCs w:val="18"/>
              </w:rPr>
              <w:t>5180.00</w:t>
            </w:r>
          </w:p>
        </w:tc>
        <w:tc>
          <w:tcPr>
            <w:tcW w:w="1843" w:type="dxa"/>
            <w:vAlign w:val="center"/>
          </w:tcPr>
          <w:p>
            <w:pPr>
              <w:jc w:val="both"/>
              <w:rPr>
                <w:rFonts w:ascii="Arial" w:hAnsi="Arial" w:eastAsia="华文细黑" w:cs="Arial"/>
                <w:sz w:val="18"/>
                <w:szCs w:val="18"/>
              </w:rPr>
            </w:pPr>
            <w:r>
              <w:rPr>
                <w:rFonts w:ascii="Arial" w:hAnsi="Arial" w:eastAsia="华文细黑" w:cs="Arial"/>
                <w:sz w:val="18"/>
                <w:szCs w:val="18"/>
              </w:rPr>
              <w:t>100%</w:t>
            </w:r>
          </w:p>
        </w:tc>
        <w:tc>
          <w:tcPr>
            <w:tcW w:w="1701" w:type="dxa"/>
            <w:vAlign w:val="center"/>
          </w:tcPr>
          <w:p>
            <w:pPr>
              <w:jc w:val="both"/>
              <w:rPr>
                <w:rFonts w:ascii="Arial" w:hAnsi="Arial" w:eastAsia="华文细黑" w:cs="Arial"/>
                <w:sz w:val="18"/>
                <w:szCs w:val="18"/>
              </w:rPr>
            </w:pPr>
            <w:r>
              <w:rPr>
                <w:rFonts w:ascii="Arial" w:hAnsi="Arial" w:eastAsia="华文细黑" w:cs="Arial"/>
                <w:sz w:val="18"/>
                <w:szCs w:val="18"/>
              </w:rPr>
              <w:t>2099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trPr>
        <w:tc>
          <w:tcPr>
            <w:tcW w:w="2082" w:type="dxa"/>
            <w:vAlign w:val="center"/>
          </w:tcPr>
          <w:p>
            <w:pPr>
              <w:jc w:val="both"/>
              <w:rPr>
                <w:rFonts w:ascii="Arial" w:hAnsi="Arial" w:eastAsia="华文细黑" w:cs="Arial"/>
                <w:sz w:val="18"/>
                <w:szCs w:val="18"/>
              </w:rPr>
            </w:pPr>
            <w:r>
              <w:rPr>
                <w:rFonts w:ascii="Arial" w:hAnsi="Arial" w:eastAsia="华文细黑" w:cs="Arial"/>
                <w:sz w:val="18"/>
                <w:szCs w:val="18"/>
              </w:rPr>
              <w:t>非人防地下车库（可售）</w:t>
            </w:r>
          </w:p>
        </w:tc>
        <w:tc>
          <w:tcPr>
            <w:tcW w:w="1943" w:type="dxa"/>
            <w:vAlign w:val="center"/>
          </w:tcPr>
          <w:p>
            <w:pPr>
              <w:jc w:val="both"/>
              <w:rPr>
                <w:rFonts w:ascii="Arial" w:hAnsi="Arial" w:eastAsia="华文细黑" w:cs="Arial"/>
                <w:sz w:val="18"/>
                <w:szCs w:val="18"/>
              </w:rPr>
            </w:pPr>
            <w:r>
              <w:rPr>
                <w:rFonts w:ascii="Arial" w:hAnsi="Arial" w:eastAsia="华文细黑" w:cs="Arial"/>
                <w:sz w:val="18"/>
                <w:szCs w:val="18"/>
              </w:rPr>
              <w:t>142800</w:t>
            </w:r>
          </w:p>
        </w:tc>
        <w:tc>
          <w:tcPr>
            <w:tcW w:w="1843" w:type="dxa"/>
            <w:vAlign w:val="center"/>
          </w:tcPr>
          <w:p>
            <w:pPr>
              <w:jc w:val="both"/>
              <w:rPr>
                <w:rFonts w:ascii="Arial" w:hAnsi="Arial" w:eastAsia="华文细黑" w:cs="Arial"/>
                <w:sz w:val="18"/>
                <w:szCs w:val="18"/>
              </w:rPr>
            </w:pPr>
            <w:r>
              <w:rPr>
                <w:rFonts w:ascii="Arial" w:hAnsi="Arial" w:eastAsia="华文细黑" w:cs="Arial"/>
                <w:sz w:val="18"/>
                <w:szCs w:val="18"/>
              </w:rPr>
              <w:t>40810.00</w:t>
            </w:r>
          </w:p>
        </w:tc>
        <w:tc>
          <w:tcPr>
            <w:tcW w:w="1843" w:type="dxa"/>
            <w:vAlign w:val="center"/>
          </w:tcPr>
          <w:p>
            <w:pPr>
              <w:jc w:val="both"/>
              <w:rPr>
                <w:rFonts w:ascii="Arial" w:hAnsi="Arial" w:eastAsia="华文细黑" w:cs="Arial"/>
                <w:sz w:val="18"/>
                <w:szCs w:val="18"/>
              </w:rPr>
            </w:pPr>
            <w:r>
              <w:rPr>
                <w:rFonts w:ascii="Arial" w:hAnsi="Arial" w:eastAsia="华文细黑" w:cs="Arial"/>
                <w:sz w:val="18"/>
                <w:szCs w:val="18"/>
              </w:rPr>
              <w:t>100%</w:t>
            </w:r>
          </w:p>
        </w:tc>
        <w:tc>
          <w:tcPr>
            <w:tcW w:w="1701" w:type="dxa"/>
            <w:vAlign w:val="center"/>
          </w:tcPr>
          <w:p>
            <w:pPr>
              <w:jc w:val="both"/>
              <w:rPr>
                <w:rFonts w:ascii="Arial" w:hAnsi="Arial" w:eastAsia="华文细黑" w:cs="Arial"/>
                <w:sz w:val="18"/>
                <w:szCs w:val="18"/>
              </w:rPr>
            </w:pPr>
            <w:r>
              <w:rPr>
                <w:rFonts w:ascii="Arial" w:hAnsi="Arial" w:eastAsia="华文细黑" w:cs="Arial"/>
                <w:sz w:val="18"/>
                <w:szCs w:val="18"/>
              </w:rPr>
              <w:t>16650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trPr>
        <w:tc>
          <w:tcPr>
            <w:tcW w:w="1106" w:type="pct"/>
            <w:vAlign w:val="center"/>
          </w:tcPr>
          <w:p>
            <w:pPr>
              <w:jc w:val="both"/>
              <w:rPr>
                <w:rFonts w:ascii="Arial" w:hAnsi="Arial" w:eastAsia="华文细黑" w:cs="Arial"/>
                <w:color w:val="000000"/>
                <w:sz w:val="18"/>
                <w:szCs w:val="18"/>
              </w:rPr>
            </w:pPr>
            <w:r>
              <w:rPr>
                <w:rFonts w:hint="eastAsia" w:ascii="Arial" w:hAnsi="Arial" w:eastAsia="华文细黑" w:cs="Arial"/>
                <w:color w:val="000000"/>
                <w:sz w:val="18"/>
                <w:szCs w:val="18"/>
              </w:rPr>
              <w:t>合计</w:t>
            </w:r>
          </w:p>
        </w:tc>
        <w:tc>
          <w:tcPr>
            <w:tcW w:w="1032" w:type="pct"/>
            <w:vAlign w:val="center"/>
          </w:tcPr>
          <w:p>
            <w:pPr>
              <w:jc w:val="both"/>
              <w:rPr>
                <w:rFonts w:ascii="Arial" w:hAnsi="Arial" w:eastAsia="华文细黑" w:cs="Arial"/>
                <w:color w:val="000000"/>
                <w:sz w:val="18"/>
                <w:szCs w:val="18"/>
              </w:rPr>
            </w:pPr>
            <w:r>
              <w:rPr>
                <w:rFonts w:hint="eastAsia" w:ascii="Arial" w:hAnsi="Arial" w:eastAsia="华文细黑" w:cs="Arial"/>
                <w:color w:val="000000"/>
                <w:sz w:val="18"/>
                <w:szCs w:val="18"/>
              </w:rPr>
              <w:t>——</w:t>
            </w:r>
          </w:p>
        </w:tc>
        <w:tc>
          <w:tcPr>
            <w:tcW w:w="979" w:type="pct"/>
            <w:vAlign w:val="center"/>
          </w:tcPr>
          <w:p>
            <w:pPr>
              <w:jc w:val="both"/>
              <w:rPr>
                <w:rFonts w:ascii="Arial" w:hAnsi="Arial" w:eastAsia="华文细黑" w:cs="Arial"/>
                <w:sz w:val="18"/>
                <w:szCs w:val="18"/>
              </w:rPr>
            </w:pPr>
            <w:r>
              <w:rPr>
                <w:rFonts w:hint="eastAsia" w:ascii="Arial" w:hAnsi="Arial" w:eastAsia="华文细黑" w:cs="Arial"/>
                <w:sz w:val="18"/>
                <w:szCs w:val="18"/>
              </w:rPr>
              <w:t>208163.95</w:t>
            </w:r>
          </w:p>
        </w:tc>
        <w:tc>
          <w:tcPr>
            <w:tcW w:w="979" w:type="pct"/>
            <w:vAlign w:val="center"/>
          </w:tcPr>
          <w:p>
            <w:pPr>
              <w:jc w:val="both"/>
              <w:rPr>
                <w:rFonts w:ascii="Arial" w:hAnsi="Arial" w:eastAsia="华文细黑" w:cs="Arial"/>
                <w:sz w:val="18"/>
                <w:szCs w:val="18"/>
              </w:rPr>
            </w:pPr>
            <w:r>
              <w:rPr>
                <w:rFonts w:hint="eastAsia" w:ascii="Arial" w:hAnsi="Arial" w:eastAsia="华文细黑" w:cs="Arial"/>
                <w:sz w:val="18"/>
                <w:szCs w:val="18"/>
              </w:rPr>
              <w:t>——</w:t>
            </w:r>
          </w:p>
        </w:tc>
        <w:tc>
          <w:tcPr>
            <w:tcW w:w="903" w:type="pct"/>
            <w:vAlign w:val="center"/>
          </w:tcPr>
          <w:p>
            <w:pPr>
              <w:jc w:val="both"/>
              <w:rPr>
                <w:rFonts w:ascii="Arial" w:hAnsi="Arial" w:eastAsia="华文细黑" w:cs="Arial"/>
                <w:color w:val="000000"/>
                <w:sz w:val="18"/>
                <w:szCs w:val="18"/>
              </w:rPr>
            </w:pPr>
            <w:r>
              <w:rPr>
                <w:rFonts w:hint="eastAsia" w:ascii="Arial" w:hAnsi="Arial" w:eastAsia="华文细黑" w:cs="Arial"/>
                <w:color w:val="000000"/>
                <w:sz w:val="18"/>
                <w:szCs w:val="18"/>
              </w:rPr>
              <w:t>107481</w:t>
            </w:r>
          </w:p>
        </w:tc>
      </w:tr>
    </w:tbl>
    <w:p>
      <w:pPr>
        <w:adjustRightInd w:val="0"/>
        <w:snapToGrid w:val="0"/>
        <w:spacing w:line="480" w:lineRule="auto"/>
        <w:rPr>
          <w:rFonts w:ascii="Arial" w:hAnsi="Arial" w:cs="Arial"/>
          <w:sz w:val="11"/>
          <w:szCs w:val="8"/>
        </w:rPr>
      </w:pPr>
    </w:p>
    <w:p>
      <w:pPr>
        <w:adjustRightInd w:val="0"/>
        <w:snapToGrid w:val="0"/>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2.</w:t>
      </w:r>
      <w:r>
        <w:rPr>
          <w:rFonts w:ascii="Arial" w:hAnsi="Arial" w:cs="Arial"/>
          <w:color w:val="000000"/>
          <w:sz w:val="21"/>
          <w:szCs w:val="21"/>
        </w:rPr>
        <w:t>销</w:t>
      </w:r>
      <w:r>
        <w:rPr>
          <w:rFonts w:hint="eastAsia" w:ascii="Arial" w:hAnsi="Arial" w:cs="Arial"/>
          <w:color w:val="000000"/>
          <w:sz w:val="21"/>
          <w:szCs w:val="21"/>
        </w:rPr>
        <w:t>售产生的现金流入</w:t>
      </w:r>
    </w:p>
    <w:p>
      <w:pPr>
        <w:adjustRightInd w:val="0"/>
        <w:snapToGrid w:val="0"/>
        <w:spacing w:line="480" w:lineRule="auto"/>
        <w:ind w:firstLine="420" w:firstLineChars="200"/>
        <w:rPr>
          <w:rFonts w:ascii="Arial" w:hAnsi="Arial" w:cs="Arial"/>
          <w:color w:val="000000"/>
          <w:sz w:val="21"/>
          <w:szCs w:val="21"/>
        </w:rPr>
      </w:pPr>
      <w:r>
        <w:rPr>
          <w:rFonts w:ascii="Arial" w:hAnsi="Arial" w:cs="Arial"/>
          <w:color w:val="000000"/>
          <w:sz w:val="21"/>
          <w:szCs w:val="21"/>
        </w:rPr>
        <w:t>根据市场预测及借款人提供的销售计划，项目实现销售后产生的现金流入为</w:t>
      </w:r>
      <w:r>
        <w:rPr>
          <w:rFonts w:hint="eastAsia" w:ascii="Arial" w:hAnsi="Arial" w:cs="Arial"/>
          <w:color w:val="000000"/>
          <w:sz w:val="21"/>
          <w:szCs w:val="21"/>
        </w:rPr>
        <w:t>105667</w:t>
      </w:r>
      <w:r>
        <w:rPr>
          <w:rFonts w:ascii="Arial" w:hAnsi="Arial" w:cs="Arial"/>
          <w:color w:val="000000"/>
          <w:sz w:val="21"/>
          <w:szCs w:val="21"/>
        </w:rPr>
        <w:t>万元。预计20</w:t>
      </w:r>
      <w:r>
        <w:rPr>
          <w:rFonts w:hint="eastAsia" w:ascii="Arial" w:hAnsi="Arial" w:cs="Arial"/>
          <w:color w:val="000000"/>
          <w:sz w:val="21"/>
          <w:szCs w:val="21"/>
        </w:rPr>
        <w:t>23</w:t>
      </w:r>
      <w:r>
        <w:rPr>
          <w:rFonts w:ascii="Arial" w:hAnsi="Arial" w:cs="Arial"/>
          <w:color w:val="000000"/>
          <w:sz w:val="21"/>
          <w:szCs w:val="21"/>
        </w:rPr>
        <w:t>-202</w:t>
      </w:r>
      <w:r>
        <w:rPr>
          <w:rFonts w:hint="eastAsia" w:ascii="Arial" w:hAnsi="Arial" w:cs="Arial"/>
          <w:color w:val="000000"/>
          <w:sz w:val="21"/>
          <w:szCs w:val="21"/>
        </w:rPr>
        <w:t>5</w:t>
      </w:r>
      <w:r>
        <w:rPr>
          <w:rFonts w:ascii="Arial" w:hAnsi="Arial" w:cs="Arial"/>
          <w:color w:val="000000"/>
          <w:sz w:val="21"/>
          <w:szCs w:val="21"/>
        </w:rPr>
        <w:t>年分别实现现金流入见</w:t>
      </w:r>
      <w:r>
        <w:rPr>
          <w:rFonts w:hint="eastAsia" w:ascii="Arial" w:hAnsi="Arial" w:cs="Arial"/>
          <w:color w:val="000000"/>
          <w:sz w:val="21"/>
          <w:szCs w:val="21"/>
        </w:rPr>
        <w:t>下表</w:t>
      </w:r>
      <w:r>
        <w:rPr>
          <w:rFonts w:ascii="Arial" w:hAnsi="Arial" w:cs="Arial"/>
          <w:color w:val="000000"/>
          <w:sz w:val="21"/>
          <w:szCs w:val="21"/>
        </w:rPr>
        <w:t>（</w:t>
      </w:r>
      <w:r>
        <w:rPr>
          <w:rFonts w:hint="eastAsia" w:ascii="Arial" w:hAnsi="Arial" w:cs="Arial"/>
          <w:color w:val="000000"/>
          <w:sz w:val="21"/>
          <w:szCs w:val="21"/>
        </w:rPr>
        <w:t>具体</w:t>
      </w:r>
      <w:r>
        <w:rPr>
          <w:rFonts w:ascii="Arial" w:hAnsi="Arial" w:cs="Arial"/>
          <w:color w:val="000000"/>
          <w:sz w:val="21"/>
          <w:szCs w:val="21"/>
        </w:rPr>
        <w:t>见底表1）。</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71"/>
        <w:gridCol w:w="1571"/>
        <w:gridCol w:w="1567"/>
        <w:gridCol w:w="1567"/>
        <w:gridCol w:w="1568"/>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trPr>
        <w:tc>
          <w:tcPr>
            <w:tcW w:w="834" w:type="pct"/>
            <w:vMerge w:val="restart"/>
            <w:vAlign w:val="center"/>
          </w:tcPr>
          <w:p>
            <w:pPr>
              <w:rPr>
                <w:rFonts w:ascii="华文细黑" w:hAnsi="华文细黑" w:eastAsia="华文细黑"/>
                <w:sz w:val="18"/>
                <w:szCs w:val="18"/>
              </w:rPr>
            </w:pPr>
            <w:bookmarkStart w:id="196" w:name="_Toc146106161"/>
            <w:bookmarkStart w:id="197" w:name="_Toc109012116"/>
            <w:bookmarkStart w:id="198" w:name="_Toc331425237"/>
            <w:bookmarkStart w:id="199" w:name="_Toc12072694"/>
            <w:bookmarkStart w:id="200" w:name="_Toc106177902"/>
            <w:r>
              <w:rPr>
                <w:rFonts w:hint="eastAsia" w:ascii="Arial" w:hAnsi="Arial" w:eastAsia="华文细黑"/>
                <w:sz w:val="18"/>
                <w:szCs w:val="18"/>
              </w:rPr>
              <w:t>2023</w:t>
            </w:r>
            <w:r>
              <w:rPr>
                <w:rFonts w:hint="eastAsia" w:ascii="华文细黑" w:hAnsi="华文细黑" w:eastAsia="华文细黑"/>
                <w:sz w:val="18"/>
                <w:szCs w:val="18"/>
              </w:rPr>
              <w:t>年</w:t>
            </w:r>
          </w:p>
        </w:tc>
        <w:tc>
          <w:tcPr>
            <w:tcW w:w="834" w:type="pct"/>
            <w:vAlign w:val="center"/>
          </w:tcPr>
          <w:p>
            <w:pPr>
              <w:jc w:val="both"/>
              <w:rPr>
                <w:rFonts w:ascii="Arial" w:hAnsi="Arial" w:eastAsia="华文细黑" w:cs="Arial"/>
                <w:sz w:val="18"/>
                <w:szCs w:val="18"/>
              </w:rPr>
            </w:pPr>
            <w:r>
              <w:rPr>
                <w:rFonts w:ascii="Arial" w:hAnsi="Arial" w:eastAsia="华文细黑" w:cs="Arial"/>
                <w:sz w:val="18"/>
                <w:szCs w:val="18"/>
              </w:rPr>
              <w:t>季度</w:t>
            </w:r>
          </w:p>
        </w:tc>
        <w:tc>
          <w:tcPr>
            <w:tcW w:w="832" w:type="pct"/>
            <w:vAlign w:val="center"/>
          </w:tcPr>
          <w:p>
            <w:pPr>
              <w:jc w:val="both"/>
              <w:rPr>
                <w:rFonts w:ascii="Arial" w:hAnsi="Arial" w:eastAsia="华文细黑" w:cs="Arial"/>
                <w:sz w:val="18"/>
                <w:szCs w:val="18"/>
              </w:rPr>
            </w:pPr>
            <w:r>
              <w:rPr>
                <w:rFonts w:ascii="Arial" w:hAnsi="Arial" w:eastAsia="华文细黑" w:cs="Arial"/>
                <w:sz w:val="18"/>
                <w:szCs w:val="18"/>
              </w:rPr>
              <w:t>Q1</w:t>
            </w:r>
          </w:p>
        </w:tc>
        <w:tc>
          <w:tcPr>
            <w:tcW w:w="832" w:type="pct"/>
            <w:shd w:val="clear" w:color="auto" w:fill="auto"/>
            <w:noWrap/>
            <w:vAlign w:val="center"/>
          </w:tcPr>
          <w:p>
            <w:pPr>
              <w:jc w:val="both"/>
              <w:rPr>
                <w:rFonts w:ascii="Arial" w:hAnsi="Arial" w:eastAsia="华文细黑" w:cs="Arial"/>
                <w:sz w:val="18"/>
                <w:szCs w:val="18"/>
              </w:rPr>
            </w:pPr>
            <w:r>
              <w:rPr>
                <w:rFonts w:ascii="Arial" w:hAnsi="Arial" w:eastAsia="华文细黑" w:cs="Arial"/>
                <w:sz w:val="18"/>
                <w:szCs w:val="18"/>
              </w:rPr>
              <w:t>Q2</w:t>
            </w:r>
          </w:p>
        </w:tc>
        <w:tc>
          <w:tcPr>
            <w:tcW w:w="832" w:type="pct"/>
            <w:shd w:val="clear" w:color="auto" w:fill="auto"/>
            <w:noWrap/>
            <w:vAlign w:val="center"/>
          </w:tcPr>
          <w:p>
            <w:pPr>
              <w:jc w:val="both"/>
              <w:rPr>
                <w:rFonts w:ascii="Arial" w:hAnsi="Arial" w:eastAsia="华文细黑" w:cs="Arial"/>
                <w:sz w:val="18"/>
                <w:szCs w:val="18"/>
              </w:rPr>
            </w:pPr>
            <w:r>
              <w:rPr>
                <w:rFonts w:ascii="Arial" w:hAnsi="Arial" w:eastAsia="华文细黑" w:cs="Arial"/>
                <w:sz w:val="18"/>
                <w:szCs w:val="18"/>
              </w:rPr>
              <w:t>Q3</w:t>
            </w:r>
          </w:p>
        </w:tc>
        <w:tc>
          <w:tcPr>
            <w:tcW w:w="832" w:type="pct"/>
            <w:shd w:val="clear" w:color="auto" w:fill="auto"/>
            <w:noWrap/>
            <w:vAlign w:val="center"/>
          </w:tcPr>
          <w:p>
            <w:pPr>
              <w:jc w:val="both"/>
              <w:rPr>
                <w:rFonts w:ascii="Arial" w:hAnsi="Arial" w:eastAsia="华文细黑" w:cs="Arial"/>
                <w:sz w:val="18"/>
                <w:szCs w:val="18"/>
              </w:rPr>
            </w:pPr>
            <w:r>
              <w:rPr>
                <w:rFonts w:ascii="Arial" w:hAnsi="Arial" w:eastAsia="华文细黑" w:cs="Arial"/>
                <w:sz w:val="18"/>
                <w:szCs w:val="18"/>
              </w:rPr>
              <w:t>Q4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trPr>
        <w:tc>
          <w:tcPr>
            <w:tcW w:w="834" w:type="pct"/>
            <w:vMerge w:val="continue"/>
            <w:vAlign w:val="center"/>
          </w:tcPr>
          <w:p>
            <w:pPr>
              <w:rPr>
                <w:rFonts w:ascii="华文细黑" w:hAnsi="华文细黑" w:eastAsia="华文细黑"/>
                <w:sz w:val="18"/>
                <w:szCs w:val="18"/>
              </w:rPr>
            </w:pPr>
          </w:p>
        </w:tc>
        <w:tc>
          <w:tcPr>
            <w:tcW w:w="834" w:type="pct"/>
            <w:vAlign w:val="center"/>
          </w:tcPr>
          <w:p>
            <w:pPr>
              <w:jc w:val="both"/>
              <w:rPr>
                <w:rFonts w:ascii="Arial" w:hAnsi="Arial" w:eastAsia="华文细黑" w:cs="Arial"/>
                <w:sz w:val="18"/>
                <w:szCs w:val="18"/>
              </w:rPr>
            </w:pPr>
            <w:r>
              <w:rPr>
                <w:rFonts w:ascii="Arial" w:hAnsi="Arial" w:eastAsia="华文细黑" w:cs="Arial"/>
                <w:sz w:val="18"/>
                <w:szCs w:val="18"/>
              </w:rPr>
              <w:t>销售</w:t>
            </w:r>
            <w:r>
              <w:rPr>
                <w:rFonts w:hint="eastAsia" w:ascii="Arial" w:hAnsi="Arial" w:eastAsia="华文细黑" w:cs="Arial"/>
                <w:sz w:val="18"/>
                <w:szCs w:val="18"/>
              </w:rPr>
              <w:t>回款</w:t>
            </w:r>
            <w:r>
              <w:rPr>
                <w:rFonts w:ascii="Arial" w:hAnsi="Arial" w:eastAsia="华文细黑" w:cs="Arial"/>
                <w:sz w:val="18"/>
                <w:szCs w:val="18"/>
              </w:rPr>
              <w:t>（万元）</w:t>
            </w:r>
          </w:p>
        </w:tc>
        <w:tc>
          <w:tcPr>
            <w:tcW w:w="832" w:type="pct"/>
            <w:vAlign w:val="center"/>
          </w:tcPr>
          <w:p>
            <w:pPr>
              <w:jc w:val="both"/>
              <w:rPr>
                <w:rFonts w:ascii="Arial" w:hAnsi="Arial" w:eastAsia="华文细黑" w:cs="Arial"/>
                <w:sz w:val="18"/>
                <w:szCs w:val="18"/>
              </w:rPr>
            </w:pPr>
            <w:r>
              <w:rPr>
                <w:rFonts w:hint="eastAsia" w:ascii="Arial" w:hAnsi="Arial" w:eastAsia="华文细黑" w:cs="Arial"/>
                <w:sz w:val="18"/>
                <w:szCs w:val="18"/>
              </w:rPr>
              <w:t>——</w:t>
            </w:r>
          </w:p>
        </w:tc>
        <w:tc>
          <w:tcPr>
            <w:tcW w:w="832" w:type="pct"/>
            <w:shd w:val="clear" w:color="auto" w:fill="auto"/>
            <w:noWrap/>
            <w:vAlign w:val="center"/>
          </w:tcPr>
          <w:p>
            <w:pPr>
              <w:jc w:val="both"/>
              <w:rPr>
                <w:rFonts w:ascii="Arial" w:hAnsi="Arial" w:eastAsia="华文细黑" w:cs="Arial"/>
                <w:sz w:val="18"/>
                <w:szCs w:val="18"/>
              </w:rPr>
            </w:pPr>
            <w:r>
              <w:rPr>
                <w:rFonts w:ascii="Arial" w:hAnsi="Arial" w:eastAsia="华文细黑" w:cs="Arial"/>
                <w:sz w:val="18"/>
                <w:szCs w:val="18"/>
              </w:rPr>
              <w:t xml:space="preserve">28,753 </w:t>
            </w:r>
          </w:p>
        </w:tc>
        <w:tc>
          <w:tcPr>
            <w:tcW w:w="832" w:type="pct"/>
            <w:shd w:val="clear" w:color="auto" w:fill="auto"/>
            <w:noWrap/>
            <w:vAlign w:val="center"/>
          </w:tcPr>
          <w:p>
            <w:pPr>
              <w:jc w:val="both"/>
              <w:rPr>
                <w:rFonts w:ascii="Arial" w:hAnsi="Arial" w:eastAsia="华文细黑" w:cs="Arial"/>
                <w:sz w:val="18"/>
                <w:szCs w:val="18"/>
              </w:rPr>
            </w:pPr>
            <w:r>
              <w:rPr>
                <w:rFonts w:ascii="Arial" w:hAnsi="Arial" w:eastAsia="华文细黑" w:cs="Arial"/>
                <w:sz w:val="18"/>
                <w:szCs w:val="18"/>
              </w:rPr>
              <w:t xml:space="preserve">2,864 </w:t>
            </w:r>
          </w:p>
        </w:tc>
        <w:tc>
          <w:tcPr>
            <w:tcW w:w="832" w:type="pct"/>
            <w:shd w:val="clear" w:color="auto" w:fill="auto"/>
            <w:noWrap/>
            <w:vAlign w:val="center"/>
          </w:tcPr>
          <w:p>
            <w:pPr>
              <w:jc w:val="both"/>
              <w:rPr>
                <w:rFonts w:ascii="Arial" w:hAnsi="Arial" w:eastAsia="华文细黑" w:cs="Arial"/>
                <w:sz w:val="18"/>
                <w:szCs w:val="18"/>
              </w:rPr>
            </w:pPr>
            <w:r>
              <w:rPr>
                <w:rFonts w:ascii="Arial" w:hAnsi="Arial" w:eastAsia="华文细黑" w:cs="Arial"/>
                <w:sz w:val="18"/>
                <w:szCs w:val="18"/>
              </w:rPr>
              <w:t xml:space="preserve">2,864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trPr>
        <w:tc>
          <w:tcPr>
            <w:tcW w:w="834" w:type="pct"/>
            <w:vMerge w:val="restart"/>
            <w:vAlign w:val="center"/>
          </w:tcPr>
          <w:p>
            <w:pPr>
              <w:rPr>
                <w:rFonts w:ascii="华文细黑" w:hAnsi="华文细黑" w:eastAsia="华文细黑"/>
                <w:sz w:val="18"/>
                <w:szCs w:val="18"/>
              </w:rPr>
            </w:pPr>
            <w:r>
              <w:rPr>
                <w:rFonts w:hint="eastAsia" w:ascii="Arial" w:hAnsi="Arial" w:eastAsia="华文细黑"/>
                <w:sz w:val="18"/>
                <w:szCs w:val="18"/>
              </w:rPr>
              <w:t>2024</w:t>
            </w:r>
            <w:r>
              <w:rPr>
                <w:rFonts w:hint="eastAsia" w:ascii="华文细黑" w:hAnsi="华文细黑" w:eastAsia="华文细黑"/>
                <w:sz w:val="18"/>
                <w:szCs w:val="18"/>
              </w:rPr>
              <w:t>年</w:t>
            </w:r>
          </w:p>
        </w:tc>
        <w:tc>
          <w:tcPr>
            <w:tcW w:w="834" w:type="pct"/>
            <w:vAlign w:val="center"/>
          </w:tcPr>
          <w:p>
            <w:pPr>
              <w:jc w:val="both"/>
              <w:rPr>
                <w:rFonts w:ascii="Arial" w:hAnsi="Arial" w:eastAsia="华文细黑" w:cs="Arial"/>
                <w:sz w:val="18"/>
                <w:szCs w:val="18"/>
              </w:rPr>
            </w:pPr>
            <w:r>
              <w:rPr>
                <w:rFonts w:ascii="Arial" w:hAnsi="Arial" w:eastAsia="华文细黑" w:cs="Arial"/>
                <w:sz w:val="18"/>
                <w:szCs w:val="18"/>
              </w:rPr>
              <w:t>季度</w:t>
            </w:r>
          </w:p>
        </w:tc>
        <w:tc>
          <w:tcPr>
            <w:tcW w:w="832" w:type="pct"/>
            <w:vAlign w:val="center"/>
          </w:tcPr>
          <w:p>
            <w:pPr>
              <w:jc w:val="both"/>
              <w:rPr>
                <w:rFonts w:ascii="Arial" w:hAnsi="Arial" w:eastAsia="华文细黑" w:cs="Arial"/>
                <w:sz w:val="18"/>
                <w:szCs w:val="18"/>
              </w:rPr>
            </w:pPr>
            <w:r>
              <w:rPr>
                <w:rFonts w:ascii="Arial" w:hAnsi="Arial" w:eastAsia="华文细黑" w:cs="Arial"/>
                <w:sz w:val="18"/>
                <w:szCs w:val="18"/>
              </w:rPr>
              <w:t>Q1</w:t>
            </w:r>
          </w:p>
        </w:tc>
        <w:tc>
          <w:tcPr>
            <w:tcW w:w="832" w:type="pct"/>
            <w:shd w:val="clear" w:color="auto" w:fill="auto"/>
            <w:noWrap/>
            <w:vAlign w:val="center"/>
          </w:tcPr>
          <w:p>
            <w:pPr>
              <w:jc w:val="both"/>
              <w:rPr>
                <w:rFonts w:ascii="Arial" w:hAnsi="Arial" w:eastAsia="华文细黑" w:cs="Arial"/>
                <w:sz w:val="18"/>
                <w:szCs w:val="18"/>
              </w:rPr>
            </w:pPr>
            <w:r>
              <w:rPr>
                <w:rFonts w:ascii="Arial" w:hAnsi="Arial" w:eastAsia="华文细黑" w:cs="Arial"/>
                <w:sz w:val="18"/>
                <w:szCs w:val="18"/>
              </w:rPr>
              <w:t>Q2</w:t>
            </w:r>
          </w:p>
        </w:tc>
        <w:tc>
          <w:tcPr>
            <w:tcW w:w="832" w:type="pct"/>
            <w:shd w:val="clear" w:color="auto" w:fill="auto"/>
            <w:noWrap/>
            <w:vAlign w:val="center"/>
          </w:tcPr>
          <w:p>
            <w:pPr>
              <w:jc w:val="both"/>
              <w:rPr>
                <w:rFonts w:ascii="Arial" w:hAnsi="Arial" w:eastAsia="华文细黑" w:cs="Arial"/>
                <w:sz w:val="18"/>
                <w:szCs w:val="18"/>
              </w:rPr>
            </w:pPr>
            <w:r>
              <w:rPr>
                <w:rFonts w:ascii="Arial" w:hAnsi="Arial" w:eastAsia="华文细黑" w:cs="Arial"/>
                <w:sz w:val="18"/>
                <w:szCs w:val="18"/>
              </w:rPr>
              <w:t>Q3</w:t>
            </w:r>
          </w:p>
        </w:tc>
        <w:tc>
          <w:tcPr>
            <w:tcW w:w="832" w:type="pct"/>
            <w:shd w:val="clear" w:color="auto" w:fill="auto"/>
            <w:noWrap/>
            <w:vAlign w:val="center"/>
          </w:tcPr>
          <w:p>
            <w:pPr>
              <w:jc w:val="both"/>
              <w:rPr>
                <w:rFonts w:ascii="Arial" w:hAnsi="Arial" w:eastAsia="华文细黑" w:cs="Arial"/>
                <w:sz w:val="18"/>
                <w:szCs w:val="18"/>
              </w:rPr>
            </w:pPr>
            <w:r>
              <w:rPr>
                <w:rFonts w:ascii="Arial" w:hAnsi="Arial" w:eastAsia="华文细黑" w:cs="Arial"/>
                <w:sz w:val="18"/>
                <w:szCs w:val="18"/>
              </w:rPr>
              <w:t>Q4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trPr>
        <w:tc>
          <w:tcPr>
            <w:tcW w:w="834" w:type="pct"/>
            <w:vMerge w:val="continue"/>
            <w:vAlign w:val="center"/>
          </w:tcPr>
          <w:p>
            <w:pPr>
              <w:rPr>
                <w:rFonts w:ascii="华文细黑" w:hAnsi="华文细黑" w:eastAsia="华文细黑"/>
                <w:sz w:val="18"/>
                <w:szCs w:val="18"/>
              </w:rPr>
            </w:pPr>
          </w:p>
        </w:tc>
        <w:tc>
          <w:tcPr>
            <w:tcW w:w="834" w:type="pct"/>
            <w:vAlign w:val="center"/>
          </w:tcPr>
          <w:p>
            <w:pPr>
              <w:jc w:val="both"/>
              <w:rPr>
                <w:rFonts w:ascii="Arial" w:hAnsi="Arial" w:eastAsia="华文细黑" w:cs="Arial"/>
                <w:sz w:val="18"/>
                <w:szCs w:val="18"/>
              </w:rPr>
            </w:pPr>
            <w:r>
              <w:rPr>
                <w:rFonts w:ascii="Arial" w:hAnsi="Arial" w:eastAsia="华文细黑" w:cs="Arial"/>
                <w:sz w:val="18"/>
                <w:szCs w:val="18"/>
              </w:rPr>
              <w:t>销售</w:t>
            </w:r>
            <w:r>
              <w:rPr>
                <w:rFonts w:hint="eastAsia" w:ascii="Arial" w:hAnsi="Arial" w:eastAsia="华文细黑" w:cs="Arial"/>
                <w:sz w:val="18"/>
                <w:szCs w:val="18"/>
              </w:rPr>
              <w:t>回款</w:t>
            </w:r>
            <w:r>
              <w:rPr>
                <w:rFonts w:ascii="Arial" w:hAnsi="Arial" w:eastAsia="华文细黑" w:cs="Arial"/>
                <w:sz w:val="18"/>
                <w:szCs w:val="18"/>
              </w:rPr>
              <w:t>（万元）</w:t>
            </w:r>
          </w:p>
        </w:tc>
        <w:tc>
          <w:tcPr>
            <w:tcW w:w="832" w:type="pct"/>
            <w:vAlign w:val="center"/>
          </w:tcPr>
          <w:p>
            <w:pPr>
              <w:jc w:val="both"/>
              <w:rPr>
                <w:rFonts w:ascii="Arial" w:hAnsi="Arial" w:eastAsia="华文细黑" w:cs="Arial"/>
                <w:sz w:val="18"/>
                <w:szCs w:val="18"/>
              </w:rPr>
            </w:pPr>
            <w:r>
              <w:rPr>
                <w:rFonts w:ascii="Arial" w:hAnsi="Arial" w:eastAsia="华文细黑" w:cs="Arial"/>
                <w:sz w:val="18"/>
                <w:szCs w:val="18"/>
              </w:rPr>
              <w:t xml:space="preserve">25,891 </w:t>
            </w:r>
          </w:p>
        </w:tc>
        <w:tc>
          <w:tcPr>
            <w:tcW w:w="832" w:type="pct"/>
            <w:shd w:val="clear" w:color="auto" w:fill="auto"/>
            <w:noWrap/>
            <w:vAlign w:val="center"/>
          </w:tcPr>
          <w:p>
            <w:pPr>
              <w:jc w:val="both"/>
              <w:rPr>
                <w:rFonts w:ascii="Arial" w:hAnsi="Arial" w:eastAsia="华文细黑" w:cs="Arial"/>
                <w:sz w:val="18"/>
                <w:szCs w:val="18"/>
              </w:rPr>
            </w:pPr>
            <w:r>
              <w:rPr>
                <w:rFonts w:ascii="Arial" w:hAnsi="Arial" w:eastAsia="华文细黑" w:cs="Arial"/>
                <w:sz w:val="18"/>
                <w:szCs w:val="18"/>
              </w:rPr>
              <w:t xml:space="preserve">2,864 </w:t>
            </w:r>
          </w:p>
        </w:tc>
        <w:tc>
          <w:tcPr>
            <w:tcW w:w="832" w:type="pct"/>
            <w:shd w:val="clear" w:color="auto" w:fill="auto"/>
            <w:noWrap/>
            <w:vAlign w:val="center"/>
          </w:tcPr>
          <w:p>
            <w:pPr>
              <w:jc w:val="both"/>
              <w:rPr>
                <w:rFonts w:ascii="Arial" w:hAnsi="Arial" w:eastAsia="华文细黑" w:cs="Arial"/>
                <w:sz w:val="18"/>
                <w:szCs w:val="18"/>
              </w:rPr>
            </w:pPr>
            <w:r>
              <w:rPr>
                <w:rFonts w:ascii="Arial" w:hAnsi="Arial" w:eastAsia="华文细黑" w:cs="Arial"/>
                <w:sz w:val="18"/>
                <w:szCs w:val="18"/>
              </w:rPr>
              <w:t xml:space="preserve">2,864 </w:t>
            </w:r>
          </w:p>
        </w:tc>
        <w:tc>
          <w:tcPr>
            <w:tcW w:w="832" w:type="pct"/>
            <w:shd w:val="clear" w:color="auto" w:fill="auto"/>
            <w:noWrap/>
            <w:vAlign w:val="center"/>
          </w:tcPr>
          <w:p>
            <w:pPr>
              <w:jc w:val="both"/>
              <w:rPr>
                <w:rFonts w:ascii="Arial" w:hAnsi="Arial" w:eastAsia="华文细黑" w:cs="Arial"/>
                <w:sz w:val="18"/>
                <w:szCs w:val="18"/>
              </w:rPr>
            </w:pPr>
            <w:r>
              <w:rPr>
                <w:rFonts w:ascii="Arial" w:hAnsi="Arial" w:eastAsia="华文细黑" w:cs="Arial"/>
                <w:sz w:val="18"/>
                <w:szCs w:val="18"/>
              </w:rPr>
              <w:t xml:space="preserve">25,891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trPr>
        <w:tc>
          <w:tcPr>
            <w:tcW w:w="834" w:type="pct"/>
            <w:vMerge w:val="restart"/>
            <w:vAlign w:val="center"/>
          </w:tcPr>
          <w:p>
            <w:pPr>
              <w:rPr>
                <w:rFonts w:ascii="华文细黑" w:hAnsi="华文细黑" w:eastAsia="华文细黑"/>
                <w:sz w:val="18"/>
                <w:szCs w:val="18"/>
              </w:rPr>
            </w:pPr>
            <w:r>
              <w:rPr>
                <w:rFonts w:hint="eastAsia" w:ascii="Arial" w:hAnsi="Arial" w:eastAsia="华文细黑"/>
                <w:sz w:val="18"/>
                <w:szCs w:val="18"/>
              </w:rPr>
              <w:t>2</w:t>
            </w:r>
            <w:r>
              <w:rPr>
                <w:rFonts w:ascii="Arial" w:hAnsi="Arial" w:eastAsia="华文细黑"/>
                <w:sz w:val="18"/>
                <w:szCs w:val="18"/>
              </w:rPr>
              <w:t>02</w:t>
            </w:r>
            <w:r>
              <w:rPr>
                <w:rFonts w:hint="eastAsia" w:ascii="Arial" w:hAnsi="Arial" w:eastAsia="华文细黑"/>
                <w:sz w:val="18"/>
                <w:szCs w:val="18"/>
              </w:rPr>
              <w:t>5</w:t>
            </w:r>
            <w:r>
              <w:rPr>
                <w:rFonts w:ascii="华文细黑" w:hAnsi="华文细黑" w:eastAsia="华文细黑"/>
                <w:sz w:val="18"/>
                <w:szCs w:val="18"/>
              </w:rPr>
              <w:t>年</w:t>
            </w:r>
          </w:p>
        </w:tc>
        <w:tc>
          <w:tcPr>
            <w:tcW w:w="834" w:type="pct"/>
            <w:vAlign w:val="center"/>
          </w:tcPr>
          <w:p>
            <w:pPr>
              <w:jc w:val="both"/>
              <w:rPr>
                <w:rFonts w:ascii="Arial" w:hAnsi="Arial" w:eastAsia="华文细黑" w:cs="Arial"/>
                <w:sz w:val="18"/>
                <w:szCs w:val="18"/>
              </w:rPr>
            </w:pPr>
            <w:r>
              <w:rPr>
                <w:rFonts w:ascii="Arial" w:hAnsi="Arial" w:eastAsia="华文细黑" w:cs="Arial"/>
                <w:sz w:val="18"/>
                <w:szCs w:val="18"/>
              </w:rPr>
              <w:t>季度</w:t>
            </w:r>
          </w:p>
        </w:tc>
        <w:tc>
          <w:tcPr>
            <w:tcW w:w="832" w:type="pct"/>
            <w:vAlign w:val="center"/>
          </w:tcPr>
          <w:p>
            <w:pPr>
              <w:jc w:val="both"/>
              <w:rPr>
                <w:rFonts w:ascii="Arial" w:hAnsi="Arial" w:eastAsia="华文细黑" w:cs="Arial"/>
                <w:sz w:val="18"/>
                <w:szCs w:val="18"/>
              </w:rPr>
            </w:pPr>
            <w:r>
              <w:rPr>
                <w:rFonts w:ascii="Arial" w:hAnsi="Arial" w:eastAsia="华文细黑" w:cs="Arial"/>
                <w:sz w:val="18"/>
                <w:szCs w:val="18"/>
              </w:rPr>
              <w:t>Q1</w:t>
            </w:r>
          </w:p>
        </w:tc>
        <w:tc>
          <w:tcPr>
            <w:tcW w:w="832" w:type="pct"/>
            <w:shd w:val="clear" w:color="auto" w:fill="auto"/>
            <w:noWrap/>
            <w:vAlign w:val="center"/>
          </w:tcPr>
          <w:p>
            <w:pPr>
              <w:jc w:val="both"/>
              <w:rPr>
                <w:rFonts w:ascii="Arial" w:hAnsi="Arial" w:eastAsia="华文细黑" w:cs="Arial"/>
                <w:sz w:val="18"/>
                <w:szCs w:val="18"/>
              </w:rPr>
            </w:pPr>
            <w:r>
              <w:rPr>
                <w:rFonts w:ascii="Arial" w:hAnsi="Arial" w:eastAsia="华文细黑" w:cs="Arial"/>
                <w:sz w:val="18"/>
                <w:szCs w:val="18"/>
              </w:rPr>
              <w:t>Q2</w:t>
            </w:r>
          </w:p>
        </w:tc>
        <w:tc>
          <w:tcPr>
            <w:tcW w:w="832" w:type="pct"/>
            <w:shd w:val="clear" w:color="auto" w:fill="auto"/>
            <w:noWrap/>
            <w:vAlign w:val="center"/>
          </w:tcPr>
          <w:p>
            <w:pPr>
              <w:jc w:val="both"/>
              <w:rPr>
                <w:rFonts w:ascii="Arial" w:hAnsi="Arial" w:eastAsia="华文细黑" w:cs="Arial"/>
                <w:sz w:val="18"/>
                <w:szCs w:val="18"/>
              </w:rPr>
            </w:pPr>
            <w:r>
              <w:rPr>
                <w:rFonts w:ascii="Arial" w:hAnsi="Arial" w:eastAsia="华文细黑" w:cs="Arial"/>
                <w:sz w:val="18"/>
                <w:szCs w:val="18"/>
              </w:rPr>
              <w:t>Q3</w:t>
            </w:r>
          </w:p>
        </w:tc>
        <w:tc>
          <w:tcPr>
            <w:tcW w:w="832" w:type="pct"/>
            <w:shd w:val="clear" w:color="auto" w:fill="auto"/>
            <w:noWrap/>
            <w:vAlign w:val="center"/>
          </w:tcPr>
          <w:p>
            <w:pPr>
              <w:jc w:val="both"/>
              <w:rPr>
                <w:rFonts w:ascii="Arial" w:hAnsi="Arial" w:eastAsia="华文细黑" w:cs="Arial"/>
                <w:sz w:val="18"/>
                <w:szCs w:val="18"/>
              </w:rPr>
            </w:pPr>
            <w:r>
              <w:rPr>
                <w:rFonts w:ascii="Arial" w:hAnsi="Arial" w:eastAsia="华文细黑" w:cs="Arial"/>
                <w:sz w:val="18"/>
                <w:szCs w:val="18"/>
              </w:rPr>
              <w:t>Q4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trPr>
        <w:tc>
          <w:tcPr>
            <w:tcW w:w="834" w:type="pct"/>
            <w:vMerge w:val="continue"/>
            <w:vAlign w:val="center"/>
          </w:tcPr>
          <w:p>
            <w:pPr>
              <w:rPr>
                <w:rFonts w:ascii="华文细黑" w:hAnsi="华文细黑" w:eastAsia="华文细黑"/>
                <w:sz w:val="18"/>
                <w:szCs w:val="18"/>
              </w:rPr>
            </w:pPr>
          </w:p>
        </w:tc>
        <w:tc>
          <w:tcPr>
            <w:tcW w:w="834" w:type="pct"/>
            <w:vAlign w:val="center"/>
          </w:tcPr>
          <w:p>
            <w:pPr>
              <w:jc w:val="both"/>
              <w:rPr>
                <w:rFonts w:ascii="Arial" w:hAnsi="Arial" w:eastAsia="华文细黑" w:cs="Arial"/>
                <w:sz w:val="18"/>
                <w:szCs w:val="18"/>
              </w:rPr>
            </w:pPr>
            <w:r>
              <w:rPr>
                <w:rFonts w:ascii="Arial" w:hAnsi="Arial" w:eastAsia="华文细黑" w:cs="Arial"/>
                <w:sz w:val="18"/>
                <w:szCs w:val="18"/>
              </w:rPr>
              <w:t>销售</w:t>
            </w:r>
            <w:r>
              <w:rPr>
                <w:rFonts w:hint="eastAsia" w:ascii="Arial" w:hAnsi="Arial" w:eastAsia="华文细黑" w:cs="Arial"/>
                <w:sz w:val="18"/>
                <w:szCs w:val="18"/>
              </w:rPr>
              <w:t>回款</w:t>
            </w:r>
            <w:r>
              <w:rPr>
                <w:rFonts w:ascii="Arial" w:hAnsi="Arial" w:eastAsia="华文细黑" w:cs="Arial"/>
                <w:sz w:val="18"/>
                <w:szCs w:val="18"/>
              </w:rPr>
              <w:t>（万元）</w:t>
            </w:r>
          </w:p>
        </w:tc>
        <w:tc>
          <w:tcPr>
            <w:tcW w:w="832" w:type="pct"/>
            <w:vAlign w:val="center"/>
          </w:tcPr>
          <w:p>
            <w:pPr>
              <w:jc w:val="both"/>
              <w:rPr>
                <w:rFonts w:ascii="Arial" w:hAnsi="Arial" w:eastAsia="华文细黑" w:cs="Arial"/>
                <w:sz w:val="18"/>
                <w:szCs w:val="18"/>
              </w:rPr>
            </w:pPr>
            <w:r>
              <w:rPr>
                <w:rFonts w:ascii="Arial" w:hAnsi="Arial" w:eastAsia="华文细黑" w:cs="Arial"/>
                <w:sz w:val="18"/>
                <w:szCs w:val="18"/>
              </w:rPr>
              <w:t xml:space="preserve">2,488 </w:t>
            </w:r>
          </w:p>
        </w:tc>
        <w:tc>
          <w:tcPr>
            <w:tcW w:w="832" w:type="pct"/>
            <w:shd w:val="clear" w:color="auto" w:fill="auto"/>
            <w:noWrap/>
            <w:vAlign w:val="center"/>
          </w:tcPr>
          <w:p>
            <w:pPr>
              <w:jc w:val="both"/>
              <w:rPr>
                <w:rFonts w:ascii="Arial" w:hAnsi="Arial" w:eastAsia="华文细黑" w:cs="Arial"/>
                <w:sz w:val="18"/>
                <w:szCs w:val="18"/>
              </w:rPr>
            </w:pPr>
            <w:r>
              <w:rPr>
                <w:rFonts w:ascii="Arial" w:hAnsi="Arial" w:eastAsia="华文细黑" w:cs="Arial"/>
                <w:sz w:val="18"/>
                <w:szCs w:val="18"/>
              </w:rPr>
              <w:t xml:space="preserve">2,059 </w:t>
            </w:r>
          </w:p>
        </w:tc>
        <w:tc>
          <w:tcPr>
            <w:tcW w:w="832" w:type="pct"/>
            <w:shd w:val="clear" w:color="auto" w:fill="auto"/>
            <w:noWrap/>
            <w:vAlign w:val="center"/>
          </w:tcPr>
          <w:p>
            <w:pPr>
              <w:jc w:val="both"/>
              <w:rPr>
                <w:rFonts w:ascii="Arial" w:hAnsi="Arial" w:eastAsia="华文细黑" w:cs="Arial"/>
                <w:sz w:val="18"/>
                <w:szCs w:val="18"/>
              </w:rPr>
            </w:pPr>
            <w:r>
              <w:rPr>
                <w:rFonts w:ascii="Arial" w:hAnsi="Arial" w:eastAsia="华文细黑" w:cs="Arial"/>
                <w:sz w:val="18"/>
                <w:szCs w:val="18"/>
              </w:rPr>
              <w:t xml:space="preserve">1,745 </w:t>
            </w:r>
          </w:p>
        </w:tc>
        <w:tc>
          <w:tcPr>
            <w:tcW w:w="832" w:type="pct"/>
            <w:shd w:val="clear" w:color="auto" w:fill="auto"/>
            <w:noWrap/>
            <w:vAlign w:val="center"/>
          </w:tcPr>
          <w:p>
            <w:pPr>
              <w:jc w:val="both"/>
              <w:rPr>
                <w:rFonts w:ascii="Arial" w:hAnsi="Arial" w:eastAsia="华文细黑" w:cs="Arial"/>
                <w:sz w:val="18"/>
                <w:szCs w:val="18"/>
              </w:rPr>
            </w:pPr>
            <w:r>
              <w:rPr>
                <w:rFonts w:ascii="Arial" w:hAnsi="Arial" w:eastAsia="华文细黑" w:cs="Arial"/>
                <w:sz w:val="18"/>
                <w:szCs w:val="18"/>
              </w:rPr>
              <w:t xml:space="preserve">7,281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trPr>
        <w:tc>
          <w:tcPr>
            <w:tcW w:w="834" w:type="pct"/>
            <w:vMerge w:val="restart"/>
            <w:vAlign w:val="center"/>
          </w:tcPr>
          <w:p>
            <w:pPr>
              <w:rPr>
                <w:rFonts w:ascii="华文细黑" w:hAnsi="华文细黑" w:eastAsia="华文细黑"/>
                <w:sz w:val="18"/>
                <w:szCs w:val="18"/>
              </w:rPr>
            </w:pPr>
            <w:r>
              <w:rPr>
                <w:rFonts w:hint="eastAsia" w:ascii="华文细黑" w:hAnsi="华文细黑" w:eastAsia="华文细黑"/>
                <w:sz w:val="18"/>
                <w:szCs w:val="18"/>
              </w:rPr>
              <w:t>2026年</w:t>
            </w:r>
          </w:p>
        </w:tc>
        <w:tc>
          <w:tcPr>
            <w:tcW w:w="834" w:type="pct"/>
            <w:vAlign w:val="center"/>
          </w:tcPr>
          <w:p>
            <w:pPr>
              <w:jc w:val="both"/>
              <w:rPr>
                <w:rFonts w:ascii="Arial" w:hAnsi="Arial" w:eastAsia="华文细黑" w:cs="Arial"/>
                <w:sz w:val="18"/>
                <w:szCs w:val="18"/>
              </w:rPr>
            </w:pPr>
            <w:r>
              <w:rPr>
                <w:rFonts w:ascii="Arial" w:hAnsi="Arial" w:eastAsia="华文细黑" w:cs="Arial"/>
                <w:sz w:val="18"/>
                <w:szCs w:val="18"/>
              </w:rPr>
              <w:t>季度</w:t>
            </w:r>
          </w:p>
        </w:tc>
        <w:tc>
          <w:tcPr>
            <w:tcW w:w="832" w:type="pct"/>
            <w:vAlign w:val="center"/>
          </w:tcPr>
          <w:p>
            <w:pPr>
              <w:jc w:val="both"/>
              <w:rPr>
                <w:rFonts w:ascii="Arial" w:hAnsi="Arial" w:eastAsia="华文细黑" w:cs="Arial"/>
                <w:sz w:val="18"/>
                <w:szCs w:val="18"/>
              </w:rPr>
            </w:pPr>
            <w:r>
              <w:rPr>
                <w:rFonts w:ascii="Arial" w:hAnsi="Arial" w:eastAsia="华文细黑" w:cs="Arial"/>
                <w:sz w:val="18"/>
                <w:szCs w:val="18"/>
              </w:rPr>
              <w:t>Q1</w:t>
            </w:r>
          </w:p>
        </w:tc>
        <w:tc>
          <w:tcPr>
            <w:tcW w:w="832" w:type="pct"/>
            <w:shd w:val="clear" w:color="auto" w:fill="auto"/>
            <w:noWrap/>
            <w:vAlign w:val="center"/>
          </w:tcPr>
          <w:p>
            <w:pPr>
              <w:jc w:val="both"/>
              <w:rPr>
                <w:rFonts w:ascii="Arial" w:hAnsi="Arial" w:eastAsia="华文细黑" w:cs="Arial"/>
                <w:sz w:val="18"/>
                <w:szCs w:val="18"/>
              </w:rPr>
            </w:pPr>
            <w:r>
              <w:rPr>
                <w:rFonts w:ascii="Arial" w:hAnsi="Arial" w:eastAsia="华文细黑" w:cs="Arial"/>
                <w:sz w:val="18"/>
                <w:szCs w:val="18"/>
              </w:rPr>
              <w:t>Q2</w:t>
            </w:r>
          </w:p>
        </w:tc>
        <w:tc>
          <w:tcPr>
            <w:tcW w:w="832" w:type="pct"/>
            <w:shd w:val="clear" w:color="auto" w:fill="auto"/>
            <w:noWrap/>
            <w:vAlign w:val="center"/>
          </w:tcPr>
          <w:p>
            <w:pPr>
              <w:jc w:val="both"/>
              <w:rPr>
                <w:rFonts w:ascii="Arial" w:hAnsi="Arial" w:eastAsia="华文细黑" w:cs="Arial"/>
                <w:sz w:val="18"/>
                <w:szCs w:val="18"/>
              </w:rPr>
            </w:pPr>
            <w:r>
              <w:rPr>
                <w:rFonts w:ascii="Arial" w:hAnsi="Arial" w:eastAsia="华文细黑" w:cs="Arial"/>
                <w:sz w:val="18"/>
                <w:szCs w:val="18"/>
              </w:rPr>
              <w:t>Q3</w:t>
            </w:r>
          </w:p>
        </w:tc>
        <w:tc>
          <w:tcPr>
            <w:tcW w:w="832" w:type="pct"/>
            <w:shd w:val="clear" w:color="auto" w:fill="auto"/>
            <w:noWrap/>
            <w:vAlign w:val="center"/>
          </w:tcPr>
          <w:p>
            <w:pPr>
              <w:jc w:val="both"/>
              <w:rPr>
                <w:rFonts w:ascii="Arial" w:hAnsi="Arial" w:eastAsia="华文细黑" w:cs="Arial"/>
                <w:sz w:val="18"/>
                <w:szCs w:val="18"/>
              </w:rPr>
            </w:pPr>
            <w:r>
              <w:rPr>
                <w:rFonts w:ascii="Arial" w:hAnsi="Arial" w:eastAsia="华文细黑" w:cs="Arial"/>
                <w:sz w:val="18"/>
                <w:szCs w:val="18"/>
              </w:rPr>
              <w:t>Q4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trPr>
        <w:tc>
          <w:tcPr>
            <w:tcW w:w="834" w:type="pct"/>
            <w:vMerge w:val="continue"/>
            <w:vAlign w:val="center"/>
          </w:tcPr>
          <w:p>
            <w:pPr>
              <w:rPr>
                <w:rFonts w:ascii="华文细黑" w:hAnsi="华文细黑" w:eastAsia="华文细黑"/>
                <w:sz w:val="18"/>
                <w:szCs w:val="18"/>
              </w:rPr>
            </w:pPr>
          </w:p>
        </w:tc>
        <w:tc>
          <w:tcPr>
            <w:tcW w:w="834" w:type="pct"/>
            <w:vAlign w:val="center"/>
          </w:tcPr>
          <w:p>
            <w:pPr>
              <w:jc w:val="both"/>
              <w:rPr>
                <w:rFonts w:ascii="Arial" w:hAnsi="Arial" w:eastAsia="华文细黑" w:cs="Arial"/>
                <w:sz w:val="18"/>
                <w:szCs w:val="18"/>
              </w:rPr>
            </w:pPr>
            <w:r>
              <w:rPr>
                <w:rFonts w:ascii="Arial" w:hAnsi="Arial" w:eastAsia="华文细黑" w:cs="Arial"/>
                <w:sz w:val="18"/>
                <w:szCs w:val="18"/>
              </w:rPr>
              <w:t>销售</w:t>
            </w:r>
            <w:r>
              <w:rPr>
                <w:rFonts w:hint="eastAsia" w:ascii="Arial" w:hAnsi="Arial" w:eastAsia="华文细黑" w:cs="Arial"/>
                <w:sz w:val="18"/>
                <w:szCs w:val="18"/>
              </w:rPr>
              <w:t>回款</w:t>
            </w:r>
            <w:r>
              <w:rPr>
                <w:rFonts w:ascii="Arial" w:hAnsi="Arial" w:eastAsia="华文细黑" w:cs="Arial"/>
                <w:sz w:val="18"/>
                <w:szCs w:val="18"/>
              </w:rPr>
              <w:t>（万元）</w:t>
            </w:r>
          </w:p>
        </w:tc>
        <w:tc>
          <w:tcPr>
            <w:tcW w:w="832" w:type="pct"/>
            <w:vAlign w:val="center"/>
          </w:tcPr>
          <w:p>
            <w:pPr>
              <w:jc w:val="both"/>
              <w:rPr>
                <w:rFonts w:ascii="Arial" w:hAnsi="Arial" w:eastAsia="华文细黑" w:cs="Arial"/>
                <w:sz w:val="18"/>
                <w:szCs w:val="18"/>
              </w:rPr>
            </w:pPr>
            <w:r>
              <w:rPr>
                <w:rFonts w:hint="eastAsia" w:ascii="Arial" w:hAnsi="Arial" w:eastAsia="华文细黑" w:cs="Arial"/>
                <w:sz w:val="18"/>
                <w:szCs w:val="18"/>
              </w:rPr>
              <w:t>——</w:t>
            </w:r>
          </w:p>
        </w:tc>
        <w:tc>
          <w:tcPr>
            <w:tcW w:w="832" w:type="pct"/>
            <w:shd w:val="clear" w:color="auto" w:fill="auto"/>
            <w:noWrap/>
            <w:vAlign w:val="center"/>
          </w:tcPr>
          <w:p>
            <w:pPr>
              <w:jc w:val="both"/>
              <w:rPr>
                <w:rFonts w:ascii="Arial" w:hAnsi="Arial" w:eastAsia="华文细黑" w:cs="Arial"/>
                <w:sz w:val="18"/>
                <w:szCs w:val="18"/>
              </w:rPr>
            </w:pPr>
            <w:r>
              <w:rPr>
                <w:rFonts w:hint="eastAsia" w:ascii="Arial" w:hAnsi="Arial" w:eastAsia="华文细黑" w:cs="Arial"/>
                <w:sz w:val="18"/>
                <w:szCs w:val="18"/>
              </w:rPr>
              <w:t>——</w:t>
            </w:r>
          </w:p>
        </w:tc>
        <w:tc>
          <w:tcPr>
            <w:tcW w:w="832" w:type="pct"/>
            <w:shd w:val="clear" w:color="auto" w:fill="auto"/>
            <w:noWrap/>
            <w:vAlign w:val="center"/>
          </w:tcPr>
          <w:p>
            <w:pPr>
              <w:jc w:val="both"/>
              <w:rPr>
                <w:rFonts w:ascii="Arial" w:hAnsi="Arial" w:eastAsia="华文细黑" w:cs="Arial"/>
                <w:sz w:val="18"/>
                <w:szCs w:val="18"/>
              </w:rPr>
            </w:pPr>
            <w:r>
              <w:rPr>
                <w:rFonts w:hint="eastAsia" w:ascii="Arial" w:hAnsi="Arial" w:eastAsia="华文细黑" w:cs="Arial"/>
                <w:sz w:val="18"/>
                <w:szCs w:val="18"/>
              </w:rPr>
              <w:t>——</w:t>
            </w:r>
          </w:p>
        </w:tc>
        <w:tc>
          <w:tcPr>
            <w:tcW w:w="832" w:type="pct"/>
            <w:shd w:val="clear" w:color="auto" w:fill="auto"/>
            <w:noWrap/>
            <w:vAlign w:val="center"/>
          </w:tcPr>
          <w:p>
            <w:pPr>
              <w:jc w:val="both"/>
              <w:rPr>
                <w:rFonts w:ascii="Arial" w:hAnsi="Arial" w:eastAsia="华文细黑" w:cs="Arial"/>
                <w:sz w:val="18"/>
                <w:szCs w:val="18"/>
              </w:rPr>
            </w:pPr>
            <w:r>
              <w:rPr>
                <w:rFonts w:hint="eastAsia" w:ascii="Arial" w:hAnsi="Arial" w:eastAsia="华文细黑"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trPr>
        <w:tc>
          <w:tcPr>
            <w:tcW w:w="834" w:type="pct"/>
            <w:vMerge w:val="restart"/>
            <w:vAlign w:val="center"/>
          </w:tcPr>
          <w:p>
            <w:pPr>
              <w:rPr>
                <w:rFonts w:ascii="华文细黑" w:hAnsi="华文细黑" w:eastAsia="华文细黑"/>
                <w:sz w:val="18"/>
                <w:szCs w:val="18"/>
              </w:rPr>
            </w:pPr>
            <w:r>
              <w:rPr>
                <w:rFonts w:hint="eastAsia" w:ascii="华文细黑" w:hAnsi="华文细黑" w:eastAsia="华文细黑"/>
                <w:sz w:val="18"/>
                <w:szCs w:val="18"/>
              </w:rPr>
              <w:t>2027年</w:t>
            </w:r>
          </w:p>
        </w:tc>
        <w:tc>
          <w:tcPr>
            <w:tcW w:w="834" w:type="pct"/>
            <w:vAlign w:val="center"/>
          </w:tcPr>
          <w:p>
            <w:pPr>
              <w:jc w:val="both"/>
              <w:rPr>
                <w:rFonts w:ascii="Arial" w:hAnsi="Arial" w:eastAsia="华文细黑" w:cs="Arial"/>
                <w:sz w:val="18"/>
                <w:szCs w:val="18"/>
              </w:rPr>
            </w:pPr>
            <w:r>
              <w:rPr>
                <w:rFonts w:ascii="Arial" w:hAnsi="Arial" w:eastAsia="华文细黑" w:cs="Arial"/>
                <w:sz w:val="18"/>
                <w:szCs w:val="18"/>
              </w:rPr>
              <w:t>季度</w:t>
            </w:r>
          </w:p>
        </w:tc>
        <w:tc>
          <w:tcPr>
            <w:tcW w:w="832" w:type="pct"/>
            <w:vAlign w:val="center"/>
          </w:tcPr>
          <w:p>
            <w:pPr>
              <w:jc w:val="both"/>
              <w:rPr>
                <w:rFonts w:ascii="Arial" w:hAnsi="Arial" w:eastAsia="华文细黑" w:cs="Arial"/>
                <w:sz w:val="18"/>
                <w:szCs w:val="18"/>
              </w:rPr>
            </w:pPr>
            <w:r>
              <w:rPr>
                <w:rFonts w:ascii="Arial" w:hAnsi="Arial" w:eastAsia="华文细黑" w:cs="Arial"/>
                <w:sz w:val="18"/>
                <w:szCs w:val="18"/>
              </w:rPr>
              <w:t>Q1</w:t>
            </w:r>
          </w:p>
        </w:tc>
        <w:tc>
          <w:tcPr>
            <w:tcW w:w="832" w:type="pct"/>
            <w:shd w:val="clear" w:color="auto" w:fill="auto"/>
            <w:noWrap/>
            <w:vAlign w:val="center"/>
          </w:tcPr>
          <w:p>
            <w:pPr>
              <w:jc w:val="both"/>
              <w:rPr>
                <w:rFonts w:ascii="Arial" w:hAnsi="Arial" w:eastAsia="华文细黑" w:cs="Arial"/>
                <w:sz w:val="18"/>
                <w:szCs w:val="18"/>
              </w:rPr>
            </w:pPr>
            <w:r>
              <w:rPr>
                <w:rFonts w:ascii="Arial" w:hAnsi="Arial" w:eastAsia="华文细黑" w:cs="Arial"/>
                <w:sz w:val="18"/>
                <w:szCs w:val="18"/>
              </w:rPr>
              <w:t>Q2</w:t>
            </w:r>
          </w:p>
        </w:tc>
        <w:tc>
          <w:tcPr>
            <w:tcW w:w="832" w:type="pct"/>
            <w:shd w:val="clear" w:color="auto" w:fill="auto"/>
            <w:noWrap/>
            <w:vAlign w:val="center"/>
          </w:tcPr>
          <w:p>
            <w:pPr>
              <w:jc w:val="both"/>
              <w:rPr>
                <w:rFonts w:ascii="Arial" w:hAnsi="Arial" w:eastAsia="华文细黑" w:cs="Arial"/>
                <w:sz w:val="18"/>
                <w:szCs w:val="18"/>
              </w:rPr>
            </w:pPr>
            <w:r>
              <w:rPr>
                <w:rFonts w:ascii="Arial" w:hAnsi="Arial" w:eastAsia="华文细黑" w:cs="Arial"/>
                <w:sz w:val="18"/>
                <w:szCs w:val="18"/>
              </w:rPr>
              <w:t>Q3</w:t>
            </w:r>
          </w:p>
        </w:tc>
        <w:tc>
          <w:tcPr>
            <w:tcW w:w="832" w:type="pct"/>
            <w:shd w:val="clear" w:color="auto" w:fill="auto"/>
            <w:noWrap/>
            <w:vAlign w:val="center"/>
          </w:tcPr>
          <w:p>
            <w:pPr>
              <w:jc w:val="both"/>
              <w:rPr>
                <w:rFonts w:ascii="Arial" w:hAnsi="Arial" w:eastAsia="华文细黑" w:cs="Arial"/>
                <w:sz w:val="18"/>
                <w:szCs w:val="18"/>
              </w:rPr>
            </w:pPr>
            <w:r>
              <w:rPr>
                <w:rFonts w:ascii="Arial" w:hAnsi="Arial" w:eastAsia="华文细黑" w:cs="Arial"/>
                <w:sz w:val="18"/>
                <w:szCs w:val="18"/>
              </w:rPr>
              <w:t>Q4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trPr>
        <w:tc>
          <w:tcPr>
            <w:tcW w:w="834" w:type="pct"/>
            <w:vMerge w:val="continue"/>
            <w:vAlign w:val="center"/>
          </w:tcPr>
          <w:p>
            <w:pPr>
              <w:rPr>
                <w:rFonts w:ascii="华文细黑" w:hAnsi="华文细黑" w:eastAsia="华文细黑"/>
                <w:sz w:val="18"/>
                <w:szCs w:val="18"/>
              </w:rPr>
            </w:pPr>
          </w:p>
        </w:tc>
        <w:tc>
          <w:tcPr>
            <w:tcW w:w="834" w:type="pct"/>
            <w:vAlign w:val="center"/>
          </w:tcPr>
          <w:p>
            <w:pPr>
              <w:jc w:val="both"/>
              <w:rPr>
                <w:rFonts w:ascii="Arial" w:hAnsi="Arial" w:eastAsia="华文细黑" w:cs="Arial"/>
                <w:sz w:val="18"/>
                <w:szCs w:val="18"/>
              </w:rPr>
            </w:pPr>
            <w:r>
              <w:rPr>
                <w:rFonts w:ascii="Arial" w:hAnsi="Arial" w:eastAsia="华文细黑" w:cs="Arial"/>
                <w:sz w:val="18"/>
                <w:szCs w:val="18"/>
              </w:rPr>
              <w:t>销售</w:t>
            </w:r>
            <w:r>
              <w:rPr>
                <w:rFonts w:hint="eastAsia" w:ascii="Arial" w:hAnsi="Arial" w:eastAsia="华文细黑" w:cs="Arial"/>
                <w:sz w:val="18"/>
                <w:szCs w:val="18"/>
              </w:rPr>
              <w:t>回款</w:t>
            </w:r>
            <w:r>
              <w:rPr>
                <w:rFonts w:ascii="Arial" w:hAnsi="Arial" w:eastAsia="华文细黑" w:cs="Arial"/>
                <w:sz w:val="18"/>
                <w:szCs w:val="18"/>
              </w:rPr>
              <w:t>（万元）</w:t>
            </w:r>
          </w:p>
        </w:tc>
        <w:tc>
          <w:tcPr>
            <w:tcW w:w="832" w:type="pct"/>
            <w:vAlign w:val="center"/>
          </w:tcPr>
          <w:p>
            <w:pPr>
              <w:jc w:val="both"/>
              <w:rPr>
                <w:rFonts w:ascii="Arial" w:hAnsi="Arial" w:eastAsia="华文细黑" w:cs="Arial"/>
                <w:sz w:val="18"/>
                <w:szCs w:val="18"/>
              </w:rPr>
            </w:pPr>
            <w:r>
              <w:rPr>
                <w:rFonts w:hint="eastAsia" w:ascii="Arial" w:hAnsi="Arial" w:eastAsia="华文细黑" w:cs="Arial"/>
                <w:sz w:val="18"/>
                <w:szCs w:val="18"/>
              </w:rPr>
              <w:t>——</w:t>
            </w:r>
          </w:p>
        </w:tc>
        <w:tc>
          <w:tcPr>
            <w:tcW w:w="832" w:type="pct"/>
            <w:shd w:val="clear" w:color="auto" w:fill="auto"/>
            <w:noWrap/>
            <w:vAlign w:val="center"/>
          </w:tcPr>
          <w:p>
            <w:pPr>
              <w:jc w:val="both"/>
              <w:rPr>
                <w:rFonts w:ascii="Arial" w:hAnsi="Arial" w:eastAsia="华文细黑" w:cs="Arial"/>
                <w:sz w:val="18"/>
                <w:szCs w:val="18"/>
              </w:rPr>
            </w:pPr>
            <w:r>
              <w:rPr>
                <w:rFonts w:hint="eastAsia" w:ascii="Arial" w:hAnsi="Arial" w:eastAsia="华文细黑" w:cs="Arial"/>
                <w:sz w:val="18"/>
                <w:szCs w:val="18"/>
              </w:rPr>
              <w:t>——</w:t>
            </w:r>
          </w:p>
        </w:tc>
        <w:tc>
          <w:tcPr>
            <w:tcW w:w="832" w:type="pct"/>
            <w:shd w:val="clear" w:color="auto" w:fill="auto"/>
            <w:noWrap/>
            <w:vAlign w:val="center"/>
          </w:tcPr>
          <w:p>
            <w:pPr>
              <w:jc w:val="both"/>
              <w:rPr>
                <w:rFonts w:ascii="Arial" w:hAnsi="Arial" w:eastAsia="华文细黑" w:cs="Arial"/>
                <w:sz w:val="18"/>
                <w:szCs w:val="18"/>
              </w:rPr>
            </w:pPr>
            <w:r>
              <w:rPr>
                <w:rFonts w:hint="eastAsia" w:ascii="Arial" w:hAnsi="Arial" w:eastAsia="华文细黑" w:cs="Arial"/>
                <w:sz w:val="18"/>
                <w:szCs w:val="18"/>
              </w:rPr>
              <w:t>——</w:t>
            </w:r>
          </w:p>
        </w:tc>
        <w:tc>
          <w:tcPr>
            <w:tcW w:w="832" w:type="pct"/>
            <w:shd w:val="clear" w:color="auto" w:fill="auto"/>
            <w:noWrap/>
            <w:vAlign w:val="center"/>
          </w:tcPr>
          <w:p>
            <w:pPr>
              <w:jc w:val="both"/>
              <w:rPr>
                <w:rFonts w:ascii="Arial" w:hAnsi="Arial" w:eastAsia="华文细黑" w:cs="Arial"/>
                <w:sz w:val="18"/>
                <w:szCs w:val="18"/>
              </w:rPr>
            </w:pPr>
            <w:r>
              <w:rPr>
                <w:rFonts w:ascii="Arial" w:hAnsi="Arial" w:eastAsia="华文细黑" w:cs="Arial"/>
                <w:sz w:val="18"/>
                <w:szCs w:val="18"/>
              </w:rPr>
              <w:t xml:space="preserve">1,917 </w:t>
            </w:r>
          </w:p>
        </w:tc>
      </w:tr>
    </w:tbl>
    <w:p>
      <w:pPr>
        <w:pStyle w:val="5"/>
        <w:spacing w:before="100" w:beforeAutospacing="1" w:after="0" w:line="480" w:lineRule="auto"/>
        <w:ind w:firstLine="207" w:firstLineChars="98"/>
        <w:rPr>
          <w:rFonts w:eastAsia="宋体" w:cs="Arial"/>
          <w:sz w:val="21"/>
          <w:szCs w:val="21"/>
        </w:rPr>
      </w:pPr>
      <w:r>
        <w:rPr>
          <w:rFonts w:eastAsia="宋体" w:cs="Arial"/>
          <w:sz w:val="21"/>
          <w:szCs w:val="21"/>
        </w:rPr>
        <w:t>（二）开发成本</w:t>
      </w:r>
      <w:bookmarkEnd w:id="196"/>
      <w:bookmarkEnd w:id="197"/>
      <w:bookmarkEnd w:id="198"/>
      <w:bookmarkEnd w:id="199"/>
      <w:bookmarkEnd w:id="200"/>
    </w:p>
    <w:p>
      <w:pPr>
        <w:spacing w:line="480" w:lineRule="auto"/>
        <w:ind w:firstLine="420" w:firstLineChars="200"/>
        <w:rPr>
          <w:rFonts w:ascii="Arial" w:hAnsi="Arial" w:cs="Arial"/>
          <w:color w:val="000000"/>
          <w:szCs w:val="21"/>
        </w:rPr>
      </w:pPr>
      <w:r>
        <w:rPr>
          <w:rFonts w:ascii="Arial" w:hAnsi="Arial" w:cs="Arial"/>
          <w:color w:val="000000"/>
          <w:sz w:val="21"/>
          <w:szCs w:val="21"/>
        </w:rPr>
        <w:t>按收入与成本配比的原则，即把为取得本期收入而发生的开发成本与本期实现的收入在同一时期内确认和计量。经测算，项目开发总成本</w:t>
      </w:r>
      <w:r>
        <w:rPr>
          <w:rFonts w:hint="eastAsia" w:ascii="Arial" w:hAnsi="Arial" w:cs="Arial"/>
          <w:color w:val="000000"/>
          <w:sz w:val="21"/>
          <w:szCs w:val="21"/>
        </w:rPr>
        <w:t>95882</w:t>
      </w:r>
      <w:r>
        <w:rPr>
          <w:rFonts w:ascii="Arial" w:hAnsi="Arial" w:cs="Arial"/>
          <w:color w:val="000000"/>
          <w:sz w:val="21"/>
          <w:szCs w:val="21"/>
        </w:rPr>
        <w:t>万元，20</w:t>
      </w:r>
      <w:r>
        <w:rPr>
          <w:rFonts w:hint="eastAsia" w:ascii="Arial" w:hAnsi="Arial" w:cs="Arial"/>
          <w:color w:val="000000"/>
          <w:sz w:val="21"/>
          <w:szCs w:val="21"/>
        </w:rPr>
        <w:t>22</w:t>
      </w:r>
      <w:r>
        <w:rPr>
          <w:rFonts w:ascii="Arial" w:hAnsi="Arial" w:cs="Arial"/>
          <w:color w:val="000000"/>
          <w:sz w:val="21"/>
          <w:szCs w:val="21"/>
        </w:rPr>
        <w:t>-202</w:t>
      </w:r>
      <w:r>
        <w:rPr>
          <w:rFonts w:hint="eastAsia" w:ascii="Arial" w:hAnsi="Arial" w:cs="Arial"/>
          <w:color w:val="000000"/>
          <w:sz w:val="21"/>
          <w:szCs w:val="21"/>
        </w:rPr>
        <w:t>7</w:t>
      </w:r>
      <w:r>
        <w:rPr>
          <w:rFonts w:ascii="Arial" w:hAnsi="Arial" w:cs="Arial"/>
          <w:color w:val="000000"/>
          <w:sz w:val="21"/>
          <w:szCs w:val="21"/>
        </w:rPr>
        <w:t>年将分别结转开发成本</w:t>
      </w:r>
      <w:r>
        <w:rPr>
          <w:rFonts w:hint="eastAsia" w:ascii="Arial" w:hAnsi="Arial" w:cs="Arial"/>
          <w:color w:val="000000"/>
          <w:sz w:val="21"/>
          <w:szCs w:val="21"/>
        </w:rPr>
        <w:t>详见下表</w:t>
      </w:r>
      <w:r>
        <w:rPr>
          <w:rFonts w:ascii="Arial" w:hAnsi="Arial" w:cs="Arial"/>
          <w:color w:val="000000"/>
          <w:sz w:val="21"/>
          <w:szCs w:val="21"/>
        </w:rPr>
        <w:t>（</w:t>
      </w:r>
      <w:r>
        <w:rPr>
          <w:rFonts w:hint="eastAsia" w:ascii="Arial" w:hAnsi="Arial" w:cs="Arial"/>
          <w:color w:val="000000"/>
          <w:sz w:val="21"/>
          <w:szCs w:val="21"/>
        </w:rPr>
        <w:t>具体</w:t>
      </w:r>
      <w:r>
        <w:rPr>
          <w:rFonts w:ascii="Arial" w:hAnsi="Arial" w:cs="Arial"/>
          <w:color w:val="000000"/>
          <w:sz w:val="21"/>
          <w:szCs w:val="21"/>
        </w:rPr>
        <w:t>见主表3）</w:t>
      </w:r>
      <w:r>
        <w:rPr>
          <w:rFonts w:ascii="Arial" w:hAnsi="Arial" w:cs="Arial"/>
          <w:color w:val="000000"/>
          <w:szCs w:val="21"/>
        </w:rPr>
        <w:t>。</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57" w:type="dxa"/>
          <w:left w:w="57" w:type="dxa"/>
          <w:bottom w:w="57" w:type="dxa"/>
          <w:right w:w="57" w:type="dxa"/>
        </w:tblCellMar>
      </w:tblPr>
      <w:tblGrid>
        <w:gridCol w:w="1454"/>
        <w:gridCol w:w="1454"/>
        <w:gridCol w:w="1448"/>
        <w:gridCol w:w="1795"/>
        <w:gridCol w:w="1795"/>
        <w:gridCol w:w="1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57" w:type="dxa"/>
            <w:left w:w="57" w:type="dxa"/>
            <w:bottom w:w="57" w:type="dxa"/>
            <w:right w:w="57" w:type="dxa"/>
          </w:tblCellMar>
        </w:tblPrEx>
        <w:trPr>
          <w:trHeight w:val="283" w:hRule="atLeast"/>
        </w:trPr>
        <w:tc>
          <w:tcPr>
            <w:tcW w:w="772" w:type="pct"/>
            <w:vMerge w:val="restart"/>
            <w:shd w:val="clear" w:color="auto" w:fill="FFFFFF" w:themeFill="background1"/>
            <w:vAlign w:val="center"/>
          </w:tcPr>
          <w:p>
            <w:pPr>
              <w:spacing w:before="100" w:beforeAutospacing="1" w:after="100" w:afterAutospacing="1"/>
              <w:jc w:val="both"/>
              <w:rPr>
                <w:rFonts w:ascii="Arial" w:hAnsi="Arial" w:eastAsia="华文细黑"/>
                <w:sz w:val="18"/>
                <w:szCs w:val="18"/>
              </w:rPr>
            </w:pPr>
            <w:r>
              <w:rPr>
                <w:rFonts w:ascii="Arial" w:hAnsi="Arial" w:eastAsia="华文细黑"/>
                <w:sz w:val="18"/>
                <w:szCs w:val="18"/>
              </w:rPr>
              <w:t>202</w:t>
            </w:r>
            <w:r>
              <w:rPr>
                <w:rFonts w:hint="eastAsia" w:ascii="Arial" w:hAnsi="Arial" w:eastAsia="华文细黑"/>
                <w:sz w:val="18"/>
                <w:szCs w:val="18"/>
              </w:rPr>
              <w:t>3年</w:t>
            </w:r>
          </w:p>
        </w:tc>
        <w:tc>
          <w:tcPr>
            <w:tcW w:w="772" w:type="pct"/>
            <w:shd w:val="clear" w:color="auto" w:fill="FFFFFF" w:themeFill="background1"/>
            <w:vAlign w:val="center"/>
          </w:tcPr>
          <w:p>
            <w:pPr>
              <w:spacing w:before="100" w:beforeAutospacing="1" w:after="100" w:afterAutospacing="1"/>
              <w:jc w:val="both"/>
              <w:rPr>
                <w:rFonts w:ascii="Arial" w:hAnsi="Arial" w:eastAsia="华文细黑"/>
                <w:sz w:val="18"/>
                <w:szCs w:val="18"/>
              </w:rPr>
            </w:pPr>
            <w:r>
              <w:rPr>
                <w:rFonts w:hint="eastAsia" w:ascii="Arial" w:hAnsi="Arial" w:eastAsia="华文细黑"/>
                <w:sz w:val="18"/>
                <w:szCs w:val="18"/>
              </w:rPr>
              <w:t>季度</w:t>
            </w:r>
          </w:p>
        </w:tc>
        <w:tc>
          <w:tcPr>
            <w:tcW w:w="769" w:type="pct"/>
            <w:shd w:val="clear" w:color="auto" w:fill="FFFFFF" w:themeFill="background1"/>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Q1</w:t>
            </w:r>
          </w:p>
        </w:tc>
        <w:tc>
          <w:tcPr>
            <w:tcW w:w="953"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Q2</w:t>
            </w:r>
          </w:p>
        </w:tc>
        <w:tc>
          <w:tcPr>
            <w:tcW w:w="953"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Q3</w:t>
            </w:r>
          </w:p>
        </w:tc>
        <w:tc>
          <w:tcPr>
            <w:tcW w:w="778"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Q4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57" w:type="dxa"/>
            <w:left w:w="57" w:type="dxa"/>
            <w:bottom w:w="57" w:type="dxa"/>
            <w:right w:w="57" w:type="dxa"/>
          </w:tblCellMar>
        </w:tblPrEx>
        <w:trPr>
          <w:trHeight w:val="283" w:hRule="atLeast"/>
        </w:trPr>
        <w:tc>
          <w:tcPr>
            <w:tcW w:w="772" w:type="pct"/>
            <w:vMerge w:val="continue"/>
            <w:shd w:val="clear" w:color="auto" w:fill="FFFFFF" w:themeFill="background1"/>
            <w:vAlign w:val="center"/>
          </w:tcPr>
          <w:p>
            <w:pPr>
              <w:jc w:val="both"/>
              <w:rPr>
                <w:rFonts w:ascii="Arial" w:hAnsi="Arial" w:eastAsia="华文细黑"/>
                <w:sz w:val="18"/>
                <w:szCs w:val="18"/>
              </w:rPr>
            </w:pPr>
          </w:p>
        </w:tc>
        <w:tc>
          <w:tcPr>
            <w:tcW w:w="772" w:type="pct"/>
            <w:shd w:val="clear" w:color="auto" w:fill="FFFFFF" w:themeFill="background1"/>
            <w:vAlign w:val="center"/>
          </w:tcPr>
          <w:p>
            <w:pPr>
              <w:spacing w:before="100" w:beforeAutospacing="1" w:after="100" w:afterAutospacing="1"/>
              <w:jc w:val="both"/>
              <w:rPr>
                <w:rFonts w:ascii="Arial" w:hAnsi="Arial" w:eastAsia="华文细黑"/>
                <w:sz w:val="18"/>
                <w:szCs w:val="18"/>
              </w:rPr>
            </w:pPr>
            <w:r>
              <w:rPr>
                <w:rFonts w:hint="eastAsia" w:ascii="Arial" w:hAnsi="Arial" w:eastAsia="华文细黑"/>
                <w:sz w:val="18"/>
                <w:szCs w:val="18"/>
              </w:rPr>
              <w:t>开发成本（万元）</w:t>
            </w:r>
          </w:p>
        </w:tc>
        <w:tc>
          <w:tcPr>
            <w:tcW w:w="769" w:type="pct"/>
            <w:shd w:val="clear" w:color="auto" w:fill="FFFFFF" w:themeFill="background1"/>
            <w:vAlign w:val="center"/>
          </w:tcPr>
          <w:p>
            <w:pPr>
              <w:spacing w:before="100" w:beforeAutospacing="1" w:after="100" w:afterAutospacing="1"/>
              <w:jc w:val="both"/>
              <w:rPr>
                <w:rFonts w:ascii="Arial" w:hAnsi="Arial" w:eastAsia="华文细黑" w:cs="Arial"/>
                <w:sz w:val="18"/>
                <w:szCs w:val="18"/>
              </w:rPr>
            </w:pPr>
            <w:r>
              <w:rPr>
                <w:rFonts w:hint="eastAsia" w:ascii="Arial" w:hAnsi="Arial" w:eastAsia="华文细黑" w:cs="Arial"/>
                <w:sz w:val="18"/>
                <w:szCs w:val="18"/>
              </w:rPr>
              <w:t>——</w:t>
            </w:r>
          </w:p>
        </w:tc>
        <w:tc>
          <w:tcPr>
            <w:tcW w:w="953"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24781</w:t>
            </w:r>
          </w:p>
        </w:tc>
        <w:tc>
          <w:tcPr>
            <w:tcW w:w="953"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2468</w:t>
            </w:r>
          </w:p>
        </w:tc>
        <w:tc>
          <w:tcPr>
            <w:tcW w:w="778"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2468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57" w:type="dxa"/>
            <w:left w:w="57" w:type="dxa"/>
            <w:bottom w:w="57" w:type="dxa"/>
            <w:right w:w="57" w:type="dxa"/>
          </w:tblCellMar>
        </w:tblPrEx>
        <w:trPr>
          <w:trHeight w:val="283" w:hRule="atLeast"/>
        </w:trPr>
        <w:tc>
          <w:tcPr>
            <w:tcW w:w="772" w:type="pct"/>
            <w:vMerge w:val="restart"/>
            <w:shd w:val="clear" w:color="auto" w:fill="FFFFFF" w:themeFill="background1"/>
            <w:vAlign w:val="center"/>
          </w:tcPr>
          <w:p>
            <w:pPr>
              <w:spacing w:before="100" w:beforeAutospacing="1" w:after="100" w:afterAutospacing="1"/>
              <w:jc w:val="both"/>
              <w:rPr>
                <w:rFonts w:ascii="Arial" w:hAnsi="Arial" w:eastAsia="华文细黑"/>
                <w:sz w:val="18"/>
                <w:szCs w:val="18"/>
              </w:rPr>
            </w:pPr>
            <w:r>
              <w:rPr>
                <w:rFonts w:ascii="Arial" w:hAnsi="Arial" w:eastAsia="华文细黑"/>
                <w:sz w:val="18"/>
                <w:szCs w:val="18"/>
              </w:rPr>
              <w:t>202</w:t>
            </w:r>
            <w:r>
              <w:rPr>
                <w:rFonts w:hint="eastAsia" w:ascii="Arial" w:hAnsi="Arial" w:eastAsia="华文细黑"/>
                <w:sz w:val="18"/>
                <w:szCs w:val="18"/>
              </w:rPr>
              <w:t>4年</w:t>
            </w:r>
          </w:p>
        </w:tc>
        <w:tc>
          <w:tcPr>
            <w:tcW w:w="772" w:type="pct"/>
            <w:shd w:val="clear" w:color="auto" w:fill="FFFFFF" w:themeFill="background1"/>
            <w:vAlign w:val="center"/>
          </w:tcPr>
          <w:p>
            <w:pPr>
              <w:spacing w:before="100" w:beforeAutospacing="1" w:after="100" w:afterAutospacing="1"/>
              <w:jc w:val="both"/>
              <w:rPr>
                <w:rFonts w:ascii="Arial" w:hAnsi="Arial" w:eastAsia="华文细黑"/>
                <w:sz w:val="18"/>
                <w:szCs w:val="18"/>
              </w:rPr>
            </w:pPr>
            <w:r>
              <w:rPr>
                <w:rFonts w:hint="eastAsia" w:ascii="Arial" w:hAnsi="Arial" w:eastAsia="华文细黑"/>
                <w:sz w:val="18"/>
                <w:szCs w:val="18"/>
              </w:rPr>
              <w:t>季度</w:t>
            </w:r>
          </w:p>
        </w:tc>
        <w:tc>
          <w:tcPr>
            <w:tcW w:w="769" w:type="pct"/>
            <w:shd w:val="clear" w:color="auto" w:fill="FFFFFF" w:themeFill="background1"/>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Q1</w:t>
            </w:r>
          </w:p>
        </w:tc>
        <w:tc>
          <w:tcPr>
            <w:tcW w:w="953"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Q2</w:t>
            </w:r>
          </w:p>
        </w:tc>
        <w:tc>
          <w:tcPr>
            <w:tcW w:w="953"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Q3</w:t>
            </w:r>
          </w:p>
        </w:tc>
        <w:tc>
          <w:tcPr>
            <w:tcW w:w="778"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Q4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trPr>
        <w:tc>
          <w:tcPr>
            <w:tcW w:w="772" w:type="pct"/>
            <w:vMerge w:val="continue"/>
            <w:shd w:val="clear" w:color="auto" w:fill="FFFFFF" w:themeFill="background1"/>
            <w:vAlign w:val="center"/>
          </w:tcPr>
          <w:p>
            <w:pPr>
              <w:jc w:val="both"/>
              <w:rPr>
                <w:rFonts w:ascii="Arial" w:hAnsi="Arial" w:eastAsia="华文细黑"/>
                <w:sz w:val="18"/>
                <w:szCs w:val="18"/>
              </w:rPr>
            </w:pPr>
          </w:p>
        </w:tc>
        <w:tc>
          <w:tcPr>
            <w:tcW w:w="772" w:type="pct"/>
            <w:shd w:val="clear" w:color="auto" w:fill="FFFFFF" w:themeFill="background1"/>
            <w:vAlign w:val="center"/>
          </w:tcPr>
          <w:p>
            <w:pPr>
              <w:spacing w:before="100" w:beforeAutospacing="1" w:after="100" w:afterAutospacing="1"/>
              <w:jc w:val="both"/>
              <w:rPr>
                <w:rFonts w:ascii="Arial" w:hAnsi="Arial" w:eastAsia="华文细黑"/>
                <w:sz w:val="18"/>
                <w:szCs w:val="18"/>
              </w:rPr>
            </w:pPr>
            <w:r>
              <w:rPr>
                <w:rFonts w:hint="eastAsia" w:ascii="Arial" w:hAnsi="Arial" w:eastAsia="华文细黑"/>
                <w:sz w:val="18"/>
                <w:szCs w:val="18"/>
              </w:rPr>
              <w:t>开发成本（万元）</w:t>
            </w:r>
          </w:p>
        </w:tc>
        <w:tc>
          <w:tcPr>
            <w:tcW w:w="769" w:type="pct"/>
            <w:shd w:val="clear" w:color="auto" w:fill="FFFFFF" w:themeFill="background1"/>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22314</w:t>
            </w:r>
          </w:p>
        </w:tc>
        <w:tc>
          <w:tcPr>
            <w:tcW w:w="953"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2468</w:t>
            </w:r>
          </w:p>
        </w:tc>
        <w:tc>
          <w:tcPr>
            <w:tcW w:w="953"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2468</w:t>
            </w:r>
          </w:p>
        </w:tc>
        <w:tc>
          <w:tcPr>
            <w:tcW w:w="778"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22314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trPr>
        <w:tc>
          <w:tcPr>
            <w:tcW w:w="772" w:type="pct"/>
            <w:vMerge w:val="restart"/>
            <w:shd w:val="clear" w:color="auto" w:fill="FFFFFF" w:themeFill="background1"/>
            <w:vAlign w:val="center"/>
          </w:tcPr>
          <w:p>
            <w:pPr>
              <w:jc w:val="both"/>
              <w:rPr>
                <w:rFonts w:ascii="Arial" w:hAnsi="Arial" w:eastAsia="华文细黑"/>
                <w:sz w:val="18"/>
                <w:szCs w:val="18"/>
              </w:rPr>
            </w:pPr>
            <w:r>
              <w:rPr>
                <w:rFonts w:hint="eastAsia" w:ascii="Arial" w:hAnsi="Arial" w:eastAsia="华文细黑"/>
                <w:sz w:val="18"/>
                <w:szCs w:val="18"/>
              </w:rPr>
              <w:t>2025年</w:t>
            </w:r>
          </w:p>
        </w:tc>
        <w:tc>
          <w:tcPr>
            <w:tcW w:w="772" w:type="pct"/>
            <w:shd w:val="clear" w:color="auto" w:fill="FFFFFF" w:themeFill="background1"/>
            <w:vAlign w:val="center"/>
          </w:tcPr>
          <w:p>
            <w:pPr>
              <w:spacing w:before="100" w:beforeAutospacing="1" w:after="100" w:afterAutospacing="1"/>
              <w:jc w:val="both"/>
              <w:rPr>
                <w:rFonts w:ascii="Arial" w:hAnsi="Arial" w:eastAsia="华文细黑"/>
                <w:sz w:val="18"/>
                <w:szCs w:val="18"/>
              </w:rPr>
            </w:pPr>
            <w:r>
              <w:rPr>
                <w:rFonts w:hint="eastAsia" w:ascii="Arial" w:hAnsi="Arial" w:eastAsia="华文细黑"/>
                <w:sz w:val="18"/>
                <w:szCs w:val="18"/>
              </w:rPr>
              <w:t>季度</w:t>
            </w:r>
          </w:p>
        </w:tc>
        <w:tc>
          <w:tcPr>
            <w:tcW w:w="769" w:type="pct"/>
            <w:shd w:val="clear" w:color="auto" w:fill="FFFFFF" w:themeFill="background1"/>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Q1</w:t>
            </w:r>
          </w:p>
        </w:tc>
        <w:tc>
          <w:tcPr>
            <w:tcW w:w="953"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Q2</w:t>
            </w:r>
          </w:p>
        </w:tc>
        <w:tc>
          <w:tcPr>
            <w:tcW w:w="953"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Q3</w:t>
            </w:r>
          </w:p>
        </w:tc>
        <w:tc>
          <w:tcPr>
            <w:tcW w:w="778"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Q4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57" w:type="dxa"/>
            <w:left w:w="57" w:type="dxa"/>
            <w:bottom w:w="57" w:type="dxa"/>
            <w:right w:w="57" w:type="dxa"/>
          </w:tblCellMar>
        </w:tblPrEx>
        <w:trPr>
          <w:trHeight w:val="283" w:hRule="atLeast"/>
        </w:trPr>
        <w:tc>
          <w:tcPr>
            <w:tcW w:w="772" w:type="pct"/>
            <w:vMerge w:val="continue"/>
            <w:shd w:val="clear" w:color="auto" w:fill="FFFFFF" w:themeFill="background1"/>
            <w:vAlign w:val="center"/>
          </w:tcPr>
          <w:p>
            <w:pPr>
              <w:jc w:val="both"/>
              <w:rPr>
                <w:rFonts w:ascii="Arial" w:hAnsi="Arial" w:eastAsia="华文细黑"/>
                <w:sz w:val="18"/>
                <w:szCs w:val="18"/>
              </w:rPr>
            </w:pPr>
          </w:p>
        </w:tc>
        <w:tc>
          <w:tcPr>
            <w:tcW w:w="772" w:type="pct"/>
            <w:shd w:val="clear" w:color="auto" w:fill="FFFFFF" w:themeFill="background1"/>
            <w:vAlign w:val="center"/>
          </w:tcPr>
          <w:p>
            <w:pPr>
              <w:spacing w:before="100" w:beforeAutospacing="1" w:after="100" w:afterAutospacing="1"/>
              <w:jc w:val="both"/>
              <w:rPr>
                <w:rFonts w:ascii="Arial" w:hAnsi="Arial" w:eastAsia="华文细黑"/>
                <w:sz w:val="18"/>
                <w:szCs w:val="18"/>
              </w:rPr>
            </w:pPr>
            <w:r>
              <w:rPr>
                <w:rFonts w:hint="eastAsia" w:ascii="Arial" w:hAnsi="Arial" w:eastAsia="华文细黑"/>
                <w:sz w:val="18"/>
                <w:szCs w:val="18"/>
              </w:rPr>
              <w:t>开发成本（万元）</w:t>
            </w:r>
          </w:p>
        </w:tc>
        <w:tc>
          <w:tcPr>
            <w:tcW w:w="769" w:type="pct"/>
            <w:shd w:val="clear" w:color="auto" w:fill="FFFFFF" w:themeFill="background1"/>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2144</w:t>
            </w:r>
          </w:p>
        </w:tc>
        <w:tc>
          <w:tcPr>
            <w:tcW w:w="953"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1775</w:t>
            </w:r>
          </w:p>
        </w:tc>
        <w:tc>
          <w:tcPr>
            <w:tcW w:w="953"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1504</w:t>
            </w:r>
          </w:p>
        </w:tc>
        <w:tc>
          <w:tcPr>
            <w:tcW w:w="778"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6275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57" w:type="dxa"/>
            <w:left w:w="57" w:type="dxa"/>
            <w:bottom w:w="57" w:type="dxa"/>
            <w:right w:w="57" w:type="dxa"/>
          </w:tblCellMar>
        </w:tblPrEx>
        <w:trPr>
          <w:trHeight w:val="283" w:hRule="atLeast"/>
        </w:trPr>
        <w:tc>
          <w:tcPr>
            <w:tcW w:w="772" w:type="pct"/>
            <w:vMerge w:val="restart"/>
            <w:shd w:val="clear" w:color="auto" w:fill="FFFFFF" w:themeFill="background1"/>
            <w:vAlign w:val="center"/>
          </w:tcPr>
          <w:p>
            <w:pPr>
              <w:jc w:val="both"/>
              <w:rPr>
                <w:rFonts w:ascii="Arial" w:hAnsi="Arial" w:eastAsia="华文细黑"/>
                <w:sz w:val="18"/>
                <w:szCs w:val="18"/>
              </w:rPr>
            </w:pPr>
            <w:r>
              <w:rPr>
                <w:rFonts w:hint="eastAsia" w:ascii="Arial" w:hAnsi="Arial" w:eastAsia="华文细黑"/>
                <w:sz w:val="18"/>
                <w:szCs w:val="18"/>
              </w:rPr>
              <w:t>2026年</w:t>
            </w:r>
          </w:p>
        </w:tc>
        <w:tc>
          <w:tcPr>
            <w:tcW w:w="772" w:type="pct"/>
            <w:shd w:val="clear" w:color="auto" w:fill="FFFFFF" w:themeFill="background1"/>
            <w:vAlign w:val="center"/>
          </w:tcPr>
          <w:p>
            <w:pPr>
              <w:spacing w:before="100" w:beforeAutospacing="1" w:after="100" w:afterAutospacing="1"/>
              <w:jc w:val="both"/>
              <w:rPr>
                <w:rFonts w:ascii="Arial" w:hAnsi="Arial" w:eastAsia="华文细黑"/>
                <w:sz w:val="18"/>
                <w:szCs w:val="18"/>
              </w:rPr>
            </w:pPr>
            <w:r>
              <w:rPr>
                <w:rFonts w:hint="eastAsia" w:ascii="Arial" w:hAnsi="Arial" w:eastAsia="华文细黑"/>
                <w:sz w:val="18"/>
                <w:szCs w:val="18"/>
              </w:rPr>
              <w:t>季度</w:t>
            </w:r>
          </w:p>
        </w:tc>
        <w:tc>
          <w:tcPr>
            <w:tcW w:w="769" w:type="pct"/>
            <w:shd w:val="clear" w:color="auto" w:fill="FFFFFF" w:themeFill="background1"/>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Q1</w:t>
            </w:r>
          </w:p>
        </w:tc>
        <w:tc>
          <w:tcPr>
            <w:tcW w:w="953"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Q2</w:t>
            </w:r>
          </w:p>
        </w:tc>
        <w:tc>
          <w:tcPr>
            <w:tcW w:w="953"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Q3</w:t>
            </w:r>
          </w:p>
        </w:tc>
        <w:tc>
          <w:tcPr>
            <w:tcW w:w="778"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Q4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57" w:type="dxa"/>
            <w:left w:w="57" w:type="dxa"/>
            <w:bottom w:w="57" w:type="dxa"/>
            <w:right w:w="57" w:type="dxa"/>
          </w:tblCellMar>
        </w:tblPrEx>
        <w:trPr>
          <w:trHeight w:val="283" w:hRule="atLeast"/>
        </w:trPr>
        <w:tc>
          <w:tcPr>
            <w:tcW w:w="772" w:type="pct"/>
            <w:vMerge w:val="continue"/>
            <w:shd w:val="clear" w:color="auto" w:fill="FFFFFF" w:themeFill="background1"/>
            <w:vAlign w:val="center"/>
          </w:tcPr>
          <w:p>
            <w:pPr>
              <w:jc w:val="both"/>
              <w:rPr>
                <w:rFonts w:ascii="Arial" w:hAnsi="Arial" w:eastAsia="华文细黑"/>
                <w:sz w:val="18"/>
                <w:szCs w:val="18"/>
              </w:rPr>
            </w:pPr>
          </w:p>
        </w:tc>
        <w:tc>
          <w:tcPr>
            <w:tcW w:w="772" w:type="pct"/>
            <w:shd w:val="clear" w:color="auto" w:fill="FFFFFF" w:themeFill="background1"/>
            <w:vAlign w:val="center"/>
          </w:tcPr>
          <w:p>
            <w:pPr>
              <w:spacing w:before="100" w:beforeAutospacing="1" w:after="100" w:afterAutospacing="1"/>
              <w:jc w:val="both"/>
              <w:rPr>
                <w:rFonts w:ascii="Arial" w:hAnsi="Arial" w:eastAsia="华文细黑"/>
                <w:sz w:val="18"/>
                <w:szCs w:val="18"/>
              </w:rPr>
            </w:pPr>
            <w:r>
              <w:rPr>
                <w:rFonts w:hint="eastAsia" w:ascii="Arial" w:hAnsi="Arial" w:eastAsia="华文细黑"/>
                <w:sz w:val="18"/>
                <w:szCs w:val="18"/>
              </w:rPr>
              <w:t>开发成本（万元）</w:t>
            </w:r>
          </w:p>
        </w:tc>
        <w:tc>
          <w:tcPr>
            <w:tcW w:w="769" w:type="pct"/>
            <w:shd w:val="clear" w:color="auto" w:fill="FFFFFF" w:themeFill="background1"/>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w:t>
            </w:r>
          </w:p>
        </w:tc>
        <w:tc>
          <w:tcPr>
            <w:tcW w:w="953"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w:t>
            </w:r>
          </w:p>
        </w:tc>
        <w:tc>
          <w:tcPr>
            <w:tcW w:w="953"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w:t>
            </w:r>
          </w:p>
        </w:tc>
        <w:tc>
          <w:tcPr>
            <w:tcW w:w="778"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57" w:type="dxa"/>
            <w:left w:w="57" w:type="dxa"/>
            <w:bottom w:w="57" w:type="dxa"/>
            <w:right w:w="57" w:type="dxa"/>
          </w:tblCellMar>
        </w:tblPrEx>
        <w:trPr>
          <w:trHeight w:val="283" w:hRule="atLeast"/>
        </w:trPr>
        <w:tc>
          <w:tcPr>
            <w:tcW w:w="772" w:type="pct"/>
            <w:vMerge w:val="restart"/>
            <w:shd w:val="clear" w:color="auto" w:fill="FFFFFF" w:themeFill="background1"/>
            <w:vAlign w:val="center"/>
          </w:tcPr>
          <w:p>
            <w:pPr>
              <w:jc w:val="both"/>
              <w:rPr>
                <w:rFonts w:ascii="Arial" w:hAnsi="Arial" w:eastAsia="华文细黑"/>
                <w:sz w:val="18"/>
                <w:szCs w:val="18"/>
              </w:rPr>
            </w:pPr>
            <w:r>
              <w:rPr>
                <w:rFonts w:hint="eastAsia" w:ascii="Arial" w:hAnsi="Arial" w:eastAsia="华文细黑"/>
                <w:sz w:val="18"/>
                <w:szCs w:val="18"/>
              </w:rPr>
              <w:t>2027年</w:t>
            </w:r>
          </w:p>
        </w:tc>
        <w:tc>
          <w:tcPr>
            <w:tcW w:w="772" w:type="pct"/>
            <w:shd w:val="clear" w:color="auto" w:fill="FFFFFF" w:themeFill="background1"/>
            <w:vAlign w:val="center"/>
          </w:tcPr>
          <w:p>
            <w:pPr>
              <w:spacing w:before="100" w:beforeAutospacing="1" w:after="100" w:afterAutospacing="1"/>
              <w:jc w:val="both"/>
              <w:rPr>
                <w:rFonts w:ascii="Arial" w:hAnsi="Arial" w:eastAsia="华文细黑"/>
                <w:sz w:val="18"/>
                <w:szCs w:val="18"/>
              </w:rPr>
            </w:pPr>
            <w:r>
              <w:rPr>
                <w:rFonts w:hint="eastAsia" w:ascii="Arial" w:hAnsi="Arial" w:eastAsia="华文细黑"/>
                <w:sz w:val="18"/>
                <w:szCs w:val="18"/>
              </w:rPr>
              <w:t>季度</w:t>
            </w:r>
          </w:p>
        </w:tc>
        <w:tc>
          <w:tcPr>
            <w:tcW w:w="769" w:type="pct"/>
            <w:shd w:val="clear" w:color="auto" w:fill="FFFFFF" w:themeFill="background1"/>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Q1</w:t>
            </w:r>
          </w:p>
        </w:tc>
        <w:tc>
          <w:tcPr>
            <w:tcW w:w="953"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Q2</w:t>
            </w:r>
          </w:p>
        </w:tc>
        <w:tc>
          <w:tcPr>
            <w:tcW w:w="953"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Q3</w:t>
            </w:r>
          </w:p>
        </w:tc>
        <w:tc>
          <w:tcPr>
            <w:tcW w:w="778"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Q4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57" w:type="dxa"/>
            <w:left w:w="57" w:type="dxa"/>
            <w:bottom w:w="57" w:type="dxa"/>
            <w:right w:w="57" w:type="dxa"/>
          </w:tblCellMar>
        </w:tblPrEx>
        <w:trPr>
          <w:trHeight w:val="283" w:hRule="atLeast"/>
        </w:trPr>
        <w:tc>
          <w:tcPr>
            <w:tcW w:w="772" w:type="pct"/>
            <w:vMerge w:val="continue"/>
            <w:shd w:val="clear" w:color="auto" w:fill="FFFFFF" w:themeFill="background1"/>
            <w:vAlign w:val="center"/>
          </w:tcPr>
          <w:p>
            <w:pPr>
              <w:jc w:val="both"/>
              <w:rPr>
                <w:rFonts w:ascii="Arial" w:hAnsi="Arial" w:eastAsia="华文细黑"/>
                <w:sz w:val="18"/>
                <w:szCs w:val="18"/>
              </w:rPr>
            </w:pPr>
          </w:p>
        </w:tc>
        <w:tc>
          <w:tcPr>
            <w:tcW w:w="772" w:type="pct"/>
            <w:shd w:val="clear" w:color="auto" w:fill="FFFFFF" w:themeFill="background1"/>
            <w:vAlign w:val="center"/>
          </w:tcPr>
          <w:p>
            <w:pPr>
              <w:spacing w:before="100" w:beforeAutospacing="1" w:after="100" w:afterAutospacing="1"/>
              <w:jc w:val="both"/>
              <w:rPr>
                <w:rFonts w:ascii="Arial" w:hAnsi="Arial" w:eastAsia="华文细黑"/>
                <w:sz w:val="18"/>
                <w:szCs w:val="18"/>
              </w:rPr>
            </w:pPr>
            <w:r>
              <w:rPr>
                <w:rFonts w:hint="eastAsia" w:ascii="Arial" w:hAnsi="Arial" w:eastAsia="华文细黑"/>
                <w:sz w:val="18"/>
                <w:szCs w:val="18"/>
              </w:rPr>
              <w:t>开发成本（万元）</w:t>
            </w:r>
          </w:p>
        </w:tc>
        <w:tc>
          <w:tcPr>
            <w:tcW w:w="769" w:type="pct"/>
            <w:shd w:val="clear" w:color="auto" w:fill="FFFFFF" w:themeFill="background1"/>
            <w:vAlign w:val="center"/>
          </w:tcPr>
          <w:p>
            <w:pPr>
              <w:spacing w:before="100" w:beforeAutospacing="1" w:after="100" w:afterAutospacing="1"/>
              <w:jc w:val="both"/>
              <w:rPr>
                <w:rFonts w:ascii="Arial" w:hAnsi="Arial" w:eastAsia="华文细黑" w:cs="Arial"/>
                <w:sz w:val="18"/>
                <w:szCs w:val="18"/>
              </w:rPr>
            </w:pPr>
            <w:r>
              <w:rPr>
                <w:rFonts w:hint="eastAsia" w:ascii="Arial" w:hAnsi="Arial" w:eastAsia="华文细黑" w:cs="Arial"/>
                <w:sz w:val="18"/>
                <w:szCs w:val="18"/>
              </w:rPr>
              <w:t>——</w:t>
            </w:r>
          </w:p>
        </w:tc>
        <w:tc>
          <w:tcPr>
            <w:tcW w:w="953"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hint="eastAsia" w:ascii="Arial" w:hAnsi="Arial" w:eastAsia="华文细黑" w:cs="Arial"/>
                <w:sz w:val="18"/>
                <w:szCs w:val="18"/>
              </w:rPr>
              <w:t>——</w:t>
            </w:r>
            <w:r>
              <w:rPr>
                <w:rFonts w:ascii="Arial" w:hAnsi="Arial" w:eastAsia="华文细黑" w:cs="Arial"/>
                <w:sz w:val="18"/>
                <w:szCs w:val="18"/>
              </w:rPr>
              <w:t xml:space="preserve"> </w:t>
            </w:r>
          </w:p>
        </w:tc>
        <w:tc>
          <w:tcPr>
            <w:tcW w:w="953"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hint="eastAsia" w:ascii="Arial" w:hAnsi="Arial" w:eastAsia="华文细黑" w:cs="Arial"/>
                <w:sz w:val="18"/>
                <w:szCs w:val="18"/>
              </w:rPr>
              <w:t>——</w:t>
            </w:r>
            <w:r>
              <w:rPr>
                <w:rFonts w:ascii="Arial" w:hAnsi="Arial" w:eastAsia="华文细黑" w:cs="Arial"/>
                <w:sz w:val="18"/>
                <w:szCs w:val="18"/>
              </w:rPr>
              <w:t xml:space="preserve"> </w:t>
            </w:r>
          </w:p>
        </w:tc>
        <w:tc>
          <w:tcPr>
            <w:tcW w:w="778" w:type="pct"/>
            <w:shd w:val="clear" w:color="auto" w:fill="FFFFFF" w:themeFill="background1"/>
            <w:noWrap/>
            <w:vAlign w:val="center"/>
          </w:tcPr>
          <w:p>
            <w:pPr>
              <w:spacing w:before="100" w:beforeAutospacing="1" w:after="100" w:afterAutospacing="1"/>
              <w:jc w:val="both"/>
              <w:rPr>
                <w:rFonts w:ascii="Arial" w:hAnsi="Arial" w:eastAsia="华文细黑" w:cs="Arial"/>
                <w:sz w:val="18"/>
                <w:szCs w:val="18"/>
              </w:rPr>
            </w:pPr>
            <w:r>
              <w:rPr>
                <w:rFonts w:ascii="Arial" w:hAnsi="Arial" w:eastAsia="华文细黑" w:cs="Arial"/>
                <w:sz w:val="18"/>
                <w:szCs w:val="18"/>
              </w:rPr>
              <w:t>1,65</w:t>
            </w:r>
            <w:r>
              <w:rPr>
                <w:rFonts w:hint="eastAsia" w:ascii="Arial" w:hAnsi="Arial" w:eastAsia="华文细黑" w:cs="Arial"/>
                <w:sz w:val="18"/>
                <w:szCs w:val="18"/>
              </w:rPr>
              <w:t>2</w:t>
            </w:r>
            <w:r>
              <w:rPr>
                <w:rFonts w:ascii="Arial" w:hAnsi="Arial" w:eastAsia="华文细黑" w:cs="Arial"/>
                <w:sz w:val="18"/>
                <w:szCs w:val="18"/>
              </w:rPr>
              <w:t xml:space="preserve"> </w:t>
            </w:r>
          </w:p>
        </w:tc>
      </w:tr>
    </w:tbl>
    <w:p>
      <w:pPr>
        <w:spacing w:line="480" w:lineRule="auto"/>
        <w:ind w:firstLine="200" w:firstLineChars="200"/>
        <w:rPr>
          <w:rFonts w:ascii="Arial" w:hAnsi="Arial" w:cs="Arial"/>
          <w:color w:val="000000"/>
          <w:sz w:val="10"/>
          <w:szCs w:val="10"/>
        </w:rPr>
      </w:pPr>
    </w:p>
    <w:p>
      <w:pPr>
        <w:pStyle w:val="5"/>
        <w:spacing w:before="0" w:after="0" w:line="480" w:lineRule="auto"/>
        <w:ind w:firstLine="207" w:firstLineChars="98"/>
        <w:rPr>
          <w:rFonts w:eastAsia="宋体" w:cs="Arial"/>
          <w:sz w:val="21"/>
          <w:szCs w:val="21"/>
        </w:rPr>
      </w:pPr>
      <w:bookmarkStart w:id="201" w:name="_Toc109012117"/>
      <w:bookmarkStart w:id="202" w:name="_Toc331425238"/>
      <w:bookmarkStart w:id="203" w:name="_Toc146106162"/>
      <w:bookmarkStart w:id="204" w:name="_Toc106177903"/>
      <w:bookmarkStart w:id="205" w:name="_Toc12072695"/>
      <w:r>
        <w:rPr>
          <w:rFonts w:eastAsia="宋体" w:cs="Arial"/>
          <w:sz w:val="21"/>
          <w:szCs w:val="21"/>
        </w:rPr>
        <w:t>（三）利润分配</w:t>
      </w:r>
      <w:bookmarkEnd w:id="201"/>
      <w:bookmarkEnd w:id="202"/>
      <w:bookmarkEnd w:id="203"/>
      <w:bookmarkEnd w:id="204"/>
      <w:bookmarkEnd w:id="205"/>
    </w:p>
    <w:p>
      <w:pPr>
        <w:spacing w:line="480" w:lineRule="auto"/>
        <w:ind w:firstLine="443" w:firstLineChars="211"/>
        <w:rPr>
          <w:rFonts w:ascii="Arial" w:hAnsi="Arial" w:cs="Arial"/>
          <w:color w:val="000000"/>
          <w:sz w:val="21"/>
          <w:szCs w:val="21"/>
        </w:rPr>
      </w:pPr>
      <w:r>
        <w:rPr>
          <w:rFonts w:ascii="Arial" w:hAnsi="Arial" w:cs="Arial"/>
          <w:color w:val="000000"/>
          <w:sz w:val="21"/>
          <w:szCs w:val="21"/>
        </w:rPr>
        <w:t>1、税费选择</w:t>
      </w:r>
    </w:p>
    <w:p>
      <w:pPr>
        <w:spacing w:line="480" w:lineRule="auto"/>
        <w:ind w:firstLine="420" w:firstLineChars="200"/>
        <w:rPr>
          <w:rFonts w:ascii="Arial" w:hAnsi="Arial" w:cs="Arial"/>
          <w:color w:val="000000"/>
          <w:sz w:val="21"/>
          <w:szCs w:val="21"/>
        </w:rPr>
      </w:pPr>
      <w:r>
        <w:rPr>
          <w:rFonts w:ascii="Arial" w:hAnsi="Arial" w:cs="Arial"/>
          <w:color w:val="000000"/>
          <w:sz w:val="21"/>
          <w:szCs w:val="21"/>
        </w:rPr>
        <w:t>根据</w:t>
      </w:r>
      <w:r>
        <w:rPr>
          <w:rFonts w:ascii="Arial" w:hAnsi="Arial" w:cs="Arial"/>
          <w:sz w:val="21"/>
          <w:szCs w:val="21"/>
        </w:rPr>
        <w:t>国家和</w:t>
      </w:r>
      <w:r>
        <w:rPr>
          <w:rFonts w:hint="eastAsia" w:ascii="Arial" w:hAnsi="Arial" w:cs="Arial"/>
          <w:sz w:val="21"/>
          <w:szCs w:val="21"/>
        </w:rPr>
        <w:t>温州市及永嘉县</w:t>
      </w:r>
      <w:r>
        <w:rPr>
          <w:rFonts w:ascii="Arial" w:hAnsi="Arial" w:cs="Arial"/>
          <w:sz w:val="21"/>
          <w:szCs w:val="21"/>
        </w:rPr>
        <w:t>现</w:t>
      </w:r>
      <w:r>
        <w:rPr>
          <w:rFonts w:ascii="Arial" w:hAnsi="Arial" w:cs="Arial"/>
          <w:color w:val="000000"/>
          <w:sz w:val="21"/>
          <w:szCs w:val="21"/>
        </w:rPr>
        <w:t>行财税制度要求，结合企业实际情况，</w:t>
      </w:r>
      <w:r>
        <w:rPr>
          <w:rFonts w:hint="eastAsia" w:ascii="Arial" w:hAnsi="Arial" w:cs="Arial"/>
          <w:color w:val="000000"/>
          <w:sz w:val="21"/>
          <w:szCs w:val="21"/>
        </w:rPr>
        <w:t>调研项目</w:t>
      </w:r>
      <w:r>
        <w:rPr>
          <w:rFonts w:ascii="Arial" w:hAnsi="Arial" w:cs="Arial"/>
          <w:color w:val="000000"/>
          <w:sz w:val="21"/>
          <w:szCs w:val="21"/>
        </w:rPr>
        <w:t>增值税率</w:t>
      </w:r>
      <w:r>
        <w:rPr>
          <w:rFonts w:hint="eastAsia" w:ascii="Arial" w:hAnsi="Arial" w:cs="Arial"/>
          <w:color w:val="000000"/>
          <w:sz w:val="21"/>
          <w:szCs w:val="21"/>
        </w:rPr>
        <w:t>为9%，</w:t>
      </w:r>
      <w:r>
        <w:rPr>
          <w:rFonts w:ascii="Arial" w:hAnsi="Arial" w:cs="Arial"/>
          <w:color w:val="000000"/>
          <w:sz w:val="21"/>
          <w:szCs w:val="21"/>
        </w:rPr>
        <w:t>按销售收入</w:t>
      </w:r>
      <w:r>
        <w:rPr>
          <w:rFonts w:hint="eastAsia" w:ascii="Arial" w:hAnsi="Arial" w:cs="Arial"/>
          <w:color w:val="000000"/>
          <w:sz w:val="21"/>
          <w:szCs w:val="21"/>
        </w:rPr>
        <w:t>计算，预缴比例为住宅2</w:t>
      </w:r>
      <w:r>
        <w:rPr>
          <w:rFonts w:ascii="Arial" w:hAnsi="Arial" w:cs="Arial"/>
          <w:color w:val="000000"/>
          <w:sz w:val="21"/>
          <w:szCs w:val="21"/>
        </w:rPr>
        <w:t>%</w:t>
      </w:r>
      <w:r>
        <w:rPr>
          <w:rFonts w:hint="eastAsia" w:ascii="Arial" w:hAnsi="Arial" w:cs="Arial"/>
          <w:color w:val="000000"/>
          <w:sz w:val="21"/>
          <w:szCs w:val="21"/>
        </w:rPr>
        <w:t>、非住宅2%</w:t>
      </w:r>
      <w:r>
        <w:rPr>
          <w:rFonts w:ascii="Arial" w:hAnsi="Arial" w:cs="Arial"/>
          <w:color w:val="000000"/>
          <w:sz w:val="21"/>
          <w:szCs w:val="21"/>
        </w:rPr>
        <w:t>，</w:t>
      </w:r>
      <w:r>
        <w:rPr>
          <w:rFonts w:hint="eastAsia" w:ascii="Arial" w:hAnsi="Arial" w:cs="Arial"/>
          <w:color w:val="000000"/>
          <w:sz w:val="21"/>
          <w:szCs w:val="21"/>
        </w:rPr>
        <w:t>多缴不退；</w:t>
      </w:r>
      <w:r>
        <w:rPr>
          <w:rFonts w:ascii="Arial" w:hAnsi="Arial" w:cs="Arial"/>
          <w:color w:val="000000"/>
          <w:sz w:val="21"/>
          <w:szCs w:val="21"/>
        </w:rPr>
        <w:t>教育费附加、地方教育费附加、城市维护建设税率</w:t>
      </w:r>
      <w:r>
        <w:rPr>
          <w:rFonts w:hint="eastAsia" w:ascii="Arial" w:hAnsi="Arial" w:cs="Arial"/>
          <w:color w:val="000000"/>
          <w:sz w:val="21"/>
          <w:szCs w:val="21"/>
        </w:rPr>
        <w:t>、防洪费</w:t>
      </w:r>
      <w:r>
        <w:rPr>
          <w:rFonts w:ascii="Arial" w:hAnsi="Arial" w:cs="Arial"/>
          <w:color w:val="000000"/>
          <w:sz w:val="21"/>
          <w:szCs w:val="21"/>
        </w:rPr>
        <w:t>分别为增值税的3%、2%、7%</w:t>
      </w:r>
      <w:r>
        <w:rPr>
          <w:rFonts w:hint="eastAsia" w:ascii="Arial" w:hAnsi="Arial" w:cs="Arial"/>
          <w:color w:val="000000"/>
          <w:sz w:val="21"/>
          <w:szCs w:val="21"/>
        </w:rPr>
        <w:t>、1%</w:t>
      </w:r>
      <w:r>
        <w:rPr>
          <w:rFonts w:ascii="Arial" w:hAnsi="Arial" w:cs="Arial"/>
          <w:color w:val="000000"/>
          <w:sz w:val="21"/>
          <w:szCs w:val="21"/>
        </w:rPr>
        <w:t>；所得税按25%测算。</w:t>
      </w:r>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2</w:t>
      </w:r>
      <w:r>
        <w:rPr>
          <w:rFonts w:ascii="Arial" w:hAnsi="Arial" w:cs="Arial"/>
          <w:color w:val="000000"/>
          <w:sz w:val="21"/>
          <w:szCs w:val="21"/>
        </w:rPr>
        <w:t>、公积金</w:t>
      </w:r>
    </w:p>
    <w:p>
      <w:pPr>
        <w:spacing w:line="480" w:lineRule="auto"/>
        <w:ind w:firstLine="420" w:firstLineChars="200"/>
        <w:rPr>
          <w:rFonts w:ascii="Arial" w:hAnsi="Arial" w:cs="Arial"/>
          <w:color w:val="000000"/>
          <w:sz w:val="21"/>
          <w:szCs w:val="21"/>
        </w:rPr>
      </w:pPr>
      <w:r>
        <w:rPr>
          <w:rFonts w:ascii="Arial" w:hAnsi="Arial" w:cs="Arial"/>
          <w:color w:val="000000"/>
          <w:sz w:val="21"/>
          <w:szCs w:val="21"/>
        </w:rPr>
        <w:t>公司按净利润的10%提取盈余公积金。</w:t>
      </w:r>
    </w:p>
    <w:p>
      <w:pPr>
        <w:pStyle w:val="5"/>
        <w:spacing w:before="0" w:after="0" w:line="480" w:lineRule="auto"/>
        <w:rPr>
          <w:rFonts w:eastAsia="宋体" w:cs="Arial"/>
          <w:b w:val="0"/>
          <w:bCs/>
          <w:color w:val="000000"/>
          <w:sz w:val="21"/>
          <w:szCs w:val="21"/>
        </w:rPr>
      </w:pPr>
      <w:bookmarkStart w:id="206" w:name="_Toc109012118"/>
      <w:bookmarkStart w:id="207" w:name="_Toc532810739"/>
      <w:bookmarkStart w:id="208" w:name="_Toc106177904"/>
      <w:bookmarkStart w:id="209" w:name="_Toc146106163"/>
      <w:bookmarkStart w:id="210" w:name="_Toc522074590"/>
      <w:bookmarkStart w:id="211" w:name="_Toc109118464"/>
      <w:bookmarkStart w:id="212" w:name="_Toc12072696"/>
      <w:bookmarkStart w:id="213" w:name="_Toc118531930"/>
      <w:bookmarkStart w:id="214" w:name="_Toc331425239"/>
      <w:r>
        <w:rPr>
          <w:rFonts w:eastAsia="宋体" w:cs="Arial"/>
          <w:sz w:val="21"/>
          <w:szCs w:val="21"/>
        </w:rPr>
        <w:t>三、项目财务效益测算</w:t>
      </w:r>
      <w:bookmarkEnd w:id="206"/>
      <w:bookmarkEnd w:id="207"/>
      <w:bookmarkEnd w:id="208"/>
      <w:bookmarkEnd w:id="209"/>
      <w:bookmarkEnd w:id="210"/>
      <w:bookmarkEnd w:id="211"/>
      <w:bookmarkEnd w:id="212"/>
      <w:bookmarkEnd w:id="213"/>
      <w:bookmarkEnd w:id="214"/>
    </w:p>
    <w:p>
      <w:pPr>
        <w:pStyle w:val="5"/>
        <w:spacing w:before="0" w:after="0" w:line="480" w:lineRule="auto"/>
        <w:ind w:firstLine="207" w:firstLineChars="98"/>
        <w:rPr>
          <w:rFonts w:eastAsia="宋体" w:cs="Arial"/>
          <w:sz w:val="21"/>
          <w:szCs w:val="21"/>
        </w:rPr>
      </w:pPr>
      <w:bookmarkStart w:id="215" w:name="_Toc12072697"/>
      <w:bookmarkStart w:id="216" w:name="_Toc109012119"/>
      <w:bookmarkStart w:id="217" w:name="_Toc146106164"/>
      <w:bookmarkStart w:id="218" w:name="_Toc331425240"/>
      <w:bookmarkStart w:id="219" w:name="_Toc106177905"/>
      <w:r>
        <w:rPr>
          <w:rFonts w:eastAsia="宋体" w:cs="Arial"/>
          <w:sz w:val="21"/>
          <w:szCs w:val="21"/>
        </w:rPr>
        <w:t>（一）项目盈利能力预测</w:t>
      </w:r>
      <w:bookmarkEnd w:id="215"/>
      <w:bookmarkEnd w:id="216"/>
      <w:bookmarkEnd w:id="217"/>
      <w:bookmarkEnd w:id="218"/>
      <w:bookmarkEnd w:id="219"/>
    </w:p>
    <w:p>
      <w:pPr>
        <w:spacing w:line="480" w:lineRule="auto"/>
        <w:ind w:firstLine="420" w:firstLineChars="200"/>
        <w:rPr>
          <w:rFonts w:ascii="Arial" w:hAnsi="Arial" w:cs="Arial"/>
          <w:bCs/>
          <w:color w:val="000000"/>
          <w:sz w:val="21"/>
          <w:szCs w:val="21"/>
        </w:rPr>
      </w:pPr>
      <w:bookmarkStart w:id="220" w:name="_Toc331425241"/>
      <w:bookmarkStart w:id="221" w:name="_Toc12072698"/>
      <w:bookmarkStart w:id="222" w:name="_Toc146106165"/>
      <w:bookmarkStart w:id="223" w:name="_Toc109012120"/>
      <w:r>
        <w:rPr>
          <w:rFonts w:ascii="Arial" w:hAnsi="Arial" w:cs="Arial"/>
          <w:color w:val="000000"/>
          <w:sz w:val="21"/>
          <w:szCs w:val="21"/>
        </w:rPr>
        <w:t>经</w:t>
      </w:r>
      <w:bookmarkStart w:id="246" w:name="_GoBack"/>
      <w:r>
        <w:rPr>
          <w:rFonts w:ascii="Arial" w:hAnsi="Arial" w:cs="Arial"/>
          <w:color w:val="000000"/>
          <w:sz w:val="21"/>
          <w:szCs w:val="21"/>
          <w:highlight w:val="none"/>
        </w:rPr>
        <w:t>测算，项目</w:t>
      </w:r>
      <w:r>
        <w:rPr>
          <w:rFonts w:hint="eastAsia" w:ascii="Arial" w:hAnsi="Arial" w:cs="Arial"/>
          <w:color w:val="000000"/>
          <w:sz w:val="21"/>
          <w:szCs w:val="21"/>
          <w:highlight w:val="none"/>
        </w:rPr>
        <w:t>总投资为95882</w:t>
      </w:r>
      <w:r>
        <w:rPr>
          <w:rFonts w:ascii="Arial" w:hAnsi="Arial" w:cs="Arial"/>
          <w:color w:val="000000"/>
          <w:sz w:val="21"/>
          <w:szCs w:val="21"/>
          <w:highlight w:val="none"/>
        </w:rPr>
        <w:t>万元，经测算项目可实现销售收入</w:t>
      </w:r>
      <w:r>
        <w:rPr>
          <w:rFonts w:hint="eastAsia" w:ascii="Arial" w:hAnsi="Arial" w:cs="Arial"/>
          <w:color w:val="000000"/>
          <w:sz w:val="21"/>
          <w:szCs w:val="21"/>
          <w:highlight w:val="none"/>
        </w:rPr>
        <w:t>107481</w:t>
      </w:r>
      <w:r>
        <w:rPr>
          <w:rFonts w:ascii="Arial" w:hAnsi="Arial" w:cs="Arial"/>
          <w:color w:val="000000"/>
          <w:sz w:val="21"/>
          <w:szCs w:val="21"/>
          <w:highlight w:val="none"/>
        </w:rPr>
        <w:t>万元，税前利润总额</w:t>
      </w:r>
      <w:r>
        <w:rPr>
          <w:rFonts w:hint="eastAsia" w:ascii="Arial" w:hAnsi="Arial" w:cs="Arial"/>
          <w:color w:val="000000"/>
          <w:sz w:val="21"/>
          <w:szCs w:val="21"/>
          <w:highlight w:val="none"/>
        </w:rPr>
        <w:t>6111</w:t>
      </w:r>
      <w:r>
        <w:rPr>
          <w:rFonts w:ascii="Arial" w:hAnsi="Arial" w:cs="Arial"/>
          <w:color w:val="000000"/>
          <w:sz w:val="21"/>
          <w:szCs w:val="21"/>
          <w:highlight w:val="none"/>
        </w:rPr>
        <w:t>万元，税后利润总</w:t>
      </w:r>
      <w:r>
        <w:rPr>
          <w:rFonts w:ascii="Arial" w:hAnsi="Arial" w:cs="Arial"/>
          <w:sz w:val="21"/>
          <w:szCs w:val="21"/>
          <w:highlight w:val="none"/>
        </w:rPr>
        <w:t>额</w:t>
      </w:r>
      <w:r>
        <w:rPr>
          <w:rFonts w:hint="eastAsia" w:ascii="Arial" w:hAnsi="Arial" w:cs="Arial"/>
          <w:sz w:val="21"/>
          <w:szCs w:val="21"/>
          <w:highlight w:val="none"/>
        </w:rPr>
        <w:t>4583</w:t>
      </w:r>
      <w:r>
        <w:rPr>
          <w:rFonts w:ascii="Arial" w:hAnsi="Arial" w:cs="Arial"/>
          <w:sz w:val="21"/>
          <w:szCs w:val="21"/>
          <w:highlight w:val="none"/>
        </w:rPr>
        <w:t>万</w:t>
      </w:r>
      <w:r>
        <w:rPr>
          <w:rFonts w:ascii="Arial" w:hAnsi="Arial" w:cs="Arial"/>
          <w:color w:val="000000"/>
          <w:sz w:val="21"/>
          <w:szCs w:val="21"/>
          <w:highlight w:val="none"/>
        </w:rPr>
        <w:t>元，</w:t>
      </w:r>
      <w:bookmarkEnd w:id="246"/>
      <w:r>
        <w:rPr>
          <w:rFonts w:hint="eastAsia" w:ascii="Arial" w:hAnsi="Arial" w:cs="Arial"/>
          <w:color w:val="000000"/>
          <w:sz w:val="21"/>
          <w:szCs w:val="21"/>
        </w:rPr>
        <w:t>销售</w:t>
      </w:r>
      <w:r>
        <w:rPr>
          <w:rFonts w:ascii="Arial" w:hAnsi="Arial" w:cs="Arial"/>
          <w:color w:val="000000"/>
          <w:sz w:val="21"/>
          <w:szCs w:val="21"/>
        </w:rPr>
        <w:t>利润率</w:t>
      </w:r>
      <w:r>
        <w:rPr>
          <w:rFonts w:hint="eastAsia" w:ascii="Arial" w:hAnsi="Arial" w:cs="Arial"/>
          <w:color w:val="000000"/>
          <w:sz w:val="21"/>
          <w:szCs w:val="21"/>
        </w:rPr>
        <w:t>为正</w:t>
      </w:r>
      <w:r>
        <w:rPr>
          <w:rFonts w:ascii="Arial" w:hAnsi="Arial" w:cs="Arial"/>
          <w:bCs/>
          <w:color w:val="000000"/>
          <w:sz w:val="21"/>
          <w:szCs w:val="21"/>
        </w:rPr>
        <w:t>，表明</w:t>
      </w:r>
      <w:r>
        <w:rPr>
          <w:rFonts w:ascii="Arial" w:hAnsi="Arial" w:cs="Arial"/>
          <w:color w:val="000000"/>
          <w:sz w:val="21"/>
          <w:szCs w:val="21"/>
        </w:rPr>
        <w:t>项目</w:t>
      </w:r>
      <w:r>
        <w:rPr>
          <w:rFonts w:hint="eastAsia" w:ascii="Arial" w:hAnsi="Arial" w:cs="Arial"/>
          <w:color w:val="000000"/>
          <w:sz w:val="21"/>
          <w:szCs w:val="21"/>
        </w:rPr>
        <w:t>具有</w:t>
      </w:r>
      <w:r>
        <w:rPr>
          <w:rFonts w:ascii="Arial" w:hAnsi="Arial" w:cs="Arial"/>
          <w:color w:val="000000"/>
          <w:sz w:val="21"/>
          <w:szCs w:val="21"/>
        </w:rPr>
        <w:t>盈利能力（见主表3）。</w:t>
      </w:r>
    </w:p>
    <w:p>
      <w:pPr>
        <w:pStyle w:val="5"/>
        <w:tabs>
          <w:tab w:val="left" w:pos="5010"/>
        </w:tabs>
        <w:spacing w:before="0" w:after="0" w:line="480" w:lineRule="auto"/>
        <w:ind w:firstLine="207" w:firstLineChars="98"/>
        <w:rPr>
          <w:rFonts w:eastAsia="宋体" w:cs="Arial"/>
          <w:b w:val="0"/>
          <w:bCs/>
          <w:color w:val="000000"/>
          <w:sz w:val="21"/>
          <w:szCs w:val="21"/>
        </w:rPr>
      </w:pPr>
      <w:bookmarkStart w:id="224" w:name="_Toc106177906"/>
      <w:r>
        <w:rPr>
          <w:rFonts w:eastAsia="宋体" w:cs="Arial"/>
          <w:sz w:val="21"/>
          <w:szCs w:val="21"/>
        </w:rPr>
        <w:t>（二）项目财务效益预测</w:t>
      </w:r>
      <w:bookmarkEnd w:id="220"/>
      <w:bookmarkEnd w:id="221"/>
      <w:bookmarkEnd w:id="222"/>
      <w:bookmarkEnd w:id="223"/>
      <w:bookmarkEnd w:id="224"/>
    </w:p>
    <w:p>
      <w:pPr>
        <w:spacing w:line="480" w:lineRule="auto"/>
        <w:ind w:firstLine="420" w:firstLineChars="200"/>
      </w:pPr>
      <w:bookmarkStart w:id="225" w:name="_Toc109012121"/>
      <w:bookmarkStart w:id="226" w:name="_Toc331425242"/>
      <w:bookmarkStart w:id="227" w:name="_Toc12072699"/>
      <w:bookmarkStart w:id="228" w:name="_Toc146106166"/>
      <w:bookmarkStart w:id="229" w:name="_Toc459125519"/>
      <w:r>
        <w:rPr>
          <w:rFonts w:ascii="Arial" w:hAnsi="Arial" w:cs="Arial"/>
          <w:color w:val="000000"/>
          <w:sz w:val="21"/>
          <w:szCs w:val="21"/>
        </w:rPr>
        <w:t>项目内部收益率</w:t>
      </w:r>
      <w:r>
        <w:rPr>
          <w:rFonts w:hint="eastAsia" w:ascii="Arial" w:hAnsi="Arial" w:cs="Arial"/>
          <w:color w:val="000000"/>
          <w:sz w:val="21"/>
          <w:szCs w:val="21"/>
        </w:rPr>
        <w:t>50.88</w:t>
      </w:r>
      <w:r>
        <w:rPr>
          <w:rFonts w:ascii="Arial" w:hAnsi="Arial" w:cs="Arial"/>
          <w:color w:val="000000"/>
          <w:sz w:val="21"/>
          <w:szCs w:val="21"/>
        </w:rPr>
        <w:t>%。在基准折现率</w:t>
      </w:r>
      <w:r>
        <w:rPr>
          <w:rFonts w:hint="eastAsia" w:ascii="Arial" w:hAnsi="Arial" w:cs="Arial"/>
          <w:color w:val="000000"/>
          <w:sz w:val="21"/>
          <w:szCs w:val="21"/>
        </w:rPr>
        <w:t>8</w:t>
      </w:r>
      <w:r>
        <w:rPr>
          <w:rFonts w:ascii="Arial" w:hAnsi="Arial" w:cs="Arial"/>
          <w:color w:val="000000"/>
          <w:sz w:val="21"/>
          <w:szCs w:val="21"/>
        </w:rPr>
        <w:t>%的条件下，财务净现值</w:t>
      </w:r>
      <w:r>
        <w:rPr>
          <w:rFonts w:hint="eastAsia" w:ascii="Arial" w:hAnsi="Arial" w:cs="Arial"/>
          <w:color w:val="000000"/>
          <w:sz w:val="21"/>
          <w:szCs w:val="21"/>
        </w:rPr>
        <w:t>为3418</w:t>
      </w:r>
      <w:r>
        <w:rPr>
          <w:rFonts w:ascii="Arial" w:hAnsi="Arial" w:cs="Arial"/>
          <w:color w:val="000000"/>
          <w:sz w:val="21"/>
          <w:szCs w:val="21"/>
        </w:rPr>
        <w:t>万元。测算结果表明，财务内部收益率</w:t>
      </w:r>
      <w:r>
        <w:rPr>
          <w:rFonts w:hint="eastAsia" w:ascii="Arial" w:hAnsi="Arial" w:cs="Arial"/>
          <w:color w:val="000000"/>
          <w:sz w:val="21"/>
          <w:szCs w:val="21"/>
        </w:rPr>
        <w:t>高于</w:t>
      </w:r>
      <w:r>
        <w:rPr>
          <w:rFonts w:ascii="Arial" w:hAnsi="Arial" w:cs="Arial"/>
          <w:color w:val="000000"/>
          <w:sz w:val="21"/>
          <w:szCs w:val="21"/>
        </w:rPr>
        <w:t>基准折现率，财务净现值</w:t>
      </w:r>
      <w:r>
        <w:rPr>
          <w:rFonts w:hint="eastAsia" w:ascii="Arial" w:hAnsi="Arial" w:cs="Arial"/>
          <w:color w:val="000000"/>
          <w:sz w:val="21"/>
          <w:szCs w:val="21"/>
        </w:rPr>
        <w:t>大</w:t>
      </w:r>
      <w:r>
        <w:rPr>
          <w:rFonts w:ascii="Arial" w:hAnsi="Arial" w:cs="Arial"/>
          <w:color w:val="000000"/>
          <w:sz w:val="21"/>
          <w:szCs w:val="21"/>
        </w:rPr>
        <w:t>于零，表明项目在财务上是可行的（见主表2）</w:t>
      </w:r>
      <w:r>
        <w:rPr>
          <w:rFonts w:ascii="Arial" w:hAnsi="Arial" w:cs="Arial"/>
          <w:color w:val="000000"/>
          <w:szCs w:val="21"/>
        </w:rPr>
        <w:t>。</w:t>
      </w:r>
    </w:p>
    <w:bookmarkEnd w:id="225"/>
    <w:bookmarkEnd w:id="226"/>
    <w:bookmarkEnd w:id="227"/>
    <w:bookmarkEnd w:id="228"/>
    <w:bookmarkEnd w:id="229"/>
    <w:p>
      <w:pPr>
        <w:pStyle w:val="4"/>
        <w:spacing w:before="240"/>
        <w:rPr>
          <w:rFonts w:ascii="Arial" w:hAnsi="Arial" w:eastAsia="方正黑体简体" w:cs="Arial"/>
          <w:b w:val="0"/>
          <w:bCs/>
          <w:sz w:val="32"/>
          <w:szCs w:val="32"/>
        </w:rPr>
        <w:sectPr>
          <w:headerReference r:id="rId26" w:type="first"/>
          <w:headerReference r:id="rId25" w:type="even"/>
          <w:pgSz w:w="11906" w:h="16838"/>
          <w:pgMar w:top="1843" w:right="1304" w:bottom="1134" w:left="1304" w:header="1134" w:footer="907" w:gutter="0"/>
          <w:cols w:space="425" w:num="1"/>
          <w:titlePg/>
          <w:docGrid w:linePitch="312" w:charSpace="0"/>
        </w:sectPr>
      </w:pPr>
    </w:p>
    <w:p>
      <w:pPr>
        <w:pStyle w:val="4"/>
        <w:spacing w:before="240"/>
        <w:rPr>
          <w:rFonts w:ascii="Arial" w:hAnsi="Arial" w:eastAsia="方正黑体简体" w:cs="Arial"/>
          <w:b w:val="0"/>
          <w:bCs/>
          <w:sz w:val="32"/>
          <w:szCs w:val="32"/>
        </w:rPr>
      </w:pPr>
      <w:bookmarkStart w:id="230" w:name="_Toc106177907"/>
      <w:r>
        <w:rPr>
          <w:rFonts w:ascii="Arial" w:hAnsi="Arial" w:eastAsia="方正黑体简体" w:cs="Arial"/>
          <w:b w:val="0"/>
          <w:bCs/>
          <w:sz w:val="32"/>
          <w:szCs w:val="32"/>
        </w:rPr>
        <w:t>第六章  项目效应与风险评价</w:t>
      </w:r>
      <w:bookmarkEnd w:id="230"/>
    </w:p>
    <w:p>
      <w:pPr>
        <w:pStyle w:val="5"/>
        <w:spacing w:before="0" w:after="0" w:line="480" w:lineRule="auto"/>
        <w:rPr>
          <w:rFonts w:eastAsia="宋体" w:cs="Arial"/>
          <w:sz w:val="21"/>
          <w:szCs w:val="21"/>
        </w:rPr>
      </w:pPr>
      <w:bookmarkStart w:id="231" w:name="_Toc44300289"/>
      <w:bookmarkStart w:id="232" w:name="_Toc76889713"/>
      <w:bookmarkStart w:id="233" w:name="_Toc44300288"/>
      <w:bookmarkStart w:id="234" w:name="_Toc76889714"/>
      <w:bookmarkStart w:id="235" w:name="_Toc106177908"/>
      <w:r>
        <w:rPr>
          <w:rFonts w:eastAsia="宋体" w:cs="Arial"/>
          <w:sz w:val="21"/>
          <w:szCs w:val="21"/>
        </w:rPr>
        <w:t>一、</w:t>
      </w:r>
      <w:bookmarkEnd w:id="231"/>
      <w:bookmarkEnd w:id="232"/>
      <w:bookmarkEnd w:id="233"/>
      <w:bookmarkEnd w:id="234"/>
      <w:bookmarkStart w:id="236" w:name="_Toc146106170"/>
      <w:bookmarkStart w:id="237" w:name="_Toc76889716"/>
      <w:bookmarkStart w:id="238" w:name="_Toc44300291"/>
      <w:r>
        <w:rPr>
          <w:rFonts w:eastAsia="宋体" w:cs="Arial"/>
          <w:sz w:val="21"/>
          <w:szCs w:val="21"/>
        </w:rPr>
        <w:t>风险评价</w:t>
      </w:r>
      <w:bookmarkEnd w:id="236"/>
      <w:r>
        <w:rPr>
          <w:rFonts w:hint="eastAsia" w:eastAsia="宋体" w:cs="Arial"/>
          <w:sz w:val="21"/>
          <w:szCs w:val="21"/>
        </w:rPr>
        <w:t>及</w:t>
      </w:r>
      <w:r>
        <w:rPr>
          <w:rFonts w:eastAsia="宋体" w:cs="Arial"/>
          <w:sz w:val="21"/>
          <w:szCs w:val="21"/>
        </w:rPr>
        <w:t>防范措施</w:t>
      </w:r>
      <w:bookmarkEnd w:id="235"/>
    </w:p>
    <w:p>
      <w:pPr>
        <w:adjustRightInd w:val="0"/>
        <w:snapToGrid w:val="0"/>
        <w:spacing w:line="480" w:lineRule="auto"/>
        <w:ind w:firstLine="561"/>
        <w:rPr>
          <w:rFonts w:ascii="Arial" w:hAnsi="Arial" w:cs="Arial"/>
          <w:color w:val="000000"/>
          <w:sz w:val="21"/>
          <w:szCs w:val="21"/>
        </w:rPr>
      </w:pPr>
      <w:bookmarkStart w:id="239" w:name="_Toc146106173"/>
      <w:bookmarkStart w:id="240" w:name="_Toc118531935"/>
      <w:bookmarkStart w:id="241" w:name="_Toc109118469"/>
      <w:r>
        <w:rPr>
          <w:rFonts w:hint="eastAsia" w:ascii="Arial" w:hAnsi="Arial" w:cs="Arial"/>
          <w:color w:val="000000"/>
          <w:sz w:val="21"/>
          <w:szCs w:val="21"/>
        </w:rPr>
        <w:t>（一）风险</w:t>
      </w:r>
      <w:r>
        <w:rPr>
          <w:rFonts w:ascii="Arial" w:hAnsi="Arial" w:cs="Arial"/>
          <w:color w:val="000000"/>
          <w:sz w:val="21"/>
          <w:szCs w:val="21"/>
        </w:rPr>
        <w:t>评价</w:t>
      </w:r>
    </w:p>
    <w:p>
      <w:pPr>
        <w:adjustRightInd w:val="0"/>
        <w:snapToGrid w:val="0"/>
        <w:spacing w:line="480" w:lineRule="auto"/>
        <w:ind w:firstLine="561"/>
        <w:rPr>
          <w:rFonts w:ascii="Arial" w:hAnsi="Arial" w:cs="Arial"/>
          <w:color w:val="000000"/>
          <w:sz w:val="21"/>
          <w:szCs w:val="21"/>
        </w:rPr>
      </w:pPr>
      <w:r>
        <w:rPr>
          <w:rFonts w:ascii="Arial" w:hAnsi="Arial" w:cs="Arial"/>
          <w:color w:val="000000"/>
          <w:sz w:val="21"/>
          <w:szCs w:val="21"/>
        </w:rPr>
        <w:t>根据国家和</w:t>
      </w:r>
      <w:r>
        <w:rPr>
          <w:rFonts w:hint="eastAsia" w:ascii="Arial" w:hAnsi="Arial" w:cs="Arial"/>
          <w:color w:val="000000"/>
          <w:sz w:val="21"/>
          <w:szCs w:val="21"/>
        </w:rPr>
        <w:t>永嘉县</w:t>
      </w:r>
      <w:r>
        <w:rPr>
          <w:rFonts w:ascii="Arial" w:hAnsi="Arial" w:cs="Arial"/>
          <w:color w:val="000000"/>
          <w:sz w:val="21"/>
          <w:szCs w:val="21"/>
        </w:rPr>
        <w:t>对房地产物业政策、项目建设条件、资金筹措、产品销售进行综合分析，评估认为本项目主要存在市场风险</w:t>
      </w:r>
      <w:r>
        <w:rPr>
          <w:rFonts w:hint="eastAsia" w:ascii="Arial" w:hAnsi="Arial" w:cs="Arial"/>
          <w:color w:val="000000"/>
          <w:sz w:val="21"/>
          <w:szCs w:val="21"/>
        </w:rPr>
        <w:t>、规划指标实现风险、工期控制及取得预售风险、成本控制风险</w:t>
      </w:r>
      <w:r>
        <w:rPr>
          <w:rFonts w:ascii="Arial" w:hAnsi="Arial" w:cs="Arial"/>
          <w:color w:val="000000"/>
          <w:sz w:val="21"/>
          <w:szCs w:val="21"/>
        </w:rPr>
        <w:t>。</w:t>
      </w:r>
      <w:bookmarkStart w:id="242" w:name="_Toc148758536"/>
    </w:p>
    <w:p>
      <w:pPr>
        <w:adjustRightInd w:val="0"/>
        <w:snapToGrid w:val="0"/>
        <w:spacing w:line="480" w:lineRule="auto"/>
        <w:ind w:firstLine="561"/>
        <w:rPr>
          <w:rFonts w:ascii="Arial" w:hAnsi="Arial" w:cs="Arial"/>
          <w:color w:val="000000"/>
          <w:sz w:val="21"/>
          <w:szCs w:val="21"/>
        </w:rPr>
      </w:pPr>
      <w:r>
        <w:rPr>
          <w:rFonts w:hint="eastAsia" w:ascii="Arial" w:hAnsi="Arial" w:cs="Arial"/>
          <w:color w:val="000000"/>
          <w:sz w:val="21"/>
          <w:szCs w:val="21"/>
        </w:rPr>
        <w:t>1</w:t>
      </w:r>
      <w:r>
        <w:rPr>
          <w:rFonts w:ascii="Arial" w:hAnsi="Arial" w:cs="Arial"/>
          <w:color w:val="000000"/>
          <w:sz w:val="21"/>
          <w:szCs w:val="21"/>
        </w:rPr>
        <w:t>.</w:t>
      </w:r>
      <w:r>
        <w:rPr>
          <w:rFonts w:hint="eastAsia" w:ascii="Arial" w:hAnsi="Arial" w:cs="Arial"/>
          <w:color w:val="000000"/>
          <w:sz w:val="21"/>
          <w:szCs w:val="21"/>
        </w:rPr>
        <w:t>市场风险</w:t>
      </w:r>
      <w:r>
        <w:rPr>
          <w:rFonts w:ascii="Arial" w:hAnsi="Arial" w:cs="Arial"/>
          <w:color w:val="000000"/>
          <w:sz w:val="21"/>
          <w:szCs w:val="21"/>
        </w:rPr>
        <w:t>。虽然项目所处的</w:t>
      </w:r>
      <w:r>
        <w:rPr>
          <w:rFonts w:hint="eastAsia" w:ascii="Arial" w:hAnsi="Arial" w:cs="Arial"/>
          <w:color w:val="000000"/>
          <w:sz w:val="21"/>
          <w:szCs w:val="21"/>
        </w:rPr>
        <w:t>区位未来规划发展具有一定的市场潜力</w:t>
      </w:r>
      <w:r>
        <w:rPr>
          <w:rFonts w:ascii="Arial" w:hAnsi="Arial" w:cs="Arial"/>
          <w:color w:val="000000"/>
          <w:sz w:val="21"/>
          <w:szCs w:val="21"/>
        </w:rPr>
        <w:t>，企业</w:t>
      </w:r>
      <w:r>
        <w:rPr>
          <w:rFonts w:hint="eastAsia" w:ascii="Arial" w:hAnsi="Arial" w:cs="Arial"/>
          <w:color w:val="000000"/>
          <w:sz w:val="21"/>
          <w:szCs w:val="21"/>
        </w:rPr>
        <w:t>未来</w:t>
      </w:r>
      <w:r>
        <w:rPr>
          <w:rFonts w:ascii="Arial" w:hAnsi="Arial" w:cs="Arial"/>
          <w:color w:val="000000"/>
          <w:sz w:val="21"/>
          <w:szCs w:val="21"/>
        </w:rPr>
        <w:t>也</w:t>
      </w:r>
      <w:r>
        <w:rPr>
          <w:rFonts w:hint="eastAsia" w:ascii="Arial" w:hAnsi="Arial" w:cs="Arial"/>
          <w:color w:val="000000"/>
          <w:sz w:val="21"/>
          <w:szCs w:val="21"/>
        </w:rPr>
        <w:t>会</w:t>
      </w:r>
      <w:r>
        <w:rPr>
          <w:rFonts w:ascii="Arial" w:hAnsi="Arial" w:cs="Arial"/>
          <w:color w:val="000000"/>
          <w:sz w:val="21"/>
          <w:szCs w:val="21"/>
        </w:rPr>
        <w:t>根据项目自身特色确定市场推广方式和促销办法</w:t>
      </w:r>
      <w:r>
        <w:rPr>
          <w:rFonts w:hint="eastAsia" w:ascii="Arial" w:hAnsi="Arial" w:cs="Arial"/>
          <w:color w:val="000000"/>
          <w:sz w:val="21"/>
          <w:szCs w:val="21"/>
        </w:rPr>
        <w:t>，</w:t>
      </w:r>
      <w:r>
        <w:rPr>
          <w:rFonts w:ascii="Arial" w:hAnsi="Arial" w:cs="Arial"/>
          <w:color w:val="000000"/>
          <w:sz w:val="21"/>
          <w:szCs w:val="21"/>
        </w:rPr>
        <w:t>但由于</w:t>
      </w:r>
      <w:r>
        <w:rPr>
          <w:rFonts w:hint="eastAsia" w:ascii="Arial" w:hAnsi="Arial" w:cs="Arial"/>
          <w:color w:val="000000"/>
          <w:sz w:val="21"/>
          <w:szCs w:val="21"/>
        </w:rPr>
        <w:t>近两年区域供应量稳定，价格运行稳定，且受疫情影响，人群消费能力有所下降，且整体房地产市场较为萎靡，区域涨价能力较弱。</w:t>
      </w:r>
      <w:r>
        <w:rPr>
          <w:rFonts w:ascii="Arial" w:hAnsi="Arial" w:cs="Arial"/>
          <w:color w:val="000000"/>
          <w:sz w:val="21"/>
          <w:szCs w:val="21"/>
        </w:rPr>
        <w:t>评估认为只有在确保能够实现有效的营销策略以及房地产市场得以持续稳定增长的前提条件下，定价是可以实现的。因此项目销售可能受到一定影响。</w:t>
      </w:r>
      <w:bookmarkEnd w:id="242"/>
    </w:p>
    <w:p>
      <w:pPr>
        <w:adjustRightInd w:val="0"/>
        <w:snapToGrid w:val="0"/>
        <w:spacing w:line="480" w:lineRule="auto"/>
        <w:ind w:firstLine="561"/>
        <w:rPr>
          <w:rFonts w:ascii="Arial" w:hAnsi="Arial" w:cs="Arial"/>
          <w:color w:val="000000"/>
          <w:sz w:val="21"/>
          <w:szCs w:val="21"/>
        </w:rPr>
      </w:pPr>
      <w:r>
        <w:rPr>
          <w:rFonts w:hint="eastAsia" w:ascii="Arial" w:hAnsi="Arial" w:cs="Arial"/>
          <w:color w:val="000000"/>
          <w:sz w:val="21"/>
          <w:szCs w:val="21"/>
        </w:rPr>
        <w:t>2</w:t>
      </w:r>
      <w:r>
        <w:rPr>
          <w:rFonts w:ascii="Arial" w:hAnsi="Arial" w:cs="Arial"/>
          <w:color w:val="000000"/>
          <w:sz w:val="21"/>
          <w:szCs w:val="21"/>
        </w:rPr>
        <w:t>.</w:t>
      </w:r>
      <w:r>
        <w:rPr>
          <w:rFonts w:hint="eastAsia" w:ascii="Arial" w:hAnsi="Arial" w:cs="Arial"/>
          <w:color w:val="000000"/>
          <w:sz w:val="21"/>
          <w:szCs w:val="21"/>
        </w:rPr>
        <w:t>工期控制及取得预售风险。项目尚处于建设阶段，能否保证工期进度、顺利取得预售、实现销售存在一定的风险。</w:t>
      </w:r>
    </w:p>
    <w:p>
      <w:pPr>
        <w:adjustRightInd w:val="0"/>
        <w:snapToGrid w:val="0"/>
        <w:spacing w:line="480" w:lineRule="auto"/>
        <w:ind w:firstLine="561"/>
        <w:rPr>
          <w:rFonts w:ascii="Arial" w:hAnsi="Arial" w:cs="Arial"/>
          <w:color w:val="000000"/>
          <w:sz w:val="21"/>
          <w:szCs w:val="21"/>
        </w:rPr>
      </w:pPr>
      <w:r>
        <w:rPr>
          <w:rFonts w:hint="eastAsia" w:ascii="Arial" w:hAnsi="Arial" w:cs="Arial"/>
          <w:color w:val="000000"/>
          <w:sz w:val="21"/>
          <w:szCs w:val="21"/>
        </w:rPr>
        <w:t>4</w:t>
      </w:r>
      <w:r>
        <w:rPr>
          <w:rFonts w:ascii="Arial" w:hAnsi="Arial" w:cs="Arial"/>
          <w:color w:val="000000"/>
          <w:sz w:val="21"/>
          <w:szCs w:val="21"/>
        </w:rPr>
        <w:t>.</w:t>
      </w:r>
      <w:r>
        <w:rPr>
          <w:rFonts w:hint="eastAsia" w:ascii="Arial" w:hAnsi="Arial" w:cs="Arial"/>
          <w:color w:val="000000"/>
          <w:sz w:val="21"/>
          <w:szCs w:val="21"/>
        </w:rPr>
        <w:t>成本控制风险。随着人力物料等成本的不断上升项目的开发成本会存在一定的上升风险。</w:t>
      </w:r>
    </w:p>
    <w:p>
      <w:pPr>
        <w:adjustRightInd w:val="0"/>
        <w:snapToGrid w:val="0"/>
        <w:spacing w:line="480" w:lineRule="auto"/>
        <w:ind w:firstLine="561"/>
        <w:rPr>
          <w:rFonts w:ascii="Arial" w:hAnsi="Arial" w:cs="Arial"/>
          <w:color w:val="000000"/>
          <w:sz w:val="21"/>
          <w:szCs w:val="21"/>
        </w:rPr>
      </w:pPr>
      <w:r>
        <w:rPr>
          <w:rFonts w:hint="eastAsia" w:ascii="Arial" w:hAnsi="Arial" w:cs="Arial"/>
          <w:color w:val="000000"/>
          <w:sz w:val="21"/>
          <w:szCs w:val="21"/>
        </w:rPr>
        <w:t>(二）风险防范措施</w:t>
      </w:r>
    </w:p>
    <w:p>
      <w:pPr>
        <w:adjustRightInd w:val="0"/>
        <w:snapToGrid w:val="0"/>
        <w:spacing w:line="480" w:lineRule="auto"/>
        <w:ind w:firstLine="561"/>
        <w:rPr>
          <w:rFonts w:ascii="Arial" w:hAnsi="Arial" w:cs="Arial"/>
          <w:color w:val="000000"/>
          <w:sz w:val="21"/>
          <w:szCs w:val="21"/>
        </w:rPr>
      </w:pPr>
      <w:r>
        <w:rPr>
          <w:rFonts w:ascii="Arial" w:hAnsi="Arial" w:cs="Arial"/>
          <w:color w:val="000000"/>
          <w:sz w:val="21"/>
          <w:szCs w:val="21"/>
        </w:rPr>
        <w:t>1.</w:t>
      </w:r>
      <w:r>
        <w:rPr>
          <w:rFonts w:hint="eastAsia" w:ascii="Arial" w:hAnsi="Arial" w:cs="Arial"/>
          <w:color w:val="000000"/>
          <w:sz w:val="21"/>
          <w:szCs w:val="21"/>
        </w:rPr>
        <w:t>针对规划指标实现风险，建议贵公司监督融资主体的前期进度，</w:t>
      </w:r>
      <w:r>
        <w:rPr>
          <w:rFonts w:ascii="Arial" w:hAnsi="Arial" w:cs="Arial"/>
          <w:color w:val="000000"/>
          <w:sz w:val="21"/>
          <w:szCs w:val="21"/>
        </w:rPr>
        <w:t>按时取得</w:t>
      </w:r>
      <w:r>
        <w:rPr>
          <w:rFonts w:hint="eastAsia" w:ascii="Arial" w:hAnsi="Arial" w:cs="Arial"/>
          <w:color w:val="000000"/>
          <w:sz w:val="21"/>
          <w:szCs w:val="21"/>
        </w:rPr>
        <w:t>相关证件，保证项目工期。</w:t>
      </w:r>
    </w:p>
    <w:p>
      <w:pPr>
        <w:adjustRightInd w:val="0"/>
        <w:snapToGrid w:val="0"/>
        <w:spacing w:line="480" w:lineRule="auto"/>
        <w:ind w:firstLine="561"/>
        <w:rPr>
          <w:rFonts w:ascii="Arial" w:hAnsi="Arial" w:cs="Arial"/>
          <w:color w:val="000000"/>
          <w:sz w:val="21"/>
          <w:szCs w:val="21"/>
        </w:rPr>
      </w:pPr>
      <w:r>
        <w:rPr>
          <w:rFonts w:ascii="Arial" w:hAnsi="Arial" w:cs="Arial"/>
          <w:color w:val="000000"/>
          <w:sz w:val="21"/>
          <w:szCs w:val="21"/>
        </w:rPr>
        <w:t>2.</w:t>
      </w:r>
      <w:r>
        <w:rPr>
          <w:rFonts w:hint="eastAsia" w:ascii="Arial" w:hAnsi="Arial" w:cs="Arial"/>
          <w:color w:val="000000"/>
          <w:sz w:val="21"/>
          <w:szCs w:val="21"/>
        </w:rPr>
        <w:t>针对工期控制及取得预售风险，建议监督企业的开发进度，严格按照企业预定的时间节点进行项目开发建设。</w:t>
      </w:r>
    </w:p>
    <w:p>
      <w:pPr>
        <w:adjustRightInd w:val="0"/>
        <w:snapToGrid w:val="0"/>
        <w:spacing w:line="480" w:lineRule="auto"/>
        <w:ind w:firstLine="561"/>
        <w:rPr>
          <w:rFonts w:ascii="Arial" w:hAnsi="Arial" w:cs="Arial"/>
          <w:color w:val="000000"/>
          <w:sz w:val="21"/>
          <w:szCs w:val="21"/>
        </w:rPr>
      </w:pPr>
      <w:r>
        <w:rPr>
          <w:rFonts w:ascii="Arial" w:hAnsi="Arial" w:cs="Arial"/>
          <w:color w:val="000000"/>
          <w:sz w:val="21"/>
          <w:szCs w:val="21"/>
        </w:rPr>
        <w:t>3.</w:t>
      </w:r>
      <w:r>
        <w:rPr>
          <w:rFonts w:hint="eastAsia" w:ascii="Arial" w:hAnsi="Arial" w:cs="Arial"/>
          <w:color w:val="000000"/>
          <w:sz w:val="21"/>
          <w:szCs w:val="21"/>
        </w:rPr>
        <w:t>针对成本控制风险，建议贵公司督促主体及时与相关部门沟通，敦促证照</w:t>
      </w:r>
      <w:r>
        <w:rPr>
          <w:rFonts w:ascii="Arial" w:hAnsi="Arial" w:cs="Arial"/>
          <w:color w:val="000000"/>
          <w:sz w:val="21"/>
          <w:szCs w:val="21"/>
        </w:rPr>
        <w:t>的及时取得</w:t>
      </w:r>
      <w:r>
        <w:rPr>
          <w:rFonts w:hint="eastAsia" w:ascii="Arial" w:hAnsi="Arial" w:cs="Arial"/>
          <w:color w:val="000000"/>
          <w:sz w:val="21"/>
          <w:szCs w:val="21"/>
        </w:rPr>
        <w:t>，另外需督促融资企业尽快将项目具体设计方案确定下来，同时关注其总包合同的签订等相关事宜，严格控制项目建设的各项成本。</w:t>
      </w:r>
    </w:p>
    <w:p>
      <w:pPr>
        <w:adjustRightInd w:val="0"/>
        <w:snapToGrid w:val="0"/>
        <w:spacing w:line="480" w:lineRule="auto"/>
        <w:ind w:firstLine="561"/>
        <w:rPr>
          <w:rFonts w:ascii="Arial" w:hAnsi="Arial" w:cs="Arial"/>
          <w:color w:val="000000"/>
          <w:sz w:val="21"/>
          <w:szCs w:val="21"/>
        </w:rPr>
      </w:pPr>
      <w:r>
        <w:rPr>
          <w:rFonts w:ascii="Arial" w:hAnsi="Arial" w:cs="Arial"/>
          <w:color w:val="000000"/>
          <w:sz w:val="21"/>
          <w:szCs w:val="21"/>
        </w:rPr>
        <w:t>4.</w:t>
      </w:r>
      <w:r>
        <w:rPr>
          <w:rFonts w:hint="eastAsia" w:ascii="Arial" w:hAnsi="Arial" w:cs="Arial"/>
          <w:color w:val="000000"/>
          <w:sz w:val="21"/>
          <w:szCs w:val="21"/>
        </w:rPr>
        <w:t>针对市场风险，建议贵公司督促融资主体，严格控制工期，尽早取得预售证，争取早日将项目销售完毕。</w:t>
      </w:r>
    </w:p>
    <w:p>
      <w:pPr>
        <w:pStyle w:val="5"/>
        <w:spacing w:before="0" w:after="0" w:line="480" w:lineRule="auto"/>
        <w:rPr>
          <w:rFonts w:eastAsia="宋体" w:cs="Arial"/>
          <w:bCs/>
          <w:color w:val="000000"/>
          <w:sz w:val="21"/>
          <w:szCs w:val="21"/>
        </w:rPr>
      </w:pPr>
      <w:bookmarkStart w:id="243" w:name="_Toc106177909"/>
      <w:r>
        <w:rPr>
          <w:rFonts w:eastAsia="宋体" w:cs="Arial"/>
          <w:sz w:val="21"/>
          <w:szCs w:val="21"/>
        </w:rPr>
        <w:t>二、项目效应评价</w:t>
      </w:r>
      <w:bookmarkEnd w:id="239"/>
      <w:bookmarkEnd w:id="240"/>
      <w:bookmarkEnd w:id="241"/>
      <w:bookmarkEnd w:id="243"/>
      <w:r>
        <w:rPr>
          <w:rFonts w:eastAsia="宋体" w:cs="Arial"/>
          <w:b w:val="0"/>
          <w:bCs/>
          <w:color w:val="000000"/>
          <w:sz w:val="21"/>
          <w:szCs w:val="21"/>
        </w:rPr>
        <w:t xml:space="preserve"> </w:t>
      </w:r>
    </w:p>
    <w:p>
      <w:pPr>
        <w:spacing w:line="480" w:lineRule="auto"/>
        <w:ind w:firstLine="420" w:firstLineChars="200"/>
        <w:rPr>
          <w:rFonts w:ascii="Arial" w:hAnsi="Arial" w:cs="Arial"/>
          <w:sz w:val="21"/>
          <w:szCs w:val="21"/>
        </w:rPr>
      </w:pPr>
      <w:r>
        <w:rPr>
          <w:rFonts w:ascii="Arial" w:hAnsi="Arial" w:cs="Arial"/>
          <w:sz w:val="21"/>
          <w:szCs w:val="21"/>
        </w:rPr>
        <w:t>该项目的建设符合城市总体规划，一方面有利于更好地发挥城镇地区用地的土地利用价值，加速该城镇地区的建设</w:t>
      </w:r>
      <w:r>
        <w:rPr>
          <w:rFonts w:hint="eastAsia" w:ascii="Arial" w:hAnsi="Arial" w:cs="Arial"/>
          <w:sz w:val="21"/>
          <w:szCs w:val="21"/>
        </w:rPr>
        <w:t>；</w:t>
      </w:r>
      <w:r>
        <w:rPr>
          <w:rFonts w:ascii="Arial" w:hAnsi="Arial" w:cs="Arial"/>
          <w:sz w:val="21"/>
          <w:szCs w:val="21"/>
        </w:rPr>
        <w:t>另一方面项目为</w:t>
      </w:r>
      <w:r>
        <w:rPr>
          <w:rFonts w:hint="eastAsia" w:ascii="Arial" w:hAnsi="Arial" w:cs="Arial"/>
          <w:sz w:val="21"/>
          <w:szCs w:val="21"/>
        </w:rPr>
        <w:t>居住</w:t>
      </w:r>
      <w:r>
        <w:rPr>
          <w:rFonts w:ascii="Arial" w:hAnsi="Arial" w:cs="Arial"/>
          <w:sz w:val="21"/>
          <w:szCs w:val="21"/>
        </w:rPr>
        <w:t>项目，能够满足目标客户的居住及生活配套需求，具有一定的社会效益。</w:t>
      </w:r>
      <w:r>
        <w:rPr>
          <w:rFonts w:ascii="Arial" w:hAnsi="Arial" w:cs="Arial"/>
          <w:sz w:val="21"/>
          <w:szCs w:val="21"/>
        </w:rPr>
        <w:br w:type="page"/>
      </w:r>
    </w:p>
    <w:p>
      <w:pPr>
        <w:pStyle w:val="4"/>
        <w:spacing w:before="240"/>
        <w:rPr>
          <w:rFonts w:ascii="Arial" w:hAnsi="Arial" w:eastAsia="方正黑体简体" w:cs="Arial"/>
          <w:b w:val="0"/>
          <w:bCs/>
          <w:sz w:val="32"/>
          <w:szCs w:val="32"/>
        </w:rPr>
      </w:pPr>
      <w:bookmarkStart w:id="244" w:name="_Toc106177910"/>
      <w:r>
        <w:rPr>
          <w:rFonts w:ascii="Arial" w:hAnsi="Arial" w:eastAsia="方正黑体简体" w:cs="Arial"/>
          <w:b w:val="0"/>
          <w:bCs/>
          <w:sz w:val="32"/>
          <w:szCs w:val="32"/>
        </w:rPr>
        <w:t xml:space="preserve">第七章  </w:t>
      </w:r>
      <w:bookmarkEnd w:id="237"/>
      <w:bookmarkEnd w:id="238"/>
      <w:r>
        <w:rPr>
          <w:rFonts w:ascii="Arial" w:hAnsi="Arial" w:eastAsia="方正黑体简体" w:cs="Arial"/>
          <w:b w:val="0"/>
          <w:bCs/>
          <w:sz w:val="32"/>
          <w:szCs w:val="32"/>
        </w:rPr>
        <w:t>结论</w:t>
      </w:r>
      <w:bookmarkEnd w:id="244"/>
    </w:p>
    <w:p>
      <w:pPr>
        <w:adjustRightInd w:val="0"/>
        <w:snapToGrid w:val="0"/>
        <w:spacing w:line="480" w:lineRule="auto"/>
        <w:ind w:firstLine="420" w:firstLineChars="200"/>
        <w:rPr>
          <w:rFonts w:ascii="Arial" w:hAnsi="Arial" w:cs="Arial"/>
          <w:sz w:val="21"/>
          <w:szCs w:val="21"/>
        </w:rPr>
      </w:pPr>
      <w:r>
        <w:rPr>
          <w:rFonts w:ascii="Arial" w:hAnsi="Arial" w:cs="Arial"/>
          <w:color w:val="000000"/>
          <w:sz w:val="21"/>
          <w:szCs w:val="21"/>
        </w:rPr>
        <w:t>建设项目为</w:t>
      </w:r>
      <w:r>
        <w:rPr>
          <w:rFonts w:hint="eastAsia" w:ascii="Arial" w:hAnsi="Arial" w:cs="Arial"/>
          <w:color w:val="000000"/>
          <w:sz w:val="21"/>
          <w:szCs w:val="21"/>
        </w:rPr>
        <w:t>建设项目为浙江省温州市永嘉县瓯北清水埠片区ZX-H2-22、ZX-H2-24地块居住项目，该项目所属正在挂牌出让，尚未成交。</w:t>
      </w:r>
      <w:r>
        <w:rPr>
          <w:rFonts w:ascii="Arial" w:hAnsi="Arial" w:cs="Arial"/>
          <w:sz w:val="21"/>
          <w:szCs w:val="21"/>
        </w:rPr>
        <w:t>该项目的开发建设可以改善居民生活条件、优化区域发展环境，</w:t>
      </w:r>
      <w:r>
        <w:rPr>
          <w:rFonts w:hint="eastAsia" w:ascii="Arial" w:hAnsi="Arial" w:cs="Arial"/>
          <w:sz w:val="21"/>
          <w:szCs w:val="21"/>
          <w:lang w:val="en-US" w:eastAsia="zh-CN"/>
        </w:rPr>
        <w:t>并能一定程度上</w:t>
      </w:r>
      <w:r>
        <w:rPr>
          <w:rFonts w:ascii="Arial" w:hAnsi="Arial" w:cs="Arial"/>
          <w:sz w:val="21"/>
          <w:szCs w:val="21"/>
        </w:rPr>
        <w:t>促进经济社会各方面提升</w:t>
      </w:r>
      <w:r>
        <w:rPr>
          <w:rFonts w:hint="eastAsia" w:ascii="Arial" w:hAnsi="Arial" w:cs="Arial"/>
          <w:sz w:val="21"/>
          <w:szCs w:val="21"/>
        </w:rPr>
        <w:t>，</w:t>
      </w:r>
      <w:r>
        <w:rPr>
          <w:rFonts w:hint="eastAsia" w:ascii="Arial" w:hAnsi="Arial" w:cs="Arial"/>
          <w:sz w:val="21"/>
          <w:szCs w:val="21"/>
          <w:lang w:val="en-US" w:eastAsia="zh-CN"/>
        </w:rPr>
        <w:t>能</w:t>
      </w:r>
      <w:r>
        <w:rPr>
          <w:rFonts w:ascii="Arial" w:hAnsi="Arial" w:cs="Arial"/>
          <w:sz w:val="21"/>
          <w:szCs w:val="21"/>
          <w:highlight w:val="yellow"/>
        </w:rPr>
        <w:t>拉动</w:t>
      </w:r>
      <w:r>
        <w:rPr>
          <w:rFonts w:hint="eastAsia" w:ascii="Arial" w:hAnsi="Arial" w:cs="Arial"/>
          <w:sz w:val="21"/>
          <w:szCs w:val="21"/>
          <w:highlight w:val="yellow"/>
          <w:lang w:val="en-US" w:eastAsia="zh-CN"/>
        </w:rPr>
        <w:t>部分</w:t>
      </w:r>
      <w:r>
        <w:rPr>
          <w:rFonts w:ascii="Arial" w:hAnsi="Arial" w:cs="Arial"/>
          <w:sz w:val="21"/>
          <w:szCs w:val="21"/>
          <w:highlight w:val="yellow"/>
        </w:rPr>
        <w:t>经济的增长，带动建筑、建材、生活消费品等相关产业的发展。</w:t>
      </w:r>
      <w:r>
        <w:rPr>
          <w:rFonts w:ascii="Arial" w:hAnsi="Arial" w:cs="Arial"/>
          <w:color w:val="000000"/>
          <w:sz w:val="21"/>
          <w:szCs w:val="21"/>
          <w:highlight w:val="yellow"/>
        </w:rPr>
        <w:t>商品住宅可以满足人们对于首次置业的需求</w:t>
      </w:r>
      <w:r>
        <w:rPr>
          <w:rFonts w:ascii="Arial" w:hAnsi="Arial" w:cs="Arial"/>
          <w:sz w:val="21"/>
          <w:szCs w:val="21"/>
          <w:highlight w:val="yellow"/>
        </w:rPr>
        <w:t>，</w:t>
      </w:r>
      <w:r>
        <w:rPr>
          <w:rFonts w:ascii="Arial" w:hAnsi="Arial" w:cs="Arial"/>
          <w:color w:val="000000"/>
          <w:sz w:val="21"/>
          <w:szCs w:val="21"/>
          <w:highlight w:val="yellow"/>
        </w:rPr>
        <w:t>产生较好的社会效益</w:t>
      </w:r>
      <w:r>
        <w:rPr>
          <w:rFonts w:ascii="Arial" w:hAnsi="Arial" w:cs="Arial"/>
          <w:color w:val="000000"/>
          <w:sz w:val="21"/>
          <w:szCs w:val="21"/>
        </w:rPr>
        <w:t>。从经济角度，该项目</w:t>
      </w:r>
      <w:r>
        <w:rPr>
          <w:rFonts w:hint="eastAsia" w:ascii="Arial" w:hAnsi="Arial" w:cs="Arial"/>
          <w:sz w:val="21"/>
          <w:szCs w:val="21"/>
        </w:rPr>
        <w:t>区位</w:t>
      </w:r>
      <w:r>
        <w:rPr>
          <w:rFonts w:ascii="Arial" w:hAnsi="Arial" w:cs="Arial"/>
          <w:sz w:val="21"/>
          <w:szCs w:val="21"/>
        </w:rPr>
        <w:t>条件</w:t>
      </w:r>
      <w:r>
        <w:rPr>
          <w:rFonts w:hint="eastAsia" w:ascii="Arial" w:hAnsi="Arial" w:cs="Arial"/>
          <w:sz w:val="21"/>
          <w:szCs w:val="21"/>
        </w:rPr>
        <w:t>较好</w:t>
      </w:r>
      <w:r>
        <w:rPr>
          <w:rFonts w:ascii="Arial" w:hAnsi="Arial" w:cs="Arial"/>
          <w:sz w:val="21"/>
          <w:szCs w:val="21"/>
        </w:rPr>
        <w:t>，未来有一定升值潜力</w:t>
      </w:r>
      <w:r>
        <w:rPr>
          <w:rFonts w:ascii="Arial" w:hAnsi="Arial" w:cs="Arial"/>
          <w:color w:val="000000"/>
          <w:sz w:val="21"/>
          <w:szCs w:val="21"/>
        </w:rPr>
        <w:t>，因此本报告预测的项目售价是客观、合理的，是可以实现的。</w:t>
      </w:r>
      <w:r>
        <w:rPr>
          <w:rFonts w:hint="eastAsia" w:ascii="Arial" w:hAnsi="Arial" w:cs="Arial"/>
          <w:color w:val="000000"/>
          <w:sz w:val="21"/>
          <w:szCs w:val="21"/>
        </w:rPr>
        <w:t>但</w:t>
      </w:r>
      <w:r>
        <w:rPr>
          <w:rFonts w:ascii="Arial" w:hAnsi="Arial" w:cs="Arial"/>
          <w:color w:val="000000"/>
          <w:sz w:val="21"/>
          <w:szCs w:val="21"/>
        </w:rPr>
        <w:t>在预测销售计划</w:t>
      </w:r>
      <w:r>
        <w:rPr>
          <w:rFonts w:hint="eastAsia" w:ascii="Arial" w:hAnsi="Arial" w:cs="Arial"/>
          <w:color w:val="000000"/>
          <w:sz w:val="21"/>
          <w:szCs w:val="21"/>
        </w:rPr>
        <w:t>、</w:t>
      </w:r>
      <w:r>
        <w:rPr>
          <w:rFonts w:ascii="Arial" w:hAnsi="Arial" w:cs="Arial"/>
          <w:color w:val="000000"/>
          <w:sz w:val="21"/>
          <w:szCs w:val="21"/>
        </w:rPr>
        <w:t>经营计划能够实现的前提下，该项目的建设</w:t>
      </w:r>
      <w:r>
        <w:rPr>
          <w:rFonts w:hint="eastAsia" w:ascii="Arial" w:hAnsi="Arial" w:cs="Arial"/>
          <w:color w:val="000000"/>
          <w:sz w:val="21"/>
          <w:szCs w:val="21"/>
        </w:rPr>
        <w:t>不</w:t>
      </w:r>
      <w:r>
        <w:rPr>
          <w:rFonts w:ascii="Arial" w:hAnsi="Arial" w:cs="Arial"/>
          <w:color w:val="000000"/>
          <w:sz w:val="21"/>
          <w:szCs w:val="21"/>
        </w:rPr>
        <w:t>具有盈利能力。</w:t>
      </w:r>
      <w:r>
        <w:rPr>
          <w:rFonts w:hint="eastAsia" w:ascii="Arial" w:hAnsi="Arial" w:cs="Arial"/>
          <w:color w:val="000000"/>
          <w:sz w:val="21"/>
          <w:szCs w:val="21"/>
        </w:rPr>
        <w:t>综上，</w:t>
      </w:r>
      <w:r>
        <w:rPr>
          <w:rFonts w:hint="eastAsia" w:ascii="Arial" w:hAnsi="Arial" w:cs="Arial"/>
          <w:sz w:val="21"/>
          <w:szCs w:val="21"/>
        </w:rPr>
        <w:t>该项目的建设有一定的社会效益和市场需求，经测算经济效益未能满足资金本盈利指标要求，因此评估认为该项目的建设是可行的。</w:t>
      </w:r>
    </w:p>
    <w:p>
      <w:pPr>
        <w:adjustRightInd w:val="0"/>
        <w:snapToGrid w:val="0"/>
        <w:spacing w:line="480" w:lineRule="auto"/>
        <w:ind w:firstLine="420" w:firstLineChars="200"/>
        <w:rPr>
          <w:rFonts w:ascii="Arial" w:hAnsi="Arial" w:cs="Arial"/>
          <w:sz w:val="21"/>
          <w:szCs w:val="21"/>
        </w:rPr>
      </w:pPr>
    </w:p>
    <w:p>
      <w:pPr>
        <w:adjustRightInd w:val="0"/>
        <w:snapToGrid w:val="0"/>
        <w:spacing w:line="480" w:lineRule="auto"/>
        <w:rPr>
          <w:rFonts w:ascii="Arial" w:hAnsi="Arial" w:cs="Arial"/>
          <w:sz w:val="21"/>
          <w:szCs w:val="21"/>
        </w:rPr>
      </w:pPr>
    </w:p>
    <w:p>
      <w:pPr>
        <w:adjustRightInd w:val="0"/>
        <w:snapToGrid w:val="0"/>
        <w:spacing w:line="480" w:lineRule="auto"/>
        <w:ind w:firstLine="420" w:firstLineChars="200"/>
        <w:rPr>
          <w:rFonts w:ascii="Arial" w:hAnsi="Arial" w:cs="Arial"/>
          <w:sz w:val="21"/>
          <w:szCs w:val="21"/>
        </w:rPr>
      </w:pPr>
    </w:p>
    <w:p>
      <w:pPr>
        <w:pStyle w:val="5"/>
        <w:rPr>
          <w:rFonts w:eastAsia="仿宋_GB2312" w:cs="Arial"/>
          <w:color w:val="000000"/>
        </w:rPr>
        <w:sectPr>
          <w:pgSz w:w="11906" w:h="16838"/>
          <w:pgMar w:top="1843" w:right="1304" w:bottom="1134" w:left="1304" w:header="1134" w:footer="907" w:gutter="0"/>
          <w:cols w:space="425" w:num="1"/>
          <w:titlePg/>
          <w:docGrid w:linePitch="312" w:charSpace="0"/>
        </w:sectPr>
      </w:pPr>
    </w:p>
    <w:p>
      <w:pPr>
        <w:pStyle w:val="5"/>
        <w:spacing w:before="0" w:after="0" w:line="480" w:lineRule="auto"/>
        <w:rPr>
          <w:rFonts w:eastAsia="宋体" w:cs="Arial"/>
          <w:b w:val="0"/>
          <w:bCs/>
          <w:sz w:val="21"/>
          <w:szCs w:val="21"/>
        </w:rPr>
      </w:pPr>
      <w:bookmarkStart w:id="245" w:name="_Toc106177911"/>
      <w:r>
        <w:rPr>
          <w:rFonts w:eastAsia="宋体" w:cs="Arial"/>
          <w:b w:val="0"/>
          <w:bCs/>
          <w:sz w:val="21"/>
          <w:szCs w:val="21"/>
        </w:rPr>
        <w:t>附</w:t>
      </w:r>
      <w:r>
        <w:rPr>
          <w:rFonts w:hint="eastAsia" w:eastAsia="宋体" w:cs="Arial"/>
          <w:b w:val="0"/>
          <w:bCs/>
          <w:sz w:val="21"/>
          <w:szCs w:val="21"/>
        </w:rPr>
        <w:t>件</w:t>
      </w:r>
      <w:r>
        <w:rPr>
          <w:rFonts w:eastAsia="宋体" w:cs="Arial"/>
          <w:b w:val="0"/>
          <w:bCs/>
          <w:sz w:val="21"/>
          <w:szCs w:val="21"/>
        </w:rPr>
        <w:t>：</w:t>
      </w:r>
      <w:bookmarkEnd w:id="245"/>
    </w:p>
    <w:p>
      <w:pPr>
        <w:spacing w:line="480" w:lineRule="auto"/>
        <w:ind w:firstLine="210" w:firstLineChars="100"/>
        <w:rPr>
          <w:rFonts w:ascii="Arial" w:hAnsi="Arial" w:cs="Arial"/>
          <w:bCs/>
          <w:color w:val="000000"/>
          <w:sz w:val="21"/>
          <w:szCs w:val="21"/>
        </w:rPr>
      </w:pPr>
      <w:r>
        <w:rPr>
          <w:rFonts w:hint="eastAsia" w:ascii="Arial" w:hAnsi="Arial" w:cs="Arial"/>
          <w:bCs/>
          <w:color w:val="000000"/>
          <w:sz w:val="21"/>
          <w:szCs w:val="21"/>
        </w:rPr>
        <w:t>1</w:t>
      </w:r>
      <w:r>
        <w:rPr>
          <w:rFonts w:ascii="Arial" w:hAnsi="Arial" w:cs="Arial"/>
          <w:bCs/>
          <w:color w:val="000000"/>
          <w:sz w:val="21"/>
          <w:szCs w:val="21"/>
        </w:rPr>
        <w:t>、项目文件</w:t>
      </w:r>
    </w:p>
    <w:p>
      <w:pPr>
        <w:adjustRightInd w:val="0"/>
        <w:snapToGrid w:val="0"/>
        <w:spacing w:line="480" w:lineRule="auto"/>
        <w:ind w:firstLine="420" w:firstLineChars="200"/>
        <w:rPr>
          <w:rFonts w:ascii="Arial" w:hAnsi="Arial" w:cs="Arial"/>
          <w:bCs/>
          <w:color w:val="000000"/>
          <w:sz w:val="21"/>
          <w:szCs w:val="21"/>
        </w:rPr>
      </w:pPr>
      <w:r>
        <w:rPr>
          <w:rFonts w:ascii="Arial" w:hAnsi="Arial" w:cs="Arial"/>
          <w:bCs/>
          <w:color w:val="000000"/>
          <w:sz w:val="21"/>
          <w:szCs w:val="21"/>
        </w:rPr>
        <w:t>（1）估价对象所在位置示意图</w:t>
      </w:r>
    </w:p>
    <w:p>
      <w:pPr>
        <w:spacing w:line="480" w:lineRule="auto"/>
        <w:ind w:firstLine="420" w:firstLineChars="200"/>
        <w:jc w:val="both"/>
        <w:rPr>
          <w:rFonts w:ascii="Arial" w:hAnsi="Arial" w:cs="Arial"/>
          <w:sz w:val="21"/>
          <w:szCs w:val="21"/>
        </w:rPr>
      </w:pPr>
      <w:r>
        <w:rPr>
          <w:rFonts w:hint="eastAsia" w:ascii="Arial" w:hAnsi="Arial" w:cs="Arial"/>
          <w:sz w:val="21"/>
          <w:szCs w:val="21"/>
        </w:rPr>
        <w:t>（2）建设单位提供的资料</w:t>
      </w:r>
    </w:p>
    <w:p>
      <w:pPr>
        <w:adjustRightInd w:val="0"/>
        <w:snapToGrid w:val="0"/>
        <w:spacing w:line="480" w:lineRule="auto"/>
        <w:ind w:firstLine="210" w:firstLineChars="100"/>
      </w:pPr>
      <w:r>
        <w:rPr>
          <w:rFonts w:hint="eastAsia" w:ascii="Arial" w:hAnsi="Arial" w:cs="Arial"/>
          <w:sz w:val="21"/>
          <w:szCs w:val="21"/>
        </w:rPr>
        <w:t>2、聘用确认单</w:t>
      </w:r>
    </w:p>
    <w:p/>
    <w:p/>
    <w:p/>
    <w:p/>
    <w:p/>
    <w:p>
      <w:pPr>
        <w:tabs>
          <w:tab w:val="left" w:pos="7329"/>
        </w:tabs>
        <w:sectPr>
          <w:pgSz w:w="11906" w:h="16838"/>
          <w:pgMar w:top="1843" w:right="1304" w:bottom="1134" w:left="1304" w:header="1134" w:footer="907" w:gutter="0"/>
          <w:cols w:space="425" w:num="1"/>
          <w:titlePg/>
          <w:docGrid w:linePitch="312" w:charSpace="0"/>
        </w:sectPr>
      </w:pPr>
      <w:r>
        <w:rPr>
          <w:rFonts w:hint="eastAsia"/>
        </w:rPr>
        <w:tab/>
      </w:r>
    </w:p>
    <w:p>
      <w:pPr>
        <w:rPr>
          <w:rFonts w:ascii="Arial" w:hAnsi="Arial" w:eastAsia="仿宋_GB2312" w:cs="Arial"/>
          <w:bCs/>
          <w:color w:val="000000"/>
          <w:szCs w:val="21"/>
        </w:rPr>
      </w:pPr>
      <w:r>
        <w:rPr>
          <w:rFonts w:hint="eastAsia" w:ascii="Arial" w:hAnsi="Arial" w:eastAsia="仿宋_GB2312" w:cs="Arial"/>
          <w:bCs/>
          <w:color w:val="000000"/>
          <w:szCs w:val="21"/>
        </w:rPr>
        <w:t>附：</w:t>
      </w:r>
    </w:p>
    <w:tbl>
      <w:tblPr>
        <w:tblStyle w:val="36"/>
        <w:tblW w:w="9068" w:type="dxa"/>
        <w:tblInd w:w="0" w:type="dxa"/>
        <w:tblLayout w:type="fixed"/>
        <w:tblCellMar>
          <w:top w:w="0" w:type="dxa"/>
          <w:left w:w="108" w:type="dxa"/>
          <w:bottom w:w="0" w:type="dxa"/>
          <w:right w:w="108" w:type="dxa"/>
        </w:tblCellMar>
      </w:tblPr>
      <w:tblGrid>
        <w:gridCol w:w="2696"/>
        <w:gridCol w:w="3091"/>
        <w:gridCol w:w="3281"/>
      </w:tblGrid>
      <w:tr>
        <w:tblPrEx>
          <w:tblCellMar>
            <w:top w:w="0" w:type="dxa"/>
            <w:left w:w="108" w:type="dxa"/>
            <w:bottom w:w="0" w:type="dxa"/>
            <w:right w:w="108" w:type="dxa"/>
          </w:tblCellMar>
        </w:tblPrEx>
        <w:trPr>
          <w:trHeight w:val="700" w:hRule="atLeast"/>
        </w:trPr>
        <w:tc>
          <w:tcPr>
            <w:tcW w:w="9068"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jc w:val="both"/>
              <w:rPr>
                <w:rFonts w:ascii="等线" w:hAnsi="等线" w:eastAsia="等线"/>
                <w:b/>
                <w:bCs/>
                <w:color w:val="000000"/>
                <w:sz w:val="28"/>
                <w:szCs w:val="28"/>
              </w:rPr>
            </w:pPr>
            <w:r>
              <w:rPr>
                <w:rFonts w:hint="eastAsia" w:ascii="等线" w:hAnsi="等线" w:eastAsia="等线"/>
                <w:b/>
                <w:bCs/>
                <w:color w:val="000000"/>
                <w:sz w:val="28"/>
                <w:szCs w:val="28"/>
              </w:rPr>
              <w:t>评估类中介机构聘用确认单</w:t>
            </w:r>
          </w:p>
        </w:tc>
      </w:tr>
      <w:tr>
        <w:trPr>
          <w:trHeight w:val="363" w:hRule="atLeast"/>
        </w:trPr>
        <w:tc>
          <w:tcPr>
            <w:tcW w:w="9068"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jc w:val="both"/>
              <w:rPr>
                <w:color w:val="000000"/>
                <w:sz w:val="15"/>
                <w:szCs w:val="15"/>
              </w:rPr>
            </w:pPr>
            <w:r>
              <w:rPr>
                <w:rFonts w:hint="eastAsia"/>
                <w:color w:val="000000"/>
                <w:sz w:val="15"/>
                <w:szCs w:val="15"/>
              </w:rPr>
              <w:t>聘用确认单编号:WPZJ202208-000866</w:t>
            </w:r>
          </w:p>
        </w:tc>
      </w:tr>
      <w:tr>
        <w:tblPrEx>
          <w:tblCellMar>
            <w:top w:w="0" w:type="dxa"/>
            <w:left w:w="108" w:type="dxa"/>
            <w:bottom w:w="0" w:type="dxa"/>
            <w:right w:w="108" w:type="dxa"/>
          </w:tblCellMar>
        </w:tblPrEx>
        <w:trPr>
          <w:trHeight w:val="363" w:hRule="atLeast"/>
        </w:trPr>
        <w:tc>
          <w:tcPr>
            <w:tcW w:w="9068"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jc w:val="both"/>
              <w:rPr>
                <w:color w:val="000000"/>
                <w:sz w:val="15"/>
                <w:szCs w:val="15"/>
              </w:rPr>
            </w:pPr>
            <w:r>
              <w:rPr>
                <w:rFonts w:hint="eastAsia"/>
                <w:color w:val="000000"/>
                <w:sz w:val="15"/>
                <w:szCs w:val="15"/>
              </w:rPr>
              <w:t>项目名称:五矿信托-共兴永嘉项目投资集合资金信托计划</w:t>
            </w:r>
          </w:p>
        </w:tc>
      </w:tr>
      <w:tr>
        <w:tblPrEx>
          <w:tblCellMar>
            <w:top w:w="0" w:type="dxa"/>
            <w:left w:w="108" w:type="dxa"/>
            <w:bottom w:w="0" w:type="dxa"/>
            <w:right w:w="108" w:type="dxa"/>
          </w:tblCellMar>
        </w:tblPrEx>
        <w:trPr>
          <w:trHeight w:val="363" w:hRule="atLeast"/>
        </w:trPr>
        <w:tc>
          <w:tcPr>
            <w:tcW w:w="2696" w:type="dxa"/>
            <w:tcBorders>
              <w:top w:val="nil"/>
              <w:left w:val="single" w:color="auto" w:sz="4" w:space="0"/>
              <w:bottom w:val="single" w:color="auto" w:sz="4" w:space="0"/>
              <w:right w:val="single" w:color="auto" w:sz="4" w:space="0"/>
            </w:tcBorders>
            <w:shd w:val="clear" w:color="auto" w:fill="auto"/>
            <w:noWrap/>
            <w:vAlign w:val="center"/>
          </w:tcPr>
          <w:p>
            <w:pPr>
              <w:jc w:val="both"/>
              <w:rPr>
                <w:color w:val="000000"/>
                <w:sz w:val="15"/>
                <w:szCs w:val="15"/>
              </w:rPr>
            </w:pPr>
            <w:r>
              <w:rPr>
                <w:rFonts w:hint="eastAsia"/>
                <w:color w:val="000000"/>
                <w:sz w:val="15"/>
                <w:szCs w:val="15"/>
              </w:rPr>
              <w:t>经办人员:张宇彤</w:t>
            </w:r>
          </w:p>
        </w:tc>
        <w:tc>
          <w:tcPr>
            <w:tcW w:w="3091" w:type="dxa"/>
            <w:tcBorders>
              <w:top w:val="nil"/>
              <w:left w:val="nil"/>
              <w:bottom w:val="single" w:color="auto" w:sz="4" w:space="0"/>
              <w:right w:val="single" w:color="auto" w:sz="4" w:space="0"/>
            </w:tcBorders>
            <w:shd w:val="clear" w:color="auto" w:fill="auto"/>
            <w:noWrap/>
            <w:vAlign w:val="center"/>
          </w:tcPr>
          <w:p>
            <w:pPr>
              <w:jc w:val="both"/>
              <w:rPr>
                <w:color w:val="000000"/>
                <w:sz w:val="15"/>
                <w:szCs w:val="15"/>
              </w:rPr>
            </w:pPr>
            <w:r>
              <w:rPr>
                <w:rFonts w:hint="eastAsia"/>
                <w:color w:val="000000"/>
                <w:sz w:val="15"/>
                <w:szCs w:val="15"/>
              </w:rPr>
              <w:t>选聘部门（部门/团队）:投行业务七部</w:t>
            </w:r>
          </w:p>
        </w:tc>
        <w:tc>
          <w:tcPr>
            <w:tcW w:w="3281" w:type="dxa"/>
            <w:tcBorders>
              <w:top w:val="nil"/>
              <w:left w:val="nil"/>
              <w:bottom w:val="single" w:color="auto" w:sz="4" w:space="0"/>
              <w:right w:val="single" w:color="auto" w:sz="4" w:space="0"/>
            </w:tcBorders>
            <w:shd w:val="clear" w:color="auto" w:fill="auto"/>
            <w:noWrap/>
            <w:vAlign w:val="center"/>
          </w:tcPr>
          <w:p>
            <w:pPr>
              <w:jc w:val="both"/>
              <w:rPr>
                <w:color w:val="000000"/>
                <w:sz w:val="15"/>
                <w:szCs w:val="15"/>
              </w:rPr>
            </w:pPr>
            <w:r>
              <w:rPr>
                <w:rFonts w:hint="eastAsia"/>
                <w:color w:val="000000"/>
                <w:sz w:val="15"/>
                <w:szCs w:val="15"/>
              </w:rPr>
              <w:t>合规风控主审:石鑫</w:t>
            </w:r>
          </w:p>
        </w:tc>
      </w:tr>
      <w:tr>
        <w:tblPrEx>
          <w:tblCellMar>
            <w:top w:w="0" w:type="dxa"/>
            <w:left w:w="108" w:type="dxa"/>
            <w:bottom w:w="0" w:type="dxa"/>
            <w:right w:w="108" w:type="dxa"/>
          </w:tblCellMar>
        </w:tblPrEx>
        <w:trPr>
          <w:trHeight w:val="573" w:hRule="atLeast"/>
        </w:trPr>
        <w:tc>
          <w:tcPr>
            <w:tcW w:w="2696" w:type="dxa"/>
            <w:tcBorders>
              <w:top w:val="nil"/>
              <w:left w:val="single" w:color="auto" w:sz="4" w:space="0"/>
              <w:bottom w:val="single" w:color="auto" w:sz="4" w:space="0"/>
              <w:right w:val="single" w:color="auto" w:sz="4" w:space="0"/>
            </w:tcBorders>
            <w:shd w:val="clear" w:color="auto" w:fill="auto"/>
            <w:noWrap/>
            <w:vAlign w:val="center"/>
          </w:tcPr>
          <w:p>
            <w:pPr>
              <w:jc w:val="both"/>
              <w:rPr>
                <w:color w:val="000000"/>
                <w:sz w:val="15"/>
                <w:szCs w:val="15"/>
              </w:rPr>
            </w:pPr>
            <w:r>
              <w:rPr>
                <w:rFonts w:hint="eastAsia"/>
                <w:color w:val="000000"/>
                <w:sz w:val="15"/>
                <w:szCs w:val="15"/>
              </w:rPr>
              <w:t>中介名称:北京康正宏基房地产评估有限公司</w:t>
            </w:r>
          </w:p>
        </w:tc>
        <w:tc>
          <w:tcPr>
            <w:tcW w:w="3091" w:type="dxa"/>
            <w:tcBorders>
              <w:top w:val="nil"/>
              <w:left w:val="nil"/>
              <w:bottom w:val="single" w:color="auto" w:sz="4" w:space="0"/>
              <w:right w:val="single" w:color="auto" w:sz="4" w:space="0"/>
            </w:tcBorders>
            <w:shd w:val="clear" w:color="auto" w:fill="auto"/>
            <w:noWrap/>
            <w:vAlign w:val="center"/>
          </w:tcPr>
          <w:p>
            <w:pPr>
              <w:jc w:val="both"/>
              <w:rPr>
                <w:color w:val="000000"/>
                <w:sz w:val="15"/>
                <w:szCs w:val="15"/>
              </w:rPr>
            </w:pPr>
            <w:r>
              <w:rPr>
                <w:rFonts w:hint="eastAsia"/>
                <w:color w:val="000000"/>
                <w:sz w:val="15"/>
                <w:szCs w:val="15"/>
              </w:rPr>
              <w:t>是否库内机构:库内中介</w:t>
            </w:r>
          </w:p>
        </w:tc>
        <w:tc>
          <w:tcPr>
            <w:tcW w:w="3281" w:type="dxa"/>
            <w:tcBorders>
              <w:top w:val="nil"/>
              <w:left w:val="nil"/>
              <w:bottom w:val="single" w:color="auto" w:sz="4" w:space="0"/>
              <w:right w:val="single" w:color="auto" w:sz="4" w:space="0"/>
            </w:tcBorders>
            <w:shd w:val="clear" w:color="auto" w:fill="auto"/>
            <w:noWrap/>
            <w:vAlign w:val="center"/>
          </w:tcPr>
          <w:p>
            <w:pPr>
              <w:jc w:val="both"/>
              <w:rPr>
                <w:color w:val="000000"/>
                <w:sz w:val="15"/>
                <w:szCs w:val="15"/>
              </w:rPr>
            </w:pPr>
            <w:r>
              <w:rPr>
                <w:rFonts w:hint="eastAsia"/>
                <w:color w:val="000000"/>
                <w:sz w:val="15"/>
                <w:szCs w:val="15"/>
              </w:rPr>
              <w:t>选聘时间（流程结束时间）:2022-09-01</w:t>
            </w:r>
          </w:p>
        </w:tc>
      </w:tr>
      <w:tr>
        <w:tblPrEx>
          <w:tblCellMar>
            <w:top w:w="0" w:type="dxa"/>
            <w:left w:w="108" w:type="dxa"/>
            <w:bottom w:w="0" w:type="dxa"/>
            <w:right w:w="108" w:type="dxa"/>
          </w:tblCellMar>
        </w:tblPrEx>
        <w:trPr>
          <w:trHeight w:val="740" w:hRule="atLeast"/>
        </w:trPr>
        <w:tc>
          <w:tcPr>
            <w:tcW w:w="2696" w:type="dxa"/>
            <w:tcBorders>
              <w:top w:val="nil"/>
              <w:left w:val="single" w:color="auto" w:sz="4" w:space="0"/>
              <w:bottom w:val="single" w:color="auto" w:sz="4" w:space="0"/>
              <w:right w:val="single" w:color="auto" w:sz="4" w:space="0"/>
            </w:tcBorders>
            <w:shd w:val="clear" w:color="auto" w:fill="auto"/>
            <w:noWrap/>
            <w:vAlign w:val="center"/>
          </w:tcPr>
          <w:p>
            <w:pPr>
              <w:jc w:val="both"/>
              <w:rPr>
                <w:color w:val="000000"/>
                <w:sz w:val="15"/>
                <w:szCs w:val="15"/>
              </w:rPr>
            </w:pPr>
            <w:r>
              <w:rPr>
                <w:rFonts w:hint="eastAsia"/>
                <w:color w:val="000000"/>
                <w:sz w:val="15"/>
                <w:szCs w:val="15"/>
              </w:rPr>
              <w:t>中介服务类型:项目尽调</w:t>
            </w:r>
          </w:p>
        </w:tc>
        <w:tc>
          <w:tcPr>
            <w:tcW w:w="3091" w:type="dxa"/>
            <w:tcBorders>
              <w:top w:val="nil"/>
              <w:left w:val="nil"/>
              <w:bottom w:val="single" w:color="auto" w:sz="4" w:space="0"/>
              <w:right w:val="single" w:color="auto" w:sz="4" w:space="0"/>
            </w:tcBorders>
            <w:shd w:val="clear" w:color="auto" w:fill="auto"/>
            <w:noWrap/>
            <w:vAlign w:val="center"/>
          </w:tcPr>
          <w:p>
            <w:pPr>
              <w:jc w:val="both"/>
              <w:rPr>
                <w:color w:val="000000"/>
                <w:sz w:val="15"/>
                <w:szCs w:val="15"/>
              </w:rPr>
            </w:pPr>
            <w:r>
              <w:rPr>
                <w:rFonts w:hint="eastAsia"/>
                <w:color w:val="000000"/>
                <w:sz w:val="15"/>
                <w:szCs w:val="15"/>
              </w:rPr>
              <w:t>服务内容:对永嘉县瓯北清水埠片区ZX-H2-22、ZX-H2-24地块进行现场尽调并出具尽调报告。</w:t>
            </w:r>
          </w:p>
        </w:tc>
        <w:tc>
          <w:tcPr>
            <w:tcW w:w="3281" w:type="dxa"/>
            <w:tcBorders>
              <w:top w:val="nil"/>
              <w:left w:val="nil"/>
              <w:bottom w:val="single" w:color="auto" w:sz="4" w:space="0"/>
              <w:right w:val="single" w:color="auto" w:sz="4" w:space="0"/>
            </w:tcBorders>
            <w:shd w:val="clear" w:color="auto" w:fill="auto"/>
            <w:noWrap/>
            <w:vAlign w:val="center"/>
          </w:tcPr>
          <w:p>
            <w:pPr>
              <w:jc w:val="both"/>
              <w:rPr>
                <w:color w:val="000000"/>
                <w:sz w:val="15"/>
                <w:szCs w:val="15"/>
              </w:rPr>
            </w:pPr>
            <w:r>
              <w:rPr>
                <w:rFonts w:hint="eastAsia"/>
                <w:color w:val="000000"/>
                <w:sz w:val="15"/>
                <w:szCs w:val="15"/>
              </w:rPr>
              <w:t>服务费用合计:75000</w:t>
            </w:r>
          </w:p>
        </w:tc>
      </w:tr>
      <w:tr>
        <w:tblPrEx>
          <w:tblCellMar>
            <w:top w:w="0" w:type="dxa"/>
            <w:left w:w="108" w:type="dxa"/>
            <w:bottom w:w="0" w:type="dxa"/>
            <w:right w:w="108" w:type="dxa"/>
          </w:tblCellMar>
        </w:tblPrEx>
        <w:trPr>
          <w:trHeight w:val="456" w:hRule="atLeast"/>
        </w:trPr>
        <w:tc>
          <w:tcPr>
            <w:tcW w:w="2696" w:type="dxa"/>
            <w:tcBorders>
              <w:top w:val="nil"/>
              <w:left w:val="single" w:color="auto" w:sz="4" w:space="0"/>
              <w:bottom w:val="single" w:color="auto" w:sz="4" w:space="0"/>
              <w:right w:val="single" w:color="auto" w:sz="4" w:space="0"/>
            </w:tcBorders>
            <w:shd w:val="clear" w:color="auto" w:fill="auto"/>
            <w:noWrap/>
            <w:vAlign w:val="center"/>
          </w:tcPr>
          <w:p>
            <w:pPr>
              <w:jc w:val="both"/>
              <w:rPr>
                <w:color w:val="000000"/>
                <w:sz w:val="15"/>
                <w:szCs w:val="15"/>
              </w:rPr>
            </w:pPr>
            <w:r>
              <w:rPr>
                <w:rFonts w:hint="eastAsia"/>
                <w:color w:val="000000"/>
                <w:sz w:val="15"/>
                <w:szCs w:val="15"/>
              </w:rPr>
              <w:t>中介委派人员:郑燚</w:t>
            </w:r>
          </w:p>
        </w:tc>
        <w:tc>
          <w:tcPr>
            <w:tcW w:w="6372" w:type="dxa"/>
            <w:gridSpan w:val="2"/>
            <w:tcBorders>
              <w:top w:val="single" w:color="auto" w:sz="4" w:space="0"/>
              <w:left w:val="nil"/>
              <w:bottom w:val="single" w:color="auto" w:sz="4" w:space="0"/>
              <w:right w:val="single" w:color="000000" w:sz="4" w:space="0"/>
            </w:tcBorders>
            <w:shd w:val="clear" w:color="auto" w:fill="auto"/>
            <w:noWrap/>
            <w:vAlign w:val="center"/>
          </w:tcPr>
          <w:p>
            <w:pPr>
              <w:jc w:val="both"/>
              <w:rPr>
                <w:color w:val="000000"/>
                <w:sz w:val="15"/>
                <w:szCs w:val="15"/>
              </w:rPr>
            </w:pPr>
            <w:r>
              <w:rPr>
                <w:rFonts w:hint="eastAsia"/>
                <w:color w:val="000000"/>
                <w:sz w:val="15"/>
                <w:szCs w:val="15"/>
              </w:rPr>
              <w:t>机构人员联系方式:13910606725</w:t>
            </w:r>
          </w:p>
        </w:tc>
      </w:tr>
    </w:tbl>
    <w:p>
      <w:pPr>
        <w:rPr>
          <w:rFonts w:eastAsiaTheme="minorEastAsia"/>
        </w:rPr>
      </w:pPr>
      <w:r>
        <w:rPr>
          <w:rFonts w:hint="eastAsia"/>
        </w:rPr>
        <w:t>具体内容为:</w:t>
      </w:r>
    </w:p>
    <w:tbl>
      <w:tblPr>
        <w:tblStyle w:val="37"/>
        <w:tblW w:w="9095" w:type="dxa"/>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3132"/>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2700" w:type="dxa"/>
            <w:vAlign w:val="center"/>
          </w:tcPr>
          <w:p>
            <w:pPr>
              <w:jc w:val="both"/>
              <w:rPr>
                <w:color w:val="000000"/>
                <w:sz w:val="15"/>
                <w:szCs w:val="15"/>
              </w:rPr>
            </w:pPr>
            <w:r>
              <w:rPr>
                <w:rFonts w:hint="eastAsia"/>
                <w:color w:val="000000"/>
                <w:sz w:val="15"/>
                <w:szCs w:val="15"/>
              </w:rPr>
              <w:t>项目类型:股权投资类</w:t>
            </w:r>
          </w:p>
        </w:tc>
        <w:tc>
          <w:tcPr>
            <w:tcW w:w="3132" w:type="dxa"/>
            <w:vAlign w:val="center"/>
          </w:tcPr>
          <w:p>
            <w:pPr>
              <w:jc w:val="both"/>
              <w:rPr>
                <w:color w:val="000000"/>
                <w:sz w:val="15"/>
                <w:szCs w:val="15"/>
              </w:rPr>
            </w:pPr>
            <w:r>
              <w:rPr>
                <w:rFonts w:hint="eastAsia"/>
                <w:color w:val="000000"/>
                <w:sz w:val="15"/>
                <w:szCs w:val="15"/>
              </w:rPr>
              <w:t>财务尽调费用(元):0</w:t>
            </w:r>
          </w:p>
        </w:tc>
        <w:tc>
          <w:tcPr>
            <w:tcW w:w="3263" w:type="dxa"/>
            <w:vAlign w:val="center"/>
          </w:tcPr>
          <w:p>
            <w:pPr>
              <w:jc w:val="both"/>
              <w:rPr>
                <w:color w:val="000000"/>
                <w:sz w:val="15"/>
                <w:szCs w:val="15"/>
              </w:rPr>
            </w:pPr>
            <w:r>
              <w:rPr>
                <w:rFonts w:hint="eastAsia"/>
                <w:color w:val="000000"/>
                <w:sz w:val="15"/>
                <w:szCs w:val="15"/>
              </w:rPr>
              <w:t>专项财务尽调费用(元):0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2700" w:type="dxa"/>
            <w:vAlign w:val="center"/>
          </w:tcPr>
          <w:p>
            <w:pPr>
              <w:jc w:val="both"/>
              <w:rPr>
                <w:color w:val="000000"/>
                <w:sz w:val="15"/>
                <w:szCs w:val="15"/>
              </w:rPr>
            </w:pPr>
            <w:r>
              <w:rPr>
                <w:rFonts w:hint="eastAsia"/>
                <w:color w:val="000000"/>
                <w:sz w:val="15"/>
                <w:szCs w:val="15"/>
              </w:rPr>
              <w:t>项目尽调费用(元):75000</w:t>
            </w:r>
          </w:p>
        </w:tc>
        <w:tc>
          <w:tcPr>
            <w:tcW w:w="3132" w:type="dxa"/>
            <w:vAlign w:val="center"/>
          </w:tcPr>
          <w:p>
            <w:pPr>
              <w:jc w:val="both"/>
              <w:rPr>
                <w:color w:val="000000"/>
                <w:sz w:val="15"/>
                <w:szCs w:val="15"/>
              </w:rPr>
            </w:pPr>
            <w:r>
              <w:rPr>
                <w:rFonts w:hint="eastAsia"/>
                <w:color w:val="000000"/>
                <w:sz w:val="15"/>
                <w:szCs w:val="15"/>
              </w:rPr>
              <w:t>评级费用(元):0</w:t>
            </w:r>
          </w:p>
        </w:tc>
        <w:tc>
          <w:tcPr>
            <w:tcW w:w="3263" w:type="dxa"/>
            <w:vAlign w:val="center"/>
          </w:tcPr>
          <w:p>
            <w:pPr>
              <w:jc w:val="both"/>
              <w:rPr>
                <w:color w:val="000000"/>
                <w:sz w:val="15"/>
                <w:szCs w:val="15"/>
              </w:rPr>
            </w:pPr>
            <w:r>
              <w:rPr>
                <w:rFonts w:hint="eastAsia"/>
                <w:color w:val="000000"/>
                <w:sz w:val="15"/>
                <w:szCs w:val="15"/>
              </w:rPr>
              <w:t>土地评估费用(元):0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2700" w:type="dxa"/>
            <w:vAlign w:val="center"/>
          </w:tcPr>
          <w:p>
            <w:pPr>
              <w:jc w:val="both"/>
              <w:rPr>
                <w:color w:val="000000"/>
                <w:sz w:val="15"/>
                <w:szCs w:val="15"/>
              </w:rPr>
            </w:pPr>
            <w:r>
              <w:rPr>
                <w:rFonts w:hint="eastAsia"/>
                <w:color w:val="000000"/>
                <w:sz w:val="15"/>
                <w:szCs w:val="15"/>
              </w:rPr>
              <w:t>在建工程评估费用(元):0</w:t>
            </w:r>
          </w:p>
        </w:tc>
        <w:tc>
          <w:tcPr>
            <w:tcW w:w="3132" w:type="dxa"/>
            <w:vAlign w:val="center"/>
          </w:tcPr>
          <w:p>
            <w:pPr>
              <w:jc w:val="both"/>
              <w:rPr>
                <w:color w:val="000000"/>
                <w:sz w:val="15"/>
                <w:szCs w:val="15"/>
              </w:rPr>
            </w:pPr>
            <w:r>
              <w:rPr>
                <w:rFonts w:hint="eastAsia"/>
                <w:color w:val="000000"/>
                <w:sz w:val="15"/>
                <w:szCs w:val="15"/>
              </w:rPr>
              <w:t>其他费用(元):0</w:t>
            </w:r>
          </w:p>
        </w:tc>
        <w:tc>
          <w:tcPr>
            <w:tcW w:w="3263" w:type="dxa"/>
            <w:vAlign w:val="center"/>
          </w:tcPr>
          <w:p>
            <w:pPr>
              <w:jc w:val="both"/>
              <w:rPr>
                <w:color w:val="000000"/>
                <w:sz w:val="15"/>
                <w:szCs w:val="15"/>
              </w:rPr>
            </w:pPr>
          </w:p>
        </w:tc>
      </w:tr>
    </w:tbl>
    <w:p/>
    <w:p>
      <w:pPr>
        <w:widowControl w:val="0"/>
        <w:jc w:val="both"/>
        <w:rPr>
          <w:rFonts w:ascii="Calibri" w:hAnsi="Calibri" w:cs="Times New Roman"/>
          <w:kern w:val="2"/>
          <w:sz w:val="21"/>
          <w:szCs w:val="22"/>
        </w:rPr>
      </w:pPr>
    </w:p>
    <w:p>
      <w:pPr>
        <w:pStyle w:val="2"/>
        <w:ind w:firstLine="280"/>
        <w:rPr>
          <w:rFonts w:ascii="Arial" w:hAnsi="Arial" w:eastAsia="仿宋_GB2312" w:cs="Arial"/>
          <w:bCs/>
          <w:color w:val="000000"/>
          <w:szCs w:val="21"/>
        </w:rPr>
      </w:pPr>
    </w:p>
    <w:sectPr>
      <w:headerReference r:id="rId28" w:type="first"/>
      <w:headerReference r:id="rId27" w:type="even"/>
      <w:pgSz w:w="11906" w:h="16838"/>
      <w:pgMar w:top="1843" w:right="1304" w:bottom="1134" w:left="1304" w:header="1134" w:footer="907" w:gutter="0"/>
      <w:cols w:space="425" w:num="1"/>
      <w:titlePg/>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GungsuhChe">
    <w:altName w:val="Malgun Gothic"/>
    <w:panose1 w:val="02030609000101010101"/>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方正剪纸简体">
    <w:altName w:val="宋体"/>
    <w:panose1 w:val="00000000000000000000"/>
    <w:charset w:val="86"/>
    <w:family w:val="roma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新宋体">
    <w:panose1 w:val="02010609030101010101"/>
    <w:charset w:val="86"/>
    <w:family w:val="modern"/>
    <w:pitch w:val="default"/>
    <w:sig w:usb0="00000203" w:usb1="288F0000" w:usb2="00000006" w:usb3="00000000" w:csb0="00040001" w:csb1="00000000"/>
  </w:font>
  <w:font w:name="Webdings">
    <w:panose1 w:val="05030102010509060703"/>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华文细黑">
    <w:altName w:val="微软雅黑"/>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Adobe 黑体 Std R">
    <w:altName w:val="微软雅黑"/>
    <w:panose1 w:val="00000000000000000000"/>
    <w:charset w:val="86"/>
    <w:family w:val="swiss"/>
    <w:pitch w:val="default"/>
    <w:sig w:usb0="00000000" w:usb1="00000000" w:usb2="00000016" w:usb3="00000000" w:csb0="00060007" w:csb1="00000000"/>
  </w:font>
  <w:font w:name="等线">
    <w:panose1 w:val="02010600030101010101"/>
    <w:charset w:val="86"/>
    <w:family w:val="auto"/>
    <w:pitch w:val="default"/>
    <w:sig w:usb0="A00002BF" w:usb1="38CF7CFA" w:usb2="00000016" w:usb3="00000000" w:csb0="0004000F" w:csb1="00000000"/>
  </w:font>
  <w:font w:name="方正黑体简体">
    <w:altName w:val="微软雅黑"/>
    <w:panose1 w:val="00000000000000000000"/>
    <w:charset w:val="86"/>
    <w:family w:val="auto"/>
    <w:pitch w:val="default"/>
    <w:sig w:usb0="00000000" w:usb1="00000000" w:usb2="00000010" w:usb3="00000000" w:csb0="00040000"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top w:val="single" w:color="auto" w:sz="4" w:space="1"/>
        <w:bottom w:val="none" w:color="auto" w:sz="0" w:space="0"/>
      </w:pBdr>
      <w:jc w:val="center"/>
      <w:rPr>
        <w:rFonts w:ascii="Arial" w:hAnsi="Arial" w:cs="Arial"/>
      </w:rPr>
    </w:pPr>
    <w:r>
      <w:rPr>
        <w:rStyle w:val="44"/>
        <w:rFonts w:ascii="Arial" w:hAnsi="Arial" w:cs="Arial"/>
      </w:rPr>
      <w:fldChar w:fldCharType="begin"/>
    </w:r>
    <w:r>
      <w:rPr>
        <w:rStyle w:val="44"/>
        <w:rFonts w:ascii="Arial" w:hAnsi="Arial" w:cs="Arial"/>
      </w:rPr>
      <w:instrText xml:space="preserve"> PAGE </w:instrText>
    </w:r>
    <w:r>
      <w:rPr>
        <w:rStyle w:val="44"/>
        <w:rFonts w:ascii="Arial" w:hAnsi="Arial" w:cs="Arial"/>
      </w:rPr>
      <w:fldChar w:fldCharType="separate"/>
    </w:r>
    <w:r>
      <w:rPr>
        <w:rStyle w:val="44"/>
        <w:rFonts w:ascii="Arial" w:hAnsi="Arial" w:cs="Arial"/>
      </w:rPr>
      <w:t>40</w:t>
    </w:r>
    <w:r>
      <w:rPr>
        <w:rStyle w:val="44"/>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top w:val="single" w:color="auto" w:sz="4" w:space="1"/>
        <w:bottom w:val="none" w:color="auto" w:sz="0" w:space="0"/>
      </w:pBdr>
      <w:jc w:val="center"/>
      <w:rPr>
        <w:rFonts w:ascii="Arial" w:hAnsi="Arial" w:cs="Arial"/>
      </w:rPr>
    </w:pPr>
    <w:r>
      <w:rPr>
        <w:rStyle w:val="44"/>
        <w:rFonts w:ascii="Arial" w:hAnsi="Arial" w:cs="Arial"/>
      </w:rPr>
      <w:fldChar w:fldCharType="begin"/>
    </w:r>
    <w:r>
      <w:rPr>
        <w:rStyle w:val="44"/>
        <w:rFonts w:ascii="Arial" w:hAnsi="Arial" w:cs="Arial"/>
      </w:rPr>
      <w:instrText xml:space="preserve"> PAGE </w:instrText>
    </w:r>
    <w:r>
      <w:rPr>
        <w:rStyle w:val="44"/>
        <w:rFonts w:ascii="Arial" w:hAnsi="Arial" w:cs="Arial"/>
      </w:rPr>
      <w:fldChar w:fldCharType="separate"/>
    </w:r>
    <w:r>
      <w:rPr>
        <w:rStyle w:val="44"/>
        <w:rFonts w:ascii="Arial" w:hAnsi="Arial" w:cs="Arial"/>
      </w:rPr>
      <w:t>71</w:t>
    </w:r>
    <w:r>
      <w:rPr>
        <w:rStyle w:val="44"/>
        <w:rFonts w:ascii="Arial" w:hAnsi="Arial" w:cs="Arial"/>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rPr>
        <w:b/>
        <w:bCs/>
        <w:sz w:val="24"/>
      </w:rPr>
    </w:pPr>
    <w:r>
      <w:pict>
        <v:shape id="PowerPlusWaterMarkObject35260" o:spid="_x0000_s2049" o:spt="136" type="#_x0000_t136" style="position:absolute;left:0pt;height:259.65pt;width:397.75pt;mso-position-horizontal:center;mso-position-horizontal-relative:margin;mso-position-vertical:center;mso-position-vertical-relative:margin;rotation:-2949120f;z-index:-251652096;mso-width-relative:page;mso-height-relative:page;" fillcolor="#C0C0C0" filled="t" stroked="f" coordsize="21600,21600">
          <v:path/>
          <v:fill on="t" opacity="32768f" focussize="0,0"/>
          <v:stroke on="f"/>
          <v:imagedata o:title=""/>
          <o:lock v:ext="edit" aspectratio="t"/>
          <v:textpath on="t" fitshape="t" fitpath="t" trim="t" xscale="f" string="初稿" style="font-family:微软雅黑;font-size:36pt;v-text-align:center;"/>
        </v:shape>
      </w:pict>
    </w:r>
    <w:r>
      <w:drawing>
        <wp:inline distT="0" distB="0" distL="0" distR="0">
          <wp:extent cx="5899785" cy="286385"/>
          <wp:effectExtent l="0" t="0" r="5715" b="0"/>
          <wp:docPr id="20" name="图片 20"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2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549265" cy="2774315"/>
              <wp:effectExtent l="0" t="0" r="0" b="0"/>
              <wp:wrapNone/>
              <wp:docPr id="17" name="WordArt 31"/>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wps:spPr>
                    <wps:txbx>
                      <w:txbxContent>
                        <w:p>
                          <w:pPr>
                            <w:jc w:val="center"/>
                            <w:rPr>
                              <w:color w:val="C0C0C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anchor>
          </w:drawing>
        </mc:Choice>
        <mc:Fallback>
          <w:pict>
            <v:shape id="WordArt 31" o:spid="_x0000_s1026" o:spt="202" type="#_x0000_t202" style="position:absolute;left:0pt;height:218.45pt;width:436.95pt;mso-position-horizontal:center;mso-position-horizontal-relative:margin;mso-position-vertical:center;mso-position-vertical-relative:margin;rotation:-2949120f;z-index:-251655168;mso-width-relative:page;mso-height-relative:page;" filled="f" stroked="f" coordsize="21600,21600" o:allowincell="f" o:gfxdata="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7O311gAAAAUB&#10;AAAPAAAAAAAAAAEAIAAAACIAAABkcnMvZG93bnJldi54bWxQSwECFAAUAAAACACHTuJAS9xLER0C&#10;AAA5BAAADgAAAAAAAAABACAAAAAlAQAAZHJzL2Uyb0RvYy54bWxQSwUGAAAAAAYABgBZAQAAtAUA&#10;AAAA&#10;" adj="10800">
              <v:fill on="f" focussize="0,0"/>
              <v:stroke on="f"/>
              <v:imagedata o:title=""/>
              <o:lock v:ext="edit" text="t" aspectratio="f"/>
              <v:textbox style="mso-fit-shape-to-text:t;">
                <w:txbxContent>
                  <w:p>
                    <w:pPr>
                      <w:jc w:val="center"/>
                      <w:rPr>
                        <w:color w:val="C0C0C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初稿</w:t>
                    </w:r>
                  </w:p>
                </w:txbxContent>
              </v:textbox>
            </v:shape>
          </w:pict>
        </mc:Fallback>
      </mc:AlternateContent>
    </w:r>
    <w:r>
      <mc:AlternateContent>
        <mc:Choice Requires="wps">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549265" cy="2774315"/>
              <wp:effectExtent l="0" t="0" r="0" b="0"/>
              <wp:wrapNone/>
              <wp:docPr id="5190" name="WordArt 23"/>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wps:spPr>
                    <wps:txbx>
                      <w:txbxContent>
                        <w:p>
                          <w:pPr>
                            <w:jc w:val="cente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anchor>
          </w:drawing>
        </mc:Choice>
        <mc:Fallback>
          <w:pict>
            <v:shape id="WordArt 23" o:spid="_x0000_s1026" o:spt="202" type="#_x0000_t202" style="position:absolute;left:0pt;height:218.45pt;width:436.95pt;mso-position-horizontal:center;mso-position-horizontal-relative:margin;mso-position-vertical:center;mso-position-vertical-relative:margin;rotation:-2949120f;z-index:-251654144;mso-width-relative:page;mso-height-relative:page;" filled="f" stroked="f" coordsize="21600,21600" o:allowincell="f" o:gfxdata="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Ds7fXWAAAABQEA&#10;AA8AAAAAAAAAAQAgAAAAIgAAAGRycy9kb3ducmV2LnhtbFBLAQIUABQAAAAIAIdO4kBlzGCGHAIA&#10;ADsEAAAOAAAAAAAAAAEAIAAAACUBAABkcnMvZTJvRG9jLnhtbFBLBQYAAAAABgAGAFkBAACzBQAA&#10;AAA=&#10;" adj="10800">
              <v:fill on="f" focussize="0,0"/>
              <v:stroke on="f"/>
              <v:imagedata o:title=""/>
              <o:lock v:ext="edit" text="t" aspectratio="f"/>
              <v:textbox style="mso-fit-shape-to-text:t;">
                <w:txbxContent>
                  <w:p>
                    <w:pPr>
                      <w:jc w:val="center"/>
                    </w:pPr>
                    <w:r>
                      <w:rPr>
                        <w:rFonts w:hint="eastAsia"/>
                        <w:color w:val="C0C0C0"/>
                        <w:sz w:val="2"/>
                        <w:szCs w:val="2"/>
                        <w14:textFill>
                          <w14:solidFill>
                            <w14:srgbClr w14:val="C0C0C0">
                              <w14:alpha w14:val="50000"/>
                            </w14:srgbClr>
                          </w14:solidFill>
                        </w14:textFill>
                      </w:rPr>
                      <w:t>初稿</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r>
      <w:pict>
        <v:shape id="PowerPlusWaterMarkObject175357" o:spid="_x0000_s2054" o:spt="136" type="#_x0000_t136" style="position:absolute;left:0pt;height:259.65pt;width:397.75pt;mso-position-horizontal:center;mso-position-horizontal-relative:margin;mso-position-vertical:center;mso-position-vertical-relative:margin;rotation:-2949120f;z-index:-251648000;mso-width-relative:page;mso-height-relative:page;" fillcolor="#C0C0C0" filled="t" stroked="f" coordsize="21600,21600">
          <v:path/>
          <v:fill on="t" opacity="32768f" focussize="0,0"/>
          <v:stroke on="f"/>
          <v:imagedata o:title=""/>
          <o:lock v:ext="edit" aspectratio="t"/>
          <v:textpath on="t" fitshape="t" fitpath="t" trim="t" xscale="f" string="初稿" style="font-family:微软雅黑;font-size:36pt;v-text-align:center;"/>
        </v:shape>
      </w:pict>
    </w:r>
    <w: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549265" cy="2774315"/>
              <wp:effectExtent l="0" t="0" r="0" b="0"/>
              <wp:wrapNone/>
              <wp:docPr id="10" name="WordArt 30"/>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wps:spPr>
                    <wps:txbx>
                      <w:txbxContent>
                        <w:p>
                          <w:pPr>
                            <w:jc w:val="center"/>
                            <w:rPr>
                              <w:color w:val="C0C0C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anchor>
          </w:drawing>
        </mc:Choice>
        <mc:Fallback>
          <w:pict>
            <v:shape id="WordArt 30" o:spid="_x0000_s1026" o:spt="202" type="#_x0000_t202" style="position:absolute;left:0pt;height:218.45pt;width:436.95pt;mso-position-horizontal:center;mso-position-horizontal-relative:margin;mso-position-vertical:center;mso-position-vertical-relative:margin;rotation:-2949120f;z-index:-251656192;mso-width-relative:page;mso-height-relative:page;" filled="f" stroked="f" coordsize="21600,21600" o:allowincell="f" o:gfxdata="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Q7O311gAAAAUBAAAP&#10;AAAAAAAAAAEAIAAAACIAAABkcnMvZG93bnJldi54bWxQSwECFAAUAAAACACHTuJAsQIQqBoCAAA5&#10;BAAADgAAAAAAAAABACAAAAAlAQAAZHJzL2Uyb0RvYy54bWxQSwUGAAAAAAYABgBZAQAAsQUAAAAA&#10;" adj="10800">
              <v:fill on="f" focussize="0,0"/>
              <v:stroke on="f"/>
              <v:imagedata o:title=""/>
              <o:lock v:ext="edit" text="t" aspectratio="f"/>
              <v:textbox style="mso-fit-shape-to-text:t;">
                <w:txbxContent>
                  <w:p>
                    <w:pPr>
                      <w:jc w:val="center"/>
                      <w:rPr>
                        <w:color w:val="C0C0C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初稿</w:t>
                    </w:r>
                  </w:p>
                </w:txbxContent>
              </v:textbox>
            </v:shape>
          </w:pict>
        </mc:Fallback>
      </mc:AlternateContent>
    </w:r>
    <w:r>
      <w:drawing>
        <wp:inline distT="0" distB="0" distL="0" distR="0">
          <wp:extent cx="5899785" cy="286385"/>
          <wp:effectExtent l="0" t="0" r="13335" b="3175"/>
          <wp:docPr id="5178" name="图片 5178" descr="评估报告内页页眉.jpg"/>
          <wp:cNvGraphicFramePr/>
          <a:graphic xmlns:a="http://schemas.openxmlformats.org/drawingml/2006/main">
            <a:graphicData uri="http://schemas.openxmlformats.org/drawingml/2006/picture">
              <pic:pic xmlns:pic="http://schemas.openxmlformats.org/drawingml/2006/picture">
                <pic:nvPicPr>
                  <pic:cNvPr id="5178" name="图片 5178"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pict>
        <v:shape id="PowerPlusWaterMarkObject193435" o:spid="_x0000_s2055" o:spt="136" type="#_x0000_t136" style="position:absolute;left:0pt;height:259.65pt;width:397.75pt;mso-position-horizontal:center;mso-position-horizontal-relative:margin;mso-position-vertical:center;mso-position-vertical-relative:margin;rotation:-2949120f;z-index:-251646976;mso-width-relative:page;mso-height-relative:page;" fillcolor="#C0C0C0" filled="t" stroked="f" coordsize="21600,21600">
          <v:path/>
          <v:fill on="t" opacity="32768f" focussize="0,0"/>
          <v:stroke on="f"/>
          <v:imagedata o:title=""/>
          <o:lock v:ext="edit" aspectratio="t"/>
          <v:textpath on="t" fitshape="t" fitpath="t" trim="t" xscale="f" string="初稿" style="font-family:微软雅黑;font-size:36pt;v-text-align:center;"/>
        </v:shape>
      </w:pict>
    </w:r>
    <w:r>
      <w:drawing>
        <wp:inline distT="0" distB="0" distL="0" distR="0">
          <wp:extent cx="5899785" cy="286385"/>
          <wp:effectExtent l="0" t="0" r="13335" b="3175"/>
          <wp:docPr id="34"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34" name="图片 34"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549265" cy="2774315"/>
              <wp:effectExtent l="0" t="0" r="0" b="0"/>
              <wp:wrapNone/>
              <wp:docPr id="5" name="WordArt 23"/>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wps:spPr>
                    <wps:txbx>
                      <w:txbxContent>
                        <w:p>
                          <w:pPr>
                            <w:jc w:val="cente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anchor>
          </w:drawing>
        </mc:Choice>
        <mc:Fallback>
          <w:pict>
            <v:shape id="WordArt 23" o:spid="_x0000_s1026" o:spt="202" type="#_x0000_t202" style="position:absolute;left:0pt;height:218.45pt;width:436.95pt;mso-position-horizontal:center;mso-position-horizontal-relative:margin;mso-position-vertical:center;mso-position-vertical-relative:margin;rotation:-2949120f;z-index:-251657216;mso-width-relative:page;mso-height-relative:page;" filled="f" stroked="f" coordsize="21600,21600" o:allowincell="f" o:gfxdata="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Q7O311gAAAAUBAAAP&#10;AAAAAAAAAAEAIAAAACIAAABkcnMvZG93bnJldi54bWxQSwECFAAUAAAACACHTuJAy4KCmRoCAAA4&#10;BAAADgAAAAAAAAABACAAAAAlAQAAZHJzL2Uyb0RvYy54bWxQSwUGAAAAAAYABgBZAQAAsQUAAAAA&#10;" adj="10800">
              <v:fill on="f" focussize="0,0"/>
              <v:stroke on="f"/>
              <v:imagedata o:title=""/>
              <o:lock v:ext="edit" text="t" aspectratio="f"/>
              <v:textbox style="mso-fit-shape-to-text:t;">
                <w:txbxContent>
                  <w:p>
                    <w:pPr>
                      <w:jc w:val="center"/>
                    </w:pPr>
                    <w:r>
                      <w:rPr>
                        <w:rFonts w:hint="eastAsia"/>
                        <w:color w:val="C0C0C0"/>
                        <w:sz w:val="2"/>
                        <w:szCs w:val="2"/>
                        <w14:textFill>
                          <w14:solidFill>
                            <w14:srgbClr w14:val="C0C0C0">
                              <w14:alpha w14:val="50000"/>
                            </w14:srgbClr>
                          </w14:solidFill>
                        </w14:textFill>
                      </w:rPr>
                      <w:t>初稿</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r>
      <w:pict>
        <v:shape id="PowerPlusWaterMarkObject205012" o:spid="_x0000_s2056" o:spt="136" type="#_x0000_t136" style="position:absolute;left:0pt;height:259.65pt;width:397.75pt;mso-position-horizontal:center;mso-position-horizontal-relative:margin;mso-position-vertical:center;mso-position-vertical-relative:margin;rotation:-2949120f;z-index:-251645952;mso-width-relative:page;mso-height-relative:page;" fillcolor="#C0C0C0" filled="t" stroked="f" coordsize="21600,21600">
          <v:path/>
          <v:fill on="t" opacity="32768f" focussize="0,0"/>
          <v:stroke on="f"/>
          <v:imagedata o:title=""/>
          <o:lock v:ext="edit" aspectratio="t"/>
          <v:textpath on="t" fitshape="t" fitpath="t" trim="t" xscale="f" string="初稿" style="font-family:微软雅黑;font-size:36pt;v-text-align:center;"/>
        </v:shape>
      </w:pict>
    </w:r>
    <w:r>
      <w:drawing>
        <wp:inline distT="0" distB="0" distL="0" distR="0">
          <wp:extent cx="5899785" cy="286385"/>
          <wp:effectExtent l="0" t="0" r="13335" b="3175"/>
          <wp:docPr id="33" name="图片 33" descr="评估报告内页页眉.jpg"/>
          <wp:cNvGraphicFramePr/>
          <a:graphic xmlns:a="http://schemas.openxmlformats.org/drawingml/2006/main">
            <a:graphicData uri="http://schemas.openxmlformats.org/drawingml/2006/picture">
              <pic:pic xmlns:pic="http://schemas.openxmlformats.org/drawingml/2006/picture">
                <pic:nvPicPr>
                  <pic:cNvPr id="33" name="图片 33"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pict>
        <v:shape id="PowerPlusWaterMarkObject221627" o:spid="_x0000_s2057" o:spt="136" type="#_x0000_t136" style="position:absolute;left:0pt;height:259.65pt;width:397.75pt;mso-position-horizontal:center;mso-position-horizontal-relative:margin;mso-position-vertical:center;mso-position-vertical-relative:margin;rotation:-2949120f;z-index:-251644928;mso-width-relative:page;mso-height-relative:page;" fillcolor="#C0C0C0" filled="t" stroked="f" coordsize="21600,21600">
          <v:path/>
          <v:fill on="t" opacity="32768f" focussize="0,0"/>
          <v:stroke on="f"/>
          <v:imagedata o:title=""/>
          <o:lock v:ext="edit" aspectratio="t"/>
          <v:textpath on="t" fitshape="t" fitpath="t" trim="t" xscale="f" string="初稿" style="font-family:微软雅黑;font-size:36pt;v-text-align:center;"/>
        </v:shape>
      </w:pict>
    </w:r>
    <w:r>
      <w:drawing>
        <wp:inline distT="0" distB="0" distL="0" distR="0">
          <wp:extent cx="5899785" cy="286385"/>
          <wp:effectExtent l="0" t="0" r="5715" b="0"/>
          <wp:docPr id="5179" name="图片 5179" descr="评估报告内页页眉.jpg"/>
          <wp:cNvGraphicFramePr/>
          <a:graphic xmlns:a="http://schemas.openxmlformats.org/drawingml/2006/main">
            <a:graphicData uri="http://schemas.openxmlformats.org/drawingml/2006/picture">
              <pic:pic xmlns:pic="http://schemas.openxmlformats.org/drawingml/2006/picture">
                <pic:nvPicPr>
                  <pic:cNvPr id="5179" name="图片 5179"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r>
      <w:pict>
        <v:shape id="PowerPlusWaterMarkObject259731" o:spid="_x0000_s2058" o:spt="136" type="#_x0000_t136" style="position:absolute;left:0pt;height:259.65pt;width:397.75pt;mso-position-horizontal:center;mso-position-horizontal-relative:margin;mso-position-vertical:center;mso-position-vertical-relative:margin;rotation:-2949120f;z-index:-251643904;mso-width-relative:page;mso-height-relative:page;" fillcolor="#C0C0C0" filled="t" stroked="f" coordsize="21600,21600">
          <v:path/>
          <v:fill on="t" opacity="32768f" focussize="0,0"/>
          <v:stroke on="f"/>
          <v:imagedata o:title=""/>
          <o:lock v:ext="edit" aspectratio="t"/>
          <v:textpath on="t" fitshape="t" fitpath="t" trim="t" xscale="f" string="初稿" style="font-family:微软雅黑;font-size:36pt;v-text-align:center;"/>
        </v:shape>
      </w:pict>
    </w:r>
    <w:r>
      <w:drawing>
        <wp:inline distT="0" distB="0" distL="0" distR="0">
          <wp:extent cx="5899785" cy="286385"/>
          <wp:effectExtent l="0" t="0" r="5715" b="0"/>
          <wp:docPr id="5180" name="图片 5180" descr="评估报告内页页眉.jpg"/>
          <wp:cNvGraphicFramePr/>
          <a:graphic xmlns:a="http://schemas.openxmlformats.org/drawingml/2006/main">
            <a:graphicData uri="http://schemas.openxmlformats.org/drawingml/2006/picture">
              <pic:pic xmlns:pic="http://schemas.openxmlformats.org/drawingml/2006/picture">
                <pic:nvPicPr>
                  <pic:cNvPr id="5180" name="图片 518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r>
      <w:drawing>
        <wp:inline distT="0" distB="0" distL="0" distR="0">
          <wp:extent cx="5899785" cy="286385"/>
          <wp:effectExtent l="0" t="0" r="5715"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r>
      <w:pict>
        <v:shape id="PowerPlusWaterMarkObject54592" o:spid="_x0000_s2050" o:spt="136" type="#_x0000_t136" style="position:absolute;left:0pt;height:259.65pt;width:397.75pt;mso-position-horizontal:center;mso-position-horizontal-relative:margin;mso-position-vertical:center;mso-position-vertical-relative:margin;rotation:-2949120f;z-index:-251651072;mso-width-relative:page;mso-height-relative:page;" fillcolor="#C0C0C0" filled="t" stroked="f" coordsize="21600,21600">
          <v:path/>
          <v:fill on="t" opacity="32768f" focussize="0,0"/>
          <v:stroke on="f"/>
          <v:imagedata o:title=""/>
          <o:lock v:ext="edit" aspectratio="t"/>
          <v:textpath on="t" fitshape="t" fitpath="t" trim="t" xscale="f" string="初稿" style="font-family:微软雅黑;font-size:36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r>
      <w:drawing>
        <wp:inline distT="0" distB="0" distL="0" distR="0">
          <wp:extent cx="5899785" cy="286385"/>
          <wp:effectExtent l="0" t="0" r="5715" b="0"/>
          <wp:docPr id="25" name="图片 25" descr="评估报告内页页眉.jpg"/>
          <wp:cNvGraphicFramePr/>
          <a:graphic xmlns:a="http://schemas.openxmlformats.org/drawingml/2006/main">
            <a:graphicData uri="http://schemas.openxmlformats.org/drawingml/2006/picture">
              <pic:pic xmlns:pic="http://schemas.openxmlformats.org/drawingml/2006/picture">
                <pic:nvPicPr>
                  <pic:cNvPr id="25" name="图片 2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r>
      <w:drawing>
        <wp:inline distT="0" distB="0" distL="0" distR="0">
          <wp:extent cx="5899785" cy="286385"/>
          <wp:effectExtent l="0" t="0" r="5715" b="0"/>
          <wp:docPr id="2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6"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rPr>
        <w:b/>
        <w:bCs/>
        <w:sz w:val="24"/>
      </w:rPr>
    </w:pPr>
    <w:r>
      <w:drawing>
        <wp:inline distT="0" distB="0" distL="0" distR="0">
          <wp:extent cx="5899785" cy="286385"/>
          <wp:effectExtent l="0" t="0" r="5715" b="0"/>
          <wp:docPr id="5173" name="图片 5173" descr="评估报告内页页眉.jpg"/>
          <wp:cNvGraphicFramePr/>
          <a:graphic xmlns:a="http://schemas.openxmlformats.org/drawingml/2006/main">
            <a:graphicData uri="http://schemas.openxmlformats.org/drawingml/2006/picture">
              <pic:pic xmlns:pic="http://schemas.openxmlformats.org/drawingml/2006/picture">
                <pic:nvPicPr>
                  <pic:cNvPr id="5173" name="图片 5173"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pict>
        <v:shape id="PowerPlusWaterMarkObject71518" o:spid="_x0000_s2051" o:spt="136" type="#_x0000_t136" style="position:absolute;left:0pt;height:259.65pt;width:397.75pt;mso-position-horizontal:center;mso-position-horizontal-relative:margin;mso-position-vertical:center;mso-position-vertical-relative:margin;rotation:-2949120f;z-index:-251650048;mso-width-relative:page;mso-height-relative:page;" fillcolor="#C0C0C0" filled="t" stroked="f" coordsize="21600,21600">
          <v:path/>
          <v:fill on="t" opacity="32768f" focussize="0,0"/>
          <v:stroke on="f"/>
          <v:imagedata o:title=""/>
          <o:lock v:ext="edit" aspectratio="t"/>
          <v:textpath on="t" fitshape="t" fitpath="t" trim="t" xscale="f" string="初稿" style="font-family:微软雅黑;font-size:36pt;v-text-align:center;"/>
        </v:shape>
      </w:pict>
    </w:r>
    <w:r>
      <w:drawing>
        <wp:inline distT="0" distB="0" distL="0" distR="0">
          <wp:extent cx="5899785" cy="286385"/>
          <wp:effectExtent l="0" t="0" r="5715" b="0"/>
          <wp:docPr id="5174" name="图片 5174" descr="评估报告内页页眉.jpg"/>
          <wp:cNvGraphicFramePr/>
          <a:graphic xmlns:a="http://schemas.openxmlformats.org/drawingml/2006/main">
            <a:graphicData uri="http://schemas.openxmlformats.org/drawingml/2006/picture">
              <pic:pic xmlns:pic="http://schemas.openxmlformats.org/drawingml/2006/picture">
                <pic:nvPicPr>
                  <pic:cNvPr id="5174" name="图片 5174"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pict>
        <v:shape id="PowerPlusWaterMarkObject110949" o:spid="_x0000_s2052" o:spt="136" type="#_x0000_t136" style="position:absolute;left:0pt;height:259.65pt;width:397.75pt;mso-position-horizontal:center;mso-position-horizontal-relative:margin;mso-position-vertical:center;mso-position-vertical-relative:margin;rotation:-2949120f;z-index:-251650048;mso-width-relative:page;mso-height-relative:page;" fillcolor="#C0C0C0" filled="t" stroked="f" coordsize="21600,21600">
          <v:path/>
          <v:fill on="t" opacity="32768f" focussize="0,0"/>
          <v:stroke on="f"/>
          <v:imagedata o:title=""/>
          <o:lock v:ext="edit" aspectratio="t"/>
          <v:textpath on="t" fitshape="t" fitpath="t" trim="t" xscale="f" string="初稿" style="font-family:微软雅黑;font-size:36pt;v-text-align:center;"/>
        </v:shape>
      </w:pict>
    </w:r>
    <w:r>
      <w:drawing>
        <wp:inline distT="0" distB="0" distL="0" distR="0">
          <wp:extent cx="5899785" cy="286385"/>
          <wp:effectExtent l="0" t="0" r="5715" b="0"/>
          <wp:docPr id="5175" name="图片 5175" descr="评估报告内页页眉.jpg"/>
          <wp:cNvGraphicFramePr/>
          <a:graphic xmlns:a="http://schemas.openxmlformats.org/drawingml/2006/main">
            <a:graphicData uri="http://schemas.openxmlformats.org/drawingml/2006/picture">
              <pic:pic xmlns:pic="http://schemas.openxmlformats.org/drawingml/2006/picture">
                <pic:nvPicPr>
                  <pic:cNvPr id="5175" name="图片 517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r>
      <w:drawing>
        <wp:inline distT="0" distB="0" distL="0" distR="0">
          <wp:extent cx="5899785" cy="286385"/>
          <wp:effectExtent l="0" t="0" r="13335" b="3175"/>
          <wp:docPr id="5176" name="图片 5176" descr="评估报告内页页眉.jpg"/>
          <wp:cNvGraphicFramePr/>
          <a:graphic xmlns:a="http://schemas.openxmlformats.org/drawingml/2006/main">
            <a:graphicData uri="http://schemas.openxmlformats.org/drawingml/2006/picture">
              <pic:pic xmlns:pic="http://schemas.openxmlformats.org/drawingml/2006/picture">
                <pic:nvPicPr>
                  <pic:cNvPr id="5176" name="图片 5176"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pict>
        <v:shape id="PowerPlusWaterMarkObject148073" o:spid="_x0000_s2053" o:spt="136" type="#_x0000_t136" style="position:absolute;left:0pt;height:259.65pt;width:397.75pt;mso-position-horizontal:center;mso-position-horizontal-relative:margin;mso-position-vertical:center;mso-position-vertical-relative:margin;rotation:-2949120f;z-index:-251649024;mso-width-relative:page;mso-height-relative:page;" fillcolor="#C0C0C0" filled="t" stroked="f" coordsize="21600,21600">
          <v:path/>
          <v:fill on="t" opacity="32768f" focussize="0,0"/>
          <v:stroke on="f"/>
          <v:imagedata o:title=""/>
          <o:lock v:ext="edit" aspectratio="t"/>
          <v:textpath on="t" fitshape="t" fitpath="t" trim="t" xscale="f" string="初稿" style="font-family:微软雅黑;font-size:36pt;v-text-align:center;"/>
        </v:shape>
      </w:pict>
    </w:r>
    <w:r>
      <mc:AlternateContent>
        <mc:Choice Requires="wps">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549265" cy="2774315"/>
              <wp:effectExtent l="0" t="0" r="0" b="0"/>
              <wp:wrapNone/>
              <wp:docPr id="11" name="WordArt 32"/>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wps:spPr>
                    <wps:txbx>
                      <w:txbxContent>
                        <w:p>
                          <w:pPr>
                            <w:jc w:val="center"/>
                            <w:rPr>
                              <w:color w:val="C0C0C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anchor>
          </w:drawing>
        </mc:Choice>
        <mc:Fallback>
          <w:pict>
            <v:shape id="WordArt 32" o:spid="_x0000_s1026" o:spt="202" type="#_x0000_t202" style="position:absolute;left:0pt;height:218.45pt;width:436.95pt;mso-position-horizontal:center;mso-position-horizontal-relative:margin;mso-position-vertical:center;mso-position-vertical-relative:margin;rotation:-2949120f;z-index:-251653120;mso-width-relative:page;mso-height-relative:page;" filled="f" stroked="f" coordsize="21600,21600" o:allowincell="f" o:gfxdata="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Ds7fXWAAAABQEAAA8A&#10;AAAAAAAAAQAgAAAAIgAAAGRycy9kb3ducmV2LnhtbFBLAQIUABQAAAAIAIdO4kDZTnWNGQIAADkE&#10;AAAOAAAAAAAAAAEAIAAAACUBAABkcnMvZTJvRG9jLnhtbFBLBQYAAAAABgAGAFkBAACwBQAAAAA=&#10;" adj="10800">
              <v:fill on="f" focussize="0,0"/>
              <v:stroke on="f"/>
              <v:imagedata o:title=""/>
              <o:lock v:ext="edit" text="t" aspectratio="f"/>
              <v:textbox style="mso-fit-shape-to-text:t;">
                <w:txbxContent>
                  <w:p>
                    <w:pPr>
                      <w:jc w:val="center"/>
                      <w:rPr>
                        <w:color w:val="C0C0C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初稿</w:t>
                    </w:r>
                  </w:p>
                </w:txbxContent>
              </v:textbox>
            </v:shape>
          </w:pict>
        </mc:Fallback>
      </mc:AlternateContent>
    </w:r>
    <w:r>
      <w:drawing>
        <wp:inline distT="0" distB="0" distL="0" distR="0">
          <wp:extent cx="5899785" cy="286385"/>
          <wp:effectExtent l="0" t="0" r="13335" b="3175"/>
          <wp:docPr id="5177" name="图片 5177" descr="评估报告内页页眉.jpg"/>
          <wp:cNvGraphicFramePr/>
          <a:graphic xmlns:a="http://schemas.openxmlformats.org/drawingml/2006/main">
            <a:graphicData uri="http://schemas.openxmlformats.org/drawingml/2006/picture">
              <pic:pic xmlns:pic="http://schemas.openxmlformats.org/drawingml/2006/picture">
                <pic:nvPicPr>
                  <pic:cNvPr id="5177" name="图片 5177"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3F6173"/>
    <w:multiLevelType w:val="singleLevel"/>
    <w:tmpl w:val="C43F6173"/>
    <w:lvl w:ilvl="0" w:tentative="0">
      <w:start w:val="1"/>
      <w:numFmt w:val="decimal"/>
      <w:suff w:val="nothing"/>
      <w:lvlText w:val="（%1）"/>
      <w:lvlJc w:val="left"/>
    </w:lvl>
  </w:abstractNum>
  <w:abstractNum w:abstractNumId="1">
    <w:nsid w:val="12FC7B19"/>
    <w:multiLevelType w:val="multilevel"/>
    <w:tmpl w:val="12FC7B19"/>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37200B5"/>
    <w:multiLevelType w:val="singleLevel"/>
    <w:tmpl w:val="137200B5"/>
    <w:lvl w:ilvl="0" w:tentative="0">
      <w:start w:val="1"/>
      <w:numFmt w:val="decimal"/>
      <w:suff w:val="nothing"/>
      <w:lvlText w:val="（%1）"/>
      <w:lvlJc w:val="left"/>
    </w:lvl>
  </w:abstractNum>
  <w:abstractNum w:abstractNumId="3">
    <w:nsid w:val="51393E2A"/>
    <w:multiLevelType w:val="multilevel"/>
    <w:tmpl w:val="51393E2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6828F917"/>
    <w:multiLevelType w:val="singleLevel"/>
    <w:tmpl w:val="6828F917"/>
    <w:lvl w:ilvl="0" w:tentative="0">
      <w:start w:val="6"/>
      <w:numFmt w:val="chineseCounting"/>
      <w:suff w:val="nothing"/>
      <w:lvlText w:val="（%1）"/>
      <w:lvlJc w:val="left"/>
      <w:rPr>
        <w:rFonts w:hint="eastAsia"/>
      </w:rPr>
    </w:lvl>
  </w:abstractNum>
  <w:abstractNum w:abstractNumId="5">
    <w:nsid w:val="70D97887"/>
    <w:multiLevelType w:val="multilevel"/>
    <w:tmpl w:val="70D97887"/>
    <w:lvl w:ilvl="0" w:tentative="0">
      <w:start w:val="1"/>
      <w:numFmt w:val="chineseCountingThousand"/>
      <w:suff w:val="nothing"/>
      <w:lvlText w:val="第%1章"/>
      <w:lvlJc w:val="left"/>
      <w:pPr>
        <w:ind w:left="0" w:firstLine="288"/>
      </w:pPr>
      <w:rPr>
        <w:rFonts w:hint="eastAsia"/>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pStyle w:val="7"/>
      <w:suff w:val="nothing"/>
      <w:lvlText w:val=""/>
      <w:lvlJc w:val="left"/>
      <w:pPr>
        <w:ind w:left="0" w:firstLine="0"/>
      </w:pPr>
      <w:rPr>
        <w:rFonts w:hint="eastAsia"/>
      </w:rPr>
    </w:lvl>
    <w:lvl w:ilvl="4" w:tentative="0">
      <w:start w:val="1"/>
      <w:numFmt w:val="none"/>
      <w:pStyle w:val="8"/>
      <w:suff w:val="nothing"/>
      <w:lvlText w:val=""/>
      <w:lvlJc w:val="left"/>
      <w:pPr>
        <w:ind w:left="0" w:firstLine="0"/>
      </w:pPr>
      <w:rPr>
        <w:rFonts w:hint="eastAsia"/>
      </w:rPr>
    </w:lvl>
    <w:lvl w:ilvl="5" w:tentative="0">
      <w:start w:val="1"/>
      <w:numFmt w:val="none"/>
      <w:pStyle w:val="9"/>
      <w:suff w:val="nothing"/>
      <w:lvlText w:val=""/>
      <w:lvlJc w:val="left"/>
      <w:pPr>
        <w:ind w:left="0" w:firstLine="0"/>
      </w:pPr>
      <w:rPr>
        <w:rFonts w:hint="eastAsia"/>
      </w:rPr>
    </w:lvl>
    <w:lvl w:ilvl="6" w:tentative="0">
      <w:start w:val="1"/>
      <w:numFmt w:val="none"/>
      <w:pStyle w:val="10"/>
      <w:suff w:val="nothing"/>
      <w:lvlText w:val=""/>
      <w:lvlJc w:val="left"/>
      <w:pPr>
        <w:ind w:left="0" w:firstLine="0"/>
      </w:pPr>
      <w:rPr>
        <w:rFonts w:hint="eastAsia"/>
      </w:rPr>
    </w:lvl>
    <w:lvl w:ilvl="7" w:tentative="0">
      <w:start w:val="1"/>
      <w:numFmt w:val="none"/>
      <w:pStyle w:val="11"/>
      <w:suff w:val="nothing"/>
      <w:lvlText w:val=""/>
      <w:lvlJc w:val="left"/>
      <w:pPr>
        <w:ind w:left="0" w:firstLine="0"/>
      </w:pPr>
      <w:rPr>
        <w:rFonts w:hint="eastAsia"/>
      </w:rPr>
    </w:lvl>
    <w:lvl w:ilvl="8" w:tentative="0">
      <w:start w:val="1"/>
      <w:numFmt w:val="none"/>
      <w:pStyle w:val="12"/>
      <w:suff w:val="nothing"/>
      <w:lvlText w:val=""/>
      <w:lvlJc w:val="left"/>
      <w:pPr>
        <w:ind w:left="0" w:firstLine="0"/>
      </w:pPr>
      <w:rPr>
        <w:rFonts w:hint="eastAsia"/>
      </w:r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2MzJhZDllMzY3MzFiYjIzZTcxZjlhYjM0M2NmMzMifQ=="/>
  </w:docVars>
  <w:rsids>
    <w:rsidRoot w:val="006E33E1"/>
    <w:rsid w:val="000002C5"/>
    <w:rsid w:val="00000424"/>
    <w:rsid w:val="000004B4"/>
    <w:rsid w:val="00000CCF"/>
    <w:rsid w:val="00001189"/>
    <w:rsid w:val="00001676"/>
    <w:rsid w:val="00001E8E"/>
    <w:rsid w:val="00001F90"/>
    <w:rsid w:val="0000203F"/>
    <w:rsid w:val="00002DCA"/>
    <w:rsid w:val="000035EF"/>
    <w:rsid w:val="0000370A"/>
    <w:rsid w:val="00003FE6"/>
    <w:rsid w:val="0000468C"/>
    <w:rsid w:val="0000529D"/>
    <w:rsid w:val="00005A03"/>
    <w:rsid w:val="00007423"/>
    <w:rsid w:val="00007472"/>
    <w:rsid w:val="000075D4"/>
    <w:rsid w:val="00007E5A"/>
    <w:rsid w:val="00007F2A"/>
    <w:rsid w:val="0001066F"/>
    <w:rsid w:val="00010751"/>
    <w:rsid w:val="00010B76"/>
    <w:rsid w:val="00011127"/>
    <w:rsid w:val="00011420"/>
    <w:rsid w:val="00011462"/>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2E2"/>
    <w:rsid w:val="00021525"/>
    <w:rsid w:val="0002178F"/>
    <w:rsid w:val="00021EBD"/>
    <w:rsid w:val="000220F2"/>
    <w:rsid w:val="00022525"/>
    <w:rsid w:val="00023918"/>
    <w:rsid w:val="00023B24"/>
    <w:rsid w:val="00023DE8"/>
    <w:rsid w:val="00023F98"/>
    <w:rsid w:val="000242AC"/>
    <w:rsid w:val="0002439D"/>
    <w:rsid w:val="000247C0"/>
    <w:rsid w:val="00025942"/>
    <w:rsid w:val="00025FB0"/>
    <w:rsid w:val="000260EC"/>
    <w:rsid w:val="00026174"/>
    <w:rsid w:val="0002622F"/>
    <w:rsid w:val="0002666D"/>
    <w:rsid w:val="0002667B"/>
    <w:rsid w:val="00026B61"/>
    <w:rsid w:val="0002728F"/>
    <w:rsid w:val="000278F9"/>
    <w:rsid w:val="00027B27"/>
    <w:rsid w:val="0003009E"/>
    <w:rsid w:val="000309BC"/>
    <w:rsid w:val="00030A9A"/>
    <w:rsid w:val="00030ABE"/>
    <w:rsid w:val="00030F6C"/>
    <w:rsid w:val="000314AC"/>
    <w:rsid w:val="00031A7F"/>
    <w:rsid w:val="00032562"/>
    <w:rsid w:val="00032628"/>
    <w:rsid w:val="00032A89"/>
    <w:rsid w:val="00032BB6"/>
    <w:rsid w:val="00032BC4"/>
    <w:rsid w:val="0003394A"/>
    <w:rsid w:val="0003423C"/>
    <w:rsid w:val="00034629"/>
    <w:rsid w:val="000346A4"/>
    <w:rsid w:val="00034D11"/>
    <w:rsid w:val="000350FA"/>
    <w:rsid w:val="00035628"/>
    <w:rsid w:val="0003619E"/>
    <w:rsid w:val="00036A09"/>
    <w:rsid w:val="00036D83"/>
    <w:rsid w:val="00037AD4"/>
    <w:rsid w:val="00037E4A"/>
    <w:rsid w:val="000407C1"/>
    <w:rsid w:val="00040C27"/>
    <w:rsid w:val="00040DD3"/>
    <w:rsid w:val="00040E94"/>
    <w:rsid w:val="00040F3F"/>
    <w:rsid w:val="00041196"/>
    <w:rsid w:val="000419CC"/>
    <w:rsid w:val="000423B4"/>
    <w:rsid w:val="00042A62"/>
    <w:rsid w:val="00042BE1"/>
    <w:rsid w:val="00042DF1"/>
    <w:rsid w:val="000430BF"/>
    <w:rsid w:val="00043202"/>
    <w:rsid w:val="00043FD6"/>
    <w:rsid w:val="00044A43"/>
    <w:rsid w:val="00044FCC"/>
    <w:rsid w:val="000452AF"/>
    <w:rsid w:val="00045525"/>
    <w:rsid w:val="00045B1D"/>
    <w:rsid w:val="00046072"/>
    <w:rsid w:val="0004642F"/>
    <w:rsid w:val="0004667F"/>
    <w:rsid w:val="00046870"/>
    <w:rsid w:val="00046D3B"/>
    <w:rsid w:val="00047018"/>
    <w:rsid w:val="0004711B"/>
    <w:rsid w:val="00047285"/>
    <w:rsid w:val="00047433"/>
    <w:rsid w:val="00047A13"/>
    <w:rsid w:val="00047C7E"/>
    <w:rsid w:val="000500E6"/>
    <w:rsid w:val="000506EB"/>
    <w:rsid w:val="00050972"/>
    <w:rsid w:val="00051B10"/>
    <w:rsid w:val="00051BC4"/>
    <w:rsid w:val="00051FF2"/>
    <w:rsid w:val="000522E8"/>
    <w:rsid w:val="000525F8"/>
    <w:rsid w:val="000527AC"/>
    <w:rsid w:val="00052872"/>
    <w:rsid w:val="0005292F"/>
    <w:rsid w:val="00052B1D"/>
    <w:rsid w:val="00052E9B"/>
    <w:rsid w:val="00053A26"/>
    <w:rsid w:val="00053BDA"/>
    <w:rsid w:val="00053CD4"/>
    <w:rsid w:val="000540CB"/>
    <w:rsid w:val="00054195"/>
    <w:rsid w:val="000541F3"/>
    <w:rsid w:val="00054222"/>
    <w:rsid w:val="0005466B"/>
    <w:rsid w:val="00054947"/>
    <w:rsid w:val="00054AEC"/>
    <w:rsid w:val="00055316"/>
    <w:rsid w:val="000555A0"/>
    <w:rsid w:val="00055D83"/>
    <w:rsid w:val="0005622D"/>
    <w:rsid w:val="000567D4"/>
    <w:rsid w:val="000572EC"/>
    <w:rsid w:val="000576E8"/>
    <w:rsid w:val="00060E6D"/>
    <w:rsid w:val="000612E6"/>
    <w:rsid w:val="000616AD"/>
    <w:rsid w:val="00061849"/>
    <w:rsid w:val="00061DE9"/>
    <w:rsid w:val="00062446"/>
    <w:rsid w:val="0006291D"/>
    <w:rsid w:val="000629BF"/>
    <w:rsid w:val="000629DC"/>
    <w:rsid w:val="00062A00"/>
    <w:rsid w:val="00062DB1"/>
    <w:rsid w:val="000638BB"/>
    <w:rsid w:val="000638FC"/>
    <w:rsid w:val="0006391E"/>
    <w:rsid w:val="00063A43"/>
    <w:rsid w:val="00063C51"/>
    <w:rsid w:val="000641F2"/>
    <w:rsid w:val="0006425C"/>
    <w:rsid w:val="00064565"/>
    <w:rsid w:val="00064796"/>
    <w:rsid w:val="0006487E"/>
    <w:rsid w:val="00064EE1"/>
    <w:rsid w:val="00065363"/>
    <w:rsid w:val="00065499"/>
    <w:rsid w:val="00065616"/>
    <w:rsid w:val="00065656"/>
    <w:rsid w:val="00065DD4"/>
    <w:rsid w:val="00065FA9"/>
    <w:rsid w:val="00066556"/>
    <w:rsid w:val="00066E08"/>
    <w:rsid w:val="00067581"/>
    <w:rsid w:val="000705CC"/>
    <w:rsid w:val="000707B2"/>
    <w:rsid w:val="00070A93"/>
    <w:rsid w:val="00071684"/>
    <w:rsid w:val="00072331"/>
    <w:rsid w:val="00072D88"/>
    <w:rsid w:val="0007316F"/>
    <w:rsid w:val="000733B0"/>
    <w:rsid w:val="000737B4"/>
    <w:rsid w:val="00073B2B"/>
    <w:rsid w:val="000742FC"/>
    <w:rsid w:val="0007467C"/>
    <w:rsid w:val="00074EA7"/>
    <w:rsid w:val="0007521D"/>
    <w:rsid w:val="00075534"/>
    <w:rsid w:val="00075729"/>
    <w:rsid w:val="00075DE7"/>
    <w:rsid w:val="00076022"/>
    <w:rsid w:val="0007639A"/>
    <w:rsid w:val="0007663C"/>
    <w:rsid w:val="000767B6"/>
    <w:rsid w:val="000767C8"/>
    <w:rsid w:val="0007774B"/>
    <w:rsid w:val="0007798C"/>
    <w:rsid w:val="00077A4C"/>
    <w:rsid w:val="00077D15"/>
    <w:rsid w:val="00080199"/>
    <w:rsid w:val="000803D1"/>
    <w:rsid w:val="0008092B"/>
    <w:rsid w:val="00081031"/>
    <w:rsid w:val="000816A6"/>
    <w:rsid w:val="00081769"/>
    <w:rsid w:val="00081F3F"/>
    <w:rsid w:val="0008230F"/>
    <w:rsid w:val="000824DE"/>
    <w:rsid w:val="00082956"/>
    <w:rsid w:val="000835E4"/>
    <w:rsid w:val="00083B6A"/>
    <w:rsid w:val="00083DE7"/>
    <w:rsid w:val="00083F00"/>
    <w:rsid w:val="0008415D"/>
    <w:rsid w:val="0008443A"/>
    <w:rsid w:val="0008453F"/>
    <w:rsid w:val="00084FDD"/>
    <w:rsid w:val="0008550D"/>
    <w:rsid w:val="000864B1"/>
    <w:rsid w:val="00086543"/>
    <w:rsid w:val="0008780B"/>
    <w:rsid w:val="000878A8"/>
    <w:rsid w:val="00090AB1"/>
    <w:rsid w:val="00090D4C"/>
    <w:rsid w:val="00090F21"/>
    <w:rsid w:val="0009137E"/>
    <w:rsid w:val="00091C43"/>
    <w:rsid w:val="00091CE3"/>
    <w:rsid w:val="0009256F"/>
    <w:rsid w:val="0009263F"/>
    <w:rsid w:val="0009296A"/>
    <w:rsid w:val="000929D8"/>
    <w:rsid w:val="00092C72"/>
    <w:rsid w:val="00093234"/>
    <w:rsid w:val="000933F9"/>
    <w:rsid w:val="00093627"/>
    <w:rsid w:val="0009444C"/>
    <w:rsid w:val="000944DF"/>
    <w:rsid w:val="00094602"/>
    <w:rsid w:val="000947A6"/>
    <w:rsid w:val="000948EB"/>
    <w:rsid w:val="00094955"/>
    <w:rsid w:val="000952ED"/>
    <w:rsid w:val="00095B35"/>
    <w:rsid w:val="000966E8"/>
    <w:rsid w:val="00096862"/>
    <w:rsid w:val="00096F07"/>
    <w:rsid w:val="00097120"/>
    <w:rsid w:val="0009755D"/>
    <w:rsid w:val="00097BFE"/>
    <w:rsid w:val="000A026A"/>
    <w:rsid w:val="000A08C7"/>
    <w:rsid w:val="000A0990"/>
    <w:rsid w:val="000A0F5C"/>
    <w:rsid w:val="000A1A89"/>
    <w:rsid w:val="000A27E3"/>
    <w:rsid w:val="000A2E5B"/>
    <w:rsid w:val="000A30A9"/>
    <w:rsid w:val="000A334D"/>
    <w:rsid w:val="000A350F"/>
    <w:rsid w:val="000A361D"/>
    <w:rsid w:val="000A37AA"/>
    <w:rsid w:val="000A3A7B"/>
    <w:rsid w:val="000A3F1E"/>
    <w:rsid w:val="000A4781"/>
    <w:rsid w:val="000A530D"/>
    <w:rsid w:val="000A57D3"/>
    <w:rsid w:val="000A5AD5"/>
    <w:rsid w:val="000A5F96"/>
    <w:rsid w:val="000A62C6"/>
    <w:rsid w:val="000A6A49"/>
    <w:rsid w:val="000A6B90"/>
    <w:rsid w:val="000A6D60"/>
    <w:rsid w:val="000A729F"/>
    <w:rsid w:val="000A7548"/>
    <w:rsid w:val="000A7699"/>
    <w:rsid w:val="000A7E0E"/>
    <w:rsid w:val="000B035C"/>
    <w:rsid w:val="000B0F38"/>
    <w:rsid w:val="000B1126"/>
    <w:rsid w:val="000B159F"/>
    <w:rsid w:val="000B1946"/>
    <w:rsid w:val="000B21A8"/>
    <w:rsid w:val="000B2C2D"/>
    <w:rsid w:val="000B3841"/>
    <w:rsid w:val="000B3928"/>
    <w:rsid w:val="000B43EB"/>
    <w:rsid w:val="000B457B"/>
    <w:rsid w:val="000B4F63"/>
    <w:rsid w:val="000B6FD4"/>
    <w:rsid w:val="000B6FF7"/>
    <w:rsid w:val="000B7071"/>
    <w:rsid w:val="000C0008"/>
    <w:rsid w:val="000C04AD"/>
    <w:rsid w:val="000C083C"/>
    <w:rsid w:val="000C0884"/>
    <w:rsid w:val="000C0C33"/>
    <w:rsid w:val="000C178A"/>
    <w:rsid w:val="000C1F97"/>
    <w:rsid w:val="000C23AD"/>
    <w:rsid w:val="000C2528"/>
    <w:rsid w:val="000C2A44"/>
    <w:rsid w:val="000C3504"/>
    <w:rsid w:val="000C3DF9"/>
    <w:rsid w:val="000C3F9E"/>
    <w:rsid w:val="000C40C0"/>
    <w:rsid w:val="000C44D8"/>
    <w:rsid w:val="000C4896"/>
    <w:rsid w:val="000C4D0F"/>
    <w:rsid w:val="000C4E68"/>
    <w:rsid w:val="000C4EB0"/>
    <w:rsid w:val="000C5694"/>
    <w:rsid w:val="000C587A"/>
    <w:rsid w:val="000C5995"/>
    <w:rsid w:val="000C5CC2"/>
    <w:rsid w:val="000C6487"/>
    <w:rsid w:val="000C731A"/>
    <w:rsid w:val="000C7329"/>
    <w:rsid w:val="000C79E9"/>
    <w:rsid w:val="000C7C26"/>
    <w:rsid w:val="000D0DCE"/>
    <w:rsid w:val="000D0E3A"/>
    <w:rsid w:val="000D0F68"/>
    <w:rsid w:val="000D106E"/>
    <w:rsid w:val="000D1252"/>
    <w:rsid w:val="000D1305"/>
    <w:rsid w:val="000D1803"/>
    <w:rsid w:val="000D188E"/>
    <w:rsid w:val="000D1CD5"/>
    <w:rsid w:val="000D2304"/>
    <w:rsid w:val="000D2337"/>
    <w:rsid w:val="000D2F12"/>
    <w:rsid w:val="000D3871"/>
    <w:rsid w:val="000D38C8"/>
    <w:rsid w:val="000D4629"/>
    <w:rsid w:val="000D48A8"/>
    <w:rsid w:val="000D4B73"/>
    <w:rsid w:val="000D5139"/>
    <w:rsid w:val="000D5574"/>
    <w:rsid w:val="000D5721"/>
    <w:rsid w:val="000D5981"/>
    <w:rsid w:val="000D5F95"/>
    <w:rsid w:val="000D6279"/>
    <w:rsid w:val="000D6761"/>
    <w:rsid w:val="000D6A74"/>
    <w:rsid w:val="000D6AF7"/>
    <w:rsid w:val="000D6D21"/>
    <w:rsid w:val="000D6FA7"/>
    <w:rsid w:val="000D71BB"/>
    <w:rsid w:val="000D71C8"/>
    <w:rsid w:val="000D72B7"/>
    <w:rsid w:val="000E0C20"/>
    <w:rsid w:val="000E0D23"/>
    <w:rsid w:val="000E1527"/>
    <w:rsid w:val="000E166D"/>
    <w:rsid w:val="000E187A"/>
    <w:rsid w:val="000E18F6"/>
    <w:rsid w:val="000E1D3E"/>
    <w:rsid w:val="000E2099"/>
    <w:rsid w:val="000E238C"/>
    <w:rsid w:val="000E27F6"/>
    <w:rsid w:val="000E31F9"/>
    <w:rsid w:val="000E3416"/>
    <w:rsid w:val="000E3484"/>
    <w:rsid w:val="000E371E"/>
    <w:rsid w:val="000E395C"/>
    <w:rsid w:val="000E3AF2"/>
    <w:rsid w:val="000E493A"/>
    <w:rsid w:val="000E52C2"/>
    <w:rsid w:val="000E642E"/>
    <w:rsid w:val="000E6693"/>
    <w:rsid w:val="000E69BA"/>
    <w:rsid w:val="000E775F"/>
    <w:rsid w:val="000E783B"/>
    <w:rsid w:val="000E7B77"/>
    <w:rsid w:val="000E7C1F"/>
    <w:rsid w:val="000E7E90"/>
    <w:rsid w:val="000F086C"/>
    <w:rsid w:val="000F0EC1"/>
    <w:rsid w:val="000F128D"/>
    <w:rsid w:val="000F1314"/>
    <w:rsid w:val="000F13E7"/>
    <w:rsid w:val="000F17E5"/>
    <w:rsid w:val="000F19CC"/>
    <w:rsid w:val="000F23D3"/>
    <w:rsid w:val="000F256D"/>
    <w:rsid w:val="000F2DEA"/>
    <w:rsid w:val="000F30A8"/>
    <w:rsid w:val="000F3303"/>
    <w:rsid w:val="000F37C6"/>
    <w:rsid w:val="000F448D"/>
    <w:rsid w:val="000F4786"/>
    <w:rsid w:val="000F4878"/>
    <w:rsid w:val="000F488A"/>
    <w:rsid w:val="000F5F0A"/>
    <w:rsid w:val="000F6091"/>
    <w:rsid w:val="000F61C8"/>
    <w:rsid w:val="000F6617"/>
    <w:rsid w:val="000F6AA2"/>
    <w:rsid w:val="000F6F1D"/>
    <w:rsid w:val="000F7662"/>
    <w:rsid w:val="000F7A93"/>
    <w:rsid w:val="00100CD6"/>
    <w:rsid w:val="00100D4E"/>
    <w:rsid w:val="00101078"/>
    <w:rsid w:val="001016D6"/>
    <w:rsid w:val="00101996"/>
    <w:rsid w:val="001019D5"/>
    <w:rsid w:val="00101B0B"/>
    <w:rsid w:val="00101C22"/>
    <w:rsid w:val="00101D5D"/>
    <w:rsid w:val="00103670"/>
    <w:rsid w:val="001038D6"/>
    <w:rsid w:val="00103B85"/>
    <w:rsid w:val="00104B95"/>
    <w:rsid w:val="00104F62"/>
    <w:rsid w:val="00105A74"/>
    <w:rsid w:val="00105DA2"/>
    <w:rsid w:val="00106152"/>
    <w:rsid w:val="001061A6"/>
    <w:rsid w:val="0010681F"/>
    <w:rsid w:val="00107646"/>
    <w:rsid w:val="001078B4"/>
    <w:rsid w:val="001106AA"/>
    <w:rsid w:val="00111B84"/>
    <w:rsid w:val="00111FF3"/>
    <w:rsid w:val="0011292D"/>
    <w:rsid w:val="001134C7"/>
    <w:rsid w:val="00113626"/>
    <w:rsid w:val="00113DFC"/>
    <w:rsid w:val="00114344"/>
    <w:rsid w:val="0011445C"/>
    <w:rsid w:val="00114894"/>
    <w:rsid w:val="00114CA0"/>
    <w:rsid w:val="00114DE1"/>
    <w:rsid w:val="00115160"/>
    <w:rsid w:val="001151F5"/>
    <w:rsid w:val="00115EA6"/>
    <w:rsid w:val="00116056"/>
    <w:rsid w:val="001160D1"/>
    <w:rsid w:val="00116409"/>
    <w:rsid w:val="00116749"/>
    <w:rsid w:val="00116AAB"/>
    <w:rsid w:val="00116B48"/>
    <w:rsid w:val="00116D3C"/>
    <w:rsid w:val="00117990"/>
    <w:rsid w:val="00117A37"/>
    <w:rsid w:val="00117C00"/>
    <w:rsid w:val="00117EB8"/>
    <w:rsid w:val="00120783"/>
    <w:rsid w:val="00121BB7"/>
    <w:rsid w:val="00121C8A"/>
    <w:rsid w:val="00121D64"/>
    <w:rsid w:val="001221F7"/>
    <w:rsid w:val="0012276F"/>
    <w:rsid w:val="0012277F"/>
    <w:rsid w:val="00122CBC"/>
    <w:rsid w:val="0012340F"/>
    <w:rsid w:val="00123F51"/>
    <w:rsid w:val="001244A7"/>
    <w:rsid w:val="00124BFC"/>
    <w:rsid w:val="00124CCA"/>
    <w:rsid w:val="00125331"/>
    <w:rsid w:val="00125409"/>
    <w:rsid w:val="001255BB"/>
    <w:rsid w:val="00125A12"/>
    <w:rsid w:val="00125AC7"/>
    <w:rsid w:val="00125C20"/>
    <w:rsid w:val="00125E7E"/>
    <w:rsid w:val="00126562"/>
    <w:rsid w:val="001266D3"/>
    <w:rsid w:val="00126772"/>
    <w:rsid w:val="0012683E"/>
    <w:rsid w:val="001269E4"/>
    <w:rsid w:val="00126A17"/>
    <w:rsid w:val="00126F76"/>
    <w:rsid w:val="001272E7"/>
    <w:rsid w:val="00127798"/>
    <w:rsid w:val="00127C21"/>
    <w:rsid w:val="00130315"/>
    <w:rsid w:val="00130326"/>
    <w:rsid w:val="00130A23"/>
    <w:rsid w:val="00130A78"/>
    <w:rsid w:val="00130E64"/>
    <w:rsid w:val="0013106B"/>
    <w:rsid w:val="00131AB8"/>
    <w:rsid w:val="00131D4A"/>
    <w:rsid w:val="001339AA"/>
    <w:rsid w:val="00134130"/>
    <w:rsid w:val="00134A52"/>
    <w:rsid w:val="00134B98"/>
    <w:rsid w:val="001354D8"/>
    <w:rsid w:val="00135A89"/>
    <w:rsid w:val="00135AA1"/>
    <w:rsid w:val="00135E67"/>
    <w:rsid w:val="00135FA9"/>
    <w:rsid w:val="00135FAE"/>
    <w:rsid w:val="001361BE"/>
    <w:rsid w:val="001362DE"/>
    <w:rsid w:val="001364AE"/>
    <w:rsid w:val="001367F2"/>
    <w:rsid w:val="001367F8"/>
    <w:rsid w:val="00136846"/>
    <w:rsid w:val="001369B2"/>
    <w:rsid w:val="00136E2D"/>
    <w:rsid w:val="0013757A"/>
    <w:rsid w:val="0013772C"/>
    <w:rsid w:val="00137880"/>
    <w:rsid w:val="00137E79"/>
    <w:rsid w:val="0014002D"/>
    <w:rsid w:val="001402BC"/>
    <w:rsid w:val="001403A9"/>
    <w:rsid w:val="0014064E"/>
    <w:rsid w:val="001410A6"/>
    <w:rsid w:val="001410AF"/>
    <w:rsid w:val="00141716"/>
    <w:rsid w:val="0014171A"/>
    <w:rsid w:val="00141A92"/>
    <w:rsid w:val="00141DD9"/>
    <w:rsid w:val="0014266D"/>
    <w:rsid w:val="00143157"/>
    <w:rsid w:val="00143475"/>
    <w:rsid w:val="0014424B"/>
    <w:rsid w:val="001447F5"/>
    <w:rsid w:val="0014547A"/>
    <w:rsid w:val="0014584F"/>
    <w:rsid w:val="00146360"/>
    <w:rsid w:val="0014665B"/>
    <w:rsid w:val="00146B86"/>
    <w:rsid w:val="00146B8F"/>
    <w:rsid w:val="00147250"/>
    <w:rsid w:val="001475E1"/>
    <w:rsid w:val="00150CC7"/>
    <w:rsid w:val="00150D48"/>
    <w:rsid w:val="00151F24"/>
    <w:rsid w:val="00151FA0"/>
    <w:rsid w:val="0015220A"/>
    <w:rsid w:val="00152567"/>
    <w:rsid w:val="001525F3"/>
    <w:rsid w:val="001526E1"/>
    <w:rsid w:val="00152865"/>
    <w:rsid w:val="00152E7D"/>
    <w:rsid w:val="00153969"/>
    <w:rsid w:val="0015420A"/>
    <w:rsid w:val="00154313"/>
    <w:rsid w:val="001544A3"/>
    <w:rsid w:val="001547C5"/>
    <w:rsid w:val="00154A26"/>
    <w:rsid w:val="00155604"/>
    <w:rsid w:val="00156535"/>
    <w:rsid w:val="00156D8A"/>
    <w:rsid w:val="00157B69"/>
    <w:rsid w:val="00157FA6"/>
    <w:rsid w:val="0016021F"/>
    <w:rsid w:val="00160923"/>
    <w:rsid w:val="00160F3A"/>
    <w:rsid w:val="00161235"/>
    <w:rsid w:val="00161AFF"/>
    <w:rsid w:val="00161C87"/>
    <w:rsid w:val="00161FA4"/>
    <w:rsid w:val="0016244A"/>
    <w:rsid w:val="001628E5"/>
    <w:rsid w:val="00162E78"/>
    <w:rsid w:val="00162F44"/>
    <w:rsid w:val="0016334F"/>
    <w:rsid w:val="001636E1"/>
    <w:rsid w:val="00164098"/>
    <w:rsid w:val="001641F1"/>
    <w:rsid w:val="001642B1"/>
    <w:rsid w:val="0016443F"/>
    <w:rsid w:val="0016448E"/>
    <w:rsid w:val="0016467E"/>
    <w:rsid w:val="00164C63"/>
    <w:rsid w:val="00165AB8"/>
    <w:rsid w:val="00165B61"/>
    <w:rsid w:val="00165CEF"/>
    <w:rsid w:val="00165E47"/>
    <w:rsid w:val="0016676A"/>
    <w:rsid w:val="00166C98"/>
    <w:rsid w:val="00166FE7"/>
    <w:rsid w:val="001670A7"/>
    <w:rsid w:val="00167B4E"/>
    <w:rsid w:val="00167BD9"/>
    <w:rsid w:val="00167CA7"/>
    <w:rsid w:val="00167DC9"/>
    <w:rsid w:val="001703E6"/>
    <w:rsid w:val="00170932"/>
    <w:rsid w:val="00170E11"/>
    <w:rsid w:val="00171301"/>
    <w:rsid w:val="00171632"/>
    <w:rsid w:val="001719BE"/>
    <w:rsid w:val="00172359"/>
    <w:rsid w:val="00172483"/>
    <w:rsid w:val="001725DB"/>
    <w:rsid w:val="001726EF"/>
    <w:rsid w:val="00172E78"/>
    <w:rsid w:val="00172FD6"/>
    <w:rsid w:val="0017327D"/>
    <w:rsid w:val="001735CA"/>
    <w:rsid w:val="00173921"/>
    <w:rsid w:val="001743AF"/>
    <w:rsid w:val="00174848"/>
    <w:rsid w:val="00174AE9"/>
    <w:rsid w:val="00174B3F"/>
    <w:rsid w:val="00174F1B"/>
    <w:rsid w:val="00174FD6"/>
    <w:rsid w:val="0017577D"/>
    <w:rsid w:val="001757B3"/>
    <w:rsid w:val="0017581F"/>
    <w:rsid w:val="00175B2F"/>
    <w:rsid w:val="001765CD"/>
    <w:rsid w:val="00176B49"/>
    <w:rsid w:val="00177553"/>
    <w:rsid w:val="00177671"/>
    <w:rsid w:val="0018016E"/>
    <w:rsid w:val="0018031E"/>
    <w:rsid w:val="001805D5"/>
    <w:rsid w:val="0018130A"/>
    <w:rsid w:val="00181557"/>
    <w:rsid w:val="00181BA4"/>
    <w:rsid w:val="00181C42"/>
    <w:rsid w:val="0018264F"/>
    <w:rsid w:val="0018295F"/>
    <w:rsid w:val="00183032"/>
    <w:rsid w:val="00183347"/>
    <w:rsid w:val="001834AE"/>
    <w:rsid w:val="001835FE"/>
    <w:rsid w:val="001836A6"/>
    <w:rsid w:val="001837B5"/>
    <w:rsid w:val="00184671"/>
    <w:rsid w:val="00184C01"/>
    <w:rsid w:val="00186506"/>
    <w:rsid w:val="001865A1"/>
    <w:rsid w:val="001865FB"/>
    <w:rsid w:val="00186637"/>
    <w:rsid w:val="0018674A"/>
    <w:rsid w:val="00186CFC"/>
    <w:rsid w:val="001872ED"/>
    <w:rsid w:val="0018740B"/>
    <w:rsid w:val="00187439"/>
    <w:rsid w:val="00187CF8"/>
    <w:rsid w:val="00187EF5"/>
    <w:rsid w:val="00187F43"/>
    <w:rsid w:val="001918B3"/>
    <w:rsid w:val="001921AF"/>
    <w:rsid w:val="00192211"/>
    <w:rsid w:val="00192411"/>
    <w:rsid w:val="00192674"/>
    <w:rsid w:val="00192B83"/>
    <w:rsid w:val="00193396"/>
    <w:rsid w:val="00193414"/>
    <w:rsid w:val="00193BA5"/>
    <w:rsid w:val="00193D5F"/>
    <w:rsid w:val="00193F01"/>
    <w:rsid w:val="00194466"/>
    <w:rsid w:val="001945EF"/>
    <w:rsid w:val="00195032"/>
    <w:rsid w:val="00195102"/>
    <w:rsid w:val="00195436"/>
    <w:rsid w:val="00195702"/>
    <w:rsid w:val="00195D1B"/>
    <w:rsid w:val="00195DDF"/>
    <w:rsid w:val="001966A1"/>
    <w:rsid w:val="00196866"/>
    <w:rsid w:val="0019693A"/>
    <w:rsid w:val="00196AC7"/>
    <w:rsid w:val="0019702A"/>
    <w:rsid w:val="0019740C"/>
    <w:rsid w:val="00197508"/>
    <w:rsid w:val="00197570"/>
    <w:rsid w:val="00197F5C"/>
    <w:rsid w:val="001A020E"/>
    <w:rsid w:val="001A03EA"/>
    <w:rsid w:val="001A077B"/>
    <w:rsid w:val="001A0F27"/>
    <w:rsid w:val="001A1359"/>
    <w:rsid w:val="001A1480"/>
    <w:rsid w:val="001A18BD"/>
    <w:rsid w:val="001A1E42"/>
    <w:rsid w:val="001A1E76"/>
    <w:rsid w:val="001A1ECF"/>
    <w:rsid w:val="001A251C"/>
    <w:rsid w:val="001A2BDC"/>
    <w:rsid w:val="001A31A5"/>
    <w:rsid w:val="001A3967"/>
    <w:rsid w:val="001A3B57"/>
    <w:rsid w:val="001A3E4A"/>
    <w:rsid w:val="001A3E67"/>
    <w:rsid w:val="001A427B"/>
    <w:rsid w:val="001A4453"/>
    <w:rsid w:val="001A44F1"/>
    <w:rsid w:val="001A4719"/>
    <w:rsid w:val="001A4C74"/>
    <w:rsid w:val="001A4E9C"/>
    <w:rsid w:val="001A6058"/>
    <w:rsid w:val="001A614C"/>
    <w:rsid w:val="001A6559"/>
    <w:rsid w:val="001A7150"/>
    <w:rsid w:val="001A7ADB"/>
    <w:rsid w:val="001B00B2"/>
    <w:rsid w:val="001B00FA"/>
    <w:rsid w:val="001B0117"/>
    <w:rsid w:val="001B0547"/>
    <w:rsid w:val="001B058A"/>
    <w:rsid w:val="001B08DF"/>
    <w:rsid w:val="001B0A7D"/>
    <w:rsid w:val="001B0EC8"/>
    <w:rsid w:val="001B139F"/>
    <w:rsid w:val="001B168C"/>
    <w:rsid w:val="001B18FF"/>
    <w:rsid w:val="001B1B00"/>
    <w:rsid w:val="001B28E8"/>
    <w:rsid w:val="001B2EA7"/>
    <w:rsid w:val="001B3874"/>
    <w:rsid w:val="001B3A65"/>
    <w:rsid w:val="001B3C28"/>
    <w:rsid w:val="001B3C2E"/>
    <w:rsid w:val="001B3ED0"/>
    <w:rsid w:val="001B3EFD"/>
    <w:rsid w:val="001B4097"/>
    <w:rsid w:val="001B4AC9"/>
    <w:rsid w:val="001B4C59"/>
    <w:rsid w:val="001B54A7"/>
    <w:rsid w:val="001B5BD4"/>
    <w:rsid w:val="001B5CF8"/>
    <w:rsid w:val="001B6482"/>
    <w:rsid w:val="001B67E8"/>
    <w:rsid w:val="001B6EC7"/>
    <w:rsid w:val="001B70BB"/>
    <w:rsid w:val="001B798D"/>
    <w:rsid w:val="001B7F7E"/>
    <w:rsid w:val="001C00D6"/>
    <w:rsid w:val="001C037D"/>
    <w:rsid w:val="001C0B08"/>
    <w:rsid w:val="001C12BA"/>
    <w:rsid w:val="001C17BC"/>
    <w:rsid w:val="001C1A80"/>
    <w:rsid w:val="001C1BAA"/>
    <w:rsid w:val="001C1DBE"/>
    <w:rsid w:val="001C1E91"/>
    <w:rsid w:val="001C1EC0"/>
    <w:rsid w:val="001C204C"/>
    <w:rsid w:val="001C228B"/>
    <w:rsid w:val="001C235A"/>
    <w:rsid w:val="001C274F"/>
    <w:rsid w:val="001C2939"/>
    <w:rsid w:val="001C2B39"/>
    <w:rsid w:val="001C2C17"/>
    <w:rsid w:val="001C2CC8"/>
    <w:rsid w:val="001C4581"/>
    <w:rsid w:val="001C4FFC"/>
    <w:rsid w:val="001C5FF3"/>
    <w:rsid w:val="001C6242"/>
    <w:rsid w:val="001C62EA"/>
    <w:rsid w:val="001C637A"/>
    <w:rsid w:val="001C66A5"/>
    <w:rsid w:val="001C6867"/>
    <w:rsid w:val="001C6C78"/>
    <w:rsid w:val="001C7D97"/>
    <w:rsid w:val="001D0B1C"/>
    <w:rsid w:val="001D1C1F"/>
    <w:rsid w:val="001D1EE4"/>
    <w:rsid w:val="001D2165"/>
    <w:rsid w:val="001D2CFF"/>
    <w:rsid w:val="001D2F88"/>
    <w:rsid w:val="001D35CC"/>
    <w:rsid w:val="001D362E"/>
    <w:rsid w:val="001D39E1"/>
    <w:rsid w:val="001D4315"/>
    <w:rsid w:val="001D43B2"/>
    <w:rsid w:val="001D4AF6"/>
    <w:rsid w:val="001D4B77"/>
    <w:rsid w:val="001D4C16"/>
    <w:rsid w:val="001D4DB5"/>
    <w:rsid w:val="001D4EE3"/>
    <w:rsid w:val="001D5F1C"/>
    <w:rsid w:val="001D6189"/>
    <w:rsid w:val="001D633E"/>
    <w:rsid w:val="001D63DF"/>
    <w:rsid w:val="001D63E1"/>
    <w:rsid w:val="001D6699"/>
    <w:rsid w:val="001D66B1"/>
    <w:rsid w:val="001D684C"/>
    <w:rsid w:val="001D7092"/>
    <w:rsid w:val="001D773C"/>
    <w:rsid w:val="001E047B"/>
    <w:rsid w:val="001E0558"/>
    <w:rsid w:val="001E0F4A"/>
    <w:rsid w:val="001E129D"/>
    <w:rsid w:val="001E196C"/>
    <w:rsid w:val="001E1ABD"/>
    <w:rsid w:val="001E1B4D"/>
    <w:rsid w:val="001E1CBB"/>
    <w:rsid w:val="001E1D5A"/>
    <w:rsid w:val="001E2021"/>
    <w:rsid w:val="001E2811"/>
    <w:rsid w:val="001E3440"/>
    <w:rsid w:val="001E3F52"/>
    <w:rsid w:val="001E45C0"/>
    <w:rsid w:val="001E5916"/>
    <w:rsid w:val="001E5AA5"/>
    <w:rsid w:val="001E631E"/>
    <w:rsid w:val="001E636E"/>
    <w:rsid w:val="001E677D"/>
    <w:rsid w:val="001E6871"/>
    <w:rsid w:val="001E690E"/>
    <w:rsid w:val="001E6A63"/>
    <w:rsid w:val="001E6B89"/>
    <w:rsid w:val="001E703C"/>
    <w:rsid w:val="001E75CA"/>
    <w:rsid w:val="001E7620"/>
    <w:rsid w:val="001E7B03"/>
    <w:rsid w:val="001E7F52"/>
    <w:rsid w:val="001F0057"/>
    <w:rsid w:val="001F0EF2"/>
    <w:rsid w:val="001F1341"/>
    <w:rsid w:val="001F15D9"/>
    <w:rsid w:val="001F17C3"/>
    <w:rsid w:val="001F2001"/>
    <w:rsid w:val="001F2B4C"/>
    <w:rsid w:val="001F34B1"/>
    <w:rsid w:val="001F38E6"/>
    <w:rsid w:val="001F3FF3"/>
    <w:rsid w:val="001F456C"/>
    <w:rsid w:val="001F4C99"/>
    <w:rsid w:val="001F5150"/>
    <w:rsid w:val="001F5179"/>
    <w:rsid w:val="001F5D5C"/>
    <w:rsid w:val="001F6393"/>
    <w:rsid w:val="001F6C7C"/>
    <w:rsid w:val="001F7BF1"/>
    <w:rsid w:val="002009DF"/>
    <w:rsid w:val="00200D8B"/>
    <w:rsid w:val="00200DDF"/>
    <w:rsid w:val="002012C0"/>
    <w:rsid w:val="00201585"/>
    <w:rsid w:val="00201B58"/>
    <w:rsid w:val="00202345"/>
    <w:rsid w:val="00202A60"/>
    <w:rsid w:val="00202DDC"/>
    <w:rsid w:val="00202FF6"/>
    <w:rsid w:val="0020310D"/>
    <w:rsid w:val="002034EE"/>
    <w:rsid w:val="00203CCD"/>
    <w:rsid w:val="00203FC9"/>
    <w:rsid w:val="00204284"/>
    <w:rsid w:val="00204285"/>
    <w:rsid w:val="00204BE9"/>
    <w:rsid w:val="002051AE"/>
    <w:rsid w:val="002053D2"/>
    <w:rsid w:val="00206119"/>
    <w:rsid w:val="00206309"/>
    <w:rsid w:val="00206699"/>
    <w:rsid w:val="00206860"/>
    <w:rsid w:val="0020686D"/>
    <w:rsid w:val="00206C31"/>
    <w:rsid w:val="00207214"/>
    <w:rsid w:val="002079CE"/>
    <w:rsid w:val="00207AB1"/>
    <w:rsid w:val="00207FB5"/>
    <w:rsid w:val="00210170"/>
    <w:rsid w:val="00210265"/>
    <w:rsid w:val="002106D5"/>
    <w:rsid w:val="00210CB4"/>
    <w:rsid w:val="00210D51"/>
    <w:rsid w:val="00211083"/>
    <w:rsid w:val="00211088"/>
    <w:rsid w:val="002111BD"/>
    <w:rsid w:val="002119B7"/>
    <w:rsid w:val="00211BA3"/>
    <w:rsid w:val="00211BEB"/>
    <w:rsid w:val="00211C95"/>
    <w:rsid w:val="00211C97"/>
    <w:rsid w:val="00211D00"/>
    <w:rsid w:val="00212211"/>
    <w:rsid w:val="00212559"/>
    <w:rsid w:val="002125AB"/>
    <w:rsid w:val="00212881"/>
    <w:rsid w:val="002128E3"/>
    <w:rsid w:val="002134A2"/>
    <w:rsid w:val="00213AE8"/>
    <w:rsid w:val="00213B6E"/>
    <w:rsid w:val="00214354"/>
    <w:rsid w:val="00214F38"/>
    <w:rsid w:val="002156DE"/>
    <w:rsid w:val="00216087"/>
    <w:rsid w:val="002164FF"/>
    <w:rsid w:val="00216ABF"/>
    <w:rsid w:val="00216B32"/>
    <w:rsid w:val="00216B7B"/>
    <w:rsid w:val="0021721B"/>
    <w:rsid w:val="00220202"/>
    <w:rsid w:val="00220736"/>
    <w:rsid w:val="002210AC"/>
    <w:rsid w:val="00221814"/>
    <w:rsid w:val="002220AA"/>
    <w:rsid w:val="002223E2"/>
    <w:rsid w:val="00222B12"/>
    <w:rsid w:val="00223382"/>
    <w:rsid w:val="0022340A"/>
    <w:rsid w:val="002235BA"/>
    <w:rsid w:val="00223918"/>
    <w:rsid w:val="00223AE9"/>
    <w:rsid w:val="002243A5"/>
    <w:rsid w:val="002245BD"/>
    <w:rsid w:val="00224EC2"/>
    <w:rsid w:val="002250EF"/>
    <w:rsid w:val="0022543D"/>
    <w:rsid w:val="002266D3"/>
    <w:rsid w:val="0022713F"/>
    <w:rsid w:val="0022739C"/>
    <w:rsid w:val="002275DA"/>
    <w:rsid w:val="002279C3"/>
    <w:rsid w:val="00227B27"/>
    <w:rsid w:val="00227C1F"/>
    <w:rsid w:val="00230D57"/>
    <w:rsid w:val="00231216"/>
    <w:rsid w:val="00231387"/>
    <w:rsid w:val="0023359B"/>
    <w:rsid w:val="002335D5"/>
    <w:rsid w:val="00233764"/>
    <w:rsid w:val="00233936"/>
    <w:rsid w:val="00233E84"/>
    <w:rsid w:val="002344C1"/>
    <w:rsid w:val="00234785"/>
    <w:rsid w:val="002351AD"/>
    <w:rsid w:val="0023591B"/>
    <w:rsid w:val="00235B5C"/>
    <w:rsid w:val="00236043"/>
    <w:rsid w:val="00236C32"/>
    <w:rsid w:val="0023735C"/>
    <w:rsid w:val="002375B2"/>
    <w:rsid w:val="0023794B"/>
    <w:rsid w:val="00237987"/>
    <w:rsid w:val="002405F3"/>
    <w:rsid w:val="002413C2"/>
    <w:rsid w:val="0024173B"/>
    <w:rsid w:val="00242273"/>
    <w:rsid w:val="002422FB"/>
    <w:rsid w:val="00242352"/>
    <w:rsid w:val="002426CD"/>
    <w:rsid w:val="00242771"/>
    <w:rsid w:val="0024388E"/>
    <w:rsid w:val="00243C65"/>
    <w:rsid w:val="0024415F"/>
    <w:rsid w:val="00244196"/>
    <w:rsid w:val="00244514"/>
    <w:rsid w:val="00244804"/>
    <w:rsid w:val="00244882"/>
    <w:rsid w:val="00244A97"/>
    <w:rsid w:val="0024542A"/>
    <w:rsid w:val="00245A52"/>
    <w:rsid w:val="00245BED"/>
    <w:rsid w:val="00245D18"/>
    <w:rsid w:val="00246215"/>
    <w:rsid w:val="002463E3"/>
    <w:rsid w:val="00246B2C"/>
    <w:rsid w:val="00246D6A"/>
    <w:rsid w:val="00247672"/>
    <w:rsid w:val="002476C5"/>
    <w:rsid w:val="0024782A"/>
    <w:rsid w:val="00247FB3"/>
    <w:rsid w:val="00250022"/>
    <w:rsid w:val="002500EF"/>
    <w:rsid w:val="00250154"/>
    <w:rsid w:val="0025027B"/>
    <w:rsid w:val="002505B1"/>
    <w:rsid w:val="002509D0"/>
    <w:rsid w:val="00251253"/>
    <w:rsid w:val="00251469"/>
    <w:rsid w:val="0025154D"/>
    <w:rsid w:val="002517EA"/>
    <w:rsid w:val="00251DA5"/>
    <w:rsid w:val="0025235A"/>
    <w:rsid w:val="00252616"/>
    <w:rsid w:val="00253099"/>
    <w:rsid w:val="00253128"/>
    <w:rsid w:val="002531DE"/>
    <w:rsid w:val="00253EFA"/>
    <w:rsid w:val="00254357"/>
    <w:rsid w:val="0025489A"/>
    <w:rsid w:val="00254AE1"/>
    <w:rsid w:val="00254EBD"/>
    <w:rsid w:val="002553F5"/>
    <w:rsid w:val="00255400"/>
    <w:rsid w:val="00255C9B"/>
    <w:rsid w:val="002565D6"/>
    <w:rsid w:val="00256AE0"/>
    <w:rsid w:val="0025736C"/>
    <w:rsid w:val="00257813"/>
    <w:rsid w:val="00257AFA"/>
    <w:rsid w:val="00257DF7"/>
    <w:rsid w:val="0026001E"/>
    <w:rsid w:val="00261C1B"/>
    <w:rsid w:val="00262211"/>
    <w:rsid w:val="00262450"/>
    <w:rsid w:val="00262C30"/>
    <w:rsid w:val="00262D2D"/>
    <w:rsid w:val="002636F9"/>
    <w:rsid w:val="002638F2"/>
    <w:rsid w:val="00263D01"/>
    <w:rsid w:val="00263D38"/>
    <w:rsid w:val="0026418A"/>
    <w:rsid w:val="002641A4"/>
    <w:rsid w:val="002646C1"/>
    <w:rsid w:val="00264BC7"/>
    <w:rsid w:val="00264D08"/>
    <w:rsid w:val="00264DE9"/>
    <w:rsid w:val="0026532D"/>
    <w:rsid w:val="00265684"/>
    <w:rsid w:val="0026594B"/>
    <w:rsid w:val="00265ABE"/>
    <w:rsid w:val="002660B0"/>
    <w:rsid w:val="00266A1E"/>
    <w:rsid w:val="00267FAD"/>
    <w:rsid w:val="00270410"/>
    <w:rsid w:val="00270BE9"/>
    <w:rsid w:val="00270E61"/>
    <w:rsid w:val="00270EE1"/>
    <w:rsid w:val="00271913"/>
    <w:rsid w:val="00271ABC"/>
    <w:rsid w:val="002727AF"/>
    <w:rsid w:val="00272940"/>
    <w:rsid w:val="00272F39"/>
    <w:rsid w:val="002730C2"/>
    <w:rsid w:val="00274017"/>
    <w:rsid w:val="0027447B"/>
    <w:rsid w:val="002744C9"/>
    <w:rsid w:val="00274892"/>
    <w:rsid w:val="00275008"/>
    <w:rsid w:val="00275BE3"/>
    <w:rsid w:val="00275C97"/>
    <w:rsid w:val="0027633B"/>
    <w:rsid w:val="002763FE"/>
    <w:rsid w:val="002768AA"/>
    <w:rsid w:val="002769EF"/>
    <w:rsid w:val="00276FAE"/>
    <w:rsid w:val="0027722E"/>
    <w:rsid w:val="002775AA"/>
    <w:rsid w:val="00277834"/>
    <w:rsid w:val="00277884"/>
    <w:rsid w:val="0028059E"/>
    <w:rsid w:val="0028122D"/>
    <w:rsid w:val="00281252"/>
    <w:rsid w:val="002813E0"/>
    <w:rsid w:val="0028149A"/>
    <w:rsid w:val="00281B7F"/>
    <w:rsid w:val="00282056"/>
    <w:rsid w:val="00282207"/>
    <w:rsid w:val="002822C1"/>
    <w:rsid w:val="002823AC"/>
    <w:rsid w:val="002828C1"/>
    <w:rsid w:val="002829AA"/>
    <w:rsid w:val="00282A4A"/>
    <w:rsid w:val="00282AAF"/>
    <w:rsid w:val="00282DBE"/>
    <w:rsid w:val="00282EE0"/>
    <w:rsid w:val="0028332A"/>
    <w:rsid w:val="0028336A"/>
    <w:rsid w:val="00283713"/>
    <w:rsid w:val="00284BC9"/>
    <w:rsid w:val="00284C48"/>
    <w:rsid w:val="002851DC"/>
    <w:rsid w:val="00285301"/>
    <w:rsid w:val="002853B3"/>
    <w:rsid w:val="00285B2D"/>
    <w:rsid w:val="00285CB1"/>
    <w:rsid w:val="00285E99"/>
    <w:rsid w:val="0028622B"/>
    <w:rsid w:val="00286603"/>
    <w:rsid w:val="00286B0D"/>
    <w:rsid w:val="00286D58"/>
    <w:rsid w:val="00287F23"/>
    <w:rsid w:val="00290265"/>
    <w:rsid w:val="00290BC0"/>
    <w:rsid w:val="00291643"/>
    <w:rsid w:val="002916AD"/>
    <w:rsid w:val="00291954"/>
    <w:rsid w:val="002923D5"/>
    <w:rsid w:val="00292C43"/>
    <w:rsid w:val="00292EE6"/>
    <w:rsid w:val="002931A0"/>
    <w:rsid w:val="00293FFE"/>
    <w:rsid w:val="00294BAA"/>
    <w:rsid w:val="0029534F"/>
    <w:rsid w:val="00295483"/>
    <w:rsid w:val="002961DE"/>
    <w:rsid w:val="00296461"/>
    <w:rsid w:val="002966C3"/>
    <w:rsid w:val="00296804"/>
    <w:rsid w:val="00296C0E"/>
    <w:rsid w:val="00296D8D"/>
    <w:rsid w:val="00297541"/>
    <w:rsid w:val="00297795"/>
    <w:rsid w:val="00297A36"/>
    <w:rsid w:val="00297AF6"/>
    <w:rsid w:val="002A01F0"/>
    <w:rsid w:val="002A077E"/>
    <w:rsid w:val="002A0B8C"/>
    <w:rsid w:val="002A0BB3"/>
    <w:rsid w:val="002A0EAD"/>
    <w:rsid w:val="002A1743"/>
    <w:rsid w:val="002A17E3"/>
    <w:rsid w:val="002A1A4C"/>
    <w:rsid w:val="002A2704"/>
    <w:rsid w:val="002A289F"/>
    <w:rsid w:val="002A294A"/>
    <w:rsid w:val="002A35D5"/>
    <w:rsid w:val="002A3614"/>
    <w:rsid w:val="002A39D7"/>
    <w:rsid w:val="002A44A4"/>
    <w:rsid w:val="002A4510"/>
    <w:rsid w:val="002A4B49"/>
    <w:rsid w:val="002A65E2"/>
    <w:rsid w:val="002A6912"/>
    <w:rsid w:val="002A6D14"/>
    <w:rsid w:val="002A71C5"/>
    <w:rsid w:val="002A75F9"/>
    <w:rsid w:val="002A76AA"/>
    <w:rsid w:val="002B030B"/>
    <w:rsid w:val="002B0AAB"/>
    <w:rsid w:val="002B0D33"/>
    <w:rsid w:val="002B0F34"/>
    <w:rsid w:val="002B1D05"/>
    <w:rsid w:val="002B1FFC"/>
    <w:rsid w:val="002B284A"/>
    <w:rsid w:val="002B2942"/>
    <w:rsid w:val="002B2CBB"/>
    <w:rsid w:val="002B2F98"/>
    <w:rsid w:val="002B3643"/>
    <w:rsid w:val="002B47CF"/>
    <w:rsid w:val="002B488A"/>
    <w:rsid w:val="002B4975"/>
    <w:rsid w:val="002B4B3D"/>
    <w:rsid w:val="002B4E57"/>
    <w:rsid w:val="002B4EB2"/>
    <w:rsid w:val="002B5217"/>
    <w:rsid w:val="002B533B"/>
    <w:rsid w:val="002B5445"/>
    <w:rsid w:val="002B5548"/>
    <w:rsid w:val="002B5B29"/>
    <w:rsid w:val="002B6580"/>
    <w:rsid w:val="002B6993"/>
    <w:rsid w:val="002B6BB0"/>
    <w:rsid w:val="002C004F"/>
    <w:rsid w:val="002C02E5"/>
    <w:rsid w:val="002C0BBD"/>
    <w:rsid w:val="002C0FE2"/>
    <w:rsid w:val="002C153B"/>
    <w:rsid w:val="002C1599"/>
    <w:rsid w:val="002C2037"/>
    <w:rsid w:val="002C210B"/>
    <w:rsid w:val="002C22A9"/>
    <w:rsid w:val="002C2588"/>
    <w:rsid w:val="002C2964"/>
    <w:rsid w:val="002C2A86"/>
    <w:rsid w:val="002C2FB0"/>
    <w:rsid w:val="002C3059"/>
    <w:rsid w:val="002C3202"/>
    <w:rsid w:val="002C3A0A"/>
    <w:rsid w:val="002C3AA2"/>
    <w:rsid w:val="002C3B14"/>
    <w:rsid w:val="002C4467"/>
    <w:rsid w:val="002C5076"/>
    <w:rsid w:val="002C54E2"/>
    <w:rsid w:val="002C6646"/>
    <w:rsid w:val="002C6866"/>
    <w:rsid w:val="002C6AD9"/>
    <w:rsid w:val="002C6E5D"/>
    <w:rsid w:val="002C73A9"/>
    <w:rsid w:val="002C745E"/>
    <w:rsid w:val="002D0926"/>
    <w:rsid w:val="002D0E10"/>
    <w:rsid w:val="002D1235"/>
    <w:rsid w:val="002D18C8"/>
    <w:rsid w:val="002D1C9E"/>
    <w:rsid w:val="002D1FD0"/>
    <w:rsid w:val="002D2363"/>
    <w:rsid w:val="002D256D"/>
    <w:rsid w:val="002D2C27"/>
    <w:rsid w:val="002D2F1E"/>
    <w:rsid w:val="002D39AE"/>
    <w:rsid w:val="002D3D0A"/>
    <w:rsid w:val="002D4746"/>
    <w:rsid w:val="002D4A9C"/>
    <w:rsid w:val="002D4AF7"/>
    <w:rsid w:val="002D4BB4"/>
    <w:rsid w:val="002D4C99"/>
    <w:rsid w:val="002D5589"/>
    <w:rsid w:val="002D56C6"/>
    <w:rsid w:val="002D5AC7"/>
    <w:rsid w:val="002D5BE0"/>
    <w:rsid w:val="002D6084"/>
    <w:rsid w:val="002D6223"/>
    <w:rsid w:val="002D63F2"/>
    <w:rsid w:val="002D6720"/>
    <w:rsid w:val="002D7AA9"/>
    <w:rsid w:val="002E054E"/>
    <w:rsid w:val="002E0815"/>
    <w:rsid w:val="002E13EE"/>
    <w:rsid w:val="002E216D"/>
    <w:rsid w:val="002E22C1"/>
    <w:rsid w:val="002E2F46"/>
    <w:rsid w:val="002E387B"/>
    <w:rsid w:val="002E38CB"/>
    <w:rsid w:val="002E39D4"/>
    <w:rsid w:val="002E3CFC"/>
    <w:rsid w:val="002E4356"/>
    <w:rsid w:val="002E4366"/>
    <w:rsid w:val="002E45EF"/>
    <w:rsid w:val="002E4A2D"/>
    <w:rsid w:val="002E543B"/>
    <w:rsid w:val="002E54D7"/>
    <w:rsid w:val="002E5761"/>
    <w:rsid w:val="002E5DF6"/>
    <w:rsid w:val="002E5E51"/>
    <w:rsid w:val="002E600D"/>
    <w:rsid w:val="002E64D6"/>
    <w:rsid w:val="002F0164"/>
    <w:rsid w:val="002F03F8"/>
    <w:rsid w:val="002F04CE"/>
    <w:rsid w:val="002F05CA"/>
    <w:rsid w:val="002F0DFB"/>
    <w:rsid w:val="002F0F05"/>
    <w:rsid w:val="002F120B"/>
    <w:rsid w:val="002F123A"/>
    <w:rsid w:val="002F1256"/>
    <w:rsid w:val="002F153A"/>
    <w:rsid w:val="002F1602"/>
    <w:rsid w:val="002F1B38"/>
    <w:rsid w:val="002F1CBB"/>
    <w:rsid w:val="002F1EAD"/>
    <w:rsid w:val="002F2008"/>
    <w:rsid w:val="002F2063"/>
    <w:rsid w:val="002F225B"/>
    <w:rsid w:val="002F2448"/>
    <w:rsid w:val="002F24C4"/>
    <w:rsid w:val="002F2872"/>
    <w:rsid w:val="002F322A"/>
    <w:rsid w:val="002F3920"/>
    <w:rsid w:val="002F3F30"/>
    <w:rsid w:val="002F445B"/>
    <w:rsid w:val="002F53AD"/>
    <w:rsid w:val="002F550D"/>
    <w:rsid w:val="002F5DD8"/>
    <w:rsid w:val="002F605F"/>
    <w:rsid w:val="002F6324"/>
    <w:rsid w:val="002F68AA"/>
    <w:rsid w:val="002F6E19"/>
    <w:rsid w:val="002F6E1A"/>
    <w:rsid w:val="002F6F20"/>
    <w:rsid w:val="002F73B7"/>
    <w:rsid w:val="002F79B6"/>
    <w:rsid w:val="002F7BDC"/>
    <w:rsid w:val="002F7DEE"/>
    <w:rsid w:val="002F7DFF"/>
    <w:rsid w:val="002F7EBE"/>
    <w:rsid w:val="003001AC"/>
    <w:rsid w:val="00300559"/>
    <w:rsid w:val="00300DDE"/>
    <w:rsid w:val="0030116B"/>
    <w:rsid w:val="00301415"/>
    <w:rsid w:val="00301570"/>
    <w:rsid w:val="00301706"/>
    <w:rsid w:val="00301923"/>
    <w:rsid w:val="00301AB4"/>
    <w:rsid w:val="00302678"/>
    <w:rsid w:val="003027BF"/>
    <w:rsid w:val="00302A8B"/>
    <w:rsid w:val="00302FD2"/>
    <w:rsid w:val="00303E52"/>
    <w:rsid w:val="00304338"/>
    <w:rsid w:val="003050A0"/>
    <w:rsid w:val="0030554B"/>
    <w:rsid w:val="00305FF4"/>
    <w:rsid w:val="003061FA"/>
    <w:rsid w:val="0030679C"/>
    <w:rsid w:val="003070CF"/>
    <w:rsid w:val="0030796B"/>
    <w:rsid w:val="00307C08"/>
    <w:rsid w:val="00307CE1"/>
    <w:rsid w:val="003103FB"/>
    <w:rsid w:val="003107B5"/>
    <w:rsid w:val="0031143E"/>
    <w:rsid w:val="003117AE"/>
    <w:rsid w:val="00311824"/>
    <w:rsid w:val="00311F92"/>
    <w:rsid w:val="00313AB1"/>
    <w:rsid w:val="00313BF2"/>
    <w:rsid w:val="00313CC1"/>
    <w:rsid w:val="00313D17"/>
    <w:rsid w:val="0031411F"/>
    <w:rsid w:val="00314A2B"/>
    <w:rsid w:val="00314FD0"/>
    <w:rsid w:val="0031525A"/>
    <w:rsid w:val="003162F0"/>
    <w:rsid w:val="00316A2D"/>
    <w:rsid w:val="00316B40"/>
    <w:rsid w:val="003174C0"/>
    <w:rsid w:val="003175F5"/>
    <w:rsid w:val="0031781F"/>
    <w:rsid w:val="00317A5A"/>
    <w:rsid w:val="00317C4F"/>
    <w:rsid w:val="00317C65"/>
    <w:rsid w:val="00317F8A"/>
    <w:rsid w:val="00320D28"/>
    <w:rsid w:val="0032131B"/>
    <w:rsid w:val="00321577"/>
    <w:rsid w:val="00322111"/>
    <w:rsid w:val="00322137"/>
    <w:rsid w:val="003222CD"/>
    <w:rsid w:val="00323AA5"/>
    <w:rsid w:val="00323DAA"/>
    <w:rsid w:val="00323EA4"/>
    <w:rsid w:val="00323FE3"/>
    <w:rsid w:val="0032409B"/>
    <w:rsid w:val="003243EA"/>
    <w:rsid w:val="0032461D"/>
    <w:rsid w:val="00324A8F"/>
    <w:rsid w:val="00325CA2"/>
    <w:rsid w:val="00325D95"/>
    <w:rsid w:val="003262C3"/>
    <w:rsid w:val="003266F4"/>
    <w:rsid w:val="00326707"/>
    <w:rsid w:val="00326A58"/>
    <w:rsid w:val="00326C5C"/>
    <w:rsid w:val="00327000"/>
    <w:rsid w:val="003278A2"/>
    <w:rsid w:val="003278C5"/>
    <w:rsid w:val="00327EC3"/>
    <w:rsid w:val="0033062A"/>
    <w:rsid w:val="003309C0"/>
    <w:rsid w:val="00331AE8"/>
    <w:rsid w:val="003320E6"/>
    <w:rsid w:val="0033213D"/>
    <w:rsid w:val="00332141"/>
    <w:rsid w:val="00332322"/>
    <w:rsid w:val="003323F1"/>
    <w:rsid w:val="00332788"/>
    <w:rsid w:val="00332BDF"/>
    <w:rsid w:val="00333530"/>
    <w:rsid w:val="00334366"/>
    <w:rsid w:val="003344C9"/>
    <w:rsid w:val="00334543"/>
    <w:rsid w:val="00334BB8"/>
    <w:rsid w:val="00334CB2"/>
    <w:rsid w:val="00334F63"/>
    <w:rsid w:val="0033560D"/>
    <w:rsid w:val="003359C3"/>
    <w:rsid w:val="00335E58"/>
    <w:rsid w:val="00336220"/>
    <w:rsid w:val="00336312"/>
    <w:rsid w:val="0033674D"/>
    <w:rsid w:val="00336814"/>
    <w:rsid w:val="00337048"/>
    <w:rsid w:val="0033705D"/>
    <w:rsid w:val="00337064"/>
    <w:rsid w:val="00337441"/>
    <w:rsid w:val="003376A1"/>
    <w:rsid w:val="00337DEC"/>
    <w:rsid w:val="00340946"/>
    <w:rsid w:val="00340DBE"/>
    <w:rsid w:val="00340F9E"/>
    <w:rsid w:val="003421A7"/>
    <w:rsid w:val="003421B3"/>
    <w:rsid w:val="00342844"/>
    <w:rsid w:val="00342B30"/>
    <w:rsid w:val="00343478"/>
    <w:rsid w:val="003439DA"/>
    <w:rsid w:val="00343FBC"/>
    <w:rsid w:val="00344A39"/>
    <w:rsid w:val="00345056"/>
    <w:rsid w:val="003463E9"/>
    <w:rsid w:val="0034654B"/>
    <w:rsid w:val="003465B9"/>
    <w:rsid w:val="00347736"/>
    <w:rsid w:val="00347E7F"/>
    <w:rsid w:val="00350924"/>
    <w:rsid w:val="00350A93"/>
    <w:rsid w:val="00350D4E"/>
    <w:rsid w:val="003517C6"/>
    <w:rsid w:val="003519A0"/>
    <w:rsid w:val="0035303D"/>
    <w:rsid w:val="00353586"/>
    <w:rsid w:val="00353B00"/>
    <w:rsid w:val="00353F85"/>
    <w:rsid w:val="003541B9"/>
    <w:rsid w:val="003546E4"/>
    <w:rsid w:val="003548AB"/>
    <w:rsid w:val="00354B31"/>
    <w:rsid w:val="00355034"/>
    <w:rsid w:val="003555B9"/>
    <w:rsid w:val="00355775"/>
    <w:rsid w:val="00355830"/>
    <w:rsid w:val="0035629F"/>
    <w:rsid w:val="00356AF3"/>
    <w:rsid w:val="0035723F"/>
    <w:rsid w:val="00357A66"/>
    <w:rsid w:val="00357BE3"/>
    <w:rsid w:val="00357E55"/>
    <w:rsid w:val="003602F6"/>
    <w:rsid w:val="00361230"/>
    <w:rsid w:val="003617C1"/>
    <w:rsid w:val="00362443"/>
    <w:rsid w:val="00362A47"/>
    <w:rsid w:val="00362F29"/>
    <w:rsid w:val="00363095"/>
    <w:rsid w:val="0036366B"/>
    <w:rsid w:val="00363AB9"/>
    <w:rsid w:val="00363AE6"/>
    <w:rsid w:val="00363B0B"/>
    <w:rsid w:val="00363D34"/>
    <w:rsid w:val="003643C3"/>
    <w:rsid w:val="00364A4C"/>
    <w:rsid w:val="003650AE"/>
    <w:rsid w:val="0036631B"/>
    <w:rsid w:val="0036690F"/>
    <w:rsid w:val="00366D92"/>
    <w:rsid w:val="00366E61"/>
    <w:rsid w:val="00366F2B"/>
    <w:rsid w:val="00367052"/>
    <w:rsid w:val="003673DF"/>
    <w:rsid w:val="00370B86"/>
    <w:rsid w:val="003716B1"/>
    <w:rsid w:val="00371F12"/>
    <w:rsid w:val="00372557"/>
    <w:rsid w:val="003727D2"/>
    <w:rsid w:val="0037391A"/>
    <w:rsid w:val="003739FA"/>
    <w:rsid w:val="00373A54"/>
    <w:rsid w:val="00373DB5"/>
    <w:rsid w:val="003743A1"/>
    <w:rsid w:val="00376461"/>
    <w:rsid w:val="00376596"/>
    <w:rsid w:val="00376773"/>
    <w:rsid w:val="003770C9"/>
    <w:rsid w:val="00377441"/>
    <w:rsid w:val="003774C0"/>
    <w:rsid w:val="003775AB"/>
    <w:rsid w:val="00377730"/>
    <w:rsid w:val="00381158"/>
    <w:rsid w:val="003819AC"/>
    <w:rsid w:val="00381A93"/>
    <w:rsid w:val="003822CA"/>
    <w:rsid w:val="00382432"/>
    <w:rsid w:val="00382623"/>
    <w:rsid w:val="003829D9"/>
    <w:rsid w:val="00382A2F"/>
    <w:rsid w:val="00382B2B"/>
    <w:rsid w:val="00382F75"/>
    <w:rsid w:val="00383018"/>
    <w:rsid w:val="003832BB"/>
    <w:rsid w:val="003833B6"/>
    <w:rsid w:val="00383791"/>
    <w:rsid w:val="0038469E"/>
    <w:rsid w:val="0038498F"/>
    <w:rsid w:val="003857C6"/>
    <w:rsid w:val="0038592D"/>
    <w:rsid w:val="003862C4"/>
    <w:rsid w:val="00386605"/>
    <w:rsid w:val="00386B12"/>
    <w:rsid w:val="003872A1"/>
    <w:rsid w:val="00387318"/>
    <w:rsid w:val="0038749D"/>
    <w:rsid w:val="0038757C"/>
    <w:rsid w:val="00387AA3"/>
    <w:rsid w:val="00387C33"/>
    <w:rsid w:val="003923F0"/>
    <w:rsid w:val="00392898"/>
    <w:rsid w:val="00392AC6"/>
    <w:rsid w:val="00393377"/>
    <w:rsid w:val="0039428A"/>
    <w:rsid w:val="00394A12"/>
    <w:rsid w:val="003959F2"/>
    <w:rsid w:val="00395DA4"/>
    <w:rsid w:val="00395DCB"/>
    <w:rsid w:val="00396B39"/>
    <w:rsid w:val="00397424"/>
    <w:rsid w:val="003975E0"/>
    <w:rsid w:val="00397A28"/>
    <w:rsid w:val="00397CC8"/>
    <w:rsid w:val="003A0480"/>
    <w:rsid w:val="003A19B5"/>
    <w:rsid w:val="003A1EF6"/>
    <w:rsid w:val="003A2444"/>
    <w:rsid w:val="003A2BCE"/>
    <w:rsid w:val="003A2F6C"/>
    <w:rsid w:val="003A4333"/>
    <w:rsid w:val="003A47FD"/>
    <w:rsid w:val="003A4845"/>
    <w:rsid w:val="003A5255"/>
    <w:rsid w:val="003A540E"/>
    <w:rsid w:val="003A5F6D"/>
    <w:rsid w:val="003A5FBD"/>
    <w:rsid w:val="003A6C56"/>
    <w:rsid w:val="003A71BF"/>
    <w:rsid w:val="003A7605"/>
    <w:rsid w:val="003B08D9"/>
    <w:rsid w:val="003B1481"/>
    <w:rsid w:val="003B18B6"/>
    <w:rsid w:val="003B1E62"/>
    <w:rsid w:val="003B1EF0"/>
    <w:rsid w:val="003B2004"/>
    <w:rsid w:val="003B295C"/>
    <w:rsid w:val="003B2B09"/>
    <w:rsid w:val="003B2EB7"/>
    <w:rsid w:val="003B32F6"/>
    <w:rsid w:val="003B3639"/>
    <w:rsid w:val="003B3DDE"/>
    <w:rsid w:val="003B4385"/>
    <w:rsid w:val="003B594F"/>
    <w:rsid w:val="003B5B29"/>
    <w:rsid w:val="003B5CE8"/>
    <w:rsid w:val="003B6320"/>
    <w:rsid w:val="003B64EA"/>
    <w:rsid w:val="003B6550"/>
    <w:rsid w:val="003B66E3"/>
    <w:rsid w:val="003B7137"/>
    <w:rsid w:val="003B78B9"/>
    <w:rsid w:val="003B79B4"/>
    <w:rsid w:val="003B7B90"/>
    <w:rsid w:val="003B7BB6"/>
    <w:rsid w:val="003B7BB8"/>
    <w:rsid w:val="003C00DA"/>
    <w:rsid w:val="003C02DD"/>
    <w:rsid w:val="003C035F"/>
    <w:rsid w:val="003C085D"/>
    <w:rsid w:val="003C0E3B"/>
    <w:rsid w:val="003C0E71"/>
    <w:rsid w:val="003C106C"/>
    <w:rsid w:val="003C129C"/>
    <w:rsid w:val="003C12B8"/>
    <w:rsid w:val="003C2416"/>
    <w:rsid w:val="003C26F2"/>
    <w:rsid w:val="003C2B8C"/>
    <w:rsid w:val="003C3155"/>
    <w:rsid w:val="003C3204"/>
    <w:rsid w:val="003C3249"/>
    <w:rsid w:val="003C4AB2"/>
    <w:rsid w:val="003C4ED6"/>
    <w:rsid w:val="003C51E9"/>
    <w:rsid w:val="003C58DB"/>
    <w:rsid w:val="003C627B"/>
    <w:rsid w:val="003C695C"/>
    <w:rsid w:val="003C6E01"/>
    <w:rsid w:val="003C7F49"/>
    <w:rsid w:val="003C7F5E"/>
    <w:rsid w:val="003C7F7E"/>
    <w:rsid w:val="003D0565"/>
    <w:rsid w:val="003D083F"/>
    <w:rsid w:val="003D1042"/>
    <w:rsid w:val="003D1471"/>
    <w:rsid w:val="003D1565"/>
    <w:rsid w:val="003D1B1A"/>
    <w:rsid w:val="003D1C10"/>
    <w:rsid w:val="003D1F5B"/>
    <w:rsid w:val="003D2233"/>
    <w:rsid w:val="003D2D3F"/>
    <w:rsid w:val="003D38C4"/>
    <w:rsid w:val="003D3AB6"/>
    <w:rsid w:val="003D3EAB"/>
    <w:rsid w:val="003D3F07"/>
    <w:rsid w:val="003D3FD5"/>
    <w:rsid w:val="003D474D"/>
    <w:rsid w:val="003D4992"/>
    <w:rsid w:val="003D4A88"/>
    <w:rsid w:val="003D532F"/>
    <w:rsid w:val="003D5CB1"/>
    <w:rsid w:val="003D5DFC"/>
    <w:rsid w:val="003D61F4"/>
    <w:rsid w:val="003D6618"/>
    <w:rsid w:val="003D6CC3"/>
    <w:rsid w:val="003D6D65"/>
    <w:rsid w:val="003D7579"/>
    <w:rsid w:val="003D78E8"/>
    <w:rsid w:val="003D7CCE"/>
    <w:rsid w:val="003D7DD7"/>
    <w:rsid w:val="003E00FD"/>
    <w:rsid w:val="003E094F"/>
    <w:rsid w:val="003E0DE4"/>
    <w:rsid w:val="003E0FC5"/>
    <w:rsid w:val="003E12C4"/>
    <w:rsid w:val="003E2401"/>
    <w:rsid w:val="003E2D83"/>
    <w:rsid w:val="003E36A6"/>
    <w:rsid w:val="003E3706"/>
    <w:rsid w:val="003E37FC"/>
    <w:rsid w:val="003E3FC3"/>
    <w:rsid w:val="003E3FDE"/>
    <w:rsid w:val="003E43E0"/>
    <w:rsid w:val="003E4775"/>
    <w:rsid w:val="003E4BDC"/>
    <w:rsid w:val="003E4D3C"/>
    <w:rsid w:val="003E4F86"/>
    <w:rsid w:val="003E59C2"/>
    <w:rsid w:val="003E5DFA"/>
    <w:rsid w:val="003E5FD1"/>
    <w:rsid w:val="003E608B"/>
    <w:rsid w:val="003E67ED"/>
    <w:rsid w:val="003E6A93"/>
    <w:rsid w:val="003E75AC"/>
    <w:rsid w:val="003E77A2"/>
    <w:rsid w:val="003F009D"/>
    <w:rsid w:val="003F022C"/>
    <w:rsid w:val="003F06CE"/>
    <w:rsid w:val="003F0B27"/>
    <w:rsid w:val="003F11E5"/>
    <w:rsid w:val="003F11F4"/>
    <w:rsid w:val="003F1331"/>
    <w:rsid w:val="003F197E"/>
    <w:rsid w:val="003F2404"/>
    <w:rsid w:val="003F25BA"/>
    <w:rsid w:val="003F2644"/>
    <w:rsid w:val="003F2AEB"/>
    <w:rsid w:val="003F2B29"/>
    <w:rsid w:val="003F3158"/>
    <w:rsid w:val="003F40A2"/>
    <w:rsid w:val="003F4216"/>
    <w:rsid w:val="003F4415"/>
    <w:rsid w:val="003F4496"/>
    <w:rsid w:val="003F4ACB"/>
    <w:rsid w:val="003F4EDC"/>
    <w:rsid w:val="003F50DE"/>
    <w:rsid w:val="003F51EA"/>
    <w:rsid w:val="003F5561"/>
    <w:rsid w:val="003F5574"/>
    <w:rsid w:val="003F5D0D"/>
    <w:rsid w:val="003F5F7F"/>
    <w:rsid w:val="003F69CD"/>
    <w:rsid w:val="003F70DE"/>
    <w:rsid w:val="003F74DC"/>
    <w:rsid w:val="003F784C"/>
    <w:rsid w:val="003F7D97"/>
    <w:rsid w:val="004008EB"/>
    <w:rsid w:val="00400E95"/>
    <w:rsid w:val="00401166"/>
    <w:rsid w:val="00401342"/>
    <w:rsid w:val="0040146F"/>
    <w:rsid w:val="0040159E"/>
    <w:rsid w:val="004017E7"/>
    <w:rsid w:val="00401890"/>
    <w:rsid w:val="00401AE2"/>
    <w:rsid w:val="00401D4F"/>
    <w:rsid w:val="00402211"/>
    <w:rsid w:val="0040287A"/>
    <w:rsid w:val="00402B96"/>
    <w:rsid w:val="00402EA8"/>
    <w:rsid w:val="004032F9"/>
    <w:rsid w:val="004033AB"/>
    <w:rsid w:val="0040379B"/>
    <w:rsid w:val="004041CF"/>
    <w:rsid w:val="00404416"/>
    <w:rsid w:val="00404553"/>
    <w:rsid w:val="00404651"/>
    <w:rsid w:val="00405045"/>
    <w:rsid w:val="00405188"/>
    <w:rsid w:val="00405DB1"/>
    <w:rsid w:val="00405E51"/>
    <w:rsid w:val="004061C6"/>
    <w:rsid w:val="00407315"/>
    <w:rsid w:val="004078E6"/>
    <w:rsid w:val="00407B6A"/>
    <w:rsid w:val="00407CD4"/>
    <w:rsid w:val="004102E8"/>
    <w:rsid w:val="004107BA"/>
    <w:rsid w:val="00410D9E"/>
    <w:rsid w:val="00411EEC"/>
    <w:rsid w:val="004123B9"/>
    <w:rsid w:val="004125AE"/>
    <w:rsid w:val="0041265B"/>
    <w:rsid w:val="004126E9"/>
    <w:rsid w:val="00412EAC"/>
    <w:rsid w:val="004132C3"/>
    <w:rsid w:val="00413CF2"/>
    <w:rsid w:val="00413D32"/>
    <w:rsid w:val="00414421"/>
    <w:rsid w:val="00414D7E"/>
    <w:rsid w:val="00414DD8"/>
    <w:rsid w:val="00414E5F"/>
    <w:rsid w:val="00415DED"/>
    <w:rsid w:val="00416A6E"/>
    <w:rsid w:val="00416AE3"/>
    <w:rsid w:val="00416C62"/>
    <w:rsid w:val="00416C84"/>
    <w:rsid w:val="00417230"/>
    <w:rsid w:val="0041725C"/>
    <w:rsid w:val="0041779E"/>
    <w:rsid w:val="00417B4F"/>
    <w:rsid w:val="00417F5F"/>
    <w:rsid w:val="00420053"/>
    <w:rsid w:val="00420057"/>
    <w:rsid w:val="0042032A"/>
    <w:rsid w:val="004204A1"/>
    <w:rsid w:val="00420640"/>
    <w:rsid w:val="00420F18"/>
    <w:rsid w:val="0042190C"/>
    <w:rsid w:val="00421974"/>
    <w:rsid w:val="00421E08"/>
    <w:rsid w:val="00421F6F"/>
    <w:rsid w:val="004222A2"/>
    <w:rsid w:val="00422312"/>
    <w:rsid w:val="00422689"/>
    <w:rsid w:val="004226A2"/>
    <w:rsid w:val="00423C87"/>
    <w:rsid w:val="00423F32"/>
    <w:rsid w:val="00423F69"/>
    <w:rsid w:val="00424497"/>
    <w:rsid w:val="00424639"/>
    <w:rsid w:val="004246FC"/>
    <w:rsid w:val="004248B2"/>
    <w:rsid w:val="00424A53"/>
    <w:rsid w:val="00425265"/>
    <w:rsid w:val="00425322"/>
    <w:rsid w:val="00425763"/>
    <w:rsid w:val="004257A5"/>
    <w:rsid w:val="004259AE"/>
    <w:rsid w:val="0042652C"/>
    <w:rsid w:val="00426DA3"/>
    <w:rsid w:val="00426DEC"/>
    <w:rsid w:val="00427F40"/>
    <w:rsid w:val="0043027C"/>
    <w:rsid w:val="00430EB8"/>
    <w:rsid w:val="00430F18"/>
    <w:rsid w:val="00431497"/>
    <w:rsid w:val="0043188B"/>
    <w:rsid w:val="00431C42"/>
    <w:rsid w:val="0043212C"/>
    <w:rsid w:val="004322A4"/>
    <w:rsid w:val="0043275B"/>
    <w:rsid w:val="00432EEC"/>
    <w:rsid w:val="004336D1"/>
    <w:rsid w:val="0043377A"/>
    <w:rsid w:val="00433AE7"/>
    <w:rsid w:val="00433AE8"/>
    <w:rsid w:val="00434566"/>
    <w:rsid w:val="00434840"/>
    <w:rsid w:val="0043530B"/>
    <w:rsid w:val="00435F7C"/>
    <w:rsid w:val="004361FD"/>
    <w:rsid w:val="00436482"/>
    <w:rsid w:val="004367DF"/>
    <w:rsid w:val="00436B8C"/>
    <w:rsid w:val="00436C39"/>
    <w:rsid w:val="00436F80"/>
    <w:rsid w:val="004370AB"/>
    <w:rsid w:val="004371F5"/>
    <w:rsid w:val="00437219"/>
    <w:rsid w:val="00437335"/>
    <w:rsid w:val="0043795D"/>
    <w:rsid w:val="004379D5"/>
    <w:rsid w:val="00437F1C"/>
    <w:rsid w:val="00440092"/>
    <w:rsid w:val="004401EF"/>
    <w:rsid w:val="00440311"/>
    <w:rsid w:val="004405B0"/>
    <w:rsid w:val="00440C45"/>
    <w:rsid w:val="00440EA2"/>
    <w:rsid w:val="00440FB4"/>
    <w:rsid w:val="0044107B"/>
    <w:rsid w:val="004417F6"/>
    <w:rsid w:val="00441A7B"/>
    <w:rsid w:val="00442087"/>
    <w:rsid w:val="00443576"/>
    <w:rsid w:val="0044378F"/>
    <w:rsid w:val="00443F05"/>
    <w:rsid w:val="00444163"/>
    <w:rsid w:val="0044419C"/>
    <w:rsid w:val="00444420"/>
    <w:rsid w:val="00444B91"/>
    <w:rsid w:val="0044510E"/>
    <w:rsid w:val="00445798"/>
    <w:rsid w:val="00445D11"/>
    <w:rsid w:val="00445D37"/>
    <w:rsid w:val="0044646A"/>
    <w:rsid w:val="0044697A"/>
    <w:rsid w:val="00446BD0"/>
    <w:rsid w:val="00446E4E"/>
    <w:rsid w:val="00447873"/>
    <w:rsid w:val="00447C2B"/>
    <w:rsid w:val="00447C9F"/>
    <w:rsid w:val="00447D46"/>
    <w:rsid w:val="00447E01"/>
    <w:rsid w:val="00447E08"/>
    <w:rsid w:val="00447F62"/>
    <w:rsid w:val="004500C0"/>
    <w:rsid w:val="00450394"/>
    <w:rsid w:val="00450A92"/>
    <w:rsid w:val="00450E4E"/>
    <w:rsid w:val="00451488"/>
    <w:rsid w:val="00451B92"/>
    <w:rsid w:val="00452148"/>
    <w:rsid w:val="0045269D"/>
    <w:rsid w:val="00452A06"/>
    <w:rsid w:val="00452EF7"/>
    <w:rsid w:val="00453036"/>
    <w:rsid w:val="00453185"/>
    <w:rsid w:val="00453287"/>
    <w:rsid w:val="004532E4"/>
    <w:rsid w:val="0045345B"/>
    <w:rsid w:val="004534CE"/>
    <w:rsid w:val="004538BB"/>
    <w:rsid w:val="004538CB"/>
    <w:rsid w:val="00453A51"/>
    <w:rsid w:val="00453C60"/>
    <w:rsid w:val="00453CD9"/>
    <w:rsid w:val="00453D37"/>
    <w:rsid w:val="00453E20"/>
    <w:rsid w:val="00453E53"/>
    <w:rsid w:val="004540F9"/>
    <w:rsid w:val="00454583"/>
    <w:rsid w:val="004549FA"/>
    <w:rsid w:val="00454DA7"/>
    <w:rsid w:val="00454E4E"/>
    <w:rsid w:val="00454F9E"/>
    <w:rsid w:val="00455021"/>
    <w:rsid w:val="00455218"/>
    <w:rsid w:val="004552BC"/>
    <w:rsid w:val="0045588C"/>
    <w:rsid w:val="00455BA8"/>
    <w:rsid w:val="00455C59"/>
    <w:rsid w:val="004561E8"/>
    <w:rsid w:val="00456782"/>
    <w:rsid w:val="0045698B"/>
    <w:rsid w:val="00456B4E"/>
    <w:rsid w:val="0045782E"/>
    <w:rsid w:val="00457C31"/>
    <w:rsid w:val="00457C68"/>
    <w:rsid w:val="00457E53"/>
    <w:rsid w:val="00460257"/>
    <w:rsid w:val="004602A6"/>
    <w:rsid w:val="00460665"/>
    <w:rsid w:val="00460E73"/>
    <w:rsid w:val="004610AC"/>
    <w:rsid w:val="00461244"/>
    <w:rsid w:val="004612B6"/>
    <w:rsid w:val="00461504"/>
    <w:rsid w:val="00461CE7"/>
    <w:rsid w:val="00461D90"/>
    <w:rsid w:val="00462824"/>
    <w:rsid w:val="00462E1C"/>
    <w:rsid w:val="004631C7"/>
    <w:rsid w:val="00463529"/>
    <w:rsid w:val="00463BDC"/>
    <w:rsid w:val="00463F26"/>
    <w:rsid w:val="0046405A"/>
    <w:rsid w:val="0046405B"/>
    <w:rsid w:val="0046460D"/>
    <w:rsid w:val="004651D9"/>
    <w:rsid w:val="00465568"/>
    <w:rsid w:val="00465AB2"/>
    <w:rsid w:val="00465B4E"/>
    <w:rsid w:val="00465EC9"/>
    <w:rsid w:val="004664DF"/>
    <w:rsid w:val="00466515"/>
    <w:rsid w:val="004668B8"/>
    <w:rsid w:val="00466AE2"/>
    <w:rsid w:val="00466DB2"/>
    <w:rsid w:val="004670E4"/>
    <w:rsid w:val="00467510"/>
    <w:rsid w:val="0046756A"/>
    <w:rsid w:val="00467C1F"/>
    <w:rsid w:val="00467CD3"/>
    <w:rsid w:val="0047035F"/>
    <w:rsid w:val="00470CA4"/>
    <w:rsid w:val="00471A6E"/>
    <w:rsid w:val="00471BE0"/>
    <w:rsid w:val="004722EE"/>
    <w:rsid w:val="0047243C"/>
    <w:rsid w:val="004725CC"/>
    <w:rsid w:val="00472F2B"/>
    <w:rsid w:val="00473482"/>
    <w:rsid w:val="004737F8"/>
    <w:rsid w:val="00473F56"/>
    <w:rsid w:val="00474A2F"/>
    <w:rsid w:val="00474E13"/>
    <w:rsid w:val="00474F6A"/>
    <w:rsid w:val="00474FB1"/>
    <w:rsid w:val="004750F2"/>
    <w:rsid w:val="0047550B"/>
    <w:rsid w:val="00475A37"/>
    <w:rsid w:val="00475D7B"/>
    <w:rsid w:val="004760A8"/>
    <w:rsid w:val="00476BB2"/>
    <w:rsid w:val="00477A3D"/>
    <w:rsid w:val="004800E3"/>
    <w:rsid w:val="004813FF"/>
    <w:rsid w:val="00481543"/>
    <w:rsid w:val="0048183C"/>
    <w:rsid w:val="004823F1"/>
    <w:rsid w:val="0048240E"/>
    <w:rsid w:val="004829FC"/>
    <w:rsid w:val="00482F20"/>
    <w:rsid w:val="004836CA"/>
    <w:rsid w:val="004837D6"/>
    <w:rsid w:val="00483920"/>
    <w:rsid w:val="00483DB3"/>
    <w:rsid w:val="00485172"/>
    <w:rsid w:val="0048540E"/>
    <w:rsid w:val="00485C38"/>
    <w:rsid w:val="00485F42"/>
    <w:rsid w:val="004874F8"/>
    <w:rsid w:val="00487AA0"/>
    <w:rsid w:val="00487D9A"/>
    <w:rsid w:val="00491160"/>
    <w:rsid w:val="00491431"/>
    <w:rsid w:val="00491BE7"/>
    <w:rsid w:val="00491D60"/>
    <w:rsid w:val="004926B1"/>
    <w:rsid w:val="00492AF2"/>
    <w:rsid w:val="00492CA5"/>
    <w:rsid w:val="00493067"/>
    <w:rsid w:val="004930FB"/>
    <w:rsid w:val="00493288"/>
    <w:rsid w:val="00493963"/>
    <w:rsid w:val="00493D02"/>
    <w:rsid w:val="00494183"/>
    <w:rsid w:val="004942C8"/>
    <w:rsid w:val="00495181"/>
    <w:rsid w:val="00495678"/>
    <w:rsid w:val="004957BC"/>
    <w:rsid w:val="00495F9C"/>
    <w:rsid w:val="0049602C"/>
    <w:rsid w:val="00496323"/>
    <w:rsid w:val="00496827"/>
    <w:rsid w:val="00496A8F"/>
    <w:rsid w:val="00496EA3"/>
    <w:rsid w:val="00497004"/>
    <w:rsid w:val="004977C2"/>
    <w:rsid w:val="00497826"/>
    <w:rsid w:val="00497AA0"/>
    <w:rsid w:val="00497D18"/>
    <w:rsid w:val="00497F64"/>
    <w:rsid w:val="004A06ED"/>
    <w:rsid w:val="004A0A33"/>
    <w:rsid w:val="004A0E2A"/>
    <w:rsid w:val="004A11C4"/>
    <w:rsid w:val="004A1359"/>
    <w:rsid w:val="004A19AE"/>
    <w:rsid w:val="004A1B30"/>
    <w:rsid w:val="004A1C8F"/>
    <w:rsid w:val="004A1ED6"/>
    <w:rsid w:val="004A20EA"/>
    <w:rsid w:val="004A2185"/>
    <w:rsid w:val="004A2BE5"/>
    <w:rsid w:val="004A34C9"/>
    <w:rsid w:val="004A3E04"/>
    <w:rsid w:val="004A40AF"/>
    <w:rsid w:val="004A4381"/>
    <w:rsid w:val="004A4C6A"/>
    <w:rsid w:val="004A5367"/>
    <w:rsid w:val="004A580C"/>
    <w:rsid w:val="004A61BB"/>
    <w:rsid w:val="004A6700"/>
    <w:rsid w:val="004A6E14"/>
    <w:rsid w:val="004A6E9B"/>
    <w:rsid w:val="004A718A"/>
    <w:rsid w:val="004A7A07"/>
    <w:rsid w:val="004B0389"/>
    <w:rsid w:val="004B03E2"/>
    <w:rsid w:val="004B0C0D"/>
    <w:rsid w:val="004B132E"/>
    <w:rsid w:val="004B168B"/>
    <w:rsid w:val="004B1874"/>
    <w:rsid w:val="004B1B29"/>
    <w:rsid w:val="004B1EBE"/>
    <w:rsid w:val="004B2931"/>
    <w:rsid w:val="004B2C78"/>
    <w:rsid w:val="004B2F4B"/>
    <w:rsid w:val="004B32F9"/>
    <w:rsid w:val="004B38A6"/>
    <w:rsid w:val="004B3991"/>
    <w:rsid w:val="004B482E"/>
    <w:rsid w:val="004B4AE3"/>
    <w:rsid w:val="004B4FF7"/>
    <w:rsid w:val="004B5B4F"/>
    <w:rsid w:val="004B6341"/>
    <w:rsid w:val="004B6F68"/>
    <w:rsid w:val="004B7C6B"/>
    <w:rsid w:val="004B7F99"/>
    <w:rsid w:val="004C0298"/>
    <w:rsid w:val="004C0549"/>
    <w:rsid w:val="004C056D"/>
    <w:rsid w:val="004C062D"/>
    <w:rsid w:val="004C0856"/>
    <w:rsid w:val="004C093F"/>
    <w:rsid w:val="004C0EFA"/>
    <w:rsid w:val="004C106B"/>
    <w:rsid w:val="004C12E3"/>
    <w:rsid w:val="004C1526"/>
    <w:rsid w:val="004C17A5"/>
    <w:rsid w:val="004C1A93"/>
    <w:rsid w:val="004C2A83"/>
    <w:rsid w:val="004C335E"/>
    <w:rsid w:val="004C3563"/>
    <w:rsid w:val="004C36A7"/>
    <w:rsid w:val="004C396B"/>
    <w:rsid w:val="004C3B6D"/>
    <w:rsid w:val="004C3CE4"/>
    <w:rsid w:val="004C3D00"/>
    <w:rsid w:val="004C3EA0"/>
    <w:rsid w:val="004C3EF2"/>
    <w:rsid w:val="004C49C4"/>
    <w:rsid w:val="004C4BB4"/>
    <w:rsid w:val="004C4EE2"/>
    <w:rsid w:val="004C5BDC"/>
    <w:rsid w:val="004C5FC5"/>
    <w:rsid w:val="004C6507"/>
    <w:rsid w:val="004C69F1"/>
    <w:rsid w:val="004C6D44"/>
    <w:rsid w:val="004C6E30"/>
    <w:rsid w:val="004C7223"/>
    <w:rsid w:val="004C72BC"/>
    <w:rsid w:val="004C7799"/>
    <w:rsid w:val="004C7CC0"/>
    <w:rsid w:val="004D04A9"/>
    <w:rsid w:val="004D07E5"/>
    <w:rsid w:val="004D09F9"/>
    <w:rsid w:val="004D143A"/>
    <w:rsid w:val="004D1741"/>
    <w:rsid w:val="004D1A30"/>
    <w:rsid w:val="004D2339"/>
    <w:rsid w:val="004D2583"/>
    <w:rsid w:val="004D28BB"/>
    <w:rsid w:val="004D2B11"/>
    <w:rsid w:val="004D2CF0"/>
    <w:rsid w:val="004D3221"/>
    <w:rsid w:val="004D324D"/>
    <w:rsid w:val="004D355F"/>
    <w:rsid w:val="004D3682"/>
    <w:rsid w:val="004D3E31"/>
    <w:rsid w:val="004D3EDF"/>
    <w:rsid w:val="004D4530"/>
    <w:rsid w:val="004D5CB0"/>
    <w:rsid w:val="004D5D8E"/>
    <w:rsid w:val="004D5EDD"/>
    <w:rsid w:val="004D5FB4"/>
    <w:rsid w:val="004D5FE5"/>
    <w:rsid w:val="004D62C0"/>
    <w:rsid w:val="004D663C"/>
    <w:rsid w:val="004D68EA"/>
    <w:rsid w:val="004D692B"/>
    <w:rsid w:val="004D6B73"/>
    <w:rsid w:val="004D7577"/>
    <w:rsid w:val="004D7E23"/>
    <w:rsid w:val="004E017F"/>
    <w:rsid w:val="004E04AC"/>
    <w:rsid w:val="004E06C1"/>
    <w:rsid w:val="004E09E2"/>
    <w:rsid w:val="004E0C0B"/>
    <w:rsid w:val="004E151E"/>
    <w:rsid w:val="004E17FE"/>
    <w:rsid w:val="004E1932"/>
    <w:rsid w:val="004E2412"/>
    <w:rsid w:val="004E2897"/>
    <w:rsid w:val="004E2E66"/>
    <w:rsid w:val="004E3F46"/>
    <w:rsid w:val="004E40FD"/>
    <w:rsid w:val="004E4912"/>
    <w:rsid w:val="004E4A12"/>
    <w:rsid w:val="004E4B58"/>
    <w:rsid w:val="004E4BC6"/>
    <w:rsid w:val="004E4F3F"/>
    <w:rsid w:val="004E5F0C"/>
    <w:rsid w:val="004E6556"/>
    <w:rsid w:val="004E760C"/>
    <w:rsid w:val="004F08A1"/>
    <w:rsid w:val="004F0BE0"/>
    <w:rsid w:val="004F0BEC"/>
    <w:rsid w:val="004F10F0"/>
    <w:rsid w:val="004F11CA"/>
    <w:rsid w:val="004F20BD"/>
    <w:rsid w:val="004F20EE"/>
    <w:rsid w:val="004F2512"/>
    <w:rsid w:val="004F273E"/>
    <w:rsid w:val="004F34FD"/>
    <w:rsid w:val="004F36E4"/>
    <w:rsid w:val="004F3E87"/>
    <w:rsid w:val="004F3ED5"/>
    <w:rsid w:val="004F3F91"/>
    <w:rsid w:val="004F42B4"/>
    <w:rsid w:val="004F494A"/>
    <w:rsid w:val="004F4A28"/>
    <w:rsid w:val="004F4A90"/>
    <w:rsid w:val="004F4A91"/>
    <w:rsid w:val="004F4B84"/>
    <w:rsid w:val="004F5A88"/>
    <w:rsid w:val="004F5AD4"/>
    <w:rsid w:val="004F5B90"/>
    <w:rsid w:val="004F5F34"/>
    <w:rsid w:val="004F7121"/>
    <w:rsid w:val="004F79EB"/>
    <w:rsid w:val="004F7DEF"/>
    <w:rsid w:val="004F7E82"/>
    <w:rsid w:val="00500171"/>
    <w:rsid w:val="00500543"/>
    <w:rsid w:val="0050095A"/>
    <w:rsid w:val="00500D9C"/>
    <w:rsid w:val="00501492"/>
    <w:rsid w:val="00501697"/>
    <w:rsid w:val="00501782"/>
    <w:rsid w:val="00501AD1"/>
    <w:rsid w:val="00501F53"/>
    <w:rsid w:val="00502EB3"/>
    <w:rsid w:val="00503E72"/>
    <w:rsid w:val="005041B7"/>
    <w:rsid w:val="0050471D"/>
    <w:rsid w:val="0050516E"/>
    <w:rsid w:val="0050557F"/>
    <w:rsid w:val="005057D3"/>
    <w:rsid w:val="00505805"/>
    <w:rsid w:val="00505B5D"/>
    <w:rsid w:val="00505CFB"/>
    <w:rsid w:val="00505F30"/>
    <w:rsid w:val="00506273"/>
    <w:rsid w:val="0050764C"/>
    <w:rsid w:val="00507F01"/>
    <w:rsid w:val="00510A61"/>
    <w:rsid w:val="00510C4C"/>
    <w:rsid w:val="00511237"/>
    <w:rsid w:val="00511B7B"/>
    <w:rsid w:val="00511DEB"/>
    <w:rsid w:val="005124DD"/>
    <w:rsid w:val="005128A0"/>
    <w:rsid w:val="00513396"/>
    <w:rsid w:val="0051376E"/>
    <w:rsid w:val="00513E49"/>
    <w:rsid w:val="005151B7"/>
    <w:rsid w:val="005156A6"/>
    <w:rsid w:val="00515933"/>
    <w:rsid w:val="00516623"/>
    <w:rsid w:val="00516968"/>
    <w:rsid w:val="00516A50"/>
    <w:rsid w:val="00516F12"/>
    <w:rsid w:val="0051744C"/>
    <w:rsid w:val="005178F9"/>
    <w:rsid w:val="00517DD7"/>
    <w:rsid w:val="005200F3"/>
    <w:rsid w:val="0052061F"/>
    <w:rsid w:val="00520B7F"/>
    <w:rsid w:val="00520F7D"/>
    <w:rsid w:val="00522BF1"/>
    <w:rsid w:val="00524058"/>
    <w:rsid w:val="00524257"/>
    <w:rsid w:val="0052444F"/>
    <w:rsid w:val="00524AD7"/>
    <w:rsid w:val="005251F5"/>
    <w:rsid w:val="005252BC"/>
    <w:rsid w:val="00525553"/>
    <w:rsid w:val="005258C4"/>
    <w:rsid w:val="00525DE7"/>
    <w:rsid w:val="00525DFF"/>
    <w:rsid w:val="00526846"/>
    <w:rsid w:val="00526976"/>
    <w:rsid w:val="00527564"/>
    <w:rsid w:val="005278D9"/>
    <w:rsid w:val="0053025C"/>
    <w:rsid w:val="00530BF9"/>
    <w:rsid w:val="005317B7"/>
    <w:rsid w:val="005318AF"/>
    <w:rsid w:val="00531CC0"/>
    <w:rsid w:val="00531FEE"/>
    <w:rsid w:val="005321F3"/>
    <w:rsid w:val="00532722"/>
    <w:rsid w:val="00532D89"/>
    <w:rsid w:val="00532ECD"/>
    <w:rsid w:val="005332C3"/>
    <w:rsid w:val="00533B3D"/>
    <w:rsid w:val="0053429E"/>
    <w:rsid w:val="005346A1"/>
    <w:rsid w:val="005349C4"/>
    <w:rsid w:val="00534F80"/>
    <w:rsid w:val="0053503A"/>
    <w:rsid w:val="005353E9"/>
    <w:rsid w:val="00535A9A"/>
    <w:rsid w:val="00535DA8"/>
    <w:rsid w:val="005369B6"/>
    <w:rsid w:val="00536D82"/>
    <w:rsid w:val="0053718B"/>
    <w:rsid w:val="005372A1"/>
    <w:rsid w:val="0054032D"/>
    <w:rsid w:val="0054039E"/>
    <w:rsid w:val="00540519"/>
    <w:rsid w:val="005408FC"/>
    <w:rsid w:val="005418DF"/>
    <w:rsid w:val="00541A3F"/>
    <w:rsid w:val="00541B18"/>
    <w:rsid w:val="00542307"/>
    <w:rsid w:val="0054253B"/>
    <w:rsid w:val="00542582"/>
    <w:rsid w:val="005426BF"/>
    <w:rsid w:val="00542C3A"/>
    <w:rsid w:val="00543265"/>
    <w:rsid w:val="005433EA"/>
    <w:rsid w:val="00543681"/>
    <w:rsid w:val="00543EBB"/>
    <w:rsid w:val="00543F11"/>
    <w:rsid w:val="005442D7"/>
    <w:rsid w:val="00544F8D"/>
    <w:rsid w:val="00545C15"/>
    <w:rsid w:val="00545CF1"/>
    <w:rsid w:val="005460B8"/>
    <w:rsid w:val="00546219"/>
    <w:rsid w:val="0054631E"/>
    <w:rsid w:val="00546357"/>
    <w:rsid w:val="00546426"/>
    <w:rsid w:val="00546698"/>
    <w:rsid w:val="00546BFC"/>
    <w:rsid w:val="00546DB0"/>
    <w:rsid w:val="0054706A"/>
    <w:rsid w:val="00547757"/>
    <w:rsid w:val="00547B0A"/>
    <w:rsid w:val="00547C06"/>
    <w:rsid w:val="0055053E"/>
    <w:rsid w:val="00550739"/>
    <w:rsid w:val="0055079D"/>
    <w:rsid w:val="00550809"/>
    <w:rsid w:val="00550B34"/>
    <w:rsid w:val="005516AA"/>
    <w:rsid w:val="00551D14"/>
    <w:rsid w:val="00551DC3"/>
    <w:rsid w:val="00552A4E"/>
    <w:rsid w:val="00552A99"/>
    <w:rsid w:val="00552FB4"/>
    <w:rsid w:val="00553501"/>
    <w:rsid w:val="0055354D"/>
    <w:rsid w:val="00553E09"/>
    <w:rsid w:val="00554538"/>
    <w:rsid w:val="00554D10"/>
    <w:rsid w:val="00555605"/>
    <w:rsid w:val="00555ADE"/>
    <w:rsid w:val="00555FD4"/>
    <w:rsid w:val="00555FF3"/>
    <w:rsid w:val="00556B22"/>
    <w:rsid w:val="00556CBD"/>
    <w:rsid w:val="00557029"/>
    <w:rsid w:val="005572B5"/>
    <w:rsid w:val="0055734C"/>
    <w:rsid w:val="00557BA2"/>
    <w:rsid w:val="00557E42"/>
    <w:rsid w:val="00557E85"/>
    <w:rsid w:val="00560DFA"/>
    <w:rsid w:val="00560E63"/>
    <w:rsid w:val="00561195"/>
    <w:rsid w:val="0056124A"/>
    <w:rsid w:val="0056142D"/>
    <w:rsid w:val="00561484"/>
    <w:rsid w:val="005616F7"/>
    <w:rsid w:val="005617E2"/>
    <w:rsid w:val="00561A43"/>
    <w:rsid w:val="00561CC0"/>
    <w:rsid w:val="00562031"/>
    <w:rsid w:val="00562D06"/>
    <w:rsid w:val="00562E0C"/>
    <w:rsid w:val="0056305B"/>
    <w:rsid w:val="005630C0"/>
    <w:rsid w:val="005632FC"/>
    <w:rsid w:val="00563C10"/>
    <w:rsid w:val="00564E7E"/>
    <w:rsid w:val="005654DD"/>
    <w:rsid w:val="005656F1"/>
    <w:rsid w:val="00565C15"/>
    <w:rsid w:val="00565CE2"/>
    <w:rsid w:val="00566191"/>
    <w:rsid w:val="005667EB"/>
    <w:rsid w:val="005676A6"/>
    <w:rsid w:val="00567806"/>
    <w:rsid w:val="00570E51"/>
    <w:rsid w:val="005712EE"/>
    <w:rsid w:val="0057130C"/>
    <w:rsid w:val="005715EF"/>
    <w:rsid w:val="005720E3"/>
    <w:rsid w:val="00572981"/>
    <w:rsid w:val="00572CBC"/>
    <w:rsid w:val="00572D05"/>
    <w:rsid w:val="005737B6"/>
    <w:rsid w:val="00573EB7"/>
    <w:rsid w:val="00574A16"/>
    <w:rsid w:val="00574B70"/>
    <w:rsid w:val="00574DED"/>
    <w:rsid w:val="005765AD"/>
    <w:rsid w:val="00576C1C"/>
    <w:rsid w:val="00576EF1"/>
    <w:rsid w:val="00576FFE"/>
    <w:rsid w:val="005773B8"/>
    <w:rsid w:val="00577571"/>
    <w:rsid w:val="005776B7"/>
    <w:rsid w:val="0057772D"/>
    <w:rsid w:val="00577768"/>
    <w:rsid w:val="00577D74"/>
    <w:rsid w:val="005802C8"/>
    <w:rsid w:val="00580468"/>
    <w:rsid w:val="00580903"/>
    <w:rsid w:val="00580BDA"/>
    <w:rsid w:val="005813BD"/>
    <w:rsid w:val="00581453"/>
    <w:rsid w:val="00581797"/>
    <w:rsid w:val="005817E5"/>
    <w:rsid w:val="00581CFB"/>
    <w:rsid w:val="00581D73"/>
    <w:rsid w:val="00582259"/>
    <w:rsid w:val="005822DD"/>
    <w:rsid w:val="005840F8"/>
    <w:rsid w:val="0058481A"/>
    <w:rsid w:val="00584E3F"/>
    <w:rsid w:val="00585135"/>
    <w:rsid w:val="00585423"/>
    <w:rsid w:val="005854B0"/>
    <w:rsid w:val="00585996"/>
    <w:rsid w:val="005862A4"/>
    <w:rsid w:val="00586634"/>
    <w:rsid w:val="005867A0"/>
    <w:rsid w:val="00586C09"/>
    <w:rsid w:val="00590045"/>
    <w:rsid w:val="00590A4C"/>
    <w:rsid w:val="00590A81"/>
    <w:rsid w:val="0059124A"/>
    <w:rsid w:val="005914C8"/>
    <w:rsid w:val="00591670"/>
    <w:rsid w:val="00591745"/>
    <w:rsid w:val="005919B3"/>
    <w:rsid w:val="0059243E"/>
    <w:rsid w:val="00592C04"/>
    <w:rsid w:val="0059323F"/>
    <w:rsid w:val="00594A7B"/>
    <w:rsid w:val="00594DD9"/>
    <w:rsid w:val="00595526"/>
    <w:rsid w:val="00595794"/>
    <w:rsid w:val="00595AF7"/>
    <w:rsid w:val="00595F9C"/>
    <w:rsid w:val="00595FDF"/>
    <w:rsid w:val="005963FA"/>
    <w:rsid w:val="0059648F"/>
    <w:rsid w:val="00596852"/>
    <w:rsid w:val="00596AE0"/>
    <w:rsid w:val="00597074"/>
    <w:rsid w:val="00597BC3"/>
    <w:rsid w:val="005A02FB"/>
    <w:rsid w:val="005A0353"/>
    <w:rsid w:val="005A044E"/>
    <w:rsid w:val="005A0935"/>
    <w:rsid w:val="005A1161"/>
    <w:rsid w:val="005A1361"/>
    <w:rsid w:val="005A182D"/>
    <w:rsid w:val="005A1B4A"/>
    <w:rsid w:val="005A1C72"/>
    <w:rsid w:val="005A201C"/>
    <w:rsid w:val="005A2095"/>
    <w:rsid w:val="005A3A95"/>
    <w:rsid w:val="005A3C9C"/>
    <w:rsid w:val="005A3E47"/>
    <w:rsid w:val="005A3F46"/>
    <w:rsid w:val="005A4122"/>
    <w:rsid w:val="005A4293"/>
    <w:rsid w:val="005A43D9"/>
    <w:rsid w:val="005A479F"/>
    <w:rsid w:val="005A4825"/>
    <w:rsid w:val="005A4A87"/>
    <w:rsid w:val="005A5959"/>
    <w:rsid w:val="005A5EF4"/>
    <w:rsid w:val="005A5F1F"/>
    <w:rsid w:val="005A6156"/>
    <w:rsid w:val="005A64E5"/>
    <w:rsid w:val="005A66EE"/>
    <w:rsid w:val="005A68DA"/>
    <w:rsid w:val="005A6DEF"/>
    <w:rsid w:val="005A7247"/>
    <w:rsid w:val="005A759F"/>
    <w:rsid w:val="005A782F"/>
    <w:rsid w:val="005B04A3"/>
    <w:rsid w:val="005B1899"/>
    <w:rsid w:val="005B1B45"/>
    <w:rsid w:val="005B1C78"/>
    <w:rsid w:val="005B1EA2"/>
    <w:rsid w:val="005B21CF"/>
    <w:rsid w:val="005B25CD"/>
    <w:rsid w:val="005B2981"/>
    <w:rsid w:val="005B2A97"/>
    <w:rsid w:val="005B2D4D"/>
    <w:rsid w:val="005B2EE7"/>
    <w:rsid w:val="005B3194"/>
    <w:rsid w:val="005B31EE"/>
    <w:rsid w:val="005B3F31"/>
    <w:rsid w:val="005B51E0"/>
    <w:rsid w:val="005B5380"/>
    <w:rsid w:val="005B5947"/>
    <w:rsid w:val="005B5C02"/>
    <w:rsid w:val="005B628E"/>
    <w:rsid w:val="005B6637"/>
    <w:rsid w:val="005B7CAE"/>
    <w:rsid w:val="005B7E82"/>
    <w:rsid w:val="005C044D"/>
    <w:rsid w:val="005C05E4"/>
    <w:rsid w:val="005C09EE"/>
    <w:rsid w:val="005C1386"/>
    <w:rsid w:val="005C1A2A"/>
    <w:rsid w:val="005C1D00"/>
    <w:rsid w:val="005C1D56"/>
    <w:rsid w:val="005C23AC"/>
    <w:rsid w:val="005C277B"/>
    <w:rsid w:val="005C2857"/>
    <w:rsid w:val="005C2A63"/>
    <w:rsid w:val="005C2A6B"/>
    <w:rsid w:val="005C3606"/>
    <w:rsid w:val="005C36BB"/>
    <w:rsid w:val="005C3E6A"/>
    <w:rsid w:val="005C45B8"/>
    <w:rsid w:val="005C49B1"/>
    <w:rsid w:val="005C4A24"/>
    <w:rsid w:val="005C50E8"/>
    <w:rsid w:val="005C629B"/>
    <w:rsid w:val="005C6463"/>
    <w:rsid w:val="005C6778"/>
    <w:rsid w:val="005C68AD"/>
    <w:rsid w:val="005C6D06"/>
    <w:rsid w:val="005C6F19"/>
    <w:rsid w:val="005C7327"/>
    <w:rsid w:val="005C7805"/>
    <w:rsid w:val="005C7A9D"/>
    <w:rsid w:val="005C7B9D"/>
    <w:rsid w:val="005C7BBC"/>
    <w:rsid w:val="005D00D4"/>
    <w:rsid w:val="005D0670"/>
    <w:rsid w:val="005D080A"/>
    <w:rsid w:val="005D0C20"/>
    <w:rsid w:val="005D0DBF"/>
    <w:rsid w:val="005D152E"/>
    <w:rsid w:val="005D1600"/>
    <w:rsid w:val="005D1794"/>
    <w:rsid w:val="005D19FA"/>
    <w:rsid w:val="005D1B4A"/>
    <w:rsid w:val="005D1BEB"/>
    <w:rsid w:val="005D222A"/>
    <w:rsid w:val="005D2797"/>
    <w:rsid w:val="005D2983"/>
    <w:rsid w:val="005D2F91"/>
    <w:rsid w:val="005D420A"/>
    <w:rsid w:val="005D49F0"/>
    <w:rsid w:val="005D4D88"/>
    <w:rsid w:val="005D5FE6"/>
    <w:rsid w:val="005D61DF"/>
    <w:rsid w:val="005D626C"/>
    <w:rsid w:val="005D67A6"/>
    <w:rsid w:val="005D7587"/>
    <w:rsid w:val="005D75AA"/>
    <w:rsid w:val="005D7B4C"/>
    <w:rsid w:val="005D7CB2"/>
    <w:rsid w:val="005E0D70"/>
    <w:rsid w:val="005E0DDF"/>
    <w:rsid w:val="005E0EBD"/>
    <w:rsid w:val="005E1BCC"/>
    <w:rsid w:val="005E21CF"/>
    <w:rsid w:val="005E2228"/>
    <w:rsid w:val="005E2305"/>
    <w:rsid w:val="005E2C47"/>
    <w:rsid w:val="005E2F78"/>
    <w:rsid w:val="005E32BE"/>
    <w:rsid w:val="005E34EA"/>
    <w:rsid w:val="005E3DD3"/>
    <w:rsid w:val="005E401E"/>
    <w:rsid w:val="005E42EC"/>
    <w:rsid w:val="005E43AD"/>
    <w:rsid w:val="005E448D"/>
    <w:rsid w:val="005E45FC"/>
    <w:rsid w:val="005E4CAB"/>
    <w:rsid w:val="005E4E7E"/>
    <w:rsid w:val="005E50C3"/>
    <w:rsid w:val="005E5223"/>
    <w:rsid w:val="005E53FD"/>
    <w:rsid w:val="005E5D2F"/>
    <w:rsid w:val="005E5FE2"/>
    <w:rsid w:val="005E69EB"/>
    <w:rsid w:val="005E6A60"/>
    <w:rsid w:val="005E6AE0"/>
    <w:rsid w:val="005E6B8A"/>
    <w:rsid w:val="005E7389"/>
    <w:rsid w:val="005E75EA"/>
    <w:rsid w:val="005F03D8"/>
    <w:rsid w:val="005F050D"/>
    <w:rsid w:val="005F0F6F"/>
    <w:rsid w:val="005F1041"/>
    <w:rsid w:val="005F11E9"/>
    <w:rsid w:val="005F1447"/>
    <w:rsid w:val="005F1AE0"/>
    <w:rsid w:val="005F205A"/>
    <w:rsid w:val="005F22D3"/>
    <w:rsid w:val="005F2477"/>
    <w:rsid w:val="005F2C17"/>
    <w:rsid w:val="005F2C3B"/>
    <w:rsid w:val="005F2E26"/>
    <w:rsid w:val="005F3061"/>
    <w:rsid w:val="005F31C0"/>
    <w:rsid w:val="005F3534"/>
    <w:rsid w:val="005F356A"/>
    <w:rsid w:val="005F36CB"/>
    <w:rsid w:val="005F380F"/>
    <w:rsid w:val="005F3991"/>
    <w:rsid w:val="005F3D28"/>
    <w:rsid w:val="005F43F3"/>
    <w:rsid w:val="005F4767"/>
    <w:rsid w:val="005F49BB"/>
    <w:rsid w:val="005F4B80"/>
    <w:rsid w:val="005F4E24"/>
    <w:rsid w:val="005F534B"/>
    <w:rsid w:val="005F5633"/>
    <w:rsid w:val="005F56B8"/>
    <w:rsid w:val="005F571A"/>
    <w:rsid w:val="005F58D2"/>
    <w:rsid w:val="005F6108"/>
    <w:rsid w:val="005F6391"/>
    <w:rsid w:val="005F698E"/>
    <w:rsid w:val="005F6AEF"/>
    <w:rsid w:val="005F74F1"/>
    <w:rsid w:val="005F76FD"/>
    <w:rsid w:val="005F7710"/>
    <w:rsid w:val="005F7BA5"/>
    <w:rsid w:val="006004C0"/>
    <w:rsid w:val="00600C81"/>
    <w:rsid w:val="00600FD0"/>
    <w:rsid w:val="00600FE5"/>
    <w:rsid w:val="006013AC"/>
    <w:rsid w:val="00601BD2"/>
    <w:rsid w:val="0060234A"/>
    <w:rsid w:val="00602354"/>
    <w:rsid w:val="006025F8"/>
    <w:rsid w:val="00602E85"/>
    <w:rsid w:val="00602F28"/>
    <w:rsid w:val="006032CA"/>
    <w:rsid w:val="006039AE"/>
    <w:rsid w:val="00603D38"/>
    <w:rsid w:val="00603F38"/>
    <w:rsid w:val="00604667"/>
    <w:rsid w:val="00604BE5"/>
    <w:rsid w:val="00604CB8"/>
    <w:rsid w:val="00604FDC"/>
    <w:rsid w:val="006056C6"/>
    <w:rsid w:val="00605D7D"/>
    <w:rsid w:val="00605E16"/>
    <w:rsid w:val="006060F9"/>
    <w:rsid w:val="00606DD6"/>
    <w:rsid w:val="00607491"/>
    <w:rsid w:val="00607C85"/>
    <w:rsid w:val="0061083C"/>
    <w:rsid w:val="00610BFD"/>
    <w:rsid w:val="0061159F"/>
    <w:rsid w:val="00611C98"/>
    <w:rsid w:val="00611FA9"/>
    <w:rsid w:val="00612083"/>
    <w:rsid w:val="00612F1E"/>
    <w:rsid w:val="006133B9"/>
    <w:rsid w:val="00613751"/>
    <w:rsid w:val="0061396C"/>
    <w:rsid w:val="00613B33"/>
    <w:rsid w:val="00613E2A"/>
    <w:rsid w:val="0061430A"/>
    <w:rsid w:val="0061439A"/>
    <w:rsid w:val="00614B22"/>
    <w:rsid w:val="00614DA3"/>
    <w:rsid w:val="00614F0B"/>
    <w:rsid w:val="00614F6B"/>
    <w:rsid w:val="00615E93"/>
    <w:rsid w:val="00615F8D"/>
    <w:rsid w:val="00616076"/>
    <w:rsid w:val="00616709"/>
    <w:rsid w:val="00616783"/>
    <w:rsid w:val="00617269"/>
    <w:rsid w:val="00617886"/>
    <w:rsid w:val="0061790A"/>
    <w:rsid w:val="00617971"/>
    <w:rsid w:val="006179AD"/>
    <w:rsid w:val="00617ADD"/>
    <w:rsid w:val="00617CAF"/>
    <w:rsid w:val="00620423"/>
    <w:rsid w:val="006208BE"/>
    <w:rsid w:val="006209A8"/>
    <w:rsid w:val="00620AD5"/>
    <w:rsid w:val="00620CC8"/>
    <w:rsid w:val="00620D20"/>
    <w:rsid w:val="00620F9D"/>
    <w:rsid w:val="00621025"/>
    <w:rsid w:val="006214F2"/>
    <w:rsid w:val="00621C43"/>
    <w:rsid w:val="00621CEC"/>
    <w:rsid w:val="0062200B"/>
    <w:rsid w:val="00622FF7"/>
    <w:rsid w:val="00623160"/>
    <w:rsid w:val="00623193"/>
    <w:rsid w:val="00623295"/>
    <w:rsid w:val="00623EF2"/>
    <w:rsid w:val="00624555"/>
    <w:rsid w:val="00624A17"/>
    <w:rsid w:val="00624F85"/>
    <w:rsid w:val="00625244"/>
    <w:rsid w:val="0062524E"/>
    <w:rsid w:val="00625B02"/>
    <w:rsid w:val="00626084"/>
    <w:rsid w:val="00626793"/>
    <w:rsid w:val="00626ECA"/>
    <w:rsid w:val="006275AC"/>
    <w:rsid w:val="00627F03"/>
    <w:rsid w:val="006302DE"/>
    <w:rsid w:val="00630475"/>
    <w:rsid w:val="00630D67"/>
    <w:rsid w:val="0063113B"/>
    <w:rsid w:val="00631421"/>
    <w:rsid w:val="0063144A"/>
    <w:rsid w:val="0063178A"/>
    <w:rsid w:val="00631ABD"/>
    <w:rsid w:val="0063244A"/>
    <w:rsid w:val="006325B0"/>
    <w:rsid w:val="006325D5"/>
    <w:rsid w:val="00633146"/>
    <w:rsid w:val="006335AD"/>
    <w:rsid w:val="00633E6D"/>
    <w:rsid w:val="006345C3"/>
    <w:rsid w:val="0063487E"/>
    <w:rsid w:val="006349B8"/>
    <w:rsid w:val="00634B32"/>
    <w:rsid w:val="00634D37"/>
    <w:rsid w:val="00634EC4"/>
    <w:rsid w:val="00635337"/>
    <w:rsid w:val="0063541B"/>
    <w:rsid w:val="00635468"/>
    <w:rsid w:val="006354D1"/>
    <w:rsid w:val="00635EE1"/>
    <w:rsid w:val="00636109"/>
    <w:rsid w:val="00636CAE"/>
    <w:rsid w:val="0063710F"/>
    <w:rsid w:val="00637969"/>
    <w:rsid w:val="00640614"/>
    <w:rsid w:val="00640639"/>
    <w:rsid w:val="00641143"/>
    <w:rsid w:val="00641384"/>
    <w:rsid w:val="006418A0"/>
    <w:rsid w:val="00641B59"/>
    <w:rsid w:val="006424AD"/>
    <w:rsid w:val="00642AD8"/>
    <w:rsid w:val="006430D8"/>
    <w:rsid w:val="00643D3E"/>
    <w:rsid w:val="00644696"/>
    <w:rsid w:val="00644851"/>
    <w:rsid w:val="00644B73"/>
    <w:rsid w:val="00644D20"/>
    <w:rsid w:val="00645202"/>
    <w:rsid w:val="00645830"/>
    <w:rsid w:val="00645991"/>
    <w:rsid w:val="00645AD5"/>
    <w:rsid w:val="00646E2F"/>
    <w:rsid w:val="00646FA9"/>
    <w:rsid w:val="00650633"/>
    <w:rsid w:val="00651C48"/>
    <w:rsid w:val="00651E6B"/>
    <w:rsid w:val="00651F25"/>
    <w:rsid w:val="00652282"/>
    <w:rsid w:val="006527FD"/>
    <w:rsid w:val="006531A4"/>
    <w:rsid w:val="006534F0"/>
    <w:rsid w:val="00653573"/>
    <w:rsid w:val="00653679"/>
    <w:rsid w:val="0065379A"/>
    <w:rsid w:val="00653B72"/>
    <w:rsid w:val="00654227"/>
    <w:rsid w:val="006549B5"/>
    <w:rsid w:val="0065547D"/>
    <w:rsid w:val="0065619A"/>
    <w:rsid w:val="006563D0"/>
    <w:rsid w:val="00656585"/>
    <w:rsid w:val="0065680D"/>
    <w:rsid w:val="00656B5D"/>
    <w:rsid w:val="00656FE1"/>
    <w:rsid w:val="00657105"/>
    <w:rsid w:val="00657394"/>
    <w:rsid w:val="0065792B"/>
    <w:rsid w:val="0066067F"/>
    <w:rsid w:val="00661849"/>
    <w:rsid w:val="006619D9"/>
    <w:rsid w:val="00661B1B"/>
    <w:rsid w:val="0066296A"/>
    <w:rsid w:val="00662B80"/>
    <w:rsid w:val="00662EE1"/>
    <w:rsid w:val="00663BB5"/>
    <w:rsid w:val="00663C47"/>
    <w:rsid w:val="00663D63"/>
    <w:rsid w:val="00663D81"/>
    <w:rsid w:val="00664938"/>
    <w:rsid w:val="006649A1"/>
    <w:rsid w:val="00664D0E"/>
    <w:rsid w:val="00664D4C"/>
    <w:rsid w:val="00665171"/>
    <w:rsid w:val="006651FF"/>
    <w:rsid w:val="0066695E"/>
    <w:rsid w:val="00666A35"/>
    <w:rsid w:val="006678CE"/>
    <w:rsid w:val="00670006"/>
    <w:rsid w:val="0067066B"/>
    <w:rsid w:val="00670FDC"/>
    <w:rsid w:val="00671649"/>
    <w:rsid w:val="0067164C"/>
    <w:rsid w:val="00671C66"/>
    <w:rsid w:val="00671C8F"/>
    <w:rsid w:val="00671EC1"/>
    <w:rsid w:val="00672189"/>
    <w:rsid w:val="00672505"/>
    <w:rsid w:val="0067263F"/>
    <w:rsid w:val="006726E4"/>
    <w:rsid w:val="00672A11"/>
    <w:rsid w:val="006730A8"/>
    <w:rsid w:val="0067324D"/>
    <w:rsid w:val="0067346D"/>
    <w:rsid w:val="00673784"/>
    <w:rsid w:val="00673C7E"/>
    <w:rsid w:val="00674EF7"/>
    <w:rsid w:val="00675224"/>
    <w:rsid w:val="00675AD0"/>
    <w:rsid w:val="00675B65"/>
    <w:rsid w:val="00675B9F"/>
    <w:rsid w:val="00675D2E"/>
    <w:rsid w:val="00675EF3"/>
    <w:rsid w:val="006762B7"/>
    <w:rsid w:val="006763CA"/>
    <w:rsid w:val="00676515"/>
    <w:rsid w:val="00676A81"/>
    <w:rsid w:val="00676ABC"/>
    <w:rsid w:val="00676ED3"/>
    <w:rsid w:val="006770F3"/>
    <w:rsid w:val="00677701"/>
    <w:rsid w:val="00677BDE"/>
    <w:rsid w:val="00677BEC"/>
    <w:rsid w:val="00681409"/>
    <w:rsid w:val="0068168C"/>
    <w:rsid w:val="0068187B"/>
    <w:rsid w:val="006819BA"/>
    <w:rsid w:val="00681C2C"/>
    <w:rsid w:val="00681C76"/>
    <w:rsid w:val="00682279"/>
    <w:rsid w:val="00683293"/>
    <w:rsid w:val="00683506"/>
    <w:rsid w:val="00683647"/>
    <w:rsid w:val="00683AF4"/>
    <w:rsid w:val="00683C12"/>
    <w:rsid w:val="00683EED"/>
    <w:rsid w:val="00684159"/>
    <w:rsid w:val="006843AA"/>
    <w:rsid w:val="00684621"/>
    <w:rsid w:val="00684C1E"/>
    <w:rsid w:val="006850FC"/>
    <w:rsid w:val="00686AF7"/>
    <w:rsid w:val="00686F8F"/>
    <w:rsid w:val="00687B09"/>
    <w:rsid w:val="00687EFB"/>
    <w:rsid w:val="00690029"/>
    <w:rsid w:val="006901F8"/>
    <w:rsid w:val="006904A3"/>
    <w:rsid w:val="00690E5D"/>
    <w:rsid w:val="00691151"/>
    <w:rsid w:val="00691217"/>
    <w:rsid w:val="00691500"/>
    <w:rsid w:val="006915C0"/>
    <w:rsid w:val="006922FF"/>
    <w:rsid w:val="00693235"/>
    <w:rsid w:val="0069341A"/>
    <w:rsid w:val="00693BDA"/>
    <w:rsid w:val="00693E7D"/>
    <w:rsid w:val="00694D40"/>
    <w:rsid w:val="00694D74"/>
    <w:rsid w:val="00695765"/>
    <w:rsid w:val="00695900"/>
    <w:rsid w:val="00696356"/>
    <w:rsid w:val="0069639F"/>
    <w:rsid w:val="006969FD"/>
    <w:rsid w:val="00696A9A"/>
    <w:rsid w:val="006973D3"/>
    <w:rsid w:val="00697960"/>
    <w:rsid w:val="00697A73"/>
    <w:rsid w:val="00697D50"/>
    <w:rsid w:val="006A0885"/>
    <w:rsid w:val="006A0901"/>
    <w:rsid w:val="006A0AE6"/>
    <w:rsid w:val="006A0CBC"/>
    <w:rsid w:val="006A1AB2"/>
    <w:rsid w:val="006A1BC8"/>
    <w:rsid w:val="006A37BD"/>
    <w:rsid w:val="006A3A37"/>
    <w:rsid w:val="006A3BF3"/>
    <w:rsid w:val="006A3ED5"/>
    <w:rsid w:val="006A4087"/>
    <w:rsid w:val="006A445B"/>
    <w:rsid w:val="006A4498"/>
    <w:rsid w:val="006A45C8"/>
    <w:rsid w:val="006A4A08"/>
    <w:rsid w:val="006A544F"/>
    <w:rsid w:val="006A5573"/>
    <w:rsid w:val="006A56AF"/>
    <w:rsid w:val="006A6082"/>
    <w:rsid w:val="006A6220"/>
    <w:rsid w:val="006A62EE"/>
    <w:rsid w:val="006A6EF8"/>
    <w:rsid w:val="006A6F40"/>
    <w:rsid w:val="006A75A9"/>
    <w:rsid w:val="006A76D7"/>
    <w:rsid w:val="006A772D"/>
    <w:rsid w:val="006A7CFD"/>
    <w:rsid w:val="006A7EEB"/>
    <w:rsid w:val="006B0F51"/>
    <w:rsid w:val="006B0F92"/>
    <w:rsid w:val="006B1C74"/>
    <w:rsid w:val="006B25EF"/>
    <w:rsid w:val="006B2794"/>
    <w:rsid w:val="006B29EE"/>
    <w:rsid w:val="006B2AEC"/>
    <w:rsid w:val="006B30B4"/>
    <w:rsid w:val="006B30D9"/>
    <w:rsid w:val="006B337C"/>
    <w:rsid w:val="006B3E75"/>
    <w:rsid w:val="006B3F93"/>
    <w:rsid w:val="006B41F4"/>
    <w:rsid w:val="006B4804"/>
    <w:rsid w:val="006B4910"/>
    <w:rsid w:val="006B49E8"/>
    <w:rsid w:val="006B4A7B"/>
    <w:rsid w:val="006B5121"/>
    <w:rsid w:val="006B51CA"/>
    <w:rsid w:val="006B538E"/>
    <w:rsid w:val="006B5411"/>
    <w:rsid w:val="006B589B"/>
    <w:rsid w:val="006B58D8"/>
    <w:rsid w:val="006B5B8A"/>
    <w:rsid w:val="006B5C29"/>
    <w:rsid w:val="006B60FA"/>
    <w:rsid w:val="006B68F1"/>
    <w:rsid w:val="006B69E8"/>
    <w:rsid w:val="006B6F40"/>
    <w:rsid w:val="006B708D"/>
    <w:rsid w:val="006B711D"/>
    <w:rsid w:val="006B715F"/>
    <w:rsid w:val="006B72DD"/>
    <w:rsid w:val="006B74CC"/>
    <w:rsid w:val="006C0D86"/>
    <w:rsid w:val="006C0EA6"/>
    <w:rsid w:val="006C15DA"/>
    <w:rsid w:val="006C1890"/>
    <w:rsid w:val="006C1BC1"/>
    <w:rsid w:val="006C1BC2"/>
    <w:rsid w:val="006C1DDE"/>
    <w:rsid w:val="006C462D"/>
    <w:rsid w:val="006C4701"/>
    <w:rsid w:val="006C4949"/>
    <w:rsid w:val="006C5322"/>
    <w:rsid w:val="006C5377"/>
    <w:rsid w:val="006C5771"/>
    <w:rsid w:val="006C5872"/>
    <w:rsid w:val="006C5A10"/>
    <w:rsid w:val="006C5BF8"/>
    <w:rsid w:val="006C5F99"/>
    <w:rsid w:val="006C6A57"/>
    <w:rsid w:val="006C703B"/>
    <w:rsid w:val="006C7478"/>
    <w:rsid w:val="006C78BE"/>
    <w:rsid w:val="006C797A"/>
    <w:rsid w:val="006D03F1"/>
    <w:rsid w:val="006D077A"/>
    <w:rsid w:val="006D0961"/>
    <w:rsid w:val="006D0D86"/>
    <w:rsid w:val="006D0D8B"/>
    <w:rsid w:val="006D11C5"/>
    <w:rsid w:val="006D15B9"/>
    <w:rsid w:val="006D17CC"/>
    <w:rsid w:val="006D3003"/>
    <w:rsid w:val="006D31B6"/>
    <w:rsid w:val="006D32DE"/>
    <w:rsid w:val="006D3A74"/>
    <w:rsid w:val="006D3CA9"/>
    <w:rsid w:val="006D42A6"/>
    <w:rsid w:val="006D4421"/>
    <w:rsid w:val="006D449D"/>
    <w:rsid w:val="006D537A"/>
    <w:rsid w:val="006D5435"/>
    <w:rsid w:val="006D5537"/>
    <w:rsid w:val="006D5B58"/>
    <w:rsid w:val="006D5D1B"/>
    <w:rsid w:val="006D5DF9"/>
    <w:rsid w:val="006D5FF8"/>
    <w:rsid w:val="006D6A07"/>
    <w:rsid w:val="006D6E53"/>
    <w:rsid w:val="006D6F67"/>
    <w:rsid w:val="006D6FC9"/>
    <w:rsid w:val="006D7B2E"/>
    <w:rsid w:val="006E01FE"/>
    <w:rsid w:val="006E025C"/>
    <w:rsid w:val="006E05B5"/>
    <w:rsid w:val="006E09D2"/>
    <w:rsid w:val="006E1156"/>
    <w:rsid w:val="006E1AF8"/>
    <w:rsid w:val="006E1F02"/>
    <w:rsid w:val="006E2843"/>
    <w:rsid w:val="006E2BD5"/>
    <w:rsid w:val="006E333D"/>
    <w:rsid w:val="006E33E1"/>
    <w:rsid w:val="006E35F3"/>
    <w:rsid w:val="006E37AC"/>
    <w:rsid w:val="006E402A"/>
    <w:rsid w:val="006E40C4"/>
    <w:rsid w:val="006E4367"/>
    <w:rsid w:val="006E46DE"/>
    <w:rsid w:val="006E48F3"/>
    <w:rsid w:val="006E5580"/>
    <w:rsid w:val="006E5715"/>
    <w:rsid w:val="006E60A9"/>
    <w:rsid w:val="006E63B5"/>
    <w:rsid w:val="006E66FE"/>
    <w:rsid w:val="006E6F93"/>
    <w:rsid w:val="006E7055"/>
    <w:rsid w:val="006E7282"/>
    <w:rsid w:val="006E7619"/>
    <w:rsid w:val="006E7A87"/>
    <w:rsid w:val="006E7D3F"/>
    <w:rsid w:val="006E7DBB"/>
    <w:rsid w:val="006F0081"/>
    <w:rsid w:val="006F077B"/>
    <w:rsid w:val="006F07BF"/>
    <w:rsid w:val="006F140C"/>
    <w:rsid w:val="006F16A7"/>
    <w:rsid w:val="006F16E5"/>
    <w:rsid w:val="006F3547"/>
    <w:rsid w:val="006F3F03"/>
    <w:rsid w:val="006F41F1"/>
    <w:rsid w:val="006F43E0"/>
    <w:rsid w:val="006F456A"/>
    <w:rsid w:val="006F4817"/>
    <w:rsid w:val="006F4A5B"/>
    <w:rsid w:val="006F501E"/>
    <w:rsid w:val="006F508B"/>
    <w:rsid w:val="006F566A"/>
    <w:rsid w:val="006F57FB"/>
    <w:rsid w:val="006F5A64"/>
    <w:rsid w:val="006F5BE2"/>
    <w:rsid w:val="006F61E7"/>
    <w:rsid w:val="006F6DC9"/>
    <w:rsid w:val="006F7202"/>
    <w:rsid w:val="006F73AB"/>
    <w:rsid w:val="006F78DD"/>
    <w:rsid w:val="006F7FE7"/>
    <w:rsid w:val="007000A2"/>
    <w:rsid w:val="00700240"/>
    <w:rsid w:val="007005FD"/>
    <w:rsid w:val="007016D2"/>
    <w:rsid w:val="00701EE8"/>
    <w:rsid w:val="007020CD"/>
    <w:rsid w:val="00702C22"/>
    <w:rsid w:val="00703500"/>
    <w:rsid w:val="00703A67"/>
    <w:rsid w:val="00703C12"/>
    <w:rsid w:val="00704A8C"/>
    <w:rsid w:val="00704D25"/>
    <w:rsid w:val="007055CF"/>
    <w:rsid w:val="00705691"/>
    <w:rsid w:val="007058B6"/>
    <w:rsid w:val="00705E93"/>
    <w:rsid w:val="007061B3"/>
    <w:rsid w:val="007061D9"/>
    <w:rsid w:val="007068B2"/>
    <w:rsid w:val="00706B9D"/>
    <w:rsid w:val="007071A3"/>
    <w:rsid w:val="00707201"/>
    <w:rsid w:val="00707D4C"/>
    <w:rsid w:val="00710610"/>
    <w:rsid w:val="0071072F"/>
    <w:rsid w:val="00711254"/>
    <w:rsid w:val="00711822"/>
    <w:rsid w:val="00711E1B"/>
    <w:rsid w:val="007126A1"/>
    <w:rsid w:val="007127E0"/>
    <w:rsid w:val="00712F69"/>
    <w:rsid w:val="007130BF"/>
    <w:rsid w:val="007142E2"/>
    <w:rsid w:val="00714D20"/>
    <w:rsid w:val="00715E0F"/>
    <w:rsid w:val="007162AE"/>
    <w:rsid w:val="00716597"/>
    <w:rsid w:val="00717207"/>
    <w:rsid w:val="0071724E"/>
    <w:rsid w:val="00717388"/>
    <w:rsid w:val="007176C4"/>
    <w:rsid w:val="007177D4"/>
    <w:rsid w:val="007179CE"/>
    <w:rsid w:val="00717C8C"/>
    <w:rsid w:val="00717ED5"/>
    <w:rsid w:val="007200D5"/>
    <w:rsid w:val="00720426"/>
    <w:rsid w:val="007205DF"/>
    <w:rsid w:val="0072064E"/>
    <w:rsid w:val="00720CAE"/>
    <w:rsid w:val="00720F7E"/>
    <w:rsid w:val="00721059"/>
    <w:rsid w:val="00722065"/>
    <w:rsid w:val="00722667"/>
    <w:rsid w:val="00723926"/>
    <w:rsid w:val="00723C25"/>
    <w:rsid w:val="00723F9A"/>
    <w:rsid w:val="00724488"/>
    <w:rsid w:val="007245A7"/>
    <w:rsid w:val="00724D10"/>
    <w:rsid w:val="0072553D"/>
    <w:rsid w:val="007256BF"/>
    <w:rsid w:val="00725CBE"/>
    <w:rsid w:val="00725E53"/>
    <w:rsid w:val="00725EB5"/>
    <w:rsid w:val="00725F91"/>
    <w:rsid w:val="007260B8"/>
    <w:rsid w:val="00726224"/>
    <w:rsid w:val="0072700B"/>
    <w:rsid w:val="0072718A"/>
    <w:rsid w:val="00727249"/>
    <w:rsid w:val="00727417"/>
    <w:rsid w:val="007276E4"/>
    <w:rsid w:val="00727A94"/>
    <w:rsid w:val="00727B9D"/>
    <w:rsid w:val="00727FA8"/>
    <w:rsid w:val="00730DDC"/>
    <w:rsid w:val="00731A4C"/>
    <w:rsid w:val="00731B64"/>
    <w:rsid w:val="00731B77"/>
    <w:rsid w:val="00731DCD"/>
    <w:rsid w:val="00732398"/>
    <w:rsid w:val="00732864"/>
    <w:rsid w:val="00732C16"/>
    <w:rsid w:val="007332F5"/>
    <w:rsid w:val="007335DE"/>
    <w:rsid w:val="00733CAA"/>
    <w:rsid w:val="00734170"/>
    <w:rsid w:val="00734404"/>
    <w:rsid w:val="00735261"/>
    <w:rsid w:val="00735C11"/>
    <w:rsid w:val="00735E4E"/>
    <w:rsid w:val="007373DA"/>
    <w:rsid w:val="007378BD"/>
    <w:rsid w:val="0073798A"/>
    <w:rsid w:val="00737E1A"/>
    <w:rsid w:val="007404DD"/>
    <w:rsid w:val="0074067D"/>
    <w:rsid w:val="00741EF0"/>
    <w:rsid w:val="007420E7"/>
    <w:rsid w:val="0074243B"/>
    <w:rsid w:val="0074246F"/>
    <w:rsid w:val="0074274A"/>
    <w:rsid w:val="007429F4"/>
    <w:rsid w:val="00742CFE"/>
    <w:rsid w:val="007433E1"/>
    <w:rsid w:val="00743594"/>
    <w:rsid w:val="00744800"/>
    <w:rsid w:val="00744DF2"/>
    <w:rsid w:val="00745CCC"/>
    <w:rsid w:val="00745F32"/>
    <w:rsid w:val="007461D6"/>
    <w:rsid w:val="0074657B"/>
    <w:rsid w:val="00746AF7"/>
    <w:rsid w:val="00746C76"/>
    <w:rsid w:val="00746D5B"/>
    <w:rsid w:val="00747283"/>
    <w:rsid w:val="00747969"/>
    <w:rsid w:val="00747CCE"/>
    <w:rsid w:val="00747E16"/>
    <w:rsid w:val="00747F1F"/>
    <w:rsid w:val="00750E67"/>
    <w:rsid w:val="007513B7"/>
    <w:rsid w:val="007517E9"/>
    <w:rsid w:val="00751B61"/>
    <w:rsid w:val="0075203B"/>
    <w:rsid w:val="007523F7"/>
    <w:rsid w:val="0075271E"/>
    <w:rsid w:val="00752AD4"/>
    <w:rsid w:val="00753468"/>
    <w:rsid w:val="00753478"/>
    <w:rsid w:val="0075450B"/>
    <w:rsid w:val="007547AF"/>
    <w:rsid w:val="00754936"/>
    <w:rsid w:val="00754FCC"/>
    <w:rsid w:val="00755582"/>
    <w:rsid w:val="00755C50"/>
    <w:rsid w:val="00755C63"/>
    <w:rsid w:val="00756943"/>
    <w:rsid w:val="0075712C"/>
    <w:rsid w:val="00757D9F"/>
    <w:rsid w:val="00757E3C"/>
    <w:rsid w:val="00760618"/>
    <w:rsid w:val="0076090F"/>
    <w:rsid w:val="00760B8E"/>
    <w:rsid w:val="0076118D"/>
    <w:rsid w:val="007611B9"/>
    <w:rsid w:val="007623FA"/>
    <w:rsid w:val="007626E1"/>
    <w:rsid w:val="007627C6"/>
    <w:rsid w:val="007632C8"/>
    <w:rsid w:val="00763639"/>
    <w:rsid w:val="00763685"/>
    <w:rsid w:val="00764707"/>
    <w:rsid w:val="0076479C"/>
    <w:rsid w:val="00764B5C"/>
    <w:rsid w:val="00764D9A"/>
    <w:rsid w:val="00765009"/>
    <w:rsid w:val="007651A0"/>
    <w:rsid w:val="00765819"/>
    <w:rsid w:val="0076593F"/>
    <w:rsid w:val="007659C9"/>
    <w:rsid w:val="0076704F"/>
    <w:rsid w:val="0076793D"/>
    <w:rsid w:val="00767D7F"/>
    <w:rsid w:val="00767F26"/>
    <w:rsid w:val="00770829"/>
    <w:rsid w:val="007709E2"/>
    <w:rsid w:val="00770DC3"/>
    <w:rsid w:val="00771325"/>
    <w:rsid w:val="007729E9"/>
    <w:rsid w:val="00773144"/>
    <w:rsid w:val="0077320C"/>
    <w:rsid w:val="0077334F"/>
    <w:rsid w:val="007745CA"/>
    <w:rsid w:val="007746EE"/>
    <w:rsid w:val="00774809"/>
    <w:rsid w:val="00774CF7"/>
    <w:rsid w:val="00774D9A"/>
    <w:rsid w:val="007752AB"/>
    <w:rsid w:val="007752B8"/>
    <w:rsid w:val="007758BB"/>
    <w:rsid w:val="00775A65"/>
    <w:rsid w:val="00775AE0"/>
    <w:rsid w:val="00776177"/>
    <w:rsid w:val="007762F6"/>
    <w:rsid w:val="00776A5A"/>
    <w:rsid w:val="00776AFA"/>
    <w:rsid w:val="007778B6"/>
    <w:rsid w:val="007779FA"/>
    <w:rsid w:val="00777B8E"/>
    <w:rsid w:val="00777C35"/>
    <w:rsid w:val="00777E1C"/>
    <w:rsid w:val="00777FC9"/>
    <w:rsid w:val="00780A5D"/>
    <w:rsid w:val="0078139B"/>
    <w:rsid w:val="007815FF"/>
    <w:rsid w:val="00781BFC"/>
    <w:rsid w:val="00782190"/>
    <w:rsid w:val="0078224F"/>
    <w:rsid w:val="00783404"/>
    <w:rsid w:val="00783445"/>
    <w:rsid w:val="00783472"/>
    <w:rsid w:val="007836FE"/>
    <w:rsid w:val="00783907"/>
    <w:rsid w:val="00783C52"/>
    <w:rsid w:val="00783EBA"/>
    <w:rsid w:val="00784967"/>
    <w:rsid w:val="0078497A"/>
    <w:rsid w:val="0078534B"/>
    <w:rsid w:val="00785386"/>
    <w:rsid w:val="007854F2"/>
    <w:rsid w:val="0078573E"/>
    <w:rsid w:val="007857FB"/>
    <w:rsid w:val="00785A02"/>
    <w:rsid w:val="0078607F"/>
    <w:rsid w:val="00786482"/>
    <w:rsid w:val="007868E8"/>
    <w:rsid w:val="007869DC"/>
    <w:rsid w:val="00786A01"/>
    <w:rsid w:val="00786FBE"/>
    <w:rsid w:val="0078717B"/>
    <w:rsid w:val="0078746A"/>
    <w:rsid w:val="007875EF"/>
    <w:rsid w:val="00787CDB"/>
    <w:rsid w:val="00790143"/>
    <w:rsid w:val="007902AD"/>
    <w:rsid w:val="007917C4"/>
    <w:rsid w:val="00791C19"/>
    <w:rsid w:val="00791C44"/>
    <w:rsid w:val="00791C71"/>
    <w:rsid w:val="00791D0C"/>
    <w:rsid w:val="00792347"/>
    <w:rsid w:val="00792450"/>
    <w:rsid w:val="00792EBF"/>
    <w:rsid w:val="00793438"/>
    <w:rsid w:val="007935B6"/>
    <w:rsid w:val="007938C8"/>
    <w:rsid w:val="007938F7"/>
    <w:rsid w:val="00793C00"/>
    <w:rsid w:val="00793D27"/>
    <w:rsid w:val="00793DE9"/>
    <w:rsid w:val="0079401B"/>
    <w:rsid w:val="007940AC"/>
    <w:rsid w:val="007946E2"/>
    <w:rsid w:val="00794DD8"/>
    <w:rsid w:val="00794FCE"/>
    <w:rsid w:val="00795312"/>
    <w:rsid w:val="00795BA9"/>
    <w:rsid w:val="00795EB1"/>
    <w:rsid w:val="00795F20"/>
    <w:rsid w:val="007964C9"/>
    <w:rsid w:val="0079666F"/>
    <w:rsid w:val="00796858"/>
    <w:rsid w:val="00796EDC"/>
    <w:rsid w:val="00796F07"/>
    <w:rsid w:val="00796F6D"/>
    <w:rsid w:val="00796FFC"/>
    <w:rsid w:val="0079726E"/>
    <w:rsid w:val="00797DA3"/>
    <w:rsid w:val="00797F23"/>
    <w:rsid w:val="007A01A4"/>
    <w:rsid w:val="007A08F2"/>
    <w:rsid w:val="007A0FDD"/>
    <w:rsid w:val="007A22EA"/>
    <w:rsid w:val="007A3080"/>
    <w:rsid w:val="007A308C"/>
    <w:rsid w:val="007A372B"/>
    <w:rsid w:val="007A38C3"/>
    <w:rsid w:val="007A392C"/>
    <w:rsid w:val="007A3B25"/>
    <w:rsid w:val="007A41EE"/>
    <w:rsid w:val="007A44F6"/>
    <w:rsid w:val="007A51EE"/>
    <w:rsid w:val="007A5E17"/>
    <w:rsid w:val="007A6178"/>
    <w:rsid w:val="007A6821"/>
    <w:rsid w:val="007A6D6B"/>
    <w:rsid w:val="007B0BAC"/>
    <w:rsid w:val="007B0CBB"/>
    <w:rsid w:val="007B0D56"/>
    <w:rsid w:val="007B0DD9"/>
    <w:rsid w:val="007B19CD"/>
    <w:rsid w:val="007B1BF3"/>
    <w:rsid w:val="007B1F51"/>
    <w:rsid w:val="007B221A"/>
    <w:rsid w:val="007B2275"/>
    <w:rsid w:val="007B25B9"/>
    <w:rsid w:val="007B2FD5"/>
    <w:rsid w:val="007B3231"/>
    <w:rsid w:val="007B33D1"/>
    <w:rsid w:val="007B343A"/>
    <w:rsid w:val="007B36F5"/>
    <w:rsid w:val="007B470A"/>
    <w:rsid w:val="007B4CA8"/>
    <w:rsid w:val="007B5C1B"/>
    <w:rsid w:val="007B6062"/>
    <w:rsid w:val="007B6607"/>
    <w:rsid w:val="007B669B"/>
    <w:rsid w:val="007B6EBF"/>
    <w:rsid w:val="007B7E7D"/>
    <w:rsid w:val="007C087A"/>
    <w:rsid w:val="007C0C78"/>
    <w:rsid w:val="007C1339"/>
    <w:rsid w:val="007C1445"/>
    <w:rsid w:val="007C185B"/>
    <w:rsid w:val="007C18B9"/>
    <w:rsid w:val="007C209E"/>
    <w:rsid w:val="007C235F"/>
    <w:rsid w:val="007C23B0"/>
    <w:rsid w:val="007C2C6D"/>
    <w:rsid w:val="007C2F7B"/>
    <w:rsid w:val="007C32E1"/>
    <w:rsid w:val="007C44D7"/>
    <w:rsid w:val="007C46C5"/>
    <w:rsid w:val="007C517B"/>
    <w:rsid w:val="007C692C"/>
    <w:rsid w:val="007C6E54"/>
    <w:rsid w:val="007C6F0A"/>
    <w:rsid w:val="007C7224"/>
    <w:rsid w:val="007C7B77"/>
    <w:rsid w:val="007C7D62"/>
    <w:rsid w:val="007D0E7E"/>
    <w:rsid w:val="007D0F02"/>
    <w:rsid w:val="007D14A0"/>
    <w:rsid w:val="007D16C4"/>
    <w:rsid w:val="007D18B6"/>
    <w:rsid w:val="007D1B6B"/>
    <w:rsid w:val="007D1F27"/>
    <w:rsid w:val="007D1F59"/>
    <w:rsid w:val="007D2059"/>
    <w:rsid w:val="007D2098"/>
    <w:rsid w:val="007D20C2"/>
    <w:rsid w:val="007D28A8"/>
    <w:rsid w:val="007D2CF4"/>
    <w:rsid w:val="007D3A9B"/>
    <w:rsid w:val="007D3FA8"/>
    <w:rsid w:val="007D4A77"/>
    <w:rsid w:val="007D4C28"/>
    <w:rsid w:val="007D5FEC"/>
    <w:rsid w:val="007D60A2"/>
    <w:rsid w:val="007D6396"/>
    <w:rsid w:val="007D642C"/>
    <w:rsid w:val="007D6B33"/>
    <w:rsid w:val="007D6D37"/>
    <w:rsid w:val="007D6DE7"/>
    <w:rsid w:val="007D6ECF"/>
    <w:rsid w:val="007D74AB"/>
    <w:rsid w:val="007D77DB"/>
    <w:rsid w:val="007D793C"/>
    <w:rsid w:val="007D7E20"/>
    <w:rsid w:val="007E04B8"/>
    <w:rsid w:val="007E097A"/>
    <w:rsid w:val="007E1D04"/>
    <w:rsid w:val="007E21A9"/>
    <w:rsid w:val="007E2475"/>
    <w:rsid w:val="007E2975"/>
    <w:rsid w:val="007E299F"/>
    <w:rsid w:val="007E2B7A"/>
    <w:rsid w:val="007E3071"/>
    <w:rsid w:val="007E378E"/>
    <w:rsid w:val="007E3905"/>
    <w:rsid w:val="007E43E0"/>
    <w:rsid w:val="007E480A"/>
    <w:rsid w:val="007E52EA"/>
    <w:rsid w:val="007E56E8"/>
    <w:rsid w:val="007E5AB8"/>
    <w:rsid w:val="007E67A2"/>
    <w:rsid w:val="007E742E"/>
    <w:rsid w:val="007F00FE"/>
    <w:rsid w:val="007F051B"/>
    <w:rsid w:val="007F0830"/>
    <w:rsid w:val="007F139C"/>
    <w:rsid w:val="007F1620"/>
    <w:rsid w:val="007F1BEA"/>
    <w:rsid w:val="007F1C6D"/>
    <w:rsid w:val="007F1E2E"/>
    <w:rsid w:val="007F1F4A"/>
    <w:rsid w:val="007F2173"/>
    <w:rsid w:val="007F22CE"/>
    <w:rsid w:val="007F2362"/>
    <w:rsid w:val="007F256B"/>
    <w:rsid w:val="007F2951"/>
    <w:rsid w:val="007F33A7"/>
    <w:rsid w:val="007F3844"/>
    <w:rsid w:val="007F3F06"/>
    <w:rsid w:val="007F4152"/>
    <w:rsid w:val="007F4691"/>
    <w:rsid w:val="007F46DA"/>
    <w:rsid w:val="007F4962"/>
    <w:rsid w:val="007F4B35"/>
    <w:rsid w:val="007F4E66"/>
    <w:rsid w:val="007F5352"/>
    <w:rsid w:val="007F54DD"/>
    <w:rsid w:val="007F5795"/>
    <w:rsid w:val="007F5AE8"/>
    <w:rsid w:val="007F63B2"/>
    <w:rsid w:val="007F6613"/>
    <w:rsid w:val="007F7498"/>
    <w:rsid w:val="007F754C"/>
    <w:rsid w:val="007F7A58"/>
    <w:rsid w:val="008007F3"/>
    <w:rsid w:val="00800B09"/>
    <w:rsid w:val="00800B77"/>
    <w:rsid w:val="00801122"/>
    <w:rsid w:val="008013F7"/>
    <w:rsid w:val="00801F4F"/>
    <w:rsid w:val="00802894"/>
    <w:rsid w:val="00802C5C"/>
    <w:rsid w:val="0080409B"/>
    <w:rsid w:val="008046F5"/>
    <w:rsid w:val="0080516F"/>
    <w:rsid w:val="00805190"/>
    <w:rsid w:val="008052A9"/>
    <w:rsid w:val="008052DE"/>
    <w:rsid w:val="008054B6"/>
    <w:rsid w:val="00805B00"/>
    <w:rsid w:val="00805FAC"/>
    <w:rsid w:val="00806390"/>
    <w:rsid w:val="00806671"/>
    <w:rsid w:val="00806758"/>
    <w:rsid w:val="00806B3D"/>
    <w:rsid w:val="008077F5"/>
    <w:rsid w:val="00807818"/>
    <w:rsid w:val="008101A6"/>
    <w:rsid w:val="00810C69"/>
    <w:rsid w:val="00810D09"/>
    <w:rsid w:val="00810D2C"/>
    <w:rsid w:val="00811F48"/>
    <w:rsid w:val="00812509"/>
    <w:rsid w:val="008126C6"/>
    <w:rsid w:val="00812703"/>
    <w:rsid w:val="0081301F"/>
    <w:rsid w:val="00813A1D"/>
    <w:rsid w:val="00813D28"/>
    <w:rsid w:val="00813FB8"/>
    <w:rsid w:val="00813FDF"/>
    <w:rsid w:val="00814193"/>
    <w:rsid w:val="00814560"/>
    <w:rsid w:val="008150CD"/>
    <w:rsid w:val="0081532A"/>
    <w:rsid w:val="00815847"/>
    <w:rsid w:val="00816281"/>
    <w:rsid w:val="00816336"/>
    <w:rsid w:val="00816883"/>
    <w:rsid w:val="00817738"/>
    <w:rsid w:val="00817A7E"/>
    <w:rsid w:val="00817B2D"/>
    <w:rsid w:val="00817FEB"/>
    <w:rsid w:val="00820B1F"/>
    <w:rsid w:val="00820B36"/>
    <w:rsid w:val="008210F3"/>
    <w:rsid w:val="00821A67"/>
    <w:rsid w:val="00821BF0"/>
    <w:rsid w:val="00821F51"/>
    <w:rsid w:val="00822408"/>
    <w:rsid w:val="008224EE"/>
    <w:rsid w:val="008225FD"/>
    <w:rsid w:val="00822FAD"/>
    <w:rsid w:val="008232F0"/>
    <w:rsid w:val="008233A8"/>
    <w:rsid w:val="00823C75"/>
    <w:rsid w:val="00824053"/>
    <w:rsid w:val="008242C7"/>
    <w:rsid w:val="00824543"/>
    <w:rsid w:val="00824CFC"/>
    <w:rsid w:val="0082569B"/>
    <w:rsid w:val="00826811"/>
    <w:rsid w:val="00826ECF"/>
    <w:rsid w:val="00827605"/>
    <w:rsid w:val="00827922"/>
    <w:rsid w:val="00827CB1"/>
    <w:rsid w:val="00827E44"/>
    <w:rsid w:val="00830372"/>
    <w:rsid w:val="008305AE"/>
    <w:rsid w:val="00830DAA"/>
    <w:rsid w:val="00830E07"/>
    <w:rsid w:val="008310D3"/>
    <w:rsid w:val="00831BBA"/>
    <w:rsid w:val="008320BB"/>
    <w:rsid w:val="00832268"/>
    <w:rsid w:val="00832308"/>
    <w:rsid w:val="00832458"/>
    <w:rsid w:val="008332AB"/>
    <w:rsid w:val="0083365C"/>
    <w:rsid w:val="008340CF"/>
    <w:rsid w:val="008342FE"/>
    <w:rsid w:val="0083438C"/>
    <w:rsid w:val="00834C58"/>
    <w:rsid w:val="0083538E"/>
    <w:rsid w:val="00835DF3"/>
    <w:rsid w:val="00835E9F"/>
    <w:rsid w:val="00835F36"/>
    <w:rsid w:val="008362F1"/>
    <w:rsid w:val="008363F9"/>
    <w:rsid w:val="008365C3"/>
    <w:rsid w:val="008365E9"/>
    <w:rsid w:val="008366D4"/>
    <w:rsid w:val="0083674B"/>
    <w:rsid w:val="0083712E"/>
    <w:rsid w:val="008373D6"/>
    <w:rsid w:val="008374F5"/>
    <w:rsid w:val="008376A8"/>
    <w:rsid w:val="00837DA5"/>
    <w:rsid w:val="00837F3E"/>
    <w:rsid w:val="008407EE"/>
    <w:rsid w:val="0084090B"/>
    <w:rsid w:val="00840AFC"/>
    <w:rsid w:val="00840BD2"/>
    <w:rsid w:val="00840CE7"/>
    <w:rsid w:val="00840E20"/>
    <w:rsid w:val="0084100A"/>
    <w:rsid w:val="008426E6"/>
    <w:rsid w:val="00843E0D"/>
    <w:rsid w:val="008440F2"/>
    <w:rsid w:val="00844125"/>
    <w:rsid w:val="008445CB"/>
    <w:rsid w:val="008448A7"/>
    <w:rsid w:val="008450AA"/>
    <w:rsid w:val="0084510A"/>
    <w:rsid w:val="00846231"/>
    <w:rsid w:val="00846541"/>
    <w:rsid w:val="00846BF9"/>
    <w:rsid w:val="00846EC2"/>
    <w:rsid w:val="00846F2B"/>
    <w:rsid w:val="00847229"/>
    <w:rsid w:val="00847587"/>
    <w:rsid w:val="00847B6D"/>
    <w:rsid w:val="00847ED4"/>
    <w:rsid w:val="00847FEE"/>
    <w:rsid w:val="00850A7F"/>
    <w:rsid w:val="00850D13"/>
    <w:rsid w:val="008515F1"/>
    <w:rsid w:val="008517FC"/>
    <w:rsid w:val="00851E01"/>
    <w:rsid w:val="00852355"/>
    <w:rsid w:val="0085314F"/>
    <w:rsid w:val="008539C8"/>
    <w:rsid w:val="00853BC0"/>
    <w:rsid w:val="00853F1A"/>
    <w:rsid w:val="00854274"/>
    <w:rsid w:val="008542E8"/>
    <w:rsid w:val="00854579"/>
    <w:rsid w:val="0085476B"/>
    <w:rsid w:val="00854DCC"/>
    <w:rsid w:val="00855274"/>
    <w:rsid w:val="008553DC"/>
    <w:rsid w:val="008555BB"/>
    <w:rsid w:val="00856335"/>
    <w:rsid w:val="00856845"/>
    <w:rsid w:val="008569EA"/>
    <w:rsid w:val="00856F52"/>
    <w:rsid w:val="00857230"/>
    <w:rsid w:val="00857238"/>
    <w:rsid w:val="0085782F"/>
    <w:rsid w:val="008578DE"/>
    <w:rsid w:val="0085792D"/>
    <w:rsid w:val="00860805"/>
    <w:rsid w:val="00860A36"/>
    <w:rsid w:val="00861190"/>
    <w:rsid w:val="008619DC"/>
    <w:rsid w:val="00861CA8"/>
    <w:rsid w:val="00861E13"/>
    <w:rsid w:val="00862270"/>
    <w:rsid w:val="008624DE"/>
    <w:rsid w:val="008633B4"/>
    <w:rsid w:val="0086362E"/>
    <w:rsid w:val="00863A64"/>
    <w:rsid w:val="00863F3D"/>
    <w:rsid w:val="00864424"/>
    <w:rsid w:val="0086465D"/>
    <w:rsid w:val="00864900"/>
    <w:rsid w:val="00864F62"/>
    <w:rsid w:val="008656F4"/>
    <w:rsid w:val="008658E4"/>
    <w:rsid w:val="00865DC6"/>
    <w:rsid w:val="00866109"/>
    <w:rsid w:val="00866158"/>
    <w:rsid w:val="008669D0"/>
    <w:rsid w:val="00866ADF"/>
    <w:rsid w:val="00867783"/>
    <w:rsid w:val="00867AE3"/>
    <w:rsid w:val="00867BCC"/>
    <w:rsid w:val="00867C87"/>
    <w:rsid w:val="0087013E"/>
    <w:rsid w:val="008705A0"/>
    <w:rsid w:val="008706E9"/>
    <w:rsid w:val="00870978"/>
    <w:rsid w:val="008709B7"/>
    <w:rsid w:val="00870A9D"/>
    <w:rsid w:val="00870ADF"/>
    <w:rsid w:val="008711F7"/>
    <w:rsid w:val="0087125F"/>
    <w:rsid w:val="0087181B"/>
    <w:rsid w:val="008722AB"/>
    <w:rsid w:val="00872533"/>
    <w:rsid w:val="00872C3C"/>
    <w:rsid w:val="0087311F"/>
    <w:rsid w:val="00873658"/>
    <w:rsid w:val="008737EC"/>
    <w:rsid w:val="00873D7D"/>
    <w:rsid w:val="00873F04"/>
    <w:rsid w:val="00874049"/>
    <w:rsid w:val="00874A7E"/>
    <w:rsid w:val="008753CC"/>
    <w:rsid w:val="0087546F"/>
    <w:rsid w:val="008755F0"/>
    <w:rsid w:val="00876321"/>
    <w:rsid w:val="008764FF"/>
    <w:rsid w:val="00876568"/>
    <w:rsid w:val="00876828"/>
    <w:rsid w:val="00876867"/>
    <w:rsid w:val="00876B33"/>
    <w:rsid w:val="00877240"/>
    <w:rsid w:val="0087728B"/>
    <w:rsid w:val="008776FA"/>
    <w:rsid w:val="00877729"/>
    <w:rsid w:val="00877BCA"/>
    <w:rsid w:val="00877D0F"/>
    <w:rsid w:val="00877F5D"/>
    <w:rsid w:val="00880C8E"/>
    <w:rsid w:val="00880F21"/>
    <w:rsid w:val="00881327"/>
    <w:rsid w:val="00881BE8"/>
    <w:rsid w:val="00881D00"/>
    <w:rsid w:val="008827C3"/>
    <w:rsid w:val="00882DC3"/>
    <w:rsid w:val="008831F1"/>
    <w:rsid w:val="00883AA8"/>
    <w:rsid w:val="00884765"/>
    <w:rsid w:val="00884B67"/>
    <w:rsid w:val="00884E58"/>
    <w:rsid w:val="008850C7"/>
    <w:rsid w:val="008850E3"/>
    <w:rsid w:val="008853B3"/>
    <w:rsid w:val="0088545F"/>
    <w:rsid w:val="0088595E"/>
    <w:rsid w:val="0088685B"/>
    <w:rsid w:val="00886AFD"/>
    <w:rsid w:val="00887030"/>
    <w:rsid w:val="00887541"/>
    <w:rsid w:val="00887E91"/>
    <w:rsid w:val="008902FE"/>
    <w:rsid w:val="008911CF"/>
    <w:rsid w:val="008915A2"/>
    <w:rsid w:val="008918CF"/>
    <w:rsid w:val="0089198B"/>
    <w:rsid w:val="00891DA1"/>
    <w:rsid w:val="00892990"/>
    <w:rsid w:val="00892D36"/>
    <w:rsid w:val="00893F72"/>
    <w:rsid w:val="00894A99"/>
    <w:rsid w:val="0089518A"/>
    <w:rsid w:val="00895353"/>
    <w:rsid w:val="008956C6"/>
    <w:rsid w:val="00895FDE"/>
    <w:rsid w:val="0089627A"/>
    <w:rsid w:val="00896314"/>
    <w:rsid w:val="0089689D"/>
    <w:rsid w:val="00896E75"/>
    <w:rsid w:val="00896FB6"/>
    <w:rsid w:val="00897138"/>
    <w:rsid w:val="00897689"/>
    <w:rsid w:val="008977CB"/>
    <w:rsid w:val="00897896"/>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619D"/>
    <w:rsid w:val="008A646E"/>
    <w:rsid w:val="008A6CAD"/>
    <w:rsid w:val="008A7D12"/>
    <w:rsid w:val="008B050E"/>
    <w:rsid w:val="008B15CA"/>
    <w:rsid w:val="008B221A"/>
    <w:rsid w:val="008B2C3A"/>
    <w:rsid w:val="008B2D70"/>
    <w:rsid w:val="008B3257"/>
    <w:rsid w:val="008B331A"/>
    <w:rsid w:val="008B3482"/>
    <w:rsid w:val="008B3F48"/>
    <w:rsid w:val="008B56FC"/>
    <w:rsid w:val="008B57DE"/>
    <w:rsid w:val="008B5E91"/>
    <w:rsid w:val="008B5FD1"/>
    <w:rsid w:val="008B7434"/>
    <w:rsid w:val="008B7FF4"/>
    <w:rsid w:val="008C0F27"/>
    <w:rsid w:val="008C11A3"/>
    <w:rsid w:val="008C1C02"/>
    <w:rsid w:val="008C1C4F"/>
    <w:rsid w:val="008C1F84"/>
    <w:rsid w:val="008C3929"/>
    <w:rsid w:val="008C3DF3"/>
    <w:rsid w:val="008C4058"/>
    <w:rsid w:val="008C472B"/>
    <w:rsid w:val="008C51D1"/>
    <w:rsid w:val="008C5465"/>
    <w:rsid w:val="008C5543"/>
    <w:rsid w:val="008C55C5"/>
    <w:rsid w:val="008C55ED"/>
    <w:rsid w:val="008C582B"/>
    <w:rsid w:val="008C5BEE"/>
    <w:rsid w:val="008C5C1C"/>
    <w:rsid w:val="008C6324"/>
    <w:rsid w:val="008C75C7"/>
    <w:rsid w:val="008C7779"/>
    <w:rsid w:val="008D002B"/>
    <w:rsid w:val="008D0133"/>
    <w:rsid w:val="008D0670"/>
    <w:rsid w:val="008D09D2"/>
    <w:rsid w:val="008D1130"/>
    <w:rsid w:val="008D1463"/>
    <w:rsid w:val="008D18DD"/>
    <w:rsid w:val="008D1C13"/>
    <w:rsid w:val="008D1D8F"/>
    <w:rsid w:val="008D2454"/>
    <w:rsid w:val="008D24EF"/>
    <w:rsid w:val="008D258B"/>
    <w:rsid w:val="008D25C8"/>
    <w:rsid w:val="008D2AAC"/>
    <w:rsid w:val="008D3014"/>
    <w:rsid w:val="008D354B"/>
    <w:rsid w:val="008D3610"/>
    <w:rsid w:val="008D37FB"/>
    <w:rsid w:val="008D3DA0"/>
    <w:rsid w:val="008D4B99"/>
    <w:rsid w:val="008D5110"/>
    <w:rsid w:val="008D53EE"/>
    <w:rsid w:val="008D5BE6"/>
    <w:rsid w:val="008D6071"/>
    <w:rsid w:val="008D6140"/>
    <w:rsid w:val="008D7564"/>
    <w:rsid w:val="008D75A7"/>
    <w:rsid w:val="008D75C3"/>
    <w:rsid w:val="008D7743"/>
    <w:rsid w:val="008D7B9A"/>
    <w:rsid w:val="008D7E0A"/>
    <w:rsid w:val="008E02F4"/>
    <w:rsid w:val="008E16D5"/>
    <w:rsid w:val="008E213E"/>
    <w:rsid w:val="008E3361"/>
    <w:rsid w:val="008E34FC"/>
    <w:rsid w:val="008E3B5D"/>
    <w:rsid w:val="008E4AFB"/>
    <w:rsid w:val="008E4D0E"/>
    <w:rsid w:val="008E4DC7"/>
    <w:rsid w:val="008E5144"/>
    <w:rsid w:val="008E5874"/>
    <w:rsid w:val="008E5E91"/>
    <w:rsid w:val="008E5EEA"/>
    <w:rsid w:val="008E64D8"/>
    <w:rsid w:val="008E6674"/>
    <w:rsid w:val="008E6BD2"/>
    <w:rsid w:val="008E6C10"/>
    <w:rsid w:val="008E6CDF"/>
    <w:rsid w:val="008E73B6"/>
    <w:rsid w:val="008E7621"/>
    <w:rsid w:val="008E77E8"/>
    <w:rsid w:val="008E7D88"/>
    <w:rsid w:val="008F0167"/>
    <w:rsid w:val="008F05CC"/>
    <w:rsid w:val="008F060B"/>
    <w:rsid w:val="008F067C"/>
    <w:rsid w:val="008F148A"/>
    <w:rsid w:val="008F23C9"/>
    <w:rsid w:val="008F2685"/>
    <w:rsid w:val="008F2739"/>
    <w:rsid w:val="008F2A51"/>
    <w:rsid w:val="008F2F39"/>
    <w:rsid w:val="008F2F83"/>
    <w:rsid w:val="008F30EB"/>
    <w:rsid w:val="008F39A0"/>
    <w:rsid w:val="008F3A5A"/>
    <w:rsid w:val="008F3B77"/>
    <w:rsid w:val="008F3E0E"/>
    <w:rsid w:val="008F4024"/>
    <w:rsid w:val="008F41A3"/>
    <w:rsid w:val="008F534E"/>
    <w:rsid w:val="008F58AD"/>
    <w:rsid w:val="008F63D0"/>
    <w:rsid w:val="008F68DC"/>
    <w:rsid w:val="008F77F8"/>
    <w:rsid w:val="008F77FC"/>
    <w:rsid w:val="009001CE"/>
    <w:rsid w:val="0090038C"/>
    <w:rsid w:val="00900613"/>
    <w:rsid w:val="00900924"/>
    <w:rsid w:val="00900F74"/>
    <w:rsid w:val="009010C7"/>
    <w:rsid w:val="00901647"/>
    <w:rsid w:val="00901895"/>
    <w:rsid w:val="00901C70"/>
    <w:rsid w:val="00901D79"/>
    <w:rsid w:val="00901EC4"/>
    <w:rsid w:val="0090212F"/>
    <w:rsid w:val="00902475"/>
    <w:rsid w:val="00902E38"/>
    <w:rsid w:val="009031BB"/>
    <w:rsid w:val="0090322A"/>
    <w:rsid w:val="009032B7"/>
    <w:rsid w:val="00903363"/>
    <w:rsid w:val="00903AE3"/>
    <w:rsid w:val="00903B06"/>
    <w:rsid w:val="00903CD3"/>
    <w:rsid w:val="00903F7B"/>
    <w:rsid w:val="00904133"/>
    <w:rsid w:val="00905469"/>
    <w:rsid w:val="0090558C"/>
    <w:rsid w:val="009059A7"/>
    <w:rsid w:val="00905F71"/>
    <w:rsid w:val="00905F7F"/>
    <w:rsid w:val="0090606F"/>
    <w:rsid w:val="009061A9"/>
    <w:rsid w:val="0090687E"/>
    <w:rsid w:val="009078D8"/>
    <w:rsid w:val="00907B81"/>
    <w:rsid w:val="00907CE3"/>
    <w:rsid w:val="00907D38"/>
    <w:rsid w:val="009110F0"/>
    <w:rsid w:val="00911C9D"/>
    <w:rsid w:val="00912702"/>
    <w:rsid w:val="00913925"/>
    <w:rsid w:val="00913A8B"/>
    <w:rsid w:val="00913B89"/>
    <w:rsid w:val="009149CB"/>
    <w:rsid w:val="00914A68"/>
    <w:rsid w:val="00914F12"/>
    <w:rsid w:val="00914FDA"/>
    <w:rsid w:val="009151F4"/>
    <w:rsid w:val="009155D8"/>
    <w:rsid w:val="00915AF8"/>
    <w:rsid w:val="00916021"/>
    <w:rsid w:val="009164D0"/>
    <w:rsid w:val="00917539"/>
    <w:rsid w:val="00917747"/>
    <w:rsid w:val="009178B6"/>
    <w:rsid w:val="00917A24"/>
    <w:rsid w:val="00917BF0"/>
    <w:rsid w:val="00917CBB"/>
    <w:rsid w:val="00920621"/>
    <w:rsid w:val="009209F4"/>
    <w:rsid w:val="00920F74"/>
    <w:rsid w:val="00921A36"/>
    <w:rsid w:val="00921BED"/>
    <w:rsid w:val="00921C83"/>
    <w:rsid w:val="00922315"/>
    <w:rsid w:val="00922465"/>
    <w:rsid w:val="00922737"/>
    <w:rsid w:val="00922C70"/>
    <w:rsid w:val="00922CF7"/>
    <w:rsid w:val="00922D92"/>
    <w:rsid w:val="009230B3"/>
    <w:rsid w:val="00923342"/>
    <w:rsid w:val="00923354"/>
    <w:rsid w:val="00923358"/>
    <w:rsid w:val="00923548"/>
    <w:rsid w:val="00923BB0"/>
    <w:rsid w:val="00924696"/>
    <w:rsid w:val="0092478F"/>
    <w:rsid w:val="00924F96"/>
    <w:rsid w:val="009250E8"/>
    <w:rsid w:val="00925798"/>
    <w:rsid w:val="00925BAB"/>
    <w:rsid w:val="009262B8"/>
    <w:rsid w:val="009266C5"/>
    <w:rsid w:val="0092717C"/>
    <w:rsid w:val="00927659"/>
    <w:rsid w:val="009276CC"/>
    <w:rsid w:val="009279F7"/>
    <w:rsid w:val="00927BFC"/>
    <w:rsid w:val="00930154"/>
    <w:rsid w:val="0093045A"/>
    <w:rsid w:val="0093060A"/>
    <w:rsid w:val="00930896"/>
    <w:rsid w:val="009309CE"/>
    <w:rsid w:val="00931257"/>
    <w:rsid w:val="009314B8"/>
    <w:rsid w:val="00931E79"/>
    <w:rsid w:val="0093206F"/>
    <w:rsid w:val="0093213B"/>
    <w:rsid w:val="00932306"/>
    <w:rsid w:val="00932468"/>
    <w:rsid w:val="009324BB"/>
    <w:rsid w:val="00932AED"/>
    <w:rsid w:val="00932DBC"/>
    <w:rsid w:val="00932EAD"/>
    <w:rsid w:val="00932F8E"/>
    <w:rsid w:val="00933CC9"/>
    <w:rsid w:val="00934098"/>
    <w:rsid w:val="0093416B"/>
    <w:rsid w:val="009351C0"/>
    <w:rsid w:val="00935393"/>
    <w:rsid w:val="00935557"/>
    <w:rsid w:val="00935FDA"/>
    <w:rsid w:val="00936287"/>
    <w:rsid w:val="00936DB4"/>
    <w:rsid w:val="00936FEE"/>
    <w:rsid w:val="009373C6"/>
    <w:rsid w:val="00937734"/>
    <w:rsid w:val="00940181"/>
    <w:rsid w:val="00940273"/>
    <w:rsid w:val="009409C6"/>
    <w:rsid w:val="00940A12"/>
    <w:rsid w:val="00940DA9"/>
    <w:rsid w:val="00941068"/>
    <w:rsid w:val="00941228"/>
    <w:rsid w:val="009413FD"/>
    <w:rsid w:val="009416CF"/>
    <w:rsid w:val="00941812"/>
    <w:rsid w:val="00941D27"/>
    <w:rsid w:val="00941DCB"/>
    <w:rsid w:val="00941E60"/>
    <w:rsid w:val="009427D4"/>
    <w:rsid w:val="00942A2A"/>
    <w:rsid w:val="00942F91"/>
    <w:rsid w:val="0094319F"/>
    <w:rsid w:val="0094352A"/>
    <w:rsid w:val="0094397D"/>
    <w:rsid w:val="009439A9"/>
    <w:rsid w:val="00943AB3"/>
    <w:rsid w:val="00943E70"/>
    <w:rsid w:val="00944263"/>
    <w:rsid w:val="009442ED"/>
    <w:rsid w:val="009448E7"/>
    <w:rsid w:val="0094538B"/>
    <w:rsid w:val="0094543C"/>
    <w:rsid w:val="00945D08"/>
    <w:rsid w:val="009460A1"/>
    <w:rsid w:val="00946A5C"/>
    <w:rsid w:val="00946B95"/>
    <w:rsid w:val="00946E98"/>
    <w:rsid w:val="00947359"/>
    <w:rsid w:val="0094799D"/>
    <w:rsid w:val="00950F70"/>
    <w:rsid w:val="00950FB9"/>
    <w:rsid w:val="00950FF1"/>
    <w:rsid w:val="00951959"/>
    <w:rsid w:val="009519F9"/>
    <w:rsid w:val="009520DC"/>
    <w:rsid w:val="00952631"/>
    <w:rsid w:val="00952A9C"/>
    <w:rsid w:val="00953059"/>
    <w:rsid w:val="00953896"/>
    <w:rsid w:val="00953899"/>
    <w:rsid w:val="0095446B"/>
    <w:rsid w:val="009548F9"/>
    <w:rsid w:val="00954CB9"/>
    <w:rsid w:val="009550C4"/>
    <w:rsid w:val="00955530"/>
    <w:rsid w:val="00955B27"/>
    <w:rsid w:val="00955D27"/>
    <w:rsid w:val="00955EE7"/>
    <w:rsid w:val="009562F8"/>
    <w:rsid w:val="0095653B"/>
    <w:rsid w:val="0095659E"/>
    <w:rsid w:val="00956A63"/>
    <w:rsid w:val="00956E10"/>
    <w:rsid w:val="0095765B"/>
    <w:rsid w:val="00960448"/>
    <w:rsid w:val="00960BB1"/>
    <w:rsid w:val="00960FA5"/>
    <w:rsid w:val="0096133D"/>
    <w:rsid w:val="00961D4C"/>
    <w:rsid w:val="00962067"/>
    <w:rsid w:val="0096318A"/>
    <w:rsid w:val="0096382A"/>
    <w:rsid w:val="00963985"/>
    <w:rsid w:val="00963D9C"/>
    <w:rsid w:val="00964394"/>
    <w:rsid w:val="00964578"/>
    <w:rsid w:val="00964A87"/>
    <w:rsid w:val="00964DA2"/>
    <w:rsid w:val="009650F4"/>
    <w:rsid w:val="009652B9"/>
    <w:rsid w:val="00965AF5"/>
    <w:rsid w:val="00966249"/>
    <w:rsid w:val="00966AEE"/>
    <w:rsid w:val="00967142"/>
    <w:rsid w:val="00967143"/>
    <w:rsid w:val="00967757"/>
    <w:rsid w:val="00967D94"/>
    <w:rsid w:val="00967F20"/>
    <w:rsid w:val="009702EB"/>
    <w:rsid w:val="009708CF"/>
    <w:rsid w:val="009709B0"/>
    <w:rsid w:val="00970FC4"/>
    <w:rsid w:val="00971686"/>
    <w:rsid w:val="00971D4A"/>
    <w:rsid w:val="00972371"/>
    <w:rsid w:val="009728E6"/>
    <w:rsid w:val="009733D1"/>
    <w:rsid w:val="0097367A"/>
    <w:rsid w:val="009739C5"/>
    <w:rsid w:val="00973A47"/>
    <w:rsid w:val="00973C53"/>
    <w:rsid w:val="00973D8E"/>
    <w:rsid w:val="00973DB8"/>
    <w:rsid w:val="00973F8B"/>
    <w:rsid w:val="00974426"/>
    <w:rsid w:val="009747CB"/>
    <w:rsid w:val="00974F47"/>
    <w:rsid w:val="009757D1"/>
    <w:rsid w:val="009766B3"/>
    <w:rsid w:val="009769DB"/>
    <w:rsid w:val="00976B7D"/>
    <w:rsid w:val="009770DE"/>
    <w:rsid w:val="0097714C"/>
    <w:rsid w:val="00977961"/>
    <w:rsid w:val="00977AFA"/>
    <w:rsid w:val="00977BA2"/>
    <w:rsid w:val="009803F6"/>
    <w:rsid w:val="00980599"/>
    <w:rsid w:val="0098095E"/>
    <w:rsid w:val="00980AD3"/>
    <w:rsid w:val="00980BEF"/>
    <w:rsid w:val="009813A7"/>
    <w:rsid w:val="00981763"/>
    <w:rsid w:val="009819F6"/>
    <w:rsid w:val="009819FF"/>
    <w:rsid w:val="00981C8B"/>
    <w:rsid w:val="00981D98"/>
    <w:rsid w:val="00982259"/>
    <w:rsid w:val="00982C43"/>
    <w:rsid w:val="0098330B"/>
    <w:rsid w:val="00983472"/>
    <w:rsid w:val="00983C7D"/>
    <w:rsid w:val="009840BE"/>
    <w:rsid w:val="0098468D"/>
    <w:rsid w:val="009851DF"/>
    <w:rsid w:val="0098531B"/>
    <w:rsid w:val="00985627"/>
    <w:rsid w:val="00985808"/>
    <w:rsid w:val="00985F03"/>
    <w:rsid w:val="009861C0"/>
    <w:rsid w:val="0098628B"/>
    <w:rsid w:val="00986910"/>
    <w:rsid w:val="00986A53"/>
    <w:rsid w:val="00986D7E"/>
    <w:rsid w:val="00986DA1"/>
    <w:rsid w:val="009902AF"/>
    <w:rsid w:val="00990728"/>
    <w:rsid w:val="00990C43"/>
    <w:rsid w:val="00991662"/>
    <w:rsid w:val="00991B86"/>
    <w:rsid w:val="00991C45"/>
    <w:rsid w:val="00991DC1"/>
    <w:rsid w:val="00991E0A"/>
    <w:rsid w:val="009924A0"/>
    <w:rsid w:val="00992B8F"/>
    <w:rsid w:val="00992CE6"/>
    <w:rsid w:val="009932D1"/>
    <w:rsid w:val="00993364"/>
    <w:rsid w:val="009934D7"/>
    <w:rsid w:val="00993726"/>
    <w:rsid w:val="0099389D"/>
    <w:rsid w:val="00993DB1"/>
    <w:rsid w:val="00994B2A"/>
    <w:rsid w:val="00994EE6"/>
    <w:rsid w:val="00997188"/>
    <w:rsid w:val="0099779D"/>
    <w:rsid w:val="009A0525"/>
    <w:rsid w:val="009A08BD"/>
    <w:rsid w:val="009A0E32"/>
    <w:rsid w:val="009A102C"/>
    <w:rsid w:val="009A1CA1"/>
    <w:rsid w:val="009A1D9C"/>
    <w:rsid w:val="009A1DD6"/>
    <w:rsid w:val="009A1E07"/>
    <w:rsid w:val="009A231C"/>
    <w:rsid w:val="009A2850"/>
    <w:rsid w:val="009A2E66"/>
    <w:rsid w:val="009A2FFB"/>
    <w:rsid w:val="009A3430"/>
    <w:rsid w:val="009A3A50"/>
    <w:rsid w:val="009A3AC1"/>
    <w:rsid w:val="009A4112"/>
    <w:rsid w:val="009A4521"/>
    <w:rsid w:val="009A470A"/>
    <w:rsid w:val="009A481C"/>
    <w:rsid w:val="009A4D6E"/>
    <w:rsid w:val="009A4F7B"/>
    <w:rsid w:val="009A5732"/>
    <w:rsid w:val="009A5B8C"/>
    <w:rsid w:val="009A62F9"/>
    <w:rsid w:val="009A6D89"/>
    <w:rsid w:val="009A71A9"/>
    <w:rsid w:val="009A7490"/>
    <w:rsid w:val="009A79F6"/>
    <w:rsid w:val="009A7CBD"/>
    <w:rsid w:val="009A7CD3"/>
    <w:rsid w:val="009B0B0F"/>
    <w:rsid w:val="009B0D56"/>
    <w:rsid w:val="009B104C"/>
    <w:rsid w:val="009B161D"/>
    <w:rsid w:val="009B19C8"/>
    <w:rsid w:val="009B223D"/>
    <w:rsid w:val="009B291F"/>
    <w:rsid w:val="009B3122"/>
    <w:rsid w:val="009B36A8"/>
    <w:rsid w:val="009B3D87"/>
    <w:rsid w:val="009B4419"/>
    <w:rsid w:val="009B4A98"/>
    <w:rsid w:val="009B52FC"/>
    <w:rsid w:val="009B55B3"/>
    <w:rsid w:val="009B59C6"/>
    <w:rsid w:val="009B61A4"/>
    <w:rsid w:val="009B64F7"/>
    <w:rsid w:val="009B6D8A"/>
    <w:rsid w:val="009B7485"/>
    <w:rsid w:val="009B7916"/>
    <w:rsid w:val="009B7D41"/>
    <w:rsid w:val="009B7E1A"/>
    <w:rsid w:val="009B7F91"/>
    <w:rsid w:val="009C02A4"/>
    <w:rsid w:val="009C0460"/>
    <w:rsid w:val="009C074B"/>
    <w:rsid w:val="009C108B"/>
    <w:rsid w:val="009C1D61"/>
    <w:rsid w:val="009C1FB3"/>
    <w:rsid w:val="009C1FDE"/>
    <w:rsid w:val="009C2675"/>
    <w:rsid w:val="009C2E57"/>
    <w:rsid w:val="009C35D4"/>
    <w:rsid w:val="009C364B"/>
    <w:rsid w:val="009C3E4B"/>
    <w:rsid w:val="009C4036"/>
    <w:rsid w:val="009C438C"/>
    <w:rsid w:val="009C4AD5"/>
    <w:rsid w:val="009C4B05"/>
    <w:rsid w:val="009C4DD0"/>
    <w:rsid w:val="009C5376"/>
    <w:rsid w:val="009C56C3"/>
    <w:rsid w:val="009C5AA4"/>
    <w:rsid w:val="009C615D"/>
    <w:rsid w:val="009C6867"/>
    <w:rsid w:val="009C6B74"/>
    <w:rsid w:val="009C6D60"/>
    <w:rsid w:val="009C6DB7"/>
    <w:rsid w:val="009C6F6B"/>
    <w:rsid w:val="009C72EB"/>
    <w:rsid w:val="009C7B38"/>
    <w:rsid w:val="009C7CB7"/>
    <w:rsid w:val="009D0154"/>
    <w:rsid w:val="009D0665"/>
    <w:rsid w:val="009D0850"/>
    <w:rsid w:val="009D0AC7"/>
    <w:rsid w:val="009D0C08"/>
    <w:rsid w:val="009D0EA0"/>
    <w:rsid w:val="009D138B"/>
    <w:rsid w:val="009D14D3"/>
    <w:rsid w:val="009D15F4"/>
    <w:rsid w:val="009D166E"/>
    <w:rsid w:val="009D1A63"/>
    <w:rsid w:val="009D1D4D"/>
    <w:rsid w:val="009D22FC"/>
    <w:rsid w:val="009D29B0"/>
    <w:rsid w:val="009D2B35"/>
    <w:rsid w:val="009D2CCD"/>
    <w:rsid w:val="009D2D5E"/>
    <w:rsid w:val="009D2EB2"/>
    <w:rsid w:val="009D3057"/>
    <w:rsid w:val="009D321C"/>
    <w:rsid w:val="009D3278"/>
    <w:rsid w:val="009D367D"/>
    <w:rsid w:val="009D3EAB"/>
    <w:rsid w:val="009D41A9"/>
    <w:rsid w:val="009D516B"/>
    <w:rsid w:val="009D53C0"/>
    <w:rsid w:val="009D553D"/>
    <w:rsid w:val="009D5646"/>
    <w:rsid w:val="009D5C40"/>
    <w:rsid w:val="009D6077"/>
    <w:rsid w:val="009D627F"/>
    <w:rsid w:val="009D6328"/>
    <w:rsid w:val="009D695E"/>
    <w:rsid w:val="009D7EA9"/>
    <w:rsid w:val="009E022A"/>
    <w:rsid w:val="009E0269"/>
    <w:rsid w:val="009E06AA"/>
    <w:rsid w:val="009E083F"/>
    <w:rsid w:val="009E0EE8"/>
    <w:rsid w:val="009E141D"/>
    <w:rsid w:val="009E1C82"/>
    <w:rsid w:val="009E1CF4"/>
    <w:rsid w:val="009E1D0B"/>
    <w:rsid w:val="009E1D80"/>
    <w:rsid w:val="009E1EBD"/>
    <w:rsid w:val="009E1F94"/>
    <w:rsid w:val="009E3693"/>
    <w:rsid w:val="009E389D"/>
    <w:rsid w:val="009E40FA"/>
    <w:rsid w:val="009E413F"/>
    <w:rsid w:val="009E4455"/>
    <w:rsid w:val="009E48A2"/>
    <w:rsid w:val="009E4FED"/>
    <w:rsid w:val="009E50F8"/>
    <w:rsid w:val="009E654C"/>
    <w:rsid w:val="009E6721"/>
    <w:rsid w:val="009E6BE9"/>
    <w:rsid w:val="009E6D3E"/>
    <w:rsid w:val="009E6F8C"/>
    <w:rsid w:val="009E71AF"/>
    <w:rsid w:val="009E7255"/>
    <w:rsid w:val="009E7418"/>
    <w:rsid w:val="009E74DC"/>
    <w:rsid w:val="009E75C1"/>
    <w:rsid w:val="009E7608"/>
    <w:rsid w:val="009E779E"/>
    <w:rsid w:val="009E7BA9"/>
    <w:rsid w:val="009F1050"/>
    <w:rsid w:val="009F1422"/>
    <w:rsid w:val="009F1B9A"/>
    <w:rsid w:val="009F2007"/>
    <w:rsid w:val="009F2010"/>
    <w:rsid w:val="009F2FEF"/>
    <w:rsid w:val="009F31BA"/>
    <w:rsid w:val="009F35A5"/>
    <w:rsid w:val="009F371A"/>
    <w:rsid w:val="009F381E"/>
    <w:rsid w:val="009F3E0F"/>
    <w:rsid w:val="009F4151"/>
    <w:rsid w:val="009F465B"/>
    <w:rsid w:val="009F49E2"/>
    <w:rsid w:val="009F4C88"/>
    <w:rsid w:val="009F50D6"/>
    <w:rsid w:val="009F5526"/>
    <w:rsid w:val="009F55CB"/>
    <w:rsid w:val="009F5933"/>
    <w:rsid w:val="009F5A5D"/>
    <w:rsid w:val="009F633E"/>
    <w:rsid w:val="009F750F"/>
    <w:rsid w:val="009F76BC"/>
    <w:rsid w:val="009F7D5F"/>
    <w:rsid w:val="00A00592"/>
    <w:rsid w:val="00A00720"/>
    <w:rsid w:val="00A0108B"/>
    <w:rsid w:val="00A01702"/>
    <w:rsid w:val="00A01C83"/>
    <w:rsid w:val="00A02075"/>
    <w:rsid w:val="00A02140"/>
    <w:rsid w:val="00A0233D"/>
    <w:rsid w:val="00A02562"/>
    <w:rsid w:val="00A02BFE"/>
    <w:rsid w:val="00A0312D"/>
    <w:rsid w:val="00A0339C"/>
    <w:rsid w:val="00A03A45"/>
    <w:rsid w:val="00A03C35"/>
    <w:rsid w:val="00A040E5"/>
    <w:rsid w:val="00A04A19"/>
    <w:rsid w:val="00A04B3F"/>
    <w:rsid w:val="00A05056"/>
    <w:rsid w:val="00A054C3"/>
    <w:rsid w:val="00A05A24"/>
    <w:rsid w:val="00A05A2C"/>
    <w:rsid w:val="00A05D1E"/>
    <w:rsid w:val="00A05F18"/>
    <w:rsid w:val="00A06022"/>
    <w:rsid w:val="00A06268"/>
    <w:rsid w:val="00A0636E"/>
    <w:rsid w:val="00A06EB8"/>
    <w:rsid w:val="00A071B9"/>
    <w:rsid w:val="00A075C3"/>
    <w:rsid w:val="00A07883"/>
    <w:rsid w:val="00A079D5"/>
    <w:rsid w:val="00A07B72"/>
    <w:rsid w:val="00A07D72"/>
    <w:rsid w:val="00A07D86"/>
    <w:rsid w:val="00A111B9"/>
    <w:rsid w:val="00A1176A"/>
    <w:rsid w:val="00A119F8"/>
    <w:rsid w:val="00A128D8"/>
    <w:rsid w:val="00A134DA"/>
    <w:rsid w:val="00A1353B"/>
    <w:rsid w:val="00A13989"/>
    <w:rsid w:val="00A13B23"/>
    <w:rsid w:val="00A13D69"/>
    <w:rsid w:val="00A13ED9"/>
    <w:rsid w:val="00A142A4"/>
    <w:rsid w:val="00A144E0"/>
    <w:rsid w:val="00A14F98"/>
    <w:rsid w:val="00A16176"/>
    <w:rsid w:val="00A16942"/>
    <w:rsid w:val="00A16FF6"/>
    <w:rsid w:val="00A1700B"/>
    <w:rsid w:val="00A170CF"/>
    <w:rsid w:val="00A1744E"/>
    <w:rsid w:val="00A17C61"/>
    <w:rsid w:val="00A17EB4"/>
    <w:rsid w:val="00A205DE"/>
    <w:rsid w:val="00A20907"/>
    <w:rsid w:val="00A20E17"/>
    <w:rsid w:val="00A211BE"/>
    <w:rsid w:val="00A2176F"/>
    <w:rsid w:val="00A21F4C"/>
    <w:rsid w:val="00A22449"/>
    <w:rsid w:val="00A2248C"/>
    <w:rsid w:val="00A22B17"/>
    <w:rsid w:val="00A22C49"/>
    <w:rsid w:val="00A22E23"/>
    <w:rsid w:val="00A2316B"/>
    <w:rsid w:val="00A2393D"/>
    <w:rsid w:val="00A240B9"/>
    <w:rsid w:val="00A25036"/>
    <w:rsid w:val="00A25301"/>
    <w:rsid w:val="00A258A7"/>
    <w:rsid w:val="00A26634"/>
    <w:rsid w:val="00A2667F"/>
    <w:rsid w:val="00A266A1"/>
    <w:rsid w:val="00A268AC"/>
    <w:rsid w:val="00A26BCB"/>
    <w:rsid w:val="00A26CAD"/>
    <w:rsid w:val="00A26EB5"/>
    <w:rsid w:val="00A274E6"/>
    <w:rsid w:val="00A27658"/>
    <w:rsid w:val="00A27C23"/>
    <w:rsid w:val="00A27C7E"/>
    <w:rsid w:val="00A27E6F"/>
    <w:rsid w:val="00A3130C"/>
    <w:rsid w:val="00A31722"/>
    <w:rsid w:val="00A317ED"/>
    <w:rsid w:val="00A31949"/>
    <w:rsid w:val="00A31D46"/>
    <w:rsid w:val="00A3259A"/>
    <w:rsid w:val="00A32C84"/>
    <w:rsid w:val="00A32D37"/>
    <w:rsid w:val="00A32E91"/>
    <w:rsid w:val="00A32F2D"/>
    <w:rsid w:val="00A338C3"/>
    <w:rsid w:val="00A33CDC"/>
    <w:rsid w:val="00A340DC"/>
    <w:rsid w:val="00A34383"/>
    <w:rsid w:val="00A34428"/>
    <w:rsid w:val="00A34D5F"/>
    <w:rsid w:val="00A34DAC"/>
    <w:rsid w:val="00A3550F"/>
    <w:rsid w:val="00A3559C"/>
    <w:rsid w:val="00A359D5"/>
    <w:rsid w:val="00A35BFD"/>
    <w:rsid w:val="00A36178"/>
    <w:rsid w:val="00A364C9"/>
    <w:rsid w:val="00A36970"/>
    <w:rsid w:val="00A369DF"/>
    <w:rsid w:val="00A37644"/>
    <w:rsid w:val="00A37685"/>
    <w:rsid w:val="00A376DA"/>
    <w:rsid w:val="00A377F8"/>
    <w:rsid w:val="00A37935"/>
    <w:rsid w:val="00A40111"/>
    <w:rsid w:val="00A40D88"/>
    <w:rsid w:val="00A415DE"/>
    <w:rsid w:val="00A4184D"/>
    <w:rsid w:val="00A41A41"/>
    <w:rsid w:val="00A41ECD"/>
    <w:rsid w:val="00A423A1"/>
    <w:rsid w:val="00A42D4B"/>
    <w:rsid w:val="00A43507"/>
    <w:rsid w:val="00A44424"/>
    <w:rsid w:val="00A444B5"/>
    <w:rsid w:val="00A45565"/>
    <w:rsid w:val="00A456F6"/>
    <w:rsid w:val="00A4584F"/>
    <w:rsid w:val="00A458B4"/>
    <w:rsid w:val="00A458BB"/>
    <w:rsid w:val="00A45A3F"/>
    <w:rsid w:val="00A45B36"/>
    <w:rsid w:val="00A45BA0"/>
    <w:rsid w:val="00A45E34"/>
    <w:rsid w:val="00A463E6"/>
    <w:rsid w:val="00A463F7"/>
    <w:rsid w:val="00A467D9"/>
    <w:rsid w:val="00A469A4"/>
    <w:rsid w:val="00A4715F"/>
    <w:rsid w:val="00A472F9"/>
    <w:rsid w:val="00A4755D"/>
    <w:rsid w:val="00A47648"/>
    <w:rsid w:val="00A47AEA"/>
    <w:rsid w:val="00A47CE5"/>
    <w:rsid w:val="00A5002D"/>
    <w:rsid w:val="00A500E2"/>
    <w:rsid w:val="00A50553"/>
    <w:rsid w:val="00A50DC3"/>
    <w:rsid w:val="00A51540"/>
    <w:rsid w:val="00A51DCD"/>
    <w:rsid w:val="00A52463"/>
    <w:rsid w:val="00A528DE"/>
    <w:rsid w:val="00A529B3"/>
    <w:rsid w:val="00A53114"/>
    <w:rsid w:val="00A534D5"/>
    <w:rsid w:val="00A534F2"/>
    <w:rsid w:val="00A5394E"/>
    <w:rsid w:val="00A542FD"/>
    <w:rsid w:val="00A544A3"/>
    <w:rsid w:val="00A547EC"/>
    <w:rsid w:val="00A54C94"/>
    <w:rsid w:val="00A54EA4"/>
    <w:rsid w:val="00A54F2A"/>
    <w:rsid w:val="00A553E3"/>
    <w:rsid w:val="00A56508"/>
    <w:rsid w:val="00A57699"/>
    <w:rsid w:val="00A5782F"/>
    <w:rsid w:val="00A57909"/>
    <w:rsid w:val="00A60541"/>
    <w:rsid w:val="00A60AAE"/>
    <w:rsid w:val="00A60CE9"/>
    <w:rsid w:val="00A611A5"/>
    <w:rsid w:val="00A615E2"/>
    <w:rsid w:val="00A61B76"/>
    <w:rsid w:val="00A61BA8"/>
    <w:rsid w:val="00A622AC"/>
    <w:rsid w:val="00A62C39"/>
    <w:rsid w:val="00A63392"/>
    <w:rsid w:val="00A63C58"/>
    <w:rsid w:val="00A64A69"/>
    <w:rsid w:val="00A64E69"/>
    <w:rsid w:val="00A6548B"/>
    <w:rsid w:val="00A65670"/>
    <w:rsid w:val="00A65E48"/>
    <w:rsid w:val="00A65F6B"/>
    <w:rsid w:val="00A66009"/>
    <w:rsid w:val="00A665AF"/>
    <w:rsid w:val="00A668E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3110"/>
    <w:rsid w:val="00A73304"/>
    <w:rsid w:val="00A74385"/>
    <w:rsid w:val="00A7451F"/>
    <w:rsid w:val="00A74746"/>
    <w:rsid w:val="00A749E6"/>
    <w:rsid w:val="00A74A96"/>
    <w:rsid w:val="00A75B6D"/>
    <w:rsid w:val="00A75DC4"/>
    <w:rsid w:val="00A7655F"/>
    <w:rsid w:val="00A76944"/>
    <w:rsid w:val="00A76C10"/>
    <w:rsid w:val="00A76D40"/>
    <w:rsid w:val="00A77656"/>
    <w:rsid w:val="00A77DA3"/>
    <w:rsid w:val="00A77F3E"/>
    <w:rsid w:val="00A801A7"/>
    <w:rsid w:val="00A803DD"/>
    <w:rsid w:val="00A80A92"/>
    <w:rsid w:val="00A818A7"/>
    <w:rsid w:val="00A8191D"/>
    <w:rsid w:val="00A8193E"/>
    <w:rsid w:val="00A81988"/>
    <w:rsid w:val="00A81AE2"/>
    <w:rsid w:val="00A81FB2"/>
    <w:rsid w:val="00A8235E"/>
    <w:rsid w:val="00A829B7"/>
    <w:rsid w:val="00A82FA5"/>
    <w:rsid w:val="00A83BEE"/>
    <w:rsid w:val="00A83C88"/>
    <w:rsid w:val="00A83F44"/>
    <w:rsid w:val="00A84089"/>
    <w:rsid w:val="00A8481D"/>
    <w:rsid w:val="00A84C93"/>
    <w:rsid w:val="00A8505E"/>
    <w:rsid w:val="00A85215"/>
    <w:rsid w:val="00A852B4"/>
    <w:rsid w:val="00A85401"/>
    <w:rsid w:val="00A8543D"/>
    <w:rsid w:val="00A863F9"/>
    <w:rsid w:val="00A8646C"/>
    <w:rsid w:val="00A8693B"/>
    <w:rsid w:val="00A86F1D"/>
    <w:rsid w:val="00A87019"/>
    <w:rsid w:val="00A871A5"/>
    <w:rsid w:val="00A90750"/>
    <w:rsid w:val="00A9088D"/>
    <w:rsid w:val="00A90EC7"/>
    <w:rsid w:val="00A916F7"/>
    <w:rsid w:val="00A919E1"/>
    <w:rsid w:val="00A91C50"/>
    <w:rsid w:val="00A92100"/>
    <w:rsid w:val="00A925BD"/>
    <w:rsid w:val="00A92750"/>
    <w:rsid w:val="00A92BB1"/>
    <w:rsid w:val="00A92E51"/>
    <w:rsid w:val="00A9305B"/>
    <w:rsid w:val="00A9357A"/>
    <w:rsid w:val="00A935B9"/>
    <w:rsid w:val="00A937E6"/>
    <w:rsid w:val="00A94104"/>
    <w:rsid w:val="00A946AC"/>
    <w:rsid w:val="00A947DB"/>
    <w:rsid w:val="00A94F60"/>
    <w:rsid w:val="00A95883"/>
    <w:rsid w:val="00A95B81"/>
    <w:rsid w:val="00A95D96"/>
    <w:rsid w:val="00A95DD0"/>
    <w:rsid w:val="00A95FF7"/>
    <w:rsid w:val="00A96843"/>
    <w:rsid w:val="00A96AFE"/>
    <w:rsid w:val="00A96CF8"/>
    <w:rsid w:val="00A96CFB"/>
    <w:rsid w:val="00A9701F"/>
    <w:rsid w:val="00A975A5"/>
    <w:rsid w:val="00A978FA"/>
    <w:rsid w:val="00A97F43"/>
    <w:rsid w:val="00AA03F7"/>
    <w:rsid w:val="00AA0E67"/>
    <w:rsid w:val="00AA12FA"/>
    <w:rsid w:val="00AA132E"/>
    <w:rsid w:val="00AA13FA"/>
    <w:rsid w:val="00AA14D4"/>
    <w:rsid w:val="00AA19EE"/>
    <w:rsid w:val="00AA2496"/>
    <w:rsid w:val="00AA2638"/>
    <w:rsid w:val="00AA2760"/>
    <w:rsid w:val="00AA299A"/>
    <w:rsid w:val="00AA2B00"/>
    <w:rsid w:val="00AA2B62"/>
    <w:rsid w:val="00AA2D78"/>
    <w:rsid w:val="00AA3665"/>
    <w:rsid w:val="00AA39AD"/>
    <w:rsid w:val="00AA3BDE"/>
    <w:rsid w:val="00AA426A"/>
    <w:rsid w:val="00AA45EA"/>
    <w:rsid w:val="00AA49A8"/>
    <w:rsid w:val="00AA4BE9"/>
    <w:rsid w:val="00AA5220"/>
    <w:rsid w:val="00AA5226"/>
    <w:rsid w:val="00AA5374"/>
    <w:rsid w:val="00AA573A"/>
    <w:rsid w:val="00AA5829"/>
    <w:rsid w:val="00AA6B7E"/>
    <w:rsid w:val="00AA7121"/>
    <w:rsid w:val="00AA7A25"/>
    <w:rsid w:val="00AB0677"/>
    <w:rsid w:val="00AB0C24"/>
    <w:rsid w:val="00AB0C31"/>
    <w:rsid w:val="00AB0D10"/>
    <w:rsid w:val="00AB0EFF"/>
    <w:rsid w:val="00AB147E"/>
    <w:rsid w:val="00AB17A7"/>
    <w:rsid w:val="00AB1DD4"/>
    <w:rsid w:val="00AB2988"/>
    <w:rsid w:val="00AB2A97"/>
    <w:rsid w:val="00AB2CEA"/>
    <w:rsid w:val="00AB33E6"/>
    <w:rsid w:val="00AB3B07"/>
    <w:rsid w:val="00AB3CC4"/>
    <w:rsid w:val="00AB3CC7"/>
    <w:rsid w:val="00AB3DE9"/>
    <w:rsid w:val="00AB4B82"/>
    <w:rsid w:val="00AB5168"/>
    <w:rsid w:val="00AB51CA"/>
    <w:rsid w:val="00AB54CF"/>
    <w:rsid w:val="00AB58DF"/>
    <w:rsid w:val="00AB5FF8"/>
    <w:rsid w:val="00AB644A"/>
    <w:rsid w:val="00AB66DF"/>
    <w:rsid w:val="00AB6784"/>
    <w:rsid w:val="00AB6AAC"/>
    <w:rsid w:val="00AB71E6"/>
    <w:rsid w:val="00AC046F"/>
    <w:rsid w:val="00AC05B1"/>
    <w:rsid w:val="00AC0A7F"/>
    <w:rsid w:val="00AC0B98"/>
    <w:rsid w:val="00AC1EB8"/>
    <w:rsid w:val="00AC1F23"/>
    <w:rsid w:val="00AC1FD8"/>
    <w:rsid w:val="00AC20F5"/>
    <w:rsid w:val="00AC24BD"/>
    <w:rsid w:val="00AC2538"/>
    <w:rsid w:val="00AC253D"/>
    <w:rsid w:val="00AC26B9"/>
    <w:rsid w:val="00AC2B3F"/>
    <w:rsid w:val="00AC2D89"/>
    <w:rsid w:val="00AC3C27"/>
    <w:rsid w:val="00AC3EE4"/>
    <w:rsid w:val="00AC4024"/>
    <w:rsid w:val="00AC4054"/>
    <w:rsid w:val="00AC405F"/>
    <w:rsid w:val="00AC41E5"/>
    <w:rsid w:val="00AC4668"/>
    <w:rsid w:val="00AC46E6"/>
    <w:rsid w:val="00AC5441"/>
    <w:rsid w:val="00AC580B"/>
    <w:rsid w:val="00AC5AD2"/>
    <w:rsid w:val="00AC6056"/>
    <w:rsid w:val="00AC60F4"/>
    <w:rsid w:val="00AC71B6"/>
    <w:rsid w:val="00AC7630"/>
    <w:rsid w:val="00AC7777"/>
    <w:rsid w:val="00AC78E9"/>
    <w:rsid w:val="00AC78F0"/>
    <w:rsid w:val="00AC7A5D"/>
    <w:rsid w:val="00AC7F51"/>
    <w:rsid w:val="00AD0703"/>
    <w:rsid w:val="00AD0761"/>
    <w:rsid w:val="00AD0961"/>
    <w:rsid w:val="00AD0C93"/>
    <w:rsid w:val="00AD0D26"/>
    <w:rsid w:val="00AD12C1"/>
    <w:rsid w:val="00AD1AF4"/>
    <w:rsid w:val="00AD21DF"/>
    <w:rsid w:val="00AD260B"/>
    <w:rsid w:val="00AD26D0"/>
    <w:rsid w:val="00AD328C"/>
    <w:rsid w:val="00AD344A"/>
    <w:rsid w:val="00AD37E0"/>
    <w:rsid w:val="00AD3C14"/>
    <w:rsid w:val="00AD3E40"/>
    <w:rsid w:val="00AD3FDC"/>
    <w:rsid w:val="00AD4B2C"/>
    <w:rsid w:val="00AD5218"/>
    <w:rsid w:val="00AD528C"/>
    <w:rsid w:val="00AD53FE"/>
    <w:rsid w:val="00AD54E5"/>
    <w:rsid w:val="00AD58D4"/>
    <w:rsid w:val="00AD5D12"/>
    <w:rsid w:val="00AD64F7"/>
    <w:rsid w:val="00AD66FB"/>
    <w:rsid w:val="00AD6A2C"/>
    <w:rsid w:val="00AD72B4"/>
    <w:rsid w:val="00AD764B"/>
    <w:rsid w:val="00AD765A"/>
    <w:rsid w:val="00AD76D8"/>
    <w:rsid w:val="00AD78DD"/>
    <w:rsid w:val="00AD7AA0"/>
    <w:rsid w:val="00AE001F"/>
    <w:rsid w:val="00AE05DA"/>
    <w:rsid w:val="00AE08C6"/>
    <w:rsid w:val="00AE0EBE"/>
    <w:rsid w:val="00AE1168"/>
    <w:rsid w:val="00AE1485"/>
    <w:rsid w:val="00AE1992"/>
    <w:rsid w:val="00AE2568"/>
    <w:rsid w:val="00AE26CB"/>
    <w:rsid w:val="00AE26F3"/>
    <w:rsid w:val="00AE2D9F"/>
    <w:rsid w:val="00AE3630"/>
    <w:rsid w:val="00AE4142"/>
    <w:rsid w:val="00AE453C"/>
    <w:rsid w:val="00AE4826"/>
    <w:rsid w:val="00AE4AE5"/>
    <w:rsid w:val="00AE4B16"/>
    <w:rsid w:val="00AE5174"/>
    <w:rsid w:val="00AE5D6F"/>
    <w:rsid w:val="00AE5DD1"/>
    <w:rsid w:val="00AE6166"/>
    <w:rsid w:val="00AE6359"/>
    <w:rsid w:val="00AE66F4"/>
    <w:rsid w:val="00AE6C57"/>
    <w:rsid w:val="00AE6E12"/>
    <w:rsid w:val="00AE7015"/>
    <w:rsid w:val="00AE704E"/>
    <w:rsid w:val="00AE7271"/>
    <w:rsid w:val="00AE7275"/>
    <w:rsid w:val="00AE72FD"/>
    <w:rsid w:val="00AE77D7"/>
    <w:rsid w:val="00AE7841"/>
    <w:rsid w:val="00AE7B2A"/>
    <w:rsid w:val="00AF07D8"/>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09F"/>
    <w:rsid w:val="00AF41F7"/>
    <w:rsid w:val="00AF421D"/>
    <w:rsid w:val="00AF453B"/>
    <w:rsid w:val="00AF45EB"/>
    <w:rsid w:val="00AF47A3"/>
    <w:rsid w:val="00AF48E5"/>
    <w:rsid w:val="00AF5150"/>
    <w:rsid w:val="00AF538D"/>
    <w:rsid w:val="00AF5A64"/>
    <w:rsid w:val="00AF5D83"/>
    <w:rsid w:val="00AF62D6"/>
    <w:rsid w:val="00AF7022"/>
    <w:rsid w:val="00AF7886"/>
    <w:rsid w:val="00B003F4"/>
    <w:rsid w:val="00B007E4"/>
    <w:rsid w:val="00B00B3F"/>
    <w:rsid w:val="00B012C7"/>
    <w:rsid w:val="00B01646"/>
    <w:rsid w:val="00B01D7F"/>
    <w:rsid w:val="00B01F3C"/>
    <w:rsid w:val="00B02927"/>
    <w:rsid w:val="00B02972"/>
    <w:rsid w:val="00B02FF0"/>
    <w:rsid w:val="00B036BA"/>
    <w:rsid w:val="00B03BCA"/>
    <w:rsid w:val="00B0406E"/>
    <w:rsid w:val="00B04160"/>
    <w:rsid w:val="00B0444D"/>
    <w:rsid w:val="00B05731"/>
    <w:rsid w:val="00B05CC4"/>
    <w:rsid w:val="00B05FE3"/>
    <w:rsid w:val="00B06528"/>
    <w:rsid w:val="00B06577"/>
    <w:rsid w:val="00B06662"/>
    <w:rsid w:val="00B07614"/>
    <w:rsid w:val="00B0796E"/>
    <w:rsid w:val="00B07FE4"/>
    <w:rsid w:val="00B10F8B"/>
    <w:rsid w:val="00B11009"/>
    <w:rsid w:val="00B114E2"/>
    <w:rsid w:val="00B11670"/>
    <w:rsid w:val="00B116F2"/>
    <w:rsid w:val="00B12316"/>
    <w:rsid w:val="00B12942"/>
    <w:rsid w:val="00B12EAB"/>
    <w:rsid w:val="00B13444"/>
    <w:rsid w:val="00B136A1"/>
    <w:rsid w:val="00B13994"/>
    <w:rsid w:val="00B14BC0"/>
    <w:rsid w:val="00B14BEF"/>
    <w:rsid w:val="00B154C2"/>
    <w:rsid w:val="00B15682"/>
    <w:rsid w:val="00B1571D"/>
    <w:rsid w:val="00B15E9F"/>
    <w:rsid w:val="00B1608E"/>
    <w:rsid w:val="00B16573"/>
    <w:rsid w:val="00B16881"/>
    <w:rsid w:val="00B17036"/>
    <w:rsid w:val="00B17563"/>
    <w:rsid w:val="00B17A34"/>
    <w:rsid w:val="00B17CB2"/>
    <w:rsid w:val="00B2000B"/>
    <w:rsid w:val="00B2087D"/>
    <w:rsid w:val="00B21103"/>
    <w:rsid w:val="00B213A1"/>
    <w:rsid w:val="00B21712"/>
    <w:rsid w:val="00B2174B"/>
    <w:rsid w:val="00B21766"/>
    <w:rsid w:val="00B21D4D"/>
    <w:rsid w:val="00B2204B"/>
    <w:rsid w:val="00B22133"/>
    <w:rsid w:val="00B224DE"/>
    <w:rsid w:val="00B225C2"/>
    <w:rsid w:val="00B232DE"/>
    <w:rsid w:val="00B23347"/>
    <w:rsid w:val="00B236B7"/>
    <w:rsid w:val="00B23A34"/>
    <w:rsid w:val="00B241BB"/>
    <w:rsid w:val="00B245A7"/>
    <w:rsid w:val="00B24AB9"/>
    <w:rsid w:val="00B25483"/>
    <w:rsid w:val="00B255AD"/>
    <w:rsid w:val="00B2587B"/>
    <w:rsid w:val="00B25E43"/>
    <w:rsid w:val="00B2666C"/>
    <w:rsid w:val="00B26699"/>
    <w:rsid w:val="00B26A00"/>
    <w:rsid w:val="00B26A3A"/>
    <w:rsid w:val="00B274C1"/>
    <w:rsid w:val="00B277A6"/>
    <w:rsid w:val="00B27ACF"/>
    <w:rsid w:val="00B301E2"/>
    <w:rsid w:val="00B3069F"/>
    <w:rsid w:val="00B30A62"/>
    <w:rsid w:val="00B30EBD"/>
    <w:rsid w:val="00B314B6"/>
    <w:rsid w:val="00B31A12"/>
    <w:rsid w:val="00B31B2F"/>
    <w:rsid w:val="00B31C00"/>
    <w:rsid w:val="00B31F40"/>
    <w:rsid w:val="00B3252E"/>
    <w:rsid w:val="00B325BA"/>
    <w:rsid w:val="00B3292D"/>
    <w:rsid w:val="00B32F7E"/>
    <w:rsid w:val="00B33535"/>
    <w:rsid w:val="00B335CC"/>
    <w:rsid w:val="00B33770"/>
    <w:rsid w:val="00B33C9E"/>
    <w:rsid w:val="00B33FFD"/>
    <w:rsid w:val="00B3405A"/>
    <w:rsid w:val="00B34569"/>
    <w:rsid w:val="00B346F4"/>
    <w:rsid w:val="00B34819"/>
    <w:rsid w:val="00B349DF"/>
    <w:rsid w:val="00B35BF2"/>
    <w:rsid w:val="00B36549"/>
    <w:rsid w:val="00B366A5"/>
    <w:rsid w:val="00B372DF"/>
    <w:rsid w:val="00B372EC"/>
    <w:rsid w:val="00B37427"/>
    <w:rsid w:val="00B40737"/>
    <w:rsid w:val="00B40A1A"/>
    <w:rsid w:val="00B40AB9"/>
    <w:rsid w:val="00B411ED"/>
    <w:rsid w:val="00B417FD"/>
    <w:rsid w:val="00B41C0B"/>
    <w:rsid w:val="00B42395"/>
    <w:rsid w:val="00B42761"/>
    <w:rsid w:val="00B42880"/>
    <w:rsid w:val="00B42D3A"/>
    <w:rsid w:val="00B42D41"/>
    <w:rsid w:val="00B42D84"/>
    <w:rsid w:val="00B43196"/>
    <w:rsid w:val="00B432DD"/>
    <w:rsid w:val="00B43603"/>
    <w:rsid w:val="00B43708"/>
    <w:rsid w:val="00B438FE"/>
    <w:rsid w:val="00B441D6"/>
    <w:rsid w:val="00B44B7C"/>
    <w:rsid w:val="00B44B87"/>
    <w:rsid w:val="00B44F65"/>
    <w:rsid w:val="00B4523B"/>
    <w:rsid w:val="00B45346"/>
    <w:rsid w:val="00B45647"/>
    <w:rsid w:val="00B45BD7"/>
    <w:rsid w:val="00B45D6B"/>
    <w:rsid w:val="00B45DB9"/>
    <w:rsid w:val="00B460DF"/>
    <w:rsid w:val="00B46ACA"/>
    <w:rsid w:val="00B472D1"/>
    <w:rsid w:val="00B479EE"/>
    <w:rsid w:val="00B47EFD"/>
    <w:rsid w:val="00B47F90"/>
    <w:rsid w:val="00B50135"/>
    <w:rsid w:val="00B507F8"/>
    <w:rsid w:val="00B50ABB"/>
    <w:rsid w:val="00B50C90"/>
    <w:rsid w:val="00B51363"/>
    <w:rsid w:val="00B51A6B"/>
    <w:rsid w:val="00B51A7B"/>
    <w:rsid w:val="00B51BA5"/>
    <w:rsid w:val="00B51C09"/>
    <w:rsid w:val="00B51D23"/>
    <w:rsid w:val="00B51D52"/>
    <w:rsid w:val="00B52D07"/>
    <w:rsid w:val="00B530DD"/>
    <w:rsid w:val="00B533D4"/>
    <w:rsid w:val="00B5364D"/>
    <w:rsid w:val="00B53734"/>
    <w:rsid w:val="00B5424F"/>
    <w:rsid w:val="00B54984"/>
    <w:rsid w:val="00B54A24"/>
    <w:rsid w:val="00B553FD"/>
    <w:rsid w:val="00B55DA7"/>
    <w:rsid w:val="00B56059"/>
    <w:rsid w:val="00B5657F"/>
    <w:rsid w:val="00B56865"/>
    <w:rsid w:val="00B56F00"/>
    <w:rsid w:val="00B5708A"/>
    <w:rsid w:val="00B570E6"/>
    <w:rsid w:val="00B5784F"/>
    <w:rsid w:val="00B6005A"/>
    <w:rsid w:val="00B6024B"/>
    <w:rsid w:val="00B6063B"/>
    <w:rsid w:val="00B60EC7"/>
    <w:rsid w:val="00B60FE5"/>
    <w:rsid w:val="00B614E6"/>
    <w:rsid w:val="00B617CA"/>
    <w:rsid w:val="00B618E5"/>
    <w:rsid w:val="00B619E1"/>
    <w:rsid w:val="00B61F2E"/>
    <w:rsid w:val="00B61FBC"/>
    <w:rsid w:val="00B627B5"/>
    <w:rsid w:val="00B63558"/>
    <w:rsid w:val="00B63837"/>
    <w:rsid w:val="00B63991"/>
    <w:rsid w:val="00B639D8"/>
    <w:rsid w:val="00B64219"/>
    <w:rsid w:val="00B64311"/>
    <w:rsid w:val="00B644D5"/>
    <w:rsid w:val="00B65AEE"/>
    <w:rsid w:val="00B65E11"/>
    <w:rsid w:val="00B6623F"/>
    <w:rsid w:val="00B66378"/>
    <w:rsid w:val="00B663AD"/>
    <w:rsid w:val="00B669D0"/>
    <w:rsid w:val="00B66E65"/>
    <w:rsid w:val="00B670C0"/>
    <w:rsid w:val="00B67201"/>
    <w:rsid w:val="00B67E63"/>
    <w:rsid w:val="00B67EBE"/>
    <w:rsid w:val="00B67F06"/>
    <w:rsid w:val="00B701BC"/>
    <w:rsid w:val="00B7069A"/>
    <w:rsid w:val="00B71076"/>
    <w:rsid w:val="00B710E1"/>
    <w:rsid w:val="00B712AD"/>
    <w:rsid w:val="00B7189D"/>
    <w:rsid w:val="00B71903"/>
    <w:rsid w:val="00B71BA0"/>
    <w:rsid w:val="00B71F77"/>
    <w:rsid w:val="00B72371"/>
    <w:rsid w:val="00B72492"/>
    <w:rsid w:val="00B72862"/>
    <w:rsid w:val="00B7291F"/>
    <w:rsid w:val="00B72F80"/>
    <w:rsid w:val="00B73022"/>
    <w:rsid w:val="00B737AD"/>
    <w:rsid w:val="00B73A31"/>
    <w:rsid w:val="00B73AB9"/>
    <w:rsid w:val="00B73BAA"/>
    <w:rsid w:val="00B7450B"/>
    <w:rsid w:val="00B745F9"/>
    <w:rsid w:val="00B74B15"/>
    <w:rsid w:val="00B75213"/>
    <w:rsid w:val="00B75632"/>
    <w:rsid w:val="00B75800"/>
    <w:rsid w:val="00B758B3"/>
    <w:rsid w:val="00B7699D"/>
    <w:rsid w:val="00B76AF3"/>
    <w:rsid w:val="00B7713E"/>
    <w:rsid w:val="00B8045B"/>
    <w:rsid w:val="00B80463"/>
    <w:rsid w:val="00B807D7"/>
    <w:rsid w:val="00B80832"/>
    <w:rsid w:val="00B80EF7"/>
    <w:rsid w:val="00B81923"/>
    <w:rsid w:val="00B82107"/>
    <w:rsid w:val="00B82532"/>
    <w:rsid w:val="00B82767"/>
    <w:rsid w:val="00B82A63"/>
    <w:rsid w:val="00B82BEE"/>
    <w:rsid w:val="00B82C6A"/>
    <w:rsid w:val="00B83A44"/>
    <w:rsid w:val="00B842A6"/>
    <w:rsid w:val="00B84844"/>
    <w:rsid w:val="00B84B86"/>
    <w:rsid w:val="00B85404"/>
    <w:rsid w:val="00B854FD"/>
    <w:rsid w:val="00B85589"/>
    <w:rsid w:val="00B858B9"/>
    <w:rsid w:val="00B85AF4"/>
    <w:rsid w:val="00B85C1E"/>
    <w:rsid w:val="00B86381"/>
    <w:rsid w:val="00B8701A"/>
    <w:rsid w:val="00B8716A"/>
    <w:rsid w:val="00B8730B"/>
    <w:rsid w:val="00B87BA8"/>
    <w:rsid w:val="00B87DA5"/>
    <w:rsid w:val="00B90160"/>
    <w:rsid w:val="00B9027B"/>
    <w:rsid w:val="00B9044A"/>
    <w:rsid w:val="00B90B8E"/>
    <w:rsid w:val="00B90BC9"/>
    <w:rsid w:val="00B90C54"/>
    <w:rsid w:val="00B91740"/>
    <w:rsid w:val="00B91D99"/>
    <w:rsid w:val="00B91DBC"/>
    <w:rsid w:val="00B92762"/>
    <w:rsid w:val="00B92E2F"/>
    <w:rsid w:val="00B93D43"/>
    <w:rsid w:val="00B93E30"/>
    <w:rsid w:val="00B94B3B"/>
    <w:rsid w:val="00B94C14"/>
    <w:rsid w:val="00B94C18"/>
    <w:rsid w:val="00B9534E"/>
    <w:rsid w:val="00B95B16"/>
    <w:rsid w:val="00B95CA4"/>
    <w:rsid w:val="00B95D3C"/>
    <w:rsid w:val="00B95DEE"/>
    <w:rsid w:val="00B95FBC"/>
    <w:rsid w:val="00B9629F"/>
    <w:rsid w:val="00B964C1"/>
    <w:rsid w:val="00B96C7F"/>
    <w:rsid w:val="00B96F71"/>
    <w:rsid w:val="00B9759B"/>
    <w:rsid w:val="00B97E04"/>
    <w:rsid w:val="00BA0582"/>
    <w:rsid w:val="00BA0F54"/>
    <w:rsid w:val="00BA1278"/>
    <w:rsid w:val="00BA27A1"/>
    <w:rsid w:val="00BA2FA3"/>
    <w:rsid w:val="00BA35CE"/>
    <w:rsid w:val="00BA3861"/>
    <w:rsid w:val="00BA3BFB"/>
    <w:rsid w:val="00BA48D8"/>
    <w:rsid w:val="00BA48DA"/>
    <w:rsid w:val="00BA4D6A"/>
    <w:rsid w:val="00BA4E0C"/>
    <w:rsid w:val="00BA50AF"/>
    <w:rsid w:val="00BA72EE"/>
    <w:rsid w:val="00BA7855"/>
    <w:rsid w:val="00BA7A15"/>
    <w:rsid w:val="00BA7F5B"/>
    <w:rsid w:val="00BA7F6B"/>
    <w:rsid w:val="00BB00C0"/>
    <w:rsid w:val="00BB070A"/>
    <w:rsid w:val="00BB09EE"/>
    <w:rsid w:val="00BB0A2F"/>
    <w:rsid w:val="00BB0DF2"/>
    <w:rsid w:val="00BB10D4"/>
    <w:rsid w:val="00BB13CC"/>
    <w:rsid w:val="00BB1811"/>
    <w:rsid w:val="00BB1F58"/>
    <w:rsid w:val="00BB228A"/>
    <w:rsid w:val="00BB3163"/>
    <w:rsid w:val="00BB3586"/>
    <w:rsid w:val="00BB37B3"/>
    <w:rsid w:val="00BB3D34"/>
    <w:rsid w:val="00BB3D78"/>
    <w:rsid w:val="00BB3FFB"/>
    <w:rsid w:val="00BB42DE"/>
    <w:rsid w:val="00BB47A5"/>
    <w:rsid w:val="00BB49DE"/>
    <w:rsid w:val="00BB4BA2"/>
    <w:rsid w:val="00BB53A4"/>
    <w:rsid w:val="00BB5571"/>
    <w:rsid w:val="00BB5842"/>
    <w:rsid w:val="00BB5DC4"/>
    <w:rsid w:val="00BB675E"/>
    <w:rsid w:val="00BB6C73"/>
    <w:rsid w:val="00BB71EA"/>
    <w:rsid w:val="00BB7417"/>
    <w:rsid w:val="00BB7723"/>
    <w:rsid w:val="00BB77C8"/>
    <w:rsid w:val="00BB7C89"/>
    <w:rsid w:val="00BC059D"/>
    <w:rsid w:val="00BC059F"/>
    <w:rsid w:val="00BC0F77"/>
    <w:rsid w:val="00BC1140"/>
    <w:rsid w:val="00BC14E8"/>
    <w:rsid w:val="00BC16B3"/>
    <w:rsid w:val="00BC28F2"/>
    <w:rsid w:val="00BC2CA6"/>
    <w:rsid w:val="00BC2D69"/>
    <w:rsid w:val="00BC397C"/>
    <w:rsid w:val="00BC4BB5"/>
    <w:rsid w:val="00BC4C4E"/>
    <w:rsid w:val="00BC6295"/>
    <w:rsid w:val="00BC65D1"/>
    <w:rsid w:val="00BC677C"/>
    <w:rsid w:val="00BC6B2C"/>
    <w:rsid w:val="00BC6D9E"/>
    <w:rsid w:val="00BC6E19"/>
    <w:rsid w:val="00BC77B3"/>
    <w:rsid w:val="00BC7A04"/>
    <w:rsid w:val="00BC7BD9"/>
    <w:rsid w:val="00BC7C87"/>
    <w:rsid w:val="00BC7F08"/>
    <w:rsid w:val="00BD0688"/>
    <w:rsid w:val="00BD0D5B"/>
    <w:rsid w:val="00BD116E"/>
    <w:rsid w:val="00BD2071"/>
    <w:rsid w:val="00BD2171"/>
    <w:rsid w:val="00BD2548"/>
    <w:rsid w:val="00BD2D57"/>
    <w:rsid w:val="00BD2E9C"/>
    <w:rsid w:val="00BD30E0"/>
    <w:rsid w:val="00BD3788"/>
    <w:rsid w:val="00BD3887"/>
    <w:rsid w:val="00BD38A7"/>
    <w:rsid w:val="00BD44E4"/>
    <w:rsid w:val="00BD4E8E"/>
    <w:rsid w:val="00BD553F"/>
    <w:rsid w:val="00BD5E6A"/>
    <w:rsid w:val="00BD60C4"/>
    <w:rsid w:val="00BD67BE"/>
    <w:rsid w:val="00BD69A7"/>
    <w:rsid w:val="00BD6E80"/>
    <w:rsid w:val="00BD6F33"/>
    <w:rsid w:val="00BD7201"/>
    <w:rsid w:val="00BD75B7"/>
    <w:rsid w:val="00BE02C2"/>
    <w:rsid w:val="00BE0393"/>
    <w:rsid w:val="00BE03EC"/>
    <w:rsid w:val="00BE087C"/>
    <w:rsid w:val="00BE0A74"/>
    <w:rsid w:val="00BE0CEC"/>
    <w:rsid w:val="00BE0FA1"/>
    <w:rsid w:val="00BE154D"/>
    <w:rsid w:val="00BE2225"/>
    <w:rsid w:val="00BE23E4"/>
    <w:rsid w:val="00BE2413"/>
    <w:rsid w:val="00BE264B"/>
    <w:rsid w:val="00BE2715"/>
    <w:rsid w:val="00BE2857"/>
    <w:rsid w:val="00BE293F"/>
    <w:rsid w:val="00BE2DD5"/>
    <w:rsid w:val="00BE2F17"/>
    <w:rsid w:val="00BE32CC"/>
    <w:rsid w:val="00BE38CC"/>
    <w:rsid w:val="00BE3E76"/>
    <w:rsid w:val="00BE4484"/>
    <w:rsid w:val="00BE470B"/>
    <w:rsid w:val="00BE4A8B"/>
    <w:rsid w:val="00BE4D7D"/>
    <w:rsid w:val="00BE4EE6"/>
    <w:rsid w:val="00BE5B51"/>
    <w:rsid w:val="00BE6697"/>
    <w:rsid w:val="00BE68C0"/>
    <w:rsid w:val="00BE6972"/>
    <w:rsid w:val="00BE6D3B"/>
    <w:rsid w:val="00BE6FE2"/>
    <w:rsid w:val="00BE78E2"/>
    <w:rsid w:val="00BE7DF5"/>
    <w:rsid w:val="00BF0265"/>
    <w:rsid w:val="00BF0567"/>
    <w:rsid w:val="00BF0579"/>
    <w:rsid w:val="00BF0B10"/>
    <w:rsid w:val="00BF0F26"/>
    <w:rsid w:val="00BF1061"/>
    <w:rsid w:val="00BF1B45"/>
    <w:rsid w:val="00BF1FD1"/>
    <w:rsid w:val="00BF270A"/>
    <w:rsid w:val="00BF2A75"/>
    <w:rsid w:val="00BF2C7E"/>
    <w:rsid w:val="00BF3242"/>
    <w:rsid w:val="00BF342B"/>
    <w:rsid w:val="00BF3F3B"/>
    <w:rsid w:val="00BF427B"/>
    <w:rsid w:val="00BF4581"/>
    <w:rsid w:val="00BF48E5"/>
    <w:rsid w:val="00BF49BF"/>
    <w:rsid w:val="00BF530A"/>
    <w:rsid w:val="00BF5928"/>
    <w:rsid w:val="00BF5A8F"/>
    <w:rsid w:val="00BF5F90"/>
    <w:rsid w:val="00BF6B3E"/>
    <w:rsid w:val="00BF6C33"/>
    <w:rsid w:val="00BF6CC6"/>
    <w:rsid w:val="00BF71B4"/>
    <w:rsid w:val="00BF7242"/>
    <w:rsid w:val="00BF7350"/>
    <w:rsid w:val="00BF7A11"/>
    <w:rsid w:val="00BF7EC3"/>
    <w:rsid w:val="00BF7F8B"/>
    <w:rsid w:val="00C006E1"/>
    <w:rsid w:val="00C00A8B"/>
    <w:rsid w:val="00C017F5"/>
    <w:rsid w:val="00C0198F"/>
    <w:rsid w:val="00C01AA7"/>
    <w:rsid w:val="00C01DB8"/>
    <w:rsid w:val="00C02099"/>
    <w:rsid w:val="00C02BAD"/>
    <w:rsid w:val="00C03182"/>
    <w:rsid w:val="00C037B8"/>
    <w:rsid w:val="00C03F4F"/>
    <w:rsid w:val="00C03F9E"/>
    <w:rsid w:val="00C04902"/>
    <w:rsid w:val="00C04904"/>
    <w:rsid w:val="00C050EB"/>
    <w:rsid w:val="00C0516F"/>
    <w:rsid w:val="00C051BD"/>
    <w:rsid w:val="00C05D10"/>
    <w:rsid w:val="00C06760"/>
    <w:rsid w:val="00C06B7D"/>
    <w:rsid w:val="00C06C4D"/>
    <w:rsid w:val="00C076B9"/>
    <w:rsid w:val="00C07D5B"/>
    <w:rsid w:val="00C07E04"/>
    <w:rsid w:val="00C07FAD"/>
    <w:rsid w:val="00C1006C"/>
    <w:rsid w:val="00C102E3"/>
    <w:rsid w:val="00C10460"/>
    <w:rsid w:val="00C10818"/>
    <w:rsid w:val="00C10ED4"/>
    <w:rsid w:val="00C110D0"/>
    <w:rsid w:val="00C1135F"/>
    <w:rsid w:val="00C118A8"/>
    <w:rsid w:val="00C12A11"/>
    <w:rsid w:val="00C12A9D"/>
    <w:rsid w:val="00C12CB5"/>
    <w:rsid w:val="00C12DFB"/>
    <w:rsid w:val="00C13256"/>
    <w:rsid w:val="00C132AF"/>
    <w:rsid w:val="00C13893"/>
    <w:rsid w:val="00C141A3"/>
    <w:rsid w:val="00C14317"/>
    <w:rsid w:val="00C14680"/>
    <w:rsid w:val="00C14925"/>
    <w:rsid w:val="00C15102"/>
    <w:rsid w:val="00C15770"/>
    <w:rsid w:val="00C15CEB"/>
    <w:rsid w:val="00C15E7A"/>
    <w:rsid w:val="00C16E89"/>
    <w:rsid w:val="00C17002"/>
    <w:rsid w:val="00C172C5"/>
    <w:rsid w:val="00C178C1"/>
    <w:rsid w:val="00C1795B"/>
    <w:rsid w:val="00C17B28"/>
    <w:rsid w:val="00C215B0"/>
    <w:rsid w:val="00C216F1"/>
    <w:rsid w:val="00C21751"/>
    <w:rsid w:val="00C21E9D"/>
    <w:rsid w:val="00C22056"/>
    <w:rsid w:val="00C228D0"/>
    <w:rsid w:val="00C22934"/>
    <w:rsid w:val="00C22D28"/>
    <w:rsid w:val="00C22FF7"/>
    <w:rsid w:val="00C23092"/>
    <w:rsid w:val="00C234D9"/>
    <w:rsid w:val="00C2352B"/>
    <w:rsid w:val="00C23789"/>
    <w:rsid w:val="00C248E9"/>
    <w:rsid w:val="00C24A69"/>
    <w:rsid w:val="00C24E3D"/>
    <w:rsid w:val="00C24EFE"/>
    <w:rsid w:val="00C25002"/>
    <w:rsid w:val="00C25066"/>
    <w:rsid w:val="00C25150"/>
    <w:rsid w:val="00C254C9"/>
    <w:rsid w:val="00C25864"/>
    <w:rsid w:val="00C26DA9"/>
    <w:rsid w:val="00C27135"/>
    <w:rsid w:val="00C2737D"/>
    <w:rsid w:val="00C275C4"/>
    <w:rsid w:val="00C276CF"/>
    <w:rsid w:val="00C27BA5"/>
    <w:rsid w:val="00C27E89"/>
    <w:rsid w:val="00C3016C"/>
    <w:rsid w:val="00C30448"/>
    <w:rsid w:val="00C30AB2"/>
    <w:rsid w:val="00C30F07"/>
    <w:rsid w:val="00C30FF1"/>
    <w:rsid w:val="00C313C7"/>
    <w:rsid w:val="00C3142F"/>
    <w:rsid w:val="00C31AE0"/>
    <w:rsid w:val="00C32046"/>
    <w:rsid w:val="00C32067"/>
    <w:rsid w:val="00C32584"/>
    <w:rsid w:val="00C325A1"/>
    <w:rsid w:val="00C325B5"/>
    <w:rsid w:val="00C329A7"/>
    <w:rsid w:val="00C32D5F"/>
    <w:rsid w:val="00C334F2"/>
    <w:rsid w:val="00C336C0"/>
    <w:rsid w:val="00C33884"/>
    <w:rsid w:val="00C33D6A"/>
    <w:rsid w:val="00C33FC1"/>
    <w:rsid w:val="00C3406C"/>
    <w:rsid w:val="00C34447"/>
    <w:rsid w:val="00C34656"/>
    <w:rsid w:val="00C34AC6"/>
    <w:rsid w:val="00C34D99"/>
    <w:rsid w:val="00C3501E"/>
    <w:rsid w:val="00C3508B"/>
    <w:rsid w:val="00C35263"/>
    <w:rsid w:val="00C3540F"/>
    <w:rsid w:val="00C354F3"/>
    <w:rsid w:val="00C36278"/>
    <w:rsid w:val="00C3628D"/>
    <w:rsid w:val="00C36D90"/>
    <w:rsid w:val="00C370B2"/>
    <w:rsid w:val="00C376A4"/>
    <w:rsid w:val="00C37DB7"/>
    <w:rsid w:val="00C406B1"/>
    <w:rsid w:val="00C40755"/>
    <w:rsid w:val="00C40FD0"/>
    <w:rsid w:val="00C415B3"/>
    <w:rsid w:val="00C419A6"/>
    <w:rsid w:val="00C41FA9"/>
    <w:rsid w:val="00C4296F"/>
    <w:rsid w:val="00C4298A"/>
    <w:rsid w:val="00C42D00"/>
    <w:rsid w:val="00C43C41"/>
    <w:rsid w:val="00C43D2F"/>
    <w:rsid w:val="00C44277"/>
    <w:rsid w:val="00C4467A"/>
    <w:rsid w:val="00C446B5"/>
    <w:rsid w:val="00C44AD5"/>
    <w:rsid w:val="00C4539F"/>
    <w:rsid w:val="00C456D7"/>
    <w:rsid w:val="00C45C49"/>
    <w:rsid w:val="00C463B3"/>
    <w:rsid w:val="00C47446"/>
    <w:rsid w:val="00C47668"/>
    <w:rsid w:val="00C479B1"/>
    <w:rsid w:val="00C47AE8"/>
    <w:rsid w:val="00C47C24"/>
    <w:rsid w:val="00C47D5E"/>
    <w:rsid w:val="00C5006C"/>
    <w:rsid w:val="00C50BBB"/>
    <w:rsid w:val="00C51563"/>
    <w:rsid w:val="00C51AAF"/>
    <w:rsid w:val="00C51D98"/>
    <w:rsid w:val="00C5207E"/>
    <w:rsid w:val="00C523A3"/>
    <w:rsid w:val="00C5346D"/>
    <w:rsid w:val="00C542B2"/>
    <w:rsid w:val="00C54656"/>
    <w:rsid w:val="00C548DA"/>
    <w:rsid w:val="00C54C76"/>
    <w:rsid w:val="00C54F93"/>
    <w:rsid w:val="00C55152"/>
    <w:rsid w:val="00C551ED"/>
    <w:rsid w:val="00C5609A"/>
    <w:rsid w:val="00C57EA9"/>
    <w:rsid w:val="00C60C2F"/>
    <w:rsid w:val="00C60DBE"/>
    <w:rsid w:val="00C61334"/>
    <w:rsid w:val="00C613F4"/>
    <w:rsid w:val="00C615E9"/>
    <w:rsid w:val="00C61712"/>
    <w:rsid w:val="00C61877"/>
    <w:rsid w:val="00C61B01"/>
    <w:rsid w:val="00C61FD2"/>
    <w:rsid w:val="00C626F9"/>
    <w:rsid w:val="00C62798"/>
    <w:rsid w:val="00C62EC9"/>
    <w:rsid w:val="00C631F1"/>
    <w:rsid w:val="00C63293"/>
    <w:rsid w:val="00C632EE"/>
    <w:rsid w:val="00C63967"/>
    <w:rsid w:val="00C63A28"/>
    <w:rsid w:val="00C63F9B"/>
    <w:rsid w:val="00C64801"/>
    <w:rsid w:val="00C65240"/>
    <w:rsid w:val="00C65666"/>
    <w:rsid w:val="00C66433"/>
    <w:rsid w:val="00C6696D"/>
    <w:rsid w:val="00C67DAF"/>
    <w:rsid w:val="00C67FB0"/>
    <w:rsid w:val="00C700D6"/>
    <w:rsid w:val="00C7012B"/>
    <w:rsid w:val="00C7018F"/>
    <w:rsid w:val="00C70407"/>
    <w:rsid w:val="00C70414"/>
    <w:rsid w:val="00C7087F"/>
    <w:rsid w:val="00C70A10"/>
    <w:rsid w:val="00C70DC0"/>
    <w:rsid w:val="00C710C1"/>
    <w:rsid w:val="00C714B9"/>
    <w:rsid w:val="00C717C9"/>
    <w:rsid w:val="00C718F7"/>
    <w:rsid w:val="00C71929"/>
    <w:rsid w:val="00C7285A"/>
    <w:rsid w:val="00C7299D"/>
    <w:rsid w:val="00C729D2"/>
    <w:rsid w:val="00C72FC7"/>
    <w:rsid w:val="00C7327C"/>
    <w:rsid w:val="00C73700"/>
    <w:rsid w:val="00C7455C"/>
    <w:rsid w:val="00C74629"/>
    <w:rsid w:val="00C74BC4"/>
    <w:rsid w:val="00C75761"/>
    <w:rsid w:val="00C75830"/>
    <w:rsid w:val="00C762AD"/>
    <w:rsid w:val="00C764CF"/>
    <w:rsid w:val="00C767A1"/>
    <w:rsid w:val="00C767CC"/>
    <w:rsid w:val="00C77A77"/>
    <w:rsid w:val="00C803B6"/>
    <w:rsid w:val="00C80C97"/>
    <w:rsid w:val="00C80FF1"/>
    <w:rsid w:val="00C81260"/>
    <w:rsid w:val="00C817CA"/>
    <w:rsid w:val="00C81D25"/>
    <w:rsid w:val="00C823B9"/>
    <w:rsid w:val="00C82508"/>
    <w:rsid w:val="00C82830"/>
    <w:rsid w:val="00C829A6"/>
    <w:rsid w:val="00C834F4"/>
    <w:rsid w:val="00C84337"/>
    <w:rsid w:val="00C84FC8"/>
    <w:rsid w:val="00C8539D"/>
    <w:rsid w:val="00C85CCE"/>
    <w:rsid w:val="00C865B8"/>
    <w:rsid w:val="00C8758E"/>
    <w:rsid w:val="00C876B8"/>
    <w:rsid w:val="00C87766"/>
    <w:rsid w:val="00C90AE5"/>
    <w:rsid w:val="00C90D5A"/>
    <w:rsid w:val="00C9115F"/>
    <w:rsid w:val="00C9207B"/>
    <w:rsid w:val="00C92131"/>
    <w:rsid w:val="00C92725"/>
    <w:rsid w:val="00C92960"/>
    <w:rsid w:val="00C9363C"/>
    <w:rsid w:val="00C9380C"/>
    <w:rsid w:val="00C93DCC"/>
    <w:rsid w:val="00C949C4"/>
    <w:rsid w:val="00C94AE8"/>
    <w:rsid w:val="00C95913"/>
    <w:rsid w:val="00C95C05"/>
    <w:rsid w:val="00C9622B"/>
    <w:rsid w:val="00C962F2"/>
    <w:rsid w:val="00C96AD8"/>
    <w:rsid w:val="00C96C27"/>
    <w:rsid w:val="00C96DA1"/>
    <w:rsid w:val="00C96E05"/>
    <w:rsid w:val="00C97171"/>
    <w:rsid w:val="00C9734F"/>
    <w:rsid w:val="00C97DCF"/>
    <w:rsid w:val="00C97E14"/>
    <w:rsid w:val="00C97EC8"/>
    <w:rsid w:val="00CA0076"/>
    <w:rsid w:val="00CA00A0"/>
    <w:rsid w:val="00CA0157"/>
    <w:rsid w:val="00CA0D6F"/>
    <w:rsid w:val="00CA131A"/>
    <w:rsid w:val="00CA192C"/>
    <w:rsid w:val="00CA255D"/>
    <w:rsid w:val="00CA2597"/>
    <w:rsid w:val="00CA28D9"/>
    <w:rsid w:val="00CA2A2E"/>
    <w:rsid w:val="00CA2DF1"/>
    <w:rsid w:val="00CA3228"/>
    <w:rsid w:val="00CA3825"/>
    <w:rsid w:val="00CA3D36"/>
    <w:rsid w:val="00CA3D6B"/>
    <w:rsid w:val="00CA40EC"/>
    <w:rsid w:val="00CA4379"/>
    <w:rsid w:val="00CA498C"/>
    <w:rsid w:val="00CA4C30"/>
    <w:rsid w:val="00CA52AD"/>
    <w:rsid w:val="00CA599F"/>
    <w:rsid w:val="00CA59F2"/>
    <w:rsid w:val="00CA5A7A"/>
    <w:rsid w:val="00CA5BCC"/>
    <w:rsid w:val="00CA5CBE"/>
    <w:rsid w:val="00CA5DF8"/>
    <w:rsid w:val="00CA6376"/>
    <w:rsid w:val="00CA646F"/>
    <w:rsid w:val="00CA664D"/>
    <w:rsid w:val="00CA67C8"/>
    <w:rsid w:val="00CA6D60"/>
    <w:rsid w:val="00CA6DEB"/>
    <w:rsid w:val="00CA7430"/>
    <w:rsid w:val="00CB0285"/>
    <w:rsid w:val="00CB040A"/>
    <w:rsid w:val="00CB0AC6"/>
    <w:rsid w:val="00CB111E"/>
    <w:rsid w:val="00CB1308"/>
    <w:rsid w:val="00CB1446"/>
    <w:rsid w:val="00CB15DC"/>
    <w:rsid w:val="00CB16B3"/>
    <w:rsid w:val="00CB1931"/>
    <w:rsid w:val="00CB2719"/>
    <w:rsid w:val="00CB2A03"/>
    <w:rsid w:val="00CB308A"/>
    <w:rsid w:val="00CB3C05"/>
    <w:rsid w:val="00CB3C8F"/>
    <w:rsid w:val="00CB3D66"/>
    <w:rsid w:val="00CB4059"/>
    <w:rsid w:val="00CB4088"/>
    <w:rsid w:val="00CB4646"/>
    <w:rsid w:val="00CB48C1"/>
    <w:rsid w:val="00CB4DA9"/>
    <w:rsid w:val="00CB522C"/>
    <w:rsid w:val="00CB54AE"/>
    <w:rsid w:val="00CB55DD"/>
    <w:rsid w:val="00CB60B5"/>
    <w:rsid w:val="00CB6653"/>
    <w:rsid w:val="00CB7450"/>
    <w:rsid w:val="00CB7C15"/>
    <w:rsid w:val="00CB7E44"/>
    <w:rsid w:val="00CC063F"/>
    <w:rsid w:val="00CC0B89"/>
    <w:rsid w:val="00CC0C33"/>
    <w:rsid w:val="00CC12CB"/>
    <w:rsid w:val="00CC147F"/>
    <w:rsid w:val="00CC180D"/>
    <w:rsid w:val="00CC2275"/>
    <w:rsid w:val="00CC2382"/>
    <w:rsid w:val="00CC2558"/>
    <w:rsid w:val="00CC2566"/>
    <w:rsid w:val="00CC3056"/>
    <w:rsid w:val="00CC3160"/>
    <w:rsid w:val="00CC3997"/>
    <w:rsid w:val="00CC3A40"/>
    <w:rsid w:val="00CC44B9"/>
    <w:rsid w:val="00CC45BB"/>
    <w:rsid w:val="00CC4B5C"/>
    <w:rsid w:val="00CC545C"/>
    <w:rsid w:val="00CC55AB"/>
    <w:rsid w:val="00CC5ADC"/>
    <w:rsid w:val="00CC5D67"/>
    <w:rsid w:val="00CC5FDE"/>
    <w:rsid w:val="00CC72A9"/>
    <w:rsid w:val="00CC7B3F"/>
    <w:rsid w:val="00CC7C9B"/>
    <w:rsid w:val="00CC7FAF"/>
    <w:rsid w:val="00CC7FEC"/>
    <w:rsid w:val="00CD0235"/>
    <w:rsid w:val="00CD09DC"/>
    <w:rsid w:val="00CD13E8"/>
    <w:rsid w:val="00CD1F94"/>
    <w:rsid w:val="00CD2063"/>
    <w:rsid w:val="00CD2589"/>
    <w:rsid w:val="00CD26AD"/>
    <w:rsid w:val="00CD2AF1"/>
    <w:rsid w:val="00CD2CD3"/>
    <w:rsid w:val="00CD3036"/>
    <w:rsid w:val="00CD309B"/>
    <w:rsid w:val="00CD313C"/>
    <w:rsid w:val="00CD3473"/>
    <w:rsid w:val="00CD39F8"/>
    <w:rsid w:val="00CD3E99"/>
    <w:rsid w:val="00CD4476"/>
    <w:rsid w:val="00CD482B"/>
    <w:rsid w:val="00CD4B1C"/>
    <w:rsid w:val="00CD53FB"/>
    <w:rsid w:val="00CD55BC"/>
    <w:rsid w:val="00CD56FA"/>
    <w:rsid w:val="00CD5837"/>
    <w:rsid w:val="00CD5B3A"/>
    <w:rsid w:val="00CD5F7C"/>
    <w:rsid w:val="00CD69FA"/>
    <w:rsid w:val="00CD6CA7"/>
    <w:rsid w:val="00CD7452"/>
    <w:rsid w:val="00CE0141"/>
    <w:rsid w:val="00CE067B"/>
    <w:rsid w:val="00CE0B0B"/>
    <w:rsid w:val="00CE0F74"/>
    <w:rsid w:val="00CE142C"/>
    <w:rsid w:val="00CE1506"/>
    <w:rsid w:val="00CE1790"/>
    <w:rsid w:val="00CE1E38"/>
    <w:rsid w:val="00CE1E5F"/>
    <w:rsid w:val="00CE2FF6"/>
    <w:rsid w:val="00CE3173"/>
    <w:rsid w:val="00CE3892"/>
    <w:rsid w:val="00CE3D1F"/>
    <w:rsid w:val="00CE4527"/>
    <w:rsid w:val="00CE4680"/>
    <w:rsid w:val="00CE4709"/>
    <w:rsid w:val="00CE4762"/>
    <w:rsid w:val="00CE4D60"/>
    <w:rsid w:val="00CE5D37"/>
    <w:rsid w:val="00CE618C"/>
    <w:rsid w:val="00CE6365"/>
    <w:rsid w:val="00CE6616"/>
    <w:rsid w:val="00CE7A9B"/>
    <w:rsid w:val="00CE7BC2"/>
    <w:rsid w:val="00CE7EAE"/>
    <w:rsid w:val="00CE7F10"/>
    <w:rsid w:val="00CF0450"/>
    <w:rsid w:val="00CF0746"/>
    <w:rsid w:val="00CF09F6"/>
    <w:rsid w:val="00CF0E70"/>
    <w:rsid w:val="00CF1499"/>
    <w:rsid w:val="00CF1571"/>
    <w:rsid w:val="00CF1E2E"/>
    <w:rsid w:val="00CF26CA"/>
    <w:rsid w:val="00CF2E29"/>
    <w:rsid w:val="00CF333B"/>
    <w:rsid w:val="00CF3498"/>
    <w:rsid w:val="00CF34E9"/>
    <w:rsid w:val="00CF3667"/>
    <w:rsid w:val="00CF3B2B"/>
    <w:rsid w:val="00CF3ED0"/>
    <w:rsid w:val="00CF471D"/>
    <w:rsid w:val="00CF4845"/>
    <w:rsid w:val="00CF4B83"/>
    <w:rsid w:val="00CF4EBC"/>
    <w:rsid w:val="00CF55F2"/>
    <w:rsid w:val="00CF5C5F"/>
    <w:rsid w:val="00CF6493"/>
    <w:rsid w:val="00CF66C9"/>
    <w:rsid w:val="00CF6E69"/>
    <w:rsid w:val="00CF7094"/>
    <w:rsid w:val="00CF731A"/>
    <w:rsid w:val="00CF78F7"/>
    <w:rsid w:val="00CF7C03"/>
    <w:rsid w:val="00D003F2"/>
    <w:rsid w:val="00D00D48"/>
    <w:rsid w:val="00D00E52"/>
    <w:rsid w:val="00D01F7C"/>
    <w:rsid w:val="00D02321"/>
    <w:rsid w:val="00D02771"/>
    <w:rsid w:val="00D02773"/>
    <w:rsid w:val="00D027B5"/>
    <w:rsid w:val="00D02B6D"/>
    <w:rsid w:val="00D02C6C"/>
    <w:rsid w:val="00D02F03"/>
    <w:rsid w:val="00D031EE"/>
    <w:rsid w:val="00D03499"/>
    <w:rsid w:val="00D03E0B"/>
    <w:rsid w:val="00D04631"/>
    <w:rsid w:val="00D04AA0"/>
    <w:rsid w:val="00D04EED"/>
    <w:rsid w:val="00D050B4"/>
    <w:rsid w:val="00D0552E"/>
    <w:rsid w:val="00D05A86"/>
    <w:rsid w:val="00D0625E"/>
    <w:rsid w:val="00D06943"/>
    <w:rsid w:val="00D07104"/>
    <w:rsid w:val="00D07242"/>
    <w:rsid w:val="00D07401"/>
    <w:rsid w:val="00D0754D"/>
    <w:rsid w:val="00D07941"/>
    <w:rsid w:val="00D10702"/>
    <w:rsid w:val="00D10C39"/>
    <w:rsid w:val="00D10E18"/>
    <w:rsid w:val="00D11CB8"/>
    <w:rsid w:val="00D11D73"/>
    <w:rsid w:val="00D124C8"/>
    <w:rsid w:val="00D125C3"/>
    <w:rsid w:val="00D12FD3"/>
    <w:rsid w:val="00D13135"/>
    <w:rsid w:val="00D13854"/>
    <w:rsid w:val="00D1394F"/>
    <w:rsid w:val="00D14090"/>
    <w:rsid w:val="00D1411D"/>
    <w:rsid w:val="00D143F1"/>
    <w:rsid w:val="00D14414"/>
    <w:rsid w:val="00D144A7"/>
    <w:rsid w:val="00D1498D"/>
    <w:rsid w:val="00D14DDC"/>
    <w:rsid w:val="00D1514B"/>
    <w:rsid w:val="00D15412"/>
    <w:rsid w:val="00D1541D"/>
    <w:rsid w:val="00D15A40"/>
    <w:rsid w:val="00D15A82"/>
    <w:rsid w:val="00D15AC0"/>
    <w:rsid w:val="00D16539"/>
    <w:rsid w:val="00D17947"/>
    <w:rsid w:val="00D205B9"/>
    <w:rsid w:val="00D20603"/>
    <w:rsid w:val="00D20F85"/>
    <w:rsid w:val="00D21394"/>
    <w:rsid w:val="00D21CB8"/>
    <w:rsid w:val="00D21D6D"/>
    <w:rsid w:val="00D2204F"/>
    <w:rsid w:val="00D22107"/>
    <w:rsid w:val="00D225CE"/>
    <w:rsid w:val="00D22D8B"/>
    <w:rsid w:val="00D22F05"/>
    <w:rsid w:val="00D233E1"/>
    <w:rsid w:val="00D23656"/>
    <w:rsid w:val="00D237E9"/>
    <w:rsid w:val="00D239DD"/>
    <w:rsid w:val="00D243CD"/>
    <w:rsid w:val="00D24437"/>
    <w:rsid w:val="00D2476D"/>
    <w:rsid w:val="00D2496D"/>
    <w:rsid w:val="00D2533B"/>
    <w:rsid w:val="00D2561C"/>
    <w:rsid w:val="00D25F1D"/>
    <w:rsid w:val="00D2674A"/>
    <w:rsid w:val="00D26D86"/>
    <w:rsid w:val="00D2704C"/>
    <w:rsid w:val="00D272AF"/>
    <w:rsid w:val="00D27B13"/>
    <w:rsid w:val="00D3020D"/>
    <w:rsid w:val="00D30328"/>
    <w:rsid w:val="00D3035F"/>
    <w:rsid w:val="00D30607"/>
    <w:rsid w:val="00D307A8"/>
    <w:rsid w:val="00D31F1D"/>
    <w:rsid w:val="00D3200B"/>
    <w:rsid w:val="00D320DF"/>
    <w:rsid w:val="00D3274A"/>
    <w:rsid w:val="00D32780"/>
    <w:rsid w:val="00D32C45"/>
    <w:rsid w:val="00D32D95"/>
    <w:rsid w:val="00D331C9"/>
    <w:rsid w:val="00D334F6"/>
    <w:rsid w:val="00D33684"/>
    <w:rsid w:val="00D33B78"/>
    <w:rsid w:val="00D33F4D"/>
    <w:rsid w:val="00D34088"/>
    <w:rsid w:val="00D342CC"/>
    <w:rsid w:val="00D344DE"/>
    <w:rsid w:val="00D34815"/>
    <w:rsid w:val="00D351EB"/>
    <w:rsid w:val="00D354DC"/>
    <w:rsid w:val="00D36787"/>
    <w:rsid w:val="00D36F1D"/>
    <w:rsid w:val="00D375CB"/>
    <w:rsid w:val="00D3783A"/>
    <w:rsid w:val="00D40239"/>
    <w:rsid w:val="00D403F4"/>
    <w:rsid w:val="00D40481"/>
    <w:rsid w:val="00D40602"/>
    <w:rsid w:val="00D40E12"/>
    <w:rsid w:val="00D41ACC"/>
    <w:rsid w:val="00D41D78"/>
    <w:rsid w:val="00D426C9"/>
    <w:rsid w:val="00D42BA7"/>
    <w:rsid w:val="00D42C09"/>
    <w:rsid w:val="00D42F72"/>
    <w:rsid w:val="00D43563"/>
    <w:rsid w:val="00D43CDE"/>
    <w:rsid w:val="00D4400E"/>
    <w:rsid w:val="00D440A0"/>
    <w:rsid w:val="00D44112"/>
    <w:rsid w:val="00D443E7"/>
    <w:rsid w:val="00D443F9"/>
    <w:rsid w:val="00D44A80"/>
    <w:rsid w:val="00D45496"/>
    <w:rsid w:val="00D454B9"/>
    <w:rsid w:val="00D45C26"/>
    <w:rsid w:val="00D45F33"/>
    <w:rsid w:val="00D4665C"/>
    <w:rsid w:val="00D468AE"/>
    <w:rsid w:val="00D46D67"/>
    <w:rsid w:val="00D47C75"/>
    <w:rsid w:val="00D50BE9"/>
    <w:rsid w:val="00D51114"/>
    <w:rsid w:val="00D51354"/>
    <w:rsid w:val="00D51C23"/>
    <w:rsid w:val="00D51CBF"/>
    <w:rsid w:val="00D52472"/>
    <w:rsid w:val="00D52803"/>
    <w:rsid w:val="00D52F38"/>
    <w:rsid w:val="00D53185"/>
    <w:rsid w:val="00D5383D"/>
    <w:rsid w:val="00D541A7"/>
    <w:rsid w:val="00D542B1"/>
    <w:rsid w:val="00D54594"/>
    <w:rsid w:val="00D547D7"/>
    <w:rsid w:val="00D54AC9"/>
    <w:rsid w:val="00D54D76"/>
    <w:rsid w:val="00D54EA2"/>
    <w:rsid w:val="00D55214"/>
    <w:rsid w:val="00D55D82"/>
    <w:rsid w:val="00D56326"/>
    <w:rsid w:val="00D5641B"/>
    <w:rsid w:val="00D568D8"/>
    <w:rsid w:val="00D573E7"/>
    <w:rsid w:val="00D5786E"/>
    <w:rsid w:val="00D579DB"/>
    <w:rsid w:val="00D57AA7"/>
    <w:rsid w:val="00D57E52"/>
    <w:rsid w:val="00D606B2"/>
    <w:rsid w:val="00D607DF"/>
    <w:rsid w:val="00D60BCE"/>
    <w:rsid w:val="00D60E52"/>
    <w:rsid w:val="00D61250"/>
    <w:rsid w:val="00D61C68"/>
    <w:rsid w:val="00D61E4D"/>
    <w:rsid w:val="00D622A1"/>
    <w:rsid w:val="00D62470"/>
    <w:rsid w:val="00D6275D"/>
    <w:rsid w:val="00D62A07"/>
    <w:rsid w:val="00D62A09"/>
    <w:rsid w:val="00D62ABC"/>
    <w:rsid w:val="00D62BE7"/>
    <w:rsid w:val="00D62DC9"/>
    <w:rsid w:val="00D62EAC"/>
    <w:rsid w:val="00D6311A"/>
    <w:rsid w:val="00D631D9"/>
    <w:rsid w:val="00D63265"/>
    <w:rsid w:val="00D63666"/>
    <w:rsid w:val="00D64DE1"/>
    <w:rsid w:val="00D65176"/>
    <w:rsid w:val="00D653E2"/>
    <w:rsid w:val="00D658B7"/>
    <w:rsid w:val="00D65C76"/>
    <w:rsid w:val="00D65CCA"/>
    <w:rsid w:val="00D65DAA"/>
    <w:rsid w:val="00D66209"/>
    <w:rsid w:val="00D66441"/>
    <w:rsid w:val="00D66D97"/>
    <w:rsid w:val="00D66F9F"/>
    <w:rsid w:val="00D67C79"/>
    <w:rsid w:val="00D700AC"/>
    <w:rsid w:val="00D70567"/>
    <w:rsid w:val="00D7078D"/>
    <w:rsid w:val="00D709CC"/>
    <w:rsid w:val="00D71065"/>
    <w:rsid w:val="00D71BCE"/>
    <w:rsid w:val="00D71C54"/>
    <w:rsid w:val="00D720F2"/>
    <w:rsid w:val="00D72107"/>
    <w:rsid w:val="00D72487"/>
    <w:rsid w:val="00D73020"/>
    <w:rsid w:val="00D730B1"/>
    <w:rsid w:val="00D74224"/>
    <w:rsid w:val="00D742F4"/>
    <w:rsid w:val="00D7487E"/>
    <w:rsid w:val="00D74C86"/>
    <w:rsid w:val="00D75F94"/>
    <w:rsid w:val="00D7615A"/>
    <w:rsid w:val="00D7690E"/>
    <w:rsid w:val="00D76BF5"/>
    <w:rsid w:val="00D76ED3"/>
    <w:rsid w:val="00D77257"/>
    <w:rsid w:val="00D77259"/>
    <w:rsid w:val="00D80392"/>
    <w:rsid w:val="00D80657"/>
    <w:rsid w:val="00D80D18"/>
    <w:rsid w:val="00D814E5"/>
    <w:rsid w:val="00D819EE"/>
    <w:rsid w:val="00D82595"/>
    <w:rsid w:val="00D825E8"/>
    <w:rsid w:val="00D83175"/>
    <w:rsid w:val="00D835A3"/>
    <w:rsid w:val="00D8390F"/>
    <w:rsid w:val="00D840C1"/>
    <w:rsid w:val="00D84325"/>
    <w:rsid w:val="00D84CC7"/>
    <w:rsid w:val="00D84F6D"/>
    <w:rsid w:val="00D8505D"/>
    <w:rsid w:val="00D857B4"/>
    <w:rsid w:val="00D85CAE"/>
    <w:rsid w:val="00D8604E"/>
    <w:rsid w:val="00D86360"/>
    <w:rsid w:val="00D86833"/>
    <w:rsid w:val="00D871DB"/>
    <w:rsid w:val="00D8782E"/>
    <w:rsid w:val="00D87EAB"/>
    <w:rsid w:val="00D90267"/>
    <w:rsid w:val="00D907DB"/>
    <w:rsid w:val="00D90C0F"/>
    <w:rsid w:val="00D90C21"/>
    <w:rsid w:val="00D9101F"/>
    <w:rsid w:val="00D915A1"/>
    <w:rsid w:val="00D91C6A"/>
    <w:rsid w:val="00D91D91"/>
    <w:rsid w:val="00D921D3"/>
    <w:rsid w:val="00D93823"/>
    <w:rsid w:val="00D93AF3"/>
    <w:rsid w:val="00D946C7"/>
    <w:rsid w:val="00D95120"/>
    <w:rsid w:val="00D951B0"/>
    <w:rsid w:val="00D9581E"/>
    <w:rsid w:val="00D958C1"/>
    <w:rsid w:val="00D95C75"/>
    <w:rsid w:val="00D95FE4"/>
    <w:rsid w:val="00D9632E"/>
    <w:rsid w:val="00D966C3"/>
    <w:rsid w:val="00D96745"/>
    <w:rsid w:val="00D96DC7"/>
    <w:rsid w:val="00D97253"/>
    <w:rsid w:val="00D9738F"/>
    <w:rsid w:val="00DA01B5"/>
    <w:rsid w:val="00DA059D"/>
    <w:rsid w:val="00DA069A"/>
    <w:rsid w:val="00DA08C8"/>
    <w:rsid w:val="00DA090A"/>
    <w:rsid w:val="00DA0977"/>
    <w:rsid w:val="00DA17F7"/>
    <w:rsid w:val="00DA1825"/>
    <w:rsid w:val="00DA19D8"/>
    <w:rsid w:val="00DA1BDF"/>
    <w:rsid w:val="00DA1E1B"/>
    <w:rsid w:val="00DA2002"/>
    <w:rsid w:val="00DA22EB"/>
    <w:rsid w:val="00DA23D0"/>
    <w:rsid w:val="00DA24CE"/>
    <w:rsid w:val="00DA25F8"/>
    <w:rsid w:val="00DA2799"/>
    <w:rsid w:val="00DA2D65"/>
    <w:rsid w:val="00DA2E5C"/>
    <w:rsid w:val="00DA36A6"/>
    <w:rsid w:val="00DA37C8"/>
    <w:rsid w:val="00DA3E3C"/>
    <w:rsid w:val="00DA3E76"/>
    <w:rsid w:val="00DA42C0"/>
    <w:rsid w:val="00DA485B"/>
    <w:rsid w:val="00DA4873"/>
    <w:rsid w:val="00DA5524"/>
    <w:rsid w:val="00DA5776"/>
    <w:rsid w:val="00DA62B0"/>
    <w:rsid w:val="00DA660B"/>
    <w:rsid w:val="00DA6AD3"/>
    <w:rsid w:val="00DA6DA4"/>
    <w:rsid w:val="00DA721E"/>
    <w:rsid w:val="00DA73C1"/>
    <w:rsid w:val="00DA78D5"/>
    <w:rsid w:val="00DB018E"/>
    <w:rsid w:val="00DB08E1"/>
    <w:rsid w:val="00DB0D85"/>
    <w:rsid w:val="00DB0EBC"/>
    <w:rsid w:val="00DB0F91"/>
    <w:rsid w:val="00DB1038"/>
    <w:rsid w:val="00DB28FE"/>
    <w:rsid w:val="00DB2DAC"/>
    <w:rsid w:val="00DB3673"/>
    <w:rsid w:val="00DB3D09"/>
    <w:rsid w:val="00DB462C"/>
    <w:rsid w:val="00DB49A6"/>
    <w:rsid w:val="00DB4E3E"/>
    <w:rsid w:val="00DB5284"/>
    <w:rsid w:val="00DB5593"/>
    <w:rsid w:val="00DB56BA"/>
    <w:rsid w:val="00DB5A23"/>
    <w:rsid w:val="00DB5D7A"/>
    <w:rsid w:val="00DB608E"/>
    <w:rsid w:val="00DB65E2"/>
    <w:rsid w:val="00DB6735"/>
    <w:rsid w:val="00DB7255"/>
    <w:rsid w:val="00DB759B"/>
    <w:rsid w:val="00DB75F3"/>
    <w:rsid w:val="00DB795E"/>
    <w:rsid w:val="00DB7B4A"/>
    <w:rsid w:val="00DC037A"/>
    <w:rsid w:val="00DC0762"/>
    <w:rsid w:val="00DC147D"/>
    <w:rsid w:val="00DC1D61"/>
    <w:rsid w:val="00DC24F3"/>
    <w:rsid w:val="00DC2639"/>
    <w:rsid w:val="00DC30D7"/>
    <w:rsid w:val="00DC33D8"/>
    <w:rsid w:val="00DC3442"/>
    <w:rsid w:val="00DC3B23"/>
    <w:rsid w:val="00DC3C78"/>
    <w:rsid w:val="00DC4097"/>
    <w:rsid w:val="00DC4428"/>
    <w:rsid w:val="00DC4AEB"/>
    <w:rsid w:val="00DC5128"/>
    <w:rsid w:val="00DC53B9"/>
    <w:rsid w:val="00DC618B"/>
    <w:rsid w:val="00DC68FE"/>
    <w:rsid w:val="00DC69ED"/>
    <w:rsid w:val="00DC6BFD"/>
    <w:rsid w:val="00DC6EE8"/>
    <w:rsid w:val="00DC6F7E"/>
    <w:rsid w:val="00DC7057"/>
    <w:rsid w:val="00DC70BB"/>
    <w:rsid w:val="00DC7266"/>
    <w:rsid w:val="00DC759F"/>
    <w:rsid w:val="00DC776C"/>
    <w:rsid w:val="00DD0123"/>
    <w:rsid w:val="00DD04E2"/>
    <w:rsid w:val="00DD0586"/>
    <w:rsid w:val="00DD0741"/>
    <w:rsid w:val="00DD0E94"/>
    <w:rsid w:val="00DD14BF"/>
    <w:rsid w:val="00DD1AD5"/>
    <w:rsid w:val="00DD1C10"/>
    <w:rsid w:val="00DD1DB1"/>
    <w:rsid w:val="00DD2172"/>
    <w:rsid w:val="00DD22FB"/>
    <w:rsid w:val="00DD2ED1"/>
    <w:rsid w:val="00DD2F58"/>
    <w:rsid w:val="00DD496E"/>
    <w:rsid w:val="00DD5031"/>
    <w:rsid w:val="00DD582D"/>
    <w:rsid w:val="00DD5B20"/>
    <w:rsid w:val="00DD604F"/>
    <w:rsid w:val="00DD6050"/>
    <w:rsid w:val="00DD611C"/>
    <w:rsid w:val="00DD6A5C"/>
    <w:rsid w:val="00DD6AFF"/>
    <w:rsid w:val="00DD6F6B"/>
    <w:rsid w:val="00DD71A6"/>
    <w:rsid w:val="00DD7DE7"/>
    <w:rsid w:val="00DD7E28"/>
    <w:rsid w:val="00DD7EE8"/>
    <w:rsid w:val="00DD7FBC"/>
    <w:rsid w:val="00DE07E5"/>
    <w:rsid w:val="00DE0D29"/>
    <w:rsid w:val="00DE0FD9"/>
    <w:rsid w:val="00DE10AD"/>
    <w:rsid w:val="00DE13BA"/>
    <w:rsid w:val="00DE1504"/>
    <w:rsid w:val="00DE1C14"/>
    <w:rsid w:val="00DE1CF2"/>
    <w:rsid w:val="00DE20CB"/>
    <w:rsid w:val="00DE310D"/>
    <w:rsid w:val="00DE3116"/>
    <w:rsid w:val="00DE3348"/>
    <w:rsid w:val="00DE3DEE"/>
    <w:rsid w:val="00DE45E4"/>
    <w:rsid w:val="00DE4886"/>
    <w:rsid w:val="00DE48E2"/>
    <w:rsid w:val="00DE4B1E"/>
    <w:rsid w:val="00DE4E25"/>
    <w:rsid w:val="00DE6760"/>
    <w:rsid w:val="00DE67F8"/>
    <w:rsid w:val="00DE7021"/>
    <w:rsid w:val="00DE717E"/>
    <w:rsid w:val="00DE7AC4"/>
    <w:rsid w:val="00DF05D2"/>
    <w:rsid w:val="00DF090E"/>
    <w:rsid w:val="00DF1080"/>
    <w:rsid w:val="00DF15AB"/>
    <w:rsid w:val="00DF17D6"/>
    <w:rsid w:val="00DF18BA"/>
    <w:rsid w:val="00DF18BE"/>
    <w:rsid w:val="00DF1A01"/>
    <w:rsid w:val="00DF1BFC"/>
    <w:rsid w:val="00DF220F"/>
    <w:rsid w:val="00DF2536"/>
    <w:rsid w:val="00DF34B5"/>
    <w:rsid w:val="00DF3751"/>
    <w:rsid w:val="00DF3ABF"/>
    <w:rsid w:val="00DF3E09"/>
    <w:rsid w:val="00DF41C1"/>
    <w:rsid w:val="00DF48A8"/>
    <w:rsid w:val="00DF4967"/>
    <w:rsid w:val="00DF4A06"/>
    <w:rsid w:val="00DF4C25"/>
    <w:rsid w:val="00DF5128"/>
    <w:rsid w:val="00DF56E1"/>
    <w:rsid w:val="00DF62B0"/>
    <w:rsid w:val="00DF6479"/>
    <w:rsid w:val="00DF6DFD"/>
    <w:rsid w:val="00DF6E43"/>
    <w:rsid w:val="00DF6F41"/>
    <w:rsid w:val="00DF7EF5"/>
    <w:rsid w:val="00E00016"/>
    <w:rsid w:val="00E00A87"/>
    <w:rsid w:val="00E00E94"/>
    <w:rsid w:val="00E0114B"/>
    <w:rsid w:val="00E01150"/>
    <w:rsid w:val="00E015E4"/>
    <w:rsid w:val="00E01611"/>
    <w:rsid w:val="00E0170A"/>
    <w:rsid w:val="00E01C7F"/>
    <w:rsid w:val="00E02645"/>
    <w:rsid w:val="00E02873"/>
    <w:rsid w:val="00E028B5"/>
    <w:rsid w:val="00E03033"/>
    <w:rsid w:val="00E03060"/>
    <w:rsid w:val="00E03754"/>
    <w:rsid w:val="00E03B88"/>
    <w:rsid w:val="00E03E43"/>
    <w:rsid w:val="00E03EB1"/>
    <w:rsid w:val="00E0425C"/>
    <w:rsid w:val="00E04276"/>
    <w:rsid w:val="00E042FF"/>
    <w:rsid w:val="00E05368"/>
    <w:rsid w:val="00E069BE"/>
    <w:rsid w:val="00E06BA6"/>
    <w:rsid w:val="00E06C63"/>
    <w:rsid w:val="00E07F17"/>
    <w:rsid w:val="00E1028B"/>
    <w:rsid w:val="00E10906"/>
    <w:rsid w:val="00E10B93"/>
    <w:rsid w:val="00E10C73"/>
    <w:rsid w:val="00E10E39"/>
    <w:rsid w:val="00E11147"/>
    <w:rsid w:val="00E11973"/>
    <w:rsid w:val="00E11A52"/>
    <w:rsid w:val="00E11B9F"/>
    <w:rsid w:val="00E11DE5"/>
    <w:rsid w:val="00E12F86"/>
    <w:rsid w:val="00E13017"/>
    <w:rsid w:val="00E13678"/>
    <w:rsid w:val="00E13E5D"/>
    <w:rsid w:val="00E14CCD"/>
    <w:rsid w:val="00E15354"/>
    <w:rsid w:val="00E1548D"/>
    <w:rsid w:val="00E15DDE"/>
    <w:rsid w:val="00E15E64"/>
    <w:rsid w:val="00E1640F"/>
    <w:rsid w:val="00E168C3"/>
    <w:rsid w:val="00E16907"/>
    <w:rsid w:val="00E16A5A"/>
    <w:rsid w:val="00E16E10"/>
    <w:rsid w:val="00E1747F"/>
    <w:rsid w:val="00E17597"/>
    <w:rsid w:val="00E175DC"/>
    <w:rsid w:val="00E177C7"/>
    <w:rsid w:val="00E1797C"/>
    <w:rsid w:val="00E179CA"/>
    <w:rsid w:val="00E17C6F"/>
    <w:rsid w:val="00E20082"/>
    <w:rsid w:val="00E20326"/>
    <w:rsid w:val="00E206EF"/>
    <w:rsid w:val="00E20CA4"/>
    <w:rsid w:val="00E20D1B"/>
    <w:rsid w:val="00E215C9"/>
    <w:rsid w:val="00E2164E"/>
    <w:rsid w:val="00E2235A"/>
    <w:rsid w:val="00E23B9A"/>
    <w:rsid w:val="00E23C30"/>
    <w:rsid w:val="00E24143"/>
    <w:rsid w:val="00E24927"/>
    <w:rsid w:val="00E24C7B"/>
    <w:rsid w:val="00E250E7"/>
    <w:rsid w:val="00E25211"/>
    <w:rsid w:val="00E25555"/>
    <w:rsid w:val="00E25752"/>
    <w:rsid w:val="00E25CE1"/>
    <w:rsid w:val="00E25D9A"/>
    <w:rsid w:val="00E26611"/>
    <w:rsid w:val="00E26A75"/>
    <w:rsid w:val="00E26C56"/>
    <w:rsid w:val="00E26CBC"/>
    <w:rsid w:val="00E26DF7"/>
    <w:rsid w:val="00E27163"/>
    <w:rsid w:val="00E27404"/>
    <w:rsid w:val="00E27CE6"/>
    <w:rsid w:val="00E27D22"/>
    <w:rsid w:val="00E301C4"/>
    <w:rsid w:val="00E301C9"/>
    <w:rsid w:val="00E30406"/>
    <w:rsid w:val="00E30907"/>
    <w:rsid w:val="00E3214E"/>
    <w:rsid w:val="00E3226F"/>
    <w:rsid w:val="00E32F99"/>
    <w:rsid w:val="00E33111"/>
    <w:rsid w:val="00E33724"/>
    <w:rsid w:val="00E33B7D"/>
    <w:rsid w:val="00E3432E"/>
    <w:rsid w:val="00E352F7"/>
    <w:rsid w:val="00E356DC"/>
    <w:rsid w:val="00E35D09"/>
    <w:rsid w:val="00E35F51"/>
    <w:rsid w:val="00E36773"/>
    <w:rsid w:val="00E369C2"/>
    <w:rsid w:val="00E36B3A"/>
    <w:rsid w:val="00E37127"/>
    <w:rsid w:val="00E3785B"/>
    <w:rsid w:val="00E400CE"/>
    <w:rsid w:val="00E4091F"/>
    <w:rsid w:val="00E4112E"/>
    <w:rsid w:val="00E41314"/>
    <w:rsid w:val="00E419C5"/>
    <w:rsid w:val="00E41E15"/>
    <w:rsid w:val="00E43050"/>
    <w:rsid w:val="00E43402"/>
    <w:rsid w:val="00E43891"/>
    <w:rsid w:val="00E43986"/>
    <w:rsid w:val="00E448CE"/>
    <w:rsid w:val="00E44E67"/>
    <w:rsid w:val="00E45197"/>
    <w:rsid w:val="00E451C7"/>
    <w:rsid w:val="00E454BB"/>
    <w:rsid w:val="00E45808"/>
    <w:rsid w:val="00E45B96"/>
    <w:rsid w:val="00E45DB4"/>
    <w:rsid w:val="00E462EF"/>
    <w:rsid w:val="00E4659D"/>
    <w:rsid w:val="00E466B5"/>
    <w:rsid w:val="00E46CA3"/>
    <w:rsid w:val="00E46CB0"/>
    <w:rsid w:val="00E47188"/>
    <w:rsid w:val="00E47528"/>
    <w:rsid w:val="00E47DE8"/>
    <w:rsid w:val="00E50130"/>
    <w:rsid w:val="00E50273"/>
    <w:rsid w:val="00E50597"/>
    <w:rsid w:val="00E5072C"/>
    <w:rsid w:val="00E50A9B"/>
    <w:rsid w:val="00E50E74"/>
    <w:rsid w:val="00E50F98"/>
    <w:rsid w:val="00E51A7E"/>
    <w:rsid w:val="00E520BE"/>
    <w:rsid w:val="00E52158"/>
    <w:rsid w:val="00E525F8"/>
    <w:rsid w:val="00E52618"/>
    <w:rsid w:val="00E528AA"/>
    <w:rsid w:val="00E52A40"/>
    <w:rsid w:val="00E5344C"/>
    <w:rsid w:val="00E5389A"/>
    <w:rsid w:val="00E53FE2"/>
    <w:rsid w:val="00E5424B"/>
    <w:rsid w:val="00E54423"/>
    <w:rsid w:val="00E54436"/>
    <w:rsid w:val="00E54615"/>
    <w:rsid w:val="00E5468D"/>
    <w:rsid w:val="00E548F5"/>
    <w:rsid w:val="00E54ACC"/>
    <w:rsid w:val="00E55CA6"/>
    <w:rsid w:val="00E55E7A"/>
    <w:rsid w:val="00E563C7"/>
    <w:rsid w:val="00E56759"/>
    <w:rsid w:val="00E56EC3"/>
    <w:rsid w:val="00E570C8"/>
    <w:rsid w:val="00E574A3"/>
    <w:rsid w:val="00E60204"/>
    <w:rsid w:val="00E60576"/>
    <w:rsid w:val="00E615A5"/>
    <w:rsid w:val="00E617E5"/>
    <w:rsid w:val="00E61CC9"/>
    <w:rsid w:val="00E61D00"/>
    <w:rsid w:val="00E61ED8"/>
    <w:rsid w:val="00E62991"/>
    <w:rsid w:val="00E62A1C"/>
    <w:rsid w:val="00E630C4"/>
    <w:rsid w:val="00E63364"/>
    <w:rsid w:val="00E6393A"/>
    <w:rsid w:val="00E64D1F"/>
    <w:rsid w:val="00E65261"/>
    <w:rsid w:val="00E65A53"/>
    <w:rsid w:val="00E65BCE"/>
    <w:rsid w:val="00E66093"/>
    <w:rsid w:val="00E66678"/>
    <w:rsid w:val="00E668FA"/>
    <w:rsid w:val="00E66962"/>
    <w:rsid w:val="00E66A69"/>
    <w:rsid w:val="00E67810"/>
    <w:rsid w:val="00E70009"/>
    <w:rsid w:val="00E705E5"/>
    <w:rsid w:val="00E707B0"/>
    <w:rsid w:val="00E70BC6"/>
    <w:rsid w:val="00E7152C"/>
    <w:rsid w:val="00E7228E"/>
    <w:rsid w:val="00E728EA"/>
    <w:rsid w:val="00E72EA5"/>
    <w:rsid w:val="00E73276"/>
    <w:rsid w:val="00E73330"/>
    <w:rsid w:val="00E73539"/>
    <w:rsid w:val="00E738A3"/>
    <w:rsid w:val="00E73AFC"/>
    <w:rsid w:val="00E73BE2"/>
    <w:rsid w:val="00E74688"/>
    <w:rsid w:val="00E7528B"/>
    <w:rsid w:val="00E753CB"/>
    <w:rsid w:val="00E75E07"/>
    <w:rsid w:val="00E75F44"/>
    <w:rsid w:val="00E76346"/>
    <w:rsid w:val="00E763AA"/>
    <w:rsid w:val="00E76548"/>
    <w:rsid w:val="00E7659B"/>
    <w:rsid w:val="00E77097"/>
    <w:rsid w:val="00E770CF"/>
    <w:rsid w:val="00E77702"/>
    <w:rsid w:val="00E80A24"/>
    <w:rsid w:val="00E80C85"/>
    <w:rsid w:val="00E80E34"/>
    <w:rsid w:val="00E810F1"/>
    <w:rsid w:val="00E81311"/>
    <w:rsid w:val="00E817ED"/>
    <w:rsid w:val="00E818C4"/>
    <w:rsid w:val="00E81B98"/>
    <w:rsid w:val="00E81C1D"/>
    <w:rsid w:val="00E8208A"/>
    <w:rsid w:val="00E82C38"/>
    <w:rsid w:val="00E82FFE"/>
    <w:rsid w:val="00E8386F"/>
    <w:rsid w:val="00E83C11"/>
    <w:rsid w:val="00E8418D"/>
    <w:rsid w:val="00E8420A"/>
    <w:rsid w:val="00E849A4"/>
    <w:rsid w:val="00E84B4E"/>
    <w:rsid w:val="00E84C38"/>
    <w:rsid w:val="00E84DD6"/>
    <w:rsid w:val="00E851BC"/>
    <w:rsid w:val="00E8564A"/>
    <w:rsid w:val="00E85A98"/>
    <w:rsid w:val="00E85D96"/>
    <w:rsid w:val="00E85E7F"/>
    <w:rsid w:val="00E861AD"/>
    <w:rsid w:val="00E86283"/>
    <w:rsid w:val="00E863D2"/>
    <w:rsid w:val="00E864EA"/>
    <w:rsid w:val="00E865F4"/>
    <w:rsid w:val="00E868F6"/>
    <w:rsid w:val="00E86C6F"/>
    <w:rsid w:val="00E8758E"/>
    <w:rsid w:val="00E8765E"/>
    <w:rsid w:val="00E87D71"/>
    <w:rsid w:val="00E87DD3"/>
    <w:rsid w:val="00E900EE"/>
    <w:rsid w:val="00E90185"/>
    <w:rsid w:val="00E90DEC"/>
    <w:rsid w:val="00E91374"/>
    <w:rsid w:val="00E91A0A"/>
    <w:rsid w:val="00E91A6E"/>
    <w:rsid w:val="00E91B54"/>
    <w:rsid w:val="00E921DF"/>
    <w:rsid w:val="00E9273D"/>
    <w:rsid w:val="00E9298F"/>
    <w:rsid w:val="00E93279"/>
    <w:rsid w:val="00E93456"/>
    <w:rsid w:val="00E936EF"/>
    <w:rsid w:val="00E93804"/>
    <w:rsid w:val="00E938C5"/>
    <w:rsid w:val="00E93AED"/>
    <w:rsid w:val="00E93B6E"/>
    <w:rsid w:val="00E93E27"/>
    <w:rsid w:val="00E93F1F"/>
    <w:rsid w:val="00E9441C"/>
    <w:rsid w:val="00E94638"/>
    <w:rsid w:val="00E94AF4"/>
    <w:rsid w:val="00E94C2A"/>
    <w:rsid w:val="00E950AB"/>
    <w:rsid w:val="00E955F7"/>
    <w:rsid w:val="00E95743"/>
    <w:rsid w:val="00E95767"/>
    <w:rsid w:val="00E95CE1"/>
    <w:rsid w:val="00E95EF9"/>
    <w:rsid w:val="00E95F82"/>
    <w:rsid w:val="00E960F1"/>
    <w:rsid w:val="00E96606"/>
    <w:rsid w:val="00E979A4"/>
    <w:rsid w:val="00E97ADF"/>
    <w:rsid w:val="00EA02CB"/>
    <w:rsid w:val="00EA0580"/>
    <w:rsid w:val="00EA07D4"/>
    <w:rsid w:val="00EA081E"/>
    <w:rsid w:val="00EA10DC"/>
    <w:rsid w:val="00EA168A"/>
    <w:rsid w:val="00EA1889"/>
    <w:rsid w:val="00EA1BC7"/>
    <w:rsid w:val="00EA1E6D"/>
    <w:rsid w:val="00EA1EBE"/>
    <w:rsid w:val="00EA20F4"/>
    <w:rsid w:val="00EA235C"/>
    <w:rsid w:val="00EA2737"/>
    <w:rsid w:val="00EA31F2"/>
    <w:rsid w:val="00EA3A32"/>
    <w:rsid w:val="00EA405D"/>
    <w:rsid w:val="00EA4A89"/>
    <w:rsid w:val="00EA4BE3"/>
    <w:rsid w:val="00EA4DBD"/>
    <w:rsid w:val="00EA4E66"/>
    <w:rsid w:val="00EA4E6D"/>
    <w:rsid w:val="00EA51BA"/>
    <w:rsid w:val="00EA5445"/>
    <w:rsid w:val="00EA5A76"/>
    <w:rsid w:val="00EA6052"/>
    <w:rsid w:val="00EA638C"/>
    <w:rsid w:val="00EA71CC"/>
    <w:rsid w:val="00EA7287"/>
    <w:rsid w:val="00EA7B3B"/>
    <w:rsid w:val="00EA7E47"/>
    <w:rsid w:val="00EB00B3"/>
    <w:rsid w:val="00EB04BF"/>
    <w:rsid w:val="00EB0C08"/>
    <w:rsid w:val="00EB0C53"/>
    <w:rsid w:val="00EB2256"/>
    <w:rsid w:val="00EB23FD"/>
    <w:rsid w:val="00EB31EA"/>
    <w:rsid w:val="00EB3A9F"/>
    <w:rsid w:val="00EB3BA4"/>
    <w:rsid w:val="00EB3D3E"/>
    <w:rsid w:val="00EB42FE"/>
    <w:rsid w:val="00EB4304"/>
    <w:rsid w:val="00EB44FD"/>
    <w:rsid w:val="00EB4B14"/>
    <w:rsid w:val="00EB4F01"/>
    <w:rsid w:val="00EB513A"/>
    <w:rsid w:val="00EB5389"/>
    <w:rsid w:val="00EB56E5"/>
    <w:rsid w:val="00EB6238"/>
    <w:rsid w:val="00EB6398"/>
    <w:rsid w:val="00EB6B1E"/>
    <w:rsid w:val="00EB6C51"/>
    <w:rsid w:val="00EB746C"/>
    <w:rsid w:val="00EB7F6C"/>
    <w:rsid w:val="00EB7F77"/>
    <w:rsid w:val="00EC0099"/>
    <w:rsid w:val="00EC029D"/>
    <w:rsid w:val="00EC03CA"/>
    <w:rsid w:val="00EC0B7C"/>
    <w:rsid w:val="00EC146A"/>
    <w:rsid w:val="00EC1FA9"/>
    <w:rsid w:val="00EC22AF"/>
    <w:rsid w:val="00EC2517"/>
    <w:rsid w:val="00EC26AD"/>
    <w:rsid w:val="00EC2FC3"/>
    <w:rsid w:val="00EC3515"/>
    <w:rsid w:val="00EC3FF1"/>
    <w:rsid w:val="00EC4902"/>
    <w:rsid w:val="00EC4E4D"/>
    <w:rsid w:val="00EC5712"/>
    <w:rsid w:val="00EC5900"/>
    <w:rsid w:val="00EC5E04"/>
    <w:rsid w:val="00EC7362"/>
    <w:rsid w:val="00EC7937"/>
    <w:rsid w:val="00EC7FCA"/>
    <w:rsid w:val="00ED01AF"/>
    <w:rsid w:val="00ED035B"/>
    <w:rsid w:val="00ED0ADE"/>
    <w:rsid w:val="00ED0B1B"/>
    <w:rsid w:val="00ED0F27"/>
    <w:rsid w:val="00ED12E0"/>
    <w:rsid w:val="00ED1D03"/>
    <w:rsid w:val="00ED273B"/>
    <w:rsid w:val="00ED2CDC"/>
    <w:rsid w:val="00ED2FF3"/>
    <w:rsid w:val="00ED342E"/>
    <w:rsid w:val="00ED3A0D"/>
    <w:rsid w:val="00ED3E2F"/>
    <w:rsid w:val="00ED44A6"/>
    <w:rsid w:val="00ED47D6"/>
    <w:rsid w:val="00ED4B03"/>
    <w:rsid w:val="00ED5317"/>
    <w:rsid w:val="00ED547D"/>
    <w:rsid w:val="00ED5959"/>
    <w:rsid w:val="00ED5971"/>
    <w:rsid w:val="00ED5A14"/>
    <w:rsid w:val="00ED5F4D"/>
    <w:rsid w:val="00ED6194"/>
    <w:rsid w:val="00ED6D97"/>
    <w:rsid w:val="00ED6F95"/>
    <w:rsid w:val="00ED7135"/>
    <w:rsid w:val="00ED715C"/>
    <w:rsid w:val="00ED74C6"/>
    <w:rsid w:val="00ED7B48"/>
    <w:rsid w:val="00EE002F"/>
    <w:rsid w:val="00EE01B1"/>
    <w:rsid w:val="00EE05E8"/>
    <w:rsid w:val="00EE0CB7"/>
    <w:rsid w:val="00EE1452"/>
    <w:rsid w:val="00EE1A41"/>
    <w:rsid w:val="00EE1A6C"/>
    <w:rsid w:val="00EE1AF5"/>
    <w:rsid w:val="00EE2102"/>
    <w:rsid w:val="00EE23E5"/>
    <w:rsid w:val="00EE293F"/>
    <w:rsid w:val="00EE2D74"/>
    <w:rsid w:val="00EE3B7D"/>
    <w:rsid w:val="00EE3D10"/>
    <w:rsid w:val="00EE3F17"/>
    <w:rsid w:val="00EE3F6A"/>
    <w:rsid w:val="00EE42A9"/>
    <w:rsid w:val="00EE4330"/>
    <w:rsid w:val="00EE4BB6"/>
    <w:rsid w:val="00EE4CDE"/>
    <w:rsid w:val="00EE4D5A"/>
    <w:rsid w:val="00EE4F9B"/>
    <w:rsid w:val="00EE5384"/>
    <w:rsid w:val="00EE55FB"/>
    <w:rsid w:val="00EE5944"/>
    <w:rsid w:val="00EE59D6"/>
    <w:rsid w:val="00EE5C11"/>
    <w:rsid w:val="00EE61C7"/>
    <w:rsid w:val="00EE6570"/>
    <w:rsid w:val="00EE70EA"/>
    <w:rsid w:val="00EE7610"/>
    <w:rsid w:val="00EE7FA3"/>
    <w:rsid w:val="00EF0505"/>
    <w:rsid w:val="00EF0AAC"/>
    <w:rsid w:val="00EF1867"/>
    <w:rsid w:val="00EF1990"/>
    <w:rsid w:val="00EF1CA4"/>
    <w:rsid w:val="00EF21C9"/>
    <w:rsid w:val="00EF29E9"/>
    <w:rsid w:val="00EF2FE6"/>
    <w:rsid w:val="00EF35EA"/>
    <w:rsid w:val="00EF36C1"/>
    <w:rsid w:val="00EF38F3"/>
    <w:rsid w:val="00EF4066"/>
    <w:rsid w:val="00EF4450"/>
    <w:rsid w:val="00EF45CD"/>
    <w:rsid w:val="00EF5286"/>
    <w:rsid w:val="00EF52B4"/>
    <w:rsid w:val="00EF5B78"/>
    <w:rsid w:val="00EF6161"/>
    <w:rsid w:val="00EF6166"/>
    <w:rsid w:val="00EF6209"/>
    <w:rsid w:val="00EF659B"/>
    <w:rsid w:val="00EF6767"/>
    <w:rsid w:val="00EF69D3"/>
    <w:rsid w:val="00EF6B3C"/>
    <w:rsid w:val="00F009FF"/>
    <w:rsid w:val="00F00A41"/>
    <w:rsid w:val="00F00AA0"/>
    <w:rsid w:val="00F00D67"/>
    <w:rsid w:val="00F01571"/>
    <w:rsid w:val="00F01962"/>
    <w:rsid w:val="00F019B4"/>
    <w:rsid w:val="00F01ADB"/>
    <w:rsid w:val="00F02A7D"/>
    <w:rsid w:val="00F03C22"/>
    <w:rsid w:val="00F03CFF"/>
    <w:rsid w:val="00F03F57"/>
    <w:rsid w:val="00F040F5"/>
    <w:rsid w:val="00F04163"/>
    <w:rsid w:val="00F04230"/>
    <w:rsid w:val="00F0433E"/>
    <w:rsid w:val="00F05B4A"/>
    <w:rsid w:val="00F05DAD"/>
    <w:rsid w:val="00F060C3"/>
    <w:rsid w:val="00F067F7"/>
    <w:rsid w:val="00F06F13"/>
    <w:rsid w:val="00F0708E"/>
    <w:rsid w:val="00F07117"/>
    <w:rsid w:val="00F07793"/>
    <w:rsid w:val="00F07F96"/>
    <w:rsid w:val="00F10352"/>
    <w:rsid w:val="00F1070D"/>
    <w:rsid w:val="00F11E48"/>
    <w:rsid w:val="00F122A9"/>
    <w:rsid w:val="00F123A0"/>
    <w:rsid w:val="00F12B74"/>
    <w:rsid w:val="00F12BF0"/>
    <w:rsid w:val="00F1310A"/>
    <w:rsid w:val="00F1345D"/>
    <w:rsid w:val="00F13590"/>
    <w:rsid w:val="00F13972"/>
    <w:rsid w:val="00F13D3E"/>
    <w:rsid w:val="00F14342"/>
    <w:rsid w:val="00F14D6C"/>
    <w:rsid w:val="00F1509B"/>
    <w:rsid w:val="00F15322"/>
    <w:rsid w:val="00F156A3"/>
    <w:rsid w:val="00F16712"/>
    <w:rsid w:val="00F16726"/>
    <w:rsid w:val="00F1681C"/>
    <w:rsid w:val="00F16986"/>
    <w:rsid w:val="00F16C96"/>
    <w:rsid w:val="00F16F92"/>
    <w:rsid w:val="00F17122"/>
    <w:rsid w:val="00F17414"/>
    <w:rsid w:val="00F175A2"/>
    <w:rsid w:val="00F17D46"/>
    <w:rsid w:val="00F2005C"/>
    <w:rsid w:val="00F20091"/>
    <w:rsid w:val="00F2129E"/>
    <w:rsid w:val="00F21652"/>
    <w:rsid w:val="00F219AE"/>
    <w:rsid w:val="00F22172"/>
    <w:rsid w:val="00F2252F"/>
    <w:rsid w:val="00F22F7A"/>
    <w:rsid w:val="00F2423B"/>
    <w:rsid w:val="00F24983"/>
    <w:rsid w:val="00F24B00"/>
    <w:rsid w:val="00F24D31"/>
    <w:rsid w:val="00F24DD1"/>
    <w:rsid w:val="00F24EBE"/>
    <w:rsid w:val="00F25229"/>
    <w:rsid w:val="00F253CC"/>
    <w:rsid w:val="00F25F56"/>
    <w:rsid w:val="00F26814"/>
    <w:rsid w:val="00F27048"/>
    <w:rsid w:val="00F27482"/>
    <w:rsid w:val="00F2762F"/>
    <w:rsid w:val="00F27882"/>
    <w:rsid w:val="00F27A6B"/>
    <w:rsid w:val="00F27DC0"/>
    <w:rsid w:val="00F30178"/>
    <w:rsid w:val="00F31376"/>
    <w:rsid w:val="00F3137F"/>
    <w:rsid w:val="00F319A6"/>
    <w:rsid w:val="00F31CF0"/>
    <w:rsid w:val="00F31DC4"/>
    <w:rsid w:val="00F32141"/>
    <w:rsid w:val="00F3262A"/>
    <w:rsid w:val="00F32903"/>
    <w:rsid w:val="00F339C9"/>
    <w:rsid w:val="00F33A91"/>
    <w:rsid w:val="00F33BE6"/>
    <w:rsid w:val="00F33ED4"/>
    <w:rsid w:val="00F344DC"/>
    <w:rsid w:val="00F34860"/>
    <w:rsid w:val="00F34C11"/>
    <w:rsid w:val="00F35110"/>
    <w:rsid w:val="00F356F4"/>
    <w:rsid w:val="00F3582D"/>
    <w:rsid w:val="00F3596F"/>
    <w:rsid w:val="00F35BFA"/>
    <w:rsid w:val="00F361DF"/>
    <w:rsid w:val="00F3640D"/>
    <w:rsid w:val="00F36FD2"/>
    <w:rsid w:val="00F373A1"/>
    <w:rsid w:val="00F373E7"/>
    <w:rsid w:val="00F374DA"/>
    <w:rsid w:val="00F37744"/>
    <w:rsid w:val="00F37DE5"/>
    <w:rsid w:val="00F37F87"/>
    <w:rsid w:val="00F406DB"/>
    <w:rsid w:val="00F4093D"/>
    <w:rsid w:val="00F40E0A"/>
    <w:rsid w:val="00F410E1"/>
    <w:rsid w:val="00F41705"/>
    <w:rsid w:val="00F41715"/>
    <w:rsid w:val="00F41747"/>
    <w:rsid w:val="00F41A5F"/>
    <w:rsid w:val="00F41AD8"/>
    <w:rsid w:val="00F41AF8"/>
    <w:rsid w:val="00F4270D"/>
    <w:rsid w:val="00F42810"/>
    <w:rsid w:val="00F42A9F"/>
    <w:rsid w:val="00F42DBE"/>
    <w:rsid w:val="00F4325B"/>
    <w:rsid w:val="00F43329"/>
    <w:rsid w:val="00F4346E"/>
    <w:rsid w:val="00F43717"/>
    <w:rsid w:val="00F437EB"/>
    <w:rsid w:val="00F438D0"/>
    <w:rsid w:val="00F43B36"/>
    <w:rsid w:val="00F43D75"/>
    <w:rsid w:val="00F448F1"/>
    <w:rsid w:val="00F45002"/>
    <w:rsid w:val="00F4502A"/>
    <w:rsid w:val="00F4577D"/>
    <w:rsid w:val="00F45CAE"/>
    <w:rsid w:val="00F467BB"/>
    <w:rsid w:val="00F47DB1"/>
    <w:rsid w:val="00F47FF0"/>
    <w:rsid w:val="00F50954"/>
    <w:rsid w:val="00F50BC6"/>
    <w:rsid w:val="00F50C13"/>
    <w:rsid w:val="00F50F0C"/>
    <w:rsid w:val="00F50F34"/>
    <w:rsid w:val="00F51231"/>
    <w:rsid w:val="00F5158E"/>
    <w:rsid w:val="00F51EBC"/>
    <w:rsid w:val="00F525FF"/>
    <w:rsid w:val="00F529FF"/>
    <w:rsid w:val="00F52E6C"/>
    <w:rsid w:val="00F53838"/>
    <w:rsid w:val="00F542A5"/>
    <w:rsid w:val="00F544AA"/>
    <w:rsid w:val="00F54530"/>
    <w:rsid w:val="00F54A2B"/>
    <w:rsid w:val="00F55082"/>
    <w:rsid w:val="00F553A9"/>
    <w:rsid w:val="00F55750"/>
    <w:rsid w:val="00F5578D"/>
    <w:rsid w:val="00F56221"/>
    <w:rsid w:val="00F571D4"/>
    <w:rsid w:val="00F572BF"/>
    <w:rsid w:val="00F57B03"/>
    <w:rsid w:val="00F607F5"/>
    <w:rsid w:val="00F60BE1"/>
    <w:rsid w:val="00F60E2B"/>
    <w:rsid w:val="00F6120C"/>
    <w:rsid w:val="00F61873"/>
    <w:rsid w:val="00F61D46"/>
    <w:rsid w:val="00F61D7C"/>
    <w:rsid w:val="00F62252"/>
    <w:rsid w:val="00F6313B"/>
    <w:rsid w:val="00F6335A"/>
    <w:rsid w:val="00F63668"/>
    <w:rsid w:val="00F639E1"/>
    <w:rsid w:val="00F63E9E"/>
    <w:rsid w:val="00F64049"/>
    <w:rsid w:val="00F642A9"/>
    <w:rsid w:val="00F64520"/>
    <w:rsid w:val="00F646FA"/>
    <w:rsid w:val="00F65248"/>
    <w:rsid w:val="00F655EF"/>
    <w:rsid w:val="00F658D1"/>
    <w:rsid w:val="00F6599E"/>
    <w:rsid w:val="00F65AE5"/>
    <w:rsid w:val="00F65CDF"/>
    <w:rsid w:val="00F66454"/>
    <w:rsid w:val="00F668F7"/>
    <w:rsid w:val="00F66B7D"/>
    <w:rsid w:val="00F66D70"/>
    <w:rsid w:val="00F66F48"/>
    <w:rsid w:val="00F66F9C"/>
    <w:rsid w:val="00F678C9"/>
    <w:rsid w:val="00F679DC"/>
    <w:rsid w:val="00F70ACE"/>
    <w:rsid w:val="00F71C78"/>
    <w:rsid w:val="00F7207A"/>
    <w:rsid w:val="00F720E5"/>
    <w:rsid w:val="00F72AE5"/>
    <w:rsid w:val="00F72E50"/>
    <w:rsid w:val="00F73920"/>
    <w:rsid w:val="00F739D3"/>
    <w:rsid w:val="00F73E6D"/>
    <w:rsid w:val="00F7411B"/>
    <w:rsid w:val="00F74425"/>
    <w:rsid w:val="00F744D0"/>
    <w:rsid w:val="00F74886"/>
    <w:rsid w:val="00F7490C"/>
    <w:rsid w:val="00F74952"/>
    <w:rsid w:val="00F74B8E"/>
    <w:rsid w:val="00F751E6"/>
    <w:rsid w:val="00F754A2"/>
    <w:rsid w:val="00F7592E"/>
    <w:rsid w:val="00F7606B"/>
    <w:rsid w:val="00F76095"/>
    <w:rsid w:val="00F7694B"/>
    <w:rsid w:val="00F76D77"/>
    <w:rsid w:val="00F77186"/>
    <w:rsid w:val="00F779D3"/>
    <w:rsid w:val="00F77AEA"/>
    <w:rsid w:val="00F77F32"/>
    <w:rsid w:val="00F8015A"/>
    <w:rsid w:val="00F8039C"/>
    <w:rsid w:val="00F80E77"/>
    <w:rsid w:val="00F80F75"/>
    <w:rsid w:val="00F814D3"/>
    <w:rsid w:val="00F81B86"/>
    <w:rsid w:val="00F81BF2"/>
    <w:rsid w:val="00F820DD"/>
    <w:rsid w:val="00F82769"/>
    <w:rsid w:val="00F829B3"/>
    <w:rsid w:val="00F82F9A"/>
    <w:rsid w:val="00F833A3"/>
    <w:rsid w:val="00F83599"/>
    <w:rsid w:val="00F8360F"/>
    <w:rsid w:val="00F839C9"/>
    <w:rsid w:val="00F839E8"/>
    <w:rsid w:val="00F83C18"/>
    <w:rsid w:val="00F83DAD"/>
    <w:rsid w:val="00F83E35"/>
    <w:rsid w:val="00F84A23"/>
    <w:rsid w:val="00F84AA9"/>
    <w:rsid w:val="00F84BEA"/>
    <w:rsid w:val="00F8500B"/>
    <w:rsid w:val="00F8566B"/>
    <w:rsid w:val="00F85867"/>
    <w:rsid w:val="00F85B1C"/>
    <w:rsid w:val="00F85C84"/>
    <w:rsid w:val="00F85FA5"/>
    <w:rsid w:val="00F863EB"/>
    <w:rsid w:val="00F8659C"/>
    <w:rsid w:val="00F868A7"/>
    <w:rsid w:val="00F869F8"/>
    <w:rsid w:val="00F876D1"/>
    <w:rsid w:val="00F90360"/>
    <w:rsid w:val="00F9065C"/>
    <w:rsid w:val="00F9077E"/>
    <w:rsid w:val="00F90A0F"/>
    <w:rsid w:val="00F90AF8"/>
    <w:rsid w:val="00F90B5A"/>
    <w:rsid w:val="00F90F80"/>
    <w:rsid w:val="00F91077"/>
    <w:rsid w:val="00F91CE9"/>
    <w:rsid w:val="00F92000"/>
    <w:rsid w:val="00F921BE"/>
    <w:rsid w:val="00F923A7"/>
    <w:rsid w:val="00F9240E"/>
    <w:rsid w:val="00F92598"/>
    <w:rsid w:val="00F925CE"/>
    <w:rsid w:val="00F92AE6"/>
    <w:rsid w:val="00F93DAC"/>
    <w:rsid w:val="00F93DB5"/>
    <w:rsid w:val="00F947EE"/>
    <w:rsid w:val="00F9491B"/>
    <w:rsid w:val="00F94A2D"/>
    <w:rsid w:val="00F95A39"/>
    <w:rsid w:val="00F95D3F"/>
    <w:rsid w:val="00F95E4E"/>
    <w:rsid w:val="00F96A40"/>
    <w:rsid w:val="00F96AC3"/>
    <w:rsid w:val="00F97409"/>
    <w:rsid w:val="00F976D1"/>
    <w:rsid w:val="00F97A55"/>
    <w:rsid w:val="00F97BB6"/>
    <w:rsid w:val="00F97E8A"/>
    <w:rsid w:val="00F97EDF"/>
    <w:rsid w:val="00FA042B"/>
    <w:rsid w:val="00FA1233"/>
    <w:rsid w:val="00FA1587"/>
    <w:rsid w:val="00FA17EB"/>
    <w:rsid w:val="00FA1B88"/>
    <w:rsid w:val="00FA1E1B"/>
    <w:rsid w:val="00FA1E5C"/>
    <w:rsid w:val="00FA1FAC"/>
    <w:rsid w:val="00FA20ED"/>
    <w:rsid w:val="00FA22CD"/>
    <w:rsid w:val="00FA2418"/>
    <w:rsid w:val="00FA25C4"/>
    <w:rsid w:val="00FA2742"/>
    <w:rsid w:val="00FA284E"/>
    <w:rsid w:val="00FA3BDA"/>
    <w:rsid w:val="00FA4319"/>
    <w:rsid w:val="00FA439A"/>
    <w:rsid w:val="00FA4C3E"/>
    <w:rsid w:val="00FA5353"/>
    <w:rsid w:val="00FA5564"/>
    <w:rsid w:val="00FA58BD"/>
    <w:rsid w:val="00FA5B09"/>
    <w:rsid w:val="00FA5C22"/>
    <w:rsid w:val="00FA5F4E"/>
    <w:rsid w:val="00FA6C2A"/>
    <w:rsid w:val="00FA7A8E"/>
    <w:rsid w:val="00FB0657"/>
    <w:rsid w:val="00FB16B3"/>
    <w:rsid w:val="00FB16C3"/>
    <w:rsid w:val="00FB228A"/>
    <w:rsid w:val="00FB29C1"/>
    <w:rsid w:val="00FB2D69"/>
    <w:rsid w:val="00FB2ED7"/>
    <w:rsid w:val="00FB2F92"/>
    <w:rsid w:val="00FB303E"/>
    <w:rsid w:val="00FB304A"/>
    <w:rsid w:val="00FB3068"/>
    <w:rsid w:val="00FB3290"/>
    <w:rsid w:val="00FB3908"/>
    <w:rsid w:val="00FB3D4B"/>
    <w:rsid w:val="00FB501E"/>
    <w:rsid w:val="00FB5433"/>
    <w:rsid w:val="00FB607C"/>
    <w:rsid w:val="00FB6C29"/>
    <w:rsid w:val="00FB6C7E"/>
    <w:rsid w:val="00FB7BC8"/>
    <w:rsid w:val="00FB7DCB"/>
    <w:rsid w:val="00FB7F5A"/>
    <w:rsid w:val="00FC014B"/>
    <w:rsid w:val="00FC04F2"/>
    <w:rsid w:val="00FC0B11"/>
    <w:rsid w:val="00FC0FD6"/>
    <w:rsid w:val="00FC10BD"/>
    <w:rsid w:val="00FC14EB"/>
    <w:rsid w:val="00FC16E0"/>
    <w:rsid w:val="00FC16F1"/>
    <w:rsid w:val="00FC1A20"/>
    <w:rsid w:val="00FC2126"/>
    <w:rsid w:val="00FC2241"/>
    <w:rsid w:val="00FC2467"/>
    <w:rsid w:val="00FC2476"/>
    <w:rsid w:val="00FC271F"/>
    <w:rsid w:val="00FC2B06"/>
    <w:rsid w:val="00FC2C89"/>
    <w:rsid w:val="00FC2F17"/>
    <w:rsid w:val="00FC3015"/>
    <w:rsid w:val="00FC3325"/>
    <w:rsid w:val="00FC3636"/>
    <w:rsid w:val="00FC3A47"/>
    <w:rsid w:val="00FC3E24"/>
    <w:rsid w:val="00FC4160"/>
    <w:rsid w:val="00FC4336"/>
    <w:rsid w:val="00FC45E2"/>
    <w:rsid w:val="00FC49E3"/>
    <w:rsid w:val="00FC5723"/>
    <w:rsid w:val="00FC5955"/>
    <w:rsid w:val="00FC6C08"/>
    <w:rsid w:val="00FC6E95"/>
    <w:rsid w:val="00FC7185"/>
    <w:rsid w:val="00FC73B3"/>
    <w:rsid w:val="00FC78D7"/>
    <w:rsid w:val="00FC793E"/>
    <w:rsid w:val="00FC7AC0"/>
    <w:rsid w:val="00FD00BE"/>
    <w:rsid w:val="00FD0243"/>
    <w:rsid w:val="00FD043B"/>
    <w:rsid w:val="00FD05E6"/>
    <w:rsid w:val="00FD125B"/>
    <w:rsid w:val="00FD17E1"/>
    <w:rsid w:val="00FD1B04"/>
    <w:rsid w:val="00FD258B"/>
    <w:rsid w:val="00FD2729"/>
    <w:rsid w:val="00FD2B65"/>
    <w:rsid w:val="00FD3091"/>
    <w:rsid w:val="00FD3356"/>
    <w:rsid w:val="00FD359A"/>
    <w:rsid w:val="00FD3DE4"/>
    <w:rsid w:val="00FD44E3"/>
    <w:rsid w:val="00FD4CCA"/>
    <w:rsid w:val="00FD4F3F"/>
    <w:rsid w:val="00FD4F69"/>
    <w:rsid w:val="00FD553A"/>
    <w:rsid w:val="00FD588E"/>
    <w:rsid w:val="00FD5BB2"/>
    <w:rsid w:val="00FD5C85"/>
    <w:rsid w:val="00FD5CC9"/>
    <w:rsid w:val="00FD6000"/>
    <w:rsid w:val="00FD6277"/>
    <w:rsid w:val="00FD69CD"/>
    <w:rsid w:val="00FD6D33"/>
    <w:rsid w:val="00FD6E1C"/>
    <w:rsid w:val="00FD6F3F"/>
    <w:rsid w:val="00FD74F5"/>
    <w:rsid w:val="00FD76E5"/>
    <w:rsid w:val="00FD7C35"/>
    <w:rsid w:val="00FE02DE"/>
    <w:rsid w:val="00FE0351"/>
    <w:rsid w:val="00FE0EDE"/>
    <w:rsid w:val="00FE105C"/>
    <w:rsid w:val="00FE131C"/>
    <w:rsid w:val="00FE14BD"/>
    <w:rsid w:val="00FE1884"/>
    <w:rsid w:val="00FE2904"/>
    <w:rsid w:val="00FE2D12"/>
    <w:rsid w:val="00FE2E57"/>
    <w:rsid w:val="00FE2FAA"/>
    <w:rsid w:val="00FE384D"/>
    <w:rsid w:val="00FE3DA8"/>
    <w:rsid w:val="00FE4104"/>
    <w:rsid w:val="00FE44B5"/>
    <w:rsid w:val="00FE4C3F"/>
    <w:rsid w:val="00FE4DE6"/>
    <w:rsid w:val="00FE539B"/>
    <w:rsid w:val="00FE59C6"/>
    <w:rsid w:val="00FE5D09"/>
    <w:rsid w:val="00FE60F8"/>
    <w:rsid w:val="00FE6399"/>
    <w:rsid w:val="00FE63AE"/>
    <w:rsid w:val="00FE6680"/>
    <w:rsid w:val="00FE6860"/>
    <w:rsid w:val="00FE703E"/>
    <w:rsid w:val="00FE75C1"/>
    <w:rsid w:val="00FE76E9"/>
    <w:rsid w:val="00FE7C77"/>
    <w:rsid w:val="00FF0839"/>
    <w:rsid w:val="00FF0A31"/>
    <w:rsid w:val="00FF103D"/>
    <w:rsid w:val="00FF17F1"/>
    <w:rsid w:val="00FF1B21"/>
    <w:rsid w:val="00FF1B22"/>
    <w:rsid w:val="00FF22F9"/>
    <w:rsid w:val="00FF23D3"/>
    <w:rsid w:val="00FF26E8"/>
    <w:rsid w:val="00FF28AC"/>
    <w:rsid w:val="00FF2BB7"/>
    <w:rsid w:val="00FF2CE0"/>
    <w:rsid w:val="00FF2D1F"/>
    <w:rsid w:val="00FF2D85"/>
    <w:rsid w:val="00FF2FA8"/>
    <w:rsid w:val="00FF30BF"/>
    <w:rsid w:val="00FF32FC"/>
    <w:rsid w:val="00FF3D5C"/>
    <w:rsid w:val="00FF3FDE"/>
    <w:rsid w:val="00FF4CF5"/>
    <w:rsid w:val="00FF5278"/>
    <w:rsid w:val="00FF5A5B"/>
    <w:rsid w:val="00FF6132"/>
    <w:rsid w:val="00FF645A"/>
    <w:rsid w:val="00FF6967"/>
    <w:rsid w:val="00FF6A50"/>
    <w:rsid w:val="00FF6ACF"/>
    <w:rsid w:val="00FF6BFF"/>
    <w:rsid w:val="00FF702B"/>
    <w:rsid w:val="00FF7F48"/>
    <w:rsid w:val="02A42941"/>
    <w:rsid w:val="03FF434E"/>
    <w:rsid w:val="04C66473"/>
    <w:rsid w:val="054E65F8"/>
    <w:rsid w:val="058A0028"/>
    <w:rsid w:val="0D346E2E"/>
    <w:rsid w:val="0EC656BA"/>
    <w:rsid w:val="137F6F14"/>
    <w:rsid w:val="1C272387"/>
    <w:rsid w:val="1C885A15"/>
    <w:rsid w:val="24F221DC"/>
    <w:rsid w:val="28074CD0"/>
    <w:rsid w:val="36C976EB"/>
    <w:rsid w:val="3A2557AF"/>
    <w:rsid w:val="3DBF635D"/>
    <w:rsid w:val="55E71F59"/>
    <w:rsid w:val="563748BA"/>
    <w:rsid w:val="5AED5F47"/>
    <w:rsid w:val="5FB76BEC"/>
    <w:rsid w:val="622856C3"/>
    <w:rsid w:val="653F7FFF"/>
    <w:rsid w:val="670544F5"/>
    <w:rsid w:val="670B54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name="toc 3"/>
    <w:lsdException w:uiPriority="0" w:name="toc 4"/>
    <w:lsdException w:uiPriority="0" w:name="toc 5"/>
    <w:lsdException w:uiPriority="0" w:name="toc 6"/>
    <w:lsdException w:qFormat="1" w:unhideWhenUsed="0"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99"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99" w:semiHidden="0" w:name="Date"/>
    <w:lsdException w:qFormat="1"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qFormat="1" w:unhideWhenUsed="0" w:uiPriority="0" w:semiHidden="0" w:name="Table Classic 1"/>
    <w:lsdException w:qFormat="1" w:unhideWhenUsed="0" w:uiPriority="0" w:semiHidden="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qFormat="1" w:unhideWhenUsed="0" w:uiPriority="0" w:semiHidden="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4">
    <w:name w:val="heading 1"/>
    <w:basedOn w:val="1"/>
    <w:next w:val="1"/>
    <w:link w:val="48"/>
    <w:qFormat/>
    <w:uiPriority w:val="9"/>
    <w:pPr>
      <w:keepNext/>
      <w:keepLines/>
      <w:adjustRightInd w:val="0"/>
      <w:snapToGrid w:val="0"/>
      <w:spacing w:before="600" w:after="240" w:line="360" w:lineRule="auto"/>
      <w:jc w:val="center"/>
      <w:outlineLvl w:val="0"/>
    </w:pPr>
    <w:rPr>
      <w:b/>
      <w:kern w:val="44"/>
      <w:sz w:val="44"/>
      <w:szCs w:val="20"/>
    </w:rPr>
  </w:style>
  <w:style w:type="paragraph" w:styleId="5">
    <w:name w:val="heading 2"/>
    <w:basedOn w:val="1"/>
    <w:next w:val="1"/>
    <w:qFormat/>
    <w:uiPriority w:val="9"/>
    <w:pPr>
      <w:keepNext/>
      <w:keepLines/>
      <w:adjustRightInd w:val="0"/>
      <w:spacing w:before="240" w:after="240" w:line="360" w:lineRule="auto"/>
      <w:outlineLvl w:val="1"/>
    </w:pPr>
    <w:rPr>
      <w:rFonts w:ascii="Arial" w:hAnsi="Arial" w:eastAsia="黑体"/>
      <w:b/>
      <w:sz w:val="32"/>
      <w:szCs w:val="20"/>
    </w:rPr>
  </w:style>
  <w:style w:type="paragraph" w:styleId="6">
    <w:name w:val="heading 3"/>
    <w:basedOn w:val="1"/>
    <w:next w:val="1"/>
    <w:link w:val="49"/>
    <w:qFormat/>
    <w:uiPriority w:val="9"/>
    <w:pPr>
      <w:keepNext/>
      <w:keepLines/>
      <w:adjustRightInd w:val="0"/>
      <w:spacing w:before="240" w:after="240" w:line="360" w:lineRule="auto"/>
      <w:outlineLvl w:val="2"/>
    </w:pPr>
    <w:rPr>
      <w:rFonts w:eastAsia="楷体_GB2312"/>
      <w:b/>
      <w:sz w:val="32"/>
      <w:szCs w:val="20"/>
    </w:rPr>
  </w:style>
  <w:style w:type="paragraph" w:styleId="7">
    <w:name w:val="heading 4"/>
    <w:basedOn w:val="1"/>
    <w:next w:val="1"/>
    <w:link w:val="50"/>
    <w:qFormat/>
    <w:uiPriority w:val="9"/>
    <w:pPr>
      <w:keepNext/>
      <w:keepLines/>
      <w:numPr>
        <w:ilvl w:val="3"/>
        <w:numId w:val="1"/>
      </w:numPr>
      <w:adjustRightInd w:val="0"/>
      <w:spacing w:before="280" w:after="290" w:line="376" w:lineRule="auto"/>
      <w:ind w:firstLine="200" w:firstLineChars="200"/>
      <w:outlineLvl w:val="3"/>
    </w:pPr>
    <w:rPr>
      <w:rFonts w:ascii="Arial" w:hAnsi="Arial" w:eastAsia="黑体"/>
      <w:b/>
      <w:sz w:val="28"/>
      <w:szCs w:val="20"/>
    </w:rPr>
  </w:style>
  <w:style w:type="paragraph" w:styleId="8">
    <w:name w:val="heading 5"/>
    <w:basedOn w:val="1"/>
    <w:next w:val="1"/>
    <w:link w:val="51"/>
    <w:qFormat/>
    <w:uiPriority w:val="9"/>
    <w:pPr>
      <w:keepNext/>
      <w:keepLines/>
      <w:numPr>
        <w:ilvl w:val="4"/>
        <w:numId w:val="1"/>
      </w:numPr>
      <w:adjustRightInd w:val="0"/>
      <w:spacing w:before="280" w:after="290" w:line="376" w:lineRule="auto"/>
      <w:ind w:firstLine="200" w:firstLineChars="200"/>
      <w:outlineLvl w:val="4"/>
    </w:pPr>
    <w:rPr>
      <w:b/>
      <w:sz w:val="28"/>
      <w:szCs w:val="20"/>
    </w:rPr>
  </w:style>
  <w:style w:type="paragraph" w:styleId="9">
    <w:name w:val="heading 6"/>
    <w:basedOn w:val="1"/>
    <w:next w:val="1"/>
    <w:link w:val="52"/>
    <w:qFormat/>
    <w:uiPriority w:val="9"/>
    <w:pPr>
      <w:keepNext/>
      <w:keepLines/>
      <w:numPr>
        <w:ilvl w:val="5"/>
        <w:numId w:val="1"/>
      </w:numPr>
      <w:adjustRightInd w:val="0"/>
      <w:spacing w:before="240" w:after="64" w:line="320" w:lineRule="auto"/>
      <w:ind w:firstLine="200" w:firstLineChars="200"/>
      <w:outlineLvl w:val="5"/>
    </w:pPr>
    <w:rPr>
      <w:rFonts w:ascii="Arial" w:hAnsi="Arial" w:eastAsia="黑体"/>
      <w:b/>
      <w:szCs w:val="20"/>
    </w:rPr>
  </w:style>
  <w:style w:type="paragraph" w:styleId="10">
    <w:name w:val="heading 7"/>
    <w:basedOn w:val="1"/>
    <w:next w:val="1"/>
    <w:link w:val="53"/>
    <w:qFormat/>
    <w:uiPriority w:val="9"/>
    <w:pPr>
      <w:keepNext/>
      <w:keepLines/>
      <w:numPr>
        <w:ilvl w:val="6"/>
        <w:numId w:val="1"/>
      </w:numPr>
      <w:adjustRightInd w:val="0"/>
      <w:spacing w:before="240" w:after="64" w:line="320" w:lineRule="auto"/>
      <w:ind w:firstLine="200" w:firstLineChars="200"/>
      <w:outlineLvl w:val="6"/>
    </w:pPr>
    <w:rPr>
      <w:b/>
      <w:szCs w:val="20"/>
    </w:rPr>
  </w:style>
  <w:style w:type="paragraph" w:styleId="11">
    <w:name w:val="heading 8"/>
    <w:basedOn w:val="1"/>
    <w:next w:val="1"/>
    <w:link w:val="54"/>
    <w:qFormat/>
    <w:uiPriority w:val="9"/>
    <w:pPr>
      <w:keepNext/>
      <w:keepLines/>
      <w:numPr>
        <w:ilvl w:val="7"/>
        <w:numId w:val="1"/>
      </w:numPr>
      <w:adjustRightInd w:val="0"/>
      <w:spacing w:before="240" w:after="64" w:line="320" w:lineRule="auto"/>
      <w:ind w:firstLine="200" w:firstLineChars="200"/>
      <w:outlineLvl w:val="7"/>
    </w:pPr>
    <w:rPr>
      <w:rFonts w:ascii="Arial" w:hAnsi="Arial" w:eastAsia="黑体"/>
      <w:szCs w:val="20"/>
    </w:rPr>
  </w:style>
  <w:style w:type="paragraph" w:styleId="12">
    <w:name w:val="heading 9"/>
    <w:basedOn w:val="1"/>
    <w:next w:val="1"/>
    <w:link w:val="55"/>
    <w:qFormat/>
    <w:uiPriority w:val="9"/>
    <w:pPr>
      <w:keepNext/>
      <w:keepLines/>
      <w:numPr>
        <w:ilvl w:val="8"/>
        <w:numId w:val="1"/>
      </w:numPr>
      <w:adjustRightInd w:val="0"/>
      <w:spacing w:before="240" w:after="64" w:line="320" w:lineRule="auto"/>
      <w:ind w:firstLine="200" w:firstLineChars="200"/>
      <w:outlineLvl w:val="8"/>
    </w:pPr>
    <w:rPr>
      <w:rFonts w:ascii="Arial" w:hAnsi="Arial" w:eastAsia="黑体"/>
      <w:sz w:val="28"/>
      <w:szCs w:val="20"/>
    </w:rPr>
  </w:style>
  <w:style w:type="character" w:default="1" w:styleId="42">
    <w:name w:val="Default Paragraph Font"/>
    <w:semiHidden/>
    <w:unhideWhenUsed/>
    <w:uiPriority w:val="1"/>
  </w:style>
  <w:style w:type="table" w:default="1" w:styleId="36">
    <w:name w:val="Normal Table"/>
    <w:semiHidden/>
    <w:unhideWhenUsed/>
    <w:uiPriority w:val="99"/>
    <w:tblPr>
      <w:tblCellMar>
        <w:top w:w="0" w:type="dxa"/>
        <w:left w:w="108" w:type="dxa"/>
        <w:bottom w:w="0" w:type="dxa"/>
        <w:right w:w="108" w:type="dxa"/>
      </w:tblCellMar>
    </w:tblPr>
  </w:style>
  <w:style w:type="paragraph" w:styleId="2">
    <w:name w:val="Body Text First Indent"/>
    <w:basedOn w:val="3"/>
    <w:unhideWhenUsed/>
    <w:qFormat/>
    <w:uiPriority w:val="0"/>
    <w:pPr>
      <w:ind w:firstLine="420" w:firstLineChars="100"/>
    </w:pPr>
  </w:style>
  <w:style w:type="paragraph" w:styleId="3">
    <w:name w:val="Body Text"/>
    <w:basedOn w:val="1"/>
    <w:next w:val="2"/>
    <w:qFormat/>
    <w:uiPriority w:val="0"/>
    <w:pPr>
      <w:adjustRightInd w:val="0"/>
      <w:spacing w:line="360" w:lineRule="auto"/>
    </w:pPr>
    <w:rPr>
      <w:color w:val="FF0000"/>
      <w:sz w:val="28"/>
      <w:szCs w:val="20"/>
    </w:rPr>
  </w:style>
  <w:style w:type="paragraph" w:styleId="13">
    <w:name w:val="toc 7"/>
    <w:basedOn w:val="1"/>
    <w:next w:val="1"/>
    <w:semiHidden/>
    <w:qFormat/>
    <w:uiPriority w:val="0"/>
    <w:pPr>
      <w:adjustRightInd w:val="0"/>
      <w:spacing w:line="360" w:lineRule="auto"/>
      <w:ind w:firstLine="200" w:firstLineChars="200"/>
    </w:pPr>
    <w:rPr>
      <w:sz w:val="28"/>
      <w:szCs w:val="26"/>
    </w:rPr>
  </w:style>
  <w:style w:type="paragraph" w:styleId="14">
    <w:name w:val="Normal Indent"/>
    <w:basedOn w:val="1"/>
    <w:qFormat/>
    <w:uiPriority w:val="0"/>
    <w:pPr>
      <w:ind w:firstLine="560" w:firstLineChars="200"/>
    </w:pPr>
    <w:rPr>
      <w:rFonts w:eastAsia="GungsuhChe"/>
      <w:color w:val="FF0000"/>
      <w:sz w:val="28"/>
    </w:rPr>
  </w:style>
  <w:style w:type="paragraph" w:styleId="15">
    <w:name w:val="caption"/>
    <w:basedOn w:val="1"/>
    <w:next w:val="1"/>
    <w:qFormat/>
    <w:uiPriority w:val="99"/>
    <w:rPr>
      <w:rFonts w:ascii="Cambria" w:hAnsi="Cambria" w:eastAsia="黑体"/>
      <w:sz w:val="20"/>
      <w:szCs w:val="20"/>
    </w:rPr>
  </w:style>
  <w:style w:type="paragraph" w:styleId="16">
    <w:name w:val="Document Map"/>
    <w:basedOn w:val="1"/>
    <w:semiHidden/>
    <w:qFormat/>
    <w:uiPriority w:val="0"/>
    <w:pPr>
      <w:shd w:val="clear" w:color="auto" w:fill="000080"/>
    </w:pPr>
  </w:style>
  <w:style w:type="paragraph" w:styleId="17">
    <w:name w:val="annotation text"/>
    <w:basedOn w:val="1"/>
    <w:link w:val="158"/>
    <w:qFormat/>
    <w:uiPriority w:val="99"/>
  </w:style>
  <w:style w:type="paragraph" w:styleId="18">
    <w:name w:val="Body Text 3"/>
    <w:basedOn w:val="1"/>
    <w:qFormat/>
    <w:uiPriority w:val="0"/>
    <w:pPr>
      <w:spacing w:line="360" w:lineRule="auto"/>
    </w:pPr>
    <w:rPr>
      <w:rFonts w:ascii="仿宋_GB2312" w:eastAsia="仿宋_GB2312"/>
      <w:sz w:val="30"/>
    </w:rPr>
  </w:style>
  <w:style w:type="paragraph" w:styleId="19">
    <w:name w:val="Body Text Indent"/>
    <w:basedOn w:val="1"/>
    <w:qFormat/>
    <w:uiPriority w:val="0"/>
    <w:pPr>
      <w:ind w:firstLine="560" w:firstLineChars="200"/>
    </w:pPr>
    <w:rPr>
      <w:sz w:val="28"/>
    </w:rPr>
  </w:style>
  <w:style w:type="paragraph" w:styleId="20">
    <w:name w:val="toc 3"/>
    <w:basedOn w:val="1"/>
    <w:next w:val="1"/>
    <w:semiHidden/>
    <w:qFormat/>
    <w:uiPriority w:val="0"/>
    <w:pPr>
      <w:ind w:left="420"/>
    </w:pPr>
    <w:rPr>
      <w:i/>
      <w:iCs/>
    </w:rPr>
  </w:style>
  <w:style w:type="paragraph" w:styleId="21">
    <w:name w:val="Plain Text"/>
    <w:basedOn w:val="1"/>
    <w:qFormat/>
    <w:uiPriority w:val="0"/>
    <w:rPr>
      <w:rFonts w:hAnsi="Courier New" w:cs="Courier New"/>
      <w:szCs w:val="21"/>
    </w:rPr>
  </w:style>
  <w:style w:type="paragraph" w:styleId="22">
    <w:name w:val="Date"/>
    <w:basedOn w:val="1"/>
    <w:next w:val="1"/>
    <w:link w:val="143"/>
    <w:unhideWhenUsed/>
    <w:qFormat/>
    <w:uiPriority w:val="99"/>
    <w:pPr>
      <w:ind w:left="100" w:leftChars="2500"/>
    </w:pPr>
    <w:rPr>
      <w:rFonts w:ascii="Calibri" w:hAnsi="Calibri"/>
    </w:rPr>
  </w:style>
  <w:style w:type="paragraph" w:styleId="23">
    <w:name w:val="Body Text Indent 2"/>
    <w:basedOn w:val="1"/>
    <w:qFormat/>
    <w:uiPriority w:val="0"/>
    <w:pPr>
      <w:adjustRightInd w:val="0"/>
      <w:snapToGrid w:val="0"/>
      <w:spacing w:line="360" w:lineRule="auto"/>
      <w:ind w:firstLine="570"/>
    </w:pPr>
    <w:rPr>
      <w:color w:val="000000"/>
      <w:spacing w:val="15"/>
      <w:sz w:val="28"/>
    </w:rPr>
  </w:style>
  <w:style w:type="paragraph" w:styleId="24">
    <w:name w:val="Balloon Text"/>
    <w:basedOn w:val="1"/>
    <w:link w:val="61"/>
    <w:qFormat/>
    <w:uiPriority w:val="99"/>
    <w:rPr>
      <w:sz w:val="18"/>
      <w:szCs w:val="18"/>
    </w:rPr>
  </w:style>
  <w:style w:type="paragraph" w:styleId="25">
    <w:name w:val="footer"/>
    <w:basedOn w:val="1"/>
    <w:link w:val="56"/>
    <w:qFormat/>
    <w:uiPriority w:val="99"/>
    <w:pPr>
      <w:pBdr>
        <w:bottom w:val="double" w:color="auto" w:sz="4" w:space="1"/>
      </w:pBdr>
      <w:tabs>
        <w:tab w:val="center" w:pos="4153"/>
        <w:tab w:val="right" w:pos="8306"/>
      </w:tabs>
      <w:snapToGrid w:val="0"/>
    </w:pPr>
    <w:rPr>
      <w:sz w:val="18"/>
      <w:szCs w:val="18"/>
    </w:rPr>
  </w:style>
  <w:style w:type="paragraph" w:styleId="26">
    <w:name w:val="header"/>
    <w:basedOn w:val="1"/>
    <w:link w:val="57"/>
    <w:qFormat/>
    <w:uiPriority w:val="99"/>
    <w:pPr>
      <w:pBdr>
        <w:bottom w:val="single" w:color="auto" w:sz="12" w:space="1"/>
      </w:pBdr>
      <w:tabs>
        <w:tab w:val="center" w:pos="4153"/>
        <w:tab w:val="right" w:pos="8306"/>
      </w:tabs>
      <w:snapToGrid w:val="0"/>
      <w:jc w:val="center"/>
    </w:pPr>
    <w:rPr>
      <w:sz w:val="18"/>
      <w:szCs w:val="18"/>
    </w:rPr>
  </w:style>
  <w:style w:type="paragraph" w:styleId="27">
    <w:name w:val="toc 1"/>
    <w:basedOn w:val="1"/>
    <w:next w:val="1"/>
    <w:qFormat/>
    <w:uiPriority w:val="39"/>
    <w:pPr>
      <w:tabs>
        <w:tab w:val="right" w:leader="dot" w:pos="8302"/>
      </w:tabs>
      <w:spacing w:before="120" w:after="240"/>
      <w:jc w:val="center"/>
    </w:pPr>
    <w:rPr>
      <w:rFonts w:ascii="Arial" w:hAnsi="Arial" w:cs="Arial"/>
      <w:b/>
      <w:bCs/>
      <w:caps/>
      <w:szCs w:val="21"/>
    </w:rPr>
  </w:style>
  <w:style w:type="paragraph" w:styleId="28">
    <w:name w:val="Subtitle"/>
    <w:basedOn w:val="1"/>
    <w:next w:val="1"/>
    <w:link w:val="145"/>
    <w:qFormat/>
    <w:uiPriority w:val="11"/>
    <w:pPr>
      <w:spacing w:after="60"/>
      <w:jc w:val="center"/>
      <w:outlineLvl w:val="1"/>
    </w:pPr>
    <w:rPr>
      <w:rFonts w:ascii="Cambria" w:hAnsi="Cambria"/>
    </w:rPr>
  </w:style>
  <w:style w:type="paragraph" w:styleId="29">
    <w:name w:val="Body Text Indent 3"/>
    <w:basedOn w:val="1"/>
    <w:qFormat/>
    <w:uiPriority w:val="0"/>
    <w:pPr>
      <w:adjustRightInd w:val="0"/>
      <w:snapToGrid w:val="0"/>
      <w:spacing w:line="360" w:lineRule="auto"/>
      <w:ind w:firstLine="570"/>
    </w:pPr>
    <w:rPr>
      <w:sz w:val="28"/>
    </w:rPr>
  </w:style>
  <w:style w:type="paragraph" w:styleId="30">
    <w:name w:val="toc 2"/>
    <w:basedOn w:val="1"/>
    <w:next w:val="1"/>
    <w:qFormat/>
    <w:uiPriority w:val="39"/>
    <w:pPr>
      <w:tabs>
        <w:tab w:val="right" w:leader="dot" w:pos="8302"/>
      </w:tabs>
      <w:ind w:left="210"/>
    </w:pPr>
    <w:rPr>
      <w:rFonts w:ascii="仿宋_GB2312" w:eastAsia="仿宋_GB2312"/>
      <w:smallCaps/>
      <w:szCs w:val="32"/>
    </w:rPr>
  </w:style>
  <w:style w:type="paragraph" w:styleId="31">
    <w:name w:val="Body Text 2"/>
    <w:basedOn w:val="1"/>
    <w:qFormat/>
    <w:uiPriority w:val="0"/>
    <w:pPr>
      <w:autoSpaceDE w:val="0"/>
      <w:autoSpaceDN w:val="0"/>
      <w:adjustRightInd w:val="0"/>
      <w:spacing w:line="440" w:lineRule="exact"/>
      <w:textAlignment w:val="baseline"/>
    </w:pPr>
    <w:rPr>
      <w:rFonts w:ascii="仿宋_GB2312" w:hAnsi="Arial" w:eastAsia="仿宋_GB2312"/>
      <w:sz w:val="28"/>
      <w:szCs w:val="20"/>
    </w:rPr>
  </w:style>
  <w:style w:type="paragraph" w:styleId="3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hAnsi="Courier New" w:eastAsia="黑体" w:cs="Courier New"/>
      <w:sz w:val="20"/>
      <w:szCs w:val="20"/>
    </w:rPr>
  </w:style>
  <w:style w:type="paragraph" w:styleId="33">
    <w:name w:val="Normal (Web)"/>
    <w:basedOn w:val="1"/>
    <w:qFormat/>
    <w:uiPriority w:val="99"/>
    <w:pPr>
      <w:spacing w:before="100" w:beforeAutospacing="1" w:after="100" w:afterAutospacing="1"/>
    </w:pPr>
  </w:style>
  <w:style w:type="paragraph" w:styleId="34">
    <w:name w:val="Title"/>
    <w:basedOn w:val="1"/>
    <w:next w:val="1"/>
    <w:link w:val="144"/>
    <w:qFormat/>
    <w:uiPriority w:val="10"/>
    <w:pPr>
      <w:spacing w:before="240" w:after="60"/>
      <w:jc w:val="center"/>
      <w:outlineLvl w:val="0"/>
    </w:pPr>
    <w:rPr>
      <w:rFonts w:ascii="Cambria" w:hAnsi="Cambria"/>
      <w:b/>
      <w:bCs/>
      <w:kern w:val="28"/>
      <w:sz w:val="32"/>
      <w:szCs w:val="32"/>
    </w:rPr>
  </w:style>
  <w:style w:type="paragraph" w:styleId="35">
    <w:name w:val="annotation subject"/>
    <w:basedOn w:val="17"/>
    <w:next w:val="17"/>
    <w:link w:val="159"/>
    <w:qFormat/>
    <w:uiPriority w:val="0"/>
    <w:rPr>
      <w:b/>
      <w:bCs/>
    </w:rPr>
  </w:style>
  <w:style w:type="table" w:styleId="37">
    <w:name w:val="Table Grid"/>
    <w:basedOn w:val="3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8">
    <w:name w:val="Table Theme"/>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9">
    <w:name w:val="Table Classic 1"/>
    <w:basedOn w:val="36"/>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40">
    <w:name w:val="Table Classic 2"/>
    <w:basedOn w:val="36"/>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41">
    <w:name w:val="Table 3D effects 3"/>
    <w:basedOn w:val="36"/>
    <w:qFormat/>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character" w:styleId="43">
    <w:name w:val="Strong"/>
    <w:qFormat/>
    <w:uiPriority w:val="22"/>
    <w:rPr>
      <w:b/>
      <w:bCs/>
    </w:rPr>
  </w:style>
  <w:style w:type="character" w:styleId="44">
    <w:name w:val="page number"/>
    <w:qFormat/>
    <w:uiPriority w:val="0"/>
  </w:style>
  <w:style w:type="character" w:styleId="45">
    <w:name w:val="Emphasis"/>
    <w:qFormat/>
    <w:uiPriority w:val="20"/>
    <w:rPr>
      <w:rFonts w:ascii="Calibri" w:hAnsi="Calibri"/>
      <w:b/>
      <w:i/>
      <w:iCs/>
    </w:rPr>
  </w:style>
  <w:style w:type="character" w:styleId="46">
    <w:name w:val="Hyperlink"/>
    <w:qFormat/>
    <w:uiPriority w:val="99"/>
    <w:rPr>
      <w:color w:val="0000FF"/>
      <w:u w:val="single"/>
    </w:rPr>
  </w:style>
  <w:style w:type="character" w:styleId="47">
    <w:name w:val="annotation reference"/>
    <w:qFormat/>
    <w:uiPriority w:val="99"/>
    <w:rPr>
      <w:sz w:val="21"/>
      <w:szCs w:val="21"/>
    </w:rPr>
  </w:style>
  <w:style w:type="character" w:customStyle="1" w:styleId="48">
    <w:name w:val="标题 1 Char"/>
    <w:link w:val="4"/>
    <w:qFormat/>
    <w:uiPriority w:val="9"/>
    <w:rPr>
      <w:rFonts w:eastAsia="宋体"/>
      <w:b/>
      <w:kern w:val="44"/>
      <w:sz w:val="44"/>
      <w:lang w:val="en-US" w:eastAsia="zh-CN" w:bidi="ar-SA"/>
    </w:rPr>
  </w:style>
  <w:style w:type="character" w:customStyle="1" w:styleId="49">
    <w:name w:val="标题 3 Char"/>
    <w:link w:val="6"/>
    <w:qFormat/>
    <w:uiPriority w:val="9"/>
    <w:rPr>
      <w:rFonts w:eastAsia="楷体_GB2312"/>
      <w:b/>
      <w:kern w:val="2"/>
      <w:sz w:val="32"/>
    </w:rPr>
  </w:style>
  <w:style w:type="character" w:customStyle="1" w:styleId="50">
    <w:name w:val="标题 4 Char"/>
    <w:link w:val="7"/>
    <w:qFormat/>
    <w:uiPriority w:val="9"/>
    <w:rPr>
      <w:rFonts w:ascii="Arial" w:hAnsi="Arial" w:eastAsia="黑体"/>
      <w:b/>
      <w:kern w:val="2"/>
      <w:sz w:val="28"/>
    </w:rPr>
  </w:style>
  <w:style w:type="character" w:customStyle="1" w:styleId="51">
    <w:name w:val="标题 5 Char"/>
    <w:link w:val="8"/>
    <w:qFormat/>
    <w:uiPriority w:val="9"/>
    <w:rPr>
      <w:b/>
      <w:kern w:val="2"/>
      <w:sz w:val="28"/>
    </w:rPr>
  </w:style>
  <w:style w:type="character" w:customStyle="1" w:styleId="52">
    <w:name w:val="标题 6 Char"/>
    <w:link w:val="9"/>
    <w:qFormat/>
    <w:uiPriority w:val="9"/>
    <w:rPr>
      <w:rFonts w:ascii="Arial" w:hAnsi="Arial" w:eastAsia="黑体"/>
      <w:b/>
      <w:kern w:val="2"/>
      <w:sz w:val="24"/>
    </w:rPr>
  </w:style>
  <w:style w:type="character" w:customStyle="1" w:styleId="53">
    <w:name w:val="标题 7 Char"/>
    <w:link w:val="10"/>
    <w:qFormat/>
    <w:uiPriority w:val="9"/>
    <w:rPr>
      <w:b/>
      <w:kern w:val="2"/>
      <w:sz w:val="24"/>
    </w:rPr>
  </w:style>
  <w:style w:type="character" w:customStyle="1" w:styleId="54">
    <w:name w:val="标题 8 Char"/>
    <w:link w:val="11"/>
    <w:qFormat/>
    <w:uiPriority w:val="9"/>
    <w:rPr>
      <w:rFonts w:ascii="Arial" w:hAnsi="Arial" w:eastAsia="黑体"/>
      <w:kern w:val="2"/>
      <w:sz w:val="24"/>
    </w:rPr>
  </w:style>
  <w:style w:type="character" w:customStyle="1" w:styleId="55">
    <w:name w:val="标题 9 Char"/>
    <w:link w:val="12"/>
    <w:qFormat/>
    <w:uiPriority w:val="9"/>
    <w:rPr>
      <w:rFonts w:ascii="Arial" w:hAnsi="Arial" w:eastAsia="黑体"/>
      <w:kern w:val="2"/>
      <w:sz w:val="28"/>
    </w:rPr>
  </w:style>
  <w:style w:type="character" w:customStyle="1" w:styleId="56">
    <w:name w:val="页脚 Char"/>
    <w:link w:val="25"/>
    <w:qFormat/>
    <w:uiPriority w:val="99"/>
    <w:rPr>
      <w:kern w:val="2"/>
      <w:sz w:val="18"/>
      <w:szCs w:val="18"/>
    </w:rPr>
  </w:style>
  <w:style w:type="character" w:customStyle="1" w:styleId="57">
    <w:name w:val="页眉 Char"/>
    <w:link w:val="26"/>
    <w:qFormat/>
    <w:uiPriority w:val="99"/>
    <w:rPr>
      <w:kern w:val="2"/>
      <w:sz w:val="18"/>
      <w:szCs w:val="18"/>
    </w:rPr>
  </w:style>
  <w:style w:type="character" w:customStyle="1" w:styleId="58">
    <w:name w:val="已访问的超链接11"/>
    <w:qFormat/>
    <w:uiPriority w:val="0"/>
    <w:rPr>
      <w:color w:val="800080"/>
      <w:u w:val="single"/>
    </w:rPr>
  </w:style>
  <w:style w:type="paragraph" w:customStyle="1" w:styleId="59">
    <w:name w:val="纯文本1"/>
    <w:basedOn w:val="1"/>
    <w:qFormat/>
    <w:uiPriority w:val="0"/>
    <w:pPr>
      <w:autoSpaceDE w:val="0"/>
      <w:autoSpaceDN w:val="0"/>
      <w:adjustRightInd w:val="0"/>
    </w:pPr>
    <w:rPr>
      <w:szCs w:val="20"/>
    </w:rPr>
  </w:style>
  <w:style w:type="character" w:customStyle="1" w:styleId="60">
    <w:name w:val="p11"/>
    <w:qFormat/>
    <w:uiPriority w:val="0"/>
    <w:rPr>
      <w:rFonts w:hint="eastAsia" w:ascii="宋体" w:hAnsi="宋体" w:eastAsia="宋体"/>
      <w:sz w:val="18"/>
      <w:szCs w:val="18"/>
    </w:rPr>
  </w:style>
  <w:style w:type="character" w:customStyle="1" w:styleId="61">
    <w:name w:val="批注框文本 Char"/>
    <w:link w:val="24"/>
    <w:qFormat/>
    <w:uiPriority w:val="99"/>
    <w:rPr>
      <w:kern w:val="2"/>
      <w:sz w:val="18"/>
      <w:szCs w:val="18"/>
    </w:rPr>
  </w:style>
  <w:style w:type="character" w:customStyle="1" w:styleId="62">
    <w:name w:val="yqlink"/>
    <w:basedOn w:val="42"/>
    <w:qFormat/>
    <w:uiPriority w:val="0"/>
  </w:style>
  <w:style w:type="paragraph" w:customStyle="1" w:styleId="63">
    <w:name w:val="z-窗体顶端1"/>
    <w:basedOn w:val="1"/>
    <w:next w:val="1"/>
    <w:hidden/>
    <w:qFormat/>
    <w:uiPriority w:val="0"/>
    <w:pPr>
      <w:pBdr>
        <w:bottom w:val="single" w:color="auto" w:sz="6" w:space="1"/>
      </w:pBdr>
      <w:jc w:val="center"/>
    </w:pPr>
    <w:rPr>
      <w:rFonts w:ascii="Arial" w:hAnsi="Arial" w:cs="Arial"/>
      <w:vanish/>
      <w:sz w:val="16"/>
      <w:szCs w:val="16"/>
    </w:rPr>
  </w:style>
  <w:style w:type="paragraph" w:customStyle="1" w:styleId="64">
    <w:name w:val="z-窗体底端1"/>
    <w:basedOn w:val="1"/>
    <w:next w:val="1"/>
    <w:hidden/>
    <w:qFormat/>
    <w:uiPriority w:val="0"/>
    <w:pPr>
      <w:pBdr>
        <w:top w:val="single" w:color="auto" w:sz="6" w:space="1"/>
      </w:pBdr>
      <w:jc w:val="center"/>
    </w:pPr>
    <w:rPr>
      <w:rFonts w:ascii="Arial" w:hAnsi="Arial" w:cs="Arial"/>
      <w:vanish/>
      <w:sz w:val="16"/>
      <w:szCs w:val="16"/>
    </w:rPr>
  </w:style>
  <w:style w:type="character" w:customStyle="1" w:styleId="65">
    <w:name w:val="font1"/>
    <w:qFormat/>
    <w:uiPriority w:val="0"/>
    <w:rPr>
      <w:sz w:val="18"/>
      <w:szCs w:val="18"/>
    </w:rPr>
  </w:style>
  <w:style w:type="character" w:customStyle="1" w:styleId="66">
    <w:name w:val="style21"/>
    <w:qFormat/>
    <w:uiPriority w:val="0"/>
    <w:rPr>
      <w:rFonts w:hint="eastAsia" w:ascii="方正剪纸简体" w:eastAsia="方正剪纸简体"/>
      <w:sz w:val="36"/>
      <w:szCs w:val="36"/>
    </w:rPr>
  </w:style>
  <w:style w:type="character" w:customStyle="1" w:styleId="67">
    <w:name w:val="demo05"/>
    <w:qFormat/>
    <w:uiPriority w:val="0"/>
    <w:rPr>
      <w:rFonts w:hint="default"/>
      <w:color w:val="000000"/>
      <w:sz w:val="20"/>
      <w:szCs w:val="20"/>
    </w:rPr>
  </w:style>
  <w:style w:type="character" w:customStyle="1" w:styleId="68">
    <w:name w:val="unnamed21"/>
    <w:qFormat/>
    <w:uiPriority w:val="0"/>
    <w:rPr>
      <w:color w:val="003366"/>
      <w:sz w:val="28"/>
      <w:szCs w:val="28"/>
    </w:rPr>
  </w:style>
  <w:style w:type="character" w:customStyle="1" w:styleId="69">
    <w:name w:val="text1"/>
    <w:qFormat/>
    <w:uiPriority w:val="0"/>
    <w:rPr>
      <w:spacing w:val="10"/>
      <w:sz w:val="28"/>
      <w:szCs w:val="28"/>
    </w:rPr>
  </w:style>
  <w:style w:type="paragraph" w:customStyle="1" w:styleId="70">
    <w:name w:val="font5"/>
    <w:basedOn w:val="1"/>
    <w:qFormat/>
    <w:uiPriority w:val="0"/>
    <w:pPr>
      <w:spacing w:before="100" w:beforeAutospacing="1" w:after="100" w:afterAutospacing="1"/>
    </w:pPr>
    <w:rPr>
      <w:rFonts w:hint="eastAsia" w:cs="Arial Unicode MS"/>
      <w:sz w:val="18"/>
      <w:szCs w:val="18"/>
    </w:rPr>
  </w:style>
  <w:style w:type="paragraph" w:customStyle="1" w:styleId="71">
    <w:name w:val="font6"/>
    <w:basedOn w:val="1"/>
    <w:qFormat/>
    <w:uiPriority w:val="0"/>
    <w:pPr>
      <w:spacing w:before="100" w:beforeAutospacing="1" w:after="100" w:afterAutospacing="1"/>
    </w:pPr>
    <w:rPr>
      <w:rFonts w:hint="eastAsia" w:cs="Arial Unicode MS"/>
    </w:rPr>
  </w:style>
  <w:style w:type="paragraph" w:customStyle="1" w:styleId="72">
    <w:name w:val="xl26"/>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pPr>
    <w:rPr>
      <w:rFonts w:ascii="Arial Unicode MS" w:hAnsi="Arial Unicode MS" w:eastAsia="Arial Unicode MS" w:cs="Arial Unicode MS"/>
      <w:b/>
      <w:bCs/>
    </w:rPr>
  </w:style>
  <w:style w:type="paragraph" w:customStyle="1" w:styleId="73">
    <w:name w:val="xl27"/>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Arial Unicode MS" w:hAnsi="Arial Unicode MS" w:eastAsia="Arial Unicode MS" w:cs="Arial Unicode MS"/>
    </w:rPr>
  </w:style>
  <w:style w:type="paragraph" w:customStyle="1" w:styleId="74">
    <w:name w:val="xl28"/>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right"/>
    </w:pPr>
    <w:rPr>
      <w:rFonts w:ascii="Arial Unicode MS" w:hAnsi="Arial Unicode MS" w:eastAsia="Arial Unicode MS" w:cs="Arial Unicode MS"/>
    </w:rPr>
  </w:style>
  <w:style w:type="paragraph" w:customStyle="1" w:styleId="75">
    <w:name w:val="xl29"/>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pPr>
    <w:rPr>
      <w:rFonts w:ascii="Arial Unicode MS" w:hAnsi="Arial Unicode MS" w:eastAsia="Arial Unicode MS" w:cs="Arial Unicode MS"/>
      <w:b/>
      <w:bCs/>
      <w:color w:val="000000"/>
    </w:rPr>
  </w:style>
  <w:style w:type="paragraph" w:customStyle="1" w:styleId="76">
    <w:name w:val="xl30"/>
    <w:basedOn w:val="1"/>
    <w:qFormat/>
    <w:uiPriority w:val="0"/>
    <w:pPr>
      <w:pBdr>
        <w:top w:val="single" w:color="auto" w:sz="4" w:space="0"/>
        <w:left w:val="single" w:color="auto" w:sz="4" w:space="0"/>
        <w:bottom w:val="single" w:color="auto" w:sz="4" w:space="0"/>
        <w:right w:val="single" w:color="auto" w:sz="8" w:space="0"/>
      </w:pBdr>
      <w:shd w:val="clear" w:color="auto" w:fill="FFFFFF"/>
      <w:spacing w:before="100" w:beforeAutospacing="1" w:after="100" w:afterAutospacing="1"/>
      <w:jc w:val="center"/>
    </w:pPr>
    <w:rPr>
      <w:rFonts w:ascii="Arial Unicode MS" w:hAnsi="Arial Unicode MS" w:eastAsia="Arial Unicode MS" w:cs="Arial Unicode MS"/>
    </w:rPr>
  </w:style>
  <w:style w:type="paragraph" w:customStyle="1" w:styleId="77">
    <w:name w:val="xl31"/>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Arial Unicode MS" w:hAnsi="Arial Unicode MS" w:eastAsia="Arial Unicode MS" w:cs="Arial Unicode MS"/>
      <w:b/>
      <w:bCs/>
      <w:color w:val="000000"/>
    </w:rPr>
  </w:style>
  <w:style w:type="paragraph" w:customStyle="1" w:styleId="78">
    <w:name w:val="xl32"/>
    <w:basedOn w:val="1"/>
    <w:qFormat/>
    <w:uiPriority w:val="0"/>
    <w:pPr>
      <w:pBdr>
        <w:top w:val="single" w:color="auto" w:sz="4" w:space="0"/>
        <w:left w:val="single" w:color="auto" w:sz="4" w:space="0"/>
        <w:bottom w:val="single" w:color="auto" w:sz="4" w:space="0"/>
        <w:right w:val="single" w:color="auto" w:sz="8" w:space="0"/>
      </w:pBdr>
      <w:shd w:val="clear" w:color="auto" w:fill="FFFFFF"/>
      <w:spacing w:before="100" w:beforeAutospacing="1" w:after="100" w:afterAutospacing="1"/>
      <w:jc w:val="center"/>
    </w:pPr>
    <w:rPr>
      <w:rFonts w:ascii="Arial Unicode MS" w:hAnsi="Arial Unicode MS" w:eastAsia="Arial Unicode MS" w:cs="Arial Unicode MS"/>
      <w:b/>
      <w:bCs/>
      <w:color w:val="000000"/>
    </w:rPr>
  </w:style>
  <w:style w:type="paragraph" w:customStyle="1" w:styleId="79">
    <w:name w:val="xl33"/>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Arial Unicode MS" w:hAnsi="Arial Unicode MS" w:eastAsia="Arial Unicode MS" w:cs="Arial Unicode MS"/>
      <w:b/>
      <w:bCs/>
    </w:rPr>
  </w:style>
  <w:style w:type="paragraph" w:customStyle="1" w:styleId="80">
    <w:name w:val="xl34"/>
    <w:basedOn w:val="1"/>
    <w:qFormat/>
    <w:uiPriority w:val="0"/>
    <w:pPr>
      <w:pBdr>
        <w:top w:val="single" w:color="auto" w:sz="4" w:space="0"/>
        <w:left w:val="single" w:color="auto" w:sz="4" w:space="0"/>
        <w:bottom w:val="single" w:color="auto" w:sz="4" w:space="0"/>
        <w:right w:val="single" w:color="auto" w:sz="8" w:space="0"/>
      </w:pBdr>
      <w:shd w:val="clear" w:color="auto" w:fill="FFFFFF"/>
      <w:spacing w:before="100" w:beforeAutospacing="1" w:after="100" w:afterAutospacing="1"/>
      <w:jc w:val="center"/>
    </w:pPr>
    <w:rPr>
      <w:rFonts w:ascii="Arial Unicode MS" w:hAnsi="Arial Unicode MS" w:eastAsia="Arial Unicode MS" w:cs="Arial Unicode MS"/>
      <w:b/>
      <w:bCs/>
    </w:rPr>
  </w:style>
  <w:style w:type="paragraph" w:customStyle="1" w:styleId="81">
    <w:name w:val="xl35"/>
    <w:basedOn w:val="1"/>
    <w:qFormat/>
    <w:uiPriority w:val="0"/>
    <w:pPr>
      <w:pBdr>
        <w:top w:val="single" w:color="auto" w:sz="4" w:space="0"/>
        <w:left w:val="single" w:color="auto" w:sz="8"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rPr>
  </w:style>
  <w:style w:type="paragraph" w:customStyle="1" w:styleId="82">
    <w:name w:val="xl36"/>
    <w:basedOn w:val="1"/>
    <w:qFormat/>
    <w:uiPriority w:val="0"/>
    <w:pPr>
      <w:pBdr>
        <w:top w:val="single" w:color="auto" w:sz="4" w:space="0"/>
        <w:left w:val="single" w:color="auto" w:sz="8"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color w:val="000000"/>
    </w:rPr>
  </w:style>
  <w:style w:type="paragraph" w:customStyle="1" w:styleId="83">
    <w:name w:val="font7"/>
    <w:basedOn w:val="1"/>
    <w:qFormat/>
    <w:uiPriority w:val="0"/>
    <w:pPr>
      <w:spacing w:before="100" w:beforeAutospacing="1" w:after="100" w:afterAutospacing="1"/>
    </w:pPr>
    <w:rPr>
      <w:rFonts w:hint="eastAsia" w:cs="Arial Unicode MS"/>
      <w:sz w:val="20"/>
      <w:szCs w:val="20"/>
    </w:rPr>
  </w:style>
  <w:style w:type="paragraph" w:customStyle="1" w:styleId="84">
    <w:name w:val="xl37"/>
    <w:basedOn w:val="1"/>
    <w:qFormat/>
    <w:uiPriority w:val="0"/>
    <w:pPr>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20"/>
      <w:szCs w:val="20"/>
    </w:rPr>
  </w:style>
  <w:style w:type="paragraph" w:customStyle="1" w:styleId="85">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86">
    <w:name w:val="xl39"/>
    <w:basedOn w:val="1"/>
    <w:qFormat/>
    <w:uiPriority w:val="0"/>
    <w:pPr>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Arial Unicode MS" w:hAnsi="Arial Unicode MS" w:eastAsia="Arial Unicode MS" w:cs="Arial Unicode MS"/>
      <w:b/>
      <w:bCs/>
      <w:sz w:val="20"/>
      <w:szCs w:val="20"/>
    </w:rPr>
  </w:style>
  <w:style w:type="paragraph" w:customStyle="1" w:styleId="87">
    <w:name w:val="xl40"/>
    <w:basedOn w:val="1"/>
    <w:qFormat/>
    <w:uiPriority w:val="0"/>
    <w:pPr>
      <w:pBdr>
        <w:top w:val="single" w:color="auto" w:sz="4" w:space="0"/>
        <w:left w:val="single" w:color="auto" w:sz="4" w:space="0"/>
        <w:bottom w:val="single" w:color="auto" w:sz="4" w:space="0"/>
      </w:pBdr>
      <w:spacing w:before="100" w:beforeAutospacing="1" w:after="100" w:afterAutospacing="1"/>
      <w:jc w:val="center"/>
    </w:pPr>
    <w:rPr>
      <w:rFonts w:eastAsia="Arial Unicode MS"/>
    </w:rPr>
  </w:style>
  <w:style w:type="paragraph" w:customStyle="1" w:styleId="88">
    <w:name w:val="xl41"/>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rFonts w:eastAsia="Arial Unicode MS"/>
    </w:rPr>
  </w:style>
  <w:style w:type="character" w:customStyle="1" w:styleId="89">
    <w:name w:val="style11"/>
    <w:qFormat/>
    <w:uiPriority w:val="0"/>
    <w:rPr>
      <w:sz w:val="28"/>
      <w:szCs w:val="28"/>
    </w:rPr>
  </w:style>
  <w:style w:type="character" w:customStyle="1" w:styleId="90">
    <w:name w:val="line121"/>
    <w:qFormat/>
    <w:uiPriority w:val="0"/>
  </w:style>
  <w:style w:type="paragraph" w:customStyle="1" w:styleId="91">
    <w:name w:val="aa"/>
    <w:basedOn w:val="1"/>
    <w:qFormat/>
    <w:uiPriority w:val="0"/>
    <w:pPr>
      <w:spacing w:before="100" w:beforeAutospacing="1" w:after="100" w:afterAutospacing="1" w:line="360" w:lineRule="auto"/>
    </w:pPr>
    <w:rPr>
      <w:rFonts w:ascii="Arial Unicode MS" w:hAnsi="Arial Unicode MS" w:eastAsia="Arial Unicode MS" w:cs="Arial Unicode MS"/>
      <w:sz w:val="18"/>
      <w:szCs w:val="18"/>
    </w:rPr>
  </w:style>
  <w:style w:type="character" w:customStyle="1" w:styleId="92">
    <w:name w:val="css1"/>
    <w:qFormat/>
    <w:uiPriority w:val="0"/>
    <w:rPr>
      <w:rFonts w:hint="eastAsia" w:ascii="新宋体" w:hAnsi="新宋体" w:eastAsia="新宋体"/>
      <w:color w:val="FAE4BF"/>
      <w:sz w:val="18"/>
      <w:szCs w:val="18"/>
      <w:u w:val="none"/>
    </w:rPr>
  </w:style>
  <w:style w:type="paragraph" w:customStyle="1" w:styleId="93">
    <w:name w:val="f5"/>
    <w:basedOn w:val="1"/>
    <w:qFormat/>
    <w:uiPriority w:val="0"/>
    <w:pPr>
      <w:spacing w:before="100" w:beforeAutospacing="1" w:after="100" w:afterAutospacing="1"/>
    </w:pPr>
    <w:rPr>
      <w:rFonts w:ascii="Arial Unicode MS" w:hAnsi="Arial Unicode MS" w:eastAsia="Arial Unicode MS" w:cs="Arial Unicode MS"/>
      <w:sz w:val="18"/>
      <w:szCs w:val="18"/>
    </w:rPr>
  </w:style>
  <w:style w:type="paragraph" w:customStyle="1" w:styleId="94">
    <w:name w:val="f7"/>
    <w:basedOn w:val="1"/>
    <w:qFormat/>
    <w:uiPriority w:val="0"/>
    <w:pPr>
      <w:spacing w:before="100" w:beforeAutospacing="1" w:after="100" w:afterAutospacing="1"/>
    </w:pPr>
    <w:rPr>
      <w:rFonts w:ascii="Arial Unicode MS" w:hAnsi="Arial Unicode MS" w:eastAsia="Arial Unicode MS" w:cs="Arial Unicode MS"/>
      <w:sz w:val="18"/>
      <w:szCs w:val="18"/>
    </w:rPr>
  </w:style>
  <w:style w:type="paragraph" w:customStyle="1" w:styleId="95">
    <w:name w:val="unnamed1"/>
    <w:basedOn w:val="1"/>
    <w:qFormat/>
    <w:uiPriority w:val="0"/>
    <w:pPr>
      <w:spacing w:before="100" w:beforeAutospacing="1" w:after="100" w:afterAutospacing="1"/>
    </w:pPr>
    <w:rPr>
      <w:rFonts w:ascii="Arial Unicode MS" w:hAnsi="Arial Unicode MS" w:eastAsia="Arial Unicode MS" w:cs="Arial Unicode MS"/>
    </w:rPr>
  </w:style>
  <w:style w:type="paragraph" w:customStyle="1" w:styleId="96">
    <w:name w:val="d1"/>
    <w:basedOn w:val="1"/>
    <w:qFormat/>
    <w:uiPriority w:val="0"/>
    <w:pPr>
      <w:spacing w:before="100" w:beforeAutospacing="1" w:after="100" w:afterAutospacing="1"/>
    </w:pPr>
    <w:rPr>
      <w:rFonts w:ascii="Arial Unicode MS" w:hAnsi="Arial Unicode MS" w:eastAsia="Arial Unicode MS" w:cs="Arial Unicode MS"/>
    </w:rPr>
  </w:style>
  <w:style w:type="paragraph" w:customStyle="1" w:styleId="97">
    <w:name w:val="p1"/>
    <w:basedOn w:val="1"/>
    <w:qFormat/>
    <w:uiPriority w:val="0"/>
    <w:pPr>
      <w:spacing w:before="100" w:beforeAutospacing="1" w:after="100" w:afterAutospacing="1"/>
    </w:pPr>
    <w:rPr>
      <w:rFonts w:ascii="Arial Unicode MS" w:hAnsi="Arial Unicode MS" w:eastAsia="Arial Unicode MS" w:cs="Arial Unicode MS"/>
      <w:sz w:val="18"/>
      <w:szCs w:val="18"/>
    </w:rPr>
  </w:style>
  <w:style w:type="paragraph" w:customStyle="1" w:styleId="98">
    <w:name w:val="vip"/>
    <w:basedOn w:val="1"/>
    <w:qFormat/>
    <w:uiPriority w:val="0"/>
    <w:pPr>
      <w:spacing w:before="100" w:beforeAutospacing="1" w:after="100" w:afterAutospacing="1"/>
    </w:pPr>
    <w:rPr>
      <w:rFonts w:ascii="Arial Unicode MS" w:hAnsi="Arial Unicode MS" w:eastAsia="Arial Unicode MS" w:cs="Arial Unicode MS"/>
      <w:color w:val="FFFFFF"/>
      <w:sz w:val="18"/>
      <w:szCs w:val="18"/>
    </w:rPr>
  </w:style>
  <w:style w:type="paragraph" w:customStyle="1" w:styleId="99">
    <w:name w:val="p2"/>
    <w:basedOn w:val="1"/>
    <w:qFormat/>
    <w:uiPriority w:val="0"/>
    <w:pPr>
      <w:spacing w:before="100" w:beforeAutospacing="1" w:after="100" w:afterAutospacing="1" w:line="360" w:lineRule="auto"/>
    </w:pPr>
    <w:rPr>
      <w:rFonts w:ascii="Arial Unicode MS" w:hAnsi="Arial Unicode MS" w:eastAsia="Arial Unicode MS" w:cs="Arial Unicode MS"/>
      <w:color w:val="B6BDC0"/>
      <w:sz w:val="18"/>
      <w:szCs w:val="18"/>
    </w:rPr>
  </w:style>
  <w:style w:type="paragraph" w:customStyle="1" w:styleId="100">
    <w:name w:val="p3"/>
    <w:basedOn w:val="1"/>
    <w:qFormat/>
    <w:uiPriority w:val="0"/>
    <w:pPr>
      <w:spacing w:before="100" w:beforeAutospacing="1" w:after="100" w:afterAutospacing="1"/>
    </w:pPr>
    <w:rPr>
      <w:rFonts w:ascii="Arial Unicode MS" w:hAnsi="Arial Unicode MS" w:eastAsia="Arial Unicode MS" w:cs="Arial Unicode MS"/>
    </w:rPr>
  </w:style>
  <w:style w:type="paragraph" w:customStyle="1" w:styleId="101">
    <w:name w:val="p4"/>
    <w:basedOn w:val="1"/>
    <w:qFormat/>
    <w:uiPriority w:val="0"/>
    <w:pPr>
      <w:spacing w:before="100" w:beforeAutospacing="1" w:after="100" w:afterAutospacing="1" w:line="312" w:lineRule="auto"/>
    </w:pPr>
    <w:rPr>
      <w:rFonts w:ascii="Arial Unicode MS" w:hAnsi="Arial Unicode MS" w:eastAsia="Arial Unicode MS" w:cs="Arial Unicode MS"/>
    </w:rPr>
  </w:style>
  <w:style w:type="paragraph" w:customStyle="1" w:styleId="102">
    <w:name w:val="p5"/>
    <w:basedOn w:val="1"/>
    <w:qFormat/>
    <w:uiPriority w:val="0"/>
    <w:pPr>
      <w:spacing w:before="100" w:beforeAutospacing="1" w:after="100" w:afterAutospacing="1"/>
    </w:pPr>
    <w:rPr>
      <w:rFonts w:ascii="Arial" w:hAnsi="Arial" w:eastAsia="Arial Unicode MS" w:cs="Arial"/>
      <w:sz w:val="15"/>
      <w:szCs w:val="15"/>
    </w:rPr>
  </w:style>
  <w:style w:type="paragraph" w:customStyle="1" w:styleId="103">
    <w:name w:val="p6"/>
    <w:basedOn w:val="1"/>
    <w:qFormat/>
    <w:uiPriority w:val="0"/>
    <w:pPr>
      <w:spacing w:before="100" w:beforeAutospacing="1" w:after="100" w:afterAutospacing="1" w:line="384" w:lineRule="auto"/>
    </w:pPr>
    <w:rPr>
      <w:rFonts w:ascii="Arial Unicode MS" w:hAnsi="Arial Unicode MS" w:eastAsia="Arial Unicode MS" w:cs="Arial Unicode MS"/>
    </w:rPr>
  </w:style>
  <w:style w:type="paragraph" w:customStyle="1" w:styleId="104">
    <w:name w:val="p7"/>
    <w:basedOn w:val="1"/>
    <w:qFormat/>
    <w:uiPriority w:val="0"/>
    <w:pPr>
      <w:spacing w:before="100" w:beforeAutospacing="1" w:after="100" w:afterAutospacing="1" w:line="432" w:lineRule="auto"/>
    </w:pPr>
    <w:rPr>
      <w:rFonts w:ascii="Arial Unicode MS" w:hAnsi="Arial Unicode MS" w:eastAsia="Arial Unicode MS" w:cs="Arial Unicode MS"/>
    </w:rPr>
  </w:style>
  <w:style w:type="paragraph" w:customStyle="1" w:styleId="105">
    <w:name w:val="hot"/>
    <w:basedOn w:val="1"/>
    <w:qFormat/>
    <w:uiPriority w:val="0"/>
    <w:pPr>
      <w:spacing w:before="100" w:beforeAutospacing="1" w:after="100" w:afterAutospacing="1"/>
    </w:pPr>
    <w:rPr>
      <w:rFonts w:ascii="Arial Unicode MS" w:hAnsi="Arial Unicode MS" w:eastAsia="Arial Unicode MS" w:cs="Arial Unicode MS"/>
      <w:color w:val="FF3300"/>
    </w:rPr>
  </w:style>
  <w:style w:type="paragraph" w:customStyle="1" w:styleId="106">
    <w:name w:val="lb1"/>
    <w:basedOn w:val="1"/>
    <w:qFormat/>
    <w:uiPriority w:val="0"/>
    <w:pPr>
      <w:spacing w:before="100" w:beforeAutospacing="1" w:after="100" w:afterAutospacing="1"/>
    </w:pPr>
    <w:rPr>
      <w:rFonts w:ascii="Arial Unicode MS" w:hAnsi="Arial Unicode MS" w:eastAsia="Arial Unicode MS" w:cs="Arial Unicode MS"/>
      <w:color w:val="0033CC"/>
    </w:rPr>
  </w:style>
  <w:style w:type="paragraph" w:customStyle="1" w:styleId="107">
    <w:name w:val="red"/>
    <w:basedOn w:val="1"/>
    <w:qFormat/>
    <w:uiPriority w:val="0"/>
    <w:pPr>
      <w:spacing w:before="100" w:beforeAutospacing="1" w:after="100" w:afterAutospacing="1" w:line="360" w:lineRule="auto"/>
    </w:pPr>
    <w:rPr>
      <w:rFonts w:eastAsia="Arial Unicode MS"/>
      <w:b/>
      <w:bCs/>
      <w:color w:val="FD6602"/>
    </w:rPr>
  </w:style>
  <w:style w:type="paragraph" w:customStyle="1" w:styleId="108">
    <w:name w:val="pw"/>
    <w:basedOn w:val="1"/>
    <w:qFormat/>
    <w:uiPriority w:val="0"/>
    <w:pPr>
      <w:spacing w:before="100" w:beforeAutospacing="1" w:after="100" w:afterAutospacing="1"/>
    </w:pPr>
    <w:rPr>
      <w:rFonts w:ascii="Arial Unicode MS" w:hAnsi="Arial Unicode MS" w:eastAsia="Arial Unicode MS" w:cs="Arial Unicode MS"/>
      <w:b/>
      <w:bCs/>
      <w:color w:val="FFFFFF"/>
    </w:rPr>
  </w:style>
  <w:style w:type="paragraph" w:customStyle="1" w:styleId="109">
    <w:name w:val="sinput"/>
    <w:basedOn w:val="1"/>
    <w:qFormat/>
    <w:uiPriority w:val="0"/>
    <w:pPr>
      <w:pBdr>
        <w:top w:val="threeDEmboss" w:color="FFFFFF" w:sz="6" w:space="0"/>
        <w:left w:val="threeDEmboss" w:color="FFFFFF" w:sz="6" w:space="0"/>
        <w:bottom w:val="threeDEmboss" w:color="auto" w:sz="6" w:space="0"/>
        <w:right w:val="threeDEmboss" w:color="auto" w:sz="6" w:space="0"/>
      </w:pBdr>
      <w:shd w:val="clear" w:color="auto" w:fill="CCCCCC"/>
      <w:spacing w:before="100" w:beforeAutospacing="1" w:after="100" w:afterAutospacing="1"/>
    </w:pPr>
    <w:rPr>
      <w:rFonts w:ascii="Arial Unicode MS" w:hAnsi="Arial Unicode MS" w:eastAsia="Arial Unicode MS" w:cs="Arial Unicode MS"/>
    </w:rPr>
  </w:style>
  <w:style w:type="paragraph" w:customStyle="1" w:styleId="110">
    <w:name w:val="ring"/>
    <w:basedOn w:val="1"/>
    <w:qFormat/>
    <w:uiPriority w:val="0"/>
    <w:pPr>
      <w:spacing w:before="100" w:beforeAutospacing="1" w:after="100" w:afterAutospacing="1"/>
    </w:pPr>
    <w:rPr>
      <w:rFonts w:ascii="Webdings" w:hAnsi="Webdings" w:eastAsia="Arial Unicode MS" w:cs="Arial Unicode MS"/>
      <w:color w:val="000066"/>
      <w:sz w:val="18"/>
      <w:szCs w:val="18"/>
    </w:rPr>
  </w:style>
  <w:style w:type="paragraph" w:customStyle="1" w:styleId="111">
    <w:name w:val="001"/>
    <w:basedOn w:val="1"/>
    <w:qFormat/>
    <w:uiPriority w:val="0"/>
    <w:pPr>
      <w:spacing w:before="100" w:beforeAutospacing="1" w:after="100" w:afterAutospacing="1" w:line="312" w:lineRule="auto"/>
    </w:pPr>
    <w:rPr>
      <w:rFonts w:ascii="Arial Unicode MS" w:hAnsi="Arial Unicode MS" w:eastAsia="Arial Unicode MS" w:cs="Arial Unicode MS"/>
      <w:sz w:val="22"/>
      <w:szCs w:val="22"/>
    </w:rPr>
  </w:style>
  <w:style w:type="paragraph" w:customStyle="1" w:styleId="112">
    <w:name w:val="bei"/>
    <w:basedOn w:val="1"/>
    <w:qFormat/>
    <w:uiPriority w:val="0"/>
    <w:pPr>
      <w:spacing w:before="100" w:beforeAutospacing="1" w:after="100" w:afterAutospacing="1"/>
    </w:pPr>
    <w:rPr>
      <w:rFonts w:ascii="Arial Unicode MS" w:hAnsi="Arial Unicode MS" w:eastAsia="Arial Unicode MS" w:cs="Arial Unicode MS"/>
      <w:color w:val="FFFFFF"/>
      <w:sz w:val="18"/>
      <w:szCs w:val="18"/>
    </w:rPr>
  </w:style>
  <w:style w:type="paragraph" w:customStyle="1" w:styleId="113">
    <w:name w:val="001copy"/>
    <w:basedOn w:val="1"/>
    <w:qFormat/>
    <w:uiPriority w:val="0"/>
    <w:pPr>
      <w:spacing w:before="100" w:beforeAutospacing="1" w:after="100" w:afterAutospacing="1" w:line="264" w:lineRule="auto"/>
    </w:pPr>
    <w:rPr>
      <w:rFonts w:ascii="Arial Unicode MS" w:hAnsi="Arial Unicode MS" w:eastAsia="Arial Unicode MS" w:cs="Arial Unicode MS"/>
      <w:b/>
      <w:bCs/>
      <w:color w:val="000066"/>
      <w:sz w:val="18"/>
      <w:szCs w:val="18"/>
    </w:rPr>
  </w:style>
  <w:style w:type="paragraph" w:customStyle="1" w:styleId="114">
    <w:name w:val="beicopy"/>
    <w:basedOn w:val="1"/>
    <w:qFormat/>
    <w:uiPriority w:val="0"/>
    <w:pPr>
      <w:spacing w:before="100" w:beforeAutospacing="1" w:after="100" w:afterAutospacing="1" w:line="264" w:lineRule="auto"/>
    </w:pPr>
    <w:rPr>
      <w:rFonts w:ascii="Arial Unicode MS" w:hAnsi="Arial Unicode MS" w:eastAsia="Arial Unicode MS" w:cs="Arial Unicode MS"/>
      <w:b/>
      <w:bCs/>
      <w:color w:val="FFFFFF"/>
      <w:sz w:val="18"/>
      <w:szCs w:val="18"/>
    </w:rPr>
  </w:style>
  <w:style w:type="paragraph" w:customStyle="1" w:styleId="115">
    <w:name w:val="hong"/>
    <w:basedOn w:val="1"/>
    <w:qFormat/>
    <w:uiPriority w:val="0"/>
    <w:pPr>
      <w:spacing w:before="100" w:beforeAutospacing="1" w:after="100" w:afterAutospacing="1"/>
    </w:pPr>
    <w:rPr>
      <w:rFonts w:ascii="Arial Unicode MS" w:hAnsi="Arial Unicode MS" w:eastAsia="Arial Unicode MS" w:cs="Arial Unicode MS"/>
      <w:b/>
      <w:bCs/>
      <w:color w:val="BC3385"/>
    </w:rPr>
  </w:style>
  <w:style w:type="paragraph" w:customStyle="1" w:styleId="116">
    <w:name w:val="green"/>
    <w:basedOn w:val="1"/>
    <w:qFormat/>
    <w:uiPriority w:val="0"/>
    <w:pPr>
      <w:spacing w:before="100" w:beforeAutospacing="1" w:after="100" w:afterAutospacing="1"/>
    </w:pPr>
    <w:rPr>
      <w:rFonts w:ascii="Arial Unicode MS" w:hAnsi="Arial Unicode MS" w:eastAsia="Arial Unicode MS" w:cs="Arial Unicode MS"/>
      <w:b/>
      <w:bCs/>
      <w:color w:val="49752B"/>
      <w:sz w:val="18"/>
      <w:szCs w:val="18"/>
    </w:rPr>
  </w:style>
  <w:style w:type="paragraph" w:customStyle="1" w:styleId="117">
    <w:name w:val="hongcopy"/>
    <w:basedOn w:val="1"/>
    <w:qFormat/>
    <w:uiPriority w:val="0"/>
    <w:pPr>
      <w:spacing w:before="100" w:beforeAutospacing="1" w:after="100" w:afterAutospacing="1"/>
    </w:pPr>
    <w:rPr>
      <w:rFonts w:ascii="Arial Unicode MS" w:hAnsi="Arial Unicode MS" w:eastAsia="Arial Unicode MS" w:cs="Arial Unicode MS"/>
      <w:b/>
      <w:bCs/>
      <w:color w:val="E85415"/>
      <w:sz w:val="18"/>
      <w:szCs w:val="18"/>
    </w:rPr>
  </w:style>
  <w:style w:type="paragraph" w:customStyle="1" w:styleId="118">
    <w:name w:val="hong-h"/>
    <w:basedOn w:val="1"/>
    <w:qFormat/>
    <w:uiPriority w:val="0"/>
    <w:pPr>
      <w:spacing w:before="100" w:beforeAutospacing="1" w:after="100" w:afterAutospacing="1"/>
    </w:pPr>
    <w:rPr>
      <w:rFonts w:ascii="Arial Unicode MS" w:hAnsi="Arial Unicode MS" w:eastAsia="Arial Unicode MS" w:cs="Arial Unicode MS"/>
      <w:color w:val="E85415"/>
      <w:sz w:val="18"/>
      <w:szCs w:val="18"/>
    </w:rPr>
  </w:style>
  <w:style w:type="paragraph" w:customStyle="1" w:styleId="119">
    <w:name w:val="11"/>
    <w:basedOn w:val="1"/>
    <w:qFormat/>
    <w:uiPriority w:val="0"/>
    <w:pPr>
      <w:spacing w:before="100" w:beforeAutospacing="1" w:after="100" w:afterAutospacing="1"/>
    </w:pPr>
    <w:rPr>
      <w:rFonts w:ascii="Arial Unicode MS" w:hAnsi="Arial Unicode MS" w:eastAsia="Arial Unicode MS" w:cs="Arial Unicode MS"/>
      <w:sz w:val="22"/>
      <w:szCs w:val="22"/>
    </w:rPr>
  </w:style>
  <w:style w:type="paragraph" w:customStyle="1" w:styleId="120">
    <w:name w:val="f14l12"/>
    <w:basedOn w:val="1"/>
    <w:qFormat/>
    <w:uiPriority w:val="0"/>
    <w:pPr>
      <w:spacing w:before="100" w:beforeAutospacing="1" w:after="100" w:afterAutospacing="1" w:line="288" w:lineRule="auto"/>
    </w:pPr>
    <w:rPr>
      <w:rFonts w:ascii="Arial Unicode MS" w:hAnsi="Arial Unicode MS" w:eastAsia="Arial Unicode MS" w:cs="Arial Unicode MS"/>
      <w:szCs w:val="21"/>
    </w:rPr>
  </w:style>
  <w:style w:type="paragraph" w:customStyle="1" w:styleId="121">
    <w:name w:val="style1"/>
    <w:basedOn w:val="1"/>
    <w:qFormat/>
    <w:uiPriority w:val="0"/>
    <w:pPr>
      <w:spacing w:before="100" w:beforeAutospacing="1" w:after="100" w:afterAutospacing="1"/>
    </w:pPr>
    <w:rPr>
      <w:rFonts w:ascii="Arial Unicode MS" w:hAnsi="Arial Unicode MS" w:eastAsia="Arial Unicode MS" w:cs="Arial Unicode MS"/>
      <w:color w:val="000000"/>
    </w:rPr>
  </w:style>
  <w:style w:type="character" w:customStyle="1" w:styleId="122">
    <w:name w:val="whitebold1"/>
    <w:basedOn w:val="42"/>
    <w:qFormat/>
    <w:uiPriority w:val="0"/>
  </w:style>
  <w:style w:type="character" w:customStyle="1" w:styleId="123">
    <w:name w:val="title14"/>
    <w:basedOn w:val="42"/>
    <w:qFormat/>
    <w:uiPriority w:val="0"/>
  </w:style>
  <w:style w:type="paragraph" w:customStyle="1" w:styleId="124">
    <w:name w:val="Char"/>
    <w:basedOn w:val="1"/>
    <w:qFormat/>
    <w:uiPriority w:val="0"/>
    <w:rPr>
      <w:rFonts w:cs="Courier New"/>
      <w:sz w:val="32"/>
      <w:szCs w:val="32"/>
    </w:rPr>
  </w:style>
  <w:style w:type="character" w:customStyle="1" w:styleId="125">
    <w:name w:val="hei141"/>
    <w:qFormat/>
    <w:uiPriority w:val="0"/>
    <w:rPr>
      <w:color w:val="000000"/>
      <w:sz w:val="28"/>
      <w:szCs w:val="28"/>
    </w:rPr>
  </w:style>
  <w:style w:type="paragraph" w:styleId="126">
    <w:name w:val="List Paragraph"/>
    <w:basedOn w:val="1"/>
    <w:qFormat/>
    <w:uiPriority w:val="34"/>
    <w:pPr>
      <w:ind w:firstLine="420" w:firstLineChars="200"/>
    </w:pPr>
  </w:style>
  <w:style w:type="character" w:customStyle="1" w:styleId="127">
    <w:name w:val="currentprice fontstyle_sp"/>
    <w:basedOn w:val="42"/>
    <w:qFormat/>
    <w:uiPriority w:val="0"/>
  </w:style>
  <w:style w:type="paragraph" w:customStyle="1" w:styleId="128">
    <w:name w:val="Char1"/>
    <w:basedOn w:val="1"/>
    <w:qFormat/>
    <w:uiPriority w:val="0"/>
    <w:rPr>
      <w:rFonts w:ascii="Tahoma" w:hAnsi="Tahoma"/>
      <w:szCs w:val="20"/>
    </w:rPr>
  </w:style>
  <w:style w:type="paragraph" w:customStyle="1" w:styleId="129">
    <w:name w:val="yiv73721737msonormal"/>
    <w:basedOn w:val="1"/>
    <w:qFormat/>
    <w:uiPriority w:val="0"/>
    <w:pPr>
      <w:spacing w:before="100" w:beforeAutospacing="1" w:after="100" w:afterAutospacing="1"/>
    </w:pPr>
  </w:style>
  <w:style w:type="character" w:customStyle="1" w:styleId="130">
    <w:name w:val="apple-style-span"/>
    <w:basedOn w:val="42"/>
    <w:qFormat/>
    <w:uiPriority w:val="0"/>
  </w:style>
  <w:style w:type="paragraph" w:customStyle="1" w:styleId="131">
    <w:name w:val="yiv409727469msonormal"/>
    <w:basedOn w:val="1"/>
    <w:qFormat/>
    <w:uiPriority w:val="0"/>
    <w:pPr>
      <w:spacing w:before="100" w:beforeAutospacing="1" w:after="100" w:afterAutospacing="1"/>
    </w:pPr>
  </w:style>
  <w:style w:type="paragraph" w:customStyle="1" w:styleId="132">
    <w:name w:val="largefont"/>
    <w:basedOn w:val="1"/>
    <w:qFormat/>
    <w:uiPriority w:val="0"/>
    <w:pPr>
      <w:spacing w:before="100" w:beforeAutospacing="1" w:after="100" w:afterAutospacing="1" w:line="360" w:lineRule="auto"/>
      <w:ind w:firstLine="480"/>
    </w:pPr>
  </w:style>
  <w:style w:type="paragraph" w:customStyle="1" w:styleId="133">
    <w:name w:val="yiv129177480msonormal"/>
    <w:basedOn w:val="1"/>
    <w:qFormat/>
    <w:uiPriority w:val="0"/>
    <w:pPr>
      <w:spacing w:before="100" w:beforeAutospacing="1" w:after="100" w:afterAutospacing="1"/>
    </w:pPr>
  </w:style>
  <w:style w:type="character" w:customStyle="1" w:styleId="134">
    <w:name w:val="apple-converted-space"/>
    <w:basedOn w:val="42"/>
    <w:qFormat/>
    <w:uiPriority w:val="0"/>
  </w:style>
  <w:style w:type="paragraph" w:customStyle="1" w:styleId="135">
    <w:name w:val="列出段落1"/>
    <w:basedOn w:val="1"/>
    <w:qFormat/>
    <w:uiPriority w:val="99"/>
    <w:pPr>
      <w:ind w:firstLine="420" w:firstLineChars="200"/>
    </w:pPr>
    <w:rPr>
      <w:rFonts w:ascii="Calibri" w:hAnsi="Calibri"/>
      <w:szCs w:val="22"/>
    </w:rPr>
  </w:style>
  <w:style w:type="character" w:customStyle="1" w:styleId="136">
    <w:name w:val="Header Char"/>
    <w:semiHidden/>
    <w:qFormat/>
    <w:locked/>
    <w:uiPriority w:val="99"/>
    <w:rPr>
      <w:rFonts w:cs="Times New Roman"/>
      <w:sz w:val="18"/>
      <w:szCs w:val="18"/>
    </w:rPr>
  </w:style>
  <w:style w:type="character" w:customStyle="1" w:styleId="137">
    <w:name w:val="Footer Char"/>
    <w:semiHidden/>
    <w:qFormat/>
    <w:locked/>
    <w:uiPriority w:val="99"/>
    <w:rPr>
      <w:rFonts w:cs="Times New Roman"/>
      <w:sz w:val="18"/>
      <w:szCs w:val="18"/>
    </w:rPr>
  </w:style>
  <w:style w:type="character" w:customStyle="1" w:styleId="138">
    <w:name w:val="Balloon Text Char"/>
    <w:semiHidden/>
    <w:qFormat/>
    <w:locked/>
    <w:uiPriority w:val="99"/>
    <w:rPr>
      <w:rFonts w:cs="Times New Roman"/>
      <w:sz w:val="2"/>
    </w:rPr>
  </w:style>
  <w:style w:type="character" w:customStyle="1" w:styleId="139">
    <w:name w:val="已访问的超链接1"/>
    <w:qFormat/>
    <w:uiPriority w:val="99"/>
    <w:rPr>
      <w:rFonts w:cs="Times New Roman"/>
      <w:color w:val="800080"/>
      <w:u w:val="single"/>
    </w:rPr>
  </w:style>
  <w:style w:type="character" w:customStyle="1" w:styleId="140">
    <w:name w:val="s_col41"/>
    <w:qFormat/>
    <w:uiPriority w:val="0"/>
    <w:rPr>
      <w:color w:val="CC0104"/>
    </w:rPr>
  </w:style>
  <w:style w:type="character" w:customStyle="1" w:styleId="141">
    <w:name w:val="zib"/>
    <w:qFormat/>
    <w:uiPriority w:val="0"/>
  </w:style>
  <w:style w:type="paragraph" w:customStyle="1" w:styleId="142">
    <w:name w:val="Default"/>
    <w:qFormat/>
    <w:uiPriority w:val="0"/>
    <w:pPr>
      <w:widowControl w:val="0"/>
      <w:autoSpaceDE w:val="0"/>
      <w:autoSpaceDN w:val="0"/>
      <w:adjustRightInd w:val="0"/>
    </w:pPr>
    <w:rPr>
      <w:rFonts w:ascii="Wingdings" w:hAnsi="Wingdings" w:eastAsia="宋体" w:cs="Wingdings"/>
      <w:color w:val="000000"/>
      <w:sz w:val="24"/>
      <w:szCs w:val="24"/>
      <w:lang w:val="en-US" w:eastAsia="zh-CN" w:bidi="ar-SA"/>
    </w:rPr>
  </w:style>
  <w:style w:type="character" w:customStyle="1" w:styleId="143">
    <w:name w:val="日期 Char"/>
    <w:link w:val="22"/>
    <w:qFormat/>
    <w:uiPriority w:val="99"/>
    <w:rPr>
      <w:rFonts w:ascii="Calibri" w:hAnsi="Calibri"/>
      <w:sz w:val="24"/>
      <w:szCs w:val="24"/>
    </w:rPr>
  </w:style>
  <w:style w:type="character" w:customStyle="1" w:styleId="144">
    <w:name w:val="标题 Char"/>
    <w:link w:val="34"/>
    <w:qFormat/>
    <w:uiPriority w:val="10"/>
    <w:rPr>
      <w:rFonts w:ascii="Cambria" w:hAnsi="Cambria"/>
      <w:b/>
      <w:bCs/>
      <w:kern w:val="28"/>
      <w:sz w:val="32"/>
      <w:szCs w:val="32"/>
    </w:rPr>
  </w:style>
  <w:style w:type="character" w:customStyle="1" w:styleId="145">
    <w:name w:val="副标题 Char"/>
    <w:link w:val="28"/>
    <w:qFormat/>
    <w:uiPriority w:val="11"/>
    <w:rPr>
      <w:rFonts w:ascii="Cambria" w:hAnsi="Cambria"/>
      <w:sz w:val="24"/>
      <w:szCs w:val="24"/>
    </w:rPr>
  </w:style>
  <w:style w:type="paragraph" w:styleId="146">
    <w:name w:val="No Spacing"/>
    <w:basedOn w:val="1"/>
    <w:qFormat/>
    <w:uiPriority w:val="1"/>
    <w:rPr>
      <w:rFonts w:ascii="Calibri" w:hAnsi="Calibri"/>
      <w:szCs w:val="32"/>
    </w:rPr>
  </w:style>
  <w:style w:type="paragraph" w:styleId="147">
    <w:name w:val="Quote"/>
    <w:basedOn w:val="1"/>
    <w:next w:val="1"/>
    <w:link w:val="148"/>
    <w:qFormat/>
    <w:uiPriority w:val="29"/>
    <w:rPr>
      <w:rFonts w:ascii="Calibri" w:hAnsi="Calibri"/>
      <w:i/>
    </w:rPr>
  </w:style>
  <w:style w:type="character" w:customStyle="1" w:styleId="148">
    <w:name w:val="引用 Char"/>
    <w:link w:val="147"/>
    <w:qFormat/>
    <w:uiPriority w:val="29"/>
    <w:rPr>
      <w:rFonts w:ascii="Calibri" w:hAnsi="Calibri"/>
      <w:i/>
      <w:sz w:val="24"/>
      <w:szCs w:val="24"/>
    </w:rPr>
  </w:style>
  <w:style w:type="paragraph" w:styleId="149">
    <w:name w:val="Intense Quote"/>
    <w:basedOn w:val="1"/>
    <w:next w:val="1"/>
    <w:link w:val="150"/>
    <w:qFormat/>
    <w:uiPriority w:val="30"/>
    <w:pPr>
      <w:ind w:left="720" w:right="720"/>
    </w:pPr>
    <w:rPr>
      <w:rFonts w:ascii="Calibri" w:hAnsi="Calibri"/>
      <w:b/>
      <w:i/>
      <w:szCs w:val="22"/>
    </w:rPr>
  </w:style>
  <w:style w:type="character" w:customStyle="1" w:styleId="150">
    <w:name w:val="明显引用 Char"/>
    <w:link w:val="149"/>
    <w:qFormat/>
    <w:uiPriority w:val="30"/>
    <w:rPr>
      <w:rFonts w:ascii="Calibri" w:hAnsi="Calibri"/>
      <w:b/>
      <w:i/>
      <w:sz w:val="24"/>
      <w:szCs w:val="22"/>
    </w:rPr>
  </w:style>
  <w:style w:type="character" w:customStyle="1" w:styleId="151">
    <w:name w:val="不明显强调1"/>
    <w:qFormat/>
    <w:uiPriority w:val="19"/>
    <w:rPr>
      <w:i/>
      <w:color w:val="5A5A5A"/>
    </w:rPr>
  </w:style>
  <w:style w:type="character" w:customStyle="1" w:styleId="152">
    <w:name w:val="明显强调1"/>
    <w:qFormat/>
    <w:uiPriority w:val="21"/>
    <w:rPr>
      <w:b/>
      <w:i/>
      <w:sz w:val="24"/>
      <w:szCs w:val="24"/>
      <w:u w:val="single"/>
    </w:rPr>
  </w:style>
  <w:style w:type="character" w:customStyle="1" w:styleId="153">
    <w:name w:val="不明显参考1"/>
    <w:qFormat/>
    <w:uiPriority w:val="31"/>
    <w:rPr>
      <w:sz w:val="24"/>
      <w:szCs w:val="24"/>
      <w:u w:val="single"/>
    </w:rPr>
  </w:style>
  <w:style w:type="character" w:customStyle="1" w:styleId="154">
    <w:name w:val="明显参考1"/>
    <w:qFormat/>
    <w:uiPriority w:val="32"/>
    <w:rPr>
      <w:b/>
      <w:sz w:val="24"/>
      <w:u w:val="single"/>
    </w:rPr>
  </w:style>
  <w:style w:type="character" w:customStyle="1" w:styleId="155">
    <w:name w:val="书籍标题1"/>
    <w:qFormat/>
    <w:uiPriority w:val="33"/>
    <w:rPr>
      <w:rFonts w:ascii="Cambria" w:hAnsi="Cambria" w:eastAsia="宋体"/>
      <w:b/>
      <w:i/>
      <w:sz w:val="24"/>
      <w:szCs w:val="24"/>
    </w:rPr>
  </w:style>
  <w:style w:type="paragraph" w:customStyle="1" w:styleId="156">
    <w:name w:val="TOC 标题1"/>
    <w:basedOn w:val="4"/>
    <w:next w:val="1"/>
    <w:semiHidden/>
    <w:unhideWhenUsed/>
    <w:qFormat/>
    <w:uiPriority w:val="39"/>
    <w:pPr>
      <w:keepLines w:val="0"/>
      <w:adjustRightInd/>
      <w:snapToGrid/>
      <w:spacing w:before="240" w:after="60" w:line="240" w:lineRule="auto"/>
      <w:jc w:val="left"/>
      <w:outlineLvl w:val="9"/>
    </w:pPr>
    <w:rPr>
      <w:rFonts w:ascii="Cambria" w:hAnsi="Cambria"/>
      <w:bCs/>
      <w:kern w:val="32"/>
      <w:sz w:val="32"/>
      <w:szCs w:val="32"/>
    </w:rPr>
  </w:style>
  <w:style w:type="paragraph" w:customStyle="1" w:styleId="157">
    <w:name w:val="sec_page_nr_title"/>
    <w:basedOn w:val="1"/>
    <w:qFormat/>
    <w:uiPriority w:val="0"/>
    <w:pPr>
      <w:spacing w:before="100" w:beforeAutospacing="1" w:after="115" w:line="360" w:lineRule="auto"/>
      <w:jc w:val="center"/>
    </w:pPr>
    <w:rPr>
      <w:b/>
      <w:bCs/>
      <w:color w:val="005FBE"/>
      <w:sz w:val="23"/>
      <w:szCs w:val="23"/>
    </w:rPr>
  </w:style>
  <w:style w:type="character" w:customStyle="1" w:styleId="158">
    <w:name w:val="批注文字 Char"/>
    <w:link w:val="17"/>
    <w:qFormat/>
    <w:uiPriority w:val="99"/>
    <w:rPr>
      <w:kern w:val="2"/>
      <w:sz w:val="21"/>
      <w:szCs w:val="24"/>
    </w:rPr>
  </w:style>
  <w:style w:type="character" w:customStyle="1" w:styleId="159">
    <w:name w:val="批注主题 Char"/>
    <w:link w:val="35"/>
    <w:qFormat/>
    <w:uiPriority w:val="0"/>
    <w:rPr>
      <w:b/>
      <w:bCs/>
      <w:kern w:val="2"/>
      <w:sz w:val="21"/>
      <w:szCs w:val="24"/>
    </w:rPr>
  </w:style>
  <w:style w:type="paragraph" w:customStyle="1" w:styleId="160">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161">
    <w:name w:val="未处理的提及1"/>
    <w:semiHidden/>
    <w:unhideWhenUsed/>
    <w:qFormat/>
    <w:uiPriority w:val="99"/>
    <w:rPr>
      <w:color w:val="605E5C"/>
      <w:shd w:val="clear" w:color="auto" w:fill="E1DFDD"/>
    </w:rPr>
  </w:style>
  <w:style w:type="paragraph" w:customStyle="1" w:styleId="162">
    <w:name w:val="section"/>
    <w:basedOn w:val="1"/>
    <w:qFormat/>
    <w:uiPriority w:val="0"/>
    <w:pPr>
      <w:spacing w:before="100" w:beforeAutospacing="1" w:after="100" w:afterAutospacing="1"/>
    </w:pPr>
  </w:style>
  <w:style w:type="character" w:customStyle="1" w:styleId="163">
    <w:name w:val="lingraydark_noline1"/>
    <w:qFormat/>
    <w:uiPriority w:val="0"/>
    <w:rPr>
      <w:color w:val="333333"/>
      <w:sz w:val="18"/>
      <w:szCs w:val="18"/>
    </w:rPr>
  </w:style>
  <w:style w:type="character" w:customStyle="1" w:styleId="164">
    <w:name w:val="font11"/>
    <w:qFormat/>
    <w:uiPriority w:val="0"/>
    <w:rPr>
      <w:rFonts w:hint="eastAsia" w:ascii="微软雅黑" w:hAnsi="微软雅黑" w:eastAsia="微软雅黑" w:cs="微软雅黑"/>
      <w:color w:val="000000"/>
      <w:sz w:val="18"/>
      <w:szCs w:val="18"/>
      <w:u w:val="none"/>
    </w:rPr>
  </w:style>
  <w:style w:type="character" w:customStyle="1" w:styleId="165">
    <w:name w:val="font31"/>
    <w:basedOn w:val="42"/>
    <w:qFormat/>
    <w:uiPriority w:val="0"/>
    <w:rPr>
      <w:rFonts w:ascii="Arial" w:hAnsi="Arial" w:cs="Arial"/>
      <w:color w:val="000000"/>
      <w:sz w:val="18"/>
      <w:szCs w:val="18"/>
      <w:u w:val="none"/>
    </w:rPr>
  </w:style>
  <w:style w:type="character" w:customStyle="1" w:styleId="166">
    <w:name w:val="font41"/>
    <w:basedOn w:val="42"/>
    <w:qFormat/>
    <w:uiPriority w:val="0"/>
    <w:rPr>
      <w:rFonts w:hint="default" w:ascii="华文细黑" w:hAnsi="华文细黑" w:eastAsia="华文细黑" w:cs="华文细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0" Type="http://schemas.openxmlformats.org/officeDocument/2006/relationships/fontTable" Target="fontTable.xml"/><Relationship Id="rId6" Type="http://schemas.openxmlformats.org/officeDocument/2006/relationships/footer" Target="footer2.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4.png"/><Relationship Id="rId55" Type="http://schemas.openxmlformats.org/officeDocument/2006/relationships/image" Target="media/image13.png"/><Relationship Id="rId54" Type="http://schemas.openxmlformats.org/officeDocument/2006/relationships/image" Target="media/image12.png"/><Relationship Id="rId53" Type="http://schemas.openxmlformats.org/officeDocument/2006/relationships/image" Target="media/image11.jpeg"/><Relationship Id="rId52" Type="http://schemas.openxmlformats.org/officeDocument/2006/relationships/image" Target="media/image10.jpeg"/><Relationship Id="rId51" Type="http://schemas.openxmlformats.org/officeDocument/2006/relationships/image" Target="media/image9.jpeg"/><Relationship Id="rId50" Type="http://schemas.openxmlformats.org/officeDocument/2006/relationships/image" Target="media/image8.png"/><Relationship Id="rId5" Type="http://schemas.openxmlformats.org/officeDocument/2006/relationships/footer" Target="footer1.xml"/><Relationship Id="rId49" Type="http://schemas.openxmlformats.org/officeDocument/2006/relationships/chart" Target="charts/chart14.xml"/><Relationship Id="rId48" Type="http://schemas.openxmlformats.org/officeDocument/2006/relationships/chart" Target="charts/chart13.xml"/><Relationship Id="rId47" Type="http://schemas.openxmlformats.org/officeDocument/2006/relationships/chart" Target="charts/chart12.xml"/><Relationship Id="rId46" Type="http://schemas.openxmlformats.org/officeDocument/2006/relationships/chart" Target="charts/chart11.xml"/><Relationship Id="rId45" Type="http://schemas.openxmlformats.org/officeDocument/2006/relationships/image" Target="media/image7.png"/><Relationship Id="rId44" Type="http://schemas.openxmlformats.org/officeDocument/2006/relationships/chart" Target="charts/chart10.xml"/><Relationship Id="rId43" Type="http://schemas.openxmlformats.org/officeDocument/2006/relationships/chart" Target="charts/chart9.xml"/><Relationship Id="rId42" Type="http://schemas.openxmlformats.org/officeDocument/2006/relationships/image" Target="media/image6.png"/><Relationship Id="rId41" Type="http://schemas.openxmlformats.org/officeDocument/2006/relationships/chart" Target="charts/chart8.xml"/><Relationship Id="rId40" Type="http://schemas.openxmlformats.org/officeDocument/2006/relationships/chart" Target="charts/chart7.xml"/><Relationship Id="rId4" Type="http://schemas.openxmlformats.org/officeDocument/2006/relationships/header" Target="header2.xml"/><Relationship Id="rId39" Type="http://schemas.openxmlformats.org/officeDocument/2006/relationships/chart" Target="charts/chart6.xml"/><Relationship Id="rId38" Type="http://schemas.openxmlformats.org/officeDocument/2006/relationships/chart" Target="charts/chart5.xml"/><Relationship Id="rId37" Type="http://schemas.openxmlformats.org/officeDocument/2006/relationships/chart" Target="charts/chart4.xml"/><Relationship Id="rId36" Type="http://schemas.openxmlformats.org/officeDocument/2006/relationships/image" Target="media/image5.png"/><Relationship Id="rId35" Type="http://schemas.openxmlformats.org/officeDocument/2006/relationships/chart" Target="charts/chart3.xml"/><Relationship Id="rId34" Type="http://schemas.openxmlformats.org/officeDocument/2006/relationships/chart" Target="charts/chart2.xml"/><Relationship Id="rId33" Type="http://schemas.openxmlformats.org/officeDocument/2006/relationships/chart" Target="charts/chart1.xml"/><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image" Target="media/image2.jpe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header" Target="header22.xml"/><Relationship Id="rId27" Type="http://schemas.openxmlformats.org/officeDocument/2006/relationships/header" Target="header21.xml"/><Relationship Id="rId26" Type="http://schemas.openxmlformats.org/officeDocument/2006/relationships/header" Target="header20.xml"/><Relationship Id="rId25" Type="http://schemas.openxmlformats.org/officeDocument/2006/relationships/header" Target="header19.xml"/><Relationship Id="rId24" Type="http://schemas.openxmlformats.org/officeDocument/2006/relationships/header" Target="header18.xml"/><Relationship Id="rId23" Type="http://schemas.openxmlformats.org/officeDocument/2006/relationships/header" Target="header17.xml"/><Relationship Id="rId22" Type="http://schemas.openxmlformats.org/officeDocument/2006/relationships/header" Target="header16.xml"/><Relationship Id="rId21" Type="http://schemas.openxmlformats.org/officeDocument/2006/relationships/header" Target="header15.xml"/><Relationship Id="rId20" Type="http://schemas.openxmlformats.org/officeDocument/2006/relationships/header" Target="header14.xml"/><Relationship Id="rId2" Type="http://schemas.openxmlformats.org/officeDocument/2006/relationships/settings" Target="settings.xml"/><Relationship Id="rId19" Type="http://schemas.openxmlformats.org/officeDocument/2006/relationships/header" Target="header13.xml"/><Relationship Id="rId18" Type="http://schemas.openxmlformats.org/officeDocument/2006/relationships/header" Target="header12.xml"/><Relationship Id="rId17" Type="http://schemas.openxmlformats.org/officeDocument/2006/relationships/header" Target="header11.xml"/><Relationship Id="rId16" Type="http://schemas.openxmlformats.org/officeDocument/2006/relationships/header" Target="header10.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tor\&#26700;&#38754;\&#24066;&#21306;&#33539;&#22260;&#23613;&#35843;&#22270;&#34920;-&#23159;&#23159;&#23613;&#35843;.xlsx"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kbb2345\Downloads\&#25307;&#25293;&#25346;&#22320;&#22359;&#21015;&#34920;-2022&#24180;9&#26376;9&#26085;%2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bb2345\Desktop\&#21306;&#22495;&#22303;&#22320;&#24066;&#22330;&#20998;&#26512;&#29992;&#22270;.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kbb2345\Desktop\&#21306;&#22495;&#22303;&#22320;&#24066;&#22330;&#20998;&#26512;&#29992;&#22270;.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kbb2345\Desktop\&#21306;&#22495;&#22303;&#22320;&#24066;&#22330;&#20998;&#26512;&#29992;&#22270;.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kbb2345\Desktop\&#21306;&#22495;&#22303;&#22320;&#24066;&#22330;&#20998;&#26512;&#29992;&#2227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26700;&#38754;\&#24066;&#21306;&#33539;&#22260;&#23613;&#35843;&#22270;&#34920;-&#23159;&#23159;&#23613;&#3584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tor\&#26700;&#38754;\&#24066;&#21306;&#33539;&#22260;&#23613;&#35843;&#22270;&#34920;-&#23159;&#23159;&#23613;&#3584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istrator\&#26700;&#38754;\&#24066;&#21306;&#33539;&#22260;&#23613;&#35843;&#22270;&#34920;-&#23159;&#23159;&#23613;&#3584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tor\&#26700;&#38754;\&#24066;&#21306;&#33539;&#22260;&#23613;&#35843;&#22270;&#34920;-&#23159;&#23159;&#23613;&#3584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istrator\&#26700;&#38754;\&#24066;&#21306;&#33539;&#22260;&#23613;&#35843;&#22270;&#34920;-&#23159;&#23159;&#23613;&#3584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bb2345\Desktop\&#21306;&#22495;&#22303;&#22320;&#24066;&#22330;&#20998;&#26512;&#29992;&#22270;.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bb2345\Desktop\&#21306;&#22495;&#22303;&#22320;&#24066;&#22330;&#20998;&#26512;&#29992;&#22270;.xls" TargetMode="External"/></Relationships>
</file>

<file path=word/charts/_rels/chart9.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C:\Users\kbb2345\Downloads\&#25307;&#25293;&#25346;&#22320;&#22359;&#21015;&#34920;-2022&#24180;9&#26376;9&#26085;%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2019</a:t>
            </a:r>
            <a:r>
              <a:rPr lang="zh-CN" altLang="zh-CN" sz="1200" b="1" i="0" u="none" strike="noStrike" baseline="0">
                <a:effectLst/>
              </a:rPr>
              <a:t>至</a:t>
            </a:r>
            <a:r>
              <a:rPr lang="en-US" altLang="zh-CN" sz="1200" b="1" i="0" u="none" strike="noStrike" baseline="0">
                <a:effectLst/>
              </a:rPr>
              <a:t>2021</a:t>
            </a:r>
            <a:r>
              <a:rPr lang="zh-CN" altLang="zh-CN" sz="1200" b="1" i="0" u="none" strike="noStrike" baseline="0">
                <a:effectLst/>
              </a:rPr>
              <a:t>年</a:t>
            </a:r>
            <a:r>
              <a:rPr lang="zh-CN" altLang="en-US" sz="1200" b="1" i="0" u="none" strike="noStrike" baseline="0">
                <a:effectLst/>
              </a:rPr>
              <a:t>温州</a:t>
            </a:r>
            <a:r>
              <a:rPr lang="zh-CN" altLang="zh-CN" sz="1200" b="1" i="0" baseline="0">
                <a:effectLst/>
              </a:rPr>
              <a:t>市</a:t>
            </a:r>
            <a:r>
              <a:rPr lang="zh-CN" altLang="en-US" sz="1200" b="1" i="0" baseline="0">
                <a:effectLst/>
              </a:rPr>
              <a:t>住宅</a:t>
            </a:r>
            <a:r>
              <a:rPr lang="zh-CN" altLang="zh-CN" sz="1200" b="1" i="0" baseline="0">
                <a:effectLst/>
              </a:rPr>
              <a:t>用地土地供应情况</a:t>
            </a:r>
            <a:endParaRPr lang="zh-CN" altLang="zh-CN" sz="1200">
              <a:effectLst/>
            </a:endParaRPr>
          </a:p>
        </c:rich>
      </c:tx>
      <c:layout>
        <c:manualLayout>
          <c:xMode val="edge"/>
          <c:yMode val="edge"/>
          <c:x val="0.211459334828571"/>
          <c:y val="0.0242424242424242"/>
        </c:manualLayout>
      </c:layout>
      <c:overlay val="0"/>
      <c:spPr>
        <a:noFill/>
        <a:ln>
          <a:noFill/>
        </a:ln>
        <a:effectLst/>
      </c:spPr>
    </c:title>
    <c:autoTitleDeleted val="0"/>
    <c:plotArea>
      <c:layout/>
      <c:barChart>
        <c:barDir val="col"/>
        <c:grouping val="clustered"/>
        <c:varyColors val="0"/>
        <c:ser>
          <c:idx val="1"/>
          <c:order val="1"/>
          <c:tx>
            <c:strRef>
              <c:f>土地!$A$4</c:f>
              <c:strCache>
                <c:ptCount val="1"/>
                <c:pt idx="0">
                  <c:v>供应土地面积（万平方米）</c:v>
                </c:pt>
              </c:strCache>
            </c:strRef>
          </c:tx>
          <c:spPr>
            <a:solidFill>
              <a:schemeClr val="accent2"/>
            </a:solidFill>
            <a:ln>
              <a:noFill/>
            </a:ln>
            <a:effectLst/>
          </c:spPr>
          <c:invertIfNegative val="0"/>
          <c:dLbls>
            <c:delete val="1"/>
          </c:dLbls>
          <c:cat>
            <c:strRef>
              <c:f>土地!$B$2:$F$2</c:f>
              <c:strCache>
                <c:ptCount val="4"/>
                <c:pt idx="1">
                  <c:v>2019</c:v>
                </c:pt>
                <c:pt idx="2">
                  <c:v>2020</c:v>
                </c:pt>
                <c:pt idx="3">
                  <c:v>2021年</c:v>
                </c:pt>
              </c:strCache>
            </c:strRef>
          </c:cat>
          <c:val>
            <c:numRef>
              <c:f>土地!$B$4:$F$4</c:f>
              <c:numCache>
                <c:formatCode>General</c:formatCode>
                <c:ptCount val="5"/>
                <c:pt idx="1">
                  <c:v>468.93</c:v>
                </c:pt>
                <c:pt idx="2">
                  <c:v>555.18</c:v>
                </c:pt>
                <c:pt idx="3">
                  <c:v>684.65</c:v>
                </c:pt>
              </c:numCache>
            </c:numRef>
          </c:val>
        </c:ser>
        <c:ser>
          <c:idx val="2"/>
          <c:order val="2"/>
          <c:tx>
            <c:strRef>
              <c:f>土地!$A$5</c:f>
              <c:strCache>
                <c:ptCount val="1"/>
                <c:pt idx="0">
                  <c:v>新增规划建筑面积（万平方米）</c:v>
                </c:pt>
              </c:strCache>
            </c:strRef>
          </c:tx>
          <c:spPr>
            <a:solidFill>
              <a:schemeClr val="accent3"/>
            </a:solidFill>
            <a:ln>
              <a:noFill/>
            </a:ln>
            <a:effectLst/>
          </c:spPr>
          <c:invertIfNegative val="0"/>
          <c:dLbls>
            <c:delete val="1"/>
          </c:dLbls>
          <c:cat>
            <c:strRef>
              <c:f>土地!$B$2:$F$2</c:f>
              <c:strCache>
                <c:ptCount val="4"/>
                <c:pt idx="1">
                  <c:v>2019</c:v>
                </c:pt>
                <c:pt idx="2">
                  <c:v>2020</c:v>
                </c:pt>
                <c:pt idx="3">
                  <c:v>2021年</c:v>
                </c:pt>
              </c:strCache>
            </c:strRef>
          </c:cat>
          <c:val>
            <c:numRef>
              <c:f>土地!$B$5:$F$5</c:f>
              <c:numCache>
                <c:formatCode>General</c:formatCode>
                <c:ptCount val="5"/>
                <c:pt idx="1">
                  <c:v>1264.05</c:v>
                </c:pt>
                <c:pt idx="2">
                  <c:v>1390.13</c:v>
                </c:pt>
                <c:pt idx="3">
                  <c:v>1774.92</c:v>
                </c:pt>
              </c:numCache>
            </c:numRef>
          </c:val>
        </c:ser>
        <c:dLbls>
          <c:showLegendKey val="0"/>
          <c:showVal val="0"/>
          <c:showCatName val="0"/>
          <c:showSerName val="0"/>
          <c:showPercent val="0"/>
          <c:showBubbleSize val="0"/>
        </c:dLbls>
        <c:gapWidth val="219"/>
        <c:axId val="248197504"/>
        <c:axId val="248199424"/>
      </c:barChart>
      <c:lineChart>
        <c:grouping val="standard"/>
        <c:varyColors val="0"/>
        <c:ser>
          <c:idx val="0"/>
          <c:order val="0"/>
          <c:tx>
            <c:strRef>
              <c:f>土地!$A$3</c:f>
              <c:strCache>
                <c:ptCount val="1"/>
                <c:pt idx="0">
                  <c:v>供应宗地数（宗）</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strRef>
              <c:f>土地!$B$2:$F$2</c:f>
              <c:strCache>
                <c:ptCount val="4"/>
                <c:pt idx="1">
                  <c:v>2019</c:v>
                </c:pt>
                <c:pt idx="2">
                  <c:v>2020</c:v>
                </c:pt>
                <c:pt idx="3">
                  <c:v>2021年</c:v>
                </c:pt>
              </c:strCache>
            </c:strRef>
          </c:cat>
          <c:val>
            <c:numRef>
              <c:f>土地!$B$3:$F$3</c:f>
              <c:numCache>
                <c:formatCode>General</c:formatCode>
                <c:ptCount val="5"/>
                <c:pt idx="1">
                  <c:v>155</c:v>
                </c:pt>
                <c:pt idx="2">
                  <c:v>176</c:v>
                </c:pt>
                <c:pt idx="3">
                  <c:v>155</c:v>
                </c:pt>
              </c:numCache>
            </c:numRef>
          </c:val>
          <c:smooth val="0"/>
        </c:ser>
        <c:dLbls>
          <c:showLegendKey val="0"/>
          <c:showVal val="0"/>
          <c:showCatName val="0"/>
          <c:showSerName val="0"/>
          <c:showPercent val="0"/>
          <c:showBubbleSize val="0"/>
        </c:dLbls>
        <c:marker val="1"/>
        <c:smooth val="0"/>
        <c:axId val="248201216"/>
        <c:axId val="248202752"/>
      </c:lineChart>
      <c:catAx>
        <c:axId val="24819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8199424"/>
        <c:crosses val="autoZero"/>
        <c:auto val="1"/>
        <c:lblAlgn val="ctr"/>
        <c:lblOffset val="100"/>
        <c:noMultiLvlLbl val="0"/>
      </c:catAx>
      <c:valAx>
        <c:axId val="24819942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8197504"/>
        <c:crosses val="autoZero"/>
        <c:crossBetween val="between"/>
      </c:valAx>
      <c:catAx>
        <c:axId val="24820121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8202752"/>
        <c:crosses val="autoZero"/>
        <c:auto val="1"/>
        <c:lblAlgn val="ctr"/>
        <c:lblOffset val="100"/>
        <c:noMultiLvlLbl val="0"/>
      </c:catAx>
      <c:valAx>
        <c:axId val="248202752"/>
        <c:scaling>
          <c:orientation val="minMax"/>
        </c:scaling>
        <c:delete val="0"/>
        <c:axPos val="r"/>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8201216"/>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2017</a:t>
            </a:r>
            <a:r>
              <a:rPr lang="zh-CN" altLang="en-US"/>
              <a:t>年至</a:t>
            </a:r>
            <a:r>
              <a:rPr lang="en-US" altLang="zh-CN"/>
              <a:t>2022</a:t>
            </a:r>
            <a:r>
              <a:rPr lang="zh-CN" altLang="en-US"/>
              <a:t>年</a:t>
            </a:r>
            <a:r>
              <a:rPr lang="en-US" altLang="zh-CN"/>
              <a:t>8</a:t>
            </a:r>
            <a:r>
              <a:rPr lang="zh-CN" altLang="en-US"/>
              <a:t>月土地成交价款与溢价率走势</a:t>
            </a:r>
            <a:endParaRPr lang="zh-CN" altLang="en-US"/>
          </a:p>
        </c:rich>
      </c:tx>
      <c:layout>
        <c:manualLayout>
          <c:xMode val="edge"/>
          <c:yMode val="edge"/>
          <c:x val="0.189882616150473"/>
          <c:y val="0.0523152829125599"/>
        </c:manualLayout>
      </c:layout>
      <c:overlay val="0"/>
      <c:spPr>
        <a:noFill/>
        <a:ln>
          <a:noFill/>
        </a:ln>
        <a:effectLst/>
      </c:spPr>
    </c:title>
    <c:autoTitleDeleted val="0"/>
    <c:plotArea>
      <c:layout>
        <c:manualLayout>
          <c:layoutTarget val="inner"/>
          <c:xMode val="edge"/>
          <c:yMode val="edge"/>
          <c:x val="0.26013666987488"/>
          <c:y val="0.208261617900172"/>
          <c:w val="0.690537054860443"/>
          <c:h val="0.559853700516351"/>
        </c:manualLayout>
      </c:layout>
      <c:barChart>
        <c:barDir val="col"/>
        <c:grouping val="clustered"/>
        <c:varyColors val="0"/>
        <c:ser>
          <c:idx val="0"/>
          <c:order val="0"/>
          <c:tx>
            <c:strRef>
              <c:f>'[招拍挂地块列表-2022年9月9日 (1).xlsx]sheet1'!$B$61</c:f>
              <c:strCache>
                <c:ptCount val="1"/>
                <c:pt idx="0">
                  <c:v>成交地价（亿元）</c:v>
                </c:pt>
              </c:strCache>
            </c:strRef>
          </c:tx>
          <c:spPr>
            <a:solidFill>
              <a:schemeClr val="accent1"/>
            </a:solidFill>
            <a:ln>
              <a:noFill/>
            </a:ln>
            <a:effectLst/>
          </c:spPr>
          <c:invertIfNegative val="0"/>
          <c:dLbls>
            <c:delete val="1"/>
          </c:dLbls>
          <c:cat>
            <c:strRef>
              <c:f>'[招拍挂地块列表-2022年9月9日 (1).xlsx]sheet1'!$A$62:$A$68</c:f>
              <c:strCache>
                <c:ptCount val="6"/>
                <c:pt idx="0">
                  <c:v>2017年</c:v>
                </c:pt>
                <c:pt idx="1">
                  <c:v>2018年</c:v>
                </c:pt>
                <c:pt idx="2">
                  <c:v>2019年</c:v>
                </c:pt>
                <c:pt idx="3">
                  <c:v>2020年</c:v>
                </c:pt>
                <c:pt idx="4">
                  <c:v>2021年</c:v>
                </c:pt>
                <c:pt idx="5">
                  <c:v>2022年1-8月</c:v>
                </c:pt>
              </c:strCache>
            </c:strRef>
          </c:cat>
          <c:val>
            <c:numRef>
              <c:f>sheet1!$B$62:$B$68</c:f>
              <c:numCache>
                <c:formatCode>General</c:formatCode>
                <c:ptCount val="6"/>
                <c:pt idx="0">
                  <c:v>26.221</c:v>
                </c:pt>
                <c:pt idx="1">
                  <c:v>34.1733</c:v>
                </c:pt>
                <c:pt idx="2">
                  <c:v>32.3349</c:v>
                </c:pt>
                <c:pt idx="3">
                  <c:v>51.5117</c:v>
                </c:pt>
                <c:pt idx="4">
                  <c:v>19.751</c:v>
                </c:pt>
                <c:pt idx="5">
                  <c:v>1.13</c:v>
                </c:pt>
              </c:numCache>
            </c:numRef>
          </c:val>
        </c:ser>
        <c:dLbls>
          <c:showLegendKey val="0"/>
          <c:showVal val="0"/>
          <c:showCatName val="0"/>
          <c:showSerName val="0"/>
          <c:showPercent val="0"/>
          <c:showBubbleSize val="0"/>
        </c:dLbls>
        <c:gapWidth val="150"/>
        <c:axId val="782622577"/>
        <c:axId val="795758430"/>
        <c:extLst>
          <c:ext xmlns:c15="http://schemas.microsoft.com/office/drawing/2012/chart" uri="{02D57815-91ED-43cb-92C2-25804820EDAC}">
            <c15:filteredBarSeries>
              <c15:ser>
                <c:idx val="1"/>
                <c:order val="1"/>
                <c:tx>
                  <c:strRef>
                    <c:extLst>
                      <c:ext uri="{02D57815-91ED-43cb-92C2-25804820EDAC}">
                        <c15:formulaRef>
                          <c15:sqref>'[招拍挂地块列表-2022年9月9日 (1).xlsx]sheet1'!$D$61</c15:sqref>
                        </c15:formulaRef>
                      </c:ext>
                    </c:extLst>
                    <c:strCache>
                      <c:ptCount val="1"/>
                      <c:pt idx="0">
                        <c:v>平均楼面单价（元/㎡）</c:v>
                      </c:pt>
                    </c:strCache>
                  </c:strRef>
                </c:tx>
                <c:spPr>
                  <a:solidFill>
                    <a:schemeClr val="accent2"/>
                  </a:solidFill>
                  <a:ln>
                    <a:noFill/>
                  </a:ln>
                  <a:effectLst/>
                </c:spPr>
                <c:invertIfNegative val="0"/>
                <c:dLbls>
                  <c:delete val="1"/>
                </c:dLbls>
                <c:cat>
                  <c:strRef>
                    <c:extLst>
                      <c:ext uri="{02D57815-91ED-43cb-92C2-25804820EDAC}">
                        <c15:fullRef>
                          <c15:sqref/>
                        </c15:fullRef>
                        <c15:formulaRef>
                          <c15:sqref>'[招拍挂地块列表-2022年9月9日 (1).xlsx]sheet1'!$A$62:$A$68</c15:sqref>
                        </c15:formulaRef>
                      </c:ext>
                    </c:extLst>
                    <c:strCache>
                      <c:ptCount val="6"/>
                      <c:pt idx="0">
                        <c:v>2017年</c:v>
                      </c:pt>
                      <c:pt idx="1">
                        <c:v>2018年</c:v>
                      </c:pt>
                      <c:pt idx="2">
                        <c:v>2019年</c:v>
                      </c:pt>
                      <c:pt idx="3">
                        <c:v>2020年</c:v>
                      </c:pt>
                      <c:pt idx="4">
                        <c:v>2021年</c:v>
                      </c:pt>
                      <c:pt idx="5">
                        <c:v>2022年1-8月</c:v>
                      </c:pt>
                    </c:strCache>
                  </c:strRef>
                </c:cat>
                <c:val>
                  <c:numRef>
                    <c:extLst>
                      <c:ext uri="{02D57815-91ED-43cb-92C2-25804820EDAC}">
                        <c15:formulaRef>
                          <c15:sqref>sheet1!$D$62:$D$68</c15:sqref>
                        </c15:formulaRef>
                      </c:ext>
                    </c:extLst>
                    <c:numCache>
                      <c:formatCode>General</c:formatCode>
                      <c:ptCount val="6"/>
                      <c:pt idx="0">
                        <c:v>4764.67</c:v>
                      </c:pt>
                      <c:pt idx="1">
                        <c:v>3368.75</c:v>
                      </c:pt>
                      <c:pt idx="2">
                        <c:v>5827.91</c:v>
                      </c:pt>
                      <c:pt idx="3">
                        <c:v>5797.25</c:v>
                      </c:pt>
                      <c:pt idx="4">
                        <c:v>4601</c:v>
                      </c:pt>
                      <c:pt idx="5">
                        <c:v>5600</c:v>
                      </c:pt>
                    </c:numCache>
                  </c:numRef>
                </c:val>
              </c15:ser>
            </c15:filteredBarSeries>
          </c:ext>
        </c:extLst>
      </c:barChart>
      <c:lineChart>
        <c:grouping val="standard"/>
        <c:varyColors val="0"/>
        <c:ser>
          <c:idx val="2"/>
          <c:order val="2"/>
          <c:tx>
            <c:strRef>
              <c:f>'[招拍挂地块列表-2022年9月9日 (1).xlsx]sheet1'!$C$61</c:f>
              <c:strCache>
                <c:ptCount val="1"/>
                <c:pt idx="0">
                  <c:v>平均溢价率（%）</c:v>
                </c:pt>
              </c:strCache>
            </c:strRef>
          </c:tx>
          <c:spPr>
            <a:ln w="28575" cap="rnd">
              <a:solidFill>
                <a:schemeClr val="accent3"/>
              </a:solidFill>
              <a:round/>
            </a:ln>
            <a:effectLst/>
          </c:spPr>
          <c:marker>
            <c:symbol val="none"/>
          </c:marker>
          <c:dLbls>
            <c:delete val="1"/>
          </c:dLbls>
          <c:cat>
            <c:strRef>
              <c:f>'[招拍挂地块列表-2022年9月9日 (1).xlsx]sheet1'!$A$62:$A$68</c:f>
              <c:strCache>
                <c:ptCount val="6"/>
                <c:pt idx="0">
                  <c:v>2017年</c:v>
                </c:pt>
                <c:pt idx="1">
                  <c:v>2018年</c:v>
                </c:pt>
                <c:pt idx="2">
                  <c:v>2019年</c:v>
                </c:pt>
                <c:pt idx="3">
                  <c:v>2020年</c:v>
                </c:pt>
                <c:pt idx="4">
                  <c:v>2021年</c:v>
                </c:pt>
                <c:pt idx="5">
                  <c:v>2022年1-8月</c:v>
                </c:pt>
              </c:strCache>
            </c:strRef>
          </c:cat>
          <c:val>
            <c:numRef>
              <c:f>sheet1!$C$62:$C$68</c:f>
              <c:numCache>
                <c:formatCode>General</c:formatCode>
                <c:ptCount val="6"/>
                <c:pt idx="0">
                  <c:v>8.79</c:v>
                </c:pt>
                <c:pt idx="1">
                  <c:v>18.48</c:v>
                </c:pt>
                <c:pt idx="2">
                  <c:v>35.37</c:v>
                </c:pt>
                <c:pt idx="3">
                  <c:v>15.66</c:v>
                </c:pt>
                <c:pt idx="4">
                  <c:v>9.18</c:v>
                </c:pt>
                <c:pt idx="5">
                  <c:v>0</c:v>
                </c:pt>
              </c:numCache>
            </c:numRef>
          </c:val>
          <c:smooth val="0"/>
        </c:ser>
        <c:dLbls>
          <c:showLegendKey val="0"/>
          <c:showVal val="0"/>
          <c:showCatName val="0"/>
          <c:showSerName val="0"/>
          <c:showPercent val="0"/>
          <c:showBubbleSize val="0"/>
        </c:dLbls>
        <c:marker val="0"/>
        <c:smooth val="0"/>
        <c:axId val="782622577"/>
        <c:axId val="795758430"/>
      </c:lineChart>
      <c:catAx>
        <c:axId val="782622577"/>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5758430"/>
        <c:crosses val="autoZero"/>
        <c:auto val="1"/>
        <c:lblAlgn val="ctr"/>
        <c:lblOffset val="100"/>
        <c:noMultiLvlLbl val="0"/>
      </c:catAx>
      <c:valAx>
        <c:axId val="79575843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262257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[区域土地市场分析用图.xls]区域成交资料!$B$110</c:f>
              <c:strCache>
                <c:ptCount val="1"/>
                <c:pt idx="0">
                  <c:v>累计在售楼盘数量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[区域土地市场分析用图.xls]区域成交资料!$A$111:$A$115</c:f>
              <c:strCache>
                <c:ptCount val="5"/>
                <c:pt idx="0">
                  <c:v>2018年</c:v>
                </c:pt>
                <c:pt idx="1">
                  <c:v>2019年</c:v>
                </c:pt>
                <c:pt idx="2">
                  <c:v>2020年</c:v>
                </c:pt>
                <c:pt idx="3">
                  <c:v>2021年</c:v>
                </c:pt>
                <c:pt idx="4">
                  <c:v>2022年1-8月</c:v>
                </c:pt>
              </c:strCache>
            </c:strRef>
          </c:cat>
          <c:val>
            <c:numRef>
              <c:f>[区域土地市场分析用图.xls]区域成交资料!$B$111:$B$115</c:f>
              <c:numCache>
                <c:formatCode>General</c:formatCode>
                <c:ptCount val="5"/>
                <c:pt idx="0">
                  <c:v>34</c:v>
                </c:pt>
                <c:pt idx="1">
                  <c:v>40</c:v>
                </c:pt>
                <c:pt idx="2">
                  <c:v>40</c:v>
                </c:pt>
                <c:pt idx="3">
                  <c:v>33</c:v>
                </c:pt>
                <c:pt idx="4">
                  <c:v>30</c:v>
                </c:pt>
              </c:numCache>
            </c:numRef>
          </c:val>
        </c:ser>
        <c:ser>
          <c:idx val="1"/>
          <c:order val="1"/>
          <c:tx>
            <c:strRef>
              <c:f>[区域土地市场分析用图.xls]区域成交资料!$C$110</c:f>
              <c:strCache>
                <c:ptCount val="1"/>
                <c:pt idx="0">
                  <c:v>其中新开盘数量</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[区域土地市场分析用图.xls]区域成交资料!$A$111:$A$115</c:f>
              <c:strCache>
                <c:ptCount val="5"/>
                <c:pt idx="0">
                  <c:v>2018年</c:v>
                </c:pt>
                <c:pt idx="1">
                  <c:v>2019年</c:v>
                </c:pt>
                <c:pt idx="2">
                  <c:v>2020年</c:v>
                </c:pt>
                <c:pt idx="3">
                  <c:v>2021年</c:v>
                </c:pt>
                <c:pt idx="4">
                  <c:v>2022年1-8月</c:v>
                </c:pt>
              </c:strCache>
            </c:strRef>
          </c:cat>
          <c:val>
            <c:numRef>
              <c:f>[区域土地市场分析用图.xls]区域成交资料!$C$111:$C$115</c:f>
              <c:numCache>
                <c:formatCode>General</c:formatCode>
                <c:ptCount val="5"/>
                <c:pt idx="0">
                  <c:v>7</c:v>
                </c:pt>
                <c:pt idx="1">
                  <c:v>7</c:v>
                </c:pt>
                <c:pt idx="2">
                  <c:v>8</c:v>
                </c:pt>
                <c:pt idx="3">
                  <c:v>6</c:v>
                </c:pt>
                <c:pt idx="4">
                  <c:v>5</c:v>
                </c:pt>
              </c:numCache>
            </c:numRef>
          </c:val>
        </c:ser>
        <c:dLbls>
          <c:showLegendKey val="0"/>
          <c:showVal val="1"/>
          <c:showCatName val="0"/>
          <c:showSerName val="0"/>
          <c:showPercent val="0"/>
          <c:showBubbleSize val="0"/>
        </c:dLbls>
        <c:gapWidth val="219"/>
        <c:overlap val="-27"/>
        <c:axId val="260317184"/>
        <c:axId val="260318720"/>
      </c:barChart>
      <c:catAx>
        <c:axId val="260317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0318720"/>
        <c:crosses val="autoZero"/>
        <c:auto val="1"/>
        <c:lblAlgn val="ctr"/>
        <c:lblOffset val="100"/>
        <c:noMultiLvlLbl val="0"/>
      </c:catAx>
      <c:valAx>
        <c:axId val="26031872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031718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[区域土地市场分析用图.xls]区域成交资料!$B$96</c:f>
              <c:strCache>
                <c:ptCount val="1"/>
                <c:pt idx="0">
                  <c:v>成交面积(万㎡)</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[区域土地市场分析用图.xls]区域成交资料!$A$97:$A$101</c:f>
              <c:strCache>
                <c:ptCount val="5"/>
                <c:pt idx="0">
                  <c:v>2018年</c:v>
                </c:pt>
                <c:pt idx="1">
                  <c:v>2019年</c:v>
                </c:pt>
                <c:pt idx="2">
                  <c:v>2020年</c:v>
                </c:pt>
                <c:pt idx="3">
                  <c:v>2021年</c:v>
                </c:pt>
                <c:pt idx="4">
                  <c:v>2022年1-8月</c:v>
                </c:pt>
              </c:strCache>
            </c:strRef>
          </c:cat>
          <c:val>
            <c:numRef>
              <c:f>[区域土地市场分析用图.xls]区域成交资料!$B$97:$B$101</c:f>
              <c:numCache>
                <c:formatCode>General</c:formatCode>
                <c:ptCount val="5"/>
                <c:pt idx="0">
                  <c:v>588029</c:v>
                </c:pt>
                <c:pt idx="1">
                  <c:v>510472</c:v>
                </c:pt>
                <c:pt idx="2">
                  <c:v>100.4482</c:v>
                </c:pt>
                <c:pt idx="3">
                  <c:v>486487</c:v>
                </c:pt>
                <c:pt idx="4">
                  <c:v>183457</c:v>
                </c:pt>
              </c:numCache>
            </c:numRef>
          </c:val>
        </c:ser>
        <c:ser>
          <c:idx val="1"/>
          <c:order val="1"/>
          <c:tx>
            <c:strRef>
              <c:f>[区域土地市场分析用图.xls]区域成交资料!$C$96</c:f>
              <c:strCache>
                <c:ptCount val="1"/>
                <c:pt idx="0">
                  <c:v>成交金额(亿元)</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[区域土地市场分析用图.xls]区域成交资料!$A$97:$A$101</c:f>
              <c:strCache>
                <c:ptCount val="5"/>
                <c:pt idx="0">
                  <c:v>2018年</c:v>
                </c:pt>
                <c:pt idx="1">
                  <c:v>2019年</c:v>
                </c:pt>
                <c:pt idx="2">
                  <c:v>2020年</c:v>
                </c:pt>
                <c:pt idx="3">
                  <c:v>2021年</c:v>
                </c:pt>
                <c:pt idx="4">
                  <c:v>2022年1-8月</c:v>
                </c:pt>
              </c:strCache>
            </c:strRef>
          </c:cat>
          <c:val>
            <c:numRef>
              <c:f>[区域土地市场分析用图.xls]区域成交资料!$C$97:$C$101</c:f>
              <c:numCache>
                <c:formatCode>0.00_ </c:formatCode>
                <c:ptCount val="5"/>
                <c:pt idx="0">
                  <c:v>978718.95</c:v>
                </c:pt>
                <c:pt idx="1">
                  <c:v>932260.38</c:v>
                </c:pt>
                <c:pt idx="2">
                  <c:v>1878587.17</c:v>
                </c:pt>
                <c:pt idx="3">
                  <c:v>1032645.23</c:v>
                </c:pt>
                <c:pt idx="4">
                  <c:v>309175.07</c:v>
                </c:pt>
              </c:numCache>
            </c:numRef>
          </c:val>
        </c:ser>
        <c:dLbls>
          <c:showLegendKey val="0"/>
          <c:showVal val="1"/>
          <c:showCatName val="0"/>
          <c:showSerName val="0"/>
          <c:showPercent val="0"/>
          <c:showBubbleSize val="0"/>
        </c:dLbls>
        <c:gapWidth val="219"/>
        <c:overlap val="-27"/>
        <c:axId val="260348544"/>
        <c:axId val="260358528"/>
      </c:barChart>
      <c:catAx>
        <c:axId val="2603485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0358528"/>
        <c:crosses val="autoZero"/>
        <c:auto val="1"/>
        <c:lblAlgn val="ctr"/>
        <c:lblOffset val="100"/>
        <c:noMultiLvlLbl val="0"/>
      </c:catAx>
      <c:valAx>
        <c:axId val="26035852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0348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[区域土地市场分析用图.xls]区域成交资料!$B$103</c:f>
              <c:strCache>
                <c:ptCount val="1"/>
                <c:pt idx="0">
                  <c:v>成交套数(套)</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[区域土地市场分析用图.xls]区域成交资料!$A$104:$A$108</c:f>
              <c:strCache>
                <c:ptCount val="5"/>
                <c:pt idx="0">
                  <c:v>2018年</c:v>
                </c:pt>
                <c:pt idx="1">
                  <c:v>2019年</c:v>
                </c:pt>
                <c:pt idx="2">
                  <c:v>2020年</c:v>
                </c:pt>
                <c:pt idx="3">
                  <c:v>2021年</c:v>
                </c:pt>
                <c:pt idx="4">
                  <c:v>2022年1-8月</c:v>
                </c:pt>
              </c:strCache>
            </c:strRef>
          </c:cat>
          <c:val>
            <c:numRef>
              <c:f>[区域土地市场分析用图.xls]区域成交资料!$B$104:$B$108</c:f>
              <c:numCache>
                <c:formatCode>General</c:formatCode>
                <c:ptCount val="5"/>
                <c:pt idx="0">
                  <c:v>4472</c:v>
                </c:pt>
                <c:pt idx="1">
                  <c:v>3929</c:v>
                </c:pt>
                <c:pt idx="2">
                  <c:v>8225</c:v>
                </c:pt>
                <c:pt idx="3">
                  <c:v>3813</c:v>
                </c:pt>
                <c:pt idx="4">
                  <c:v>1512</c:v>
                </c:pt>
              </c:numCache>
            </c:numRef>
          </c:val>
        </c:ser>
        <c:dLbls>
          <c:showLegendKey val="0"/>
          <c:showVal val="1"/>
          <c:showCatName val="0"/>
          <c:showSerName val="0"/>
          <c:showPercent val="0"/>
          <c:showBubbleSize val="0"/>
        </c:dLbls>
        <c:gapWidth val="219"/>
        <c:axId val="260379392"/>
        <c:axId val="260382080"/>
      </c:barChart>
      <c:lineChart>
        <c:grouping val="standard"/>
        <c:varyColors val="0"/>
        <c:ser>
          <c:idx val="1"/>
          <c:order val="1"/>
          <c:tx>
            <c:strRef>
              <c:f>[区域土地市场分析用图.xls]区域成交资料!$C$103</c:f>
              <c:strCache>
                <c:ptCount val="1"/>
                <c:pt idx="0">
                  <c:v>成交价格(元/㎡)</c:v>
                </c:pt>
              </c:strCache>
            </c:strRef>
          </c:tx>
          <c:spPr>
            <a:ln w="28575" cap="rnd" cmpd="sng" algn="ctr">
              <a:solidFill>
                <a:schemeClr val="accent2"/>
              </a:solidFill>
              <a:prstDash val="solid"/>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[区域土地市场分析用图.xls]区域成交资料!$A$104:$A$108</c:f>
              <c:strCache>
                <c:ptCount val="5"/>
                <c:pt idx="0">
                  <c:v>2018年</c:v>
                </c:pt>
                <c:pt idx="1">
                  <c:v>2019年</c:v>
                </c:pt>
                <c:pt idx="2">
                  <c:v>2020年</c:v>
                </c:pt>
                <c:pt idx="3">
                  <c:v>2021年</c:v>
                </c:pt>
                <c:pt idx="4">
                  <c:v>2022年1-8月</c:v>
                </c:pt>
              </c:strCache>
            </c:strRef>
          </c:cat>
          <c:val>
            <c:numRef>
              <c:f>[区域土地市场分析用图.xls]区域成交资料!$C$104:$C$108</c:f>
              <c:numCache>
                <c:formatCode>General</c:formatCode>
                <c:ptCount val="5"/>
                <c:pt idx="0">
                  <c:v>16644</c:v>
                </c:pt>
                <c:pt idx="1">
                  <c:v>18263</c:v>
                </c:pt>
                <c:pt idx="2">
                  <c:v>18702</c:v>
                </c:pt>
                <c:pt idx="3">
                  <c:v>21227</c:v>
                </c:pt>
                <c:pt idx="4">
                  <c:v>16853</c:v>
                </c:pt>
              </c:numCache>
            </c:numRef>
          </c:val>
          <c:smooth val="0"/>
        </c:ser>
        <c:dLbls>
          <c:showLegendKey val="0"/>
          <c:showVal val="1"/>
          <c:showCatName val="0"/>
          <c:showSerName val="0"/>
          <c:showPercent val="0"/>
          <c:showBubbleSize val="0"/>
        </c:dLbls>
        <c:marker val="0"/>
        <c:smooth val="0"/>
        <c:axId val="260379392"/>
        <c:axId val="260382080"/>
      </c:lineChart>
      <c:catAx>
        <c:axId val="2603793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0382080"/>
        <c:crosses val="autoZero"/>
        <c:auto val="1"/>
        <c:lblAlgn val="ctr"/>
        <c:lblOffset val="100"/>
        <c:noMultiLvlLbl val="0"/>
      </c:catAx>
      <c:valAx>
        <c:axId val="26038208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037939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98308103294746"/>
          <c:y val="0.0407183128001671"/>
          <c:w val="0.830222617987533"/>
          <c:h val="0.773731467947379"/>
        </c:manualLayout>
      </c:layout>
      <c:barChart>
        <c:barDir val="col"/>
        <c:grouping val="clustered"/>
        <c:varyColors val="0"/>
        <c:ser>
          <c:idx val="0"/>
          <c:order val="0"/>
          <c:tx>
            <c:strRef>
              <c:f>[区域土地市场分析用图.xls]区域成交资料!$B$76</c:f>
              <c:strCache>
                <c:ptCount val="1"/>
                <c:pt idx="0">
                  <c:v>新开盘批准上市套数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[区域土地市场分析用图.xls]区域成交资料!$A$77:$A$81</c:f>
              <c:strCache>
                <c:ptCount val="5"/>
                <c:pt idx="0">
                  <c:v>2018年</c:v>
                </c:pt>
                <c:pt idx="1">
                  <c:v>2019年</c:v>
                </c:pt>
                <c:pt idx="2">
                  <c:v>2020年</c:v>
                </c:pt>
                <c:pt idx="3">
                  <c:v>2021年</c:v>
                </c:pt>
                <c:pt idx="4">
                  <c:v>2022年1-8月</c:v>
                </c:pt>
              </c:strCache>
            </c:strRef>
          </c:cat>
          <c:val>
            <c:numRef>
              <c:f>[区域土地市场分析用图.xls]区域成交资料!$B$77:$B$81</c:f>
              <c:numCache>
                <c:formatCode>General</c:formatCode>
                <c:ptCount val="5"/>
                <c:pt idx="0">
                  <c:v>3783</c:v>
                </c:pt>
                <c:pt idx="1">
                  <c:v>3215</c:v>
                </c:pt>
                <c:pt idx="2">
                  <c:v>7177</c:v>
                </c:pt>
                <c:pt idx="3">
                  <c:v>2001</c:v>
                </c:pt>
                <c:pt idx="4">
                  <c:v>2040</c:v>
                </c:pt>
              </c:numCache>
            </c:numRef>
          </c:val>
        </c:ser>
        <c:ser>
          <c:idx val="1"/>
          <c:order val="1"/>
          <c:tx>
            <c:strRef>
              <c:f>[区域土地市场分析用图.xls]区域成交资料!$C$76</c:f>
              <c:strCache>
                <c:ptCount val="1"/>
                <c:pt idx="0">
                  <c:v>成交套数（套）</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[区域土地市场分析用图.xls]区域成交资料!$A$77:$A$81</c:f>
              <c:strCache>
                <c:ptCount val="5"/>
                <c:pt idx="0">
                  <c:v>2018年</c:v>
                </c:pt>
                <c:pt idx="1">
                  <c:v>2019年</c:v>
                </c:pt>
                <c:pt idx="2">
                  <c:v>2020年</c:v>
                </c:pt>
                <c:pt idx="3">
                  <c:v>2021年</c:v>
                </c:pt>
                <c:pt idx="4">
                  <c:v>2022年1-8月</c:v>
                </c:pt>
              </c:strCache>
            </c:strRef>
          </c:cat>
          <c:val>
            <c:numRef>
              <c:f>[区域土地市场分析用图.xls]区域成交资料!$C$77:$C$81</c:f>
              <c:numCache>
                <c:formatCode>General</c:formatCode>
                <c:ptCount val="5"/>
                <c:pt idx="0">
                  <c:v>3737</c:v>
                </c:pt>
                <c:pt idx="1">
                  <c:v>2952</c:v>
                </c:pt>
                <c:pt idx="2">
                  <c:v>6291</c:v>
                </c:pt>
                <c:pt idx="3">
                  <c:v>1151</c:v>
                </c:pt>
                <c:pt idx="4">
                  <c:v>1049</c:v>
                </c:pt>
              </c:numCache>
            </c:numRef>
          </c:val>
        </c:ser>
        <c:dLbls>
          <c:showLegendKey val="0"/>
          <c:showVal val="1"/>
          <c:showCatName val="0"/>
          <c:showSerName val="0"/>
          <c:showPercent val="0"/>
          <c:showBubbleSize val="0"/>
        </c:dLbls>
        <c:gapWidth val="219"/>
        <c:overlap val="-27"/>
        <c:axId val="443942784"/>
        <c:axId val="443949824"/>
      </c:barChart>
      <c:lineChart>
        <c:grouping val="standard"/>
        <c:varyColors val="0"/>
        <c:ser>
          <c:idx val="2"/>
          <c:order val="2"/>
          <c:tx>
            <c:strRef>
              <c:f>[区域土地市场分析用图.xls]区域成交资料!$D$76</c:f>
              <c:strCache>
                <c:ptCount val="1"/>
                <c:pt idx="0">
                  <c:v>去化率（%）</c:v>
                </c:pt>
              </c:strCache>
            </c:strRef>
          </c:tx>
          <c:spPr>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[区域土地市场分析用图.xls]区域成交资料!$A$77:$A$81</c:f>
              <c:strCache>
                <c:ptCount val="5"/>
                <c:pt idx="0">
                  <c:v>2018年</c:v>
                </c:pt>
                <c:pt idx="1">
                  <c:v>2019年</c:v>
                </c:pt>
                <c:pt idx="2">
                  <c:v>2020年</c:v>
                </c:pt>
                <c:pt idx="3">
                  <c:v>2021年</c:v>
                </c:pt>
                <c:pt idx="4">
                  <c:v>2022年1-8月</c:v>
                </c:pt>
              </c:strCache>
            </c:strRef>
          </c:cat>
          <c:val>
            <c:numRef>
              <c:f>[区域土地市场分析用图.xls]区域成交资料!$D$77:$D$81</c:f>
              <c:numCache>
                <c:formatCode>0.00%</c:formatCode>
                <c:ptCount val="5"/>
                <c:pt idx="0">
                  <c:v>0.9878</c:v>
                </c:pt>
                <c:pt idx="1">
                  <c:v>0.9182</c:v>
                </c:pt>
                <c:pt idx="2">
                  <c:v>0.8766</c:v>
                </c:pt>
                <c:pt idx="3">
                  <c:v>0.5752</c:v>
                </c:pt>
                <c:pt idx="4">
                  <c:v>0.5142</c:v>
                </c:pt>
              </c:numCache>
            </c:numRef>
          </c:val>
          <c:smooth val="0"/>
        </c:ser>
        <c:dLbls>
          <c:showLegendKey val="0"/>
          <c:showVal val="1"/>
          <c:showCatName val="0"/>
          <c:showSerName val="0"/>
          <c:showPercent val="0"/>
          <c:showBubbleSize val="0"/>
        </c:dLbls>
        <c:marker val="0"/>
        <c:smooth val="0"/>
        <c:axId val="443951360"/>
        <c:axId val="443973632"/>
      </c:lineChart>
      <c:catAx>
        <c:axId val="443942784"/>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3949824"/>
        <c:crosses val="autoZero"/>
        <c:auto val="1"/>
        <c:lblAlgn val="ctr"/>
        <c:lblOffset val="100"/>
        <c:noMultiLvlLbl val="0"/>
      </c:catAx>
      <c:valAx>
        <c:axId val="44394982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3942784"/>
        <c:crosses val="autoZero"/>
        <c:crossBetween val="between"/>
      </c:valAx>
      <c:catAx>
        <c:axId val="443951360"/>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43973632"/>
        <c:crosses val="autoZero"/>
        <c:auto val="1"/>
        <c:lblAlgn val="ctr"/>
        <c:lblOffset val="100"/>
        <c:noMultiLvlLbl val="0"/>
      </c:catAx>
      <c:valAx>
        <c:axId val="443973632"/>
        <c:scaling>
          <c:orientation val="minMax"/>
        </c:scaling>
        <c:delete val="0"/>
        <c:axPos val="r"/>
        <c:numFmt formatCode="0.0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43951360"/>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2019</a:t>
            </a:r>
            <a:r>
              <a:rPr lang="zh-CN" altLang="zh-CN" sz="1200" b="1" i="0" u="none" strike="noStrike" baseline="0">
                <a:effectLst/>
              </a:rPr>
              <a:t>至</a:t>
            </a:r>
            <a:r>
              <a:rPr lang="en-US" altLang="zh-CN" sz="1200" b="1" i="0" u="none" strike="noStrike" baseline="0">
                <a:effectLst/>
              </a:rPr>
              <a:t>2021</a:t>
            </a:r>
            <a:r>
              <a:rPr lang="zh-CN" altLang="en-US" sz="1200" b="1" i="0" u="none" strike="noStrike" baseline="0">
                <a:effectLst/>
              </a:rPr>
              <a:t>年温州</a:t>
            </a:r>
            <a:r>
              <a:rPr lang="zh-CN" altLang="zh-CN" sz="1200" b="1" i="0" u="none" strike="noStrike" baseline="0">
                <a:effectLst/>
              </a:rPr>
              <a:t>市</a:t>
            </a:r>
            <a:r>
              <a:rPr lang="zh-CN" altLang="en-US" sz="1200" b="1" i="0" baseline="0">
                <a:effectLst/>
              </a:rPr>
              <a:t>住宅</a:t>
            </a:r>
            <a:r>
              <a:rPr lang="zh-CN" altLang="zh-CN" sz="1200" b="1" i="0" baseline="0">
                <a:effectLst/>
              </a:rPr>
              <a:t>用地土地</a:t>
            </a:r>
            <a:r>
              <a:rPr lang="zh-CN" altLang="en-US" sz="1200" b="1" i="0" baseline="0">
                <a:effectLst/>
              </a:rPr>
              <a:t>成交</a:t>
            </a:r>
            <a:r>
              <a:rPr lang="zh-CN" altLang="zh-CN" sz="1200" b="1" i="0" baseline="0">
                <a:effectLst/>
              </a:rPr>
              <a:t>情况</a:t>
            </a:r>
            <a:endParaRPr lang="zh-CN" altLang="zh-CN" sz="1200">
              <a:effectLst/>
            </a:endParaRPr>
          </a:p>
        </c:rich>
      </c:tx>
      <c:layout/>
      <c:overlay val="0"/>
      <c:spPr>
        <a:noFill/>
        <a:ln>
          <a:noFill/>
        </a:ln>
        <a:effectLst/>
      </c:spPr>
    </c:title>
    <c:autoTitleDeleted val="0"/>
    <c:plotArea>
      <c:layout/>
      <c:barChart>
        <c:barDir val="col"/>
        <c:grouping val="clustered"/>
        <c:varyColors val="0"/>
        <c:ser>
          <c:idx val="0"/>
          <c:order val="0"/>
          <c:tx>
            <c:strRef>
              <c:f>土地!$A$38</c:f>
              <c:strCache>
                <c:ptCount val="1"/>
                <c:pt idx="0">
                  <c:v>成交土地面积（万平方米）</c:v>
                </c:pt>
              </c:strCache>
            </c:strRef>
          </c:tx>
          <c:spPr>
            <a:solidFill>
              <a:schemeClr val="accent1"/>
            </a:solidFill>
            <a:ln>
              <a:noFill/>
            </a:ln>
            <a:effectLst/>
          </c:spPr>
          <c:invertIfNegative val="0"/>
          <c:dLbls>
            <c:delete val="1"/>
          </c:dLbls>
          <c:cat>
            <c:strRef>
              <c:f>土地!$B$37:$F$37</c:f>
              <c:strCache>
                <c:ptCount val="4"/>
                <c:pt idx="1">
                  <c:v>2019</c:v>
                </c:pt>
                <c:pt idx="2">
                  <c:v>2020</c:v>
                </c:pt>
                <c:pt idx="3">
                  <c:v>2021年</c:v>
                </c:pt>
              </c:strCache>
            </c:strRef>
          </c:cat>
          <c:val>
            <c:numRef>
              <c:f>土地!$B$38:$F$38</c:f>
              <c:numCache>
                <c:formatCode>General</c:formatCode>
                <c:ptCount val="5"/>
                <c:pt idx="1">
                  <c:v>421.3</c:v>
                </c:pt>
                <c:pt idx="2">
                  <c:v>481.34</c:v>
                </c:pt>
                <c:pt idx="3">
                  <c:v>493.17</c:v>
                </c:pt>
              </c:numCache>
            </c:numRef>
          </c:val>
        </c:ser>
        <c:ser>
          <c:idx val="1"/>
          <c:order val="1"/>
          <c:tx>
            <c:strRef>
              <c:f>土地!$A$39</c:f>
              <c:strCache>
                <c:ptCount val="1"/>
                <c:pt idx="0">
                  <c:v>成交规划建筑面积（万平方米）</c:v>
                </c:pt>
              </c:strCache>
            </c:strRef>
          </c:tx>
          <c:spPr>
            <a:solidFill>
              <a:schemeClr val="accent2"/>
            </a:solidFill>
            <a:ln>
              <a:noFill/>
            </a:ln>
            <a:effectLst/>
          </c:spPr>
          <c:invertIfNegative val="0"/>
          <c:dLbls>
            <c:delete val="1"/>
          </c:dLbls>
          <c:cat>
            <c:strRef>
              <c:f>土地!$B$37:$F$37</c:f>
              <c:strCache>
                <c:ptCount val="4"/>
                <c:pt idx="1">
                  <c:v>2019</c:v>
                </c:pt>
                <c:pt idx="2">
                  <c:v>2020</c:v>
                </c:pt>
                <c:pt idx="3">
                  <c:v>2021年</c:v>
                </c:pt>
              </c:strCache>
            </c:strRef>
          </c:cat>
          <c:val>
            <c:numRef>
              <c:f>土地!$B$39:$F$39</c:f>
              <c:numCache>
                <c:formatCode>General</c:formatCode>
                <c:ptCount val="5"/>
                <c:pt idx="1">
                  <c:v>1133.16</c:v>
                </c:pt>
                <c:pt idx="2">
                  <c:v>1241.13</c:v>
                </c:pt>
                <c:pt idx="3">
                  <c:v>1264.82</c:v>
                </c:pt>
              </c:numCache>
            </c:numRef>
          </c:val>
        </c:ser>
        <c:dLbls>
          <c:showLegendKey val="0"/>
          <c:showVal val="0"/>
          <c:showCatName val="0"/>
          <c:showSerName val="0"/>
          <c:showPercent val="0"/>
          <c:showBubbleSize val="0"/>
        </c:dLbls>
        <c:gapWidth val="219"/>
        <c:axId val="248217600"/>
        <c:axId val="248219520"/>
      </c:barChart>
      <c:lineChart>
        <c:grouping val="standard"/>
        <c:varyColors val="0"/>
        <c:ser>
          <c:idx val="2"/>
          <c:order val="2"/>
          <c:tx>
            <c:strRef>
              <c:f>土地!$A$40</c:f>
              <c:strCache>
                <c:ptCount val="1"/>
                <c:pt idx="0">
                  <c:v>成交金额（亿元）</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cat>
            <c:strRef>
              <c:f>土地!$B$37:$F$37</c:f>
              <c:strCache>
                <c:ptCount val="4"/>
                <c:pt idx="1">
                  <c:v>2019</c:v>
                </c:pt>
                <c:pt idx="2">
                  <c:v>2020</c:v>
                </c:pt>
                <c:pt idx="3">
                  <c:v>2021年</c:v>
                </c:pt>
              </c:strCache>
            </c:strRef>
          </c:cat>
          <c:val>
            <c:numRef>
              <c:f>土地!$B$40:$F$40</c:f>
              <c:numCache>
                <c:formatCode>General</c:formatCode>
                <c:ptCount val="5"/>
                <c:pt idx="1" c:formatCode="0.00">
                  <c:v>872.052864</c:v>
                </c:pt>
                <c:pt idx="2" c:formatCode="0.00">
                  <c:v>969.961165</c:v>
                </c:pt>
                <c:pt idx="3" c:formatCode="0.00">
                  <c:v>924.175893</c:v>
                </c:pt>
              </c:numCache>
            </c:numRef>
          </c:val>
          <c:smooth val="0"/>
        </c:ser>
        <c:dLbls>
          <c:showLegendKey val="0"/>
          <c:showVal val="0"/>
          <c:showCatName val="0"/>
          <c:showSerName val="0"/>
          <c:showPercent val="0"/>
          <c:showBubbleSize val="0"/>
        </c:dLbls>
        <c:marker val="1"/>
        <c:smooth val="0"/>
        <c:axId val="248221056"/>
        <c:axId val="248231040"/>
      </c:lineChart>
      <c:catAx>
        <c:axId val="24821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8219520"/>
        <c:crosses val="autoZero"/>
        <c:auto val="1"/>
        <c:lblAlgn val="ctr"/>
        <c:lblOffset val="100"/>
        <c:noMultiLvlLbl val="0"/>
      </c:catAx>
      <c:valAx>
        <c:axId val="24821952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8217600"/>
        <c:crosses val="autoZero"/>
        <c:crossBetween val="between"/>
      </c:valAx>
      <c:catAx>
        <c:axId val="2482210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8231040"/>
        <c:crosses val="autoZero"/>
        <c:auto val="1"/>
        <c:lblAlgn val="ctr"/>
        <c:lblOffset val="100"/>
        <c:noMultiLvlLbl val="0"/>
      </c:catAx>
      <c:valAx>
        <c:axId val="248231040"/>
        <c:scaling>
          <c:orientation val="minMax"/>
        </c:scaling>
        <c:delete val="0"/>
        <c:axPos val="r"/>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8221056"/>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2019</a:t>
            </a:r>
            <a:r>
              <a:rPr lang="zh-CN" altLang="en-US" sz="1200" b="1" i="0" u="none" strike="noStrike" baseline="0">
                <a:effectLst/>
              </a:rPr>
              <a:t>至</a:t>
            </a:r>
            <a:r>
              <a:rPr lang="en-US" altLang="zh-CN" sz="1200" b="1" i="0" u="none" strike="noStrike" baseline="0">
                <a:effectLst/>
              </a:rPr>
              <a:t>2021</a:t>
            </a:r>
            <a:r>
              <a:rPr lang="zh-CN" altLang="en-US" sz="1200" b="1" i="0" u="none" strike="noStrike" baseline="0">
                <a:effectLst/>
              </a:rPr>
              <a:t>年温州市</a:t>
            </a:r>
            <a:r>
              <a:rPr lang="zh-CN" altLang="en-US" sz="1200" b="1" i="0" baseline="0">
                <a:effectLst/>
              </a:rPr>
              <a:t>住宅</a:t>
            </a:r>
            <a:r>
              <a:rPr lang="zh-CN" altLang="zh-CN" sz="1200" b="1" i="0" baseline="0">
                <a:effectLst/>
              </a:rPr>
              <a:t>用地土地</a:t>
            </a:r>
            <a:r>
              <a:rPr lang="zh-CN" altLang="en-US" sz="1200" b="1" i="0" baseline="0">
                <a:effectLst/>
              </a:rPr>
              <a:t>成交价格及溢价</a:t>
            </a:r>
            <a:r>
              <a:rPr lang="zh-CN" altLang="zh-CN" sz="1200" b="1" i="0" baseline="0">
                <a:effectLst/>
              </a:rPr>
              <a:t>情况</a:t>
            </a:r>
            <a:endParaRPr lang="zh-CN" altLang="zh-CN" sz="1200">
              <a:effectLst/>
            </a:endParaRPr>
          </a:p>
        </c:rich>
      </c:tx>
      <c:layout/>
      <c:overlay val="0"/>
      <c:spPr>
        <a:noFill/>
        <a:ln>
          <a:noFill/>
        </a:ln>
        <a:effectLst/>
      </c:spPr>
    </c:title>
    <c:autoTitleDeleted val="0"/>
    <c:plotArea>
      <c:layout/>
      <c:barChart>
        <c:barDir val="col"/>
        <c:grouping val="clustered"/>
        <c:varyColors val="0"/>
        <c:ser>
          <c:idx val="0"/>
          <c:order val="0"/>
          <c:tx>
            <c:strRef>
              <c:f>土地!$A$66</c:f>
              <c:strCache>
                <c:ptCount val="1"/>
                <c:pt idx="0">
                  <c:v>成交楼面单价（元/平方米）</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土地!$B$65:$F$65</c:f>
              <c:strCache>
                <c:ptCount val="4"/>
                <c:pt idx="1">
                  <c:v>2019</c:v>
                </c:pt>
                <c:pt idx="2">
                  <c:v>2020</c:v>
                </c:pt>
                <c:pt idx="3">
                  <c:v>2021年</c:v>
                </c:pt>
              </c:strCache>
            </c:strRef>
          </c:cat>
          <c:val>
            <c:numRef>
              <c:f>土地!$B$66:$F$66</c:f>
              <c:numCache>
                <c:formatCode>General</c:formatCode>
                <c:ptCount val="5"/>
                <c:pt idx="1">
                  <c:v>7695.79</c:v>
                </c:pt>
                <c:pt idx="2">
                  <c:v>7815.12</c:v>
                </c:pt>
                <c:pt idx="3">
                  <c:v>7306.77</c:v>
                </c:pt>
              </c:numCache>
            </c:numRef>
          </c:val>
        </c:ser>
        <c:dLbls>
          <c:showLegendKey val="0"/>
          <c:showVal val="0"/>
          <c:showCatName val="0"/>
          <c:showSerName val="0"/>
          <c:showPercent val="0"/>
          <c:showBubbleSize val="0"/>
        </c:dLbls>
        <c:gapWidth val="219"/>
        <c:axId val="248245248"/>
        <c:axId val="248251520"/>
      </c:barChart>
      <c:lineChart>
        <c:grouping val="standard"/>
        <c:varyColors val="0"/>
        <c:ser>
          <c:idx val="1"/>
          <c:order val="1"/>
          <c:tx>
            <c:strRef>
              <c:f>土地!$A$67</c:f>
              <c:strCache>
                <c:ptCount val="1"/>
                <c:pt idx="0">
                  <c:v>平均溢价率（%）</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strRef>
              <c:f>土地!$B$65:$F$65</c:f>
              <c:strCache>
                <c:ptCount val="4"/>
                <c:pt idx="1">
                  <c:v>2019</c:v>
                </c:pt>
                <c:pt idx="2">
                  <c:v>2020</c:v>
                </c:pt>
                <c:pt idx="3">
                  <c:v>2021年</c:v>
                </c:pt>
              </c:strCache>
            </c:strRef>
          </c:cat>
          <c:val>
            <c:numRef>
              <c:f>土地!$B$67:$F$67</c:f>
              <c:numCache>
                <c:formatCode>General</c:formatCode>
                <c:ptCount val="5"/>
                <c:pt idx="1">
                  <c:v>16.7</c:v>
                </c:pt>
                <c:pt idx="2">
                  <c:v>18.42</c:v>
                </c:pt>
                <c:pt idx="3">
                  <c:v>19.46</c:v>
                </c:pt>
              </c:numCache>
            </c:numRef>
          </c:val>
          <c:smooth val="0"/>
        </c:ser>
        <c:dLbls>
          <c:showLegendKey val="0"/>
          <c:showVal val="0"/>
          <c:showCatName val="0"/>
          <c:showSerName val="0"/>
          <c:showPercent val="0"/>
          <c:showBubbleSize val="0"/>
        </c:dLbls>
        <c:marker val="1"/>
        <c:smooth val="0"/>
        <c:axId val="248253056"/>
        <c:axId val="248263040"/>
      </c:lineChart>
      <c:catAx>
        <c:axId val="24824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8251520"/>
        <c:crosses val="autoZero"/>
        <c:auto val="1"/>
        <c:lblAlgn val="ctr"/>
        <c:lblOffset val="100"/>
        <c:noMultiLvlLbl val="0"/>
      </c:catAx>
      <c:valAx>
        <c:axId val="248251520"/>
        <c:scaling>
          <c:orientation val="minMax"/>
          <c:max val="10000"/>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8245248"/>
        <c:crosses val="autoZero"/>
        <c:crossBetween val="between"/>
      </c:valAx>
      <c:catAx>
        <c:axId val="2482530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8263040"/>
        <c:crosses val="autoZero"/>
        <c:auto val="1"/>
        <c:lblAlgn val="ctr"/>
        <c:lblOffset val="100"/>
        <c:noMultiLvlLbl val="0"/>
      </c:catAx>
      <c:valAx>
        <c:axId val="248263040"/>
        <c:scaling>
          <c:orientation val="minMax"/>
        </c:scaling>
        <c:delete val="0"/>
        <c:axPos val="r"/>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8253056"/>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2019</a:t>
            </a:r>
            <a:r>
              <a:rPr lang="zh-CN" altLang="en-US" sz="1200" b="1" i="0" baseline="0">
                <a:effectLst/>
              </a:rPr>
              <a:t>年至</a:t>
            </a:r>
            <a:r>
              <a:rPr lang="en-US" altLang="zh-CN" sz="1200" b="1" i="0" baseline="0">
                <a:effectLst/>
              </a:rPr>
              <a:t>2021</a:t>
            </a:r>
            <a:r>
              <a:rPr lang="zh-CN" altLang="zh-CN" sz="1200" b="1" i="0" baseline="0">
                <a:effectLst/>
              </a:rPr>
              <a:t>年</a:t>
            </a:r>
            <a:r>
              <a:rPr lang="zh-CN" altLang="en-US" sz="1200" b="1" i="0" baseline="0">
                <a:effectLst/>
              </a:rPr>
              <a:t>温州市商品住宅供销情况</a:t>
            </a:r>
            <a:endParaRPr lang="zh-CN" altLang="zh-CN" sz="1200">
              <a:effectLst/>
            </a:endParaRPr>
          </a:p>
        </c:rich>
      </c:tx>
      <c:layout/>
      <c:overlay val="0"/>
      <c:spPr>
        <a:noFill/>
        <a:ln>
          <a:noFill/>
        </a:ln>
        <a:effectLst/>
      </c:spPr>
    </c:title>
    <c:autoTitleDeleted val="0"/>
    <c:plotArea>
      <c:layout/>
      <c:barChart>
        <c:barDir val="col"/>
        <c:grouping val="clustered"/>
        <c:varyColors val="0"/>
        <c:ser>
          <c:idx val="1"/>
          <c:order val="1"/>
          <c:tx>
            <c:strRef>
              <c:f>房地产!$A$11</c:f>
              <c:strCache>
                <c:ptCount val="1"/>
                <c:pt idx="0">
                  <c:v>供应面积(万㎡)</c:v>
                </c:pt>
              </c:strCache>
            </c:strRef>
          </c:tx>
          <c:spPr>
            <a:solidFill>
              <a:schemeClr val="accent2"/>
            </a:solidFill>
            <a:ln>
              <a:noFill/>
            </a:ln>
            <a:effectLst/>
          </c:spPr>
          <c:invertIfNegative val="0"/>
          <c:dLbls>
            <c:delete val="1"/>
          </c:dLbls>
          <c:cat>
            <c:strRef>
              <c:f>房地产!$B$9:$F$9</c:f>
              <c:strCache>
                <c:ptCount val="4"/>
                <c:pt idx="1">
                  <c:v>2019年</c:v>
                </c:pt>
                <c:pt idx="2">
                  <c:v>2020年</c:v>
                </c:pt>
                <c:pt idx="3">
                  <c:v>2021年</c:v>
                </c:pt>
              </c:strCache>
            </c:strRef>
          </c:cat>
          <c:val>
            <c:numRef>
              <c:f>房地产!$B$11:$F$11</c:f>
              <c:numCache>
                <c:formatCode>General</c:formatCode>
                <c:ptCount val="5"/>
                <c:pt idx="1" c:formatCode="0">
                  <c:v>836.7499</c:v>
                </c:pt>
                <c:pt idx="2" c:formatCode="0">
                  <c:v>1129.6466</c:v>
                </c:pt>
                <c:pt idx="3" c:formatCode="0">
                  <c:v>901.5062</c:v>
                </c:pt>
              </c:numCache>
            </c:numRef>
          </c:val>
        </c:ser>
        <c:ser>
          <c:idx val="3"/>
          <c:order val="3"/>
          <c:tx>
            <c:strRef>
              <c:f>房地产!$A$13</c:f>
              <c:strCache>
                <c:ptCount val="1"/>
                <c:pt idx="0">
                  <c:v>成交面积(万㎡)</c:v>
                </c:pt>
              </c:strCache>
            </c:strRef>
          </c:tx>
          <c:spPr>
            <a:solidFill>
              <a:schemeClr val="accent4"/>
            </a:solidFill>
            <a:ln>
              <a:noFill/>
            </a:ln>
            <a:effectLst/>
          </c:spPr>
          <c:invertIfNegative val="0"/>
          <c:dLbls>
            <c:delete val="1"/>
          </c:dLbls>
          <c:cat>
            <c:strRef>
              <c:f>房地产!$B$9:$F$9</c:f>
              <c:strCache>
                <c:ptCount val="4"/>
                <c:pt idx="1">
                  <c:v>2019年</c:v>
                </c:pt>
                <c:pt idx="2">
                  <c:v>2020年</c:v>
                </c:pt>
                <c:pt idx="3">
                  <c:v>2021年</c:v>
                </c:pt>
              </c:strCache>
            </c:strRef>
          </c:cat>
          <c:val>
            <c:numRef>
              <c:f>房地产!$B$13:$F$13</c:f>
              <c:numCache>
                <c:formatCode>General</c:formatCode>
                <c:ptCount val="5"/>
                <c:pt idx="1" c:formatCode="0.0">
                  <c:v>880.7955</c:v>
                </c:pt>
                <c:pt idx="2" c:formatCode="0.0">
                  <c:v>1090.6121</c:v>
                </c:pt>
                <c:pt idx="3" c:formatCode="0.0">
                  <c:v>933.8605</c:v>
                </c:pt>
              </c:numCache>
            </c:numRef>
          </c:val>
        </c:ser>
        <c:dLbls>
          <c:showLegendKey val="0"/>
          <c:showVal val="0"/>
          <c:showCatName val="0"/>
          <c:showSerName val="0"/>
          <c:showPercent val="0"/>
          <c:showBubbleSize val="0"/>
        </c:dLbls>
        <c:gapWidth val="219"/>
        <c:axId val="248302976"/>
        <c:axId val="248305152"/>
      </c:barChart>
      <c:lineChart>
        <c:grouping val="standard"/>
        <c:varyColors val="0"/>
        <c:ser>
          <c:idx val="0"/>
          <c:order val="0"/>
          <c:tx>
            <c:strRef>
              <c:f>房地产!$A$10</c:f>
              <c:strCache>
                <c:ptCount val="1"/>
                <c:pt idx="0">
                  <c:v>供应套数(套)</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strRef>
              <c:f>房地产!$B$9:$F$9</c:f>
              <c:strCache>
                <c:ptCount val="4"/>
                <c:pt idx="1">
                  <c:v>2019年</c:v>
                </c:pt>
                <c:pt idx="2">
                  <c:v>2020年</c:v>
                </c:pt>
                <c:pt idx="3">
                  <c:v>2021年</c:v>
                </c:pt>
              </c:strCache>
            </c:strRef>
          </c:cat>
          <c:val>
            <c:numRef>
              <c:f>房地产!$B$10:$F$10</c:f>
              <c:numCache>
                <c:formatCode>General</c:formatCode>
                <c:ptCount val="5"/>
                <c:pt idx="1">
                  <c:v>67688</c:v>
                </c:pt>
                <c:pt idx="2">
                  <c:v>98080</c:v>
                </c:pt>
                <c:pt idx="3">
                  <c:v>77265</c:v>
                </c:pt>
              </c:numCache>
            </c:numRef>
          </c:val>
          <c:smooth val="0"/>
        </c:ser>
        <c:ser>
          <c:idx val="2"/>
          <c:order val="2"/>
          <c:tx>
            <c:strRef>
              <c:f>房地产!$A$12</c:f>
              <c:strCache>
                <c:ptCount val="1"/>
                <c:pt idx="0">
                  <c:v>成交套数(套)</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cat>
            <c:strRef>
              <c:f>房地产!$B$9:$F$9</c:f>
              <c:strCache>
                <c:ptCount val="4"/>
                <c:pt idx="1">
                  <c:v>2019年</c:v>
                </c:pt>
                <c:pt idx="2">
                  <c:v>2020年</c:v>
                </c:pt>
                <c:pt idx="3">
                  <c:v>2021年</c:v>
                </c:pt>
              </c:strCache>
            </c:strRef>
          </c:cat>
          <c:val>
            <c:numRef>
              <c:f>房地产!$B$12:$F$12</c:f>
              <c:numCache>
                <c:formatCode>General</c:formatCode>
                <c:ptCount val="5"/>
                <c:pt idx="1" c:formatCode="0">
                  <c:v>70192</c:v>
                </c:pt>
                <c:pt idx="2" c:formatCode="0">
                  <c:v>92525</c:v>
                </c:pt>
                <c:pt idx="3" c:formatCode="0">
                  <c:v>78991</c:v>
                </c:pt>
              </c:numCache>
            </c:numRef>
          </c:val>
          <c:smooth val="0"/>
        </c:ser>
        <c:dLbls>
          <c:showLegendKey val="0"/>
          <c:showVal val="0"/>
          <c:showCatName val="0"/>
          <c:showSerName val="0"/>
          <c:showPercent val="0"/>
          <c:showBubbleSize val="0"/>
        </c:dLbls>
        <c:marker val="1"/>
        <c:smooth val="0"/>
        <c:axId val="248306688"/>
        <c:axId val="248308480"/>
      </c:lineChart>
      <c:catAx>
        <c:axId val="24830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8305152"/>
        <c:crosses val="autoZero"/>
        <c:auto val="1"/>
        <c:lblAlgn val="ctr"/>
        <c:lblOffset val="100"/>
        <c:noMultiLvlLbl val="0"/>
      </c:catAx>
      <c:valAx>
        <c:axId val="24830515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8302976"/>
        <c:crosses val="autoZero"/>
        <c:crossBetween val="between"/>
      </c:valAx>
      <c:catAx>
        <c:axId val="248306688"/>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8308480"/>
        <c:crosses val="autoZero"/>
        <c:auto val="1"/>
        <c:lblAlgn val="ctr"/>
        <c:lblOffset val="100"/>
        <c:noMultiLvlLbl val="0"/>
      </c:catAx>
      <c:valAx>
        <c:axId val="248308480"/>
        <c:scaling>
          <c:orientation val="minMax"/>
        </c:scaling>
        <c:delete val="0"/>
        <c:axPos val="r"/>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8306688"/>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2019</a:t>
            </a:r>
            <a:r>
              <a:rPr lang="zh-CN" altLang="zh-CN" sz="1200" b="1" i="0" u="none" strike="noStrike" baseline="0">
                <a:effectLst/>
              </a:rPr>
              <a:t>年至</a:t>
            </a:r>
            <a:r>
              <a:rPr lang="en-US" altLang="zh-CN" sz="1200" b="1" i="0" u="none" strike="noStrike" baseline="0">
                <a:effectLst/>
              </a:rPr>
              <a:t>2021</a:t>
            </a:r>
            <a:r>
              <a:rPr lang="zh-CN" altLang="zh-CN" sz="1200" b="1" i="0" u="none" strike="noStrike" baseline="0">
                <a:effectLst/>
              </a:rPr>
              <a:t>年</a:t>
            </a:r>
            <a:r>
              <a:rPr lang="zh-CN" altLang="en-US" sz="1200" b="1" i="0" u="none" strike="noStrike" baseline="0">
                <a:effectLst/>
              </a:rPr>
              <a:t>温州市</a:t>
            </a:r>
            <a:r>
              <a:rPr lang="zh-CN" altLang="en-US" sz="1200" b="1" i="0" baseline="0">
                <a:effectLst/>
              </a:rPr>
              <a:t>商品住宅成交价格走势</a:t>
            </a:r>
            <a:endParaRPr lang="zh-CN" altLang="zh-CN" sz="1200">
              <a:effectLst/>
            </a:endParaRPr>
          </a:p>
        </c:rich>
      </c:tx>
      <c:layout/>
      <c:overlay val="0"/>
      <c:spPr>
        <a:noFill/>
        <a:ln>
          <a:noFill/>
        </a:ln>
        <a:effectLst/>
      </c:spPr>
    </c:title>
    <c:autoTitleDeleted val="0"/>
    <c:plotArea>
      <c:layout/>
      <c:barChart>
        <c:barDir val="col"/>
        <c:grouping val="clustered"/>
        <c:varyColors val="0"/>
        <c:ser>
          <c:idx val="0"/>
          <c:order val="0"/>
          <c:tx>
            <c:strRef>
              <c:f>房地产!$B$45</c:f>
              <c:strCache>
                <c:ptCount val="1"/>
                <c:pt idx="0">
                  <c:v>销售额(万元)</c:v>
                </c:pt>
              </c:strCache>
            </c:strRef>
          </c:tx>
          <c:spPr>
            <a:ln w="28575" cap="rnd">
              <a:solidFill>
                <a:schemeClr val="accent1"/>
              </a:solidFill>
              <a:round/>
            </a:ln>
            <a:effectLst/>
          </c:spPr>
          <c:invertIfNegative val="0"/>
          <c:dLbls>
            <c:delete val="1"/>
          </c:dLbls>
          <c:cat>
            <c:strRef>
              <c:f>房地产!$C$44:$G$44</c:f>
              <c:strCache>
                <c:ptCount val="4"/>
                <c:pt idx="1">
                  <c:v>2019年</c:v>
                </c:pt>
                <c:pt idx="2">
                  <c:v>2020年</c:v>
                </c:pt>
                <c:pt idx="3">
                  <c:v>2021年</c:v>
                </c:pt>
              </c:strCache>
            </c:strRef>
          </c:cat>
          <c:val>
            <c:numRef>
              <c:f>房地产!$C$45:$G$45</c:f>
              <c:numCache>
                <c:formatCode>General</c:formatCode>
                <c:ptCount val="5"/>
                <c:pt idx="1" c:formatCode="0.00">
                  <c:v>1551.063511</c:v>
                </c:pt>
                <c:pt idx="2" c:formatCode="0.00">
                  <c:v>1997.5479</c:v>
                </c:pt>
                <c:pt idx="3" c:formatCode="0.00">
                  <c:v>1816.889025</c:v>
                </c:pt>
              </c:numCache>
            </c:numRef>
          </c:val>
        </c:ser>
        <c:dLbls>
          <c:showLegendKey val="0"/>
          <c:showVal val="0"/>
          <c:showCatName val="0"/>
          <c:showSerName val="0"/>
          <c:showPercent val="0"/>
          <c:showBubbleSize val="0"/>
        </c:dLbls>
        <c:gapWidth val="150"/>
        <c:axId val="257759872"/>
        <c:axId val="257765760"/>
      </c:barChart>
      <c:lineChart>
        <c:grouping val="standard"/>
        <c:varyColors val="0"/>
        <c:ser>
          <c:idx val="1"/>
          <c:order val="1"/>
          <c:tx>
            <c:strRef>
              <c:f>房地产!$B$46</c:f>
              <c:strCache>
                <c:ptCount val="1"/>
                <c:pt idx="0">
                  <c:v>销售价格(元/㎡)</c:v>
                </c:pt>
              </c:strCache>
            </c:strRef>
          </c:tx>
          <c:spPr>
            <a:effectLst/>
          </c:spPr>
          <c:dLbls>
            <c:delete val="1"/>
          </c:dLbls>
          <c:cat>
            <c:strRef>
              <c:f>房地产!$C$44:$G$44</c:f>
              <c:strCache>
                <c:ptCount val="4"/>
                <c:pt idx="1">
                  <c:v>2019年</c:v>
                </c:pt>
                <c:pt idx="2">
                  <c:v>2020年</c:v>
                </c:pt>
                <c:pt idx="3">
                  <c:v>2021年</c:v>
                </c:pt>
              </c:strCache>
            </c:strRef>
          </c:cat>
          <c:val>
            <c:numRef>
              <c:f>房地产!$C$46:$G$46</c:f>
              <c:numCache>
                <c:formatCode>General</c:formatCode>
                <c:ptCount val="5"/>
                <c:pt idx="1">
                  <c:v>17641</c:v>
                </c:pt>
                <c:pt idx="2">
                  <c:v>18316</c:v>
                </c:pt>
                <c:pt idx="3">
                  <c:v>19491</c:v>
                </c:pt>
              </c:numCache>
            </c:numRef>
          </c:val>
          <c:smooth val="0"/>
        </c:ser>
        <c:dLbls>
          <c:showLegendKey val="0"/>
          <c:showVal val="0"/>
          <c:showCatName val="0"/>
          <c:showSerName val="0"/>
          <c:showPercent val="0"/>
          <c:showBubbleSize val="0"/>
        </c:dLbls>
        <c:marker val="1"/>
        <c:smooth val="0"/>
        <c:axId val="257767296"/>
        <c:axId val="257768832"/>
      </c:lineChart>
      <c:catAx>
        <c:axId val="25775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7765760"/>
        <c:crosses val="autoZero"/>
        <c:auto val="1"/>
        <c:lblAlgn val="ctr"/>
        <c:lblOffset val="100"/>
        <c:noMultiLvlLbl val="0"/>
      </c:catAx>
      <c:valAx>
        <c:axId val="25776576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7759872"/>
        <c:crosses val="autoZero"/>
        <c:crossBetween val="between"/>
      </c:valAx>
      <c:catAx>
        <c:axId val="25776729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57768832"/>
        <c:crosses val="autoZero"/>
        <c:auto val="1"/>
        <c:lblAlgn val="ctr"/>
        <c:lblOffset val="100"/>
        <c:noMultiLvlLbl val="0"/>
      </c:catAx>
      <c:valAx>
        <c:axId val="257768832"/>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57767296"/>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2021</a:t>
            </a:r>
            <a:r>
              <a:rPr lang="zh-CN" altLang="en-US" sz="1200" b="1" i="0" baseline="0">
                <a:effectLst/>
              </a:rPr>
              <a:t>至</a:t>
            </a:r>
            <a:r>
              <a:rPr lang="en-US" altLang="zh-CN" sz="1200" b="1" i="0" baseline="0">
                <a:effectLst/>
              </a:rPr>
              <a:t>2022</a:t>
            </a:r>
            <a:r>
              <a:rPr lang="zh-CN" altLang="zh-CN" sz="1200" b="1" i="0" baseline="0">
                <a:effectLst/>
              </a:rPr>
              <a:t>年</a:t>
            </a:r>
            <a:r>
              <a:rPr lang="en-US" altLang="zh-CN" sz="1200" b="1" i="0" baseline="0">
                <a:effectLst/>
              </a:rPr>
              <a:t>8</a:t>
            </a:r>
            <a:r>
              <a:rPr lang="zh-CN" altLang="en-US" sz="1200" b="1" i="0" baseline="0">
                <a:effectLst/>
              </a:rPr>
              <a:t>月温州市各区</a:t>
            </a:r>
            <a:r>
              <a:rPr lang="zh-CN" altLang="en-US" sz="1200" b="1" i="0" u="none" strike="noStrike" baseline="0">
                <a:effectLst/>
              </a:rPr>
              <a:t>商品住宅</a:t>
            </a:r>
            <a:r>
              <a:rPr lang="zh-CN" altLang="en-US" sz="1200" b="1" i="0" baseline="0">
                <a:effectLst/>
              </a:rPr>
              <a:t>成交情况</a:t>
            </a:r>
            <a:endParaRPr lang="zh-CN" altLang="zh-CN" sz="1200">
              <a:effectLst/>
            </a:endParaRPr>
          </a:p>
        </c:rich>
      </c:tx>
      <c:layout>
        <c:manualLayout>
          <c:xMode val="edge"/>
          <c:yMode val="edge"/>
          <c:x val="0.230069695394356"/>
          <c:y val="0.0255591054313099"/>
        </c:manualLayout>
      </c:layout>
      <c:overlay val="0"/>
      <c:spPr>
        <a:noFill/>
        <a:ln>
          <a:noFill/>
        </a:ln>
        <a:effectLst/>
      </c:spPr>
    </c:title>
    <c:autoTitleDeleted val="0"/>
    <c:plotArea>
      <c:layout/>
      <c:barChart>
        <c:barDir val="col"/>
        <c:grouping val="clustered"/>
        <c:varyColors val="0"/>
        <c:ser>
          <c:idx val="0"/>
          <c:order val="0"/>
          <c:tx>
            <c:strRef>
              <c:f>房地产!$B$165</c:f>
              <c:strCache>
                <c:ptCount val="1"/>
                <c:pt idx="0">
                  <c:v>成交套数(套)</c:v>
                </c:pt>
              </c:strCache>
            </c:strRef>
          </c:tx>
          <c:spPr>
            <a:ln w="28575" cap="rnd">
              <a:solidFill>
                <a:schemeClr val="accent1"/>
              </a:solidFill>
              <a:round/>
            </a:ln>
            <a:effectLst/>
          </c:spPr>
          <c:invertIfNegative val="0"/>
          <c:dLbls>
            <c:delete val="1"/>
          </c:dLbls>
          <c:cat>
            <c:strRef>
              <c:f>房地产!$A$166:$A$178</c:f>
              <c:strCache>
                <c:ptCount val="13"/>
                <c:pt idx="0">
                  <c:v>龙港市</c:v>
                </c:pt>
                <c:pt idx="1">
                  <c:v>经济开发区</c:v>
                </c:pt>
                <c:pt idx="2">
                  <c:v>洞头区</c:v>
                </c:pt>
                <c:pt idx="3">
                  <c:v>永嘉县</c:v>
                </c:pt>
                <c:pt idx="4">
                  <c:v>文成县</c:v>
                </c:pt>
                <c:pt idx="5">
                  <c:v>平阳县</c:v>
                </c:pt>
                <c:pt idx="6">
                  <c:v>苍南县</c:v>
                </c:pt>
                <c:pt idx="7">
                  <c:v>泰顺县</c:v>
                </c:pt>
                <c:pt idx="8">
                  <c:v>乐清市</c:v>
                </c:pt>
                <c:pt idx="9">
                  <c:v>瑞安市</c:v>
                </c:pt>
                <c:pt idx="10">
                  <c:v>龙湾区</c:v>
                </c:pt>
                <c:pt idx="11">
                  <c:v>瓯海区</c:v>
                </c:pt>
                <c:pt idx="12">
                  <c:v>鹿城区</c:v>
                </c:pt>
              </c:strCache>
            </c:strRef>
          </c:cat>
          <c:val>
            <c:numRef>
              <c:f>房地产!$B$166:$B$178</c:f>
              <c:numCache>
                <c:formatCode>General</c:formatCode>
                <c:ptCount val="13"/>
                <c:pt idx="0">
                  <c:v>9249</c:v>
                </c:pt>
                <c:pt idx="1">
                  <c:v>2628</c:v>
                </c:pt>
                <c:pt idx="2">
                  <c:v>7319</c:v>
                </c:pt>
                <c:pt idx="3">
                  <c:v>5371</c:v>
                </c:pt>
                <c:pt idx="4">
                  <c:v>1341</c:v>
                </c:pt>
                <c:pt idx="5">
                  <c:v>13970</c:v>
                </c:pt>
                <c:pt idx="6">
                  <c:v>6198</c:v>
                </c:pt>
                <c:pt idx="7" c:formatCode="0.00%">
                  <c:v>3628</c:v>
                </c:pt>
                <c:pt idx="8">
                  <c:v>14872</c:v>
                </c:pt>
                <c:pt idx="9">
                  <c:v>9215</c:v>
                </c:pt>
                <c:pt idx="10">
                  <c:v>7740</c:v>
                </c:pt>
                <c:pt idx="11">
                  <c:v>10743</c:v>
                </c:pt>
                <c:pt idx="12">
                  <c:v>20692</c:v>
                </c:pt>
              </c:numCache>
            </c:numRef>
          </c:val>
        </c:ser>
        <c:ser>
          <c:idx val="2"/>
          <c:order val="2"/>
          <c:tx>
            <c:strRef>
              <c:f>房地产!$D$165</c:f>
              <c:strCache>
                <c:ptCount val="1"/>
                <c:pt idx="0">
                  <c:v>成交价格(元/㎡)</c:v>
                </c:pt>
              </c:strCache>
            </c:strRef>
          </c:tx>
          <c:spPr>
            <a:ln w="28575" cap="rnd">
              <a:solidFill>
                <a:schemeClr val="accent3"/>
              </a:solidFill>
              <a:round/>
            </a:ln>
            <a:effectLst/>
          </c:spPr>
          <c:invertIfNegative val="0"/>
          <c:dLbls>
            <c:delete val="1"/>
          </c:dLbls>
          <c:cat>
            <c:strRef>
              <c:f>房地产!$A$166:$A$178</c:f>
              <c:strCache>
                <c:ptCount val="13"/>
                <c:pt idx="0">
                  <c:v>龙港市</c:v>
                </c:pt>
                <c:pt idx="1">
                  <c:v>经济开发区</c:v>
                </c:pt>
                <c:pt idx="2">
                  <c:v>洞头区</c:v>
                </c:pt>
                <c:pt idx="3">
                  <c:v>永嘉县</c:v>
                </c:pt>
                <c:pt idx="4">
                  <c:v>文成县</c:v>
                </c:pt>
                <c:pt idx="5">
                  <c:v>平阳县</c:v>
                </c:pt>
                <c:pt idx="6">
                  <c:v>苍南县</c:v>
                </c:pt>
                <c:pt idx="7">
                  <c:v>泰顺县</c:v>
                </c:pt>
                <c:pt idx="8">
                  <c:v>乐清市</c:v>
                </c:pt>
                <c:pt idx="9">
                  <c:v>瑞安市</c:v>
                </c:pt>
                <c:pt idx="10">
                  <c:v>龙湾区</c:v>
                </c:pt>
                <c:pt idx="11">
                  <c:v>瓯海区</c:v>
                </c:pt>
                <c:pt idx="12">
                  <c:v>鹿城区</c:v>
                </c:pt>
              </c:strCache>
            </c:strRef>
          </c:cat>
          <c:val>
            <c:numRef>
              <c:f>房地产!$D$166:$D$178</c:f>
              <c:numCache>
                <c:formatCode>0</c:formatCode>
                <c:ptCount val="13"/>
                <c:pt idx="0">
                  <c:v>13875</c:v>
                </c:pt>
                <c:pt idx="1">
                  <c:v>12876</c:v>
                </c:pt>
                <c:pt idx="2">
                  <c:v>14475</c:v>
                </c:pt>
                <c:pt idx="3">
                  <c:v>20022</c:v>
                </c:pt>
                <c:pt idx="4">
                  <c:v>11792</c:v>
                </c:pt>
                <c:pt idx="5">
                  <c:v>11183</c:v>
                </c:pt>
                <c:pt idx="6">
                  <c:v>15405</c:v>
                </c:pt>
                <c:pt idx="7" c:formatCode="General">
                  <c:v>11712</c:v>
                </c:pt>
                <c:pt idx="8" c:formatCode="General">
                  <c:v>16106</c:v>
                </c:pt>
                <c:pt idx="9" c:formatCode="General">
                  <c:v>19280</c:v>
                </c:pt>
                <c:pt idx="10" c:formatCode="General">
                  <c:v>22755</c:v>
                </c:pt>
                <c:pt idx="11" c:formatCode="General">
                  <c:v>23986</c:v>
                </c:pt>
                <c:pt idx="12" c:formatCode="General">
                  <c:v>27690</c:v>
                </c:pt>
              </c:numCache>
            </c:numRef>
          </c:val>
        </c:ser>
        <c:dLbls>
          <c:showLegendKey val="0"/>
          <c:showVal val="0"/>
          <c:showCatName val="0"/>
          <c:showSerName val="0"/>
          <c:showPercent val="0"/>
          <c:showBubbleSize val="0"/>
        </c:dLbls>
        <c:gapWidth val="150"/>
        <c:axId val="260135936"/>
        <c:axId val="260137728"/>
      </c:barChart>
      <c:lineChart>
        <c:grouping val="standard"/>
        <c:varyColors val="0"/>
        <c:ser>
          <c:idx val="1"/>
          <c:order val="1"/>
          <c:tx>
            <c:strRef>
              <c:f>房地产!$C$165</c:f>
              <c:strCache>
                <c:ptCount val="1"/>
                <c:pt idx="0">
                  <c:v>成交面积(万㎡)</c:v>
                </c:pt>
              </c:strCache>
            </c:strRef>
          </c:tx>
          <c:spPr>
            <a:effectLst/>
          </c:spPr>
          <c:dLbls>
            <c:delete val="1"/>
          </c:dLbls>
          <c:cat>
            <c:strRef>
              <c:f>房地产!$A$166:$A$178</c:f>
              <c:strCache>
                <c:ptCount val="13"/>
                <c:pt idx="0">
                  <c:v>龙港市</c:v>
                </c:pt>
                <c:pt idx="1">
                  <c:v>经济开发区</c:v>
                </c:pt>
                <c:pt idx="2">
                  <c:v>洞头区</c:v>
                </c:pt>
                <c:pt idx="3">
                  <c:v>永嘉县</c:v>
                </c:pt>
                <c:pt idx="4">
                  <c:v>文成县</c:v>
                </c:pt>
                <c:pt idx="5">
                  <c:v>平阳县</c:v>
                </c:pt>
                <c:pt idx="6">
                  <c:v>苍南县</c:v>
                </c:pt>
                <c:pt idx="7">
                  <c:v>泰顺县</c:v>
                </c:pt>
                <c:pt idx="8">
                  <c:v>乐清市</c:v>
                </c:pt>
                <c:pt idx="9">
                  <c:v>瑞安市</c:v>
                </c:pt>
                <c:pt idx="10">
                  <c:v>龙湾区</c:v>
                </c:pt>
                <c:pt idx="11">
                  <c:v>瓯海区</c:v>
                </c:pt>
                <c:pt idx="12">
                  <c:v>鹿城区</c:v>
                </c:pt>
              </c:strCache>
            </c:strRef>
          </c:cat>
          <c:val>
            <c:numRef>
              <c:f>房地产!$C$166:$C$178</c:f>
              <c:numCache>
                <c:formatCode>General</c:formatCode>
                <c:ptCount val="13"/>
                <c:pt idx="0">
                  <c:v>1094671</c:v>
                </c:pt>
                <c:pt idx="1">
                  <c:v>273201</c:v>
                </c:pt>
                <c:pt idx="2">
                  <c:v>787576</c:v>
                </c:pt>
                <c:pt idx="3">
                  <c:v>675942</c:v>
                </c:pt>
                <c:pt idx="4">
                  <c:v>159882</c:v>
                </c:pt>
                <c:pt idx="5">
                  <c:v>1587163</c:v>
                </c:pt>
                <c:pt idx="6">
                  <c:v>701995</c:v>
                </c:pt>
                <c:pt idx="7">
                  <c:v>356340</c:v>
                </c:pt>
                <c:pt idx="8">
                  <c:v>1925732</c:v>
                </c:pt>
                <c:pt idx="9">
                  <c:v>1134737</c:v>
                </c:pt>
                <c:pt idx="10">
                  <c:v>901558</c:v>
                </c:pt>
                <c:pt idx="11">
                  <c:v>1197398</c:v>
                </c:pt>
                <c:pt idx="12">
                  <c:v>2557348</c:v>
                </c:pt>
              </c:numCache>
            </c:numRef>
          </c:val>
          <c:smooth val="0"/>
        </c:ser>
        <c:ser>
          <c:idx val="3"/>
          <c:order val="3"/>
          <c:tx>
            <c:strRef>
              <c:f>房地产!$E$165</c:f>
              <c:strCache>
                <c:ptCount val="1"/>
                <c:pt idx="0">
                  <c:v>成交金额(亿元)</c:v>
                </c:pt>
              </c:strCache>
            </c:strRef>
          </c:tx>
          <c:spPr>
            <a:effectLst/>
          </c:spPr>
          <c:dLbls>
            <c:delete val="1"/>
          </c:dLbls>
          <c:cat>
            <c:strRef>
              <c:f>房地产!$A$166:$A$178</c:f>
              <c:strCache>
                <c:ptCount val="13"/>
                <c:pt idx="0">
                  <c:v>龙港市</c:v>
                </c:pt>
                <c:pt idx="1">
                  <c:v>经济开发区</c:v>
                </c:pt>
                <c:pt idx="2">
                  <c:v>洞头区</c:v>
                </c:pt>
                <c:pt idx="3">
                  <c:v>永嘉县</c:v>
                </c:pt>
                <c:pt idx="4">
                  <c:v>文成县</c:v>
                </c:pt>
                <c:pt idx="5">
                  <c:v>平阳县</c:v>
                </c:pt>
                <c:pt idx="6">
                  <c:v>苍南县</c:v>
                </c:pt>
                <c:pt idx="7">
                  <c:v>泰顺县</c:v>
                </c:pt>
                <c:pt idx="8">
                  <c:v>乐清市</c:v>
                </c:pt>
                <c:pt idx="9">
                  <c:v>瑞安市</c:v>
                </c:pt>
                <c:pt idx="10">
                  <c:v>龙湾区</c:v>
                </c:pt>
                <c:pt idx="11">
                  <c:v>瓯海区</c:v>
                </c:pt>
                <c:pt idx="12">
                  <c:v>鹿城区</c:v>
                </c:pt>
              </c:strCache>
            </c:strRef>
          </c:cat>
          <c:val>
            <c:numRef>
              <c:f>房地产!$E$166:$E$178</c:f>
              <c:numCache>
                <c:formatCode>General</c:formatCode>
                <c:ptCount val="13"/>
                <c:pt idx="0">
                  <c:v>1518893.83</c:v>
                </c:pt>
                <c:pt idx="1">
                  <c:v>351761.28</c:v>
                </c:pt>
                <c:pt idx="2">
                  <c:v>1140055.49</c:v>
                </c:pt>
                <c:pt idx="3">
                  <c:v>1353114.91</c:v>
                </c:pt>
                <c:pt idx="4">
                  <c:v>188533.88</c:v>
                </c:pt>
                <c:pt idx="5">
                  <c:v>1774783.88</c:v>
                </c:pt>
                <c:pt idx="6">
                  <c:v>1081240.85</c:v>
                </c:pt>
                <c:pt idx="7">
                  <c:v>417129.55</c:v>
                </c:pt>
                <c:pt idx="8">
                  <c:v>3096981.85</c:v>
                </c:pt>
                <c:pt idx="9">
                  <c:v>2161208.38</c:v>
                </c:pt>
                <c:pt idx="10">
                  <c:v>2051027.88</c:v>
                </c:pt>
                <c:pt idx="11">
                  <c:v>2871783.58</c:v>
                </c:pt>
                <c:pt idx="12">
                  <c:v>7081395.77</c:v>
                </c:pt>
              </c:numCache>
            </c:numRef>
          </c:val>
          <c:smooth val="0"/>
        </c:ser>
        <c:dLbls>
          <c:showLegendKey val="0"/>
          <c:showVal val="0"/>
          <c:showCatName val="0"/>
          <c:showSerName val="0"/>
          <c:showPercent val="0"/>
          <c:showBubbleSize val="0"/>
        </c:dLbls>
        <c:marker val="1"/>
        <c:smooth val="0"/>
        <c:axId val="260139264"/>
        <c:axId val="260145152"/>
      </c:lineChart>
      <c:catAx>
        <c:axId val="26013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0137728"/>
        <c:crosses val="autoZero"/>
        <c:auto val="1"/>
        <c:lblAlgn val="ctr"/>
        <c:lblOffset val="100"/>
        <c:noMultiLvlLbl val="0"/>
      </c:catAx>
      <c:valAx>
        <c:axId val="26013772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0135936"/>
        <c:crosses val="autoZero"/>
        <c:crossBetween val="between"/>
      </c:valAx>
      <c:catAx>
        <c:axId val="260139264"/>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60145152"/>
        <c:crosses val="autoZero"/>
        <c:auto val="1"/>
        <c:lblAlgn val="ctr"/>
        <c:lblOffset val="100"/>
        <c:noMultiLvlLbl val="0"/>
      </c:catAx>
      <c:valAx>
        <c:axId val="260145152"/>
        <c:scaling>
          <c:orientation val="minMax"/>
        </c:scaling>
        <c:delete val="0"/>
        <c:axPos val="r"/>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0139264"/>
        <c:crosses val="max"/>
        <c:crossBetween val="between"/>
      </c:valAx>
      <c:spPr>
        <a:noFill/>
        <a:ln>
          <a:noFill/>
        </a:ln>
        <a:effectLst/>
      </c:spPr>
    </c:plotArea>
    <c:legend>
      <c:legendPos val="b"/>
      <c:layout>
        <c:manualLayout>
          <c:xMode val="edge"/>
          <c:yMode val="edge"/>
          <c:x val="0.0464632371881897"/>
          <c:y val="0.913841363049958"/>
          <c:w val="0.9"/>
          <c:h val="0.0635597668935451"/>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[区域土地市场分析用图.xls]区域成交资料!$B$138</c:f>
              <c:strCache>
                <c:ptCount val="1"/>
                <c:pt idx="0">
                  <c:v>2022年1-8月成交均价(元/㎡)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[区域土地市场分析用图.xls]区域成交资料!$A$139:$A$151</c:f>
              <c:strCache>
                <c:ptCount val="13"/>
                <c:pt idx="0">
                  <c:v>鹿城区</c:v>
                </c:pt>
                <c:pt idx="1">
                  <c:v>龙湾区</c:v>
                </c:pt>
                <c:pt idx="2">
                  <c:v>瓯海区</c:v>
                </c:pt>
                <c:pt idx="3">
                  <c:v>瑞安市</c:v>
                </c:pt>
                <c:pt idx="4">
                  <c:v>永嘉县</c:v>
                </c:pt>
                <c:pt idx="5">
                  <c:v>乐清市</c:v>
                </c:pt>
                <c:pt idx="6">
                  <c:v>洞头区</c:v>
                </c:pt>
                <c:pt idx="7">
                  <c:v>苍南县</c:v>
                </c:pt>
                <c:pt idx="8">
                  <c:v>龙港市</c:v>
                </c:pt>
                <c:pt idx="9">
                  <c:v>文成县</c:v>
                </c:pt>
                <c:pt idx="10">
                  <c:v>开发区</c:v>
                </c:pt>
                <c:pt idx="11">
                  <c:v>泰顺县</c:v>
                </c:pt>
                <c:pt idx="12">
                  <c:v>平阳县</c:v>
                </c:pt>
              </c:strCache>
            </c:strRef>
          </c:cat>
          <c:val>
            <c:numRef>
              <c:f>[区域土地市场分析用图.xls]区域成交资料!$B$139:$B$151</c:f>
              <c:numCache>
                <c:formatCode>General</c:formatCode>
                <c:ptCount val="13"/>
                <c:pt idx="0">
                  <c:v>22640</c:v>
                </c:pt>
                <c:pt idx="1">
                  <c:v>22377</c:v>
                </c:pt>
                <c:pt idx="2">
                  <c:v>22259</c:v>
                </c:pt>
                <c:pt idx="3">
                  <c:v>19695</c:v>
                </c:pt>
                <c:pt idx="4">
                  <c:v>16874</c:v>
                </c:pt>
                <c:pt idx="5">
                  <c:v>16035</c:v>
                </c:pt>
                <c:pt idx="6">
                  <c:v>14303</c:v>
                </c:pt>
                <c:pt idx="7">
                  <c:v>14167</c:v>
                </c:pt>
                <c:pt idx="8">
                  <c:v>13501</c:v>
                </c:pt>
                <c:pt idx="9">
                  <c:v>12878</c:v>
                </c:pt>
                <c:pt idx="10">
                  <c:v>12593</c:v>
                </c:pt>
                <c:pt idx="11">
                  <c:v>10915</c:v>
                </c:pt>
                <c:pt idx="12">
                  <c:v>10785</c:v>
                </c:pt>
              </c:numCache>
            </c:numRef>
          </c:val>
        </c:ser>
        <c:dLbls>
          <c:showLegendKey val="0"/>
          <c:showVal val="1"/>
          <c:showCatName val="0"/>
          <c:showSerName val="0"/>
          <c:showPercent val="0"/>
          <c:showBubbleSize val="0"/>
        </c:dLbls>
        <c:gapWidth val="219"/>
        <c:axId val="260167168"/>
        <c:axId val="260178304"/>
      </c:barChart>
      <c:lineChart>
        <c:grouping val="standard"/>
        <c:varyColors val="0"/>
        <c:ser>
          <c:idx val="1"/>
          <c:order val="1"/>
          <c:tx>
            <c:strRef>
              <c:f>[区域土地市场分析用图.xls]区域成交资料!$C$138</c:f>
              <c:strCache>
                <c:ptCount val="1"/>
                <c:pt idx="0">
                  <c:v>同比(%)</c:v>
                </c:pt>
              </c:strCache>
            </c:strRef>
          </c:tx>
          <c:spPr>
            <a:ln w="28575" cap="rnd" cmpd="sng" algn="ctr">
              <a:solidFill>
                <a:schemeClr val="accent2"/>
              </a:solidFill>
              <a:prstDash val="solid"/>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[区域土地市场分析用图.xls]区域成交资料!$A$139:$A$151</c:f>
              <c:strCache>
                <c:ptCount val="13"/>
                <c:pt idx="0">
                  <c:v>鹿城区</c:v>
                </c:pt>
                <c:pt idx="1">
                  <c:v>龙湾区</c:v>
                </c:pt>
                <c:pt idx="2">
                  <c:v>瓯海区</c:v>
                </c:pt>
                <c:pt idx="3">
                  <c:v>瑞安市</c:v>
                </c:pt>
                <c:pt idx="4">
                  <c:v>永嘉县</c:v>
                </c:pt>
                <c:pt idx="5">
                  <c:v>乐清市</c:v>
                </c:pt>
                <c:pt idx="6">
                  <c:v>洞头区</c:v>
                </c:pt>
                <c:pt idx="7">
                  <c:v>苍南县</c:v>
                </c:pt>
                <c:pt idx="8">
                  <c:v>龙港市</c:v>
                </c:pt>
                <c:pt idx="9">
                  <c:v>文成县</c:v>
                </c:pt>
                <c:pt idx="10">
                  <c:v>开发区</c:v>
                </c:pt>
                <c:pt idx="11">
                  <c:v>泰顺县</c:v>
                </c:pt>
                <c:pt idx="12">
                  <c:v>平阳县</c:v>
                </c:pt>
              </c:strCache>
            </c:strRef>
          </c:cat>
          <c:val>
            <c:numRef>
              <c:f>[区域土地市场分析用图.xls]区域成交资料!$C$139:$C$151</c:f>
              <c:numCache>
                <c:formatCode>General</c:formatCode>
                <c:ptCount val="13"/>
                <c:pt idx="0">
                  <c:v>-18.3</c:v>
                </c:pt>
                <c:pt idx="1">
                  <c:v>15.5</c:v>
                </c:pt>
                <c:pt idx="2">
                  <c:v>5.7</c:v>
                </c:pt>
                <c:pt idx="3">
                  <c:v>14.1</c:v>
                </c:pt>
                <c:pt idx="4">
                  <c:v>14</c:v>
                </c:pt>
                <c:pt idx="5">
                  <c:v>11.3</c:v>
                </c:pt>
                <c:pt idx="6">
                  <c:v>58</c:v>
                </c:pt>
                <c:pt idx="7">
                  <c:v>4.5</c:v>
                </c:pt>
                <c:pt idx="8">
                  <c:v>-16.8</c:v>
                </c:pt>
                <c:pt idx="9">
                  <c:v>40</c:v>
                </c:pt>
                <c:pt idx="10">
                  <c:v>12.8</c:v>
                </c:pt>
                <c:pt idx="11">
                  <c:v>-0.2</c:v>
                </c:pt>
                <c:pt idx="12">
                  <c:v>2</c:v>
                </c:pt>
              </c:numCache>
            </c:numRef>
          </c:val>
          <c:smooth val="0"/>
        </c:ser>
        <c:dLbls>
          <c:showLegendKey val="0"/>
          <c:showVal val="1"/>
          <c:showCatName val="0"/>
          <c:showSerName val="0"/>
          <c:showPercent val="0"/>
          <c:showBubbleSize val="0"/>
        </c:dLbls>
        <c:marker val="0"/>
        <c:smooth val="0"/>
        <c:axId val="260179840"/>
        <c:axId val="260181376"/>
      </c:lineChart>
      <c:catAx>
        <c:axId val="2601671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0178304"/>
        <c:crosses val="autoZero"/>
        <c:auto val="1"/>
        <c:lblAlgn val="ctr"/>
        <c:lblOffset val="100"/>
        <c:noMultiLvlLbl val="0"/>
      </c:catAx>
      <c:valAx>
        <c:axId val="26017830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0167168"/>
        <c:crosses val="autoZero"/>
        <c:crossBetween val="between"/>
      </c:valAx>
      <c:catAx>
        <c:axId val="260179840"/>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60181376"/>
        <c:crosses val="autoZero"/>
        <c:auto val="1"/>
        <c:lblAlgn val="ctr"/>
        <c:lblOffset val="100"/>
        <c:noMultiLvlLbl val="0"/>
      </c:catAx>
      <c:valAx>
        <c:axId val="260181376"/>
        <c:scaling>
          <c:orientation val="minMax"/>
        </c:scaling>
        <c:delete val="0"/>
        <c:axPos val="r"/>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0179840"/>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94416607826962"/>
          <c:y val="0.108914903337651"/>
          <c:w val="0.886952897040433"/>
          <c:h val="0.668741355463347"/>
        </c:manualLayout>
      </c:layout>
      <c:barChart>
        <c:barDir val="col"/>
        <c:grouping val="clustered"/>
        <c:varyColors val="0"/>
        <c:ser>
          <c:idx val="0"/>
          <c:order val="0"/>
          <c:tx>
            <c:strRef>
              <c:f>[区域土地市场分析用图.xls]区域成交资料!$B$154</c:f>
              <c:strCache>
                <c:ptCount val="1"/>
                <c:pt idx="0">
                  <c:v>2022年1-8月成交面积(万㎡)</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[区域土地市场分析用图.xls]区域成交资料!$A$155:$A$167</c:f>
              <c:strCache>
                <c:ptCount val="13"/>
                <c:pt idx="0">
                  <c:v>乐清市</c:v>
                </c:pt>
                <c:pt idx="1">
                  <c:v>鹿城区</c:v>
                </c:pt>
                <c:pt idx="2">
                  <c:v>平阳县</c:v>
                </c:pt>
                <c:pt idx="3">
                  <c:v>瓯海区</c:v>
                </c:pt>
                <c:pt idx="4">
                  <c:v>瑞安市</c:v>
                </c:pt>
                <c:pt idx="5">
                  <c:v>龙港市</c:v>
                </c:pt>
                <c:pt idx="6">
                  <c:v>龙湾区</c:v>
                </c:pt>
                <c:pt idx="7">
                  <c:v>苍南县</c:v>
                </c:pt>
                <c:pt idx="8">
                  <c:v>永嘉县</c:v>
                </c:pt>
                <c:pt idx="9">
                  <c:v>洞头区</c:v>
                </c:pt>
                <c:pt idx="10">
                  <c:v>泰顺县</c:v>
                </c:pt>
                <c:pt idx="11">
                  <c:v>文成县</c:v>
                </c:pt>
                <c:pt idx="12">
                  <c:v>开发区</c:v>
                </c:pt>
              </c:strCache>
            </c:strRef>
          </c:cat>
          <c:val>
            <c:numRef>
              <c:f>[区域土地市场分析用图.xls]区域成交资料!$B$155:$B$167</c:f>
              <c:numCache>
                <c:formatCode>General</c:formatCode>
                <c:ptCount val="13"/>
                <c:pt idx="0">
                  <c:v>68.03</c:v>
                </c:pt>
                <c:pt idx="1">
                  <c:v>64.98</c:v>
                </c:pt>
                <c:pt idx="2">
                  <c:v>55.63</c:v>
                </c:pt>
                <c:pt idx="3">
                  <c:v>28.32</c:v>
                </c:pt>
                <c:pt idx="4">
                  <c:v>26.49</c:v>
                </c:pt>
                <c:pt idx="5">
                  <c:v>23.71</c:v>
                </c:pt>
                <c:pt idx="6">
                  <c:v>22.99</c:v>
                </c:pt>
                <c:pt idx="7">
                  <c:v>21.87</c:v>
                </c:pt>
                <c:pt idx="8">
                  <c:v>18.05</c:v>
                </c:pt>
                <c:pt idx="9">
                  <c:v>17.88</c:v>
                </c:pt>
                <c:pt idx="10">
                  <c:v>8.34</c:v>
                </c:pt>
                <c:pt idx="11">
                  <c:v>4.67</c:v>
                </c:pt>
                <c:pt idx="12">
                  <c:v>3.75</c:v>
                </c:pt>
              </c:numCache>
            </c:numRef>
          </c:val>
        </c:ser>
        <c:dLbls>
          <c:showLegendKey val="0"/>
          <c:showVal val="1"/>
          <c:showCatName val="0"/>
          <c:showSerName val="0"/>
          <c:showPercent val="0"/>
          <c:showBubbleSize val="0"/>
        </c:dLbls>
        <c:gapWidth val="219"/>
        <c:overlap val="-27"/>
        <c:axId val="260199168"/>
        <c:axId val="260201856"/>
      </c:barChart>
      <c:lineChart>
        <c:grouping val="standard"/>
        <c:varyColors val="0"/>
        <c:ser>
          <c:idx val="1"/>
          <c:order val="1"/>
          <c:tx>
            <c:strRef>
              <c:f>[区域土地市场分析用图.xls]区域成交资料!$C$154</c:f>
              <c:strCache>
                <c:ptCount val="1"/>
                <c:pt idx="0">
                  <c:v>同比(%)</c:v>
                </c:pt>
              </c:strCache>
            </c:strRef>
          </c:tx>
          <c:spPr>
            <a:ln w="28575" cap="rnd" cmpd="sng" algn="ctr">
              <a:solidFill>
                <a:schemeClr val="accent2"/>
              </a:solidFill>
              <a:prstDash val="solid"/>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[区域土地市场分析用图.xls]区域成交资料!$A$155:$A$167</c:f>
              <c:strCache>
                <c:ptCount val="13"/>
                <c:pt idx="0">
                  <c:v>乐清市</c:v>
                </c:pt>
                <c:pt idx="1">
                  <c:v>鹿城区</c:v>
                </c:pt>
                <c:pt idx="2">
                  <c:v>平阳县</c:v>
                </c:pt>
                <c:pt idx="3">
                  <c:v>瓯海区</c:v>
                </c:pt>
                <c:pt idx="4">
                  <c:v>瑞安市</c:v>
                </c:pt>
                <c:pt idx="5">
                  <c:v>龙港市</c:v>
                </c:pt>
                <c:pt idx="6">
                  <c:v>龙湾区</c:v>
                </c:pt>
                <c:pt idx="7">
                  <c:v>苍南县</c:v>
                </c:pt>
                <c:pt idx="8">
                  <c:v>永嘉县</c:v>
                </c:pt>
                <c:pt idx="9">
                  <c:v>洞头区</c:v>
                </c:pt>
                <c:pt idx="10">
                  <c:v>泰顺县</c:v>
                </c:pt>
                <c:pt idx="11">
                  <c:v>文成县</c:v>
                </c:pt>
                <c:pt idx="12">
                  <c:v>开发区</c:v>
                </c:pt>
              </c:strCache>
            </c:strRef>
          </c:cat>
          <c:val>
            <c:numRef>
              <c:f>[区域土地市场分析用图.xls]区域成交资料!$C$155:$C$167</c:f>
              <c:numCache>
                <c:formatCode>General</c:formatCode>
                <c:ptCount val="13"/>
                <c:pt idx="0">
                  <c:v>-22.8</c:v>
                </c:pt>
                <c:pt idx="1">
                  <c:v>-53</c:v>
                </c:pt>
                <c:pt idx="2">
                  <c:v>-36.3</c:v>
                </c:pt>
                <c:pt idx="3">
                  <c:v>-62</c:v>
                </c:pt>
                <c:pt idx="4">
                  <c:v>-61.1</c:v>
                </c:pt>
                <c:pt idx="5">
                  <c:v>28.4</c:v>
                </c:pt>
                <c:pt idx="6">
                  <c:v>-75</c:v>
                </c:pt>
                <c:pt idx="7">
                  <c:v>-44.5</c:v>
                </c:pt>
                <c:pt idx="8">
                  <c:v>-60.6</c:v>
                </c:pt>
                <c:pt idx="9">
                  <c:v>-0.3</c:v>
                </c:pt>
                <c:pt idx="10">
                  <c:v>-67.3</c:v>
                </c:pt>
                <c:pt idx="11">
                  <c:v>-49</c:v>
                </c:pt>
                <c:pt idx="12">
                  <c:v>-76.8</c:v>
                </c:pt>
              </c:numCache>
            </c:numRef>
          </c:val>
          <c:smooth val="0"/>
        </c:ser>
        <c:dLbls>
          <c:showLegendKey val="0"/>
          <c:showVal val="1"/>
          <c:showCatName val="0"/>
          <c:showSerName val="0"/>
          <c:showPercent val="0"/>
          <c:showBubbleSize val="0"/>
        </c:dLbls>
        <c:marker val="0"/>
        <c:smooth val="0"/>
        <c:axId val="260215936"/>
        <c:axId val="260217472"/>
      </c:lineChart>
      <c:catAx>
        <c:axId val="2601991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0201856"/>
        <c:crosses val="autoZero"/>
        <c:auto val="1"/>
        <c:lblAlgn val="ctr"/>
        <c:lblOffset val="100"/>
        <c:noMultiLvlLbl val="0"/>
      </c:catAx>
      <c:valAx>
        <c:axId val="26020185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0199168"/>
        <c:crosses val="autoZero"/>
        <c:crossBetween val="between"/>
      </c:valAx>
      <c:catAx>
        <c:axId val="260215936"/>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60217472"/>
        <c:crosses val="autoZero"/>
        <c:auto val="1"/>
        <c:lblAlgn val="ctr"/>
        <c:lblOffset val="100"/>
        <c:noMultiLvlLbl val="0"/>
      </c:catAx>
      <c:valAx>
        <c:axId val="260217472"/>
        <c:scaling>
          <c:orientation val="minMax"/>
        </c:scaling>
        <c:delete val="0"/>
        <c:axPos val="r"/>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0215936"/>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2017</a:t>
            </a:r>
            <a:r>
              <a:rPr lang="zh-CN" altLang="en-US"/>
              <a:t>年至</a:t>
            </a:r>
            <a:r>
              <a:rPr lang="en-US" altLang="zh-CN"/>
              <a:t>2022</a:t>
            </a:r>
            <a:r>
              <a:rPr lang="zh-CN" altLang="en-US"/>
              <a:t>年</a:t>
            </a:r>
            <a:r>
              <a:rPr lang="en-US" altLang="zh-CN"/>
              <a:t>8</a:t>
            </a:r>
            <a:r>
              <a:rPr lang="zh-CN" altLang="en-US"/>
              <a:t>月宗地成交情况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'[招拍挂地块列表-2022年9月9日 (1).xlsx]sheet1'!$D$52</c:f>
              <c:strCache>
                <c:ptCount val="1"/>
                <c:pt idx="0">
                  <c:v>成交建筑面积（万㎡）</c:v>
                </c:pt>
              </c:strCache>
            </c:strRef>
          </c:tx>
          <c:spPr>
            <a:solidFill>
              <a:schemeClr val="accent1"/>
            </a:solidFill>
            <a:ln>
              <a:noFill/>
            </a:ln>
            <a:effectLst/>
          </c:spPr>
          <c:invertIfNegative val="0"/>
          <c:dLbls>
            <c:delete val="1"/>
          </c:dLbls>
          <c:cat>
            <c:strRef>
              <c:f>'[招拍挂地块列表-2022年9月9日 (1).xlsx]sheet1'!$A$53:$A$59</c:f>
              <c:strCache>
                <c:ptCount val="6"/>
                <c:pt idx="0">
                  <c:v>2017年</c:v>
                </c:pt>
                <c:pt idx="1">
                  <c:v>2018年</c:v>
                </c:pt>
                <c:pt idx="2">
                  <c:v>2019年</c:v>
                </c:pt>
                <c:pt idx="3">
                  <c:v>2020年</c:v>
                </c:pt>
                <c:pt idx="4">
                  <c:v>2021年</c:v>
                </c:pt>
                <c:pt idx="5">
                  <c:v>2022年1-8月</c:v>
                </c:pt>
              </c:strCache>
            </c:strRef>
          </c:cat>
          <c:val>
            <c:numRef>
              <c:f>sheet1!$D$53:$D$59</c:f>
              <c:numCache>
                <c:formatCode>General</c:formatCode>
                <c:ptCount val="6"/>
                <c:pt idx="0">
                  <c:v>47.77</c:v>
                </c:pt>
                <c:pt idx="1">
                  <c:v>89.71</c:v>
                </c:pt>
                <c:pt idx="2">
                  <c:v>56.32</c:v>
                </c:pt>
                <c:pt idx="3">
                  <c:v>83.47</c:v>
                </c:pt>
                <c:pt idx="4">
                  <c:v>45.3</c:v>
                </c:pt>
                <c:pt idx="5">
                  <c:v>2.02</c:v>
                </c:pt>
              </c:numCache>
            </c:numRef>
          </c:val>
        </c:ser>
        <c:ser>
          <c:idx val="1"/>
          <c:order val="1"/>
          <c:tx>
            <c:strRef>
              <c:f>'[招拍挂地块列表-2022年9月9日 (1).xlsx]sheet1'!$C$52</c:f>
              <c:strCache>
                <c:ptCount val="1"/>
                <c:pt idx="0">
                  <c:v>成交土地面积（万㎡）</c:v>
                </c:pt>
              </c:strCache>
            </c:strRef>
          </c:tx>
          <c:spPr>
            <a:solidFill>
              <a:schemeClr val="accent2"/>
            </a:solidFill>
            <a:ln>
              <a:noFill/>
            </a:ln>
            <a:effectLst/>
          </c:spPr>
          <c:invertIfNegative val="0"/>
          <c:dLbls>
            <c:delete val="1"/>
          </c:dLbls>
          <c:cat>
            <c:strRef>
              <c:f>'[招拍挂地块列表-2022年9月9日 (1).xlsx]sheet1'!$A$53:$A$59</c:f>
              <c:strCache>
                <c:ptCount val="6"/>
                <c:pt idx="0">
                  <c:v>2017年</c:v>
                </c:pt>
                <c:pt idx="1">
                  <c:v>2018年</c:v>
                </c:pt>
                <c:pt idx="2">
                  <c:v>2019年</c:v>
                </c:pt>
                <c:pt idx="3">
                  <c:v>2020年</c:v>
                </c:pt>
                <c:pt idx="4">
                  <c:v>2021年</c:v>
                </c:pt>
                <c:pt idx="5">
                  <c:v>2022年1-8月</c:v>
                </c:pt>
              </c:strCache>
            </c:strRef>
          </c:cat>
          <c:val>
            <c:numRef>
              <c:f>sheet1!$C$53:$C$59</c:f>
              <c:numCache>
                <c:formatCode>General</c:formatCode>
                <c:ptCount val="6"/>
                <c:pt idx="0">
                  <c:v>19.24</c:v>
                </c:pt>
                <c:pt idx="1">
                  <c:v>28.15</c:v>
                </c:pt>
                <c:pt idx="2">
                  <c:v>22.2</c:v>
                </c:pt>
                <c:pt idx="3">
                  <c:v>29.85</c:v>
                </c:pt>
                <c:pt idx="4">
                  <c:v>19.17</c:v>
                </c:pt>
                <c:pt idx="5">
                  <c:v>0.62</c:v>
                </c:pt>
              </c:numCache>
            </c:numRef>
          </c:val>
        </c:ser>
        <c:dLbls>
          <c:showLegendKey val="0"/>
          <c:showVal val="0"/>
          <c:showCatName val="0"/>
          <c:showSerName val="0"/>
          <c:showPercent val="0"/>
          <c:showBubbleSize val="0"/>
        </c:dLbls>
        <c:gapWidth val="219"/>
        <c:overlap val="-27"/>
        <c:axId val="260280704"/>
        <c:axId val="260282240"/>
        <c:extLst>
          <c:ext xmlns:c15="http://schemas.microsoft.com/office/drawing/2012/chart" uri="{02D57815-91ED-43cb-92C2-25804820EDAC}">
            <c15:filteredBarSeries>
              <c15:ser>
                <c:idx val="3"/>
                <c:order val="3"/>
                <c:tx>
                  <c:strRef>
                    <c:extLst>
                      <c:ext uri="{02D57815-91ED-43cb-92C2-25804820EDAC}">
                        <c15:formulaRef>
                          <c15:sqref>'[招拍挂地块列表-2022年9月9日 (1).xlsx]sheet1'!$E$52</c15:sqref>
                        </c15:formulaRef>
                      </c:ext>
                    </c:extLst>
                    <c:strCache>
                      <c:ptCount val="1"/>
                      <c:pt idx="0">
                        <c:v>成交地价（亿元）</c:v>
                      </c:pt>
                    </c:strCache>
                  </c:strRef>
                </c:tx>
                <c:spPr>
                  <a:solidFill>
                    <a:schemeClr val="accent4"/>
                  </a:solidFill>
                  <a:ln>
                    <a:noFill/>
                  </a:ln>
                  <a:effectLst/>
                </c:spPr>
                <c:invertIfNegative val="0"/>
                <c:dLbls>
                  <c:delete val="1"/>
                </c:dLbls>
                <c:cat>
                  <c:strRef>
                    <c:extLst>
                      <c:ext uri="{02D57815-91ED-43cb-92C2-25804820EDAC}">
                        <c15:fullRef>
                          <c15:sqref/>
                        </c15:fullRef>
                        <c15:formulaRef>
                          <c15:sqref>'[招拍挂地块列表-2022年9月9日 (1).xlsx]sheet1'!$A$53:$A$59</c15:sqref>
                        </c15:formulaRef>
                      </c:ext>
                    </c:extLst>
                    <c:strCache>
                      <c:ptCount val="6"/>
                      <c:pt idx="0">
                        <c:v>2017年</c:v>
                      </c:pt>
                      <c:pt idx="1">
                        <c:v>2018年</c:v>
                      </c:pt>
                      <c:pt idx="2">
                        <c:v>2019年</c:v>
                      </c:pt>
                      <c:pt idx="3">
                        <c:v>2020年</c:v>
                      </c:pt>
                      <c:pt idx="4">
                        <c:v>2021年</c:v>
                      </c:pt>
                      <c:pt idx="5">
                        <c:v>2022年1-8月</c:v>
                      </c:pt>
                    </c:strCache>
                  </c:strRef>
                </c:cat>
                <c:val>
                  <c:numRef>
                    <c:extLst>
                      <c:ext uri="{02D57815-91ED-43cb-92C2-25804820EDAC}">
                        <c15:formulaRef>
                          <c15:sqref>sheet1!$E$53:$E$59</c15:sqref>
                        </c15:formulaRef>
                      </c:ext>
                    </c:extLst>
                    <c:numCache>
                      <c:formatCode>General</c:formatCode>
                      <c:ptCount val="6"/>
                      <c:pt idx="0">
                        <c:v>26.221</c:v>
                      </c:pt>
                      <c:pt idx="1">
                        <c:v>34.1733</c:v>
                      </c:pt>
                      <c:pt idx="2">
                        <c:v>32.3349</c:v>
                      </c:pt>
                      <c:pt idx="3">
                        <c:v>51.5117</c:v>
                      </c:pt>
                      <c:pt idx="4">
                        <c:v>19.751</c:v>
                      </c:pt>
                      <c:pt idx="5">
                        <c:v>1.13</c:v>
                      </c:pt>
                    </c:numCache>
                  </c:numRef>
                </c:val>
              </c15:ser>
            </c15:filteredBarSeries>
          </c:ext>
        </c:extLst>
      </c:barChart>
      <c:lineChart>
        <c:grouping val="standard"/>
        <c:varyColors val="0"/>
        <c:ser>
          <c:idx val="2"/>
          <c:order val="2"/>
          <c:tx>
            <c:strRef>
              <c:f>'[招拍挂地块列表-2022年9月9日 (1).xlsx]sheet1'!$B$52</c:f>
              <c:strCache>
                <c:ptCount val="1"/>
                <c:pt idx="0">
                  <c:v>成交地块宗数</c:v>
                </c:pt>
              </c:strCache>
            </c:strRef>
          </c:tx>
          <c:spPr>
            <a:ln w="28575" cap="rnd" cmpd="sng" algn="ctr">
              <a:solidFill>
                <a:schemeClr val="accent3"/>
              </a:solidFill>
              <a:prstDash val="solid"/>
              <a:round/>
            </a:ln>
            <a:effectLst/>
          </c:spPr>
          <c:marker>
            <c:symbol val="none"/>
          </c:marker>
          <c:dLbls>
            <c:delete val="1"/>
          </c:dLbls>
          <c:cat>
            <c:strRef>
              <c:f>'[招拍挂地块列表-2022年9月9日 (1).xlsx]sheet1'!$A$53:$A$59</c:f>
              <c:strCache>
                <c:ptCount val="6"/>
                <c:pt idx="0">
                  <c:v>2017年</c:v>
                </c:pt>
                <c:pt idx="1">
                  <c:v>2018年</c:v>
                </c:pt>
                <c:pt idx="2">
                  <c:v>2019年</c:v>
                </c:pt>
                <c:pt idx="3">
                  <c:v>2020年</c:v>
                </c:pt>
                <c:pt idx="4">
                  <c:v>2021年</c:v>
                </c:pt>
                <c:pt idx="5">
                  <c:v>2022年1-8月</c:v>
                </c:pt>
              </c:strCache>
            </c:strRef>
          </c:cat>
          <c:val>
            <c:numRef>
              <c:f>sheet1!$B$53:$B$59</c:f>
              <c:numCache>
                <c:formatCode>General</c:formatCode>
                <c:ptCount val="6"/>
                <c:pt idx="0">
                  <c:v>9</c:v>
                </c:pt>
                <c:pt idx="1">
                  <c:v>8</c:v>
                </c:pt>
                <c:pt idx="2">
                  <c:v>11</c:v>
                </c:pt>
                <c:pt idx="3">
                  <c:v>8</c:v>
                </c:pt>
                <c:pt idx="4">
                  <c:v>8</c:v>
                </c:pt>
                <c:pt idx="5">
                  <c:v>1</c:v>
                </c:pt>
              </c:numCache>
            </c:numRef>
          </c:val>
          <c:smooth val="0"/>
        </c:ser>
        <c:dLbls>
          <c:showLegendKey val="0"/>
          <c:showVal val="0"/>
          <c:showCatName val="0"/>
          <c:showSerName val="0"/>
          <c:showPercent val="0"/>
          <c:showBubbleSize val="0"/>
        </c:dLbls>
        <c:marker val="0"/>
        <c:smooth val="0"/>
        <c:axId val="260280704"/>
        <c:axId val="260282240"/>
      </c:lineChart>
      <c:catAx>
        <c:axId val="2602807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0282240"/>
        <c:crosses val="autoZero"/>
        <c:auto val="1"/>
        <c:lblAlgn val="ctr"/>
        <c:lblOffset val="100"/>
        <c:noMultiLvlLbl val="0"/>
      </c:catAx>
      <c:valAx>
        <c:axId val="26028224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028070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1026" textRotate="1"/>
    <customShpInfo spid="_x0000_s2054"/>
    <customShpInfo spid="_x0000_s2055"/>
    <customShpInfo spid="_x0000_s2056"/>
    <customShpInfo spid="_x0000_s2057"/>
    <customShpInfo spid="_x0000_s205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D272B8-F288-4F9C-94D7-12988A274602}">
  <ds:schemaRefs/>
</ds:datastoreItem>
</file>

<file path=docProps/app.xml><?xml version="1.0" encoding="utf-8"?>
<Properties xmlns="http://schemas.openxmlformats.org/officeDocument/2006/extended-properties" xmlns:vt="http://schemas.openxmlformats.org/officeDocument/2006/docPropsVTypes">
  <Template>Normal.dotm</Template>
  <Company>ICBCOA</Company>
  <Pages>75</Pages>
  <Words>7983</Words>
  <Characters>45509</Characters>
  <Lines>379</Lines>
  <Paragraphs>106</Paragraphs>
  <TotalTime>19</TotalTime>
  <ScaleCrop>false</ScaleCrop>
  <LinksUpToDate>false</LinksUpToDate>
  <CharactersWithSpaces>53386</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2022-09-19T14:51:00Z</dcterms:created>
  <dc:creator>ICBC</dc:creator>
  <cp:lastModifiedBy>李斌</cp:lastModifiedBy>
  <cp:lastPrinted>2020-09-08T04:53:00Z</cp:lastPrinted>
  <dcterms:modified xsi:type="dcterms:W3CDTF">2022-09-20T01:38:54Z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FFE35D75086446F290E8A7785A1CA3E3</vt:lpwstr>
  </property>
</Properties>
</file>