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BB44D">
      <w:pPr>
        <w:spacing w:line="300" w:lineRule="exact"/>
        <w:rPr>
          <w:rFonts w:ascii="Arial" w:hAnsi="Arial"/>
        </w:rPr>
      </w:pPr>
    </w:p>
    <w:p w14:paraId="3EE0B767">
      <w:pPr>
        <w:spacing w:line="300" w:lineRule="exact"/>
        <w:rPr>
          <w:rFonts w:ascii="Arial" w:hAnsi="Arial"/>
        </w:rPr>
      </w:pPr>
    </w:p>
    <w:p w14:paraId="4DE8C48E">
      <w:pPr>
        <w:spacing w:line="300" w:lineRule="exact"/>
        <w:rPr>
          <w:rFonts w:ascii="Arial" w:hAnsi="Arial"/>
        </w:rPr>
      </w:pPr>
    </w:p>
    <w:p w14:paraId="75C96921">
      <w:pPr>
        <w:spacing w:line="300" w:lineRule="exact"/>
        <w:rPr>
          <w:rFonts w:ascii="Arial" w:hAnsi="Arial"/>
        </w:rPr>
      </w:pPr>
    </w:p>
    <w:p w14:paraId="4AD30642">
      <w:pPr>
        <w:spacing w:line="300" w:lineRule="exact"/>
        <w:rPr>
          <w:rFonts w:ascii="Arial" w:hAnsi="Arial"/>
        </w:rPr>
      </w:pPr>
    </w:p>
    <w:p w14:paraId="1CA3E1C7">
      <w:pPr>
        <w:spacing w:line="300" w:lineRule="exact"/>
        <w:rPr>
          <w:rFonts w:ascii="Arial" w:hAnsi="Arial"/>
        </w:rPr>
      </w:pPr>
    </w:p>
    <w:p w14:paraId="561953ED">
      <w:pPr>
        <w:spacing w:line="300" w:lineRule="exact"/>
        <w:rPr>
          <w:rFonts w:ascii="Arial" w:hAnsi="Arial"/>
        </w:rPr>
      </w:pPr>
    </w:p>
    <w:p w14:paraId="24B593A0">
      <w:pPr>
        <w:spacing w:line="300" w:lineRule="exact"/>
        <w:rPr>
          <w:rFonts w:ascii="Arial" w:hAnsi="Arial"/>
        </w:rPr>
      </w:pPr>
    </w:p>
    <w:p w14:paraId="64ED2382">
      <w:pPr>
        <w:spacing w:line="300" w:lineRule="exact"/>
        <w:rPr>
          <w:rFonts w:ascii="Arial" w:hAnsi="Arial"/>
        </w:rPr>
      </w:pPr>
    </w:p>
    <w:p w14:paraId="78782FE1">
      <w:pPr>
        <w:spacing w:line="300" w:lineRule="exact"/>
        <w:rPr>
          <w:rFonts w:ascii="Arial" w:hAnsi="Arial"/>
        </w:rPr>
      </w:pPr>
    </w:p>
    <w:p w14:paraId="35D1BC08">
      <w:pPr>
        <w:spacing w:line="300" w:lineRule="exact"/>
        <w:rPr>
          <w:rFonts w:ascii="Arial" w:hAnsi="Arial"/>
        </w:rPr>
      </w:pPr>
    </w:p>
    <w:p w14:paraId="4A274AF5">
      <w:pPr>
        <w:spacing w:line="300" w:lineRule="exact"/>
        <w:rPr>
          <w:rFonts w:ascii="Arial" w:hAnsi="Arial"/>
        </w:rPr>
      </w:pPr>
    </w:p>
    <w:p w14:paraId="607380DA">
      <w:pPr>
        <w:spacing w:line="300" w:lineRule="exact"/>
        <w:rPr>
          <w:rFonts w:ascii="Arial" w:hAnsi="Arial"/>
        </w:rPr>
      </w:pPr>
    </w:p>
    <w:p w14:paraId="4A2321F5">
      <w:pPr>
        <w:spacing w:line="300" w:lineRule="exact"/>
        <w:rPr>
          <w:rFonts w:ascii="Arial" w:hAnsi="Arial"/>
        </w:rPr>
      </w:pPr>
    </w:p>
    <w:p w14:paraId="40DA8A06">
      <w:pPr>
        <w:spacing w:line="300" w:lineRule="exact"/>
        <w:rPr>
          <w:rFonts w:ascii="Arial" w:hAnsi="Arial"/>
        </w:rPr>
      </w:pPr>
    </w:p>
    <w:p w14:paraId="1AEDCFBD">
      <w:pPr>
        <w:spacing w:line="300" w:lineRule="exact"/>
        <w:rPr>
          <w:rFonts w:ascii="Arial" w:hAnsi="Arial"/>
        </w:rPr>
      </w:pPr>
    </w:p>
    <w:p w14:paraId="30474B0C">
      <w:pPr>
        <w:spacing w:line="300" w:lineRule="exact"/>
        <w:rPr>
          <w:rFonts w:ascii="Arial" w:hAnsi="Arial"/>
        </w:rPr>
      </w:pPr>
    </w:p>
    <w:p w14:paraId="3A16C67A">
      <w:pPr>
        <w:spacing w:line="300" w:lineRule="exact"/>
        <w:rPr>
          <w:rFonts w:ascii="Arial" w:hAnsi="Arial"/>
        </w:rPr>
      </w:pPr>
    </w:p>
    <w:p w14:paraId="16C91C3A">
      <w:pPr>
        <w:spacing w:line="300" w:lineRule="exact"/>
        <w:rPr>
          <w:rFonts w:ascii="Arial" w:hAnsi="Arial"/>
        </w:rPr>
      </w:pPr>
    </w:p>
    <w:p w14:paraId="3C4C91BF">
      <w:pPr>
        <w:spacing w:line="300" w:lineRule="exact"/>
        <w:rPr>
          <w:rFonts w:ascii="Arial" w:hAnsi="Arial"/>
        </w:rPr>
      </w:pPr>
    </w:p>
    <w:p w14:paraId="60801A76">
      <w:pPr>
        <w:spacing w:line="300" w:lineRule="exact"/>
        <w:rPr>
          <w:rFonts w:ascii="Arial" w:hAnsi="Arial"/>
        </w:rPr>
      </w:pPr>
    </w:p>
    <w:p w14:paraId="2D84050C">
      <w:pPr>
        <w:spacing w:line="300" w:lineRule="exact"/>
        <w:rPr>
          <w:rFonts w:ascii="Arial" w:hAnsi="Arial"/>
        </w:rPr>
      </w:pPr>
    </w:p>
    <w:p w14:paraId="3CC27194">
      <w:pPr>
        <w:spacing w:line="300" w:lineRule="exact"/>
        <w:rPr>
          <w:rFonts w:ascii="Arial" w:hAnsi="Arial"/>
        </w:rPr>
      </w:pPr>
    </w:p>
    <w:p w14:paraId="0A8C1AE7">
      <w:pPr>
        <w:spacing w:line="300" w:lineRule="exact"/>
        <w:rPr>
          <w:rFonts w:ascii="Arial" w:hAnsi="Arial"/>
        </w:rPr>
      </w:pPr>
    </w:p>
    <w:p w14:paraId="3BF0C51E">
      <w:pPr>
        <w:spacing w:line="300" w:lineRule="exact"/>
        <w:rPr>
          <w:rFonts w:ascii="Arial" w:hAnsi="Arial"/>
        </w:rPr>
      </w:pPr>
    </w:p>
    <w:p w14:paraId="1EC6E864">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4FCE0BA9">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北京市大兴区鼎创路23号院1号楼1层一单元103等100套（西红门金鼎欣盛家园）保障性租赁住房（住宅型）项目同地段、同品质市场租赁住房租金评估</w:t>
      </w:r>
    </w:p>
    <w:p w14:paraId="2EA2293D">
      <w:pPr>
        <w:spacing w:line="300" w:lineRule="exact"/>
        <w:rPr>
          <w:rFonts w:ascii="Arial" w:hAnsi="Arial" w:eastAsia="方正黑体简体" w:cs="Arial"/>
          <w:b/>
          <w:bCs/>
          <w:sz w:val="21"/>
          <w:szCs w:val="21"/>
        </w:rPr>
      </w:pPr>
    </w:p>
    <w:p w14:paraId="1E14D0A5">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1F95085C">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北京市燕兴保障性住房建设投资有限公司</w:t>
      </w:r>
    </w:p>
    <w:p w14:paraId="336E70AA">
      <w:pPr>
        <w:spacing w:line="300" w:lineRule="exact"/>
        <w:ind w:left="360"/>
        <w:jc w:val="both"/>
        <w:rPr>
          <w:rFonts w:ascii="Arial" w:hAnsi="Arial" w:eastAsia="方正黑体简体" w:cs="Arial"/>
          <w:sz w:val="21"/>
          <w:szCs w:val="21"/>
        </w:rPr>
      </w:pPr>
    </w:p>
    <w:p w14:paraId="2EE4E8EC">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1EC8844C">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0D8813EE">
      <w:pPr>
        <w:spacing w:line="300" w:lineRule="exact"/>
        <w:jc w:val="both"/>
        <w:rPr>
          <w:rFonts w:ascii="Arial" w:hAnsi="Arial" w:eastAsia="方正黑体简体" w:cs="Arial"/>
          <w:b/>
          <w:sz w:val="21"/>
          <w:szCs w:val="21"/>
        </w:rPr>
      </w:pPr>
    </w:p>
    <w:p w14:paraId="38714D68">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6DB34E3E">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12CD9AF6">
      <w:pPr>
        <w:spacing w:line="300" w:lineRule="exact"/>
        <w:jc w:val="both"/>
        <w:rPr>
          <w:rFonts w:ascii="Arial" w:hAnsi="Arial" w:eastAsia="方正黑体简体" w:cs="Arial"/>
          <w:b/>
          <w:sz w:val="21"/>
          <w:szCs w:val="21"/>
        </w:rPr>
      </w:pPr>
    </w:p>
    <w:p w14:paraId="74BE7B59">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4A8EF713">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4</w:t>
      </w:r>
      <w:r>
        <w:rPr>
          <w:rFonts w:ascii="Arial" w:hAnsi="Arial" w:eastAsia="方正黑体简体" w:cs="Arial"/>
          <w:sz w:val="21"/>
          <w:szCs w:val="21"/>
        </w:rPr>
        <w:t>月</w:t>
      </w:r>
      <w:r>
        <w:rPr>
          <w:rFonts w:hint="eastAsia" w:ascii="Arial" w:hAnsi="Arial" w:eastAsia="方正黑体简体" w:cs="Arial"/>
          <w:sz w:val="21"/>
          <w:szCs w:val="21"/>
        </w:rPr>
        <w:t>16</w:t>
      </w:r>
      <w:r>
        <w:rPr>
          <w:rFonts w:ascii="Arial" w:hAnsi="Arial" w:eastAsia="方正黑体简体" w:cs="Arial"/>
          <w:sz w:val="21"/>
          <w:szCs w:val="21"/>
        </w:rPr>
        <w:t>日</w:t>
      </w:r>
    </w:p>
    <w:p w14:paraId="69A9638D">
      <w:pPr>
        <w:spacing w:line="300" w:lineRule="exact"/>
        <w:jc w:val="both"/>
        <w:rPr>
          <w:rFonts w:ascii="Arial" w:hAnsi="Arial" w:eastAsia="方正黑体简体" w:cs="Arial"/>
          <w:b/>
          <w:sz w:val="21"/>
          <w:szCs w:val="21"/>
        </w:rPr>
      </w:pPr>
    </w:p>
    <w:p w14:paraId="225CF549">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633ABBEC">
      <w:pPr>
        <w:spacing w:line="300" w:lineRule="exact"/>
        <w:ind w:left="360"/>
        <w:jc w:val="both"/>
        <w:rPr>
          <w:rFonts w:ascii="Arial" w:hAnsi="Arial" w:eastAsia="方正黑体简体" w:cs="Arial"/>
          <w:sz w:val="21"/>
          <w:szCs w:val="21"/>
        </w:rPr>
        <w:sectPr>
          <w:headerReference r:id="rId8" w:type="first"/>
          <w:footerReference r:id="rId11" w:type="first"/>
          <w:headerReference r:id="rId7" w:type="default"/>
          <w:footerReference r:id="rId9" w:type="default"/>
          <w:footerReference r:id="rId10"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康正评字2026-1-0187-F01ZLGJ6号</w:t>
      </w:r>
    </w:p>
    <w:p w14:paraId="5F4834BC">
      <w:pPr>
        <w:pStyle w:val="2"/>
        <w:spacing w:line="480" w:lineRule="auto"/>
        <w:jc w:val="center"/>
        <w:rPr>
          <w:rFonts w:eastAsia="方正黑体简体"/>
          <w:b w:val="0"/>
          <w:kern w:val="2"/>
          <w:sz w:val="32"/>
          <w:szCs w:val="32"/>
        </w:rPr>
      </w:pPr>
      <w:bookmarkStart w:id="1" w:name="_Toc155267082"/>
      <w:bookmarkStart w:id="2" w:name="_Toc379795040"/>
      <w:bookmarkStart w:id="3" w:name="_Toc477252437"/>
      <w:r>
        <w:rPr>
          <w:rFonts w:eastAsia="方正黑体简体"/>
          <w:b w:val="0"/>
          <w:kern w:val="2"/>
          <w:sz w:val="32"/>
          <w:szCs w:val="32"/>
        </w:rPr>
        <w:t>致估价委托人函</w:t>
      </w:r>
      <w:bookmarkEnd w:id="1"/>
      <w:bookmarkEnd w:id="2"/>
      <w:bookmarkEnd w:id="3"/>
    </w:p>
    <w:p w14:paraId="701BEEA1">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北京市燕兴保障性住房建设投资有限公司</w:t>
      </w:r>
      <w:r>
        <w:rPr>
          <w:rFonts w:ascii="Arial" w:hAnsi="Arial" w:cs="Arial"/>
          <w:b/>
          <w:bCs/>
          <w:sz w:val="21"/>
          <w:szCs w:val="21"/>
        </w:rPr>
        <w:t>：</w:t>
      </w:r>
    </w:p>
    <w:p w14:paraId="7A9E8AA0">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北京市大兴区鼎创路23号院1号楼1层一单元103等100套（西红门金鼎欣盛家园）保障性租赁住房（住宅型）项目同地段、同品质市场租赁住房租金进行了评估。</w:t>
      </w:r>
    </w:p>
    <w:p w14:paraId="2F390AF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cs="Arial"/>
          <w:sz w:val="21"/>
          <w:szCs w:val="21"/>
        </w:rPr>
        <w:t>评估保障性租赁住房项目同地段同品质市场租赁住房租金，为有关单位合理确定保障性租赁住房项目租金提供参考依据</w:t>
      </w:r>
      <w:r>
        <w:rPr>
          <w:rFonts w:ascii="Arial" w:hAnsi="Arial" w:cs="Arial"/>
          <w:sz w:val="21"/>
          <w:szCs w:val="21"/>
        </w:rPr>
        <w:t>。</w:t>
      </w:r>
    </w:p>
    <w:p w14:paraId="3A65B244">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根据《北京市大兴区住房和城乡建设委员会 关于向燕兴公司出售我区安置房剩余房源资产的请示》[京兴建文（2026）20号]及其附件、《北京市燕兴保障性住房建设投资有限公司 关于保留原房屋产权性质的请示》[燕兴建投文（2026）08号]、《北京市规划和自然资源委员会 大兴分局关于燕兴保障房公司保留原房屋产权性质有关意见的报告》[京规自兴文（2026）91号]、《北京市保障性住房收购合同》及其附件、《不动产权证书》[京（2026）大不动产权第0006771、0006774、0006887、0006889、0006899、0006906、0006914、0006922、0006926、0006949、0006958、0006963、0006949号]部分、《估价委托书》，估价对象为北京市大兴区鼎创路23、29号院（西红门金鼎欣盛家园）共计100套保障性租赁住房（住宅型），总建筑</w:t>
      </w:r>
      <w:r>
        <w:rPr>
          <w:rFonts w:hint="eastAsia" w:ascii="Arial" w:hAnsi="Arial" w:cs="Arial"/>
          <w:kern w:val="2"/>
          <w:sz w:val="21"/>
          <w:szCs w:val="21"/>
        </w:rPr>
        <w:t>面积9094.97平方米，其中，北京市</w:t>
      </w:r>
      <w:r>
        <w:rPr>
          <w:rFonts w:hint="eastAsia" w:ascii="Arial" w:hAnsi="Arial" w:cs="Arial"/>
          <w:sz w:val="21"/>
          <w:szCs w:val="21"/>
        </w:rPr>
        <w:t>大兴区鼎创路23号院1号楼1层一单元103等</w:t>
      </w:r>
      <w:r>
        <w:rPr>
          <w:rFonts w:hint="eastAsia" w:ascii="Arial" w:hAnsi="Arial" w:cs="Arial"/>
          <w:kern w:val="2"/>
          <w:sz w:val="21"/>
          <w:szCs w:val="21"/>
        </w:rPr>
        <w:t>61套，建筑面积5506.97平方米；大兴区鼎创路29号院1号楼2层一单元201等39套，建筑面积3588平方米；权利人为北京市燕兴保障性住房建设投资有限公司，并由其负责房源出租及运营管理。</w:t>
      </w:r>
      <w:r>
        <w:rPr>
          <w:rFonts w:hint="eastAsia" w:ascii="Arial" w:hAnsi="Arial" w:cs="Arial"/>
          <w:sz w:val="21"/>
          <w:szCs w:val="21"/>
        </w:rPr>
        <w:t>估价对象具体情况如下：</w:t>
      </w:r>
    </w:p>
    <w:p w14:paraId="6A74B810">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409" w:type="dxa"/>
        <w:tblInd w:w="96" w:type="dxa"/>
        <w:tblLayout w:type="autofit"/>
        <w:tblCellMar>
          <w:top w:w="0" w:type="dxa"/>
          <w:left w:w="108" w:type="dxa"/>
          <w:bottom w:w="0" w:type="dxa"/>
          <w:right w:w="108" w:type="dxa"/>
        </w:tblCellMar>
      </w:tblPr>
      <w:tblGrid>
        <w:gridCol w:w="2467"/>
        <w:gridCol w:w="1030"/>
        <w:gridCol w:w="1590"/>
        <w:gridCol w:w="1500"/>
        <w:gridCol w:w="830"/>
        <w:gridCol w:w="1992"/>
      </w:tblGrid>
      <w:tr w14:paraId="699AA131">
        <w:tblPrEx>
          <w:tblCellMar>
            <w:top w:w="0" w:type="dxa"/>
            <w:left w:w="108" w:type="dxa"/>
            <w:bottom w:w="0" w:type="dxa"/>
            <w:right w:w="108" w:type="dxa"/>
          </w:tblCellMar>
        </w:tblPrEx>
        <w:trPr>
          <w:trHeight w:val="360"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C6241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35DD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1513D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A72B8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D764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FE11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0421A29D">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26C85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鼎创路23号院1、2、3、5、6、7、8、9号楼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E08EE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D6A03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57.17-57.43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CD1A3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73D80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3407F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286.13</w:t>
            </w:r>
          </w:p>
        </w:tc>
      </w:tr>
      <w:tr w14:paraId="5241309E">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681064">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99E6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4D9EB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87.85-90.39</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CFBF0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DF7D5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D8C66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4335.27</w:t>
            </w:r>
          </w:p>
        </w:tc>
      </w:tr>
      <w:tr w14:paraId="641ED40F">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F30254">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D1DB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8EC9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125.96-127.11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915C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6351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052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885.57</w:t>
            </w:r>
          </w:p>
        </w:tc>
      </w:tr>
      <w:tr w14:paraId="3FE80E26">
        <w:tblPrEx>
          <w:tblCellMar>
            <w:top w:w="0" w:type="dxa"/>
            <w:left w:w="108" w:type="dxa"/>
            <w:bottom w:w="0" w:type="dxa"/>
            <w:right w:w="108" w:type="dxa"/>
          </w:tblCellMar>
        </w:tblPrEx>
        <w:trPr>
          <w:trHeight w:val="264" w:hRule="atLeast"/>
        </w:trPr>
        <w:tc>
          <w:tcPr>
            <w:tcW w:w="2467" w:type="dxa"/>
            <w:tcBorders>
              <w:top w:val="nil"/>
              <w:left w:val="single" w:color="000000" w:sz="4" w:space="0"/>
              <w:bottom w:val="nil"/>
              <w:right w:val="single" w:color="000000" w:sz="4" w:space="0"/>
            </w:tcBorders>
            <w:shd w:val="clear" w:color="auto" w:fill="FFFFFF" w:themeFill="background1"/>
            <w:vAlign w:val="center"/>
          </w:tcPr>
          <w:p w14:paraId="0DBA410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5D93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FE7BD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E10EC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00491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214E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5506.97</w:t>
            </w:r>
          </w:p>
        </w:tc>
      </w:tr>
      <w:tr w14:paraId="001B3B5D">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14:paraId="44739EC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鼎创路29号院1、2、6、7、8号楼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9FCD8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9C909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56.92-57.43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63641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04B16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15D86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627.63</w:t>
            </w:r>
          </w:p>
        </w:tc>
      </w:tr>
      <w:tr w14:paraId="220FD715">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2FC119C1">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05D91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65C5E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87.86-88.4</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672A5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D0B84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B5A9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1319.34</w:t>
            </w:r>
          </w:p>
        </w:tc>
      </w:tr>
      <w:tr w14:paraId="7037D124">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54BB143F">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nil"/>
              <w:right w:val="single" w:color="000000" w:sz="4" w:space="0"/>
            </w:tcBorders>
            <w:shd w:val="clear" w:color="auto" w:fill="FFFFFF" w:themeFill="background1"/>
            <w:vAlign w:val="center"/>
          </w:tcPr>
          <w:p w14:paraId="2804AA0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nil"/>
              <w:right w:val="single" w:color="000000" w:sz="4" w:space="0"/>
            </w:tcBorders>
            <w:shd w:val="clear" w:color="auto" w:fill="FFFFFF" w:themeFill="background1"/>
            <w:vAlign w:val="center"/>
          </w:tcPr>
          <w:p w14:paraId="55FA982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125.6-127.1</w:t>
            </w:r>
          </w:p>
        </w:tc>
        <w:tc>
          <w:tcPr>
            <w:tcW w:w="1500" w:type="dxa"/>
            <w:tcBorders>
              <w:top w:val="single" w:color="000000" w:sz="4" w:space="0"/>
              <w:left w:val="single" w:color="000000" w:sz="4" w:space="0"/>
              <w:bottom w:val="nil"/>
              <w:right w:val="single" w:color="000000" w:sz="4" w:space="0"/>
            </w:tcBorders>
            <w:shd w:val="clear" w:color="auto" w:fill="FFFFFF" w:themeFill="background1"/>
            <w:vAlign w:val="center"/>
          </w:tcPr>
          <w:p w14:paraId="09AC7F1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955F0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6BE4D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1641.03</w:t>
            </w:r>
          </w:p>
        </w:tc>
      </w:tr>
      <w:tr w14:paraId="64081086">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5F50A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528B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915A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619C6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B419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CF193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3588</w:t>
            </w:r>
          </w:p>
        </w:tc>
      </w:tr>
      <w:tr w14:paraId="5F7171F1">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6EDCF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ED17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5743E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D50E8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AEC1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601E2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9094.97</w:t>
            </w:r>
          </w:p>
        </w:tc>
      </w:tr>
    </w:tbl>
    <w:p w14:paraId="1E2D1819">
      <w:pPr>
        <w:widowControl/>
        <w:adjustRightInd/>
        <w:spacing w:line="240" w:lineRule="auto"/>
        <w:jc w:val="center"/>
        <w:textAlignment w:val="auto"/>
        <w:rPr>
          <w:rFonts w:ascii="华文细黑" w:hAnsi="华文细黑" w:eastAsia="华文细黑" w:cs="Arial"/>
          <w:sz w:val="18"/>
          <w:szCs w:val="18"/>
        </w:rPr>
      </w:pPr>
    </w:p>
    <w:p w14:paraId="43024B74">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2026年4月7日（依据《估价委托书》确定）</w:t>
      </w:r>
    </w:p>
    <w:p w14:paraId="4A1568D9">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32642027">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46325168">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（西红门金鼎欣盛家园）保障性租赁住房（住宅型）项目于价值时点2026年4月7日同地段、同品质市场租赁住房租金为：</w:t>
      </w:r>
    </w:p>
    <w:p w14:paraId="1369E970">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一居室（56.92-57.43</w:t>
      </w:r>
      <w:r>
        <w:rPr>
          <w:rFonts w:ascii="Arial" w:hAnsi="Arial" w:cs="Arial"/>
          <w:b/>
          <w:bCs/>
          <w:sz w:val="21"/>
          <w:szCs w:val="21"/>
        </w:rPr>
        <w:t>平方米）</w:t>
      </w:r>
      <w:r>
        <w:rPr>
          <w:rFonts w:hint="eastAsia" w:ascii="Arial" w:hAnsi="Arial" w:cs="Arial"/>
          <w:b/>
          <w:bCs/>
          <w:sz w:val="21"/>
          <w:szCs w:val="21"/>
        </w:rPr>
        <w:t>：46.02元/平方米·月</w:t>
      </w:r>
    </w:p>
    <w:p w14:paraId="612D1B51">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两居室（87.86-90.39</w:t>
      </w:r>
      <w:r>
        <w:rPr>
          <w:rFonts w:ascii="Arial" w:hAnsi="Arial" w:cs="Arial"/>
          <w:b/>
          <w:bCs/>
          <w:sz w:val="21"/>
          <w:szCs w:val="21"/>
        </w:rPr>
        <w:t>平方米）</w:t>
      </w:r>
      <w:r>
        <w:rPr>
          <w:rFonts w:hint="eastAsia" w:ascii="Arial" w:hAnsi="Arial" w:cs="Arial"/>
          <w:b/>
          <w:bCs/>
          <w:sz w:val="21"/>
          <w:szCs w:val="21"/>
        </w:rPr>
        <w:t>：39.73元/平方米·月</w:t>
      </w:r>
    </w:p>
    <w:p w14:paraId="1A7DE405">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三居室（125.6-127.11</w:t>
      </w:r>
      <w:r>
        <w:rPr>
          <w:rFonts w:ascii="Arial" w:hAnsi="Arial" w:cs="Arial"/>
          <w:b/>
          <w:bCs/>
          <w:sz w:val="21"/>
          <w:szCs w:val="21"/>
        </w:rPr>
        <w:t>平方米</w:t>
      </w:r>
      <w:r>
        <w:rPr>
          <w:rFonts w:hint="eastAsia" w:ascii="Arial" w:hAnsi="Arial" w:cs="Arial"/>
          <w:b/>
          <w:bCs/>
          <w:sz w:val="21"/>
          <w:szCs w:val="21"/>
        </w:rPr>
        <w:t>）：29.99元/平方米·月</w:t>
      </w:r>
    </w:p>
    <w:p w14:paraId="6AA15560">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综合租金：37.66元/平方米·月</w:t>
      </w:r>
    </w:p>
    <w:p w14:paraId="4A55419B">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43C2A935">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1DE21E30">
      <w:pPr>
        <w:overflowPunct w:val="0"/>
        <w:spacing w:line="480" w:lineRule="auto"/>
        <w:ind w:firstLine="420" w:firstLineChars="200"/>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rPr>
        <w:t>（转下页）</w:t>
      </w:r>
    </w:p>
    <w:p w14:paraId="06ACD94E">
      <w:pPr>
        <w:rPr>
          <w:rFonts w:ascii="华文楷体" w:hAnsi="华文楷体" w:eastAsia="华文楷体" w:cs="华文楷体"/>
          <w:sz w:val="21"/>
          <w:szCs w:val="21"/>
        </w:rPr>
      </w:pPr>
      <w:r>
        <w:rPr>
          <w:rFonts w:ascii="华文楷体" w:hAnsi="华文楷体" w:eastAsia="华文楷体" w:cs="华文楷体"/>
          <w:sz w:val="21"/>
          <w:szCs w:val="21"/>
        </w:rPr>
        <w:br w:type="page"/>
      </w:r>
    </w:p>
    <w:p w14:paraId="30192BDA">
      <w:pPr>
        <w:overflowPunct w:val="0"/>
        <w:spacing w:line="480" w:lineRule="auto"/>
        <w:ind w:firstLine="420" w:firstLineChars="200"/>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rPr>
        <w:t>（此页无正文）</w:t>
      </w:r>
    </w:p>
    <w:p w14:paraId="50B40B9B">
      <w:pPr>
        <w:overflowPunct w:val="0"/>
        <w:spacing w:line="480" w:lineRule="auto"/>
        <w:jc w:val="both"/>
        <w:textAlignment w:val="auto"/>
        <w:rPr>
          <w:rFonts w:ascii="华文楷体" w:hAnsi="华文楷体" w:eastAsia="华文楷体" w:cs="华文楷体"/>
          <w:sz w:val="21"/>
          <w:szCs w:val="21"/>
        </w:rPr>
      </w:pPr>
    </w:p>
    <w:p w14:paraId="262E291A">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53EBA495">
      <w:pPr>
        <w:overflowPunct w:val="0"/>
        <w:spacing w:line="480" w:lineRule="auto"/>
        <w:ind w:firstLine="420" w:firstLineChars="200"/>
        <w:jc w:val="both"/>
        <w:textAlignment w:val="auto"/>
        <w:rPr>
          <w:rFonts w:ascii="Arial" w:hAnsi="Arial" w:cs="Arial"/>
          <w:sz w:val="21"/>
          <w:szCs w:val="21"/>
        </w:rPr>
      </w:pPr>
    </w:p>
    <w:p w14:paraId="1215D5AD">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737CB9D6">
        <w:tc>
          <w:tcPr>
            <w:tcW w:w="3402" w:type="dxa"/>
          </w:tcPr>
          <w:p w14:paraId="6AB316C0">
            <w:pPr>
              <w:spacing w:line="480" w:lineRule="auto"/>
              <w:rPr>
                <w:rFonts w:ascii="Arial" w:hAnsi="Arial" w:cs="Arial"/>
                <w:sz w:val="21"/>
                <w:szCs w:val="21"/>
              </w:rPr>
            </w:pPr>
            <w:r>
              <w:rPr>
                <w:rFonts w:ascii="Arial" w:hAnsi="Arial" w:cs="Arial"/>
                <w:sz w:val="21"/>
                <w:szCs w:val="21"/>
              </w:rPr>
              <w:t>北京康正宏基房地产评估有限公司</w:t>
            </w:r>
          </w:p>
        </w:tc>
      </w:tr>
      <w:tr w14:paraId="6F5FB449">
        <w:tblPrEx>
          <w:tblCellMar>
            <w:top w:w="0" w:type="dxa"/>
            <w:left w:w="108" w:type="dxa"/>
            <w:bottom w:w="0" w:type="dxa"/>
            <w:right w:w="108" w:type="dxa"/>
          </w:tblCellMar>
        </w:tblPrEx>
        <w:trPr>
          <w:trHeight w:val="1298" w:hRule="atLeast"/>
        </w:trPr>
        <w:tc>
          <w:tcPr>
            <w:tcW w:w="3402" w:type="dxa"/>
          </w:tcPr>
          <w:p w14:paraId="12F22AC6">
            <w:pPr>
              <w:spacing w:line="480" w:lineRule="auto"/>
              <w:rPr>
                <w:rFonts w:ascii="Arial" w:hAnsi="Arial" w:cs="Arial"/>
                <w:sz w:val="21"/>
                <w:szCs w:val="21"/>
              </w:rPr>
            </w:pPr>
            <w:r>
              <w:rPr>
                <w:rFonts w:ascii="Arial" w:hAnsi="Arial" w:cs="Arial"/>
                <w:sz w:val="21"/>
                <w:szCs w:val="21"/>
              </w:rPr>
              <w:t>法定代表人：</w:t>
            </w:r>
          </w:p>
        </w:tc>
      </w:tr>
      <w:tr w14:paraId="63FC4C20">
        <w:tblPrEx>
          <w:tblCellMar>
            <w:top w:w="0" w:type="dxa"/>
            <w:left w:w="108" w:type="dxa"/>
            <w:bottom w:w="0" w:type="dxa"/>
            <w:right w:w="108" w:type="dxa"/>
          </w:tblCellMar>
        </w:tblPrEx>
        <w:tc>
          <w:tcPr>
            <w:tcW w:w="3402" w:type="dxa"/>
          </w:tcPr>
          <w:p w14:paraId="459443DD">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四</w:t>
            </w:r>
            <w:r>
              <w:rPr>
                <w:rFonts w:ascii="Arial" w:hAnsi="Arial" w:cs="Arial"/>
                <w:sz w:val="21"/>
                <w:szCs w:val="21"/>
              </w:rPr>
              <w:t>月</w:t>
            </w:r>
            <w:r>
              <w:rPr>
                <w:rFonts w:hint="eastAsia" w:ascii="Arial" w:hAnsi="Arial" w:cs="Arial"/>
                <w:sz w:val="21"/>
                <w:szCs w:val="21"/>
              </w:rPr>
              <w:t>十六</w:t>
            </w:r>
            <w:r>
              <w:rPr>
                <w:rFonts w:ascii="Arial" w:hAnsi="Arial" w:cs="Arial"/>
                <w:sz w:val="21"/>
                <w:szCs w:val="21"/>
              </w:rPr>
              <w:t>日</w:t>
            </w:r>
          </w:p>
        </w:tc>
      </w:tr>
    </w:tbl>
    <w:p w14:paraId="61015578">
      <w:pPr>
        <w:spacing w:line="480" w:lineRule="auto"/>
        <w:rPr>
          <w:rFonts w:ascii="Arial" w:hAnsi="Arial" w:cs="Arial"/>
          <w:sz w:val="21"/>
          <w:szCs w:val="21"/>
        </w:rPr>
      </w:pPr>
    </w:p>
    <w:p w14:paraId="0B38C160">
      <w:pPr>
        <w:rPr>
          <w:rFonts w:ascii="Arial" w:hAnsi="Arial" w:cs="Arial"/>
          <w:sz w:val="21"/>
          <w:szCs w:val="21"/>
        </w:rPr>
      </w:pPr>
    </w:p>
    <w:p w14:paraId="1B5F3F1E">
      <w:pPr>
        <w:rPr>
          <w:rFonts w:ascii="Arial" w:hAnsi="Arial" w:cs="Arial"/>
          <w:sz w:val="21"/>
          <w:szCs w:val="21"/>
        </w:rPr>
      </w:pPr>
    </w:p>
    <w:p w14:paraId="30052110">
      <w:pPr>
        <w:rPr>
          <w:rFonts w:ascii="Arial" w:hAnsi="Arial" w:cs="Arial"/>
          <w:sz w:val="21"/>
          <w:szCs w:val="21"/>
        </w:rPr>
      </w:pPr>
    </w:p>
    <w:p w14:paraId="4FD2415F">
      <w:pPr>
        <w:rPr>
          <w:rFonts w:ascii="Arial" w:hAnsi="Arial" w:cs="Arial"/>
          <w:sz w:val="21"/>
          <w:szCs w:val="21"/>
        </w:rPr>
      </w:pPr>
    </w:p>
    <w:p w14:paraId="5022BC31">
      <w:pPr>
        <w:rPr>
          <w:rFonts w:ascii="Arial" w:hAnsi="Arial" w:cs="Arial"/>
          <w:sz w:val="21"/>
          <w:szCs w:val="21"/>
        </w:rPr>
      </w:pPr>
    </w:p>
    <w:p w14:paraId="5F9A861B">
      <w:pPr>
        <w:rPr>
          <w:rFonts w:ascii="Arial" w:hAnsi="Arial" w:cs="Arial"/>
          <w:sz w:val="21"/>
          <w:szCs w:val="21"/>
        </w:rPr>
      </w:pPr>
    </w:p>
    <w:p w14:paraId="46179FA3">
      <w:pPr>
        <w:rPr>
          <w:rFonts w:ascii="Arial" w:hAnsi="Arial" w:cs="Arial"/>
          <w:sz w:val="21"/>
          <w:szCs w:val="21"/>
        </w:rPr>
      </w:pPr>
    </w:p>
    <w:p w14:paraId="1354044A">
      <w:pPr>
        <w:rPr>
          <w:rFonts w:ascii="Arial" w:hAnsi="Arial" w:cs="Arial"/>
          <w:sz w:val="21"/>
          <w:szCs w:val="21"/>
        </w:rPr>
      </w:pPr>
    </w:p>
    <w:p w14:paraId="193536B8">
      <w:pPr>
        <w:rPr>
          <w:rFonts w:ascii="Arial" w:hAnsi="Arial" w:eastAsia="方正黑体简体" w:cs="Arial"/>
          <w:sz w:val="32"/>
          <w:szCs w:val="32"/>
        </w:rPr>
      </w:pPr>
      <w:r>
        <w:rPr>
          <w:rFonts w:hint="eastAsia" w:ascii="Arial" w:hAnsi="Arial" w:eastAsia="方正黑体简体" w:cs="Arial"/>
          <w:sz w:val="32"/>
          <w:szCs w:val="32"/>
        </w:rPr>
        <w:br w:type="page"/>
      </w:r>
    </w:p>
    <w:p w14:paraId="2980EE49">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52423E43">
      <w:pPr>
        <w:pStyle w:val="23"/>
        <w:rPr>
          <w:rFonts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525B5EB7">
      <w:pPr>
        <w:pStyle w:val="23"/>
        <w:rPr>
          <w:rFonts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164D6C2C">
      <w:pPr>
        <w:pStyle w:val="23"/>
        <w:rPr>
          <w:rFonts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333B97B8">
      <w:pPr>
        <w:pStyle w:val="23"/>
        <w:rPr>
          <w:rFonts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10384F7B">
      <w:pPr>
        <w:pStyle w:val="27"/>
        <w:rPr>
          <w:rFonts w:ascii="等线" w:hAnsi="等线" w:eastAsia="等线"/>
          <w:kern w:val="2"/>
          <w:sz w:val="21"/>
          <w:szCs w:val="21"/>
        </w:rPr>
      </w:pPr>
      <w:r>
        <w:fldChar w:fldCharType="begin"/>
      </w:r>
      <w:r>
        <w:instrText xml:space="preserve"> HYPERLINK \l "_Toc155267086" </w:instrText>
      </w:r>
      <w:r>
        <w:fldChar w:fldCharType="separate"/>
      </w:r>
      <w:r>
        <w:rPr>
          <w:rStyle w:val="39"/>
          <w:rFonts w:eastAsia="宋体"/>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11</w:t>
      </w:r>
      <w:r>
        <w:rPr>
          <w:sz w:val="21"/>
          <w:szCs w:val="21"/>
        </w:rPr>
        <w:fldChar w:fldCharType="end"/>
      </w:r>
      <w:r>
        <w:rPr>
          <w:sz w:val="21"/>
          <w:szCs w:val="21"/>
        </w:rPr>
        <w:fldChar w:fldCharType="end"/>
      </w:r>
    </w:p>
    <w:p w14:paraId="5B4DC8CB">
      <w:pPr>
        <w:pStyle w:val="27"/>
        <w:rPr>
          <w:rFonts w:ascii="等线" w:hAnsi="等线" w:eastAsia="等线"/>
          <w:kern w:val="2"/>
          <w:sz w:val="21"/>
          <w:szCs w:val="21"/>
        </w:rPr>
      </w:pPr>
      <w:r>
        <w:fldChar w:fldCharType="begin"/>
      </w:r>
      <w:r>
        <w:instrText xml:space="preserve"> HYPERLINK \l "_Toc155267087" </w:instrText>
      </w:r>
      <w:r>
        <w:fldChar w:fldCharType="separate"/>
      </w:r>
      <w:r>
        <w:rPr>
          <w:rStyle w:val="39"/>
          <w:rFonts w:eastAsia="宋体"/>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521D0CE8">
      <w:pPr>
        <w:pStyle w:val="27"/>
        <w:rPr>
          <w:rFonts w:ascii="等线" w:hAnsi="等线" w:eastAsia="等线"/>
          <w:kern w:val="2"/>
          <w:sz w:val="21"/>
          <w:szCs w:val="21"/>
        </w:rPr>
      </w:pPr>
      <w:r>
        <w:fldChar w:fldCharType="begin"/>
      </w:r>
      <w:r>
        <w:instrText xml:space="preserve"> HYPERLINK \l "_Toc155267088" </w:instrText>
      </w:r>
      <w:r>
        <w:fldChar w:fldCharType="separate"/>
      </w:r>
      <w:r>
        <w:rPr>
          <w:rStyle w:val="39"/>
          <w:rFonts w:eastAsia="宋体"/>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3F84EF1B">
      <w:pPr>
        <w:pStyle w:val="27"/>
        <w:rPr>
          <w:rFonts w:ascii="等线" w:hAnsi="等线" w:eastAsia="等线"/>
          <w:kern w:val="2"/>
          <w:sz w:val="21"/>
          <w:szCs w:val="21"/>
        </w:rPr>
      </w:pPr>
      <w:r>
        <w:fldChar w:fldCharType="begin"/>
      </w:r>
      <w:r>
        <w:instrText xml:space="preserve"> HYPERLINK \l "_Toc155267089" </w:instrText>
      </w:r>
      <w:r>
        <w:fldChar w:fldCharType="separate"/>
      </w:r>
      <w:r>
        <w:rPr>
          <w:rStyle w:val="39"/>
          <w:rFonts w:eastAsia="宋体"/>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69D5BBF1">
      <w:pPr>
        <w:pStyle w:val="27"/>
        <w:rPr>
          <w:rFonts w:ascii="等线" w:hAnsi="等线" w:eastAsia="等线"/>
          <w:kern w:val="2"/>
          <w:sz w:val="21"/>
          <w:szCs w:val="21"/>
        </w:rPr>
      </w:pPr>
      <w:r>
        <w:fldChar w:fldCharType="begin"/>
      </w:r>
      <w:r>
        <w:instrText xml:space="preserve"> HYPERLINK \l "_Toc155267090" </w:instrText>
      </w:r>
      <w:r>
        <w:fldChar w:fldCharType="separate"/>
      </w:r>
      <w:r>
        <w:rPr>
          <w:rStyle w:val="39"/>
          <w:rFonts w:eastAsia="宋体"/>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15</w:t>
      </w:r>
      <w:r>
        <w:rPr>
          <w:sz w:val="21"/>
          <w:szCs w:val="21"/>
        </w:rPr>
        <w:fldChar w:fldCharType="end"/>
      </w:r>
      <w:r>
        <w:rPr>
          <w:sz w:val="21"/>
          <w:szCs w:val="21"/>
        </w:rPr>
        <w:fldChar w:fldCharType="end"/>
      </w:r>
    </w:p>
    <w:p w14:paraId="47980449">
      <w:pPr>
        <w:pStyle w:val="27"/>
        <w:rPr>
          <w:rFonts w:ascii="等线" w:hAnsi="等线" w:eastAsia="等线"/>
          <w:kern w:val="2"/>
          <w:sz w:val="21"/>
          <w:szCs w:val="21"/>
        </w:rPr>
      </w:pPr>
      <w:r>
        <w:fldChar w:fldCharType="begin"/>
      </w:r>
      <w:r>
        <w:instrText xml:space="preserve"> HYPERLINK \l "_Toc155267091" </w:instrText>
      </w:r>
      <w:r>
        <w:fldChar w:fldCharType="separate"/>
      </w:r>
      <w:r>
        <w:rPr>
          <w:rStyle w:val="39"/>
          <w:rFonts w:eastAsia="宋体"/>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15</w:t>
      </w:r>
      <w:r>
        <w:rPr>
          <w:sz w:val="21"/>
          <w:szCs w:val="21"/>
        </w:rPr>
        <w:fldChar w:fldCharType="end"/>
      </w:r>
      <w:r>
        <w:rPr>
          <w:sz w:val="21"/>
          <w:szCs w:val="21"/>
        </w:rPr>
        <w:fldChar w:fldCharType="end"/>
      </w:r>
    </w:p>
    <w:p w14:paraId="2DE94866">
      <w:pPr>
        <w:pStyle w:val="27"/>
        <w:rPr>
          <w:rFonts w:ascii="等线" w:hAnsi="等线" w:eastAsia="等线"/>
          <w:kern w:val="2"/>
          <w:sz w:val="21"/>
          <w:szCs w:val="21"/>
        </w:rPr>
      </w:pPr>
      <w:r>
        <w:fldChar w:fldCharType="begin"/>
      </w:r>
      <w:r>
        <w:instrText xml:space="preserve"> HYPERLINK \l "_Toc155267092" </w:instrText>
      </w:r>
      <w:r>
        <w:fldChar w:fldCharType="separate"/>
      </w:r>
      <w:r>
        <w:rPr>
          <w:rStyle w:val="39"/>
          <w:rFonts w:eastAsia="宋体"/>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16</w:t>
      </w:r>
      <w:r>
        <w:rPr>
          <w:sz w:val="21"/>
          <w:szCs w:val="21"/>
        </w:rPr>
        <w:fldChar w:fldCharType="end"/>
      </w:r>
      <w:r>
        <w:rPr>
          <w:sz w:val="21"/>
          <w:szCs w:val="21"/>
        </w:rPr>
        <w:fldChar w:fldCharType="end"/>
      </w:r>
    </w:p>
    <w:p w14:paraId="698B4FC3">
      <w:pPr>
        <w:pStyle w:val="27"/>
        <w:rPr>
          <w:rFonts w:ascii="等线" w:hAnsi="等线" w:eastAsia="等线"/>
          <w:kern w:val="2"/>
          <w:sz w:val="21"/>
          <w:szCs w:val="21"/>
        </w:rPr>
      </w:pPr>
      <w:r>
        <w:fldChar w:fldCharType="begin"/>
      </w:r>
      <w:r>
        <w:instrText xml:space="preserve"> HYPERLINK \l "_Toc155267093" </w:instrText>
      </w:r>
      <w:r>
        <w:fldChar w:fldCharType="separate"/>
      </w:r>
      <w:r>
        <w:rPr>
          <w:rStyle w:val="39"/>
          <w:rFonts w:eastAsia="宋体"/>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17</w:t>
      </w:r>
      <w:r>
        <w:rPr>
          <w:sz w:val="21"/>
          <w:szCs w:val="21"/>
        </w:rPr>
        <w:fldChar w:fldCharType="end"/>
      </w:r>
      <w:r>
        <w:rPr>
          <w:sz w:val="21"/>
          <w:szCs w:val="21"/>
        </w:rPr>
        <w:fldChar w:fldCharType="end"/>
      </w:r>
    </w:p>
    <w:p w14:paraId="207FDC76">
      <w:pPr>
        <w:pStyle w:val="27"/>
        <w:rPr>
          <w:rFonts w:ascii="等线" w:hAnsi="等线" w:eastAsia="等线"/>
          <w:kern w:val="2"/>
          <w:sz w:val="21"/>
          <w:szCs w:val="21"/>
        </w:rPr>
      </w:pPr>
      <w:r>
        <w:fldChar w:fldCharType="begin"/>
      </w:r>
      <w:r>
        <w:instrText xml:space="preserve"> HYPERLINK \l "_Toc155267094" </w:instrText>
      </w:r>
      <w:r>
        <w:fldChar w:fldCharType="separate"/>
      </w:r>
      <w:r>
        <w:rPr>
          <w:rStyle w:val="39"/>
          <w:rFonts w:eastAsia="宋体"/>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19</w:t>
      </w:r>
      <w:r>
        <w:rPr>
          <w:sz w:val="21"/>
          <w:szCs w:val="21"/>
        </w:rPr>
        <w:fldChar w:fldCharType="end"/>
      </w:r>
      <w:r>
        <w:rPr>
          <w:sz w:val="21"/>
          <w:szCs w:val="21"/>
        </w:rPr>
        <w:fldChar w:fldCharType="end"/>
      </w:r>
    </w:p>
    <w:p w14:paraId="64394E91">
      <w:pPr>
        <w:pStyle w:val="27"/>
        <w:rPr>
          <w:rFonts w:ascii="等线" w:hAnsi="等线" w:eastAsia="等线"/>
          <w:kern w:val="2"/>
          <w:sz w:val="21"/>
          <w:szCs w:val="21"/>
        </w:rPr>
      </w:pPr>
      <w:r>
        <w:fldChar w:fldCharType="begin"/>
      </w:r>
      <w:r>
        <w:instrText xml:space="preserve"> HYPERLINK \l "_Toc155267095" </w:instrText>
      </w:r>
      <w:r>
        <w:fldChar w:fldCharType="separate"/>
      </w:r>
      <w:r>
        <w:rPr>
          <w:rStyle w:val="39"/>
          <w:rFonts w:eastAsia="宋体"/>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21</w:t>
      </w:r>
      <w:r>
        <w:rPr>
          <w:sz w:val="21"/>
          <w:szCs w:val="21"/>
        </w:rPr>
        <w:fldChar w:fldCharType="end"/>
      </w:r>
      <w:r>
        <w:rPr>
          <w:sz w:val="21"/>
          <w:szCs w:val="21"/>
        </w:rPr>
        <w:fldChar w:fldCharType="end"/>
      </w:r>
    </w:p>
    <w:p w14:paraId="0587F742">
      <w:pPr>
        <w:pStyle w:val="27"/>
        <w:rPr>
          <w:rFonts w:ascii="等线" w:hAnsi="等线" w:eastAsia="等线"/>
          <w:kern w:val="2"/>
          <w:sz w:val="21"/>
          <w:szCs w:val="21"/>
        </w:rPr>
      </w:pPr>
      <w:r>
        <w:fldChar w:fldCharType="begin"/>
      </w:r>
      <w:r>
        <w:instrText xml:space="preserve"> HYPERLINK \l "_Toc155267096" </w:instrText>
      </w:r>
      <w:r>
        <w:fldChar w:fldCharType="separate"/>
      </w:r>
      <w:r>
        <w:rPr>
          <w:rStyle w:val="39"/>
          <w:rFonts w:eastAsia="宋体"/>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22</w:t>
      </w:r>
      <w:r>
        <w:rPr>
          <w:sz w:val="21"/>
          <w:szCs w:val="21"/>
        </w:rPr>
        <w:fldChar w:fldCharType="end"/>
      </w:r>
      <w:r>
        <w:rPr>
          <w:sz w:val="21"/>
          <w:szCs w:val="21"/>
        </w:rPr>
        <w:fldChar w:fldCharType="end"/>
      </w:r>
    </w:p>
    <w:p w14:paraId="4C2545A4">
      <w:pPr>
        <w:pStyle w:val="27"/>
        <w:rPr>
          <w:rFonts w:ascii="等线" w:hAnsi="等线" w:eastAsia="等线"/>
          <w:kern w:val="2"/>
          <w:sz w:val="21"/>
          <w:szCs w:val="21"/>
        </w:rPr>
      </w:pPr>
      <w:r>
        <w:fldChar w:fldCharType="begin"/>
      </w:r>
      <w:r>
        <w:instrText xml:space="preserve"> HYPERLINK \l "_Toc155267097" </w:instrText>
      </w:r>
      <w:r>
        <w:fldChar w:fldCharType="separate"/>
      </w:r>
      <w:r>
        <w:rPr>
          <w:rStyle w:val="39"/>
          <w:rFonts w:eastAsia="宋体"/>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22</w:t>
      </w:r>
      <w:r>
        <w:rPr>
          <w:sz w:val="21"/>
          <w:szCs w:val="21"/>
        </w:rPr>
        <w:fldChar w:fldCharType="end"/>
      </w:r>
      <w:r>
        <w:rPr>
          <w:sz w:val="21"/>
          <w:szCs w:val="21"/>
        </w:rPr>
        <w:fldChar w:fldCharType="end"/>
      </w:r>
    </w:p>
    <w:p w14:paraId="4CED73ED">
      <w:pPr>
        <w:pStyle w:val="27"/>
        <w:rPr>
          <w:rFonts w:ascii="等线" w:hAnsi="等线" w:eastAsia="等线"/>
          <w:kern w:val="2"/>
          <w:sz w:val="21"/>
          <w:szCs w:val="21"/>
        </w:rPr>
      </w:pPr>
      <w:r>
        <w:fldChar w:fldCharType="begin"/>
      </w:r>
      <w:r>
        <w:instrText xml:space="preserve"> HYPERLINK \l "_Toc155267098" </w:instrText>
      </w:r>
      <w:r>
        <w:fldChar w:fldCharType="separate"/>
      </w:r>
      <w:r>
        <w:rPr>
          <w:rStyle w:val="39"/>
          <w:rFonts w:eastAsia="宋体"/>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22</w:t>
      </w:r>
      <w:r>
        <w:rPr>
          <w:sz w:val="21"/>
          <w:szCs w:val="21"/>
        </w:rPr>
        <w:fldChar w:fldCharType="end"/>
      </w:r>
      <w:r>
        <w:rPr>
          <w:sz w:val="21"/>
          <w:szCs w:val="21"/>
        </w:rPr>
        <w:fldChar w:fldCharType="end"/>
      </w:r>
    </w:p>
    <w:p w14:paraId="4C8532A6">
      <w:pPr>
        <w:pStyle w:val="23"/>
        <w:rPr>
          <w:rFonts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23</w:t>
      </w:r>
      <w:r>
        <w:rPr>
          <w:sz w:val="24"/>
          <w:szCs w:val="24"/>
        </w:rPr>
        <w:fldChar w:fldCharType="end"/>
      </w:r>
      <w:r>
        <w:rPr>
          <w:sz w:val="24"/>
          <w:szCs w:val="24"/>
        </w:rPr>
        <w:fldChar w:fldCharType="end"/>
      </w:r>
    </w:p>
    <w:p w14:paraId="2CF4E532">
      <w:pPr>
        <w:pStyle w:val="27"/>
        <w:rPr>
          <w:rFonts w:ascii="等线" w:hAnsi="等线" w:eastAsia="等线"/>
          <w:kern w:val="2"/>
          <w:sz w:val="21"/>
          <w:szCs w:val="21"/>
        </w:rPr>
      </w:pPr>
      <w:r>
        <w:fldChar w:fldCharType="begin"/>
      </w:r>
      <w:r>
        <w:instrText xml:space="preserve"> HYPERLINK \l "_Toc155267100" </w:instrText>
      </w:r>
      <w:r>
        <w:fldChar w:fldCharType="separate"/>
      </w:r>
      <w:r>
        <w:rPr>
          <w:rStyle w:val="39"/>
          <w:rFonts w:eastAsia="宋体"/>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23</w:t>
      </w:r>
      <w:r>
        <w:rPr>
          <w:sz w:val="21"/>
          <w:szCs w:val="21"/>
        </w:rPr>
        <w:fldChar w:fldCharType="end"/>
      </w:r>
      <w:r>
        <w:rPr>
          <w:sz w:val="21"/>
          <w:szCs w:val="21"/>
        </w:rPr>
        <w:fldChar w:fldCharType="end"/>
      </w:r>
    </w:p>
    <w:p w14:paraId="4A096F4D">
      <w:pPr>
        <w:pStyle w:val="27"/>
        <w:rPr>
          <w:rFonts w:ascii="等线" w:hAnsi="等线" w:eastAsia="等线"/>
          <w:kern w:val="2"/>
          <w:sz w:val="21"/>
          <w:szCs w:val="21"/>
        </w:rPr>
      </w:pPr>
      <w:r>
        <w:fldChar w:fldCharType="begin"/>
      </w:r>
      <w:r>
        <w:instrText xml:space="preserve"> HYPERLINK \l "_Toc155267101" </w:instrText>
      </w:r>
      <w:r>
        <w:fldChar w:fldCharType="separate"/>
      </w:r>
      <w:r>
        <w:rPr>
          <w:rStyle w:val="39"/>
          <w:rFonts w:eastAsia="宋体"/>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23</w:t>
      </w:r>
      <w:r>
        <w:rPr>
          <w:sz w:val="21"/>
          <w:szCs w:val="21"/>
        </w:rPr>
        <w:fldChar w:fldCharType="end"/>
      </w:r>
      <w:r>
        <w:rPr>
          <w:sz w:val="21"/>
          <w:szCs w:val="21"/>
        </w:rPr>
        <w:fldChar w:fldCharType="end"/>
      </w:r>
    </w:p>
    <w:p w14:paraId="66FFC964">
      <w:pPr>
        <w:pStyle w:val="27"/>
        <w:rPr>
          <w:rFonts w:ascii="等线" w:hAnsi="等线" w:eastAsia="等线"/>
          <w:kern w:val="2"/>
          <w:sz w:val="21"/>
          <w:szCs w:val="21"/>
        </w:rPr>
      </w:pPr>
      <w:r>
        <w:fldChar w:fldCharType="begin"/>
      </w:r>
      <w:r>
        <w:instrText xml:space="preserve"> HYPERLINK \l "_Toc155267102" </w:instrText>
      </w:r>
      <w:r>
        <w:fldChar w:fldCharType="separate"/>
      </w:r>
      <w:r>
        <w:rPr>
          <w:rStyle w:val="39"/>
          <w:rFonts w:eastAsia="宋体"/>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24</w:t>
      </w:r>
      <w:r>
        <w:rPr>
          <w:sz w:val="21"/>
          <w:szCs w:val="21"/>
        </w:rPr>
        <w:fldChar w:fldCharType="end"/>
      </w:r>
      <w:r>
        <w:rPr>
          <w:sz w:val="21"/>
          <w:szCs w:val="21"/>
        </w:rPr>
        <w:fldChar w:fldCharType="end"/>
      </w:r>
    </w:p>
    <w:p w14:paraId="7DDDFB28">
      <w:pPr>
        <w:pStyle w:val="27"/>
        <w:rPr>
          <w:rFonts w:ascii="等线" w:hAnsi="等线" w:eastAsia="等线"/>
          <w:kern w:val="2"/>
          <w:sz w:val="21"/>
          <w:szCs w:val="21"/>
        </w:rPr>
      </w:pPr>
      <w:r>
        <w:fldChar w:fldCharType="begin"/>
      </w:r>
      <w:r>
        <w:instrText xml:space="preserve"> HYPERLINK \l "_Toc155267103" </w:instrText>
      </w:r>
      <w:r>
        <w:fldChar w:fldCharType="separate"/>
      </w:r>
      <w:r>
        <w:rPr>
          <w:rStyle w:val="39"/>
          <w:rFonts w:eastAsia="宋体"/>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26</w:t>
      </w:r>
      <w:r>
        <w:rPr>
          <w:sz w:val="21"/>
          <w:szCs w:val="21"/>
        </w:rPr>
        <w:fldChar w:fldCharType="end"/>
      </w:r>
      <w:r>
        <w:rPr>
          <w:sz w:val="21"/>
          <w:szCs w:val="21"/>
        </w:rPr>
        <w:fldChar w:fldCharType="end"/>
      </w:r>
    </w:p>
    <w:p w14:paraId="47F93B12">
      <w:pPr>
        <w:pStyle w:val="27"/>
        <w:rPr>
          <w:rFonts w:ascii="等线" w:hAnsi="等线" w:eastAsia="等线"/>
          <w:kern w:val="2"/>
          <w:sz w:val="21"/>
          <w:szCs w:val="21"/>
        </w:rPr>
      </w:pPr>
      <w:r>
        <w:fldChar w:fldCharType="begin"/>
      </w:r>
      <w:r>
        <w:instrText xml:space="preserve"> HYPERLINK \l "_Toc155267104" </w:instrText>
      </w:r>
      <w:r>
        <w:fldChar w:fldCharType="separate"/>
      </w:r>
      <w:r>
        <w:rPr>
          <w:rStyle w:val="39"/>
          <w:rFonts w:eastAsia="宋体"/>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26</w:t>
      </w:r>
      <w:r>
        <w:rPr>
          <w:sz w:val="21"/>
          <w:szCs w:val="21"/>
        </w:rPr>
        <w:fldChar w:fldCharType="end"/>
      </w:r>
      <w:r>
        <w:rPr>
          <w:sz w:val="21"/>
          <w:szCs w:val="21"/>
        </w:rPr>
        <w:fldChar w:fldCharType="end"/>
      </w:r>
    </w:p>
    <w:p w14:paraId="3F5C0006">
      <w:pPr>
        <w:pStyle w:val="27"/>
        <w:rPr>
          <w:rFonts w:ascii="等线" w:hAnsi="等线" w:eastAsia="等线"/>
          <w:kern w:val="2"/>
          <w:sz w:val="21"/>
          <w:szCs w:val="21"/>
        </w:rPr>
      </w:pPr>
      <w:r>
        <w:fldChar w:fldCharType="begin"/>
      </w:r>
      <w:r>
        <w:instrText xml:space="preserve"> HYPERLINK \l "_Toc155267105" </w:instrText>
      </w:r>
      <w:r>
        <w:fldChar w:fldCharType="separate"/>
      </w:r>
      <w:r>
        <w:rPr>
          <w:rStyle w:val="39"/>
          <w:rFonts w:eastAsia="宋体"/>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45</w:t>
      </w:r>
      <w:r>
        <w:rPr>
          <w:sz w:val="21"/>
          <w:szCs w:val="21"/>
        </w:rPr>
        <w:fldChar w:fldCharType="end"/>
      </w:r>
      <w:r>
        <w:rPr>
          <w:sz w:val="21"/>
          <w:szCs w:val="21"/>
        </w:rPr>
        <w:fldChar w:fldCharType="end"/>
      </w:r>
    </w:p>
    <w:p w14:paraId="4779C1E4">
      <w:pPr>
        <w:pStyle w:val="27"/>
        <w:rPr>
          <w:rFonts w:ascii="等线" w:hAnsi="等线" w:eastAsia="等线"/>
          <w:kern w:val="2"/>
          <w:sz w:val="21"/>
          <w:szCs w:val="21"/>
        </w:rPr>
      </w:pPr>
      <w:r>
        <w:fldChar w:fldCharType="begin"/>
      </w:r>
      <w:r>
        <w:instrText xml:space="preserve"> HYPERLINK \l "_Toc155267106" </w:instrText>
      </w:r>
      <w:r>
        <w:fldChar w:fldCharType="separate"/>
      </w:r>
      <w:r>
        <w:rPr>
          <w:rStyle w:val="39"/>
          <w:rFonts w:eastAsia="宋体"/>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47</w:t>
      </w:r>
      <w:r>
        <w:rPr>
          <w:sz w:val="21"/>
          <w:szCs w:val="21"/>
        </w:rPr>
        <w:fldChar w:fldCharType="end"/>
      </w:r>
      <w:r>
        <w:rPr>
          <w:sz w:val="21"/>
          <w:szCs w:val="21"/>
        </w:rPr>
        <w:fldChar w:fldCharType="end"/>
      </w:r>
    </w:p>
    <w:p w14:paraId="25102E42">
      <w:pPr>
        <w:pStyle w:val="27"/>
        <w:rPr>
          <w:rFonts w:ascii="等线" w:hAnsi="等线" w:eastAsia="等线"/>
          <w:kern w:val="2"/>
          <w:sz w:val="21"/>
          <w:szCs w:val="21"/>
        </w:rPr>
      </w:pPr>
      <w:r>
        <w:fldChar w:fldCharType="begin"/>
      </w:r>
      <w:r>
        <w:instrText xml:space="preserve"> HYPERLINK \l "_Toc155267107" </w:instrText>
      </w:r>
      <w:r>
        <w:fldChar w:fldCharType="separate"/>
      </w:r>
      <w:r>
        <w:rPr>
          <w:rStyle w:val="39"/>
          <w:rFonts w:eastAsia="宋体"/>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50</w:t>
      </w:r>
      <w:r>
        <w:rPr>
          <w:sz w:val="21"/>
          <w:szCs w:val="21"/>
        </w:rPr>
        <w:fldChar w:fldCharType="end"/>
      </w:r>
      <w:r>
        <w:rPr>
          <w:sz w:val="21"/>
          <w:szCs w:val="21"/>
        </w:rPr>
        <w:fldChar w:fldCharType="end"/>
      </w:r>
    </w:p>
    <w:p w14:paraId="78CB5910">
      <w:pPr>
        <w:pStyle w:val="27"/>
        <w:rPr>
          <w:rFonts w:ascii="等线" w:hAnsi="等线" w:eastAsia="等线"/>
          <w:kern w:val="2"/>
          <w:sz w:val="21"/>
          <w:szCs w:val="21"/>
        </w:rPr>
      </w:pPr>
      <w:r>
        <w:fldChar w:fldCharType="begin"/>
      </w:r>
      <w:r>
        <w:instrText xml:space="preserve"> HYPERLINK \l "_Toc155267108" </w:instrText>
      </w:r>
      <w:r>
        <w:fldChar w:fldCharType="separate"/>
      </w:r>
      <w:r>
        <w:rPr>
          <w:rStyle w:val="39"/>
          <w:rFonts w:eastAsia="宋体"/>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78</w:t>
      </w:r>
      <w:r>
        <w:rPr>
          <w:sz w:val="21"/>
          <w:szCs w:val="21"/>
        </w:rPr>
        <w:fldChar w:fldCharType="end"/>
      </w:r>
      <w:r>
        <w:rPr>
          <w:sz w:val="21"/>
          <w:szCs w:val="21"/>
        </w:rPr>
        <w:fldChar w:fldCharType="end"/>
      </w:r>
    </w:p>
    <w:p w14:paraId="2C24B8C5">
      <w:pPr>
        <w:pStyle w:val="23"/>
        <w:rPr>
          <w:rFonts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79</w:t>
      </w:r>
      <w:r>
        <w:rPr>
          <w:sz w:val="24"/>
          <w:szCs w:val="24"/>
        </w:rPr>
        <w:fldChar w:fldCharType="end"/>
      </w:r>
      <w:r>
        <w:rPr>
          <w:sz w:val="24"/>
          <w:szCs w:val="24"/>
        </w:rPr>
        <w:fldChar w:fldCharType="end"/>
      </w:r>
    </w:p>
    <w:p w14:paraId="17D11E15">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4C7BCE2A">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44A1067C">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7082AC18">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601107E2">
      <w:pPr>
        <w:numPr>
          <w:ilvl w:val="0"/>
          <w:numId w:val="5"/>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086849FD">
      <w:pPr>
        <w:numPr>
          <w:ilvl w:val="0"/>
          <w:numId w:val="5"/>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23EB1D11">
      <w:pPr>
        <w:numPr>
          <w:ilvl w:val="0"/>
          <w:numId w:val="5"/>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0DC6EAD2">
      <w:pPr>
        <w:numPr>
          <w:ilvl w:val="0"/>
          <w:numId w:val="5"/>
        </w:numPr>
        <w:spacing w:line="360" w:lineRule="auto"/>
        <w:jc w:val="both"/>
        <w:rPr>
          <w:rFonts w:ascii="Arial" w:hAnsi="Arial" w:cs="Arial"/>
          <w:sz w:val="21"/>
          <w:szCs w:val="21"/>
        </w:rPr>
      </w:pPr>
      <w:r>
        <w:rPr>
          <w:rFonts w:hint="eastAsia" w:ascii="Arial" w:hAnsi="Arial" w:cs="Arial"/>
          <w:sz w:val="21"/>
          <w:szCs w:val="21"/>
        </w:rPr>
        <w:t>《不动产权证书》[京（2026）大不动产权第0006771、0006774、0006887、0006889、0006899、0006906、0006914、0006922、0006926、0006949、0006958、0006963、0006949号]部分复印件</w:t>
      </w:r>
    </w:p>
    <w:p w14:paraId="232B455F">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4E110123">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7D657B52">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3938F04D">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58678905">
      <w:pPr>
        <w:spacing w:line="240" w:lineRule="auto"/>
        <w:jc w:val="both"/>
        <w:outlineLvl w:val="0"/>
        <w:rPr>
          <w:rFonts w:ascii="Arial" w:hAnsi="Arial" w:eastAsia="楷体_GB2312" w:cs="Arial"/>
          <w:i/>
          <w:kern w:val="2"/>
          <w:sz w:val="28"/>
          <w:szCs w:val="28"/>
        </w:rPr>
        <w:sectPr>
          <w:headerReference r:id="rId14" w:type="first"/>
          <w:headerReference r:id="rId12" w:type="default"/>
          <w:headerReference r:id="rId13" w:type="even"/>
          <w:pgSz w:w="11907" w:h="16840"/>
          <w:pgMar w:top="1843" w:right="1134" w:bottom="1134" w:left="1134" w:header="1134" w:footer="907" w:gutter="340"/>
          <w:cols w:space="720" w:num="1"/>
          <w:docGrid w:linePitch="326" w:charSpace="0"/>
        </w:sectPr>
      </w:pPr>
    </w:p>
    <w:p w14:paraId="170076DC">
      <w:pPr>
        <w:pStyle w:val="2"/>
        <w:spacing w:line="480" w:lineRule="auto"/>
        <w:jc w:val="center"/>
        <w:rPr>
          <w:rFonts w:eastAsia="方正黑体简体"/>
          <w:b w:val="0"/>
          <w:kern w:val="2"/>
          <w:sz w:val="32"/>
          <w:szCs w:val="32"/>
        </w:rPr>
      </w:pPr>
      <w:bookmarkStart w:id="5" w:name="_Toc379795041"/>
      <w:bookmarkStart w:id="6" w:name="_Toc155267083"/>
      <w:r>
        <w:rPr>
          <w:rFonts w:hint="eastAsia" w:eastAsia="方正黑体简体"/>
          <w:b w:val="0"/>
          <w:kern w:val="2"/>
          <w:sz w:val="32"/>
          <w:szCs w:val="32"/>
        </w:rPr>
        <w:t>估价师声明</w:t>
      </w:r>
      <w:bookmarkEnd w:id="5"/>
      <w:bookmarkEnd w:id="6"/>
    </w:p>
    <w:p w14:paraId="07DC9AEF">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35308177">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20E38661">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3A6EA0A">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456D6151">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103B388B">
      <w:pPr>
        <w:rPr>
          <w:rFonts w:ascii="Arial" w:hAnsi="Arial" w:eastAsia="楷体_GB2312" w:cs="Arial"/>
          <w:kern w:val="2"/>
          <w:sz w:val="28"/>
        </w:rPr>
        <w:sectPr>
          <w:headerReference r:id="rId17" w:type="first"/>
          <w:footerReference r:id="rId18" w:type="first"/>
          <w:headerReference r:id="rId15" w:type="default"/>
          <w:headerReference r:id="rId16" w:type="even"/>
          <w:pgSz w:w="11907" w:h="16840"/>
          <w:pgMar w:top="1843" w:right="1134" w:bottom="1134" w:left="1134" w:header="1134" w:footer="907" w:gutter="340"/>
          <w:cols w:space="720" w:num="1"/>
          <w:docGrid w:linePitch="326" w:charSpace="0"/>
        </w:sectPr>
      </w:pPr>
    </w:p>
    <w:p w14:paraId="4AF4F759">
      <w:pPr>
        <w:pStyle w:val="2"/>
        <w:spacing w:line="480" w:lineRule="auto"/>
        <w:jc w:val="center"/>
        <w:rPr>
          <w:rFonts w:eastAsia="方正黑体简体"/>
          <w:b w:val="0"/>
          <w:kern w:val="2"/>
          <w:sz w:val="32"/>
          <w:szCs w:val="32"/>
        </w:rPr>
      </w:pPr>
      <w:bookmarkStart w:id="10" w:name="_Toc155267084"/>
      <w:bookmarkStart w:id="11" w:name="_Toc379795042"/>
      <w:r>
        <w:rPr>
          <w:rFonts w:hint="eastAsia" w:eastAsia="方正黑体简体"/>
          <w:b w:val="0"/>
          <w:kern w:val="2"/>
          <w:sz w:val="32"/>
          <w:szCs w:val="32"/>
        </w:rPr>
        <w:t>估价假设和限制条件</w:t>
      </w:r>
      <w:bookmarkEnd w:id="10"/>
      <w:bookmarkEnd w:id="11"/>
    </w:p>
    <w:p w14:paraId="32C1FCC8">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570B4A43">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672CE2B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4002D31C">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4769B555">
      <w:pPr>
        <w:spacing w:line="480" w:lineRule="auto"/>
        <w:ind w:firstLine="420" w:firstLineChars="200"/>
        <w:jc w:val="both"/>
        <w:rPr>
          <w:rFonts w:ascii="Arial" w:hAnsi="Arial" w:cs="Arial"/>
          <w:kern w:val="2"/>
          <w:sz w:val="21"/>
          <w:szCs w:val="21"/>
        </w:rPr>
      </w:pPr>
      <w:r>
        <w:rPr>
          <w:rFonts w:ascii="Arial" w:hAnsi="Arial" w:cs="Arial"/>
          <w:kern w:val="2"/>
          <w:sz w:val="21"/>
          <w:szCs w:val="21"/>
        </w:rPr>
        <w:t>4. 评估专业人员已对估价委托人所提供的、本估价报告所依据的估价对象的</w:t>
      </w:r>
      <w:r>
        <w:rPr>
          <w:rFonts w:hint="eastAsia" w:ascii="Arial" w:hAnsi="Arial" w:cs="Arial"/>
          <w:kern w:val="2"/>
          <w:sz w:val="21"/>
          <w:szCs w:val="21"/>
        </w:rPr>
        <w:t>权属、面积、用途等</w:t>
      </w:r>
      <w:r>
        <w:rPr>
          <w:rFonts w:ascii="Arial" w:hAnsi="Arial" w:cs="Arial"/>
          <w:kern w:val="2"/>
          <w:sz w:val="21"/>
          <w:szCs w:val="21"/>
        </w:rPr>
        <w:t>资料进行了检查，无理由怀疑其合法性、真实性、准确性和完整性。本次评估设定估价委托人提供的资料合法、</w:t>
      </w:r>
      <w:r>
        <w:rPr>
          <w:rFonts w:hint="eastAsia" w:ascii="Arial" w:hAnsi="Arial" w:cs="Arial"/>
          <w:kern w:val="2"/>
          <w:sz w:val="21"/>
          <w:szCs w:val="21"/>
        </w:rPr>
        <w:t>真实、准确、完整</w:t>
      </w:r>
      <w:r>
        <w:rPr>
          <w:rFonts w:ascii="Arial" w:hAnsi="Arial" w:cs="Arial"/>
          <w:kern w:val="2"/>
          <w:sz w:val="21"/>
          <w:szCs w:val="21"/>
        </w:rPr>
        <w:t>，并且提供了与本次评估有关的所有资料，没有保留及隐瞒。</w:t>
      </w:r>
    </w:p>
    <w:p w14:paraId="3D5E67C1">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.本次估价结果是在满足全部假设与限制条件下，于价值时点2026年4月7日，</w:t>
      </w:r>
      <w:r>
        <w:rPr>
          <w:rFonts w:hint="eastAsia" w:ascii="Arial" w:hAnsi="Arial" w:cs="Arial"/>
          <w:sz w:val="21"/>
          <w:szCs w:val="21"/>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69BF23D6">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《北京市保障性住房收购合同》及其附件、《不动产权证书》[京（2026）大不动产权第0006771、0006774、0006887、0006889、0006899、0006906、0006914、0006922、0006926、0006949、0006958、0006963、0006949号]部分复印件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64CEC8F1">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BFFBD95">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4D18FCE2">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52AA3867">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67429A2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.根据估价目的，本次估价未考虑抵押、租赁、地役、查封等影响，故设定估价对象于价值时点不存在抵押、租赁、地役、查封等限制。</w:t>
      </w:r>
    </w:p>
    <w:p w14:paraId="01201EF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484F9815">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308A2EA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402BA2F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6518AF35">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7F06624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根据</w:t>
      </w:r>
      <w:r>
        <w:rPr>
          <w:rFonts w:hint="eastAsia" w:ascii="Arial" w:hAnsi="Arial" w:cs="Arial"/>
          <w:sz w:val="21"/>
          <w:szCs w:val="21"/>
        </w:rPr>
        <w:t>《不动产权证书》[京（2026）大不动产权第0006771、0006774、0006887、0006889、0006899、0006906、0006914、0006922、0006926、0006949、0006958、0006963、0006949号]部分，估价对象大兴区鼎创路23号院1号楼1层一单元103等100套住宅用房，证载权利类型为国有建设用地使用权/房屋所有权，权利性质为划拨/按经济使用住房管理</w:t>
      </w:r>
      <w:r>
        <w:rPr>
          <w:rFonts w:hint="eastAsia" w:ascii="Arial" w:hAnsi="Arial" w:cs="Arial"/>
          <w:kern w:val="2"/>
          <w:sz w:val="21"/>
          <w:szCs w:val="21"/>
        </w:rPr>
        <w:t>。另根据</w:t>
      </w:r>
      <w:r>
        <w:rPr>
          <w:rFonts w:hint="eastAsia" w:ascii="Arial" w:hAnsi="Arial" w:cs="Arial"/>
          <w:sz w:val="21"/>
          <w:szCs w:val="21"/>
        </w:rPr>
        <w:t>《北京市燕兴保障性住房建设投资有限公司 关于保留原房屋产权性质的请示》[燕兴建投文（2026）08号]、《北京市规划和自然资源委员会 大兴分局关于燕兴保障房公司保留原房屋产权性质有关意见的报告》[京规自兴文（2026）91号]，明确在办理收购区住建委及区住保中心名下14个项目过程中保留原房屋产权性质，区住建委名下按经济适用住房管理的项目转移登记免缴土地出让金。现将估价对象大兴区鼎创路23号院1号楼1层一单元103等100套住宅用房收购作为保障性租赁住房（住宅型）使用，在此提请报告使用者注意。</w:t>
      </w:r>
    </w:p>
    <w:p w14:paraId="32F58926">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109B4FBF">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无。</w:t>
      </w:r>
    </w:p>
    <w:p w14:paraId="314F1D2B">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431EB8B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0CA1F46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3C296FF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1CB9A6E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1943F68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为有关单位合理确定保障性租赁住房项目租金提供参考依据</w:t>
      </w:r>
      <w:r>
        <w:rPr>
          <w:rFonts w:ascii="Arial" w:hAnsi="Arial" w:cs="Arial"/>
          <w:kern w:val="2"/>
          <w:sz w:val="21"/>
          <w:szCs w:val="21"/>
        </w:rPr>
        <w:t>，不做其他评估目的之用。如果估价对象的评估条件或目的发生变化，需重新进行评估。</w:t>
      </w:r>
    </w:p>
    <w:p w14:paraId="5F549ADD">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4BC5EE9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0360178B">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873D171">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2E369A64">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7FCDCCF6">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5BDDEEC9">
      <w:pPr>
        <w:spacing w:line="480" w:lineRule="auto"/>
        <w:ind w:firstLine="420" w:firstLineChars="200"/>
        <w:jc w:val="both"/>
        <w:rPr>
          <w:rFonts w:ascii="Arial" w:hAnsi="Arial" w:cs="Arial"/>
          <w:sz w:val="21"/>
          <w:szCs w:val="21"/>
        </w:rPr>
      </w:pPr>
      <w:r>
        <w:rPr>
          <w:rFonts w:hint="eastAsia" w:ascii="Arial" w:hAnsi="Arial" w:cs="Arial"/>
          <w:kern w:val="2"/>
          <w:sz w:val="21"/>
          <w:szCs w:val="21"/>
        </w:rPr>
        <w:t>12</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4</w:t>
      </w:r>
      <w:r>
        <w:rPr>
          <w:rFonts w:ascii="Arial" w:hAnsi="Arial" w:cs="Arial"/>
          <w:kern w:val="2"/>
          <w:sz w:val="21"/>
          <w:szCs w:val="21"/>
        </w:rPr>
        <w:t>月</w:t>
      </w:r>
      <w:r>
        <w:rPr>
          <w:rFonts w:hint="eastAsia" w:ascii="Arial" w:hAnsi="Arial" w:cs="Arial"/>
          <w:kern w:val="2"/>
          <w:sz w:val="21"/>
          <w:szCs w:val="21"/>
        </w:rPr>
        <w:t>16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7年4月15日有效</w:t>
      </w:r>
      <w:r>
        <w:rPr>
          <w:rFonts w:ascii="Arial" w:hAnsi="Arial" w:cs="Arial"/>
          <w:kern w:val="2"/>
          <w:sz w:val="21"/>
          <w:szCs w:val="21"/>
        </w:rPr>
        <w:t>。</w:t>
      </w:r>
    </w:p>
    <w:bookmarkEnd w:id="7"/>
    <w:p w14:paraId="6C1E8928">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6A80B233">
      <w:pPr>
        <w:pStyle w:val="2"/>
        <w:spacing w:line="360" w:lineRule="auto"/>
        <w:jc w:val="center"/>
        <w:rPr>
          <w:rFonts w:eastAsia="方正黑体简体"/>
          <w:b w:val="0"/>
          <w:kern w:val="2"/>
          <w:sz w:val="32"/>
          <w:szCs w:val="32"/>
        </w:rPr>
      </w:pPr>
      <w:bookmarkStart w:id="15" w:name="_Toc155267085"/>
      <w:bookmarkStart w:id="16" w:name="_Toc168225812"/>
      <w:r>
        <w:rPr>
          <w:rFonts w:hint="eastAsia" w:eastAsia="方正黑体简体"/>
          <w:b w:val="0"/>
          <w:kern w:val="2"/>
          <w:sz w:val="32"/>
          <w:szCs w:val="32"/>
        </w:rPr>
        <w:t>估价结果报告</w:t>
      </w:r>
      <w:bookmarkEnd w:id="15"/>
      <w:bookmarkEnd w:id="16"/>
    </w:p>
    <w:p w14:paraId="6641334E">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、估价委托人</w:t>
      </w:r>
      <w:bookmarkEnd w:id="18"/>
    </w:p>
    <w:p w14:paraId="42CD180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单位名称：</w:t>
      </w:r>
      <w:r>
        <w:rPr>
          <w:rFonts w:hint="eastAsia" w:ascii="Arial" w:hAnsi="Arial" w:cs="Arial"/>
          <w:sz w:val="21"/>
          <w:szCs w:val="21"/>
        </w:rPr>
        <w:t>北京市燕兴保障性住房建设投资有限公司</w:t>
      </w:r>
    </w:p>
    <w:p w14:paraId="5120CF7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注册资本：500000万元</w:t>
      </w:r>
    </w:p>
    <w:p w14:paraId="72C4D8A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类    型：其他有限责任公司</w:t>
      </w:r>
    </w:p>
    <w:p w14:paraId="04B8949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成立日期：2023年07月20日</w:t>
      </w:r>
    </w:p>
    <w:p w14:paraId="38299D4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法定代表人：孙兴凯</w:t>
      </w:r>
    </w:p>
    <w:p w14:paraId="2F82A12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住    所：北京市大兴区欣雅街15号院1号楼6层 606</w:t>
      </w:r>
    </w:p>
    <w:p w14:paraId="4BFC331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人：齐继</w:t>
      </w:r>
    </w:p>
    <w:p w14:paraId="2541C930">
      <w:pPr>
        <w:wordWrap w:val="0"/>
        <w:overflowPunct w:val="0"/>
        <w:spacing w:line="480" w:lineRule="auto"/>
        <w:ind w:firstLine="420" w:firstLineChars="200"/>
        <w:jc w:val="both"/>
        <w:textAlignment w:val="auto"/>
        <w:rPr>
          <w:rFonts w:ascii="Arial" w:hAnsi="Arial" w:cs="Arial"/>
          <w:sz w:val="21"/>
          <w:szCs w:val="21"/>
        </w:rPr>
      </w:pPr>
    </w:p>
    <w:p w14:paraId="67CFEE42">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55267087"/>
      <w:bookmarkStart w:id="20" w:name="_Toc168225814"/>
      <w:r>
        <w:rPr>
          <w:rFonts w:eastAsia="宋体"/>
          <w:kern w:val="2"/>
          <w:sz w:val="21"/>
          <w:szCs w:val="21"/>
        </w:rPr>
        <w:t>二、房地产估价机构</w:t>
      </w:r>
      <w:bookmarkEnd w:id="19"/>
      <w:bookmarkEnd w:id="20"/>
    </w:p>
    <w:p w14:paraId="2EF4402E">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6B4EF542">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4F23C8EE">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2AE0384A">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有效期限：</w:t>
      </w:r>
      <w:r>
        <w:rPr>
          <w:rFonts w:ascii="Arial" w:hAnsi="Arial"/>
          <w:sz w:val="21"/>
          <w:szCs w:val="21"/>
        </w:rPr>
        <w:t>202</w:t>
      </w:r>
      <w:r>
        <w:rPr>
          <w:rFonts w:hint="eastAsia" w:ascii="Arial" w:hAnsi="Arial"/>
          <w:sz w:val="21"/>
          <w:szCs w:val="21"/>
        </w:rPr>
        <w:t>5年07月01日至</w:t>
      </w:r>
      <w:r>
        <w:rPr>
          <w:rFonts w:ascii="Arial" w:hAnsi="Arial"/>
          <w:sz w:val="21"/>
          <w:szCs w:val="21"/>
        </w:rPr>
        <w:t>202</w:t>
      </w:r>
      <w:r>
        <w:rPr>
          <w:rFonts w:hint="eastAsia" w:ascii="Arial" w:hAnsi="Arial"/>
          <w:sz w:val="21"/>
          <w:szCs w:val="21"/>
        </w:rPr>
        <w:t>8年06月30日</w:t>
      </w:r>
    </w:p>
    <w:p w14:paraId="76DC42F3">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7B015CD5">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7E53619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5FD4EF8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06F69F29">
      <w:pPr>
        <w:wordWrap w:val="0"/>
        <w:overflowPunct w:val="0"/>
        <w:spacing w:line="480" w:lineRule="auto"/>
        <w:ind w:firstLine="420" w:firstLineChars="200"/>
        <w:jc w:val="both"/>
        <w:textAlignment w:val="auto"/>
        <w:rPr>
          <w:rFonts w:ascii="Arial" w:hAnsi="Arial" w:cs="Arial"/>
          <w:kern w:val="2"/>
          <w:sz w:val="21"/>
          <w:szCs w:val="21"/>
        </w:rPr>
      </w:pPr>
    </w:p>
    <w:p w14:paraId="3E449E71">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68225815"/>
      <w:bookmarkStart w:id="22" w:name="_Toc155267088"/>
      <w:r>
        <w:rPr>
          <w:rFonts w:eastAsia="宋体"/>
          <w:kern w:val="2"/>
          <w:sz w:val="21"/>
          <w:szCs w:val="21"/>
        </w:rPr>
        <w:t>三、估价目的</w:t>
      </w:r>
      <w:bookmarkEnd w:id="21"/>
      <w:bookmarkEnd w:id="22"/>
    </w:p>
    <w:p w14:paraId="697F37E1">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评估保障性租赁住房项目同地段同品质市场租赁住房租金，为有关单位合理确定保障性租赁住房项目租金提供参考依据</w:t>
      </w:r>
      <w:r>
        <w:rPr>
          <w:rFonts w:hint="eastAsia" w:ascii="Arial" w:hAnsi="Arial" w:cs="Arial"/>
          <w:kern w:val="2"/>
          <w:sz w:val="21"/>
          <w:szCs w:val="21"/>
        </w:rPr>
        <w:t>。</w:t>
      </w:r>
      <w:r>
        <w:rPr>
          <w:rFonts w:ascii="Arial" w:hAnsi="Arial" w:cs="Arial"/>
          <w:kern w:val="2"/>
          <w:sz w:val="21"/>
          <w:szCs w:val="21"/>
        </w:rPr>
        <w:t xml:space="preserve"> </w:t>
      </w:r>
    </w:p>
    <w:p w14:paraId="508FA2FB">
      <w:pPr>
        <w:wordWrap w:val="0"/>
        <w:overflowPunct w:val="0"/>
        <w:spacing w:line="480" w:lineRule="auto"/>
        <w:ind w:firstLine="420" w:firstLineChars="200"/>
        <w:jc w:val="both"/>
        <w:textAlignment w:val="auto"/>
        <w:rPr>
          <w:rFonts w:ascii="Arial" w:hAnsi="Arial" w:cs="Arial"/>
          <w:sz w:val="21"/>
          <w:szCs w:val="21"/>
        </w:rPr>
      </w:pPr>
    </w:p>
    <w:p w14:paraId="316C54C5">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68225816"/>
      <w:bookmarkStart w:id="24" w:name="_Toc155267089"/>
      <w:r>
        <w:rPr>
          <w:rFonts w:eastAsia="宋体"/>
          <w:kern w:val="2"/>
          <w:sz w:val="21"/>
          <w:szCs w:val="21"/>
        </w:rPr>
        <w:t>四、估价对象</w:t>
      </w:r>
      <w:bookmarkEnd w:id="23"/>
      <w:bookmarkEnd w:id="24"/>
    </w:p>
    <w:p w14:paraId="23FCDE6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6EC471E">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不动产权证书》[京（2026）大不动产权第0006771、0006774、0006887、0006889、0006899、0006906、0006914、0006922、0006926、0006949、0006958、0006963、0006949号]部分及《估价委托书》，估价对象为北京市大兴区鼎创路23、29号院（西红门金鼎欣盛家园）共计100套保障性租赁住房（住宅型），总建筑</w:t>
      </w:r>
      <w:r>
        <w:rPr>
          <w:rFonts w:hint="eastAsia" w:ascii="Arial" w:hAnsi="Arial" w:cs="Arial"/>
          <w:kern w:val="2"/>
          <w:sz w:val="21"/>
          <w:szCs w:val="21"/>
        </w:rPr>
        <w:t>面积9094.97平方米，其中，北京市</w:t>
      </w:r>
      <w:r>
        <w:rPr>
          <w:rFonts w:hint="eastAsia" w:ascii="Arial" w:hAnsi="Arial" w:cs="Arial"/>
          <w:sz w:val="21"/>
          <w:szCs w:val="21"/>
        </w:rPr>
        <w:t>大兴区鼎创路23号院1号楼1层一单元103等</w:t>
      </w:r>
      <w:r>
        <w:rPr>
          <w:rFonts w:hint="eastAsia" w:ascii="Arial" w:hAnsi="Arial" w:cs="Arial"/>
          <w:kern w:val="2"/>
          <w:sz w:val="21"/>
          <w:szCs w:val="21"/>
        </w:rPr>
        <w:t>61套，建筑面积5506.97平方米；大兴区鼎创路29号院1号楼2层一单元201等39套，建筑面积3588平方米。</w:t>
      </w:r>
      <w:r>
        <w:rPr>
          <w:rFonts w:ascii="Arial" w:hAnsi="Arial" w:cs="Arial"/>
          <w:kern w:val="2"/>
          <w:sz w:val="21"/>
          <w:szCs w:val="21"/>
        </w:rPr>
        <w:t>截至</w:t>
      </w:r>
      <w:r>
        <w:rPr>
          <w:rFonts w:hint="eastAsia" w:ascii="Arial" w:hAnsi="Arial" w:cs="Arial"/>
          <w:kern w:val="2"/>
          <w:sz w:val="21"/>
          <w:szCs w:val="21"/>
        </w:rPr>
        <w:t>报告出具日，上述房屋已办理不动产权变更登记，取得</w:t>
      </w:r>
      <w:r>
        <w:rPr>
          <w:rFonts w:hint="eastAsia" w:ascii="Arial" w:hAnsi="Arial" w:cs="Arial"/>
          <w:sz w:val="21"/>
          <w:szCs w:val="21"/>
        </w:rPr>
        <w:t>《不动产权证书》[京（2026）大不动产权第0006771、0006774、0006887、0006889、0006899、0006906、0006914、0006922、0006926、0006949、0006958、0006963、0006949号]部分</w:t>
      </w:r>
      <w:r>
        <w:rPr>
          <w:rFonts w:hint="eastAsia" w:ascii="Arial" w:hAnsi="Arial" w:cs="Arial"/>
          <w:kern w:val="2"/>
          <w:sz w:val="21"/>
          <w:szCs w:val="21"/>
        </w:rPr>
        <w:t>。经与估价委托人确认，北京市燕兴保障性住房建设投资有限公司对上述租赁房屋享有合法、完整的占有、使用、收益及出租的权利，房屋来源合法，不存在任何抵押、租赁、查封等权利受限情形。</w:t>
      </w:r>
      <w:r>
        <w:rPr>
          <w:rFonts w:hint="eastAsia" w:ascii="Arial" w:hAnsi="Arial" w:cs="Arial"/>
          <w:sz w:val="21"/>
          <w:szCs w:val="21"/>
        </w:rPr>
        <w:t>估价对象具体情况如下：</w:t>
      </w:r>
    </w:p>
    <w:p w14:paraId="21712ADC">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409" w:type="dxa"/>
        <w:tblInd w:w="96" w:type="dxa"/>
        <w:tblLayout w:type="autofit"/>
        <w:tblCellMar>
          <w:top w:w="0" w:type="dxa"/>
          <w:left w:w="108" w:type="dxa"/>
          <w:bottom w:w="0" w:type="dxa"/>
          <w:right w:w="108" w:type="dxa"/>
        </w:tblCellMar>
      </w:tblPr>
      <w:tblGrid>
        <w:gridCol w:w="2467"/>
        <w:gridCol w:w="1030"/>
        <w:gridCol w:w="1590"/>
        <w:gridCol w:w="1500"/>
        <w:gridCol w:w="830"/>
        <w:gridCol w:w="1992"/>
      </w:tblGrid>
      <w:tr w14:paraId="5D204E41">
        <w:tblPrEx>
          <w:tblCellMar>
            <w:top w:w="0" w:type="dxa"/>
            <w:left w:w="108" w:type="dxa"/>
            <w:bottom w:w="0" w:type="dxa"/>
            <w:right w:w="108" w:type="dxa"/>
          </w:tblCellMar>
        </w:tblPrEx>
        <w:trPr>
          <w:trHeight w:val="360"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5EF0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070E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67598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3730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C1AB3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3243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2B0E81C">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67076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鼎创路23号院1、2、3、5、6、7、8、9号楼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2E01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ABF1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57.17-57.43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2E51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CBCC0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EB0C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286.13</w:t>
            </w:r>
          </w:p>
        </w:tc>
      </w:tr>
      <w:tr w14:paraId="5C4B0AA0">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552E3">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9AAB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E685D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87.85-90.39</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AA84C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B43B5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55D7F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4335.27</w:t>
            </w:r>
          </w:p>
        </w:tc>
      </w:tr>
      <w:tr w14:paraId="639049B8">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E38B8B">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6D312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03A75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125.96-127.11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6BBD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D048A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ED3C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885.57</w:t>
            </w:r>
          </w:p>
        </w:tc>
      </w:tr>
      <w:tr w14:paraId="2B09DF4F">
        <w:tblPrEx>
          <w:tblCellMar>
            <w:top w:w="0" w:type="dxa"/>
            <w:left w:w="108" w:type="dxa"/>
            <w:bottom w:w="0" w:type="dxa"/>
            <w:right w:w="108" w:type="dxa"/>
          </w:tblCellMar>
        </w:tblPrEx>
        <w:trPr>
          <w:trHeight w:val="264" w:hRule="atLeast"/>
        </w:trPr>
        <w:tc>
          <w:tcPr>
            <w:tcW w:w="2467" w:type="dxa"/>
            <w:tcBorders>
              <w:top w:val="nil"/>
              <w:left w:val="single" w:color="000000" w:sz="4" w:space="0"/>
              <w:bottom w:val="nil"/>
              <w:right w:val="single" w:color="000000" w:sz="4" w:space="0"/>
            </w:tcBorders>
            <w:shd w:val="clear" w:color="auto" w:fill="FFFFFF" w:themeFill="background1"/>
            <w:vAlign w:val="center"/>
          </w:tcPr>
          <w:p w14:paraId="316907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53F27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8A4A5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53273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14AF5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688C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5506.97</w:t>
            </w:r>
          </w:p>
        </w:tc>
      </w:tr>
      <w:tr w14:paraId="40F89BB7">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14:paraId="34C8A95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鼎创路29号院1、2、6、7、8号楼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15986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4251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56.92-57.43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8FF1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38FE2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7BF87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627.63</w:t>
            </w:r>
          </w:p>
        </w:tc>
      </w:tr>
      <w:tr w14:paraId="2F7913BA">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1C7AA030">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6009B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14E6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87.86-88.4</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9A39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D6312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84F5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1319.34</w:t>
            </w:r>
          </w:p>
        </w:tc>
      </w:tr>
      <w:tr w14:paraId="2EA31A43">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52F68CDA">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nil"/>
              <w:right w:val="single" w:color="000000" w:sz="4" w:space="0"/>
            </w:tcBorders>
            <w:shd w:val="clear" w:color="auto" w:fill="FFFFFF" w:themeFill="background1"/>
            <w:vAlign w:val="center"/>
          </w:tcPr>
          <w:p w14:paraId="57866F9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nil"/>
              <w:right w:val="single" w:color="000000" w:sz="4" w:space="0"/>
            </w:tcBorders>
            <w:shd w:val="clear" w:color="auto" w:fill="FFFFFF" w:themeFill="background1"/>
            <w:vAlign w:val="center"/>
          </w:tcPr>
          <w:p w14:paraId="5B730ED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125.6-127.1</w:t>
            </w:r>
          </w:p>
        </w:tc>
        <w:tc>
          <w:tcPr>
            <w:tcW w:w="1500" w:type="dxa"/>
            <w:tcBorders>
              <w:top w:val="single" w:color="000000" w:sz="4" w:space="0"/>
              <w:left w:val="single" w:color="000000" w:sz="4" w:space="0"/>
              <w:bottom w:val="nil"/>
              <w:right w:val="single" w:color="000000" w:sz="4" w:space="0"/>
            </w:tcBorders>
            <w:shd w:val="clear" w:color="auto" w:fill="FFFFFF" w:themeFill="background1"/>
            <w:vAlign w:val="center"/>
          </w:tcPr>
          <w:p w14:paraId="680DA0B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BF01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975B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1641.03</w:t>
            </w:r>
          </w:p>
        </w:tc>
      </w:tr>
      <w:tr w14:paraId="5F0785EB">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334FF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8F5F1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40D81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ADD9A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8458A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48D45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3588</w:t>
            </w:r>
          </w:p>
        </w:tc>
      </w:tr>
      <w:tr w14:paraId="11266273">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A960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A462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916DA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9723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0ECBB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B213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9094.97</w:t>
            </w:r>
          </w:p>
        </w:tc>
      </w:tr>
    </w:tbl>
    <w:p w14:paraId="089B87FC">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根据《北京市保障性住房收购合同》及其附件、《估价委托书》及评估专业人员实地查勘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全部房源均转化为保障性租赁住房（住宅型），按照中档装修标准配租，故本次评估室内装修情况均设定为中档装修。</w:t>
      </w:r>
    </w:p>
    <w:p w14:paraId="51BC767C">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（转下页）</w:t>
      </w:r>
    </w:p>
    <w:p w14:paraId="461A45C5">
      <w:pPr>
        <w:rPr>
          <w:rFonts w:ascii="Arial" w:hAnsi="Arial" w:cs="Arial"/>
          <w:kern w:val="2"/>
          <w:sz w:val="21"/>
          <w:szCs w:val="21"/>
        </w:rPr>
      </w:pPr>
      <w:r>
        <w:rPr>
          <w:rFonts w:hint="eastAsia" w:ascii="Arial" w:hAnsi="Arial" w:cs="Arial"/>
          <w:kern w:val="2"/>
          <w:sz w:val="21"/>
          <w:szCs w:val="21"/>
        </w:rPr>
        <w:br w:type="page"/>
      </w:r>
    </w:p>
    <w:p w14:paraId="78F35E6B">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2B7A367E">
      <w:pPr>
        <w:overflowPunct w:val="0"/>
        <w:spacing w:line="480" w:lineRule="auto"/>
        <w:jc w:val="center"/>
        <w:textAlignment w:val="auto"/>
        <w:rPr>
          <w:rFonts w:ascii="Arial" w:hAnsi="Arial" w:cs="Arial"/>
          <w:b/>
          <w:kern w:val="2"/>
          <w:sz w:val="21"/>
          <w:szCs w:val="21"/>
        </w:rPr>
      </w:pPr>
      <w:r>
        <mc:AlternateContent>
          <mc:Choice Requires="wps">
            <w:drawing>
              <wp:anchor distT="0" distB="0" distL="114300" distR="114300" simplePos="0" relativeHeight="251659264" behindDoc="0" locked="0" layoutInCell="1" allowOverlap="1">
                <wp:simplePos x="0" y="0"/>
                <wp:positionH relativeFrom="column">
                  <wp:posOffset>1173480</wp:posOffset>
                </wp:positionH>
                <wp:positionV relativeFrom="paragraph">
                  <wp:posOffset>661035</wp:posOffset>
                </wp:positionV>
                <wp:extent cx="1652270" cy="390525"/>
                <wp:effectExtent l="4445" t="5080" r="19685" b="412115"/>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652270" cy="390525"/>
                        </a:xfrm>
                        <a:prstGeom prst="wedgeRoundRectCallout">
                          <a:avLst>
                            <a:gd name="adj1" fmla="val 39397"/>
                            <a:gd name="adj2" fmla="val 151138"/>
                            <a:gd name="adj3" fmla="val 16667"/>
                          </a:avLst>
                        </a:prstGeom>
                        <a:solidFill>
                          <a:srgbClr val="FF0000"/>
                        </a:solidFill>
                        <a:ln w="9525">
                          <a:solidFill>
                            <a:srgbClr val="000000"/>
                          </a:solidFill>
                          <a:miter lim="800000"/>
                        </a:ln>
                      </wps:spPr>
                      <wps:txbx>
                        <w:txbxContent>
                          <w:p w14:paraId="1A53B599">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西红门金鼎欣盛家园</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92.4pt;margin-top:52.05pt;height:30.75pt;width:130.1pt;z-index:251659264;mso-width-relative:page;mso-height-relative:page;" fillcolor="#FF0000" filled="t" stroked="t" coordsize="21600,21600" o:gfxdata="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&#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GUoE+1wAAAAsBAAAPAAAAAAAAAAEAIAAAACIAAABk&#10;cnMvZG93bnJldi54bWxQSwECFAAUAAAACACHTuJANG40HXkCAAAIBQAADgAAAAAAAAABACAAAAAm&#10;AQAAZHJzL2Uyb0RvYy54bWxQSwUGAAAAAAYABgBZAQAAEQYAAAAA&#10;" adj="19310,43446,14400">
                <v:fill on="t" focussize="0,0"/>
                <v:stroke color="#000000" miterlimit="8" joinstyle="miter"/>
                <v:imagedata o:title=""/>
                <o:lock v:ext="edit" aspectratio="f"/>
                <v:textbox>
                  <w:txbxContent>
                    <w:p w14:paraId="1A53B599">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西红门金鼎欣盛家园</w:t>
                      </w:r>
                    </w:p>
                  </w:txbxContent>
                </v:textbox>
              </v:shape>
            </w:pict>
          </mc:Fallback>
        </mc:AlternateContent>
      </w:r>
      <w:r>
        <w:drawing>
          <wp:inline distT="0" distB="0" distL="114300" distR="114300">
            <wp:extent cx="4748530" cy="3270250"/>
            <wp:effectExtent l="0" t="0" r="6350" b="635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8"/>
                    <a:stretch>
                      <a:fillRect/>
                    </a:stretch>
                  </pic:blipFill>
                  <pic:spPr>
                    <a:xfrm>
                      <a:off x="0" y="0"/>
                      <a:ext cx="4748530" cy="3270250"/>
                    </a:xfrm>
                    <a:prstGeom prst="rect">
                      <a:avLst/>
                    </a:prstGeom>
                    <a:noFill/>
                    <a:ln>
                      <a:noFill/>
                    </a:ln>
                  </pic:spPr>
                </pic:pic>
              </a:graphicData>
            </a:graphic>
          </wp:inline>
        </w:drawing>
      </w:r>
    </w:p>
    <w:p w14:paraId="0A8950E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50F23CB5">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ascii="Arial" w:hAnsi="Arial" w:cs="Arial"/>
          <w:sz w:val="21"/>
          <w:szCs w:val="21"/>
        </w:rPr>
        <w:t>1.</w:t>
      </w:r>
      <w:r>
        <w:rPr>
          <w:rFonts w:hint="eastAsia" w:ascii="Arial" w:hAnsi="Arial" w:cs="Arial"/>
          <w:sz w:val="21"/>
          <w:szCs w:val="21"/>
        </w:rPr>
        <w:t>根据《不动产权证书》[京（2026）大不动产权第0006771、0006774、0006887、0006889、0006899、0006906、0006914、0006922、0006926、0006949、0006958、0006963、0006949号]部分，估价对象为北京市大兴区鼎创路23号院1号楼1层一单元103等100套（西红门金鼎欣盛家园）保障性租赁住房（住宅型），总建筑</w:t>
      </w:r>
      <w:r>
        <w:rPr>
          <w:rFonts w:hint="eastAsia" w:ascii="Arial" w:hAnsi="Arial" w:cs="Arial"/>
          <w:kern w:val="2"/>
          <w:sz w:val="21"/>
          <w:szCs w:val="21"/>
        </w:rPr>
        <w:t>面积9094.97平方米，权利人为北京市燕兴保障性住房建设投资有限公司，共有情况为单独所有，权利类型为国有建设用地使用权/房屋所有权，权利性质为划拨/按经济适用住房管理，用途为城镇住宅用地/住房，共有宗地面积30183.95平方米，所属宗地现状四至为东至CCB建融家园创业之家，南至鼎创路，西至金服大街，北至北京城乡集团。</w:t>
      </w:r>
    </w:p>
    <w:p w14:paraId="780FD6D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12B14C2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36C30C12">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w:t>
      </w:r>
      <w:r>
        <w:rPr>
          <w:rFonts w:hint="eastAsia" w:ascii="Arial" w:hAnsi="Arial" w:cs="Arial"/>
          <w:kern w:val="2"/>
          <w:sz w:val="21"/>
          <w:szCs w:val="21"/>
        </w:rPr>
        <w:t>”</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73B2E63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313646A9">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0A419F49">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w:t>
      </w:r>
      <w:r>
        <w:rPr>
          <w:rFonts w:hint="eastAsia" w:ascii="Arial" w:hAnsi="Arial" w:cs="Arial"/>
          <w:sz w:val="21"/>
          <w:szCs w:val="21"/>
        </w:rPr>
        <w:t>建设规模：估价对象所属西红门金鼎欣盛家园</w:t>
      </w:r>
      <w:r>
        <w:rPr>
          <w:rFonts w:ascii="Arial" w:hAnsi="Arial" w:cs="Arial"/>
          <w:sz w:val="21"/>
          <w:szCs w:val="21"/>
        </w:rPr>
        <w:t>项目</w:t>
      </w:r>
      <w:r>
        <w:rPr>
          <w:rFonts w:hint="eastAsia" w:ascii="Arial" w:hAnsi="Arial" w:cs="Arial"/>
          <w:sz w:val="21"/>
          <w:szCs w:val="21"/>
        </w:rPr>
        <w:t>，</w:t>
      </w:r>
      <w:r>
        <w:rPr>
          <w:rFonts w:ascii="Arial" w:hAnsi="Arial" w:cs="Arial"/>
          <w:sz w:val="21"/>
          <w:szCs w:val="21"/>
        </w:rPr>
        <w:t>位于大兴区鼎业路与新康路交叉路口</w:t>
      </w:r>
      <w:r>
        <w:rPr>
          <w:rFonts w:hint="eastAsia" w:ascii="Arial" w:hAnsi="Arial" w:cs="Arial"/>
          <w:sz w:val="21"/>
          <w:szCs w:val="21"/>
        </w:rPr>
        <w:t>，</w:t>
      </w:r>
      <w:r>
        <w:rPr>
          <w:rFonts w:ascii="Arial" w:hAnsi="Arial" w:cs="Arial"/>
          <w:sz w:val="21"/>
          <w:szCs w:val="21"/>
        </w:rPr>
        <w:t>邻新西凤渠湿地公园约1公里。</w:t>
      </w:r>
      <w:r>
        <w:rPr>
          <w:rFonts w:hint="eastAsia" w:ascii="Arial" w:hAnsi="Arial" w:cs="Arial"/>
          <w:sz w:val="21"/>
          <w:szCs w:val="21"/>
        </w:rPr>
        <w:t>收购房屋套数100套，总建筑</w:t>
      </w:r>
      <w:r>
        <w:rPr>
          <w:rFonts w:hint="eastAsia" w:ascii="Arial" w:hAnsi="Arial" w:cs="Arial"/>
          <w:kern w:val="2"/>
          <w:sz w:val="21"/>
          <w:szCs w:val="21"/>
        </w:rPr>
        <w:t>面积9094.97平方米，</w:t>
      </w:r>
      <w:r>
        <w:rPr>
          <w:rFonts w:hint="eastAsia" w:ascii="Arial" w:hAnsi="Arial" w:cs="Arial"/>
          <w:sz w:val="21"/>
          <w:szCs w:val="21"/>
        </w:rPr>
        <w:t>其中一居室16套（户型面积区间56.92至57.43平方米），两居室64套（户型面积区间87.86至90.39平方米），三居室20套（户型面积区间125.6至127.11平方米），房屋状态为中档装修。估价对象具体情况如下：</w:t>
      </w:r>
    </w:p>
    <w:p w14:paraId="1288577D">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409" w:type="dxa"/>
        <w:tblInd w:w="96" w:type="dxa"/>
        <w:tblLayout w:type="autofit"/>
        <w:tblCellMar>
          <w:top w:w="0" w:type="dxa"/>
          <w:left w:w="108" w:type="dxa"/>
          <w:bottom w:w="0" w:type="dxa"/>
          <w:right w:w="108" w:type="dxa"/>
        </w:tblCellMar>
      </w:tblPr>
      <w:tblGrid>
        <w:gridCol w:w="2467"/>
        <w:gridCol w:w="1030"/>
        <w:gridCol w:w="1590"/>
        <w:gridCol w:w="1500"/>
        <w:gridCol w:w="830"/>
        <w:gridCol w:w="1992"/>
      </w:tblGrid>
      <w:tr w14:paraId="1BBC7E3E">
        <w:tblPrEx>
          <w:tblCellMar>
            <w:top w:w="0" w:type="dxa"/>
            <w:left w:w="108" w:type="dxa"/>
            <w:bottom w:w="0" w:type="dxa"/>
            <w:right w:w="108" w:type="dxa"/>
          </w:tblCellMar>
        </w:tblPrEx>
        <w:trPr>
          <w:trHeight w:val="360"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91111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90EB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69C9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72D88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8797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87E72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5ECEB93">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3E2B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鼎创路23号院1、2、3、5、6、7、8、9号楼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5D90A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83080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57.17-57.43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D882B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C3FF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CF90A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286.13</w:t>
            </w:r>
          </w:p>
        </w:tc>
      </w:tr>
      <w:tr w14:paraId="1025D181">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1633E1">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D11D0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524FC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87.85-90.39</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CC84A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08D27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7E8E4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4335.27</w:t>
            </w:r>
          </w:p>
        </w:tc>
      </w:tr>
      <w:tr w14:paraId="5E3372D6">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E2F7D1">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9B80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250F9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125.96-127.11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D354F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705E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59A7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885.57</w:t>
            </w:r>
          </w:p>
        </w:tc>
      </w:tr>
      <w:tr w14:paraId="08845B61">
        <w:tblPrEx>
          <w:tblCellMar>
            <w:top w:w="0" w:type="dxa"/>
            <w:left w:w="108" w:type="dxa"/>
            <w:bottom w:w="0" w:type="dxa"/>
            <w:right w:w="108" w:type="dxa"/>
          </w:tblCellMar>
        </w:tblPrEx>
        <w:trPr>
          <w:trHeight w:val="264" w:hRule="atLeast"/>
        </w:trPr>
        <w:tc>
          <w:tcPr>
            <w:tcW w:w="2467" w:type="dxa"/>
            <w:tcBorders>
              <w:top w:val="nil"/>
              <w:left w:val="single" w:color="000000" w:sz="4" w:space="0"/>
              <w:bottom w:val="nil"/>
              <w:right w:val="single" w:color="000000" w:sz="4" w:space="0"/>
            </w:tcBorders>
            <w:shd w:val="clear" w:color="auto" w:fill="FFFFFF" w:themeFill="background1"/>
            <w:vAlign w:val="center"/>
          </w:tcPr>
          <w:p w14:paraId="76C9712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6D73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7AF7C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059D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48BE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7869E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5506.97</w:t>
            </w:r>
          </w:p>
        </w:tc>
      </w:tr>
      <w:tr w14:paraId="08E253B3">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14:paraId="58B2472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鼎创路29号院1、2、6、7、8号楼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60250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79DF3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56.92-57.43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591C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676E9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0A80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627.63</w:t>
            </w:r>
          </w:p>
        </w:tc>
      </w:tr>
      <w:tr w14:paraId="1E966D76">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6DB1A81B">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8B08D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DF3C2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87.86-88.4</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14984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21D3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C8209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1319.34</w:t>
            </w:r>
          </w:p>
        </w:tc>
      </w:tr>
      <w:tr w14:paraId="730095CA">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0BF21B57">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nil"/>
              <w:right w:val="single" w:color="000000" w:sz="4" w:space="0"/>
            </w:tcBorders>
            <w:shd w:val="clear" w:color="auto" w:fill="FFFFFF" w:themeFill="background1"/>
            <w:vAlign w:val="center"/>
          </w:tcPr>
          <w:p w14:paraId="620F996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nil"/>
              <w:right w:val="single" w:color="000000" w:sz="4" w:space="0"/>
            </w:tcBorders>
            <w:shd w:val="clear" w:color="auto" w:fill="FFFFFF" w:themeFill="background1"/>
            <w:vAlign w:val="center"/>
          </w:tcPr>
          <w:p w14:paraId="0B7D7C4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125.6-127.1</w:t>
            </w:r>
          </w:p>
        </w:tc>
        <w:tc>
          <w:tcPr>
            <w:tcW w:w="1500" w:type="dxa"/>
            <w:tcBorders>
              <w:top w:val="single" w:color="000000" w:sz="4" w:space="0"/>
              <w:left w:val="single" w:color="000000" w:sz="4" w:space="0"/>
              <w:bottom w:val="nil"/>
              <w:right w:val="single" w:color="000000" w:sz="4" w:space="0"/>
            </w:tcBorders>
            <w:shd w:val="clear" w:color="auto" w:fill="FFFFFF" w:themeFill="background1"/>
            <w:vAlign w:val="center"/>
          </w:tcPr>
          <w:p w14:paraId="6815AAE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4A241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7DE8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1641.03</w:t>
            </w:r>
          </w:p>
        </w:tc>
      </w:tr>
      <w:tr w14:paraId="5162FD49">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7F61C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D7628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B3D9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A6A95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BA4BA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F4836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3588</w:t>
            </w:r>
          </w:p>
        </w:tc>
      </w:tr>
      <w:tr w14:paraId="4B19784E">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9BA9B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C9D2C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A7F03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7323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0F3A3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38DA3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9094.97</w:t>
            </w:r>
          </w:p>
        </w:tc>
      </w:tr>
    </w:tbl>
    <w:p w14:paraId="2B2924E0">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3"/>
      <w:bookmarkStart w:id="26" w:name="OLE_LINK2"/>
    </w:p>
    <w:p w14:paraId="6478655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79D57F4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及卧室（吸顶灯、入门鞋柜、智能锁）、厨房（配备整体橱柜、灶具、排烟机、洗菜盆、节水型龙头）、卫生间（配备洗面盆、盥洗镜、节水座便器、节水型淋浴喷头、电热水器、防臭地漏、洗衣机龙头、冷热水八字阀）等基本家具家电。估价对象作为保障性租赁住房（住宅型）出租使用。</w:t>
      </w:r>
    </w:p>
    <w:p w14:paraId="0E8055C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中档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66334182">
      <w:pPr>
        <w:wordWrap w:val="0"/>
        <w:overflowPunct w:val="0"/>
        <w:spacing w:line="480" w:lineRule="auto"/>
        <w:ind w:firstLine="420" w:firstLineChars="200"/>
        <w:jc w:val="both"/>
        <w:textAlignment w:val="auto"/>
        <w:rPr>
          <w:rFonts w:hint="eastAsia" w:ascii="Arial" w:hAnsi="Arial" w:cs="Arial"/>
          <w:kern w:val="2"/>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西红门金鼎欣盛家园建成于</w:t>
      </w:r>
    </w:p>
    <w:p w14:paraId="6C6799B8">
      <w:pPr>
        <w:wordWrap w:val="0"/>
        <w:overflowPunct w:val="0"/>
        <w:spacing w:line="480" w:lineRule="auto"/>
        <w:jc w:val="both"/>
        <w:textAlignment w:val="auto"/>
        <w:rPr>
          <w:rFonts w:ascii="Arial" w:hAnsi="Arial" w:cs="Arial"/>
          <w:sz w:val="21"/>
          <w:szCs w:val="21"/>
        </w:rPr>
      </w:pPr>
      <w:commentRangeStart w:id="0"/>
      <w:r>
        <w:rPr>
          <w:rFonts w:hint="eastAsia" w:ascii="Arial" w:hAnsi="Arial" w:cs="Arial"/>
          <w:kern w:val="2"/>
          <w:sz w:val="21"/>
          <w:szCs w:val="21"/>
        </w:rPr>
        <w:t>2022</w:t>
      </w:r>
      <w:commentRangeEnd w:id="0"/>
      <w:r>
        <w:rPr>
          <w:rStyle w:val="40"/>
        </w:rPr>
        <w:commentReference w:id="0"/>
      </w:r>
      <w:r>
        <w:rPr>
          <w:rFonts w:hint="eastAsia" w:ascii="Arial" w:hAnsi="Arial" w:cs="Arial"/>
          <w:kern w:val="2"/>
          <w:sz w:val="21"/>
          <w:szCs w:val="21"/>
        </w:rPr>
        <w:t>年11月，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5D810D4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7.户型设计：估价对象均为平层结构，分为三种户型，分别为一居室、两居室、三居室。其中一居室16套、两居室64套、三居室20套。</w:t>
      </w:r>
    </w:p>
    <w:p w14:paraId="3AE7F45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朝向：估价对象一居室、两居室、三居室均南朝向。</w:t>
      </w:r>
    </w:p>
    <w:p w14:paraId="6F95EF11">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66015F3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5DAF1E3E">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22281920">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7758A9FA">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1F7DD55B">
      <w:pPr>
        <w:spacing w:line="480" w:lineRule="auto"/>
        <w:ind w:firstLine="420" w:firstLineChars="200"/>
        <w:jc w:val="both"/>
        <w:rPr>
          <w:rFonts w:ascii="Arial" w:hAnsi="Arial" w:cs="Arial"/>
          <w:kern w:val="2"/>
          <w:sz w:val="21"/>
          <w:szCs w:val="21"/>
        </w:rPr>
      </w:pPr>
      <w:r>
        <w:rPr>
          <w:rFonts w:hint="eastAsia" w:ascii="Arial" w:hAnsi="Arial" w:cs="Arial"/>
          <w:sz w:val="21"/>
          <w:szCs w:val="21"/>
        </w:rPr>
        <w:t>根据估价委托人提供的《北京市保障性住房收购合同》及其附件、《不动产权证书》[京（2026）大不动产权第0006771、0006774、0006887、0006889、0006899、0006906、0006914、0006922、0006926、0006949、0006958、0006963、0006949号]部分及评估专业人员实地查勘，于价值时点，估价对象不存在抵押、</w:t>
      </w:r>
      <w:r>
        <w:rPr>
          <w:rFonts w:hint="eastAsia" w:ascii="Arial" w:hAnsi="Arial" w:cs="Arial"/>
          <w:kern w:val="2"/>
          <w:sz w:val="21"/>
          <w:szCs w:val="21"/>
        </w:rPr>
        <w:t>租赁、地役、查封等限制</w:t>
      </w:r>
      <w:r>
        <w:rPr>
          <w:rFonts w:hint="eastAsia" w:ascii="Arial" w:hAnsi="Arial" w:cs="Arial"/>
          <w:sz w:val="21"/>
          <w:szCs w:val="21"/>
        </w:rPr>
        <w:t>。</w:t>
      </w:r>
    </w:p>
    <w:p w14:paraId="396ECF83">
      <w:pPr>
        <w:overflowPunct w:val="0"/>
        <w:spacing w:line="480" w:lineRule="auto"/>
        <w:ind w:firstLine="420" w:firstLineChars="200"/>
        <w:jc w:val="both"/>
        <w:textAlignment w:val="auto"/>
        <w:rPr>
          <w:rFonts w:ascii="Arial" w:hAnsi="Arial" w:cs="Arial"/>
          <w:sz w:val="21"/>
          <w:szCs w:val="21"/>
        </w:rPr>
      </w:pPr>
    </w:p>
    <w:p w14:paraId="6B1BAB0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1F7E297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2026年4月7日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46091A3C">
      <w:pPr>
        <w:wordWrap w:val="0"/>
        <w:overflowPunct w:val="0"/>
        <w:spacing w:line="480" w:lineRule="auto"/>
        <w:ind w:firstLine="420" w:firstLineChars="200"/>
        <w:jc w:val="both"/>
        <w:textAlignment w:val="auto"/>
        <w:rPr>
          <w:rFonts w:ascii="Arial" w:hAnsi="Arial" w:cs="Arial"/>
          <w:sz w:val="21"/>
          <w:szCs w:val="21"/>
        </w:rPr>
      </w:pPr>
    </w:p>
    <w:p w14:paraId="66405A7E">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4DDC86CA">
      <w:pPr>
        <w:spacing w:line="480" w:lineRule="auto"/>
        <w:rPr>
          <w:rFonts w:ascii="Arial" w:hAnsi="Arial" w:cs="Arial"/>
          <w:b/>
          <w:kern w:val="2"/>
          <w:sz w:val="21"/>
          <w:szCs w:val="21"/>
        </w:rPr>
      </w:pPr>
      <w:r>
        <w:rPr>
          <w:rFonts w:hint="eastAsia" w:ascii="Arial" w:hAnsi="Arial" w:cs="Arial"/>
          <w:b/>
          <w:kern w:val="2"/>
          <w:sz w:val="21"/>
          <w:szCs w:val="21"/>
        </w:rPr>
        <w:t>（一）价值类型</w:t>
      </w:r>
    </w:p>
    <w:p w14:paraId="202BC641">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ascii="Arial" w:hAnsi="Arial" w:cs="Arial"/>
          <w:sz w:val="21"/>
          <w:szCs w:val="21"/>
        </w:rPr>
        <w:t xml:space="preserve"> </w:t>
      </w:r>
    </w:p>
    <w:p w14:paraId="4A618168">
      <w:pPr>
        <w:spacing w:line="480" w:lineRule="auto"/>
        <w:rPr>
          <w:rFonts w:ascii="Arial" w:hAnsi="Arial" w:cs="Arial"/>
          <w:b/>
          <w:kern w:val="2"/>
          <w:sz w:val="21"/>
          <w:szCs w:val="21"/>
        </w:rPr>
      </w:pPr>
      <w:r>
        <w:rPr>
          <w:rFonts w:hint="eastAsia" w:ascii="Arial" w:hAnsi="Arial" w:cs="Arial"/>
          <w:b/>
          <w:kern w:val="2"/>
          <w:sz w:val="21"/>
          <w:szCs w:val="21"/>
        </w:rPr>
        <w:t>（二）设定条件</w:t>
      </w:r>
    </w:p>
    <w:p w14:paraId="19AE4BCC">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房地产于价值时点2026年4月7日，</w:t>
      </w:r>
      <w:r>
        <w:rPr>
          <w:rFonts w:ascii="Arial" w:hAnsi="Arial" w:cs="Arial"/>
          <w:sz w:val="21"/>
          <w:szCs w:val="21"/>
        </w:rPr>
        <w:t>估价对象在规划利用条件及下述设定条件下</w:t>
      </w:r>
      <w:r>
        <w:rPr>
          <w:rFonts w:hint="eastAsia" w:ascii="Arial" w:hAnsi="Arial" w:cs="Arial"/>
          <w:sz w:val="21"/>
          <w:szCs w:val="21"/>
        </w:rPr>
        <w:t>项目同地段、同品质住宅（住宅型）房地产</w:t>
      </w:r>
      <w:r>
        <w:rPr>
          <w:rFonts w:ascii="Arial" w:hAnsi="Arial" w:cs="Arial"/>
          <w:sz w:val="21"/>
          <w:szCs w:val="21"/>
        </w:rPr>
        <w:t>的市场租金价格：</w:t>
      </w:r>
    </w:p>
    <w:p w14:paraId="4E9EA2DB">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36DA8BEB">
      <w:pPr>
        <w:spacing w:line="480" w:lineRule="auto"/>
        <w:ind w:firstLine="420" w:firstLineChars="200"/>
        <w:rPr>
          <w:rFonts w:ascii="Arial" w:hAnsi="Arial" w:cs="Arial"/>
          <w:sz w:val="21"/>
          <w:szCs w:val="21"/>
        </w:rPr>
      </w:pPr>
    </w:p>
    <w:p w14:paraId="7936807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55267092"/>
      <w:bookmarkStart w:id="32" w:name="_Toc168225819"/>
      <w:r>
        <w:rPr>
          <w:rFonts w:eastAsia="宋体"/>
          <w:kern w:val="2"/>
          <w:sz w:val="21"/>
          <w:szCs w:val="21"/>
        </w:rPr>
        <w:t>七、估价原则</w:t>
      </w:r>
      <w:bookmarkEnd w:id="31"/>
      <w:bookmarkEnd w:id="32"/>
    </w:p>
    <w:p w14:paraId="3AEB9473">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7AAAC83B">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04D0721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4BB51972">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7D9DFC6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0E830DE">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估价对象已取得《不动产权证书》[京（2026）大不动产权第0006771、0006774、0006887、0006889、0006899、0006906、0006914、0006922、0006926、0006949、0006958、0006963、0006949号]</w:t>
      </w:r>
      <w:r>
        <w:rPr>
          <w:rFonts w:hint="eastAsia" w:ascii="Arial" w:hAnsi="Arial" w:cs="Arial"/>
          <w:kern w:val="2"/>
          <w:sz w:val="21"/>
          <w:szCs w:val="21"/>
        </w:rPr>
        <w:t>，产权合法，使用合法。</w:t>
      </w:r>
    </w:p>
    <w:p w14:paraId="56A77277">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70DF137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38FA02E9">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6A4E8048">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09C299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1F5559B">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1BE218E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BE1A6C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2AC8638F">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64A0260F">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6EE107BB">
      <w:pPr>
        <w:wordWrap w:val="0"/>
        <w:overflowPunct w:val="0"/>
        <w:spacing w:line="480" w:lineRule="auto"/>
        <w:ind w:firstLine="420" w:firstLineChars="200"/>
        <w:jc w:val="both"/>
        <w:textAlignment w:val="auto"/>
        <w:rPr>
          <w:rFonts w:ascii="Arial" w:hAnsi="Arial" w:cs="Arial"/>
          <w:sz w:val="21"/>
          <w:szCs w:val="21"/>
        </w:rPr>
      </w:pPr>
    </w:p>
    <w:p w14:paraId="49F27B8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八、估价</w:t>
      </w:r>
      <w:bookmarkEnd w:id="33"/>
      <w:r>
        <w:rPr>
          <w:rFonts w:eastAsia="宋体"/>
          <w:kern w:val="2"/>
          <w:sz w:val="21"/>
          <w:szCs w:val="21"/>
        </w:rPr>
        <w:t>依据</w:t>
      </w:r>
      <w:bookmarkEnd w:id="34"/>
    </w:p>
    <w:p w14:paraId="767AE2B4">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635817B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《中华人民共和国土地管理法》（2019年8月26日第十三届全国人民代表大会常务委员会第十二次会议第三次修正通过，自2020年1月1日起施行）</w:t>
      </w:r>
    </w:p>
    <w:p w14:paraId="459298E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2401A6F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6E6E6C8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1D455B7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5.《中华人民共和国城市房地产管理法》（2019年8月26日第十三届全国人大常委会第十二次会议通过第三次修正，自2020年1月1日起施行）</w:t>
      </w:r>
    </w:p>
    <w:p w14:paraId="08D3C75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3F92406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w:t>
      </w:r>
      <w:r>
        <w:rPr>
          <w:rFonts w:ascii="Arial" w:hAnsi="Arial" w:cs="Arial"/>
          <w:sz w:val="21"/>
          <w:szCs w:val="21"/>
        </w:rPr>
        <w:t>.</w:t>
      </w:r>
      <w:r>
        <w:rPr>
          <w:rFonts w:hint="eastAsia"/>
        </w:rPr>
        <w:t xml:space="preserve"> 《</w:t>
      </w:r>
      <w:r>
        <w:rPr>
          <w:rFonts w:hint="eastAsia" w:ascii="Arial" w:hAnsi="Arial" w:cs="Arial"/>
          <w:sz w:val="21"/>
          <w:szCs w:val="21"/>
        </w:rPr>
        <w:t>国务院办公厅关于加快发展保障性租赁住房的意见</w:t>
      </w:r>
      <w:r>
        <w:rPr>
          <w:rFonts w:hint="eastAsia"/>
        </w:rPr>
        <w:t>》</w:t>
      </w:r>
      <w:r>
        <w:rPr>
          <w:rFonts w:hint="eastAsia" w:ascii="Arial" w:hAnsi="Arial" w:cs="Arial"/>
          <w:sz w:val="21"/>
          <w:szCs w:val="21"/>
        </w:rPr>
        <w:t>（国办发〔2021〕22号）</w:t>
      </w:r>
    </w:p>
    <w:p w14:paraId="68BD57F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rPr>
        <w:t xml:space="preserve"> </w:t>
      </w:r>
      <w:r>
        <w:rPr>
          <w:rFonts w:hint="eastAsia" w:ascii="Arial" w:hAnsi="Arial" w:cs="Arial"/>
          <w:sz w:val="21"/>
          <w:szCs w:val="21"/>
        </w:rPr>
        <w:t>《北京市住房和城乡建设委员会等四部门关于进一步规范本市新供住宅项目配建公租房、保障性租赁住房工作的通知》（京建发〔2021〕389号）</w:t>
      </w:r>
    </w:p>
    <w:p w14:paraId="42E40FB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w:t>
      </w:r>
      <w:r>
        <w:rPr>
          <w:rFonts w:ascii="Arial" w:hAnsi="Arial" w:cs="Arial"/>
          <w:sz w:val="21"/>
          <w:szCs w:val="21"/>
        </w:rPr>
        <w:t>.</w:t>
      </w:r>
      <w:r>
        <w:rPr>
          <w:rFonts w:hint="eastAsia" w:ascii="Arial" w:hAnsi="Arial" w:cs="Arial"/>
          <w:sz w:val="21"/>
          <w:szCs w:val="21"/>
        </w:rPr>
        <w:t xml:space="preserve"> 《北京市人民政府办公厅印发〈北京市关于加快发展保障性租赁住房的实施方案〉的通知》（京政办发〔2022〕9号）</w:t>
      </w:r>
    </w:p>
    <w:p w14:paraId="423CDFA3">
      <w:pPr>
        <w:wordWrap w:val="0"/>
        <w:overflowPunct w:val="0"/>
        <w:spacing w:line="480" w:lineRule="auto"/>
        <w:jc w:val="both"/>
        <w:textAlignment w:val="auto"/>
        <w:rPr>
          <w:rFonts w:hint="eastAsia" w:ascii="Arial" w:hAnsi="Arial" w:cs="Arial"/>
          <w:sz w:val="21"/>
          <w:szCs w:val="21"/>
        </w:rPr>
      </w:pPr>
      <w:r>
        <w:rPr>
          <w:rFonts w:ascii="Arial" w:hAnsi="Arial" w:cs="Arial"/>
          <w:sz w:val="21"/>
          <w:szCs w:val="21"/>
        </w:rPr>
        <w:t>10.</w:t>
      </w:r>
      <w:r>
        <w:rPr>
          <w:rFonts w:hint="eastAsia" w:ascii="Arial" w:hAnsi="Arial" w:cs="Arial"/>
          <w:sz w:val="21"/>
          <w:szCs w:val="21"/>
        </w:rPr>
        <w:t>《北京市住房和城乡建设委员会 北京市发展和改革委员会 北京市规划和自然资源委员会关于印发2022年全市首批保障性住房开竣工项目建设计划的通知》（京建发[2022]121号）</w:t>
      </w:r>
    </w:p>
    <w:p w14:paraId="4452ABFD">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lang w:val="en-US" w:eastAsia="zh-CN"/>
        </w:rPr>
        <w:t>11.</w:t>
      </w:r>
      <w:r>
        <w:rPr>
          <w:rFonts w:hint="eastAsia" w:ascii="Arial" w:hAnsi="Arial" w:cs="Arial"/>
          <w:sz w:val="21"/>
          <w:szCs w:val="21"/>
        </w:rPr>
        <w:t>《住房租赁条例》</w:t>
      </w:r>
      <w:r>
        <w:rPr>
          <w:rFonts w:hint="eastAsia" w:ascii="Arial" w:hAnsi="Arial" w:cs="Arial"/>
          <w:sz w:val="21"/>
          <w:szCs w:val="21"/>
          <w:lang w:eastAsia="zh-CN"/>
        </w:rPr>
        <w:t>（</w:t>
      </w:r>
      <w:r>
        <w:rPr>
          <w:rFonts w:hint="eastAsia" w:ascii="Arial" w:hAnsi="Arial" w:cs="Arial"/>
          <w:sz w:val="21"/>
          <w:szCs w:val="21"/>
        </w:rPr>
        <w:t>国务院令第812号</w:t>
      </w:r>
      <w:r>
        <w:rPr>
          <w:rFonts w:hint="eastAsia" w:ascii="Arial" w:hAnsi="Arial" w:cs="Arial"/>
          <w:sz w:val="21"/>
          <w:szCs w:val="21"/>
          <w:lang w:eastAsia="zh-CN"/>
        </w:rPr>
        <w:t>）</w:t>
      </w:r>
    </w:p>
    <w:p w14:paraId="345C547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2.</w:t>
      </w:r>
      <w:commentRangeStart w:id="1"/>
      <w:r>
        <w:rPr>
          <w:rFonts w:hint="eastAsia" w:ascii="Arial" w:hAnsi="Arial" w:cs="Arial"/>
          <w:sz w:val="21"/>
          <w:szCs w:val="21"/>
        </w:rPr>
        <w:t>《北京市保障性租赁住房建设导则（试行）》（京建发〔2022〕105号）</w:t>
      </w:r>
      <w:commentRangeEnd w:id="1"/>
      <w:r>
        <w:rPr>
          <w:rStyle w:val="40"/>
        </w:rPr>
        <w:commentReference w:id="1"/>
      </w:r>
    </w:p>
    <w:p w14:paraId="55215AC8">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7BA486AA">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71CF2A0E">
      <w:pPr>
        <w:numPr>
          <w:ilvl w:val="0"/>
          <w:numId w:val="6"/>
        </w:numPr>
        <w:wordWrap w:val="0"/>
        <w:overflowPunct w:val="0"/>
        <w:spacing w:line="480" w:lineRule="auto"/>
        <w:ind w:left="0" w:firstLine="0"/>
        <w:jc w:val="both"/>
        <w:textAlignment w:val="auto"/>
        <w:rPr>
          <w:rFonts w:ascii="Arial" w:hAnsi="Arial" w:cs="Arial"/>
          <w:b/>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338D567E">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503BFFE8">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28D542D8">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187230F6">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6FCD14B2">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299FEDDF">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《北京市保障性住房收购合同》及其附件复印件</w:t>
      </w:r>
    </w:p>
    <w:p w14:paraId="77754B91">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《不动产权证书》[京（2026）大不动产权第0006771、0006774、0006887、0006889、0006899、0006906、0006914、0006922、0006926、0006949、0006958、0006963、0006949号]部分复印件</w:t>
      </w:r>
    </w:p>
    <w:p w14:paraId="69E0E56C">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估价委托人《营业执照（副本）》复印件</w:t>
      </w:r>
    </w:p>
    <w:p w14:paraId="73CE41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4AC1AF2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03683193">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4F428ACD">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46D3AF5E">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41FB7B45">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67B4E2E7">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1D3F2DA9">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w:t>
      </w:r>
      <w:r>
        <w:rPr>
          <w:rStyle w:val="40"/>
          <w:rFonts w:ascii="Times New Roman"/>
        </w:rPr>
        <w:commentReference w:id="2"/>
      </w:r>
      <w:r>
        <w:rPr>
          <w:rFonts w:hint="eastAsia" w:ascii="Arial" w:hAnsi="Arial" w:cs="Arial"/>
          <w:sz w:val="21"/>
          <w:szCs w:val="21"/>
          <w:lang w:eastAsia="zh-CN"/>
        </w:rPr>
        <w:t>条件设定</w:t>
      </w:r>
      <w:r>
        <w:rPr>
          <w:rFonts w:hint="eastAsia" w:ascii="Arial" w:hAnsi="Arial" w:cs="Arial"/>
          <w:sz w:val="21"/>
          <w:szCs w:val="21"/>
        </w:rPr>
        <w:t>：</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05B1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BC7633F">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4B3719DD">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1BE8130C">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312F6C15">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0352285E">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01E33D3F">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D41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22583E">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409FE6E1">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16913C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56.92</w:t>
            </w:r>
          </w:p>
        </w:tc>
        <w:tc>
          <w:tcPr>
            <w:tcW w:w="1557" w:type="dxa"/>
          </w:tcPr>
          <w:p w14:paraId="4728673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40CDCC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C7FC8A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49AC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4BCFD19">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61466632">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64CB7C4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6D6ABF9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33463A3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8330DF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338B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D7092E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62C15C9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2F0B276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125.6</w:t>
            </w:r>
          </w:p>
        </w:tc>
        <w:tc>
          <w:tcPr>
            <w:tcW w:w="1557" w:type="dxa"/>
          </w:tcPr>
          <w:p w14:paraId="59F2E2D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5F474AB">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1E2CB0EB">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bl>
    <w:p w14:paraId="1B9BD75D">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44A1C4B4">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0D0416E5">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70EEF913">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1AD63C59">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27D5F248">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55BC86BA">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3C896DDB">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7F482DB1">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0F0DD5EA">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ascii="Arial" w:hAnsi="Arial" w:cs="Arial"/>
          <w:sz w:val="21"/>
          <w:szCs w:val="21"/>
        </w:rPr>
        <w:t>公寓</w:t>
      </w:r>
      <w:r>
        <w:rPr>
          <w:rFonts w:ascii="Arial" w:hAnsi="Arial" w:cs="Arial"/>
          <w:sz w:val="21"/>
          <w:szCs w:val="21"/>
        </w:rPr>
        <w:t>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20D43A2A">
      <w:pPr>
        <w:pStyle w:val="60"/>
        <w:wordWrap w:val="0"/>
        <w:overflowPunct w:val="0"/>
        <w:autoSpaceDE w:val="0"/>
        <w:autoSpaceDN w:val="0"/>
        <w:spacing w:line="480" w:lineRule="auto"/>
        <w:ind w:right="142" w:firstLine="420" w:firstLineChars="200"/>
        <w:jc w:val="both"/>
        <w:textAlignment w:val="auto"/>
        <w:rPr>
          <w:rFonts w:ascii="Arial" w:hAnsi="Arial" w:cs="Arial"/>
          <w:sz w:val="21"/>
          <w:szCs w:val="21"/>
        </w:rPr>
      </w:pPr>
    </w:p>
    <w:p w14:paraId="08C83407">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7" w:name="_Toc155267095"/>
      <w:bookmarkStart w:id="38" w:name="_Toc168225822"/>
      <w:r>
        <w:rPr>
          <w:rFonts w:eastAsia="宋体"/>
          <w:kern w:val="2"/>
          <w:sz w:val="21"/>
          <w:szCs w:val="21"/>
        </w:rPr>
        <w:t>十、估价结果</w:t>
      </w:r>
      <w:bookmarkEnd w:id="37"/>
      <w:bookmarkEnd w:id="38"/>
    </w:p>
    <w:p w14:paraId="0380B10F">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（西红门金鼎欣盛家园）保障性租赁住房（住宅型）项目于价值时点2026年4月7日同地段、同品质市场租赁住房租金为： </w:t>
      </w:r>
    </w:p>
    <w:p w14:paraId="7B154EF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一居室（56.92-57.43</w:t>
      </w:r>
      <w:r>
        <w:rPr>
          <w:rFonts w:ascii="Arial" w:hAnsi="Arial" w:cs="Arial"/>
          <w:b/>
          <w:bCs/>
          <w:sz w:val="21"/>
          <w:szCs w:val="21"/>
        </w:rPr>
        <w:t>平方米）</w:t>
      </w:r>
      <w:r>
        <w:rPr>
          <w:rFonts w:hint="eastAsia" w:ascii="Arial" w:hAnsi="Arial" w:cs="Arial"/>
          <w:b/>
          <w:bCs/>
          <w:sz w:val="21"/>
          <w:szCs w:val="21"/>
        </w:rPr>
        <w:t>：46.02元/平方米·月</w:t>
      </w:r>
    </w:p>
    <w:p w14:paraId="7B83FEC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两居室（87.86-90.39</w:t>
      </w:r>
      <w:r>
        <w:rPr>
          <w:rFonts w:ascii="Arial" w:hAnsi="Arial" w:cs="Arial"/>
          <w:b/>
          <w:bCs/>
          <w:sz w:val="21"/>
          <w:szCs w:val="21"/>
        </w:rPr>
        <w:t>平方米）</w:t>
      </w:r>
      <w:r>
        <w:rPr>
          <w:rFonts w:hint="eastAsia" w:ascii="Arial" w:hAnsi="Arial" w:cs="Arial"/>
          <w:b/>
          <w:bCs/>
          <w:sz w:val="21"/>
          <w:szCs w:val="21"/>
        </w:rPr>
        <w:t>：39.73元/平方米·月</w:t>
      </w:r>
    </w:p>
    <w:p w14:paraId="11D1DB0F">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三居室（125.6-127.11</w:t>
      </w:r>
      <w:r>
        <w:rPr>
          <w:rFonts w:ascii="Arial" w:hAnsi="Arial" w:cs="Arial"/>
          <w:b/>
          <w:bCs/>
          <w:sz w:val="21"/>
          <w:szCs w:val="21"/>
        </w:rPr>
        <w:t>平方米</w:t>
      </w:r>
      <w:r>
        <w:rPr>
          <w:rFonts w:hint="eastAsia" w:ascii="Arial" w:hAnsi="Arial" w:cs="Arial"/>
          <w:b/>
          <w:bCs/>
          <w:sz w:val="21"/>
          <w:szCs w:val="21"/>
        </w:rPr>
        <w:t>）：29.99元/平方米·月</w:t>
      </w:r>
    </w:p>
    <w:p w14:paraId="3ACD7BEE">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综合租金：37.66元/平方米·月</w:t>
      </w:r>
    </w:p>
    <w:p w14:paraId="78183D1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54ED71B4">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342FDD15">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p>
    <w:p w14:paraId="2B414E8A">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br w:type="page"/>
      </w:r>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4C668C3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036ECACB">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3F9DDE2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51EC65F">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58ACE58E">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7BEF5784">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27FD687A">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0B7807E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26610D43">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74467D8E">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4F4BB5F5">
            <w:pPr>
              <w:tabs>
                <w:tab w:val="left" w:pos="5160"/>
              </w:tabs>
              <w:overflowPunct w:val="0"/>
              <w:spacing w:line="240" w:lineRule="auto"/>
              <w:rPr>
                <w:rFonts w:ascii="Arial" w:hAnsi="Arial" w:cs="Arial"/>
                <w:sz w:val="21"/>
                <w:szCs w:val="21"/>
              </w:rPr>
            </w:pPr>
          </w:p>
        </w:tc>
        <w:tc>
          <w:tcPr>
            <w:tcW w:w="2582" w:type="dxa"/>
            <w:vAlign w:val="center"/>
          </w:tcPr>
          <w:p w14:paraId="26905E22">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30ED9FA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16D51D8A">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08DAF614">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531F008E">
            <w:pPr>
              <w:tabs>
                <w:tab w:val="left" w:pos="5160"/>
              </w:tabs>
              <w:overflowPunct w:val="0"/>
              <w:spacing w:line="240" w:lineRule="auto"/>
              <w:rPr>
                <w:rFonts w:ascii="Arial" w:hAnsi="Arial" w:cs="Arial"/>
                <w:sz w:val="21"/>
                <w:szCs w:val="21"/>
              </w:rPr>
            </w:pPr>
          </w:p>
        </w:tc>
        <w:tc>
          <w:tcPr>
            <w:tcW w:w="2582" w:type="dxa"/>
            <w:vAlign w:val="center"/>
          </w:tcPr>
          <w:p w14:paraId="676536A1">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2B77B41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27135384">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096FCAC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2A45891D">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48A9E970">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396D479A">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3060B796">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7689618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20C26971">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5D53DC48">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753693E3">
            <w:pPr>
              <w:tabs>
                <w:tab w:val="left" w:pos="5160"/>
              </w:tabs>
              <w:overflowPunct w:val="0"/>
              <w:spacing w:line="240" w:lineRule="auto"/>
              <w:rPr>
                <w:rFonts w:ascii="Arial" w:hAnsi="Arial" w:cs="Arial"/>
                <w:sz w:val="21"/>
                <w:szCs w:val="21"/>
              </w:rPr>
            </w:pPr>
          </w:p>
        </w:tc>
        <w:tc>
          <w:tcPr>
            <w:tcW w:w="2582" w:type="dxa"/>
            <w:vAlign w:val="center"/>
          </w:tcPr>
          <w:p w14:paraId="49D47495">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0F704DDE">
      <w:pPr>
        <w:overflowPunct w:val="0"/>
        <w:spacing w:line="480" w:lineRule="auto"/>
        <w:jc w:val="both"/>
        <w:textAlignment w:val="auto"/>
        <w:rPr>
          <w:rFonts w:ascii="Arial" w:hAnsi="Arial" w:cs="Arial"/>
          <w:kern w:val="2"/>
          <w:sz w:val="21"/>
          <w:szCs w:val="21"/>
        </w:rPr>
      </w:pPr>
    </w:p>
    <w:p w14:paraId="62680A00">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4C547F5C">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p>
    <w:p w14:paraId="60A6D2B3">
      <w:pPr>
        <w:overflowPunct w:val="0"/>
        <w:spacing w:line="480" w:lineRule="auto"/>
        <w:jc w:val="both"/>
        <w:textAlignment w:val="auto"/>
        <w:rPr>
          <w:rFonts w:ascii="Arial" w:hAnsi="Arial" w:cs="Arial"/>
          <w:kern w:val="2"/>
          <w:sz w:val="21"/>
          <w:szCs w:val="21"/>
        </w:rPr>
      </w:pPr>
    </w:p>
    <w:p w14:paraId="7AEDF48A">
      <w:pPr>
        <w:pStyle w:val="3"/>
        <w:numPr>
          <w:ilvl w:val="0"/>
          <w:numId w:val="0"/>
        </w:numPr>
        <w:overflowPunct w:val="0"/>
        <w:spacing w:line="480" w:lineRule="auto"/>
        <w:jc w:val="both"/>
        <w:textAlignment w:val="auto"/>
        <w:rPr>
          <w:rFonts w:eastAsia="宋体"/>
          <w:kern w:val="2"/>
          <w:sz w:val="21"/>
          <w:szCs w:val="21"/>
        </w:rPr>
      </w:pPr>
      <w:bookmarkStart w:id="42" w:name="_Toc168225825"/>
      <w:bookmarkStart w:id="43" w:name="_Toc155267098"/>
      <w:r>
        <w:rPr>
          <w:rFonts w:eastAsia="宋体"/>
          <w:kern w:val="2"/>
          <w:sz w:val="21"/>
          <w:szCs w:val="21"/>
        </w:rPr>
        <w:t>十三、估价作业期</w:t>
      </w:r>
      <w:bookmarkEnd w:id="42"/>
      <w:bookmarkEnd w:id="43"/>
      <w:r>
        <w:rPr>
          <w:rFonts w:hint="eastAsia" w:eastAsia="宋体"/>
          <w:kern w:val="2"/>
          <w:sz w:val="21"/>
          <w:szCs w:val="21"/>
        </w:rPr>
        <w:t xml:space="preserve">  </w:t>
      </w:r>
    </w:p>
    <w:p w14:paraId="15CB5855">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16</w:t>
      </w:r>
      <w:r>
        <w:rPr>
          <w:rFonts w:ascii="Arial" w:hAnsi="Arial" w:cs="Arial"/>
          <w:sz w:val="21"/>
          <w:szCs w:val="21"/>
        </w:rPr>
        <w:t>日</w:t>
      </w:r>
    </w:p>
    <w:p w14:paraId="350874A5">
      <w:pPr>
        <w:overflowPunct w:val="0"/>
        <w:spacing w:line="480" w:lineRule="auto"/>
        <w:jc w:val="both"/>
        <w:textAlignment w:val="auto"/>
        <w:outlineLvl w:val="0"/>
        <w:rPr>
          <w:rFonts w:ascii="Arial" w:hAnsi="Arial" w:cs="Arial"/>
          <w:b/>
          <w:kern w:val="2"/>
          <w:sz w:val="21"/>
          <w:szCs w:val="21"/>
        </w:rPr>
        <w:sectPr>
          <w:headerReference r:id="rId21" w:type="first"/>
          <w:headerReference r:id="rId19" w:type="default"/>
          <w:footerReference r:id="rId22" w:type="default"/>
          <w:headerReference r:id="rId20" w:type="even"/>
          <w:footerReference r:id="rId23" w:type="even"/>
          <w:pgSz w:w="11907" w:h="16840"/>
          <w:pgMar w:top="1843" w:right="1134" w:bottom="1134" w:left="1134" w:header="1134" w:footer="907" w:gutter="340"/>
          <w:cols w:space="720" w:num="1"/>
          <w:docGrid w:linePitch="326" w:charSpace="0"/>
        </w:sectPr>
      </w:pPr>
    </w:p>
    <w:p w14:paraId="206FA786">
      <w:pPr>
        <w:pStyle w:val="2"/>
        <w:spacing w:line="480" w:lineRule="auto"/>
        <w:jc w:val="center"/>
        <w:rPr>
          <w:rFonts w:eastAsia="方正黑体简体"/>
          <w:b w:val="0"/>
          <w:kern w:val="2"/>
          <w:sz w:val="32"/>
          <w:szCs w:val="32"/>
        </w:rPr>
      </w:pPr>
      <w:bookmarkStart w:id="44" w:name="_Toc525655431"/>
      <w:bookmarkStart w:id="45" w:name="_Toc155267099"/>
      <w:r>
        <w:rPr>
          <w:rFonts w:hint="eastAsia" w:eastAsia="方正黑体简体"/>
          <w:b w:val="0"/>
          <w:kern w:val="2"/>
          <w:sz w:val="32"/>
          <w:szCs w:val="32"/>
        </w:rPr>
        <w:t>估价技术报告</w:t>
      </w:r>
      <w:bookmarkEnd w:id="44"/>
      <w:bookmarkEnd w:id="45"/>
    </w:p>
    <w:p w14:paraId="767A8164">
      <w:pPr>
        <w:pStyle w:val="3"/>
        <w:numPr>
          <w:ilvl w:val="0"/>
          <w:numId w:val="0"/>
        </w:numPr>
        <w:spacing w:line="480" w:lineRule="auto"/>
        <w:ind w:left="358" w:hanging="358" w:hangingChars="170"/>
        <w:jc w:val="both"/>
        <w:rPr>
          <w:rFonts w:eastAsia="宋体"/>
          <w:kern w:val="2"/>
          <w:sz w:val="21"/>
          <w:szCs w:val="21"/>
        </w:rPr>
      </w:pPr>
      <w:bookmarkStart w:id="46" w:name="_Toc155267100"/>
      <w:bookmarkStart w:id="47" w:name="_Toc525655432"/>
      <w:r>
        <w:rPr>
          <w:rFonts w:eastAsia="宋体"/>
          <w:kern w:val="2"/>
          <w:sz w:val="21"/>
          <w:szCs w:val="21"/>
        </w:rPr>
        <w:t>一、估价对象描述与分析</w:t>
      </w:r>
      <w:bookmarkEnd w:id="46"/>
      <w:bookmarkEnd w:id="47"/>
    </w:p>
    <w:p w14:paraId="54C2BEA1">
      <w:pPr>
        <w:pStyle w:val="3"/>
        <w:numPr>
          <w:ilvl w:val="0"/>
          <w:numId w:val="0"/>
        </w:numPr>
        <w:spacing w:line="480" w:lineRule="auto"/>
        <w:ind w:left="360" w:hanging="361" w:hangingChars="171"/>
        <w:jc w:val="both"/>
        <w:rPr>
          <w:rFonts w:eastAsia="宋体"/>
          <w:kern w:val="2"/>
          <w:sz w:val="21"/>
          <w:szCs w:val="21"/>
        </w:rPr>
      </w:pPr>
      <w:bookmarkStart w:id="48" w:name="_Toc525655433"/>
      <w:bookmarkStart w:id="49" w:name="_Toc155267101"/>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4E181681">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0D2441E9">
      <w:pPr>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估价对象位于北京市</w:t>
      </w:r>
      <w:r>
        <w:rPr>
          <w:rFonts w:hint="eastAsia" w:ascii="Arial" w:hAnsi="Arial" w:cs="Arial"/>
          <w:kern w:val="2"/>
          <w:sz w:val="21"/>
          <w:szCs w:val="21"/>
        </w:rPr>
        <w:t>大兴区西红门镇</w:t>
      </w:r>
      <w:r>
        <w:rPr>
          <w:rFonts w:ascii="Arial" w:hAnsi="Arial" w:cs="Arial"/>
          <w:kern w:val="2"/>
          <w:sz w:val="21"/>
          <w:szCs w:val="21"/>
        </w:rPr>
        <w:t>，</w:t>
      </w:r>
      <w:r>
        <w:rPr>
          <w:rFonts w:hint="eastAsia" w:ascii="Arial" w:hAnsi="Arial" w:cs="Arial"/>
          <w:kern w:val="2"/>
          <w:sz w:val="21"/>
          <w:szCs w:val="21"/>
        </w:rPr>
        <w:t>南侧距南六环路直线距离约800米、南侧距京台高速直线距离约1200米</w:t>
      </w:r>
      <w:r>
        <w:rPr>
          <w:rFonts w:ascii="Arial" w:hAnsi="Arial" w:cs="Arial"/>
          <w:kern w:val="2"/>
          <w:sz w:val="21"/>
          <w:szCs w:val="21"/>
        </w:rPr>
        <w:t>，</w:t>
      </w:r>
      <w:r>
        <w:rPr>
          <w:rFonts w:hint="eastAsia" w:ascii="Arial" w:hAnsi="Arial" w:cs="Arial"/>
          <w:kern w:val="2"/>
          <w:sz w:val="21"/>
          <w:szCs w:val="21"/>
        </w:rPr>
        <w:t>西侧临近新西凤渠湿地公园，</w:t>
      </w:r>
      <w:r>
        <w:rPr>
          <w:rFonts w:ascii="Arial" w:hAnsi="Arial" w:cs="Arial"/>
          <w:kern w:val="2"/>
          <w:sz w:val="21"/>
          <w:szCs w:val="21"/>
        </w:rPr>
        <w:t>地理位置状况</w:t>
      </w:r>
      <w:r>
        <w:rPr>
          <w:rFonts w:hint="eastAsia" w:ascii="Arial" w:hAnsi="Arial" w:cs="Arial"/>
          <w:kern w:val="2"/>
          <w:sz w:val="21"/>
          <w:szCs w:val="21"/>
        </w:rPr>
        <w:t>一般</w:t>
      </w:r>
      <w:r>
        <w:rPr>
          <w:rFonts w:ascii="Arial" w:hAnsi="Arial" w:cs="Arial"/>
          <w:kern w:val="2"/>
          <w:sz w:val="21"/>
          <w:szCs w:val="21"/>
        </w:rPr>
        <w:t>。</w:t>
      </w:r>
    </w:p>
    <w:p w14:paraId="43014277">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225F994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估价对象周边2公里内有CCB建融家园创业之家、紫薇兰庭等居住项目，居住小区规模适中，入住率一般，综合评价居住社区成熟度一般。</w:t>
      </w:r>
    </w:p>
    <w:p w14:paraId="48876480">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0D274F1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估价对象紧邻城市次干道——鼎创路，周边路网较密集；周边2公里范围内无轨道交通站点，周边1公里内有兴29路、兴63路、兴80路等公交线路途径并设立站点，综合评价交通便捷度一般。</w:t>
      </w:r>
    </w:p>
    <w:p w14:paraId="38117E2B">
      <w:pPr>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环境状况</w:t>
      </w:r>
    </w:p>
    <w:p w14:paraId="1222118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估价对象周边2公里有新西凤渠湿地、新凤河等自然景观，自然与人文环境一般</w:t>
      </w:r>
      <w:commentRangeStart w:id="3"/>
      <w:r>
        <w:rPr>
          <w:rFonts w:hint="eastAsia" w:ascii="Arial" w:hAnsi="Arial" w:cs="Arial"/>
          <w:sz w:val="21"/>
          <w:szCs w:val="21"/>
        </w:rPr>
        <w:t>。</w:t>
      </w:r>
      <w:commentRangeEnd w:id="3"/>
      <w:r>
        <w:rPr>
          <w:rStyle w:val="40"/>
        </w:rPr>
        <w:commentReference w:id="3"/>
      </w:r>
    </w:p>
    <w:p w14:paraId="40078D69">
      <w:pPr>
        <w:spacing w:line="480" w:lineRule="auto"/>
        <w:ind w:firstLine="420" w:firstLineChars="200"/>
        <w:jc w:val="both"/>
        <w:rPr>
          <w:rFonts w:ascii="Arial" w:hAnsi="Arial" w:cs="Arial"/>
          <w:i/>
          <w:sz w:val="21"/>
          <w:szCs w:val="21"/>
        </w:rPr>
      </w:pPr>
      <w:r>
        <w:rPr>
          <w:rFonts w:hint="eastAsia" w:ascii="Arial" w:hAnsi="Arial" w:cs="Arial"/>
          <w:sz w:val="21"/>
          <w:szCs w:val="21"/>
        </w:rPr>
        <w:t>5.</w:t>
      </w:r>
      <w:r>
        <w:rPr>
          <w:rFonts w:ascii="Arial" w:hAnsi="Arial" w:cs="Arial"/>
          <w:sz w:val="21"/>
          <w:szCs w:val="21"/>
        </w:rPr>
        <w:t>外部配套设施状况</w:t>
      </w:r>
    </w:p>
    <w:p w14:paraId="7CC8CA69">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3E0A131C">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周边2公里范围内无大型购物中心，有多喜多超市、春雷生活超市等生活配套商业；有北京现代艺术学校、北京三间房中心幼儿园等教育机构，有北京市大兴区黄村镇三间房社区卫生服务站等医疗机构；有北京农商银行（新建分理处）等金融网点，公共配套设施状况一般。</w:t>
      </w:r>
    </w:p>
    <w:p w14:paraId="238BE17B">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p w14:paraId="4855EA06">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估价对象地理位置状况一般，居住社区成熟度一般，交通便捷度一般，环境状况一般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”，公共配套设施状况一般。</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w:t>
      </w:r>
      <w:bookmarkEnd w:id="50"/>
      <w:r>
        <w:rPr>
          <w:rFonts w:ascii="Arial" w:hAnsi="Arial" w:cs="Arial"/>
          <w:sz w:val="21"/>
          <w:szCs w:val="21"/>
        </w:rPr>
        <w:t>总体评价影响估价对象的</w:t>
      </w:r>
      <w:r>
        <w:rPr>
          <w:rFonts w:hint="eastAsia" w:ascii="Arial" w:hAnsi="Arial" w:cs="Arial"/>
          <w:sz w:val="21"/>
          <w:szCs w:val="21"/>
        </w:rPr>
        <w:t>区位条件一般</w:t>
      </w:r>
      <w:r>
        <w:rPr>
          <w:rFonts w:ascii="Arial" w:hAnsi="Arial" w:cs="Arial"/>
          <w:sz w:val="21"/>
          <w:szCs w:val="21"/>
        </w:rPr>
        <w:t>。</w:t>
      </w:r>
    </w:p>
    <w:p w14:paraId="22FFC6D1">
      <w:pPr>
        <w:pStyle w:val="3"/>
        <w:numPr>
          <w:ilvl w:val="0"/>
          <w:numId w:val="0"/>
        </w:numPr>
        <w:spacing w:line="480" w:lineRule="auto"/>
        <w:ind w:left="360" w:hanging="361" w:hangingChars="171"/>
        <w:jc w:val="both"/>
        <w:rPr>
          <w:rFonts w:eastAsia="宋体"/>
          <w:kern w:val="2"/>
          <w:sz w:val="21"/>
          <w:szCs w:val="21"/>
        </w:rPr>
      </w:pPr>
      <w:bookmarkStart w:id="51" w:name="_Toc155267102"/>
      <w:bookmarkStart w:id="52" w:name="_Toc525655435"/>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497B0336">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0F370CCE">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hint="eastAsia" w:ascii="Arial" w:hAnsi="Arial" w:cs="Arial"/>
          <w:kern w:val="2"/>
          <w:sz w:val="21"/>
          <w:szCs w:val="21"/>
        </w:rPr>
        <w:t>（1）</w:t>
      </w:r>
      <w:r>
        <w:rPr>
          <w:rFonts w:hint="eastAsia" w:ascii="Arial" w:hAnsi="Arial" w:cs="Arial"/>
          <w:sz w:val="21"/>
          <w:szCs w:val="21"/>
        </w:rPr>
        <w:t>根据《不动产权证书》[京（2026）大不动产权第0006771、0006774、0006887、0006889、0006899、0006906、0006914、0006922、0006926、0006949、0006958、0006963、0006949号]部分，估价对象为北京市大兴区鼎创路23号院1号楼1层一单元103等100套（西红门金鼎欣盛家园）保障性租赁住房（住宅型），总建筑</w:t>
      </w:r>
      <w:r>
        <w:rPr>
          <w:rFonts w:hint="eastAsia" w:ascii="Arial" w:hAnsi="Arial" w:cs="Arial"/>
          <w:kern w:val="2"/>
          <w:sz w:val="21"/>
          <w:szCs w:val="21"/>
        </w:rPr>
        <w:t>面积9094.97平方米，权利人为北京市燕兴保障性住房建设投资有限公司，共有情况为单独所有，权利类型为国有建设用地使用权/房屋所有权，权利性质为划拨/按经济适用住房管理，用途为城镇住宅用地/住房，共有宗地面积30183.95平方米，所属宗地现状四至为东至CCB建融家园创业之家，南至鼎创路，西至金服大街，北至北京城乡集团。</w:t>
      </w:r>
    </w:p>
    <w:p w14:paraId="4DF2FAA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7D878F6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5494F9A5">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723A14C4">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393B9DA3">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3F1B489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（1）建设规模：估价对象所属西红门金鼎欣盛家园</w:t>
      </w:r>
      <w:r>
        <w:rPr>
          <w:rFonts w:ascii="Arial" w:hAnsi="Arial" w:cs="Arial"/>
          <w:sz w:val="21"/>
          <w:szCs w:val="21"/>
        </w:rPr>
        <w:t>项目</w:t>
      </w:r>
      <w:r>
        <w:rPr>
          <w:rFonts w:hint="eastAsia" w:ascii="Arial" w:hAnsi="Arial" w:cs="Arial"/>
          <w:sz w:val="21"/>
          <w:szCs w:val="21"/>
        </w:rPr>
        <w:t>，</w:t>
      </w:r>
      <w:r>
        <w:rPr>
          <w:rFonts w:ascii="Arial" w:hAnsi="Arial" w:cs="Arial"/>
          <w:sz w:val="21"/>
          <w:szCs w:val="21"/>
        </w:rPr>
        <w:t>位于大兴区鼎业路与新康路交叉路口</w:t>
      </w:r>
      <w:r>
        <w:rPr>
          <w:rFonts w:hint="eastAsia" w:ascii="Arial" w:hAnsi="Arial" w:cs="Arial"/>
          <w:sz w:val="21"/>
          <w:szCs w:val="21"/>
        </w:rPr>
        <w:t>，</w:t>
      </w:r>
      <w:r>
        <w:rPr>
          <w:rFonts w:ascii="Arial" w:hAnsi="Arial" w:cs="Arial"/>
          <w:sz w:val="21"/>
          <w:szCs w:val="21"/>
        </w:rPr>
        <w:t>邻新西凤渠湿地公园约1公里。</w:t>
      </w:r>
      <w:r>
        <w:rPr>
          <w:rFonts w:hint="eastAsia" w:ascii="Arial" w:hAnsi="Arial" w:cs="Arial"/>
          <w:sz w:val="21"/>
          <w:szCs w:val="21"/>
        </w:rPr>
        <w:t>收购房屋套数100套，总建筑</w:t>
      </w:r>
      <w:r>
        <w:rPr>
          <w:rFonts w:hint="eastAsia" w:ascii="Arial" w:hAnsi="Arial" w:cs="Arial"/>
          <w:kern w:val="2"/>
          <w:sz w:val="21"/>
          <w:szCs w:val="21"/>
        </w:rPr>
        <w:t>面积9094.97平方米，</w:t>
      </w:r>
      <w:r>
        <w:rPr>
          <w:rFonts w:hint="eastAsia" w:ascii="Arial" w:hAnsi="Arial" w:cs="Arial"/>
          <w:sz w:val="21"/>
          <w:szCs w:val="21"/>
        </w:rPr>
        <w:t>其中一居室16套（户型面积区间56.92至57.43平方米），两居室64套（户型面积区间87.86至90.39平方米），三居室20套（户型面积区间125.6至127.11平方米），房屋状态为中档装修。估价对象具体情况如下：</w:t>
      </w:r>
    </w:p>
    <w:p w14:paraId="14BB87B1">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409" w:type="dxa"/>
        <w:tblInd w:w="96" w:type="dxa"/>
        <w:tblLayout w:type="autofit"/>
        <w:tblCellMar>
          <w:top w:w="0" w:type="dxa"/>
          <w:left w:w="108" w:type="dxa"/>
          <w:bottom w:w="0" w:type="dxa"/>
          <w:right w:w="108" w:type="dxa"/>
        </w:tblCellMar>
      </w:tblPr>
      <w:tblGrid>
        <w:gridCol w:w="2467"/>
        <w:gridCol w:w="1030"/>
        <w:gridCol w:w="1590"/>
        <w:gridCol w:w="1500"/>
        <w:gridCol w:w="830"/>
        <w:gridCol w:w="1992"/>
      </w:tblGrid>
      <w:tr w14:paraId="2C582973">
        <w:tblPrEx>
          <w:tblCellMar>
            <w:top w:w="0" w:type="dxa"/>
            <w:left w:w="108" w:type="dxa"/>
            <w:bottom w:w="0" w:type="dxa"/>
            <w:right w:w="108" w:type="dxa"/>
          </w:tblCellMar>
        </w:tblPrEx>
        <w:trPr>
          <w:trHeight w:val="360" w:hRule="atLeast"/>
          <w:tblHeader/>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160C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FB679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C22B3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01375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42A2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2843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1A24E281">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3ADBF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鼎创路23号院1、2、3、5、6、7、8、9号楼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5A5F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CCBA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57.17-57.43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D6DC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1865C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51C8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286.13</w:t>
            </w:r>
          </w:p>
        </w:tc>
      </w:tr>
      <w:tr w14:paraId="45034114">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1238D2">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1A8E7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D8D56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87.85-90.39</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7EDC2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CFBB6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60B7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4335.27</w:t>
            </w:r>
          </w:p>
        </w:tc>
      </w:tr>
      <w:tr w14:paraId="08034E17">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E47C7A">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88107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ED5FC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125.96-127.11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80435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A51A1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E7570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885.57</w:t>
            </w:r>
          </w:p>
        </w:tc>
      </w:tr>
      <w:tr w14:paraId="2AE2807C">
        <w:tblPrEx>
          <w:tblCellMar>
            <w:top w:w="0" w:type="dxa"/>
            <w:left w:w="108" w:type="dxa"/>
            <w:bottom w:w="0" w:type="dxa"/>
            <w:right w:w="108" w:type="dxa"/>
          </w:tblCellMar>
        </w:tblPrEx>
        <w:trPr>
          <w:trHeight w:val="264" w:hRule="atLeast"/>
        </w:trPr>
        <w:tc>
          <w:tcPr>
            <w:tcW w:w="2467" w:type="dxa"/>
            <w:tcBorders>
              <w:top w:val="nil"/>
              <w:left w:val="single" w:color="000000" w:sz="4" w:space="0"/>
              <w:bottom w:val="nil"/>
              <w:right w:val="single" w:color="000000" w:sz="4" w:space="0"/>
            </w:tcBorders>
            <w:shd w:val="clear" w:color="auto" w:fill="FFFFFF" w:themeFill="background1"/>
            <w:vAlign w:val="center"/>
          </w:tcPr>
          <w:p w14:paraId="01D77CF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E18A1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7C3C7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28D8C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2316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FEED4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5506.97</w:t>
            </w:r>
          </w:p>
        </w:tc>
      </w:tr>
      <w:tr w14:paraId="1779B023">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14:paraId="4E67E2E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鼎创路29号院1、2、6、7、8号楼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7860D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27859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56.92-57.43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D1D9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526F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D5786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627.63</w:t>
            </w:r>
          </w:p>
        </w:tc>
      </w:tr>
      <w:tr w14:paraId="536E0682">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3266ED95">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52FD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F831B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87.86-88.4</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88D6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48FC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BD122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1319.34</w:t>
            </w:r>
          </w:p>
        </w:tc>
      </w:tr>
      <w:tr w14:paraId="24A676EC">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3EFC86BD">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nil"/>
              <w:right w:val="single" w:color="000000" w:sz="4" w:space="0"/>
            </w:tcBorders>
            <w:shd w:val="clear" w:color="auto" w:fill="FFFFFF" w:themeFill="background1"/>
            <w:vAlign w:val="center"/>
          </w:tcPr>
          <w:p w14:paraId="78C9CE8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nil"/>
              <w:right w:val="single" w:color="000000" w:sz="4" w:space="0"/>
            </w:tcBorders>
            <w:shd w:val="clear" w:color="auto" w:fill="FFFFFF" w:themeFill="background1"/>
            <w:vAlign w:val="center"/>
          </w:tcPr>
          <w:p w14:paraId="710446D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125.6-127.1</w:t>
            </w:r>
          </w:p>
        </w:tc>
        <w:tc>
          <w:tcPr>
            <w:tcW w:w="1500" w:type="dxa"/>
            <w:tcBorders>
              <w:top w:val="single" w:color="000000" w:sz="4" w:space="0"/>
              <w:left w:val="single" w:color="000000" w:sz="4" w:space="0"/>
              <w:bottom w:val="nil"/>
              <w:right w:val="single" w:color="000000" w:sz="4" w:space="0"/>
            </w:tcBorders>
            <w:shd w:val="clear" w:color="auto" w:fill="FFFFFF" w:themeFill="background1"/>
            <w:vAlign w:val="center"/>
          </w:tcPr>
          <w:p w14:paraId="4C1F6D0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A61F7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1249D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1641.03</w:t>
            </w:r>
          </w:p>
        </w:tc>
      </w:tr>
      <w:tr w14:paraId="36E97097">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D04B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1AB72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F1F2E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001D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3C6A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A144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3588</w:t>
            </w:r>
          </w:p>
        </w:tc>
      </w:tr>
      <w:tr w14:paraId="15C34D25">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91278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705C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951D3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8EF8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E2728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039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9094.97</w:t>
            </w:r>
          </w:p>
        </w:tc>
      </w:tr>
    </w:tbl>
    <w:p w14:paraId="00733D51">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6003FAB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13B6BB8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及卧室（吸顶灯、入门鞋柜、智能锁）、厨房（配备整体橱柜、灶具、排烟机、洗菜盆、节水型龙头）、卫生间（配备洗面盆、盥洗镜、节水座便器、节水型淋浴喷头、电热水器、防臭地漏、洗衣机龙头、冷热水八字阀）等基本家具家电。估价对象作为保障性租赁住房（住宅型）出租使用。</w:t>
      </w:r>
    </w:p>
    <w:p w14:paraId="6444854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中档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33B8E15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西红门金鼎欣盛家园建成于2022年11月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56A96819">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（7）户型设计：估价对象均为平层结构，分为三种户型，分别为一居室、两居室、三居室。其中一居室16套、两居室64套、三居室20套。</w:t>
      </w:r>
    </w:p>
    <w:p w14:paraId="3C0B685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（8）朝向：估价对象一居室、两居室、三居室均南朝向。</w:t>
      </w:r>
    </w:p>
    <w:p w14:paraId="1CAEA29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72A0D55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1F258449">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7D50ACF9">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rPr>
        <w:t>不</w:t>
      </w:r>
      <w:r>
        <w:rPr>
          <w:rFonts w:ascii="Arial" w:hAnsi="Arial" w:cs="Arial"/>
          <w:sz w:val="21"/>
          <w:szCs w:val="21"/>
        </w:rPr>
        <w:t>影响其租金价格水平。</w:t>
      </w:r>
    </w:p>
    <w:p w14:paraId="1B08BF1A">
      <w:pPr>
        <w:pStyle w:val="3"/>
        <w:numPr>
          <w:ilvl w:val="0"/>
          <w:numId w:val="0"/>
        </w:numPr>
        <w:spacing w:line="480" w:lineRule="auto"/>
        <w:ind w:left="360" w:hanging="361" w:hangingChars="171"/>
        <w:jc w:val="both"/>
        <w:rPr>
          <w:rFonts w:eastAsia="宋体"/>
          <w:kern w:val="2"/>
          <w:sz w:val="21"/>
          <w:szCs w:val="21"/>
        </w:rPr>
      </w:pPr>
      <w:bookmarkStart w:id="53" w:name="_Toc525655436"/>
      <w:bookmarkStart w:id="54" w:name="_Toc155267103"/>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3997F8A0">
      <w:pPr>
        <w:spacing w:line="480" w:lineRule="auto"/>
        <w:ind w:firstLine="420" w:firstLineChars="200"/>
        <w:jc w:val="both"/>
        <w:rPr>
          <w:rFonts w:ascii="Arial" w:hAnsi="Arial" w:cs="Arial"/>
          <w:kern w:val="2"/>
          <w:sz w:val="21"/>
          <w:szCs w:val="21"/>
        </w:rPr>
      </w:pPr>
      <w:bookmarkStart w:id="55" w:name="_Toc525655437"/>
      <w:r>
        <w:rPr>
          <w:rFonts w:hint="eastAsia" w:ascii="Arial" w:hAnsi="Arial" w:cs="Arial"/>
          <w:sz w:val="21"/>
          <w:szCs w:val="21"/>
        </w:rPr>
        <w:t>根据估价委托人提供的《北京市保障性住房收购合同》及其附件、《不动产权证书》[京（2026）大不动产权第0006771、0006774、0006887、0006889、0006899、0006906、0006914、0006922、0006926、0006949、0006958、0006963、0006949号]部分及评估专业人员实地查勘，于价值时点，估价对象不存在抵押、</w:t>
      </w:r>
      <w:r>
        <w:rPr>
          <w:rFonts w:hint="eastAsia" w:ascii="Arial" w:hAnsi="Arial" w:cs="Arial"/>
          <w:kern w:val="2"/>
          <w:sz w:val="21"/>
          <w:szCs w:val="21"/>
        </w:rPr>
        <w:t>租赁、地役、查封等限制。</w:t>
      </w:r>
      <w:bookmarkStart w:id="56" w:name="_Toc155267104"/>
    </w:p>
    <w:p w14:paraId="1629E419">
      <w:pPr>
        <w:spacing w:line="480" w:lineRule="auto"/>
        <w:ind w:firstLine="420" w:firstLineChars="200"/>
        <w:rPr>
          <w:rFonts w:ascii="Arial" w:hAnsi="Arial" w:cs="Arial"/>
          <w:kern w:val="2"/>
          <w:sz w:val="21"/>
          <w:szCs w:val="21"/>
        </w:rPr>
      </w:pPr>
    </w:p>
    <w:p w14:paraId="602061FB">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555BBE49">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3B9FEA22">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00E5FE9C">
      <w:pPr>
        <w:widowControl/>
        <w:adjustRightInd/>
        <w:spacing w:line="480" w:lineRule="auto"/>
        <w:ind w:firstLine="525" w:firstLineChars="250"/>
        <w:jc w:val="both"/>
        <w:textAlignment w:val="auto"/>
        <w:rPr>
          <w:rFonts w:ascii="Arial" w:hAnsi="Arial"/>
          <w:color w:val="000000"/>
          <w:sz w:val="21"/>
          <w:szCs w:val="21"/>
        </w:rPr>
      </w:pPr>
      <w:bookmarkStart w:id="58" w:name="OLE_LINK34"/>
      <w:bookmarkStart w:id="59"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12655B80">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5573F326">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5C43E03E">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721350" cy="1746885"/>
            <wp:effectExtent l="4445" t="4445" r="19685" b="1651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8"/>
    <w:bookmarkEnd w:id="59"/>
    <w:p w14:paraId="32FE8E2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全年，北京市实现地区生产总值52073.4亿元，按不变价格计算，比上年增长5.4%。分产业看，第一产业实现增加值109.2亿元，下降0.7%；第二产业实现增加值7187.4亿元，增长3.5%；第三产业实现增加值44776.9亿元，增长5.8%。</w:t>
      </w:r>
    </w:p>
    <w:p w14:paraId="6AA1448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固定资产投资（不含农户）比上年增长5.5%。其中，反映企业生产能力扩大的设备购置投资增长66.0%，占固定资产投资的比重为32.3%，同比提高11.7个百分点，新一代信息技术、集成电路领域相关项目是主要带动力量。分领域看，基础设施投资下降1.6%，房地产开发投资下降15.5%。分产业看，第一产业投资增长6.3%；第二产业投资增长4.3%；第三产业投资增长5.6%，其中，信息传输、软件和信息技术服务业，科学研究和技术服务业投资分别增长83.0%和8.5%；“投资于人”稳步推进，教育、文化体育和娱乐业投资分别增长30.7%和30.1%。高技术产业投资保持活跃，增长40.1%，其中高技术服务业投资增长64.9%，互联网企业算力设备更新等领域加大投入。</w:t>
      </w:r>
    </w:p>
    <w:p w14:paraId="47CE5292">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2025年末，北京市房屋施工面积10307.8万平方米，比上年末下降8.9%，其中，住宅施工面积5149.6万平方米，下降9.1%。全年商品房销售面积1041.0万平方米，下降6.9%，其中，住宅销售面积724.0万平方米，下降7.9%。</w:t>
      </w:r>
    </w:p>
    <w:p w14:paraId="514283FA">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7FCDFEF5">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1CBB07D9">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p w14:paraId="4E28D9A3">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103218D6">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6CEF7C51">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供应减量提质，核心区优质地块供应力度明显加大，</w:t>
      </w:r>
      <w:r>
        <w:rPr>
          <w:rFonts w:ascii="Arial" w:hAnsi="Arial"/>
          <w:color w:val="000000"/>
          <w:sz w:val="21"/>
          <w:szCs w:val="21"/>
        </w:rPr>
        <w:t>共推出</w:t>
      </w:r>
      <w:r>
        <w:rPr>
          <w:rFonts w:hint="eastAsia" w:ascii="Arial" w:hAnsi="Arial"/>
          <w:color w:val="000000"/>
          <w:sz w:val="21"/>
          <w:szCs w:val="21"/>
        </w:rPr>
        <w:t>36</w:t>
      </w:r>
      <w:r>
        <w:rPr>
          <w:rFonts w:ascii="Arial" w:hAnsi="Arial"/>
          <w:color w:val="000000"/>
          <w:sz w:val="21"/>
          <w:szCs w:val="21"/>
        </w:rPr>
        <w:t>宗住宅用地，累计供应规划建面</w:t>
      </w:r>
      <w:r>
        <w:rPr>
          <w:rFonts w:hint="eastAsia" w:ascii="Arial" w:hAnsi="Arial"/>
          <w:color w:val="000000"/>
          <w:sz w:val="21"/>
          <w:szCs w:val="21"/>
        </w:rPr>
        <w:t>306.95</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下降37.6</w:t>
      </w:r>
      <w:r>
        <w:rPr>
          <w:rFonts w:ascii="Arial" w:hAnsi="Arial"/>
          <w:color w:val="000000"/>
          <w:sz w:val="21"/>
          <w:szCs w:val="21"/>
        </w:rPr>
        <w:t>%</w:t>
      </w:r>
      <w:r>
        <w:rPr>
          <w:rFonts w:hint="eastAsia" w:ascii="Arial" w:hAnsi="Arial"/>
          <w:color w:val="000000"/>
          <w:sz w:val="21"/>
          <w:szCs w:val="21"/>
        </w:rPr>
        <w:t>。</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40</w:t>
      </w:r>
      <w:r>
        <w:rPr>
          <w:rFonts w:ascii="Arial" w:hAnsi="Arial"/>
          <w:color w:val="000000"/>
          <w:sz w:val="21"/>
          <w:szCs w:val="21"/>
        </w:rPr>
        <w:t>宗，成交规划建面</w:t>
      </w:r>
      <w:r>
        <w:rPr>
          <w:rFonts w:hint="eastAsia" w:ascii="Arial" w:hAnsi="Arial"/>
          <w:color w:val="000000"/>
          <w:sz w:val="21"/>
          <w:szCs w:val="21"/>
        </w:rPr>
        <w:t>359.07</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23.7</w:t>
      </w:r>
      <w:r>
        <w:rPr>
          <w:rFonts w:ascii="Arial" w:hAnsi="Arial"/>
          <w:color w:val="000000"/>
          <w:sz w:val="21"/>
          <w:szCs w:val="21"/>
        </w:rPr>
        <w:t>%</w:t>
      </w:r>
      <w:r>
        <w:rPr>
          <w:rFonts w:hint="eastAsia" w:ascii="Arial" w:hAnsi="Arial"/>
          <w:color w:val="000000"/>
          <w:sz w:val="21"/>
          <w:szCs w:val="21"/>
        </w:rPr>
        <w:t>。土地成交价款合计1427.42亿元，同比下降8.2%。成交的40宗住宅用地中，50%地块位于主城六区，其中海淀区共出让7宗住宅用地，累计成交金额超448亿元。</w:t>
      </w:r>
    </w:p>
    <w:p w14:paraId="3A812091">
      <w:pPr>
        <w:overflowPunct w:val="0"/>
        <w:spacing w:line="360" w:lineRule="auto"/>
        <w:jc w:val="center"/>
        <w:rPr>
          <w:rFonts w:ascii="Arial" w:hAnsi="Arial" w:eastAsia="仿宋_GB2312"/>
          <w:b/>
          <w:bCs/>
          <w:color w:val="000000"/>
          <w:szCs w:val="24"/>
        </w:rPr>
      </w:pPr>
      <w:r>
        <w:drawing>
          <wp:inline distT="0" distB="0" distL="114300" distR="114300">
            <wp:extent cx="5182235" cy="2476500"/>
            <wp:effectExtent l="4445" t="4445" r="10160" b="1841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CB3F4F">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3E486B01">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2025年，北京市商品住宅用地</w:t>
      </w:r>
      <w:r>
        <w:rPr>
          <w:rFonts w:hint="eastAsia" w:ascii="Arial" w:hAnsi="Arial"/>
          <w:color w:val="000000"/>
          <w:sz w:val="21"/>
          <w:szCs w:val="21"/>
        </w:rPr>
        <w:t>主城六区</w:t>
      </w:r>
      <w:r>
        <w:rPr>
          <w:rFonts w:ascii="Arial" w:hAnsi="Arial"/>
          <w:color w:val="000000"/>
          <w:sz w:val="21"/>
          <w:szCs w:val="21"/>
        </w:rPr>
        <w:t>成交</w:t>
      </w:r>
      <w:r>
        <w:rPr>
          <w:rFonts w:hint="eastAsia" w:ascii="Arial" w:hAnsi="Arial"/>
          <w:color w:val="000000"/>
          <w:sz w:val="21"/>
          <w:szCs w:val="21"/>
        </w:rPr>
        <w:t>20</w:t>
      </w:r>
      <w:r>
        <w:rPr>
          <w:rFonts w:ascii="Arial" w:hAnsi="Arial"/>
          <w:color w:val="000000"/>
          <w:sz w:val="21"/>
          <w:szCs w:val="21"/>
        </w:rPr>
        <w:t>宗宅地，累计成交规划建面</w:t>
      </w:r>
      <w:r>
        <w:rPr>
          <w:rFonts w:hint="eastAsia" w:ascii="Arial" w:hAnsi="Arial"/>
          <w:color w:val="000000"/>
          <w:sz w:val="21"/>
          <w:szCs w:val="21"/>
        </w:rPr>
        <w:t>183.78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51</w:t>
      </w:r>
      <w:r>
        <w:rPr>
          <w:rFonts w:ascii="Arial" w:hAnsi="Arial"/>
          <w:color w:val="000000"/>
          <w:sz w:val="21"/>
          <w:szCs w:val="21"/>
        </w:rPr>
        <w:t>%，较上年同期</w:t>
      </w:r>
      <w:r>
        <w:rPr>
          <w:rFonts w:hint="eastAsia" w:ascii="Arial" w:hAnsi="Arial"/>
          <w:color w:val="000000"/>
          <w:sz w:val="21"/>
          <w:szCs w:val="21"/>
        </w:rPr>
        <w:t>上升4</w:t>
      </w:r>
      <w:r>
        <w:rPr>
          <w:rFonts w:ascii="Arial" w:hAnsi="Arial"/>
          <w:color w:val="000000"/>
          <w:sz w:val="21"/>
          <w:szCs w:val="21"/>
        </w:rPr>
        <w:t>个百分点</w:t>
      </w:r>
      <w:r>
        <w:rPr>
          <w:rFonts w:hint="eastAsia" w:ascii="Arial" w:hAnsi="Arial"/>
          <w:color w:val="000000"/>
          <w:sz w:val="21"/>
          <w:szCs w:val="21"/>
        </w:rPr>
        <w:t>；其中海淀、朝阳成交规模均超59万平方米，占比分别为19%和17%</w:t>
      </w:r>
      <w:r>
        <w:rPr>
          <w:rFonts w:ascii="Arial" w:hAnsi="Arial"/>
          <w:color w:val="000000"/>
          <w:sz w:val="21"/>
          <w:szCs w:val="21"/>
        </w:rPr>
        <w:t>。近郊区</w:t>
      </w:r>
      <w:r>
        <w:rPr>
          <w:rFonts w:hint="eastAsia" w:ascii="Arial" w:hAnsi="Arial"/>
          <w:color w:val="000000"/>
          <w:sz w:val="21"/>
          <w:szCs w:val="21"/>
        </w:rPr>
        <w:t>住宅用地成交规模占比降至5成以下，累计成交169.50万平方米，</w:t>
      </w:r>
      <w:r>
        <w:rPr>
          <w:rFonts w:ascii="Arial" w:hAnsi="Arial"/>
          <w:color w:val="000000"/>
          <w:sz w:val="21"/>
          <w:szCs w:val="21"/>
        </w:rPr>
        <w:t>占比</w:t>
      </w:r>
      <w:r>
        <w:rPr>
          <w:rFonts w:hint="eastAsia" w:ascii="Arial" w:hAnsi="Arial"/>
          <w:color w:val="000000"/>
          <w:sz w:val="21"/>
          <w:szCs w:val="21"/>
        </w:rPr>
        <w:t>下降3个百分点至47</w:t>
      </w:r>
      <w:r>
        <w:rPr>
          <w:rFonts w:ascii="Arial" w:hAnsi="Arial"/>
          <w:color w:val="000000"/>
          <w:sz w:val="21"/>
          <w:szCs w:val="21"/>
        </w:rPr>
        <w:t>%，</w:t>
      </w:r>
      <w:r>
        <w:rPr>
          <w:rFonts w:hint="eastAsia" w:ascii="Arial" w:hAnsi="Arial"/>
          <w:color w:val="000000"/>
          <w:sz w:val="21"/>
          <w:szCs w:val="21"/>
        </w:rPr>
        <w:t>其中昌平、通州为主要供地区域，成交规模均超40万平方米，成交占比分别为14%、12%。远郊区供应力度进一步减弱，累计成交5.78万平方米，占比下降2个百分点至2%，延庆、怀柔各成交1宗宅地。</w:t>
      </w:r>
    </w:p>
    <w:p w14:paraId="7B3DCCC4">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3595" cy="2995295"/>
            <wp:effectExtent l="0" t="0" r="9525" b="698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31"/>
                    <a:stretch>
                      <a:fillRect/>
                    </a:stretch>
                  </pic:blipFill>
                  <pic:spPr>
                    <a:xfrm>
                      <a:off x="0" y="0"/>
                      <a:ext cx="5903595" cy="2995295"/>
                    </a:xfrm>
                    <a:prstGeom prst="rect">
                      <a:avLst/>
                    </a:prstGeom>
                    <a:noFill/>
                    <a:ln>
                      <a:noFill/>
                    </a:ln>
                  </pic:spPr>
                </pic:pic>
              </a:graphicData>
            </a:graphic>
          </wp:inline>
        </w:drawing>
      </w:r>
    </w:p>
    <w:p w14:paraId="0CE57F61">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从不同区域来看，各区域住宅用地成交规模同比均下降，主城六区成交规模同比下降16%，其中海淀、石景山、东城同比增长；近郊区成交规模同比下降28%，其中通州同比增长，其他区均同比下降；远郊区同比下降66%。</w:t>
      </w:r>
    </w:p>
    <w:p w14:paraId="5B546F99">
      <w:pPr>
        <w:widowControl/>
        <w:overflowPunct w:val="0"/>
        <w:adjustRightInd/>
        <w:spacing w:line="480" w:lineRule="auto"/>
        <w:jc w:val="center"/>
        <w:textAlignment w:val="auto"/>
      </w:pPr>
      <w:r>
        <w:rPr>
          <w:rFonts w:hint="eastAsia" w:ascii="Arial" w:hAnsi="Arial" w:eastAsia="仿宋" w:cs="Arial"/>
          <w:bCs/>
          <w:color w:val="000000"/>
          <w:sz w:val="28"/>
          <w:szCs w:val="28"/>
        </w:rPr>
        <w:drawing>
          <wp:inline distT="0" distB="0" distL="114300" distR="114300">
            <wp:extent cx="4556125" cy="3647440"/>
            <wp:effectExtent l="0" t="0" r="635" b="10160"/>
            <wp:docPr id="35" name="图片 5" descr="ScreenShot_2026-01-23_113715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ScreenShot_2026-01-23_113715_225"/>
                    <pic:cNvPicPr>
                      <a:picLocks noChangeAspect="1"/>
                    </pic:cNvPicPr>
                  </pic:nvPicPr>
                  <pic:blipFill>
                    <a:blip r:embed="rId32"/>
                    <a:stretch>
                      <a:fillRect/>
                    </a:stretch>
                  </pic:blipFill>
                  <pic:spPr>
                    <a:xfrm>
                      <a:off x="0" y="0"/>
                      <a:ext cx="4556125" cy="3647440"/>
                    </a:xfrm>
                    <a:prstGeom prst="rect">
                      <a:avLst/>
                    </a:prstGeom>
                    <a:noFill/>
                    <a:ln>
                      <a:noFill/>
                    </a:ln>
                  </pic:spPr>
                </pic:pic>
              </a:graphicData>
            </a:graphic>
          </wp:inline>
        </w:drawing>
      </w:r>
    </w:p>
    <w:p w14:paraId="514A25BC">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24967F61">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2025年，在</w:t>
      </w:r>
      <w:r>
        <w:rPr>
          <w:rFonts w:hint="eastAsia" w:ascii="Arial" w:hAnsi="Arial"/>
          <w:color w:val="000000"/>
          <w:sz w:val="21"/>
          <w:szCs w:val="21"/>
        </w:rPr>
        <w:t>主城六区优质地块成交</w:t>
      </w:r>
      <w:r>
        <w:rPr>
          <w:rFonts w:ascii="Arial" w:hAnsi="Arial"/>
          <w:color w:val="000000"/>
          <w:sz w:val="21"/>
          <w:szCs w:val="21"/>
        </w:rPr>
        <w:t>带动下，北京宅地整体成交楼面均价</w:t>
      </w:r>
      <w:r>
        <w:rPr>
          <w:rFonts w:hint="eastAsia" w:ascii="Arial" w:hAnsi="Arial"/>
          <w:color w:val="000000"/>
          <w:sz w:val="21"/>
          <w:szCs w:val="21"/>
        </w:rPr>
        <w:t>39754</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20.3</w:t>
      </w:r>
      <w:r>
        <w:rPr>
          <w:rFonts w:ascii="Arial" w:hAnsi="Arial"/>
          <w:color w:val="000000"/>
          <w:sz w:val="21"/>
          <w:szCs w:val="21"/>
        </w:rPr>
        <w:t>%。</w:t>
      </w:r>
      <w:r>
        <w:rPr>
          <w:rFonts w:hint="eastAsia" w:ascii="Arial" w:hAnsi="Arial"/>
          <w:color w:val="000000"/>
          <w:sz w:val="21"/>
          <w:szCs w:val="21"/>
        </w:rPr>
        <w:t>取消地价上限，叠加核心区优质地块竞争激烈，2025年宅地成交溢价率</w:t>
      </w:r>
      <w:r>
        <w:rPr>
          <w:rFonts w:ascii="Arial" w:hAnsi="Arial"/>
          <w:color w:val="000000"/>
          <w:sz w:val="21"/>
          <w:szCs w:val="21"/>
        </w:rPr>
        <w:t>溢</w:t>
      </w:r>
      <w:r>
        <w:rPr>
          <w:rFonts w:hint="eastAsia" w:ascii="Arial" w:hAnsi="Arial"/>
          <w:color w:val="000000"/>
          <w:sz w:val="21"/>
          <w:szCs w:val="21"/>
        </w:rPr>
        <w:t>升至6.6</w:t>
      </w:r>
      <w:r>
        <w:rPr>
          <w:rFonts w:ascii="Arial" w:hAnsi="Arial"/>
          <w:color w:val="000000"/>
          <w:sz w:val="21"/>
          <w:szCs w:val="21"/>
        </w:rPr>
        <w:t>%，同比提升</w:t>
      </w:r>
      <w:r>
        <w:rPr>
          <w:rFonts w:hint="eastAsia" w:ascii="Arial" w:hAnsi="Arial"/>
          <w:color w:val="000000"/>
          <w:sz w:val="21"/>
          <w:szCs w:val="21"/>
        </w:rPr>
        <w:t>3.5</w:t>
      </w:r>
      <w:r>
        <w:rPr>
          <w:rFonts w:ascii="Arial" w:hAnsi="Arial"/>
          <w:color w:val="000000"/>
          <w:sz w:val="21"/>
          <w:szCs w:val="21"/>
        </w:rPr>
        <w:t>个百分点。</w:t>
      </w:r>
      <w:r>
        <w:rPr>
          <w:rFonts w:hint="eastAsia" w:ascii="Arial" w:hAnsi="Arial"/>
          <w:color w:val="000000"/>
          <w:sz w:val="21"/>
          <w:szCs w:val="21"/>
        </w:rPr>
        <w:t>市场分化明显，成交的40宗地块中，9宗地块溢价率超10%，主要集中在海淀、朝阳、通州三区；其中朝阳太阳宫地块以39.18%溢价率居首，该地块经过超330轮现场举牌竞价成交，最终以9.42万元/平方米的楼面地价刷新朝阳纪录；海淀树村地块经过274轮竞拍成交</w:t>
      </w:r>
      <w:r>
        <w:rPr>
          <w:rFonts w:ascii="Arial" w:hAnsi="Arial"/>
          <w:color w:val="000000"/>
          <w:sz w:val="21"/>
          <w:szCs w:val="21"/>
        </w:rPr>
        <w:t>，</w:t>
      </w:r>
      <w:r>
        <w:rPr>
          <w:rFonts w:hint="eastAsia" w:ascii="Arial" w:hAnsi="Arial"/>
          <w:color w:val="000000"/>
          <w:sz w:val="21"/>
          <w:szCs w:val="21"/>
        </w:rPr>
        <w:t>成交楼面地价达10.23万元/平方米，成为北京首个楼面地价破10万元的住宅地块。而26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r>
        <w:rPr>
          <w:rFonts w:hint="eastAsia" w:ascii="Arial" w:hAnsi="Arial"/>
          <w:color w:val="000000"/>
          <w:sz w:val="21"/>
          <w:szCs w:val="21"/>
        </w:rPr>
        <w:t>，占比升至65%</w:t>
      </w:r>
      <w:r>
        <w:rPr>
          <w:rFonts w:ascii="Arial" w:hAnsi="Arial"/>
          <w:color w:val="000000"/>
          <w:sz w:val="21"/>
          <w:szCs w:val="21"/>
        </w:rPr>
        <w:t>。</w:t>
      </w:r>
    </w:p>
    <w:p w14:paraId="3CA17D29">
      <w:pPr>
        <w:spacing w:line="480" w:lineRule="auto"/>
        <w:jc w:val="center"/>
      </w:pPr>
      <w:r>
        <w:drawing>
          <wp:inline distT="0" distB="0" distL="114300" distR="114300">
            <wp:extent cx="5272405" cy="2600960"/>
            <wp:effectExtent l="0" t="0" r="635" b="508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3"/>
                    <a:stretch>
                      <a:fillRect/>
                    </a:stretch>
                  </pic:blipFill>
                  <pic:spPr>
                    <a:xfrm>
                      <a:off x="0" y="0"/>
                      <a:ext cx="5272405" cy="2600960"/>
                    </a:xfrm>
                    <a:prstGeom prst="rect">
                      <a:avLst/>
                    </a:prstGeom>
                    <a:noFill/>
                    <a:ln>
                      <a:noFill/>
                    </a:ln>
                  </pic:spPr>
                </pic:pic>
              </a:graphicData>
            </a:graphic>
          </wp:inline>
        </w:drawing>
      </w:r>
    </w:p>
    <w:p w14:paraId="1A4B6E54">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主城六区成交楼面地价均价相对较高，东城区成交楼面地价均价超8万元/平方米，海淀区成交楼面地价均价超6万元/平方米；近郊区成交楼面地价多介于2-3万/平方米之间，其中通州区、顺义区地价相对较高，超2.8万/平方米，房山区成交楼面地价较低，为15336元/平方米。从同比变化来看，丰台区、石景山区、房山区成交楼面地价同比下跌，其他区域成交楼面地价同比上涨，其中海淀区、朝阳区成交楼面地价均同比上涨28%。</w:t>
      </w:r>
    </w:p>
    <w:p w14:paraId="5AD45D96">
      <w:pPr>
        <w:spacing w:line="360" w:lineRule="auto"/>
        <w:jc w:val="center"/>
        <w:outlineLvl w:val="0"/>
        <w:rPr>
          <w:rFonts w:ascii="Arial" w:hAnsi="Arial"/>
          <w:color w:val="000000"/>
          <w:sz w:val="21"/>
          <w:szCs w:val="21"/>
        </w:rPr>
      </w:pPr>
      <w:r>
        <w:drawing>
          <wp:inline distT="0" distB="0" distL="114300" distR="114300">
            <wp:extent cx="5276215" cy="2885440"/>
            <wp:effectExtent l="0" t="0" r="12065" b="1016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4"/>
                    <a:stretch>
                      <a:fillRect/>
                    </a:stretch>
                  </pic:blipFill>
                  <pic:spPr>
                    <a:xfrm>
                      <a:off x="0" y="0"/>
                      <a:ext cx="5276215" cy="2885440"/>
                    </a:xfrm>
                    <a:prstGeom prst="rect">
                      <a:avLst/>
                    </a:prstGeom>
                    <a:noFill/>
                    <a:ln>
                      <a:noFill/>
                    </a:ln>
                  </pic:spPr>
                </pic:pic>
              </a:graphicData>
            </a:graphic>
          </wp:inline>
        </w:drawing>
      </w:r>
    </w:p>
    <w:p w14:paraId="201731DD">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溢价率方面，海淀区、朝阳区土地质素高，整体溢价率较高；通州区热点地块竞争较为激烈，但地块延续分化；东城区祈年大街地块溢价率4%，其他区域地块均底价成交。</w:t>
      </w:r>
    </w:p>
    <w:p w14:paraId="34E0B41E">
      <w:pPr>
        <w:spacing w:line="360" w:lineRule="auto"/>
        <w:jc w:val="center"/>
        <w:outlineLvl w:val="0"/>
        <w:rPr>
          <w:rFonts w:ascii="Arial" w:hAnsi="Arial"/>
          <w:color w:val="000000"/>
          <w:sz w:val="21"/>
          <w:szCs w:val="21"/>
        </w:rPr>
      </w:pPr>
      <w:r>
        <w:drawing>
          <wp:inline distT="0" distB="0" distL="114300" distR="114300">
            <wp:extent cx="4666615" cy="2599690"/>
            <wp:effectExtent l="0" t="0" r="12065" b="635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5"/>
                    <a:stretch>
                      <a:fillRect/>
                    </a:stretch>
                  </pic:blipFill>
                  <pic:spPr>
                    <a:xfrm>
                      <a:off x="0" y="0"/>
                      <a:ext cx="4666615" cy="2599690"/>
                    </a:xfrm>
                    <a:prstGeom prst="rect">
                      <a:avLst/>
                    </a:prstGeom>
                    <a:noFill/>
                    <a:ln>
                      <a:noFill/>
                    </a:ln>
                  </pic:spPr>
                </pic:pic>
              </a:graphicData>
            </a:graphic>
          </wp:inline>
        </w:drawing>
      </w:r>
    </w:p>
    <w:p w14:paraId="2B6AABA8">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3新建.商品房住宅市场</w:t>
      </w:r>
    </w:p>
    <w:p w14:paraId="36480DD2">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（1）新建商品住宅供给状况</w:t>
      </w:r>
    </w:p>
    <w:p w14:paraId="0546F733">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近几年，</w:t>
      </w:r>
      <w:r>
        <w:rPr>
          <w:rFonts w:hint="eastAsia" w:ascii="Arial" w:hAnsi="Arial"/>
          <w:color w:val="000000"/>
          <w:sz w:val="21"/>
          <w:szCs w:val="21"/>
        </w:rPr>
        <w:t>北京商品住宅用</w:t>
      </w:r>
      <w:r>
        <w:rPr>
          <w:rFonts w:ascii="Arial" w:hAnsi="Arial"/>
          <w:color w:val="000000"/>
          <w:sz w:val="21"/>
          <w:szCs w:val="21"/>
        </w:rPr>
        <w:t>地供应规模减少，导致新房供应持续下滑</w:t>
      </w:r>
      <w:r>
        <w:rPr>
          <w:rFonts w:hint="eastAsia" w:ascii="Arial" w:hAnsi="Arial"/>
          <w:color w:val="000000"/>
          <w:sz w:val="21"/>
          <w:szCs w:val="21"/>
        </w:rPr>
        <w:t>。</w:t>
      </w:r>
      <w:r>
        <w:rPr>
          <w:rFonts w:ascii="Arial" w:hAnsi="Arial"/>
          <w:color w:val="000000"/>
          <w:sz w:val="21"/>
          <w:szCs w:val="21"/>
        </w:rPr>
        <w:t>2025年北京新房供应止跌回升，但整体供应规模仍处于近年低位水平</w:t>
      </w:r>
      <w:r>
        <w:rPr>
          <w:rFonts w:hint="eastAsia" w:ascii="Arial" w:hAnsi="Arial"/>
          <w:color w:val="000000"/>
          <w:sz w:val="21"/>
          <w:szCs w:val="21"/>
        </w:rPr>
        <w:t>。</w:t>
      </w:r>
    </w:p>
    <w:p w14:paraId="0E862510">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根据中指研究院数据，</w:t>
      </w:r>
      <w:r>
        <w:rPr>
          <w:rFonts w:ascii="Arial" w:hAnsi="Arial"/>
          <w:color w:val="000000"/>
          <w:sz w:val="21"/>
          <w:szCs w:val="21"/>
        </w:rPr>
        <w:t>2025年二季度以来新房取证未售库存规模持续处于中高水平，12月末库存规模约为966万平方米，较年初增长10.8%。出清周期方面， 2022年以来库存出清周期基本持续处于风险线以上；2025年北京新房库存规模增加，叠加去化速度放缓，2025年12月出清周期升至26.5个月，整体去化风险较为突出。</w:t>
      </w:r>
    </w:p>
    <w:p w14:paraId="4B489FDE">
      <w:pPr>
        <w:overflowPunct w:val="0"/>
        <w:spacing w:line="480" w:lineRule="auto"/>
        <w:jc w:val="center"/>
        <w:textAlignment w:val="auto"/>
        <w:rPr>
          <w:rFonts w:ascii="Arial" w:hAnsi="Arial"/>
          <w:sz w:val="21"/>
          <w:szCs w:val="28"/>
        </w:rPr>
      </w:pPr>
      <w:r>
        <w:drawing>
          <wp:inline distT="0" distB="0" distL="114300" distR="114300">
            <wp:extent cx="5905500" cy="2139315"/>
            <wp:effectExtent l="0" t="0" r="7620"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6"/>
                    <a:stretch>
                      <a:fillRect/>
                    </a:stretch>
                  </pic:blipFill>
                  <pic:spPr>
                    <a:xfrm>
                      <a:off x="0" y="0"/>
                      <a:ext cx="5905500" cy="2139315"/>
                    </a:xfrm>
                    <a:prstGeom prst="rect">
                      <a:avLst/>
                    </a:prstGeom>
                    <a:noFill/>
                    <a:ln>
                      <a:noFill/>
                    </a:ln>
                  </pic:spPr>
                </pic:pic>
              </a:graphicData>
            </a:graphic>
          </wp:inline>
        </w:drawing>
      </w:r>
    </w:p>
    <w:p w14:paraId="3C29E54F">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w:t>
      </w:r>
      <w:r>
        <w:rPr>
          <w:rFonts w:ascii="Arial" w:hAnsi="Arial"/>
          <w:color w:val="000000"/>
          <w:sz w:val="21"/>
          <w:szCs w:val="21"/>
        </w:rPr>
        <w:t>截止到2025年12月末，中心城区</w:t>
      </w:r>
      <w:r>
        <w:rPr>
          <w:rFonts w:hint="eastAsia" w:ascii="Arial" w:hAnsi="Arial"/>
          <w:color w:val="000000"/>
          <w:sz w:val="21"/>
          <w:szCs w:val="21"/>
        </w:rPr>
        <w:t>（含核心区）</w:t>
      </w:r>
      <w:r>
        <w:rPr>
          <w:rFonts w:ascii="Arial" w:hAnsi="Arial"/>
          <w:color w:val="000000"/>
          <w:sz w:val="21"/>
          <w:szCs w:val="21"/>
        </w:rPr>
        <w:t>库存规模</w:t>
      </w:r>
      <w:r>
        <w:rPr>
          <w:rFonts w:hint="eastAsia" w:ascii="Arial" w:hAnsi="Arial"/>
          <w:color w:val="000000"/>
          <w:sz w:val="21"/>
          <w:szCs w:val="21"/>
        </w:rPr>
        <w:t>约</w:t>
      </w:r>
      <w:r>
        <w:rPr>
          <w:rFonts w:ascii="Arial" w:hAnsi="Arial"/>
          <w:color w:val="000000"/>
          <w:sz w:val="21"/>
          <w:szCs w:val="21"/>
        </w:rPr>
        <w:t>348万</w:t>
      </w:r>
      <w:r>
        <w:rPr>
          <w:rFonts w:hint="eastAsia" w:ascii="Arial" w:hAnsi="Arial"/>
          <w:color w:val="000000"/>
          <w:sz w:val="21"/>
          <w:szCs w:val="21"/>
        </w:rPr>
        <w:t>平方米</w:t>
      </w:r>
      <w:r>
        <w:rPr>
          <w:rFonts w:ascii="Arial" w:hAnsi="Arial"/>
          <w:color w:val="000000"/>
          <w:sz w:val="21"/>
          <w:szCs w:val="21"/>
        </w:rPr>
        <w:t>，其中丰台区、朝阳区库存规模均超11万</w:t>
      </w:r>
      <w:r>
        <w:rPr>
          <w:rFonts w:hint="eastAsia" w:ascii="Arial" w:hAnsi="Arial"/>
          <w:color w:val="000000"/>
          <w:sz w:val="21"/>
          <w:szCs w:val="21"/>
        </w:rPr>
        <w:t>平方米</w:t>
      </w:r>
      <w:r>
        <w:rPr>
          <w:rFonts w:ascii="Arial" w:hAnsi="Arial"/>
          <w:color w:val="000000"/>
          <w:sz w:val="21"/>
          <w:szCs w:val="21"/>
        </w:rPr>
        <w:t>；近郊区库存规模合计约479 万</w:t>
      </w:r>
      <w:r>
        <w:rPr>
          <w:rFonts w:hint="eastAsia" w:ascii="Arial" w:hAnsi="Arial"/>
          <w:color w:val="000000"/>
          <w:sz w:val="21"/>
          <w:szCs w:val="21"/>
        </w:rPr>
        <w:t>平方米</w:t>
      </w:r>
      <w:r>
        <w:rPr>
          <w:rFonts w:ascii="Arial" w:hAnsi="Arial"/>
          <w:color w:val="000000"/>
          <w:sz w:val="21"/>
          <w:szCs w:val="21"/>
        </w:rPr>
        <w:t>，其中通州、昌平、大兴库存规模均超100万</w:t>
      </w:r>
      <w:r>
        <w:rPr>
          <w:rFonts w:hint="eastAsia" w:ascii="Arial" w:hAnsi="Arial"/>
          <w:color w:val="000000"/>
          <w:sz w:val="21"/>
          <w:szCs w:val="21"/>
        </w:rPr>
        <w:t>平方米</w:t>
      </w:r>
      <w:r>
        <w:rPr>
          <w:rFonts w:ascii="Arial" w:hAnsi="Arial"/>
          <w:color w:val="000000"/>
          <w:sz w:val="21"/>
          <w:szCs w:val="21"/>
        </w:rPr>
        <w:t>；远郊区库存规模合计约102万</w:t>
      </w:r>
      <w:r>
        <w:rPr>
          <w:rFonts w:hint="eastAsia" w:ascii="Arial" w:hAnsi="Arial"/>
          <w:color w:val="000000"/>
          <w:sz w:val="21"/>
          <w:szCs w:val="21"/>
        </w:rPr>
        <w:t>平方米</w:t>
      </w:r>
      <w:r>
        <w:rPr>
          <w:rFonts w:ascii="Arial" w:hAnsi="Arial"/>
          <w:color w:val="000000"/>
          <w:sz w:val="21"/>
          <w:szCs w:val="21"/>
        </w:rPr>
        <w:t>，主要集中在怀柔区、密云区。海淀、延庆短期库存去化风险较低；丰台、昌平、大兴、怀柔、密云、平谷等区域库存去化风险突出。</w:t>
      </w:r>
    </w:p>
    <w:p w14:paraId="2E4EE37D">
      <w:pPr>
        <w:overflowPunct w:val="0"/>
        <w:spacing w:line="480" w:lineRule="auto"/>
        <w:jc w:val="center"/>
        <w:textAlignment w:val="auto"/>
        <w:rPr>
          <w:rFonts w:ascii="Arial" w:hAnsi="Arial"/>
          <w:sz w:val="21"/>
        </w:rPr>
      </w:pPr>
      <w:r>
        <w:drawing>
          <wp:inline distT="0" distB="0" distL="114300" distR="114300">
            <wp:extent cx="5906770" cy="2166620"/>
            <wp:effectExtent l="0" t="0" r="6350"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7"/>
                    <a:stretch>
                      <a:fillRect/>
                    </a:stretch>
                  </pic:blipFill>
                  <pic:spPr>
                    <a:xfrm>
                      <a:off x="0" y="0"/>
                      <a:ext cx="5906770" cy="2166620"/>
                    </a:xfrm>
                    <a:prstGeom prst="rect">
                      <a:avLst/>
                    </a:prstGeom>
                    <a:noFill/>
                    <a:ln>
                      <a:noFill/>
                    </a:ln>
                  </pic:spPr>
                </pic:pic>
              </a:graphicData>
            </a:graphic>
          </wp:inline>
        </w:drawing>
      </w:r>
    </w:p>
    <w:p w14:paraId="2379F972">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（2）新建商品</w:t>
      </w:r>
      <w:r>
        <w:rPr>
          <w:rFonts w:hint="eastAsia" w:ascii="Arial" w:hAnsi="Arial"/>
          <w:bCs/>
          <w:sz w:val="21"/>
          <w:szCs w:val="28"/>
        </w:rPr>
        <w:t>住宅成交情况</w:t>
      </w:r>
    </w:p>
    <w:p w14:paraId="19634563">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10699892">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新</w:t>
      </w:r>
      <w:r>
        <w:rPr>
          <w:rFonts w:hint="eastAsia" w:ascii="Arial" w:hAnsi="Arial"/>
          <w:color w:val="000000"/>
          <w:sz w:val="21"/>
          <w:szCs w:val="21"/>
        </w:rPr>
        <w:t>建</w:t>
      </w:r>
      <w:r>
        <w:rPr>
          <w:rFonts w:ascii="Arial" w:hAnsi="Arial"/>
          <w:color w:val="000000"/>
          <w:sz w:val="21"/>
          <w:szCs w:val="21"/>
        </w:rPr>
        <w:t>商品住宅市场成交疲软，仍处于寻底阶段。2025年北京新建商品住宅累计成交面积502.44万</w:t>
      </w:r>
      <w:r>
        <w:rPr>
          <w:rFonts w:hint="eastAsia" w:ascii="Arial" w:hAnsi="Arial"/>
          <w:color w:val="000000"/>
          <w:sz w:val="21"/>
          <w:szCs w:val="21"/>
        </w:rPr>
        <w:t>平方米</w:t>
      </w:r>
      <w:r>
        <w:rPr>
          <w:rFonts w:ascii="Arial" w:hAnsi="Arial"/>
          <w:color w:val="000000"/>
          <w:sz w:val="21"/>
          <w:szCs w:val="21"/>
        </w:rPr>
        <w:t>，同比下降15.1%，较2021年高位下降49.4%，较近三年均值下降18.3%。</w:t>
      </w:r>
      <w:r>
        <w:rPr>
          <w:rFonts w:hint="eastAsia" w:ascii="Arial" w:hAnsi="Arial"/>
          <w:color w:val="000000"/>
          <w:sz w:val="21"/>
          <w:szCs w:val="21"/>
        </w:rPr>
        <w:t>按</w:t>
      </w:r>
      <w:r>
        <w:rPr>
          <w:rFonts w:ascii="Arial" w:hAnsi="Arial"/>
          <w:color w:val="000000"/>
          <w:sz w:val="21"/>
          <w:szCs w:val="21"/>
        </w:rPr>
        <w:t>月度</w:t>
      </w:r>
      <w:r>
        <w:rPr>
          <w:rFonts w:hint="eastAsia" w:ascii="Arial" w:hAnsi="Arial"/>
          <w:color w:val="000000"/>
          <w:sz w:val="21"/>
          <w:szCs w:val="21"/>
        </w:rPr>
        <w:t>看，</w:t>
      </w:r>
      <w:r>
        <w:rPr>
          <w:rFonts w:ascii="Arial" w:hAnsi="Arial"/>
          <w:color w:val="000000"/>
          <w:sz w:val="21"/>
          <w:szCs w:val="21"/>
        </w:rPr>
        <w:t>整体呈波浪式下滑趋势</w:t>
      </w:r>
      <w:r>
        <w:rPr>
          <w:rFonts w:hint="eastAsia" w:ascii="Arial" w:hAnsi="Arial"/>
          <w:color w:val="000000"/>
          <w:sz w:val="21"/>
          <w:szCs w:val="21"/>
        </w:rPr>
        <w:t>。</w:t>
      </w:r>
      <w:r>
        <w:rPr>
          <w:rFonts w:ascii="Arial" w:hAnsi="Arial"/>
          <w:color w:val="000000"/>
          <w:sz w:val="21"/>
          <w:szCs w:val="21"/>
        </w:rPr>
        <w:t>4</w:t>
      </w:r>
      <w:r>
        <w:rPr>
          <w:rFonts w:hint="eastAsia" w:ascii="Arial" w:hAnsi="Arial"/>
          <w:color w:val="000000"/>
          <w:sz w:val="21"/>
          <w:szCs w:val="21"/>
        </w:rPr>
        <w:t>月25日</w:t>
      </w:r>
      <w:r>
        <w:rPr>
          <w:rFonts w:ascii="Arial" w:hAnsi="Arial"/>
          <w:color w:val="000000"/>
          <w:sz w:val="21"/>
          <w:szCs w:val="21"/>
        </w:rPr>
        <w:t>政治局会议定调之后，金融部门积极跟进落实各项举措</w:t>
      </w:r>
      <w:r>
        <w:rPr>
          <w:rFonts w:hint="eastAsia" w:ascii="Arial" w:hAnsi="Arial"/>
          <w:color w:val="000000"/>
          <w:sz w:val="21"/>
          <w:szCs w:val="21"/>
        </w:rPr>
        <w:t>。</w:t>
      </w:r>
      <w:r>
        <w:rPr>
          <w:rFonts w:ascii="Arial" w:hAnsi="Arial"/>
          <w:color w:val="000000"/>
          <w:sz w:val="21"/>
          <w:szCs w:val="21"/>
        </w:rPr>
        <w:t>5月7日国常会发布降准降息等一揽子金融政策</w:t>
      </w:r>
      <w:r>
        <w:rPr>
          <w:rFonts w:hint="eastAsia" w:ascii="Arial" w:hAnsi="Arial"/>
          <w:color w:val="000000"/>
          <w:sz w:val="21"/>
          <w:szCs w:val="21"/>
        </w:rPr>
        <w:t>。</w:t>
      </w:r>
      <w:r>
        <w:rPr>
          <w:rFonts w:ascii="Arial" w:hAnsi="Arial"/>
          <w:color w:val="000000"/>
          <w:sz w:val="21"/>
          <w:szCs w:val="21"/>
        </w:rPr>
        <w:t>6月北京成交明显回升。7月，受季节性因素影响，成交环比明显下滑。8月，北京五环外解除限购同时优化公积金贷款政策，成交量环比略有增长，但新政边际效果有限</w:t>
      </w:r>
      <w:r>
        <w:rPr>
          <w:rFonts w:hint="eastAsia" w:ascii="Arial" w:hAnsi="Arial"/>
          <w:color w:val="000000"/>
          <w:sz w:val="21"/>
          <w:szCs w:val="21"/>
        </w:rPr>
        <w:t>。</w:t>
      </w:r>
      <w:r>
        <w:rPr>
          <w:rFonts w:ascii="Arial" w:hAnsi="Arial"/>
          <w:color w:val="000000"/>
          <w:sz w:val="21"/>
          <w:szCs w:val="21"/>
        </w:rPr>
        <w:t>9月， 随着“金九银十”行业旺季，成交环比上行</w:t>
      </w:r>
      <w:r>
        <w:rPr>
          <w:rFonts w:hint="eastAsia" w:ascii="Arial" w:hAnsi="Arial"/>
          <w:color w:val="000000"/>
          <w:sz w:val="21"/>
          <w:szCs w:val="21"/>
        </w:rPr>
        <w:t>。</w:t>
      </w:r>
      <w:r>
        <w:rPr>
          <w:rFonts w:ascii="Arial" w:hAnsi="Arial"/>
          <w:color w:val="000000"/>
          <w:sz w:val="21"/>
          <w:szCs w:val="21"/>
        </w:rPr>
        <w:t>10月，受国庆假期的影响，成交小幅下滑</w:t>
      </w:r>
      <w:r>
        <w:rPr>
          <w:rFonts w:hint="eastAsia" w:ascii="Arial" w:hAnsi="Arial"/>
          <w:color w:val="000000"/>
          <w:sz w:val="21"/>
          <w:szCs w:val="21"/>
        </w:rPr>
        <w:t>。</w:t>
      </w:r>
      <w:r>
        <w:rPr>
          <w:rFonts w:ascii="Arial" w:hAnsi="Arial"/>
          <w:color w:val="000000"/>
          <w:sz w:val="21"/>
          <w:szCs w:val="21"/>
        </w:rPr>
        <w:t>11月，市场观望情绪浓厚，成交环比下滑</w:t>
      </w:r>
      <w:r>
        <w:rPr>
          <w:rFonts w:hint="eastAsia" w:ascii="Arial" w:hAnsi="Arial"/>
          <w:color w:val="000000"/>
          <w:sz w:val="21"/>
          <w:szCs w:val="21"/>
        </w:rPr>
        <w:t>。</w:t>
      </w:r>
      <w:r>
        <w:rPr>
          <w:rFonts w:ascii="Arial" w:hAnsi="Arial"/>
          <w:color w:val="000000"/>
          <w:sz w:val="21"/>
          <w:szCs w:val="21"/>
        </w:rPr>
        <w:t>12月，房企年终业绩冲刺、 叠加放宽非京籍及多孩家庭购房限制等利好因素影响，市场成交回升</w:t>
      </w:r>
      <w:r>
        <w:rPr>
          <w:rFonts w:hint="eastAsia" w:ascii="Arial" w:hAnsi="Arial"/>
          <w:color w:val="000000"/>
          <w:sz w:val="21"/>
          <w:szCs w:val="21"/>
        </w:rPr>
        <w:t>。</w:t>
      </w:r>
    </w:p>
    <w:p w14:paraId="3E0ED5F5">
      <w:pPr>
        <w:overflowPunct w:val="0"/>
        <w:spacing w:line="480" w:lineRule="auto"/>
        <w:jc w:val="center"/>
        <w:textAlignment w:val="auto"/>
        <w:rPr>
          <w:rFonts w:ascii="Arial" w:hAnsi="Arial"/>
          <w:sz w:val="21"/>
        </w:rPr>
      </w:pPr>
      <w:r>
        <w:drawing>
          <wp:inline distT="0" distB="0" distL="114300" distR="114300">
            <wp:extent cx="5909310" cy="1527175"/>
            <wp:effectExtent l="0" t="0" r="3810" b="1206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5909310" cy="1527175"/>
                    </a:xfrm>
                    <a:prstGeom prst="rect">
                      <a:avLst/>
                    </a:prstGeom>
                    <a:noFill/>
                    <a:ln>
                      <a:noFill/>
                    </a:ln>
                  </pic:spPr>
                </pic:pic>
              </a:graphicData>
            </a:graphic>
          </wp:inline>
        </w:drawing>
      </w:r>
    </w:p>
    <w:p w14:paraId="5A32E554">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6D94B2BC">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7C99D3B9">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2023年10月以来，北京新</w:t>
      </w:r>
      <w:r>
        <w:rPr>
          <w:rFonts w:hint="eastAsia" w:ascii="Arial" w:hAnsi="Arial"/>
          <w:color w:val="000000"/>
          <w:sz w:val="21"/>
          <w:szCs w:val="21"/>
        </w:rPr>
        <w:t>建商品房</w:t>
      </w:r>
      <w:r>
        <w:rPr>
          <w:rFonts w:ascii="Arial" w:hAnsi="Arial"/>
          <w:color w:val="000000"/>
          <w:sz w:val="21"/>
          <w:szCs w:val="21"/>
        </w:rPr>
        <w:t>房价进入下跌通道，2024年和2025年北京新房房价累计跌幅分别为5.4个百分点和2.4个百分点。 2025年新房房价跌幅较2024年出现收窄，但整体仍处于下跌区间，10月份以来新房房价跌幅出现扩大，11月北京新房房价环比下跌 0.5%。</w:t>
      </w:r>
    </w:p>
    <w:p w14:paraId="345C631C">
      <w:pPr>
        <w:tabs>
          <w:tab w:val="left" w:pos="426"/>
        </w:tabs>
        <w:overflowPunct w:val="0"/>
        <w:spacing w:line="480" w:lineRule="auto"/>
        <w:jc w:val="center"/>
        <w:textAlignment w:val="auto"/>
      </w:pPr>
      <w:r>
        <w:drawing>
          <wp:inline distT="0" distB="0" distL="114300" distR="114300">
            <wp:extent cx="5904230" cy="3257550"/>
            <wp:effectExtent l="0" t="0" r="8890" b="381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39"/>
                    <a:stretch>
                      <a:fillRect/>
                    </a:stretch>
                  </pic:blipFill>
                  <pic:spPr>
                    <a:xfrm>
                      <a:off x="0" y="0"/>
                      <a:ext cx="5904230" cy="3257550"/>
                    </a:xfrm>
                    <a:prstGeom prst="rect">
                      <a:avLst/>
                    </a:prstGeom>
                    <a:noFill/>
                    <a:ln>
                      <a:noFill/>
                    </a:ln>
                  </pic:spPr>
                </pic:pic>
              </a:graphicData>
            </a:graphic>
          </wp:inline>
        </w:drawing>
      </w:r>
    </w:p>
    <w:p w14:paraId="5752E93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从各面积段来看，</w:t>
      </w:r>
      <w:r>
        <w:rPr>
          <w:rFonts w:ascii="Arial" w:hAnsi="Arial"/>
          <w:color w:val="000000"/>
          <w:sz w:val="21"/>
          <w:szCs w:val="21"/>
        </w:rPr>
        <w:t>小户型价格跌幅相对较大，大户型价格相对坚挺。2025年，北京90㎡及以下面积段新房房价累计下跌3.7个百分点； 90-144平新房房价累计下跌2.9个百分点；144平以上大户型新房房价累计下跌1.3个百分点。</w:t>
      </w:r>
    </w:p>
    <w:p w14:paraId="22CA8840">
      <w:pPr>
        <w:spacing w:line="360" w:lineRule="auto"/>
        <w:jc w:val="center"/>
        <w:outlineLvl w:val="0"/>
        <w:rPr>
          <w:rFonts w:ascii="Arial" w:hAnsi="Arial"/>
          <w:sz w:val="21"/>
          <w:szCs w:val="28"/>
        </w:rPr>
      </w:pPr>
      <w:r>
        <w:drawing>
          <wp:inline distT="0" distB="0" distL="114300" distR="114300">
            <wp:extent cx="5064125" cy="2970530"/>
            <wp:effectExtent l="0" t="0" r="10795"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0"/>
                    <a:stretch>
                      <a:fillRect/>
                    </a:stretch>
                  </pic:blipFill>
                  <pic:spPr>
                    <a:xfrm>
                      <a:off x="0" y="0"/>
                      <a:ext cx="5064125" cy="2970530"/>
                    </a:xfrm>
                    <a:prstGeom prst="rect">
                      <a:avLst/>
                    </a:prstGeom>
                    <a:noFill/>
                    <a:ln>
                      <a:noFill/>
                    </a:ln>
                  </pic:spPr>
                </pic:pic>
              </a:graphicData>
            </a:graphic>
          </wp:inline>
        </w:drawing>
      </w:r>
    </w:p>
    <w:p w14:paraId="4ED9D6D7">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1613DCE9">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2025年，新房以改善需求为主，中高面积段、中高价位段为市场成交主力，</w:t>
      </w:r>
      <w:r>
        <w:rPr>
          <w:rFonts w:hint="eastAsia" w:ascii="Arial" w:hAnsi="Arial"/>
          <w:sz w:val="21"/>
          <w:szCs w:val="28"/>
        </w:rPr>
        <w:t>存量</w:t>
      </w:r>
      <w:r>
        <w:rPr>
          <w:rFonts w:ascii="Arial" w:hAnsi="Arial"/>
          <w:sz w:val="21"/>
          <w:szCs w:val="28"/>
        </w:rPr>
        <w:t>房对刚需客户分流明显</w:t>
      </w:r>
      <w:r>
        <w:rPr>
          <w:rFonts w:hint="eastAsia" w:ascii="Arial" w:hAnsi="Arial"/>
          <w:sz w:val="21"/>
          <w:szCs w:val="28"/>
        </w:rPr>
        <w:t>。</w:t>
      </w:r>
    </w:p>
    <w:p w14:paraId="130E9237">
      <w:pPr>
        <w:overflowPunct w:val="0"/>
        <w:spacing w:line="480" w:lineRule="auto"/>
        <w:ind w:firstLine="420" w:firstLineChars="200"/>
        <w:jc w:val="both"/>
        <w:textAlignment w:val="auto"/>
        <w:rPr>
          <w:rFonts w:ascii="Arial" w:hAnsi="Arial"/>
          <w:sz w:val="21"/>
          <w:szCs w:val="28"/>
        </w:rPr>
      </w:pPr>
      <w:r>
        <w:rPr>
          <w:rFonts w:ascii="Arial" w:hAnsi="Arial"/>
          <w:sz w:val="21"/>
          <w:szCs w:val="28"/>
        </w:rPr>
        <w:t>新房主力成交面积段上移，中高面积段占比大幅提升。2025年，北京商品住宅（不含保障房）中高面积成交套数占比升至71.5%，同比上升 4.2个百分点；中低面积段产品成交占比下滑4.0个百分点。细分来看，90-120平以及120-160平面积段产品成为北京商品住宅成交主力，成交套数占比分别为36.2%和27.6%。</w:t>
      </w:r>
    </w:p>
    <w:p w14:paraId="310C0AF8">
      <w:pPr>
        <w:overflowPunct w:val="0"/>
        <w:spacing w:line="480" w:lineRule="auto"/>
        <w:jc w:val="center"/>
        <w:textAlignment w:val="auto"/>
      </w:pPr>
      <w:r>
        <w:drawing>
          <wp:inline distT="0" distB="0" distL="114300" distR="114300">
            <wp:extent cx="4409440" cy="3171190"/>
            <wp:effectExtent l="0" t="0" r="10160" b="139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1"/>
                    <a:stretch>
                      <a:fillRect/>
                    </a:stretch>
                  </pic:blipFill>
                  <pic:spPr>
                    <a:xfrm>
                      <a:off x="0" y="0"/>
                      <a:ext cx="4409440" cy="3171190"/>
                    </a:xfrm>
                    <a:prstGeom prst="rect">
                      <a:avLst/>
                    </a:prstGeom>
                    <a:noFill/>
                    <a:ln>
                      <a:noFill/>
                    </a:ln>
                  </pic:spPr>
                </pic:pic>
              </a:graphicData>
            </a:graphic>
          </wp:inline>
        </w:drawing>
      </w:r>
    </w:p>
    <w:p w14:paraId="360D8E68">
      <w:pPr>
        <w:overflowPunct w:val="0"/>
        <w:spacing w:line="480" w:lineRule="auto"/>
        <w:ind w:firstLine="420" w:firstLineChars="200"/>
        <w:jc w:val="both"/>
        <w:textAlignment w:val="auto"/>
        <w:rPr>
          <w:rFonts w:ascii="Arial" w:hAnsi="Arial"/>
          <w:sz w:val="21"/>
          <w:szCs w:val="28"/>
        </w:rPr>
      </w:pPr>
      <w:r>
        <w:rPr>
          <w:rFonts w:ascii="Arial" w:hAnsi="Arial"/>
          <w:sz w:val="21"/>
          <w:szCs w:val="28"/>
        </w:rPr>
        <w:t>高价位段产品占比提升，中高价位段产品占比保持平稳。2025年，在海淀、朝阳等高端项目带动下，高价位段产品成交占比提升3.6个百分点至14.4%；中高价位段产品占比保持平稳，而中低价位段产品占比进一步下滑至39.3%</w:t>
      </w:r>
      <w:r>
        <w:rPr>
          <w:rFonts w:hint="eastAsia" w:ascii="Arial" w:hAnsi="Arial"/>
          <w:sz w:val="21"/>
          <w:szCs w:val="28"/>
        </w:rPr>
        <w:t>。</w:t>
      </w:r>
    </w:p>
    <w:p w14:paraId="411CFC1B">
      <w:pPr>
        <w:overflowPunct w:val="0"/>
        <w:spacing w:line="480" w:lineRule="auto"/>
        <w:ind w:firstLine="480" w:firstLineChars="200"/>
        <w:jc w:val="center"/>
        <w:textAlignment w:val="auto"/>
        <w:rPr>
          <w:rFonts w:ascii="Arial" w:hAnsi="Arial"/>
          <w:sz w:val="21"/>
          <w:szCs w:val="28"/>
        </w:rPr>
      </w:pPr>
      <w:r>
        <w:drawing>
          <wp:inline distT="0" distB="0" distL="114300" distR="114300">
            <wp:extent cx="5180965" cy="3104515"/>
            <wp:effectExtent l="0" t="0" r="635" b="444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42"/>
                    <a:stretch>
                      <a:fillRect/>
                    </a:stretch>
                  </pic:blipFill>
                  <pic:spPr>
                    <a:xfrm>
                      <a:off x="0" y="0"/>
                      <a:ext cx="5180965" cy="3104515"/>
                    </a:xfrm>
                    <a:prstGeom prst="rect">
                      <a:avLst/>
                    </a:prstGeom>
                    <a:noFill/>
                    <a:ln>
                      <a:noFill/>
                    </a:ln>
                  </pic:spPr>
                </pic:pic>
              </a:graphicData>
            </a:graphic>
          </wp:inline>
        </w:drawing>
      </w:r>
    </w:p>
    <w:p w14:paraId="100066DC">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7A76D199">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从区域成交规模来看，2025年中心城区</w:t>
      </w:r>
      <w:r>
        <w:rPr>
          <w:rFonts w:hint="eastAsia" w:ascii="Arial" w:hAnsi="Arial"/>
          <w:sz w:val="21"/>
          <w:szCs w:val="28"/>
        </w:rPr>
        <w:t>（含核心区）</w:t>
      </w:r>
      <w:r>
        <w:rPr>
          <w:rFonts w:ascii="Arial" w:hAnsi="Arial"/>
          <w:sz w:val="21"/>
          <w:szCs w:val="28"/>
        </w:rPr>
        <w:t>成交面积同比增长8%，占比提升6.6个百分点至41.9%。其中朝阳区成交规模超62万</w:t>
      </w:r>
      <w:r>
        <w:rPr>
          <w:rFonts w:hint="eastAsia" w:ascii="Arial" w:hAnsi="Arial"/>
          <w:sz w:val="21"/>
          <w:szCs w:val="28"/>
        </w:rPr>
        <w:t>平方米</w:t>
      </w:r>
      <w:r>
        <w:rPr>
          <w:rFonts w:ascii="Arial" w:hAnsi="Arial"/>
          <w:sz w:val="21"/>
          <w:szCs w:val="28"/>
        </w:rPr>
        <w:t>，居首位；在功德寺、朱房等项目带动下，海淀区成交规模同比大幅提升；近郊六区依然为北京新房成交主力区域，但成交面积同比下降20%，占比下滑至6.8个百分点至52.2%。在中建运河玖院、朝棠揽阅、长安华曦府等热点项目带动下，通州、门头沟同比增长。</w:t>
      </w:r>
    </w:p>
    <w:p w14:paraId="3B53C5F4">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w:t>
      </w:r>
      <w:r>
        <w:rPr>
          <w:rFonts w:hint="eastAsia" w:ascii="Arial" w:hAnsi="Arial"/>
          <w:sz w:val="21"/>
          <w:szCs w:val="28"/>
        </w:rPr>
        <w:t>价</w:t>
      </w:r>
      <w:r>
        <w:rPr>
          <w:rFonts w:ascii="Arial" w:hAnsi="Arial"/>
          <w:sz w:val="21"/>
          <w:szCs w:val="28"/>
        </w:rPr>
        <w:t>来看，2025年北京中心城区</w:t>
      </w:r>
      <w:r>
        <w:rPr>
          <w:rFonts w:hint="eastAsia" w:ascii="Arial" w:hAnsi="Arial"/>
          <w:sz w:val="21"/>
          <w:szCs w:val="28"/>
        </w:rPr>
        <w:t>（含核心区）</w:t>
      </w:r>
      <w:r>
        <w:rPr>
          <w:rFonts w:ascii="Arial" w:hAnsi="Arial"/>
          <w:sz w:val="21"/>
          <w:szCs w:val="28"/>
        </w:rPr>
        <w:t>成交均价为83430元/</w:t>
      </w:r>
      <w:r>
        <w:rPr>
          <w:rFonts w:hint="eastAsia" w:ascii="Arial" w:hAnsi="Arial"/>
          <w:sz w:val="21"/>
          <w:szCs w:val="28"/>
        </w:rPr>
        <w:t>平方米</w:t>
      </w:r>
      <w:r>
        <w:rPr>
          <w:rFonts w:ascii="Arial" w:hAnsi="Arial"/>
          <w:sz w:val="21"/>
          <w:szCs w:val="28"/>
        </w:rPr>
        <w:t>，同比基本持平，其中海淀、朝阳成交均价同比上涨；近郊六区成交均价同比保持平稳，通州区同比小幅上涨1%，其他区成交均价同比下跌。</w:t>
      </w:r>
    </w:p>
    <w:p w14:paraId="17DE06B9">
      <w:pPr>
        <w:tabs>
          <w:tab w:val="left" w:pos="426"/>
        </w:tabs>
        <w:overflowPunct w:val="0"/>
        <w:spacing w:line="480" w:lineRule="auto"/>
        <w:jc w:val="center"/>
        <w:textAlignment w:val="auto"/>
      </w:pPr>
      <w:r>
        <w:drawing>
          <wp:inline distT="0" distB="0" distL="114300" distR="114300">
            <wp:extent cx="5903595" cy="1983105"/>
            <wp:effectExtent l="0" t="0" r="9525" b="13335"/>
            <wp:docPr id="25" name="图片 1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222"/>
                    <pic:cNvPicPr>
                      <a:picLocks noChangeAspect="1"/>
                    </pic:cNvPicPr>
                  </pic:nvPicPr>
                  <pic:blipFill>
                    <a:blip r:embed="rId43"/>
                    <a:stretch>
                      <a:fillRect/>
                    </a:stretch>
                  </pic:blipFill>
                  <pic:spPr>
                    <a:xfrm>
                      <a:off x="0" y="0"/>
                      <a:ext cx="5903595" cy="1983105"/>
                    </a:xfrm>
                    <a:prstGeom prst="rect">
                      <a:avLst/>
                    </a:prstGeom>
                    <a:noFill/>
                    <a:ln>
                      <a:noFill/>
                    </a:ln>
                  </pic:spPr>
                </pic:pic>
              </a:graphicData>
            </a:graphic>
          </wp:inline>
        </w:drawing>
      </w:r>
    </w:p>
    <w:p w14:paraId="3BB49BF5">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1ACFDB0D">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33133B6B">
      <w:pPr>
        <w:tabs>
          <w:tab w:val="left" w:pos="426"/>
        </w:tabs>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2025年上半年，北京</w:t>
      </w:r>
      <w:r>
        <w:rPr>
          <w:rFonts w:hint="eastAsia" w:ascii="Arial" w:hAnsi="Arial"/>
          <w:sz w:val="21"/>
          <w:szCs w:val="28"/>
        </w:rPr>
        <w:t>存量</w:t>
      </w:r>
      <w:r>
        <w:rPr>
          <w:rFonts w:ascii="Arial" w:hAnsi="Arial"/>
          <w:sz w:val="21"/>
          <w:szCs w:val="28"/>
        </w:rPr>
        <w:t>商品住宅新增挂牌持续处于较高水平；下半年新增挂牌规模回落，9月新增挂牌升至下半年高位，四季度新增挂牌持续回落。5月以来累计挂牌量持续处于高位水平，</w:t>
      </w:r>
      <w:r>
        <w:rPr>
          <w:rFonts w:hint="eastAsia" w:ascii="Arial" w:hAnsi="Arial"/>
          <w:sz w:val="21"/>
          <w:szCs w:val="28"/>
        </w:rPr>
        <w:t>存量</w:t>
      </w:r>
      <w:r>
        <w:rPr>
          <w:rFonts w:ascii="Arial" w:hAnsi="Arial"/>
          <w:sz w:val="21"/>
          <w:szCs w:val="28"/>
        </w:rPr>
        <w:t>房市场明显供大于求。截止到2025年12月，北京</w:t>
      </w:r>
      <w:r>
        <w:rPr>
          <w:rFonts w:hint="eastAsia" w:ascii="Arial" w:hAnsi="Arial"/>
          <w:sz w:val="21"/>
          <w:szCs w:val="28"/>
        </w:rPr>
        <w:t>存量</w:t>
      </w:r>
      <w:r>
        <w:rPr>
          <w:rFonts w:ascii="Arial" w:hAnsi="Arial"/>
          <w:sz w:val="21"/>
          <w:szCs w:val="28"/>
        </w:rPr>
        <w:t>商品住宅存量挂牌套数为13.69万套，较年初增加8.5%</w:t>
      </w:r>
      <w:r>
        <w:rPr>
          <w:rFonts w:hint="eastAsia" w:ascii="Arial" w:hAnsi="Arial"/>
          <w:sz w:val="21"/>
          <w:szCs w:val="28"/>
        </w:rPr>
        <w:t>。</w:t>
      </w:r>
    </w:p>
    <w:p w14:paraId="03DB4C78">
      <w:pPr>
        <w:tabs>
          <w:tab w:val="left" w:pos="426"/>
        </w:tabs>
        <w:overflowPunct w:val="0"/>
        <w:spacing w:line="480" w:lineRule="auto"/>
        <w:jc w:val="center"/>
        <w:textAlignment w:val="auto"/>
      </w:pPr>
      <w:r>
        <w:drawing>
          <wp:inline distT="0" distB="0" distL="114300" distR="114300">
            <wp:extent cx="5400040" cy="2840355"/>
            <wp:effectExtent l="0" t="0" r="10160" b="952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4"/>
                    <a:stretch>
                      <a:fillRect/>
                    </a:stretch>
                  </pic:blipFill>
                  <pic:spPr>
                    <a:xfrm>
                      <a:off x="0" y="0"/>
                      <a:ext cx="5400040" cy="2840355"/>
                    </a:xfrm>
                    <a:prstGeom prst="rect">
                      <a:avLst/>
                    </a:prstGeom>
                    <a:noFill/>
                    <a:ln>
                      <a:noFill/>
                    </a:ln>
                  </pic:spPr>
                </pic:pic>
              </a:graphicData>
            </a:graphic>
          </wp:inline>
        </w:drawing>
      </w:r>
    </w:p>
    <w:p w14:paraId="0F114DD8">
      <w:pPr>
        <w:overflowPunct w:val="0"/>
        <w:spacing w:line="480" w:lineRule="auto"/>
        <w:ind w:firstLine="420"/>
        <w:jc w:val="both"/>
        <w:textAlignment w:val="auto"/>
        <w:rPr>
          <w:rFonts w:ascii="Arial" w:hAnsi="Arial"/>
          <w:color w:val="000000"/>
          <w:sz w:val="21"/>
        </w:rPr>
      </w:pPr>
      <w:r>
        <w:rPr>
          <w:rFonts w:ascii="Arial" w:hAnsi="Arial"/>
          <w:color w:val="000000"/>
          <w:sz w:val="21"/>
        </w:rPr>
        <w:t>2025年，北京</w:t>
      </w:r>
      <w:r>
        <w:rPr>
          <w:rFonts w:hint="eastAsia" w:ascii="Arial" w:hAnsi="Arial"/>
          <w:color w:val="000000"/>
          <w:sz w:val="21"/>
        </w:rPr>
        <w:t>存量</w:t>
      </w:r>
      <w:r>
        <w:rPr>
          <w:rFonts w:ascii="Arial" w:hAnsi="Arial"/>
          <w:color w:val="000000"/>
          <w:sz w:val="21"/>
        </w:rPr>
        <w:t>房市场成交活跃，全年</w:t>
      </w:r>
      <w:r>
        <w:rPr>
          <w:rFonts w:hint="eastAsia" w:ascii="Arial" w:hAnsi="Arial"/>
          <w:color w:val="000000"/>
          <w:sz w:val="21"/>
        </w:rPr>
        <w:t>存量</w:t>
      </w:r>
      <w:r>
        <w:rPr>
          <w:rFonts w:ascii="Arial" w:hAnsi="Arial"/>
          <w:color w:val="000000"/>
          <w:sz w:val="21"/>
        </w:rPr>
        <w:t>商品住宅累计成交17.43万套，同比微降0.8%，连续两年成交超17万套。月度来看，上半年北京</w:t>
      </w:r>
      <w:r>
        <w:rPr>
          <w:rFonts w:hint="eastAsia" w:ascii="Arial" w:hAnsi="Arial"/>
          <w:color w:val="000000"/>
          <w:sz w:val="21"/>
        </w:rPr>
        <w:t>存量</w:t>
      </w:r>
      <w:r>
        <w:rPr>
          <w:rFonts w:ascii="Arial" w:hAnsi="Arial"/>
          <w:color w:val="000000"/>
          <w:sz w:val="21"/>
        </w:rPr>
        <w:t>房市场热度较高，下半年市场热度下滑，8.8楼市新政带动9月成交量回升；四季度</w:t>
      </w:r>
      <w:r>
        <w:rPr>
          <w:rFonts w:hint="eastAsia" w:ascii="Arial" w:hAnsi="Arial"/>
          <w:color w:val="000000"/>
          <w:sz w:val="21"/>
        </w:rPr>
        <w:t>存量</w:t>
      </w:r>
      <w:r>
        <w:rPr>
          <w:rFonts w:ascii="Arial" w:hAnsi="Arial"/>
          <w:color w:val="000000"/>
          <w:sz w:val="21"/>
        </w:rPr>
        <w:t>房市场热度再次回落，12月年底</w:t>
      </w:r>
      <w:r>
        <w:rPr>
          <w:rFonts w:hint="eastAsia" w:ascii="Arial" w:hAnsi="Arial"/>
          <w:color w:val="000000"/>
          <w:sz w:val="21"/>
        </w:rPr>
        <w:t>存量</w:t>
      </w:r>
      <w:r>
        <w:rPr>
          <w:rFonts w:ascii="Arial" w:hAnsi="Arial"/>
          <w:color w:val="000000"/>
          <w:sz w:val="21"/>
        </w:rPr>
        <w:t>房成交集中释放，叠加放松限购政策带动，1</w:t>
      </w:r>
      <w:r>
        <w:rPr>
          <w:rFonts w:hint="eastAsia" w:ascii="Arial" w:hAnsi="Arial"/>
          <w:color w:val="000000"/>
          <w:sz w:val="21"/>
        </w:rPr>
        <w:t>2</w:t>
      </w:r>
      <w:r>
        <w:rPr>
          <w:rFonts w:ascii="Arial" w:hAnsi="Arial"/>
          <w:color w:val="000000"/>
          <w:sz w:val="21"/>
        </w:rPr>
        <w:t>月市场迎来“翘尾”收官，成交17200套，创下全年第二高成交量（仅次于3月小阳春的1.9万套）。</w:t>
      </w:r>
    </w:p>
    <w:p w14:paraId="25E41E6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w:t>
      </w:r>
      <w:r>
        <w:rPr>
          <w:rFonts w:ascii="Arial" w:hAnsi="Arial"/>
          <w:color w:val="000000"/>
          <w:sz w:val="21"/>
        </w:rPr>
        <w:t>成交价格</w:t>
      </w:r>
      <w:r>
        <w:rPr>
          <w:rFonts w:hint="eastAsia" w:ascii="Arial" w:hAnsi="Arial"/>
          <w:color w:val="000000"/>
          <w:sz w:val="21"/>
        </w:rPr>
        <w:t>看，存量</w:t>
      </w:r>
      <w:r>
        <w:rPr>
          <w:rFonts w:ascii="Arial" w:hAnsi="Arial"/>
          <w:color w:val="000000"/>
          <w:sz w:val="21"/>
        </w:rPr>
        <w:t>房市场持续呈现“以价换量”特征，2025年二季度以来市场热度回落，</w:t>
      </w:r>
      <w:r>
        <w:rPr>
          <w:rFonts w:hint="eastAsia" w:ascii="Arial" w:hAnsi="Arial"/>
          <w:color w:val="000000"/>
          <w:sz w:val="21"/>
        </w:rPr>
        <w:t>存量</w:t>
      </w:r>
      <w:r>
        <w:rPr>
          <w:rFonts w:ascii="Arial" w:hAnsi="Arial"/>
          <w:color w:val="000000"/>
          <w:sz w:val="21"/>
        </w:rPr>
        <w:t>住宅价格指数持续处于下跌通道，2025年北京</w:t>
      </w:r>
      <w:r>
        <w:rPr>
          <w:rFonts w:hint="eastAsia" w:ascii="Arial" w:hAnsi="Arial"/>
          <w:color w:val="000000"/>
          <w:sz w:val="21"/>
        </w:rPr>
        <w:t>存量</w:t>
      </w:r>
      <w:r>
        <w:rPr>
          <w:rFonts w:ascii="Arial" w:hAnsi="Arial"/>
          <w:color w:val="000000"/>
          <w:sz w:val="21"/>
        </w:rPr>
        <w:t>住宅价格指数累计下跌8.5%</w:t>
      </w:r>
      <w:r>
        <w:rPr>
          <w:rFonts w:hint="eastAsia" w:ascii="Arial" w:hAnsi="Arial"/>
          <w:color w:val="000000"/>
          <w:sz w:val="21"/>
        </w:rPr>
        <w:t>。</w:t>
      </w:r>
    </w:p>
    <w:p w14:paraId="3B7015F6">
      <w:pPr>
        <w:overflowPunct w:val="0"/>
        <w:spacing w:line="480" w:lineRule="auto"/>
        <w:jc w:val="center"/>
        <w:textAlignment w:val="auto"/>
        <w:rPr>
          <w:rFonts w:ascii="Arial" w:hAnsi="Arial"/>
          <w:color w:val="000000"/>
          <w:sz w:val="21"/>
        </w:rPr>
      </w:pPr>
      <w:r>
        <w:drawing>
          <wp:inline distT="0" distB="0" distL="114300" distR="114300">
            <wp:extent cx="5908040" cy="1624330"/>
            <wp:effectExtent l="0" t="0" r="5080" b="635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45"/>
                    <a:stretch>
                      <a:fillRect/>
                    </a:stretch>
                  </pic:blipFill>
                  <pic:spPr>
                    <a:xfrm>
                      <a:off x="0" y="0"/>
                      <a:ext cx="5908040" cy="1624330"/>
                    </a:xfrm>
                    <a:prstGeom prst="rect">
                      <a:avLst/>
                    </a:prstGeom>
                    <a:noFill/>
                    <a:ln>
                      <a:noFill/>
                    </a:ln>
                  </pic:spPr>
                </pic:pic>
              </a:graphicData>
            </a:graphic>
          </wp:inline>
        </w:drawing>
      </w:r>
    </w:p>
    <w:p w14:paraId="56075A74">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325F70B">
      <w:pPr>
        <w:overflowPunct w:val="0"/>
        <w:spacing w:line="480" w:lineRule="auto"/>
        <w:ind w:firstLine="420"/>
        <w:jc w:val="both"/>
        <w:textAlignment w:val="auto"/>
        <w:rPr>
          <w:rFonts w:ascii="Arial" w:hAnsi="Arial"/>
          <w:color w:val="000000"/>
          <w:sz w:val="21"/>
        </w:rPr>
      </w:pPr>
      <w:bookmarkStart w:id="60" w:name="OLE_LINK9"/>
      <w:bookmarkStart w:id="61" w:name="OLE_LINK8"/>
      <w:r>
        <w:rPr>
          <w:rFonts w:ascii="Arial" w:hAnsi="Arial"/>
          <w:color w:val="000000"/>
          <w:sz w:val="21"/>
        </w:rPr>
        <w:t>分区域来看，</w:t>
      </w:r>
      <w:r>
        <w:rPr>
          <w:rFonts w:hint="eastAsia" w:ascii="Arial" w:hAnsi="Arial"/>
          <w:color w:val="000000"/>
          <w:sz w:val="21"/>
        </w:rPr>
        <w:t>2025年</w:t>
      </w:r>
      <w:r>
        <w:rPr>
          <w:rFonts w:ascii="Arial" w:hAnsi="Arial"/>
          <w:color w:val="000000"/>
          <w:sz w:val="21"/>
        </w:rPr>
        <w:t>朝阳区成交量达378万平方米，居各区首位；海淀、丰台、昌平、大兴、</w:t>
      </w:r>
      <w:r>
        <w:rPr>
          <w:rFonts w:hint="eastAsia" w:ascii="Arial" w:hAnsi="Arial"/>
          <w:color w:val="000000"/>
          <w:sz w:val="21"/>
        </w:rPr>
        <w:t>通州存量</w:t>
      </w:r>
      <w:r>
        <w:rPr>
          <w:rFonts w:ascii="Arial" w:hAnsi="Arial"/>
          <w:color w:val="000000"/>
          <w:sz w:val="21"/>
        </w:rPr>
        <w:t>房市场比较活跃，成交面积均超过100万平方米；同比来看，中心城区、近郊区、远郊区</w:t>
      </w:r>
      <w:r>
        <w:rPr>
          <w:rFonts w:hint="eastAsia" w:ascii="Arial" w:hAnsi="Arial"/>
          <w:color w:val="000000"/>
          <w:sz w:val="21"/>
        </w:rPr>
        <w:t>存量</w:t>
      </w:r>
      <w:r>
        <w:rPr>
          <w:rFonts w:ascii="Arial" w:hAnsi="Arial"/>
          <w:color w:val="000000"/>
          <w:sz w:val="21"/>
        </w:rPr>
        <w:t>房成交规模均同比下降。门头沟、通州、昌平</w:t>
      </w:r>
      <w:r>
        <w:rPr>
          <w:rFonts w:hint="eastAsia" w:ascii="Arial" w:hAnsi="Arial"/>
          <w:color w:val="000000"/>
          <w:sz w:val="21"/>
        </w:rPr>
        <w:t>存量</w:t>
      </w:r>
      <w:r>
        <w:rPr>
          <w:rFonts w:ascii="Arial" w:hAnsi="Arial"/>
          <w:color w:val="000000"/>
          <w:sz w:val="21"/>
        </w:rPr>
        <w:t>房房价跌幅较大</w:t>
      </w:r>
      <w:r>
        <w:rPr>
          <w:rFonts w:hint="eastAsia" w:ascii="Arial" w:hAnsi="Arial"/>
          <w:color w:val="000000"/>
          <w:sz w:val="21"/>
        </w:rPr>
        <w:t>。</w:t>
      </w:r>
    </w:p>
    <w:p w14:paraId="12835836">
      <w:pPr>
        <w:overflowPunct w:val="0"/>
        <w:spacing w:line="480" w:lineRule="auto"/>
        <w:jc w:val="center"/>
        <w:textAlignment w:val="auto"/>
        <w:rPr>
          <w:rFonts w:ascii="Arial" w:hAnsi="Arial"/>
          <w:color w:val="000000"/>
          <w:sz w:val="21"/>
        </w:rPr>
      </w:pPr>
      <w:r>
        <w:drawing>
          <wp:inline distT="0" distB="0" distL="114300" distR="114300">
            <wp:extent cx="5219065" cy="6021070"/>
            <wp:effectExtent l="0" t="0" r="8255" b="13970"/>
            <wp:docPr id="41" name="图片 1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333"/>
                    <pic:cNvPicPr>
                      <a:picLocks noChangeAspect="1"/>
                    </pic:cNvPicPr>
                  </pic:nvPicPr>
                  <pic:blipFill>
                    <a:blip r:embed="rId46"/>
                    <a:stretch>
                      <a:fillRect/>
                    </a:stretch>
                  </pic:blipFill>
                  <pic:spPr>
                    <a:xfrm>
                      <a:off x="0" y="0"/>
                      <a:ext cx="5219065" cy="6021070"/>
                    </a:xfrm>
                    <a:prstGeom prst="rect">
                      <a:avLst/>
                    </a:prstGeom>
                    <a:noFill/>
                    <a:ln>
                      <a:noFill/>
                    </a:ln>
                  </pic:spPr>
                </pic:pic>
              </a:graphicData>
            </a:graphic>
          </wp:inline>
        </w:drawing>
      </w:r>
    </w:p>
    <w:p w14:paraId="53DBC2CB">
      <w:pPr>
        <w:overflowPunct w:val="0"/>
        <w:spacing w:line="480" w:lineRule="auto"/>
        <w:ind w:firstLine="420"/>
        <w:jc w:val="both"/>
        <w:textAlignment w:val="auto"/>
        <w:rPr>
          <w:rFonts w:ascii="Arial" w:hAnsi="Arial"/>
          <w:color w:val="000000"/>
          <w:sz w:val="21"/>
        </w:rPr>
      </w:pPr>
      <w:r>
        <w:rPr>
          <w:rFonts w:ascii="Arial" w:hAnsi="Arial"/>
          <w:color w:val="000000"/>
          <w:sz w:val="21"/>
        </w:rPr>
        <w:t>整体来看，2025年</w:t>
      </w:r>
      <w:r>
        <w:rPr>
          <w:rFonts w:hint="eastAsia" w:ascii="Arial" w:hAnsi="Arial"/>
          <w:color w:val="000000"/>
          <w:sz w:val="21"/>
        </w:rPr>
        <w:t>，</w:t>
      </w:r>
      <w:r>
        <w:rPr>
          <w:rFonts w:ascii="Arial" w:hAnsi="Arial"/>
          <w:color w:val="000000"/>
          <w:sz w:val="21"/>
        </w:rPr>
        <w:t>北京商品住宅（新建+</w:t>
      </w:r>
      <w:r>
        <w:rPr>
          <w:rFonts w:hint="eastAsia" w:ascii="Arial" w:hAnsi="Arial"/>
          <w:color w:val="000000"/>
          <w:sz w:val="21"/>
        </w:rPr>
        <w:t>存量</w:t>
      </w:r>
      <w:r>
        <w:rPr>
          <w:rFonts w:ascii="Arial" w:hAnsi="Arial"/>
          <w:color w:val="000000"/>
          <w:sz w:val="21"/>
        </w:rPr>
        <w:t>）累计成交面积为2093.97万</w:t>
      </w:r>
      <w:r>
        <w:rPr>
          <w:rFonts w:hint="eastAsia" w:ascii="Arial" w:hAnsi="Arial"/>
          <w:color w:val="000000"/>
          <w:sz w:val="21"/>
        </w:rPr>
        <w:t>平方米</w:t>
      </w:r>
      <w:r>
        <w:rPr>
          <w:rFonts w:ascii="Arial" w:hAnsi="Arial"/>
          <w:color w:val="000000"/>
          <w:sz w:val="21"/>
        </w:rPr>
        <w:t>，同比下降3.8%。2023-2025年北京住宅市场累计成交规模位于2100万平方米左右，整体成交规模保持相对平稳。但市场分化明显，2022年以来新房市场表现相对较冷，新房成交规模呈现持续减少走势；而</w:t>
      </w:r>
      <w:r>
        <w:rPr>
          <w:rFonts w:hint="eastAsia" w:ascii="Arial" w:hAnsi="Arial"/>
          <w:color w:val="000000"/>
          <w:sz w:val="21"/>
        </w:rPr>
        <w:t>存量</w:t>
      </w:r>
      <w:r>
        <w:rPr>
          <w:rFonts w:ascii="Arial" w:hAnsi="Arial"/>
          <w:color w:val="000000"/>
          <w:sz w:val="21"/>
        </w:rPr>
        <w:t>房市场活跃度较高，近两年成交套数均超17万套。</w:t>
      </w:r>
    </w:p>
    <w:p w14:paraId="30CCC1E9">
      <w:pPr>
        <w:overflowPunct w:val="0"/>
        <w:spacing w:line="480" w:lineRule="auto"/>
        <w:ind w:firstLine="420"/>
        <w:jc w:val="both"/>
        <w:textAlignment w:val="auto"/>
        <w:rPr>
          <w:rFonts w:ascii="Arial" w:hAnsi="Arial"/>
          <w:color w:val="000000"/>
          <w:sz w:val="21"/>
        </w:rPr>
      </w:pPr>
      <w:r>
        <w:rPr>
          <w:rFonts w:ascii="Arial" w:hAnsi="Arial"/>
          <w:color w:val="000000"/>
          <w:sz w:val="21"/>
        </w:rPr>
        <w:t>从</w:t>
      </w:r>
      <w:r>
        <w:rPr>
          <w:rFonts w:hint="eastAsia" w:ascii="Arial" w:hAnsi="Arial"/>
          <w:color w:val="000000"/>
          <w:sz w:val="21"/>
        </w:rPr>
        <w:t>存量</w:t>
      </w:r>
      <w:r>
        <w:rPr>
          <w:rFonts w:ascii="Arial" w:hAnsi="Arial"/>
          <w:color w:val="000000"/>
          <w:sz w:val="21"/>
        </w:rPr>
        <w:t>房成交占比来看，2022年以来</w:t>
      </w:r>
      <w:r>
        <w:rPr>
          <w:rFonts w:hint="eastAsia" w:ascii="Arial" w:hAnsi="Arial"/>
          <w:color w:val="000000"/>
          <w:sz w:val="21"/>
        </w:rPr>
        <w:t>存量</w:t>
      </w:r>
      <w:r>
        <w:rPr>
          <w:rFonts w:ascii="Arial" w:hAnsi="Arial"/>
          <w:color w:val="000000"/>
          <w:sz w:val="21"/>
        </w:rPr>
        <w:t>房成交占比呈现持续上升趋势，2025年占比上升至81%，再创历史新高水平，对新房市场形成明显的分流效应。</w:t>
      </w:r>
    </w:p>
    <w:p w14:paraId="3A37CB28">
      <w:pPr>
        <w:overflowPunct w:val="0"/>
        <w:spacing w:line="480" w:lineRule="auto"/>
        <w:jc w:val="center"/>
        <w:textAlignment w:val="auto"/>
        <w:rPr>
          <w:rFonts w:ascii="Arial" w:hAnsi="Arial"/>
          <w:color w:val="000000"/>
          <w:sz w:val="21"/>
        </w:rPr>
      </w:pPr>
      <w:r>
        <w:drawing>
          <wp:inline distT="0" distB="0" distL="114300" distR="114300">
            <wp:extent cx="4572000" cy="2743200"/>
            <wp:effectExtent l="4445" t="4445" r="10795" b="1079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798A43">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16B9DFD2">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73CC269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79F194F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43ECE2C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71C3FF4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724EF4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2EFB6DC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62" w:name="OLE_LINK7"/>
      <w:r>
        <w:rPr>
          <w:rFonts w:ascii="Arial" w:hAnsi="Arial"/>
          <w:color w:val="000000"/>
          <w:sz w:val="21"/>
        </w:rPr>
        <w:t>中央城市工作会议</w:t>
      </w:r>
      <w:bookmarkEnd w:id="62"/>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7EAE301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7B78F92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2025年8月28日，《中共中央 国务院关于推动城市高质量发展的意见》公开发布，</w:t>
      </w:r>
      <w:r>
        <w:rPr>
          <w:rFonts w:ascii="Arial" w:hAnsi="Arial"/>
          <w:color w:val="000000"/>
          <w:sz w:val="21"/>
        </w:rPr>
        <w:t>在城市发展正从大规模增量扩张阶段转向存量提质增效为主的阶段，为加快城市发展方式转型提出二十三条指导意见。其中， 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好房子”和完整社区建设，提出：加快构建房地产发展新模式，更好满足群众刚性和多样化改善性住房需求；全链条提升住房设计、建造、维护、服务水平，大力推进安全、舒适、绿色、智慧的“好房子”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 衡。</w:t>
      </w:r>
    </w:p>
    <w:p w14:paraId="6AFAB8D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11日，《国务院关于全国部分地区要素市场化配置综合改革试点实施方案的批复》发布，同意自即日起2年内开展北京城市副中心等10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2F92C79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10月20日至23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三保”底线，积极稳妥化解地方政府债务风险。明确提出要“推动房地产高质量发展”。</w:t>
      </w:r>
    </w:p>
    <w:p w14:paraId="2CFF7C1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2025年10月28日，</w:t>
      </w:r>
      <w:r>
        <w:rPr>
          <w:rFonts w:ascii="Arial" w:hAnsi="Arial"/>
          <w:color w:val="000000"/>
          <w:sz w:val="21"/>
        </w:rPr>
        <w:t>《中共中央关于制定国民经济和社会发展第十五个五年规划的建议》全文发布，</w:t>
      </w:r>
      <w:r>
        <w:rPr>
          <w:rFonts w:hint="eastAsia" w:ascii="Arial" w:hAnsi="Arial"/>
          <w:color w:val="000000"/>
          <w:sz w:val="21"/>
        </w:rPr>
        <w:t>关于房地产</w:t>
      </w:r>
      <w:r>
        <w:rPr>
          <w:rFonts w:ascii="Arial" w:hAnsi="Arial"/>
          <w:color w:val="000000"/>
          <w:sz w:val="21"/>
        </w:rPr>
        <w:t>提出：（1）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hint="eastAsia" w:ascii="Arial" w:hAnsi="Arial"/>
          <w:color w:val="000000"/>
          <w:sz w:val="21"/>
        </w:rPr>
        <w:t>2</w:t>
      </w:r>
      <w:r>
        <w:rPr>
          <w:rFonts w:ascii="Arial" w:hAnsi="Arial"/>
          <w:color w:val="000000"/>
          <w:sz w:val="21"/>
        </w:rPr>
        <w:t>）优化国土空间发展格局：赋予省级政府统筹建设用地更大自主权，探索实施建设用地总量按规划期管控模式，实行统筹存量和增量综合供地；（</w:t>
      </w:r>
      <w:r>
        <w:rPr>
          <w:rFonts w:hint="eastAsia" w:ascii="Arial" w:hAnsi="Arial"/>
          <w:color w:val="000000"/>
          <w:sz w:val="21"/>
        </w:rPr>
        <w:t>3</w:t>
      </w:r>
      <w:r>
        <w:rPr>
          <w:rFonts w:ascii="Arial" w:hAnsi="Arial"/>
          <w:color w:val="000000"/>
          <w:sz w:val="21"/>
        </w:rPr>
        <w:t>）坚持城市内涵式发展，大力实施城市更新，建设创新、宜居、美丽、韧性、文明、智慧的现代化人民城市；（</w:t>
      </w:r>
      <w:r>
        <w:rPr>
          <w:rFonts w:hint="eastAsia" w:ascii="Arial" w:hAnsi="Arial"/>
          <w:color w:val="000000"/>
          <w:sz w:val="21"/>
        </w:rPr>
        <w:t>4</w:t>
      </w:r>
      <w:r>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r>
        <w:rPr>
          <w:rFonts w:hint="eastAsia" w:ascii="Arial" w:hAnsi="Arial"/>
          <w:color w:val="000000"/>
          <w:sz w:val="21"/>
        </w:rPr>
        <w:t>5</w:t>
      </w:r>
      <w:r>
        <w:rPr>
          <w:rFonts w:ascii="Arial" w:hAnsi="Arial"/>
          <w:color w:val="000000"/>
          <w:sz w:val="21"/>
        </w:rPr>
        <w:t>）提高防范化解重点领域风险能力，统筹推进房地产、地方政府债务、中小金融机构等风险有序化解，严防系统性风险。</w:t>
      </w:r>
    </w:p>
    <w:p w14:paraId="60494E55">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年12月1</w:t>
      </w:r>
      <w:r>
        <w:rPr>
          <w:rFonts w:hint="eastAsia" w:ascii="Arial" w:hAnsi="Arial"/>
          <w:color w:val="000000"/>
          <w:sz w:val="21"/>
        </w:rPr>
        <w:t>0</w:t>
      </w:r>
      <w:r>
        <w:rPr>
          <w:rFonts w:ascii="Arial" w:hAnsi="Arial"/>
          <w:color w:val="000000"/>
          <w:sz w:val="21"/>
        </w:rPr>
        <w:t>日至1</w:t>
      </w:r>
      <w:r>
        <w:rPr>
          <w:rFonts w:hint="eastAsia" w:ascii="Arial" w:hAnsi="Arial"/>
          <w:color w:val="000000"/>
          <w:sz w:val="21"/>
        </w:rPr>
        <w:t>1</w:t>
      </w:r>
      <w:r>
        <w:rPr>
          <w:rFonts w:ascii="Arial" w:hAnsi="Arial"/>
          <w:color w:val="000000"/>
          <w:sz w:val="21"/>
        </w:rPr>
        <w:t>日，202</w:t>
      </w:r>
      <w:r>
        <w:rPr>
          <w:rFonts w:hint="eastAsia" w:ascii="Arial" w:hAnsi="Arial"/>
          <w:color w:val="000000"/>
          <w:sz w:val="21"/>
        </w:rPr>
        <w:t>5</w:t>
      </w:r>
      <w:r>
        <w:rPr>
          <w:rFonts w:ascii="Arial" w:hAnsi="Arial"/>
          <w:color w:val="000000"/>
          <w:sz w:val="21"/>
        </w:rPr>
        <w:t>年中央经济工作会议举行。会议总结202</w:t>
      </w:r>
      <w:r>
        <w:rPr>
          <w:rFonts w:hint="eastAsia" w:ascii="Arial" w:hAnsi="Arial"/>
          <w:color w:val="000000"/>
          <w:sz w:val="21"/>
        </w:rPr>
        <w:t>5</w:t>
      </w:r>
      <w:r>
        <w:rPr>
          <w:rFonts w:ascii="Arial" w:hAnsi="Arial"/>
          <w:color w:val="000000"/>
          <w:sz w:val="21"/>
        </w:rPr>
        <w:t>年经济工作，</w:t>
      </w:r>
      <w:r>
        <w:rPr>
          <w:rFonts w:hint="eastAsia" w:ascii="Arial" w:hAnsi="Arial"/>
          <w:color w:val="000000"/>
          <w:sz w:val="21"/>
        </w:rPr>
        <w:t>分析当前经济形势，部署2026年经济工作</w:t>
      </w:r>
      <w:r>
        <w:rPr>
          <w:rFonts w:ascii="Arial" w:hAnsi="Arial"/>
          <w:color w:val="000000"/>
          <w:sz w:val="21"/>
        </w:rPr>
        <w:t>。会议提出</w:t>
      </w:r>
      <w:r>
        <w:rPr>
          <w:rFonts w:hint="eastAsia" w:ascii="Arial" w:hAnsi="Arial"/>
          <w:color w:val="000000"/>
          <w:sz w:val="21"/>
        </w:rPr>
        <w:t>“着力稳定房地产市场，因城施策控增量、去库存、优供给，鼓励收购存量商品房重点用于保障性住房等。深化住房公积金制度改革，有序推动‘好房子’建设。加快构建房地产发展新模式</w:t>
      </w:r>
      <w:r>
        <w:rPr>
          <w:rFonts w:ascii="Arial" w:hAnsi="Arial"/>
          <w:color w:val="000000"/>
          <w:sz w:val="21"/>
        </w:rPr>
        <w:t>。</w:t>
      </w:r>
      <w:r>
        <w:rPr>
          <w:rFonts w:hint="eastAsia" w:ascii="Arial" w:hAnsi="Arial"/>
          <w:color w:val="000000"/>
          <w:sz w:val="21"/>
        </w:rPr>
        <w:t>”</w:t>
      </w:r>
      <w:r>
        <w:rPr>
          <w:rFonts w:ascii="Arial" w:hAnsi="Arial"/>
          <w:color w:val="000000"/>
          <w:sz w:val="21"/>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774EFEFF">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年12月2</w:t>
      </w:r>
      <w:r>
        <w:rPr>
          <w:rFonts w:hint="eastAsia" w:ascii="Arial" w:hAnsi="Arial"/>
          <w:color w:val="000000"/>
          <w:sz w:val="21"/>
        </w:rPr>
        <w:t>2</w:t>
      </w:r>
      <w:r>
        <w:rPr>
          <w:rFonts w:ascii="Arial" w:hAnsi="Arial"/>
          <w:color w:val="000000"/>
          <w:sz w:val="21"/>
        </w:rPr>
        <w:t>日至2</w:t>
      </w:r>
      <w:r>
        <w:rPr>
          <w:rFonts w:hint="eastAsia" w:ascii="Arial" w:hAnsi="Arial"/>
          <w:color w:val="000000"/>
          <w:sz w:val="21"/>
        </w:rPr>
        <w:t>3</w:t>
      </w:r>
      <w:r>
        <w:rPr>
          <w:rFonts w:ascii="Arial" w:hAnsi="Arial"/>
          <w:color w:val="000000"/>
          <w:sz w:val="21"/>
        </w:rPr>
        <w:t>日，全国住房城乡建设工作会议在北京召开。会议</w:t>
      </w:r>
      <w:r>
        <w:rPr>
          <w:rFonts w:hint="eastAsia" w:ascii="Arial" w:hAnsi="Arial"/>
          <w:color w:val="000000"/>
          <w:sz w:val="21"/>
        </w:rPr>
        <w:t>全面盘点2025年工作，系统总结“十四五”时期住房城乡建设事业发展成就，研究部署“十五五”时期和2026年重点任务</w:t>
      </w:r>
      <w:r>
        <w:rPr>
          <w:rFonts w:ascii="Arial" w:hAnsi="Arial"/>
          <w:color w:val="000000"/>
          <w:sz w:val="21"/>
        </w:rPr>
        <w:t>。会议强调，202</w:t>
      </w:r>
      <w:r>
        <w:rPr>
          <w:rFonts w:hint="eastAsia" w:ascii="Arial" w:hAnsi="Arial"/>
          <w:color w:val="000000"/>
          <w:sz w:val="21"/>
        </w:rPr>
        <w:t>6</w:t>
      </w:r>
      <w:r>
        <w:rPr>
          <w:rFonts w:ascii="Arial" w:hAnsi="Arial"/>
          <w:color w:val="000000"/>
          <w:sz w:val="21"/>
        </w:rPr>
        <w:t>年的工作要重点抓好</w:t>
      </w:r>
      <w:r>
        <w:rPr>
          <w:rFonts w:hint="eastAsia" w:ascii="Arial" w:hAnsi="Arial"/>
          <w:color w:val="000000"/>
          <w:sz w:val="21"/>
        </w:rPr>
        <w:t>4</w:t>
      </w:r>
      <w:r>
        <w:rPr>
          <w:rFonts w:ascii="Arial" w:hAnsi="Arial"/>
          <w:color w:val="000000"/>
          <w:sz w:val="21"/>
        </w:rPr>
        <w:t>个方面工作。一、</w:t>
      </w:r>
      <w:r>
        <w:rPr>
          <w:rFonts w:hint="eastAsia" w:ascii="Arial" w:hAnsi="Arial"/>
          <w:color w:val="000000"/>
          <w:sz w:val="21"/>
        </w:rPr>
        <w:t>推进现代化人民城市建设，重点是：高质量开展城市更新，编制实施“十五五”城市更新专项规划，抓好城市体检、更新试点，实施一批民生工程、发展工程、安全工程。</w:t>
      </w:r>
      <w:r>
        <w:rPr>
          <w:rFonts w:ascii="Arial" w:hAnsi="Arial"/>
          <w:color w:val="000000"/>
          <w:sz w:val="21"/>
        </w:rPr>
        <w:t>二、</w:t>
      </w:r>
      <w:r>
        <w:rPr>
          <w:rFonts w:hint="eastAsia" w:ascii="Arial" w:hAnsi="Arial"/>
          <w:color w:val="000000"/>
          <w:sz w:val="21"/>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Pr>
          <w:rFonts w:ascii="Arial" w:hAnsi="Arial"/>
          <w:color w:val="000000"/>
          <w:sz w:val="21"/>
        </w:rPr>
        <w:t>。三、</w:t>
      </w:r>
      <w:r>
        <w:rPr>
          <w:rFonts w:hint="eastAsia" w:ascii="Arial" w:hAnsi="Arial"/>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Pr>
          <w:rFonts w:ascii="Arial" w:hAnsi="Arial"/>
          <w:color w:val="000000"/>
          <w:sz w:val="21"/>
        </w:rPr>
        <w:t>。四、</w:t>
      </w:r>
      <w:r>
        <w:rPr>
          <w:rFonts w:hint="eastAsia" w:ascii="Arial" w:hAnsi="Arial"/>
          <w:color w:val="000000"/>
          <w:sz w:val="21"/>
        </w:rPr>
        <w:t>夯实高质量发展基础支撑，重点是：提升法治建设水平，完善标准体系，加快推出一批工作急需的工程建设标准。加强统计分析，推动优化现行统计指标，强化统计数据分析应用</w:t>
      </w:r>
      <w:r>
        <w:rPr>
          <w:rFonts w:ascii="Arial" w:hAnsi="Arial"/>
          <w:color w:val="000000"/>
          <w:sz w:val="21"/>
        </w:rPr>
        <w:t>。</w:t>
      </w:r>
    </w:p>
    <w:p w14:paraId="2C9980F6">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17F52ED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3411CC6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9DBB2B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6C64A0E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6B7E7AA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9月29日，</w:t>
      </w:r>
      <w:r>
        <w:rPr>
          <w:rFonts w:hint="eastAsia" w:ascii="Arial" w:hAnsi="Arial"/>
          <w:color w:val="000000"/>
          <w:sz w:val="21"/>
        </w:rPr>
        <w:t>《</w:t>
      </w:r>
      <w:r>
        <w:rPr>
          <w:rFonts w:ascii="Arial" w:hAnsi="Arial"/>
          <w:color w:val="000000"/>
          <w:sz w:val="21"/>
        </w:rPr>
        <w:t>北京市人民政府印发</w:t>
      </w:r>
      <w:r>
        <w:rPr>
          <w:rFonts w:hint="eastAsia" w:ascii="Arial" w:hAnsi="Arial"/>
          <w:color w:val="000000"/>
          <w:sz w:val="21"/>
        </w:rPr>
        <w:t>〈北京市居住公共服务设施配置指标〉和〈北京市居住公共服务设施配置指标实施意见〉的通知》发布</w:t>
      </w:r>
      <w:r>
        <w:rPr>
          <w:rFonts w:ascii="Arial" w:hAnsi="Arial"/>
          <w:color w:val="000000"/>
          <w:sz w:val="21"/>
        </w:rPr>
        <w:t>，对2015年印发的文件进行了全面修订</w:t>
      </w:r>
      <w:r>
        <w:rPr>
          <w:rFonts w:hint="eastAsia" w:ascii="Arial" w:hAnsi="Arial"/>
          <w:color w:val="000000"/>
          <w:sz w:val="21"/>
        </w:rPr>
        <w:t>。《通知》</w:t>
      </w:r>
      <w:r>
        <w:rPr>
          <w:rFonts w:ascii="Arial" w:hAnsi="Arial"/>
          <w:color w:val="000000"/>
          <w:sz w:val="21"/>
        </w:rPr>
        <w:t>于2025年 12月1日起实施。鼓励空间复合利用，增设综合服务设施，将文体活动、党群服务设施指标统筹使用；增设托育设施和老幼服务用房，强化“一老一小”服务功能；调整了停车指标，电动自行车原则在地上停放；增加末端物流设施、垃圾分类收集设施；增设社区级商业设施</w:t>
      </w:r>
      <w:r>
        <w:rPr>
          <w:rFonts w:hint="eastAsia" w:ascii="Arial" w:hAnsi="Arial"/>
          <w:color w:val="000000"/>
          <w:sz w:val="21"/>
        </w:rPr>
        <w:t>。</w:t>
      </w:r>
    </w:p>
    <w:p w14:paraId="6E33B79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2025年12月24日，北京市住房和城乡建设委员会、中国人民银行北京市分行、北京市发展和改革委员会和北京住房公积金管理中心联合发布《关于进一步优化调整本市房地产相关政策的通知》。《通知》</w:t>
      </w:r>
      <w:r>
        <w:rPr>
          <w:rFonts w:ascii="Arial" w:hAnsi="Arial"/>
          <w:color w:val="000000"/>
          <w:sz w:val="21"/>
        </w:rPr>
        <w:t>核心内容包括放宽非京籍购房条件、支持多子女家庭购房、优化信贷及公积金政策等，自发布当日施行</w:t>
      </w:r>
      <w:r>
        <w:rPr>
          <w:rFonts w:hint="eastAsia" w:ascii="Arial" w:hAnsi="Arial"/>
          <w:color w:val="000000"/>
          <w:sz w:val="21"/>
        </w:rPr>
        <w:t>。</w:t>
      </w:r>
    </w:p>
    <w:p w14:paraId="51184B1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2025年12月31日，北京市规划和自然资源委员会和北京市住房和城乡建设委员会联合发布《关于印发〈北京市城市更新范围内无手续建筑认定处理指导意见（试行）〉的通知》，该文件</w:t>
      </w:r>
      <w:r>
        <w:rPr>
          <w:rFonts w:ascii="Arial" w:hAnsi="Arial"/>
          <w:color w:val="000000"/>
          <w:sz w:val="21"/>
        </w:rPr>
        <w:t>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Pr>
          <w:rFonts w:hint="eastAsia" w:ascii="Arial" w:hAnsi="Arial"/>
          <w:color w:val="000000"/>
          <w:sz w:val="21"/>
        </w:rPr>
        <w:t>。</w:t>
      </w:r>
    </w:p>
    <w:bookmarkEnd w:id="60"/>
    <w:bookmarkEnd w:id="61"/>
    <w:p w14:paraId="2C04B23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4B35455D">
      <w:pPr>
        <w:overflowPunct w:val="0"/>
        <w:spacing w:line="480" w:lineRule="auto"/>
        <w:ind w:firstLine="420"/>
        <w:jc w:val="both"/>
        <w:textAlignment w:val="auto"/>
        <w:rPr>
          <w:rFonts w:ascii="Arial" w:hAnsi="Arial"/>
          <w:color w:val="000000"/>
          <w:sz w:val="21"/>
        </w:rPr>
      </w:pPr>
      <w:r>
        <w:rPr>
          <w:rFonts w:ascii="Arial" w:hAnsi="Arial"/>
          <w:color w:val="000000"/>
          <w:sz w:val="21"/>
        </w:rPr>
        <w:t>未来北京市住宅市场预计将呈现</w:t>
      </w:r>
      <w:r>
        <w:rPr>
          <w:rFonts w:hint="eastAsia" w:ascii="Arial" w:hAnsi="Arial"/>
          <w:color w:val="000000"/>
          <w:sz w:val="21"/>
        </w:rPr>
        <w:t>“</w:t>
      </w:r>
      <w:r>
        <w:rPr>
          <w:rFonts w:ascii="Arial" w:hAnsi="Arial"/>
          <w:color w:val="000000"/>
          <w:sz w:val="21"/>
        </w:rPr>
        <w:t>整体趋稳、内部分化、渐进转型</w:t>
      </w:r>
      <w:r>
        <w:rPr>
          <w:rFonts w:hint="eastAsia" w:ascii="Arial" w:hAnsi="Arial"/>
          <w:color w:val="000000"/>
          <w:sz w:val="21"/>
        </w:rPr>
        <w:t>”</w:t>
      </w:r>
      <w:r>
        <w:rPr>
          <w:rFonts w:ascii="Arial" w:hAnsi="Arial"/>
          <w:color w:val="000000"/>
          <w:sz w:val="21"/>
        </w:rPr>
        <w:t>的演变趋势。在中央“稳定预期、缩短调整”的定调下，北京政策将继续以渐进式优化为主。一方面，限购政策预计将进一步放松（如五环内政策优化），公积金支持力度有望加大，以降低购房门槛、释放改善性需求。另一方面，供给端将持续推进“好房子”建设，通过品质提升和空间创新推动住房供给侧改革，并完善“市场+保障”的供应体系。</w:t>
      </w:r>
      <w:r>
        <w:rPr>
          <w:rFonts w:hint="eastAsia" w:ascii="Arial" w:hAnsi="Arial"/>
          <w:color w:val="000000"/>
          <w:sz w:val="21"/>
        </w:rPr>
        <w:t>同时，</w:t>
      </w:r>
      <w:r>
        <w:rPr>
          <w:rFonts w:ascii="Arial" w:hAnsi="Arial"/>
          <w:color w:val="000000"/>
          <w:sz w:val="21"/>
        </w:rPr>
        <w:t>新房与</w:t>
      </w:r>
      <w:r>
        <w:rPr>
          <w:rFonts w:hint="eastAsia" w:ascii="Arial" w:hAnsi="Arial"/>
          <w:color w:val="000000"/>
          <w:sz w:val="21"/>
        </w:rPr>
        <w:t>存量</w:t>
      </w:r>
      <w:r>
        <w:rPr>
          <w:rFonts w:ascii="Arial" w:hAnsi="Arial"/>
          <w:color w:val="000000"/>
          <w:sz w:val="21"/>
        </w:rPr>
        <w:t>房分化将持续加剧。新房市场成交规模预计在低位波动，但核心区域优质改善项目凭借稀缺资源与产品力，将继续支撑价格结构性上涨，市场重心进一步向中高面积段、高总价产品集中。</w:t>
      </w:r>
      <w:r>
        <w:rPr>
          <w:rFonts w:hint="eastAsia" w:ascii="Arial" w:hAnsi="Arial"/>
          <w:color w:val="000000"/>
          <w:sz w:val="21"/>
        </w:rPr>
        <w:t>存量</w:t>
      </w:r>
      <w:r>
        <w:rPr>
          <w:rFonts w:ascii="Arial" w:hAnsi="Arial"/>
          <w:color w:val="000000"/>
          <w:sz w:val="21"/>
        </w:rPr>
        <w:t>房市场则继续承担市场交易主体角色，但“以价换量”态势难以扭转，价格仍面临下行压力，并对新房市场形成持续分流。土地市场热度分化显著，核心区优质地块受追捧，非核心区域多以底价成交，预示着未来住房供应将进一步向“高品质、好区位”倾斜。总体而言，北京住宅市场正从规模扩张转向品质与结构优化阶段，在政策托底与市场自发性调整的双重作用下，逐步向“量稳价稳、质升区异”的新发展模式过渡</w:t>
      </w:r>
      <w:r>
        <w:rPr>
          <w:rFonts w:hint="eastAsia" w:ascii="Arial" w:hAnsi="Arial"/>
          <w:color w:val="000000"/>
          <w:sz w:val="21"/>
        </w:rPr>
        <w:t>。</w:t>
      </w:r>
    </w:p>
    <w:p w14:paraId="55B2DDC5">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49F2B85D">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7F97B3E7">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79DDA93D">
      <w:pPr>
        <w:snapToGrid w:val="0"/>
        <w:spacing w:line="480" w:lineRule="auto"/>
        <w:ind w:firstLine="420" w:firstLineChars="200"/>
        <w:jc w:val="both"/>
        <w:rPr>
          <w:rFonts w:ascii="Arial" w:hAnsi="Arial"/>
          <w:bCs/>
          <w:sz w:val="21"/>
          <w:szCs w:val="28"/>
        </w:rPr>
      </w:pPr>
      <w:r>
        <w:rPr>
          <w:rFonts w:hint="eastAsia" w:ascii="Arial" w:hAnsi="Arial"/>
          <w:bCs/>
          <w:sz w:val="21"/>
          <w:szCs w:val="28"/>
        </w:rPr>
        <w:t>初步核算，</w:t>
      </w:r>
      <w:r>
        <w:rPr>
          <w:rFonts w:ascii="Arial" w:hAnsi="Arial"/>
          <w:bCs/>
          <w:sz w:val="21"/>
          <w:szCs w:val="28"/>
        </w:rPr>
        <w:t>202</w:t>
      </w:r>
      <w:r>
        <w:rPr>
          <w:rFonts w:hint="eastAsia" w:ascii="Arial" w:hAnsi="Arial"/>
          <w:bCs/>
          <w:sz w:val="21"/>
          <w:szCs w:val="28"/>
        </w:rPr>
        <w:t>6</w:t>
      </w:r>
      <w:r>
        <w:rPr>
          <w:rFonts w:ascii="Arial" w:hAnsi="Arial"/>
          <w:bCs/>
          <w:sz w:val="21"/>
          <w:szCs w:val="28"/>
        </w:rPr>
        <w:t>年</w:t>
      </w:r>
      <w:r>
        <w:rPr>
          <w:rFonts w:hint="eastAsia" w:ascii="Arial" w:hAnsi="Arial"/>
          <w:bCs/>
          <w:sz w:val="21"/>
          <w:szCs w:val="28"/>
        </w:rPr>
        <w:t>1-3月，大兴区实现地区生产总值（GDP）同比增长5.6%，增速保持平稳。大兴区固定资产投资（不含农户）同比增长4.2%，房地产开发投资同比下降3.1%。社会消费品零售总额同比增长4.5%，消费需求稳步释放。2026年一季度，大兴区经济运行总体平稳。在固定资产投资中，非房地产开发投资增长强劲，有效对冲了房地产投资下滑的影响，显示出投资结构持续优化。消费、财政收入和居民收入均保持稳定增长，经济发展韧性进一步增强。</w:t>
      </w:r>
    </w:p>
    <w:p w14:paraId="47B280F8">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2.区域</w:t>
      </w:r>
      <w:r>
        <w:rPr>
          <w:rFonts w:ascii="Arial" w:hAnsi="Arial"/>
          <w:bCs/>
          <w:sz w:val="21"/>
          <w:szCs w:val="28"/>
        </w:rPr>
        <w:t>保障性租赁住房</w:t>
      </w:r>
      <w:r>
        <w:rPr>
          <w:rFonts w:hint="eastAsia" w:ascii="Arial" w:hAnsi="Arial"/>
          <w:sz w:val="21"/>
          <w:szCs w:val="28"/>
        </w:rPr>
        <w:t>房地产市场状况</w:t>
      </w:r>
    </w:p>
    <w:p w14:paraId="260A9505">
      <w:pPr>
        <w:widowControl/>
        <w:overflowPunct w:val="0"/>
        <w:adjustRightInd/>
        <w:spacing w:line="480" w:lineRule="auto"/>
        <w:ind w:firstLine="420" w:firstLineChars="200"/>
        <w:jc w:val="both"/>
        <w:textAlignment w:val="auto"/>
        <w:rPr>
          <w:rFonts w:ascii="Arial" w:hAnsi="Arial"/>
          <w:bCs/>
          <w:sz w:val="21"/>
          <w:szCs w:val="28"/>
          <w:highlight w:val="yellow"/>
        </w:rPr>
      </w:pPr>
      <w:r>
        <w:rPr>
          <w:rFonts w:hint="eastAsia" w:ascii="Arial" w:hAnsi="Arial"/>
          <w:bCs/>
          <w:sz w:val="21"/>
          <w:szCs w:val="28"/>
        </w:rPr>
        <w:t>大兴区的保障性租赁住房市场处于快速发展、供需两旺、规范运营的阶段，已成为区域住房供应体系和房地产市场的重要组成部分。截至2026年第一季度，大兴区已累计筹集建设保障性租赁住房项目超过20个，可提供房源约3万套（间），供应量居全市前列，项目来源包括新建、改建、存量盘活等多种形式，其中利用集体经营性建设用地建设的项目是重要特色。房源主要分布在西红门镇、瀛海镇、黄村镇、生物医药基地、临空经济区等交通便利、产业聚集的区域，实现“职住平衡”。户型主要以20-50平方米的小户型、单间公寓为主，符合青年人需求。2026年计划新增筹集保租房约6000套，多个项目正在加快建设和认定中。</w:t>
      </w:r>
    </w:p>
    <w:p w14:paraId="7F039C02">
      <w:pPr>
        <w:spacing w:line="480" w:lineRule="auto"/>
        <w:ind w:firstLine="420" w:firstLineChars="200"/>
        <w:jc w:val="both"/>
        <w:rPr>
          <w:rFonts w:ascii="Arial" w:hAnsi="Arial"/>
          <w:sz w:val="21"/>
          <w:szCs w:val="28"/>
        </w:rPr>
      </w:pPr>
      <w:r>
        <w:rPr>
          <w:rFonts w:hint="eastAsia" w:ascii="Arial" w:hAnsi="Arial"/>
          <w:sz w:val="21"/>
          <w:szCs w:val="28"/>
        </w:rPr>
        <w:t>3.区域住宅用房房地产市场状况</w:t>
      </w:r>
    </w:p>
    <w:p w14:paraId="4884E599">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估价对象位于北京市大兴区，估价对象周边2公里内有CCB建融家园</w:t>
      </w:r>
      <w:bookmarkStart w:id="75" w:name="_GoBack"/>
      <w:bookmarkEnd w:id="75"/>
      <w:r>
        <w:rPr>
          <w:rFonts w:hint="eastAsia" w:ascii="Arial" w:hAnsi="Arial" w:cs="Arial"/>
          <w:kern w:val="2"/>
          <w:sz w:val="21"/>
          <w:szCs w:val="21"/>
        </w:rPr>
        <w:t>创业之家、紫薇兰庭等居住项目，居住小区规模适中，入住率一般，综合评价居住社区成熟度一般。</w:t>
      </w:r>
      <w:r>
        <w:rPr>
          <w:rFonts w:hint="eastAsia" w:ascii="Arial" w:hAnsi="Arial"/>
          <w:sz w:val="21"/>
          <w:szCs w:val="28"/>
        </w:rPr>
        <w:t>据调查，估价对象周边同类型住宅租金约为</w:t>
      </w:r>
      <w:r>
        <w:rPr>
          <w:rFonts w:hint="eastAsia" w:ascii="Arial" w:hAnsi="Arial"/>
          <w:sz w:val="21"/>
          <w:szCs w:val="28"/>
          <w:lang w:val="en-US" w:eastAsia="zh-CN"/>
        </w:rPr>
        <w:t>30</w:t>
      </w:r>
      <w:r>
        <w:rPr>
          <w:rFonts w:hint="eastAsia" w:ascii="Arial" w:hAnsi="Arial"/>
          <w:sz w:val="21"/>
          <w:szCs w:val="28"/>
        </w:rPr>
        <w:t>-4</w:t>
      </w:r>
      <w:r>
        <w:rPr>
          <w:rFonts w:hint="eastAsia" w:ascii="Arial" w:hAnsi="Arial"/>
          <w:sz w:val="21"/>
          <w:szCs w:val="28"/>
          <w:lang w:val="en-US" w:eastAsia="zh-CN"/>
        </w:rPr>
        <w:t>5</w:t>
      </w:r>
      <w:r>
        <w:rPr>
          <w:rFonts w:hint="eastAsia" w:ascii="Arial" w:hAnsi="Arial"/>
          <w:sz w:val="21"/>
          <w:szCs w:val="28"/>
        </w:rPr>
        <w:t>元/平方米·月。</w:t>
      </w:r>
    </w:p>
    <w:p w14:paraId="2D68F593">
      <w:pPr>
        <w:spacing w:line="480" w:lineRule="auto"/>
        <w:ind w:firstLine="420" w:firstLineChars="200"/>
        <w:jc w:val="both"/>
        <w:rPr>
          <w:rFonts w:ascii="Arial" w:hAnsi="Arial"/>
          <w:sz w:val="21"/>
          <w:szCs w:val="28"/>
        </w:rPr>
      </w:pPr>
    </w:p>
    <w:p w14:paraId="2EA1DDD2">
      <w:pPr>
        <w:pStyle w:val="3"/>
        <w:numPr>
          <w:ilvl w:val="0"/>
          <w:numId w:val="0"/>
        </w:numPr>
        <w:spacing w:line="480" w:lineRule="auto"/>
        <w:ind w:left="358" w:hanging="358" w:hangingChars="170"/>
        <w:jc w:val="both"/>
        <w:rPr>
          <w:rFonts w:eastAsia="宋体"/>
          <w:kern w:val="2"/>
          <w:sz w:val="21"/>
          <w:szCs w:val="21"/>
        </w:rPr>
      </w:pPr>
      <w:bookmarkStart w:id="63" w:name="_Toc155267105"/>
      <w:r>
        <w:rPr>
          <w:rFonts w:eastAsia="宋体"/>
          <w:kern w:val="2"/>
          <w:sz w:val="21"/>
          <w:szCs w:val="21"/>
        </w:rPr>
        <w:t>三、最高最佳利用分析</w:t>
      </w:r>
      <w:bookmarkEnd w:id="57"/>
      <w:bookmarkEnd w:id="63"/>
    </w:p>
    <w:p w14:paraId="12C79DD4">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0EFE8E02">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569A9AD9">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0433528C">
      <w:pPr>
        <w:pStyle w:val="60"/>
        <w:autoSpaceDE w:val="0"/>
        <w:autoSpaceDN w:val="0"/>
        <w:spacing w:line="480" w:lineRule="auto"/>
        <w:ind w:right="140" w:firstLine="420" w:firstLineChars="200"/>
        <w:jc w:val="both"/>
        <w:textAlignment w:val="bottom"/>
        <w:rPr>
          <w:rFonts w:ascii="Arial" w:hAnsi="Arial" w:cs="Arial"/>
          <w:sz w:val="21"/>
          <w:szCs w:val="21"/>
        </w:rPr>
      </w:pPr>
      <w:bookmarkStart w:id="64" w:name="_Hlk130232101"/>
      <w:r>
        <w:rPr>
          <w:rFonts w:hint="eastAsia" w:ascii="Arial" w:hAnsi="Arial" w:cs="Arial"/>
          <w:sz w:val="21"/>
          <w:szCs w:val="21"/>
        </w:rPr>
        <w:t>根据估价对象已取得《北京市大兴区住房和城乡建设委员会 关于向燕兴公司出售我区安置房剩余房源资产的请示》[京兴建文（2026）20号]及其附件、《北京市规划和自然资源委员会 大兴分局关于燕兴保障房公司保留原房屋产权性质有关意见的报告》[京规自兴文（2026）91号]、《北京市保障性住房收购合同》及其附件、《不动产权证书》[京（2026）大不动产权第0006771、0006774、0006887、0006889、0006899、0006906、0006914、0006922、0006926、0006949、0006958、0006963、0006949号]，估价对象为</w:t>
      </w:r>
      <w:r>
        <w:rPr>
          <w:rFonts w:hint="eastAsia" w:ascii="Arial" w:hAnsi="Arial" w:cs="Arial"/>
          <w:kern w:val="2"/>
          <w:sz w:val="21"/>
          <w:szCs w:val="21"/>
        </w:rPr>
        <w:t>保障性租赁住房（住宅型）</w:t>
      </w:r>
      <w:r>
        <w:rPr>
          <w:rFonts w:hint="eastAsia" w:ascii="Arial" w:hAnsi="Arial" w:cs="Arial"/>
          <w:sz w:val="21"/>
          <w:szCs w:val="21"/>
        </w:rPr>
        <w:t>，法律上允许。</w:t>
      </w:r>
      <w:bookmarkEnd w:id="64"/>
    </w:p>
    <w:p w14:paraId="3FF284EC">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55E23730">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626C0407">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64E36758">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03007CE7">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44C46CE7">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3E92C298">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保障性租赁住房（住宅型）</w:t>
      </w:r>
      <w:r>
        <w:rPr>
          <w:rFonts w:hint="eastAsia" w:ascii="Arial" w:hAnsi="Arial" w:cs="Arial"/>
          <w:sz w:val="21"/>
          <w:szCs w:val="21"/>
        </w:rPr>
        <w:t>，实际拟用作保障性租赁住房，</w:t>
      </w:r>
      <w:r>
        <w:rPr>
          <w:rFonts w:ascii="Arial" w:hAnsi="Arial" w:cs="Arial"/>
          <w:sz w:val="21"/>
          <w:szCs w:val="21"/>
        </w:rPr>
        <w:t>其使用方式以满足法律上许可、技术上可能、经济上可行为前提条件，经过论证可使估价对象价值得到最大化。</w:t>
      </w:r>
    </w:p>
    <w:p w14:paraId="1F40288C">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7B6048D7">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37D752F9">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为保障性租赁住房（住宅型）</w:t>
      </w:r>
      <w:r>
        <w:rPr>
          <w:rFonts w:ascii="Arial" w:hAnsi="Arial" w:cs="Arial"/>
          <w:sz w:val="21"/>
          <w:szCs w:val="21"/>
        </w:rPr>
        <w:t>为其最高最佳使用途径。</w:t>
      </w:r>
    </w:p>
    <w:p w14:paraId="5A96DF77">
      <w:pPr>
        <w:spacing w:line="480" w:lineRule="auto"/>
        <w:ind w:firstLine="420" w:firstLineChars="200"/>
        <w:jc w:val="both"/>
        <w:rPr>
          <w:rFonts w:ascii="Arial" w:hAnsi="Arial" w:cs="Arial"/>
          <w:sz w:val="21"/>
          <w:szCs w:val="21"/>
        </w:rPr>
      </w:pPr>
    </w:p>
    <w:p w14:paraId="6907BD3B">
      <w:pPr>
        <w:pStyle w:val="3"/>
        <w:numPr>
          <w:ilvl w:val="0"/>
          <w:numId w:val="9"/>
        </w:numPr>
        <w:spacing w:line="480" w:lineRule="auto"/>
        <w:jc w:val="both"/>
        <w:rPr>
          <w:rFonts w:eastAsia="宋体"/>
          <w:kern w:val="2"/>
          <w:sz w:val="21"/>
          <w:szCs w:val="21"/>
        </w:rPr>
      </w:pPr>
      <w:bookmarkStart w:id="65" w:name="_Toc155267106"/>
      <w:bookmarkStart w:id="66" w:name="_Toc525655439"/>
      <w:r>
        <w:rPr>
          <w:rFonts w:eastAsia="宋体"/>
          <w:kern w:val="2"/>
          <w:sz w:val="21"/>
          <w:szCs w:val="21"/>
        </w:rPr>
        <w:t>估价方法适用性分析</w:t>
      </w:r>
      <w:bookmarkEnd w:id="65"/>
      <w:bookmarkEnd w:id="66"/>
    </w:p>
    <w:p w14:paraId="68F37AF0">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5FC048B7">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6EB27429">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4F1F475F">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w:t>
      </w:r>
      <w:r>
        <w:rPr>
          <w:rFonts w:hint="eastAsia" w:ascii="Arial" w:hAnsi="Arial" w:cs="Arial"/>
          <w:sz w:val="21"/>
          <w:szCs w:val="21"/>
          <w:lang w:eastAsia="zh-CN"/>
        </w:rPr>
        <w:t>条件设定</w:t>
      </w:r>
      <w:r>
        <w:rPr>
          <w:rFonts w:hint="eastAsia" w:ascii="Arial" w:hAnsi="Arial" w:cs="Arial"/>
          <w:sz w:val="21"/>
          <w:szCs w:val="21"/>
        </w:rPr>
        <w:t>：</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37F5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E01F8B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2CAFE305">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2A4FC92">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3E7A715D">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7A5BCE3B">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2F039848">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1DE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E2815C1">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12D781C8">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709A821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56.92</w:t>
            </w:r>
          </w:p>
        </w:tc>
        <w:tc>
          <w:tcPr>
            <w:tcW w:w="1557" w:type="dxa"/>
          </w:tcPr>
          <w:p w14:paraId="727D7B2D">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2EB70D9">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D550648">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7A11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8F7BA2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62ADCE3F">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40CE43C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440B94B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0B5525BF">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5C95CE2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7AD5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F97296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351CA2D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26A0226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125.6</w:t>
            </w:r>
          </w:p>
        </w:tc>
        <w:tc>
          <w:tcPr>
            <w:tcW w:w="1557" w:type="dxa"/>
          </w:tcPr>
          <w:p w14:paraId="6855369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281B2E65">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35CFAABD">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bl>
    <w:p w14:paraId="7B931D06">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55CD633E">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4365294D">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1AEE3868">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3FF6A18F">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73A0B221">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76DE8B41">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529132C6">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7" w:name="_Hlk155267600"/>
      <w:r>
        <w:rPr>
          <w:rFonts w:hint="eastAsia" w:hAnsi="宋体" w:cs="Arial"/>
          <w:sz w:val="21"/>
          <w:szCs w:val="21"/>
        </w:rPr>
        <w:t>（1）估价对象适用比较法，且已优先采用比较法进行评估，故不再采用成本法进行测算。</w:t>
      </w:r>
    </w:p>
    <w:p w14:paraId="2755C101">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1FDA0C7F">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7"/>
      <w:r>
        <w:rPr>
          <w:rFonts w:hint="eastAsia" w:hAnsi="宋体" w:cs="Arial"/>
          <w:sz w:val="21"/>
          <w:szCs w:val="21"/>
        </w:rPr>
        <w:t>。</w:t>
      </w:r>
    </w:p>
    <w:p w14:paraId="0B1E2268">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1E1AA116">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7EA29065">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3D8A76DE">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03FEE603">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64CABFE1">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512FFCD2">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3902D536">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3CBA590D">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53F718CB">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497F121D">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2AE6D1BB">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进行交易情况、交易日期、项目类型、房地产状况等因素修正</w:t>
      </w:r>
    </w:p>
    <w:p w14:paraId="7408BBB0">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求取估价对象比准价格</w:t>
      </w:r>
      <w:bookmarkStart w:id="68" w:name="_Toc155267107"/>
      <w:bookmarkStart w:id="69" w:name="_Toc525655440"/>
    </w:p>
    <w:p w14:paraId="0E153717">
      <w:pPr>
        <w:rPr>
          <w:kern w:val="2"/>
          <w:sz w:val="21"/>
          <w:szCs w:val="21"/>
        </w:rPr>
      </w:pPr>
      <w:r>
        <w:rPr>
          <w:kern w:val="2"/>
          <w:sz w:val="21"/>
          <w:szCs w:val="21"/>
        </w:rPr>
        <w:br w:type="page"/>
      </w:r>
    </w:p>
    <w:p w14:paraId="5EEF3369">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68"/>
      <w:bookmarkEnd w:id="69"/>
      <w:r>
        <w:rPr>
          <w:rFonts w:hint="eastAsia" w:eastAsia="宋体"/>
          <w:kern w:val="2"/>
          <w:sz w:val="21"/>
          <w:szCs w:val="21"/>
        </w:rPr>
        <w:t xml:space="preserve">  </w:t>
      </w:r>
    </w:p>
    <w:p w14:paraId="19943CFB">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66F429FF">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3FFBFA0C">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w:t>
      </w:r>
      <w:r>
        <w:rPr>
          <w:rFonts w:hint="eastAsia" w:ascii="Arial" w:hAnsi="Arial" w:cs="Arial"/>
          <w:sz w:val="21"/>
          <w:szCs w:val="21"/>
          <w:lang w:eastAsia="zh-CN"/>
        </w:rPr>
        <w:t>条件设定</w:t>
      </w:r>
      <w:r>
        <w:rPr>
          <w:rFonts w:hint="eastAsia" w:ascii="Arial" w:hAnsi="Arial" w:cs="Arial"/>
          <w:sz w:val="21"/>
          <w:szCs w:val="21"/>
        </w:rPr>
        <w:t>：</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0418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0B4731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65B096FE">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429D735A">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2D5F1ECF">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352DC03E">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3734EA95">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5470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E2BD7D2">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63035A3F">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12A9FD4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56.92</w:t>
            </w:r>
          </w:p>
        </w:tc>
        <w:tc>
          <w:tcPr>
            <w:tcW w:w="1557" w:type="dxa"/>
          </w:tcPr>
          <w:p w14:paraId="1E655C5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3194322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1D54ACA8">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12B1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58B598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7DF7177D">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0B4D092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2563EE1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05B0A2B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45E5A0F">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69E7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AC4FC9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0219F4B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38CCA54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125.6</w:t>
            </w:r>
          </w:p>
        </w:tc>
        <w:tc>
          <w:tcPr>
            <w:tcW w:w="1557" w:type="dxa"/>
          </w:tcPr>
          <w:p w14:paraId="1DED8E7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3D7FCE9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B2447E5">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bl>
    <w:p w14:paraId="61788907">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682DB280">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3C25B3FD">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w:t>
      </w:r>
      <w:r>
        <w:rPr>
          <w:rFonts w:hint="eastAsia" w:ascii="宋体" w:hAnsi="宋体"/>
          <w:b/>
          <w:sz w:val="21"/>
          <w:szCs w:val="21"/>
        </w:rPr>
        <w:t>一居室标准房市场租金水平）</w:t>
      </w:r>
    </w:p>
    <w:p w14:paraId="0D76C270">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200DE7C7">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508193C2">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160E6AD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新兴家园</w:t>
      </w:r>
    </w:p>
    <w:p w14:paraId="4225B37D">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大兴区海鑫北路15号</w:t>
      </w:r>
    </w:p>
    <w:p w14:paraId="3B63A62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78E983D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17414B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D4AA3B1">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居室户型，低楼层，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4</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rPr>
        <w:t>74.4</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为43.05元/平方米·月（含物业费2.1元/平方米·月、取暖费2.5元/平方米·月）。</w:t>
      </w:r>
    </w:p>
    <w:p w14:paraId="43768B87">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35D385C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金色漫香郡</w:t>
      </w:r>
    </w:p>
    <w:p w14:paraId="0EC0AF1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大兴区海鑫北路18号</w:t>
      </w:r>
    </w:p>
    <w:p w14:paraId="1109BFE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3E12C8E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1B1CED5">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D58B2D2">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15</w:t>
      </w:r>
      <w:r>
        <w:rPr>
          <w:rFonts w:ascii="Arial" w:hAnsi="Arial" w:cs="Arial"/>
          <w:sz w:val="21"/>
          <w:szCs w:val="21"/>
        </w:rPr>
        <w:t>年，建筑结构为钢混结构，装修为中档装修，建筑面积为</w:t>
      </w:r>
      <w:r>
        <w:rPr>
          <w:rFonts w:hint="eastAsia" w:ascii="Arial" w:hAnsi="Arial" w:cs="Arial"/>
          <w:sz w:val="21"/>
          <w:szCs w:val="21"/>
        </w:rPr>
        <w:t>58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为41.38元/平方米·月（含物业费2.38元/平方米·月、取暖费2.5元/平方米·月）</w:t>
      </w:r>
      <w:r>
        <w:rPr>
          <w:rFonts w:ascii="Arial" w:hAnsi="Arial" w:cs="Arial"/>
          <w:sz w:val="21"/>
          <w:szCs w:val="21"/>
        </w:rPr>
        <w:t>。</w:t>
      </w:r>
    </w:p>
    <w:p w14:paraId="5ED0FC6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1270CF2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蓝桥驿苑</w:t>
      </w:r>
    </w:p>
    <w:p w14:paraId="0CC7875A">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•项目坐落：大兴区黄村镇孙村新凤街44号</w:t>
      </w:r>
    </w:p>
    <w:p w14:paraId="5DA0310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586CA1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F04A72D">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08E7815">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可比实例3周边有融创公园壹号、华远和煦里、华远和墅、格林云墅、首创悦都汇等居住项目，居住小区规模适中，入住率较好，综合评价居住区成熟度较好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14</w:t>
      </w:r>
      <w:r>
        <w:rPr>
          <w:rFonts w:ascii="Arial" w:hAnsi="Arial" w:cs="Arial"/>
          <w:sz w:val="21"/>
          <w:szCs w:val="21"/>
        </w:rPr>
        <w:t>年，建筑结构为钢混结构，装修为中档装修，建筑面积为</w:t>
      </w:r>
      <w:r>
        <w:rPr>
          <w:rFonts w:hint="eastAsia" w:ascii="Arial" w:hAnsi="Arial" w:cs="Arial"/>
          <w:sz w:val="21"/>
          <w:szCs w:val="21"/>
        </w:rPr>
        <w:t>55.8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为41.22元/平方米·月（含物业费2.1元/平方米·月、取暖费2.5元/平方米·月）</w:t>
      </w:r>
      <w:r>
        <w:rPr>
          <w:rFonts w:ascii="Arial" w:hAnsi="Arial" w:cs="Arial"/>
          <w:sz w:val="21"/>
          <w:szCs w:val="21"/>
        </w:rPr>
        <w:t>。</w:t>
      </w:r>
    </w:p>
    <w:p w14:paraId="24A1BEE2">
      <w:pPr>
        <w:rPr>
          <w:rFonts w:ascii="宋体" w:hAnsi="宋体"/>
          <w:sz w:val="21"/>
          <w:szCs w:val="21"/>
        </w:rPr>
      </w:pPr>
      <w:r>
        <w:rPr>
          <w:rFonts w:hint="eastAsia" w:ascii="宋体" w:hAnsi="宋体"/>
          <w:sz w:val="21"/>
          <w:szCs w:val="21"/>
        </w:rPr>
        <w:br w:type="page"/>
      </w:r>
    </w:p>
    <w:p w14:paraId="6C24A450">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3EC6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4C0847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78A625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18F913F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267F9F6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091326DC">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4305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0B8BDE1">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2A5940D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1812" w:type="dxa"/>
            <w:vAlign w:val="center"/>
          </w:tcPr>
          <w:p w14:paraId="3D1A869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1812" w:type="dxa"/>
            <w:vAlign w:val="center"/>
          </w:tcPr>
          <w:p w14:paraId="3DA98DE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1815" w:type="dxa"/>
            <w:vAlign w:val="center"/>
          </w:tcPr>
          <w:p w14:paraId="2CB5518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蓝桥驿苑</w:t>
            </w:r>
          </w:p>
        </w:tc>
      </w:tr>
      <w:tr w14:paraId="5E92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F21D429">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w:t>
            </w:r>
            <w:r>
              <w:rPr>
                <w:rFonts w:hint="eastAsia" w:ascii="Arial" w:hAnsi="Arial" w:cs="Arial"/>
                <w:sz w:val="16"/>
                <w:szCs w:val="18"/>
                <w:lang w:eastAsia="zh-CN"/>
              </w:rPr>
              <w:t>元/平方米·月</w:t>
            </w:r>
            <w:r>
              <w:rPr>
                <w:rFonts w:ascii="Arial" w:hAnsi="Arial" w:cs="Arial"/>
                <w:sz w:val="16"/>
                <w:szCs w:val="18"/>
              </w:rPr>
              <w:t>）</w:t>
            </w:r>
          </w:p>
        </w:tc>
        <w:tc>
          <w:tcPr>
            <w:tcW w:w="1812" w:type="dxa"/>
            <w:vAlign w:val="center"/>
          </w:tcPr>
          <w:p w14:paraId="0FD50DA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7B7A6515">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43.05</w:t>
            </w:r>
          </w:p>
        </w:tc>
        <w:tc>
          <w:tcPr>
            <w:tcW w:w="1812" w:type="dxa"/>
            <w:vAlign w:val="center"/>
          </w:tcPr>
          <w:p w14:paraId="2184E286">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41.38</w:t>
            </w:r>
          </w:p>
        </w:tc>
        <w:tc>
          <w:tcPr>
            <w:tcW w:w="1815" w:type="dxa"/>
            <w:vAlign w:val="center"/>
          </w:tcPr>
          <w:p w14:paraId="01F2E6F4">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41.22</w:t>
            </w:r>
          </w:p>
        </w:tc>
      </w:tr>
      <w:tr w14:paraId="2974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43F21F4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3AA70A5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3545594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407E6A7B">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5" w:type="dxa"/>
            <w:vAlign w:val="center"/>
          </w:tcPr>
          <w:p w14:paraId="4CC7D649">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12BC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8606EEA">
            <w:pPr>
              <w:pStyle w:val="61"/>
              <w:autoSpaceDE w:val="0"/>
              <w:autoSpaceDN w:val="0"/>
              <w:spacing w:line="240" w:lineRule="exact"/>
              <w:textAlignment w:val="bottom"/>
              <w:rPr>
                <w:rFonts w:ascii="Arial" w:hAnsi="Arial" w:cs="Arial"/>
                <w:sz w:val="16"/>
                <w:szCs w:val="18"/>
              </w:rPr>
            </w:pPr>
          </w:p>
        </w:tc>
        <w:tc>
          <w:tcPr>
            <w:tcW w:w="1812" w:type="dxa"/>
            <w:vAlign w:val="center"/>
          </w:tcPr>
          <w:p w14:paraId="268C100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Style w:val="40"/>
                <w:rFonts w:ascii="Times New Roman"/>
              </w:rPr>
              <w:commentReference w:id="4"/>
            </w:r>
            <w:r>
              <w:rPr>
                <w:rFonts w:hint="eastAsia" w:ascii="Arial" w:hAnsi="Arial" w:cs="Arial"/>
                <w:sz w:val="16"/>
                <w:szCs w:val="18"/>
                <w:lang w:eastAsia="zh-CN"/>
              </w:rPr>
              <w:t>（元/平方米·月）</w:t>
            </w:r>
          </w:p>
        </w:tc>
        <w:tc>
          <w:tcPr>
            <w:tcW w:w="1812" w:type="dxa"/>
            <w:vAlign w:val="center"/>
          </w:tcPr>
          <w:p w14:paraId="6650A51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4.6</w:t>
            </w:r>
          </w:p>
        </w:tc>
        <w:tc>
          <w:tcPr>
            <w:tcW w:w="1812" w:type="dxa"/>
            <w:vAlign w:val="center"/>
          </w:tcPr>
          <w:p w14:paraId="3EDAC33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4.88</w:t>
            </w:r>
          </w:p>
        </w:tc>
        <w:tc>
          <w:tcPr>
            <w:tcW w:w="1815" w:type="dxa"/>
            <w:vAlign w:val="center"/>
          </w:tcPr>
          <w:p w14:paraId="6980F17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4.6</w:t>
            </w:r>
          </w:p>
        </w:tc>
      </w:tr>
      <w:tr w14:paraId="30A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4C1F853">
            <w:pPr>
              <w:pStyle w:val="61"/>
              <w:autoSpaceDE w:val="0"/>
              <w:autoSpaceDN w:val="0"/>
              <w:spacing w:line="240" w:lineRule="exact"/>
              <w:textAlignment w:val="bottom"/>
              <w:rPr>
                <w:rFonts w:ascii="Arial" w:hAnsi="Arial" w:cs="Arial"/>
                <w:sz w:val="16"/>
                <w:szCs w:val="18"/>
              </w:rPr>
            </w:pPr>
          </w:p>
        </w:tc>
        <w:tc>
          <w:tcPr>
            <w:tcW w:w="1812" w:type="dxa"/>
            <w:vAlign w:val="center"/>
          </w:tcPr>
          <w:p w14:paraId="006071A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Style w:val="40"/>
                <w:rFonts w:ascii="Times New Roman"/>
              </w:rPr>
              <w:commentReference w:id="5"/>
            </w:r>
            <w:r>
              <w:rPr>
                <w:rFonts w:hint="eastAsia" w:ascii="Arial" w:hAnsi="Arial" w:cs="Arial"/>
                <w:sz w:val="16"/>
                <w:szCs w:val="18"/>
                <w:lang w:eastAsia="zh-CN"/>
              </w:rPr>
              <w:t>（元/平方米·月）</w:t>
            </w:r>
          </w:p>
        </w:tc>
        <w:tc>
          <w:tcPr>
            <w:tcW w:w="1812" w:type="dxa"/>
            <w:vAlign w:val="center"/>
          </w:tcPr>
          <w:p w14:paraId="0EF4E3E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38.45</w:t>
            </w:r>
          </w:p>
        </w:tc>
        <w:tc>
          <w:tcPr>
            <w:tcW w:w="1812" w:type="dxa"/>
            <w:vAlign w:val="center"/>
          </w:tcPr>
          <w:p w14:paraId="63D8767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36.50</w:t>
            </w:r>
          </w:p>
        </w:tc>
        <w:tc>
          <w:tcPr>
            <w:tcW w:w="1815" w:type="dxa"/>
            <w:vAlign w:val="center"/>
          </w:tcPr>
          <w:p w14:paraId="02451E5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36.62</w:t>
            </w:r>
          </w:p>
        </w:tc>
      </w:tr>
      <w:tr w14:paraId="2D90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4BEC5D1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45BC9EB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020A38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2F2E208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17A199A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FA5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B09E19D">
            <w:pPr>
              <w:pStyle w:val="61"/>
              <w:autoSpaceDE w:val="0"/>
              <w:autoSpaceDN w:val="0"/>
              <w:spacing w:line="240" w:lineRule="exact"/>
              <w:textAlignment w:val="bottom"/>
              <w:rPr>
                <w:rFonts w:ascii="Arial" w:hAnsi="Arial" w:cs="Arial"/>
                <w:sz w:val="16"/>
                <w:szCs w:val="18"/>
              </w:rPr>
            </w:pPr>
          </w:p>
        </w:tc>
        <w:tc>
          <w:tcPr>
            <w:tcW w:w="1812" w:type="dxa"/>
            <w:vAlign w:val="center"/>
          </w:tcPr>
          <w:p w14:paraId="6521158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144DA6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097B77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0B30A7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450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8DE1AC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1BB5A1F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213C65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BABEAB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3D59424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0AD9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24EA261">
            <w:pPr>
              <w:pStyle w:val="61"/>
              <w:autoSpaceDE w:val="0"/>
              <w:autoSpaceDN w:val="0"/>
              <w:spacing w:line="240" w:lineRule="exact"/>
              <w:textAlignment w:val="bottom"/>
              <w:rPr>
                <w:rFonts w:ascii="Arial" w:hAnsi="Arial" w:cs="Arial"/>
                <w:sz w:val="16"/>
                <w:szCs w:val="18"/>
              </w:rPr>
            </w:pPr>
          </w:p>
        </w:tc>
        <w:tc>
          <w:tcPr>
            <w:tcW w:w="1812" w:type="dxa"/>
            <w:vAlign w:val="center"/>
          </w:tcPr>
          <w:p w14:paraId="5DB8438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1032ED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227D82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7D9CFE6D">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3D30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97456A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Style w:val="40"/>
                <w:rFonts w:ascii="Times New Roman"/>
              </w:rPr>
              <w:commentReference w:id="6"/>
            </w:r>
            <w:r>
              <w:rPr>
                <w:rFonts w:hint="eastAsia" w:ascii="Arial" w:hAnsi="Arial" w:cs="Arial"/>
                <w:sz w:val="16"/>
                <w:szCs w:val="18"/>
                <w:lang w:eastAsia="zh-CN"/>
              </w:rPr>
              <w:t>（元/平方米·月）</w:t>
            </w:r>
          </w:p>
        </w:tc>
        <w:tc>
          <w:tcPr>
            <w:tcW w:w="1812" w:type="dxa"/>
            <w:vAlign w:val="center"/>
          </w:tcPr>
          <w:p w14:paraId="5F2C5F83">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44591C8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38.45</w:t>
            </w:r>
          </w:p>
        </w:tc>
        <w:tc>
          <w:tcPr>
            <w:tcW w:w="1812" w:type="dxa"/>
            <w:vAlign w:val="center"/>
          </w:tcPr>
          <w:p w14:paraId="29A91FA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36.50</w:t>
            </w:r>
          </w:p>
        </w:tc>
        <w:tc>
          <w:tcPr>
            <w:tcW w:w="1815" w:type="dxa"/>
            <w:vAlign w:val="center"/>
          </w:tcPr>
          <w:p w14:paraId="582FCF4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36.62</w:t>
            </w:r>
          </w:p>
        </w:tc>
      </w:tr>
    </w:tbl>
    <w:p w14:paraId="78AC7AD6">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4F8FF1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0BF1593C">
            <w:pPr>
              <w:jc w:val="center"/>
              <w:rPr>
                <w:rFonts w:ascii="华文细黑" w:hAnsi="华文细黑" w:eastAsia="华文细黑"/>
              </w:rPr>
            </w:pPr>
            <w:r>
              <w:rPr>
                <w:rFonts w:hint="eastAsia" w:ascii="华文细黑" w:hAnsi="华文细黑" w:eastAsia="华文细黑"/>
              </w:rPr>
              <w:t>实例位置</w:t>
            </w:r>
          </w:p>
        </w:tc>
      </w:tr>
      <w:tr w14:paraId="08CE7256">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1F5E8985">
            <w:pPr>
              <w:jc w:val="center"/>
              <w:rPr>
                <w:rFonts w:ascii="Calibri" w:hAnsi="Calibri"/>
              </w:rPr>
            </w:pPr>
            <w:r>
              <w:drawing>
                <wp:inline distT="0" distB="0" distL="114300" distR="114300">
                  <wp:extent cx="5860415" cy="3898900"/>
                  <wp:effectExtent l="0" t="0" r="6985" b="254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48"/>
                          <a:stretch>
                            <a:fillRect/>
                          </a:stretch>
                        </pic:blipFill>
                        <pic:spPr>
                          <a:xfrm>
                            <a:off x="0" y="0"/>
                            <a:ext cx="5860415" cy="3898900"/>
                          </a:xfrm>
                          <a:prstGeom prst="rect">
                            <a:avLst/>
                          </a:prstGeom>
                          <a:noFill/>
                          <a:ln>
                            <a:noFill/>
                          </a:ln>
                        </pic:spPr>
                      </pic:pic>
                    </a:graphicData>
                  </a:graphic>
                </wp:inline>
              </w:drawing>
            </w:r>
          </w:p>
        </w:tc>
      </w:tr>
    </w:tbl>
    <w:p w14:paraId="7304F780"/>
    <w:p w14:paraId="2097D46D">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7BBD14DD">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1FD65620">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3"/>
        <w:gridCol w:w="1443"/>
        <w:gridCol w:w="1941"/>
        <w:gridCol w:w="1745"/>
        <w:gridCol w:w="1844"/>
        <w:gridCol w:w="1849"/>
      </w:tblGrid>
      <w:tr w14:paraId="7004ED1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7CB2DC91">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1020" w:type="pct"/>
            <w:tcBorders>
              <w:top w:val="single" w:color="auto" w:sz="4" w:space="0"/>
              <w:left w:val="nil"/>
              <w:bottom w:val="single" w:color="auto" w:sz="4" w:space="0"/>
              <w:right w:val="single" w:color="auto" w:sz="4" w:space="0"/>
            </w:tcBorders>
            <w:vAlign w:val="center"/>
          </w:tcPr>
          <w:p w14:paraId="74C4A9CC">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17" w:type="pct"/>
            <w:tcBorders>
              <w:top w:val="single" w:color="auto" w:sz="4" w:space="0"/>
              <w:left w:val="nil"/>
              <w:bottom w:val="single" w:color="auto" w:sz="4" w:space="0"/>
              <w:right w:val="single" w:color="auto" w:sz="4" w:space="0"/>
            </w:tcBorders>
            <w:vAlign w:val="center"/>
          </w:tcPr>
          <w:p w14:paraId="37B2F284">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9" w:type="pct"/>
            <w:tcBorders>
              <w:top w:val="single" w:color="auto" w:sz="4" w:space="0"/>
              <w:left w:val="nil"/>
              <w:bottom w:val="single" w:color="auto" w:sz="4" w:space="0"/>
              <w:right w:val="single" w:color="auto" w:sz="4" w:space="0"/>
            </w:tcBorders>
            <w:vAlign w:val="center"/>
          </w:tcPr>
          <w:p w14:paraId="670E921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1" w:type="pct"/>
            <w:tcBorders>
              <w:top w:val="single" w:color="auto" w:sz="4" w:space="0"/>
              <w:left w:val="nil"/>
              <w:bottom w:val="single" w:color="auto" w:sz="4" w:space="0"/>
              <w:right w:val="single" w:color="auto" w:sz="4" w:space="0"/>
            </w:tcBorders>
            <w:vAlign w:val="center"/>
          </w:tcPr>
          <w:p w14:paraId="3507318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31325E1C">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807DF9A">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020" w:type="pct"/>
            <w:tcBorders>
              <w:top w:val="nil"/>
              <w:left w:val="nil"/>
              <w:bottom w:val="single" w:color="auto" w:sz="4" w:space="0"/>
              <w:right w:val="single" w:color="auto" w:sz="4" w:space="0"/>
            </w:tcBorders>
            <w:vAlign w:val="center"/>
          </w:tcPr>
          <w:p w14:paraId="3119C76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917" w:type="pct"/>
            <w:tcBorders>
              <w:top w:val="nil"/>
              <w:left w:val="nil"/>
              <w:bottom w:val="single" w:color="auto" w:sz="4" w:space="0"/>
              <w:right w:val="single" w:color="auto" w:sz="4" w:space="0"/>
            </w:tcBorders>
            <w:vAlign w:val="center"/>
          </w:tcPr>
          <w:p w14:paraId="4504681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969" w:type="pct"/>
            <w:tcBorders>
              <w:top w:val="nil"/>
              <w:left w:val="nil"/>
              <w:bottom w:val="single" w:color="auto" w:sz="4" w:space="0"/>
              <w:right w:val="single" w:color="auto" w:sz="4" w:space="0"/>
            </w:tcBorders>
            <w:vAlign w:val="center"/>
          </w:tcPr>
          <w:p w14:paraId="5519AC0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金色漫香郡</w:t>
            </w:r>
          </w:p>
        </w:tc>
        <w:tc>
          <w:tcPr>
            <w:tcW w:w="971" w:type="pct"/>
            <w:tcBorders>
              <w:top w:val="nil"/>
              <w:left w:val="nil"/>
              <w:bottom w:val="single" w:color="auto" w:sz="4" w:space="0"/>
              <w:right w:val="single" w:color="auto" w:sz="4" w:space="0"/>
            </w:tcBorders>
            <w:vAlign w:val="center"/>
          </w:tcPr>
          <w:p w14:paraId="54EA079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蓝桥驿苑</w:t>
            </w:r>
          </w:p>
        </w:tc>
      </w:tr>
      <w:tr w14:paraId="42C23D1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45136BA">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1020" w:type="pct"/>
            <w:tcBorders>
              <w:top w:val="nil"/>
              <w:left w:val="nil"/>
              <w:bottom w:val="single" w:color="auto" w:sz="4" w:space="0"/>
              <w:right w:val="single" w:color="auto" w:sz="4" w:space="0"/>
            </w:tcBorders>
            <w:vAlign w:val="center"/>
          </w:tcPr>
          <w:p w14:paraId="6AAD869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17" w:type="pct"/>
            <w:tcBorders>
              <w:top w:val="nil"/>
              <w:left w:val="nil"/>
              <w:bottom w:val="single" w:color="auto" w:sz="4" w:space="0"/>
              <w:right w:val="single" w:color="auto" w:sz="4" w:space="0"/>
            </w:tcBorders>
            <w:vAlign w:val="center"/>
          </w:tcPr>
          <w:p w14:paraId="1E12176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38.45</w:t>
            </w:r>
          </w:p>
        </w:tc>
        <w:tc>
          <w:tcPr>
            <w:tcW w:w="969" w:type="pct"/>
            <w:tcBorders>
              <w:top w:val="nil"/>
              <w:left w:val="nil"/>
              <w:bottom w:val="single" w:color="auto" w:sz="4" w:space="0"/>
              <w:right w:val="single" w:color="auto" w:sz="4" w:space="0"/>
            </w:tcBorders>
            <w:vAlign w:val="center"/>
          </w:tcPr>
          <w:p w14:paraId="37192A4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36.50</w:t>
            </w:r>
          </w:p>
        </w:tc>
        <w:tc>
          <w:tcPr>
            <w:tcW w:w="971" w:type="pct"/>
            <w:tcBorders>
              <w:top w:val="nil"/>
              <w:left w:val="nil"/>
              <w:bottom w:val="single" w:color="auto" w:sz="4" w:space="0"/>
              <w:right w:val="single" w:color="auto" w:sz="4" w:space="0"/>
            </w:tcBorders>
            <w:vAlign w:val="center"/>
          </w:tcPr>
          <w:p w14:paraId="5B78C24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36.62</w:t>
            </w:r>
          </w:p>
        </w:tc>
      </w:tr>
      <w:tr w14:paraId="3945A64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0AE7BA4">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1020" w:type="pct"/>
            <w:tcBorders>
              <w:top w:val="nil"/>
              <w:left w:val="nil"/>
              <w:bottom w:val="single" w:color="auto" w:sz="4" w:space="0"/>
              <w:right w:val="single" w:color="auto" w:sz="4" w:space="0"/>
            </w:tcBorders>
            <w:vAlign w:val="center"/>
          </w:tcPr>
          <w:p w14:paraId="30CA05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17" w:type="pct"/>
            <w:tcBorders>
              <w:top w:val="nil"/>
              <w:left w:val="nil"/>
              <w:bottom w:val="single" w:color="auto" w:sz="4" w:space="0"/>
              <w:right w:val="single" w:color="auto" w:sz="4" w:space="0"/>
            </w:tcBorders>
            <w:vAlign w:val="center"/>
          </w:tcPr>
          <w:p w14:paraId="514A0DBA">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9" w:type="pct"/>
            <w:tcBorders>
              <w:top w:val="nil"/>
              <w:left w:val="nil"/>
              <w:bottom w:val="single" w:color="auto" w:sz="4" w:space="0"/>
              <w:right w:val="single" w:color="auto" w:sz="4" w:space="0"/>
            </w:tcBorders>
            <w:vAlign w:val="center"/>
          </w:tcPr>
          <w:p w14:paraId="20FD8704">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1" w:type="pct"/>
            <w:tcBorders>
              <w:top w:val="nil"/>
              <w:left w:val="nil"/>
              <w:bottom w:val="single" w:color="auto" w:sz="4" w:space="0"/>
              <w:right w:val="single" w:color="auto" w:sz="4" w:space="0"/>
            </w:tcBorders>
            <w:vAlign w:val="center"/>
          </w:tcPr>
          <w:p w14:paraId="39317441">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30FBF71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007A769">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1020" w:type="pct"/>
            <w:tcBorders>
              <w:top w:val="nil"/>
              <w:left w:val="nil"/>
              <w:bottom w:val="single" w:color="auto" w:sz="4" w:space="0"/>
              <w:right w:val="single" w:color="auto" w:sz="4" w:space="0"/>
            </w:tcBorders>
            <w:vAlign w:val="center"/>
          </w:tcPr>
          <w:p w14:paraId="00AE4FE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17" w:type="pct"/>
            <w:tcBorders>
              <w:top w:val="nil"/>
              <w:left w:val="nil"/>
              <w:bottom w:val="single" w:color="auto" w:sz="4" w:space="0"/>
              <w:right w:val="single" w:color="auto" w:sz="4" w:space="0"/>
            </w:tcBorders>
            <w:vAlign w:val="center"/>
          </w:tcPr>
          <w:p w14:paraId="3A3BDB7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255FEEFA">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1" w:type="pct"/>
            <w:tcBorders>
              <w:top w:val="nil"/>
              <w:left w:val="nil"/>
              <w:bottom w:val="single" w:color="auto" w:sz="4" w:space="0"/>
              <w:right w:val="single" w:color="auto" w:sz="4" w:space="0"/>
            </w:tcBorders>
            <w:vAlign w:val="center"/>
          </w:tcPr>
          <w:p w14:paraId="6C5FC45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6319F28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D427A07">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1020" w:type="pct"/>
            <w:tcBorders>
              <w:top w:val="nil"/>
              <w:left w:val="nil"/>
              <w:bottom w:val="single" w:color="auto" w:sz="4" w:space="0"/>
              <w:right w:val="single" w:color="auto" w:sz="4" w:space="0"/>
            </w:tcBorders>
            <w:vAlign w:val="center"/>
          </w:tcPr>
          <w:p w14:paraId="0A504E7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17" w:type="pct"/>
            <w:tcBorders>
              <w:top w:val="nil"/>
              <w:left w:val="nil"/>
              <w:bottom w:val="single" w:color="auto" w:sz="4" w:space="0"/>
              <w:right w:val="single" w:color="auto" w:sz="4" w:space="0"/>
            </w:tcBorders>
            <w:vAlign w:val="center"/>
          </w:tcPr>
          <w:p w14:paraId="45DFD31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36B331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1" w:type="pct"/>
            <w:tcBorders>
              <w:top w:val="nil"/>
              <w:left w:val="nil"/>
              <w:bottom w:val="single" w:color="auto" w:sz="4" w:space="0"/>
              <w:right w:val="single" w:color="auto" w:sz="4" w:space="0"/>
            </w:tcBorders>
            <w:vAlign w:val="center"/>
          </w:tcPr>
          <w:p w14:paraId="138151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3132941C">
        <w:tblPrEx>
          <w:tblCellMar>
            <w:top w:w="0" w:type="dxa"/>
            <w:left w:w="108" w:type="dxa"/>
            <w:bottom w:w="0" w:type="dxa"/>
            <w:right w:w="108" w:type="dxa"/>
          </w:tblCellMar>
        </w:tblPrEx>
        <w:trPr>
          <w:trHeight w:val="397" w:hRule="atLeast"/>
          <w:jc w:val="center"/>
        </w:trPr>
        <w:tc>
          <w:tcPr>
            <w:tcW w:w="364" w:type="pct"/>
            <w:vMerge w:val="restart"/>
            <w:tcBorders>
              <w:top w:val="nil"/>
              <w:left w:val="single" w:color="auto" w:sz="4" w:space="0"/>
              <w:bottom w:val="single" w:color="000000" w:sz="4" w:space="0"/>
              <w:right w:val="single" w:color="auto" w:sz="4" w:space="0"/>
            </w:tcBorders>
            <w:vAlign w:val="center"/>
          </w:tcPr>
          <w:p w14:paraId="757B3921">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8" w:type="pct"/>
            <w:tcBorders>
              <w:top w:val="nil"/>
              <w:left w:val="nil"/>
              <w:bottom w:val="single" w:color="auto" w:sz="4" w:space="0"/>
              <w:right w:val="single" w:color="auto" w:sz="4" w:space="0"/>
            </w:tcBorders>
            <w:vAlign w:val="center"/>
          </w:tcPr>
          <w:p w14:paraId="134B9762">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1020" w:type="pct"/>
            <w:tcBorders>
              <w:top w:val="nil"/>
              <w:left w:val="nil"/>
              <w:bottom w:val="single" w:color="auto" w:sz="4" w:space="0"/>
              <w:right w:val="single" w:color="auto" w:sz="4" w:space="0"/>
            </w:tcBorders>
            <w:vAlign w:val="center"/>
          </w:tcPr>
          <w:p w14:paraId="55FB4F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估价对象周边2公里内有CCB建融家园创业之家、紫薇兰庭等居住项目，居住小区规模适中，入住率一般，综合评价居住社区成熟度一般</w:t>
            </w:r>
          </w:p>
        </w:tc>
        <w:tc>
          <w:tcPr>
            <w:tcW w:w="917" w:type="pct"/>
            <w:tcBorders>
              <w:top w:val="nil"/>
              <w:left w:val="nil"/>
              <w:bottom w:val="single" w:color="auto" w:sz="4" w:space="0"/>
              <w:right w:val="single" w:color="auto" w:sz="4" w:space="0"/>
            </w:tcBorders>
            <w:vAlign w:val="center"/>
          </w:tcPr>
          <w:p w14:paraId="252FB86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周边2公里内有融创公园壹号、华远和煦里、华远和墅、格林云墅、首创悦都汇等居住项目，居住小区规模适中，入住率较好，综合评价居住区成熟度较好</w:t>
            </w:r>
          </w:p>
        </w:tc>
        <w:tc>
          <w:tcPr>
            <w:tcW w:w="969" w:type="pct"/>
            <w:tcBorders>
              <w:top w:val="nil"/>
              <w:left w:val="nil"/>
              <w:bottom w:val="single" w:color="auto" w:sz="4" w:space="0"/>
              <w:right w:val="single" w:color="auto" w:sz="4" w:space="0"/>
            </w:tcBorders>
            <w:vAlign w:val="center"/>
          </w:tcPr>
          <w:p w14:paraId="32C2ACC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c>
          <w:tcPr>
            <w:tcW w:w="971" w:type="pct"/>
            <w:tcBorders>
              <w:top w:val="nil"/>
              <w:left w:val="nil"/>
              <w:bottom w:val="single" w:color="auto" w:sz="4" w:space="0"/>
              <w:right w:val="single" w:color="auto" w:sz="4" w:space="0"/>
            </w:tcBorders>
            <w:vAlign w:val="center"/>
          </w:tcPr>
          <w:p w14:paraId="716B01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r>
      <w:tr w14:paraId="25084DF5">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7C68CB83">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5B545C85">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1020" w:type="pct"/>
            <w:tcBorders>
              <w:top w:val="nil"/>
              <w:left w:val="nil"/>
              <w:bottom w:val="single" w:color="auto" w:sz="4" w:space="0"/>
              <w:right w:val="single" w:color="auto" w:sz="4" w:space="0"/>
            </w:tcBorders>
            <w:vAlign w:val="center"/>
          </w:tcPr>
          <w:p w14:paraId="4E6E44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周边500米内有城市次干道——鼎创路</w:t>
            </w:r>
          </w:p>
        </w:tc>
        <w:tc>
          <w:tcPr>
            <w:tcW w:w="917" w:type="pct"/>
            <w:tcBorders>
              <w:top w:val="nil"/>
              <w:left w:val="nil"/>
              <w:bottom w:val="single" w:color="auto" w:sz="4" w:space="0"/>
              <w:right w:val="single" w:color="auto" w:sz="4" w:space="0"/>
            </w:tcBorders>
            <w:vAlign w:val="center"/>
          </w:tcPr>
          <w:p w14:paraId="7757973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周边500米内有城市次干道——盛达街</w:t>
            </w:r>
          </w:p>
        </w:tc>
        <w:tc>
          <w:tcPr>
            <w:tcW w:w="969" w:type="pct"/>
            <w:tcBorders>
              <w:top w:val="nil"/>
              <w:left w:val="nil"/>
              <w:bottom w:val="single" w:color="auto" w:sz="4" w:space="0"/>
              <w:right w:val="single" w:color="auto" w:sz="4" w:space="0"/>
            </w:tcBorders>
            <w:vAlign w:val="center"/>
          </w:tcPr>
          <w:p w14:paraId="7651AFC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周边500米内有城市次干道——民顺路</w:t>
            </w:r>
          </w:p>
        </w:tc>
        <w:tc>
          <w:tcPr>
            <w:tcW w:w="971" w:type="pct"/>
            <w:tcBorders>
              <w:top w:val="nil"/>
              <w:left w:val="nil"/>
              <w:bottom w:val="single" w:color="auto" w:sz="4" w:space="0"/>
              <w:right w:val="single" w:color="auto" w:sz="4" w:space="0"/>
            </w:tcBorders>
            <w:vAlign w:val="center"/>
          </w:tcPr>
          <w:p w14:paraId="36D1ADE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周边500米内有城市次干道——盛通街</w:t>
            </w:r>
          </w:p>
        </w:tc>
      </w:tr>
      <w:tr w14:paraId="6DFF9937">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4AA372D7">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7B797CD7">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1020" w:type="pct"/>
            <w:tcBorders>
              <w:top w:val="nil"/>
              <w:left w:val="nil"/>
              <w:bottom w:val="single" w:color="auto" w:sz="4" w:space="0"/>
              <w:right w:val="single" w:color="auto" w:sz="4" w:space="0"/>
            </w:tcBorders>
            <w:vAlign w:val="center"/>
          </w:tcPr>
          <w:p w14:paraId="7EB743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17" w:type="pct"/>
            <w:tcBorders>
              <w:top w:val="nil"/>
              <w:left w:val="nil"/>
              <w:bottom w:val="single" w:color="auto" w:sz="4" w:space="0"/>
              <w:right w:val="single" w:color="auto" w:sz="4" w:space="0"/>
            </w:tcBorders>
            <w:vAlign w:val="center"/>
          </w:tcPr>
          <w:p w14:paraId="57937E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5071399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1" w:type="pct"/>
            <w:tcBorders>
              <w:top w:val="nil"/>
              <w:left w:val="nil"/>
              <w:bottom w:val="single" w:color="auto" w:sz="4" w:space="0"/>
              <w:right w:val="single" w:color="auto" w:sz="4" w:space="0"/>
            </w:tcBorders>
            <w:vAlign w:val="center"/>
          </w:tcPr>
          <w:p w14:paraId="22BAA9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2EDA66E3">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01A5C3AD">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4F507E84">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1020" w:type="pct"/>
            <w:tcBorders>
              <w:top w:val="nil"/>
              <w:left w:val="nil"/>
              <w:bottom w:val="single" w:color="auto" w:sz="4" w:space="0"/>
              <w:right w:val="single" w:color="auto" w:sz="4" w:space="0"/>
            </w:tcBorders>
            <w:vAlign w:val="center"/>
          </w:tcPr>
          <w:p w14:paraId="5E12706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周边1公里内有兴29路、兴63路、兴80路等公交线路途径并设立站点，综合评价交通便捷度一般</w:t>
            </w:r>
          </w:p>
        </w:tc>
        <w:tc>
          <w:tcPr>
            <w:tcW w:w="917" w:type="pct"/>
            <w:tcBorders>
              <w:top w:val="nil"/>
              <w:left w:val="nil"/>
              <w:bottom w:val="single" w:color="auto" w:sz="4" w:space="0"/>
              <w:right w:val="single" w:color="auto" w:sz="4" w:space="0"/>
            </w:tcBorders>
            <w:vAlign w:val="center"/>
          </w:tcPr>
          <w:p w14:paraId="046F450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3BB747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71" w:type="pct"/>
            <w:tcBorders>
              <w:top w:val="nil"/>
              <w:left w:val="nil"/>
              <w:bottom w:val="single" w:color="auto" w:sz="4" w:space="0"/>
              <w:right w:val="single" w:color="auto" w:sz="4" w:space="0"/>
            </w:tcBorders>
            <w:vAlign w:val="center"/>
          </w:tcPr>
          <w:p w14:paraId="014E2B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r>
      <w:tr w14:paraId="10746B3E">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0BA9E5A4">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0FDB750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1020" w:type="pct"/>
            <w:tcBorders>
              <w:top w:val="nil"/>
              <w:left w:val="nil"/>
              <w:bottom w:val="single" w:color="auto" w:sz="4" w:space="0"/>
              <w:right w:val="single" w:color="auto" w:sz="4" w:space="0"/>
            </w:tcBorders>
            <w:vAlign w:val="center"/>
          </w:tcPr>
          <w:p w14:paraId="712517F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17" w:type="pct"/>
            <w:tcBorders>
              <w:top w:val="nil"/>
              <w:left w:val="nil"/>
              <w:bottom w:val="single" w:color="auto" w:sz="4" w:space="0"/>
              <w:right w:val="single" w:color="auto" w:sz="4" w:space="0"/>
            </w:tcBorders>
            <w:vAlign w:val="center"/>
          </w:tcPr>
          <w:p w14:paraId="3716654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9" w:type="pct"/>
            <w:tcBorders>
              <w:top w:val="nil"/>
              <w:left w:val="nil"/>
              <w:bottom w:val="single" w:color="auto" w:sz="4" w:space="0"/>
              <w:right w:val="single" w:color="auto" w:sz="4" w:space="0"/>
            </w:tcBorders>
            <w:vAlign w:val="center"/>
          </w:tcPr>
          <w:p w14:paraId="7138D3C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1" w:type="pct"/>
            <w:tcBorders>
              <w:top w:val="nil"/>
              <w:left w:val="nil"/>
              <w:bottom w:val="single" w:color="auto" w:sz="4" w:space="0"/>
              <w:right w:val="single" w:color="auto" w:sz="4" w:space="0"/>
            </w:tcBorders>
            <w:vAlign w:val="center"/>
          </w:tcPr>
          <w:p w14:paraId="2C2131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2D270B6E">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5D42F367">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C8094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1020" w:type="pct"/>
            <w:tcBorders>
              <w:top w:val="nil"/>
              <w:left w:val="nil"/>
              <w:bottom w:val="single" w:color="auto" w:sz="4" w:space="0"/>
              <w:right w:val="single" w:color="auto" w:sz="4" w:space="0"/>
            </w:tcBorders>
            <w:vAlign w:val="center"/>
          </w:tcPr>
          <w:p w14:paraId="1BBABF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估价对象周边2公里有新西凤渠湿地、新凤河等自然景观，自然与人文环境一般</w:t>
            </w:r>
          </w:p>
        </w:tc>
        <w:tc>
          <w:tcPr>
            <w:tcW w:w="917" w:type="pct"/>
            <w:tcBorders>
              <w:top w:val="nil"/>
              <w:left w:val="nil"/>
              <w:bottom w:val="single" w:color="auto" w:sz="4" w:space="0"/>
              <w:right w:val="single" w:color="auto" w:sz="4" w:space="0"/>
            </w:tcBorders>
            <w:vAlign w:val="center"/>
          </w:tcPr>
          <w:p w14:paraId="6645393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69" w:type="pct"/>
            <w:tcBorders>
              <w:top w:val="nil"/>
              <w:left w:val="nil"/>
              <w:bottom w:val="single" w:color="auto" w:sz="4" w:space="0"/>
              <w:right w:val="single" w:color="auto" w:sz="4" w:space="0"/>
            </w:tcBorders>
            <w:vAlign w:val="center"/>
          </w:tcPr>
          <w:p w14:paraId="08B1470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71" w:type="pct"/>
            <w:tcBorders>
              <w:top w:val="nil"/>
              <w:left w:val="nil"/>
              <w:bottom w:val="single" w:color="auto" w:sz="4" w:space="0"/>
              <w:right w:val="single" w:color="auto" w:sz="4" w:space="0"/>
            </w:tcBorders>
            <w:vAlign w:val="center"/>
          </w:tcPr>
          <w:p w14:paraId="13FEB30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r>
      <w:tr w14:paraId="07F0C29D">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4DEE466A">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491026F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1020" w:type="pct"/>
            <w:tcBorders>
              <w:top w:val="nil"/>
              <w:left w:val="nil"/>
              <w:bottom w:val="single" w:color="auto" w:sz="4" w:space="0"/>
              <w:right w:val="single" w:color="auto" w:sz="4" w:space="0"/>
            </w:tcBorders>
            <w:vAlign w:val="center"/>
          </w:tcPr>
          <w:p w14:paraId="0BB40F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17" w:type="pct"/>
            <w:tcBorders>
              <w:top w:val="nil"/>
              <w:left w:val="nil"/>
              <w:bottom w:val="single" w:color="auto" w:sz="4" w:space="0"/>
              <w:right w:val="single" w:color="auto" w:sz="4" w:space="0"/>
            </w:tcBorders>
            <w:vAlign w:val="center"/>
          </w:tcPr>
          <w:p w14:paraId="15CFE4A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9" w:type="pct"/>
            <w:tcBorders>
              <w:top w:val="nil"/>
              <w:left w:val="nil"/>
              <w:bottom w:val="single" w:color="auto" w:sz="4" w:space="0"/>
              <w:right w:val="single" w:color="auto" w:sz="4" w:space="0"/>
            </w:tcBorders>
            <w:vAlign w:val="center"/>
          </w:tcPr>
          <w:p w14:paraId="63847E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1" w:type="pct"/>
            <w:tcBorders>
              <w:top w:val="nil"/>
              <w:left w:val="nil"/>
              <w:bottom w:val="single" w:color="auto" w:sz="4" w:space="0"/>
              <w:right w:val="single" w:color="auto" w:sz="4" w:space="0"/>
            </w:tcBorders>
            <w:vAlign w:val="center"/>
          </w:tcPr>
          <w:p w14:paraId="6CEAD4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1C17981D">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3A66B410">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116980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1020" w:type="pct"/>
            <w:tcBorders>
              <w:top w:val="nil"/>
              <w:left w:val="nil"/>
              <w:bottom w:val="single" w:color="auto" w:sz="4" w:space="0"/>
              <w:right w:val="single" w:color="auto" w:sz="4" w:space="0"/>
            </w:tcBorders>
            <w:vAlign w:val="center"/>
          </w:tcPr>
          <w:p w14:paraId="2AD383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无大型购物中心，有多喜多超市、春雷生活超市等生活配套商业；有北京现代艺术学校、北京三间房中心幼儿园等教育机构，有北京市大兴区黄村镇三间房社区卫生服务站等医疗机构；有北京农商银行（新建分理处）等金融网点，公共配套设施状况一般</w:t>
            </w:r>
          </w:p>
        </w:tc>
        <w:tc>
          <w:tcPr>
            <w:tcW w:w="917" w:type="pct"/>
            <w:tcBorders>
              <w:top w:val="nil"/>
              <w:left w:val="nil"/>
              <w:bottom w:val="single" w:color="auto" w:sz="4" w:space="0"/>
              <w:right w:val="single" w:color="auto" w:sz="4" w:space="0"/>
            </w:tcBorders>
            <w:vAlign w:val="center"/>
          </w:tcPr>
          <w:p w14:paraId="0F6438F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69" w:type="pct"/>
            <w:tcBorders>
              <w:top w:val="nil"/>
              <w:left w:val="nil"/>
              <w:bottom w:val="single" w:color="auto" w:sz="4" w:space="0"/>
              <w:right w:val="single" w:color="auto" w:sz="4" w:space="0"/>
            </w:tcBorders>
            <w:vAlign w:val="center"/>
          </w:tcPr>
          <w:p w14:paraId="12E9567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71" w:type="pct"/>
            <w:tcBorders>
              <w:top w:val="nil"/>
              <w:left w:val="nil"/>
              <w:bottom w:val="single" w:color="auto" w:sz="4" w:space="0"/>
              <w:right w:val="single" w:color="auto" w:sz="4" w:space="0"/>
            </w:tcBorders>
            <w:vAlign w:val="center"/>
          </w:tcPr>
          <w:p w14:paraId="1CA5B4D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r>
      <w:tr w14:paraId="542E8D31">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50335B9D">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5D4E700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1020" w:type="pct"/>
            <w:tcBorders>
              <w:top w:val="nil"/>
              <w:left w:val="nil"/>
              <w:bottom w:val="single" w:color="auto" w:sz="4" w:space="0"/>
              <w:right w:val="single" w:color="auto" w:sz="4" w:space="0"/>
            </w:tcBorders>
            <w:vAlign w:val="center"/>
          </w:tcPr>
          <w:p w14:paraId="252C75C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17" w:type="pct"/>
            <w:tcBorders>
              <w:top w:val="nil"/>
              <w:left w:val="nil"/>
              <w:bottom w:val="single" w:color="auto" w:sz="4" w:space="0"/>
              <w:right w:val="single" w:color="auto" w:sz="4" w:space="0"/>
            </w:tcBorders>
            <w:vAlign w:val="center"/>
          </w:tcPr>
          <w:p w14:paraId="35AF978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69" w:type="pct"/>
            <w:tcBorders>
              <w:top w:val="nil"/>
              <w:left w:val="nil"/>
              <w:bottom w:val="single" w:color="auto" w:sz="4" w:space="0"/>
              <w:right w:val="single" w:color="auto" w:sz="4" w:space="0"/>
            </w:tcBorders>
            <w:vAlign w:val="center"/>
          </w:tcPr>
          <w:p w14:paraId="2C550B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71" w:type="pct"/>
            <w:tcBorders>
              <w:top w:val="nil"/>
              <w:left w:val="nil"/>
              <w:bottom w:val="single" w:color="auto" w:sz="4" w:space="0"/>
              <w:right w:val="single" w:color="auto" w:sz="4" w:space="0"/>
            </w:tcBorders>
            <w:vAlign w:val="center"/>
          </w:tcPr>
          <w:p w14:paraId="55A2734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367DAFD3">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18EB756F">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C04D4A1">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1020" w:type="pct"/>
            <w:tcBorders>
              <w:top w:val="nil"/>
              <w:left w:val="nil"/>
              <w:bottom w:val="single" w:color="auto" w:sz="4" w:space="0"/>
              <w:right w:val="single" w:color="auto" w:sz="4" w:space="0"/>
            </w:tcBorders>
            <w:vAlign w:val="center"/>
          </w:tcPr>
          <w:p w14:paraId="005DEB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17" w:type="pct"/>
            <w:tcBorders>
              <w:top w:val="nil"/>
              <w:left w:val="nil"/>
              <w:bottom w:val="single" w:color="auto" w:sz="4" w:space="0"/>
              <w:right w:val="single" w:color="auto" w:sz="4" w:space="0"/>
            </w:tcBorders>
            <w:vAlign w:val="center"/>
          </w:tcPr>
          <w:p w14:paraId="2E2F8E01">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69" w:type="pct"/>
            <w:tcBorders>
              <w:top w:val="nil"/>
              <w:left w:val="nil"/>
              <w:bottom w:val="single" w:color="auto" w:sz="4" w:space="0"/>
              <w:right w:val="single" w:color="auto" w:sz="4" w:space="0"/>
            </w:tcBorders>
            <w:vAlign w:val="center"/>
          </w:tcPr>
          <w:p w14:paraId="71677FB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c>
          <w:tcPr>
            <w:tcW w:w="971" w:type="pct"/>
            <w:tcBorders>
              <w:top w:val="nil"/>
              <w:left w:val="nil"/>
              <w:bottom w:val="single" w:color="auto" w:sz="4" w:space="0"/>
              <w:right w:val="single" w:color="auto" w:sz="4" w:space="0"/>
            </w:tcBorders>
            <w:vAlign w:val="center"/>
          </w:tcPr>
          <w:p w14:paraId="2A9BCF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145B604B">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auto" w:sz="4" w:space="0"/>
              <w:right w:val="single" w:color="auto" w:sz="4" w:space="0"/>
            </w:tcBorders>
            <w:vAlign w:val="center"/>
          </w:tcPr>
          <w:p w14:paraId="0ECEF88A">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3521732A">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1020" w:type="pct"/>
            <w:tcBorders>
              <w:top w:val="nil"/>
              <w:left w:val="nil"/>
              <w:bottom w:val="single" w:color="auto" w:sz="4" w:space="0"/>
              <w:right w:val="single" w:color="auto" w:sz="4" w:space="0"/>
            </w:tcBorders>
            <w:vAlign w:val="center"/>
          </w:tcPr>
          <w:p w14:paraId="5F4BF27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17" w:type="pct"/>
            <w:tcBorders>
              <w:top w:val="nil"/>
              <w:left w:val="nil"/>
              <w:bottom w:val="single" w:color="auto" w:sz="4" w:space="0"/>
              <w:right w:val="single" w:color="auto" w:sz="4" w:space="0"/>
            </w:tcBorders>
            <w:vAlign w:val="center"/>
          </w:tcPr>
          <w:p w14:paraId="7FA1A1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9" w:type="pct"/>
            <w:tcBorders>
              <w:top w:val="nil"/>
              <w:left w:val="nil"/>
              <w:bottom w:val="single" w:color="auto" w:sz="4" w:space="0"/>
              <w:right w:val="single" w:color="auto" w:sz="4" w:space="0"/>
            </w:tcBorders>
            <w:vAlign w:val="center"/>
          </w:tcPr>
          <w:p w14:paraId="76C78A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71" w:type="pct"/>
            <w:tcBorders>
              <w:top w:val="nil"/>
              <w:left w:val="nil"/>
              <w:bottom w:val="single" w:color="auto" w:sz="4" w:space="0"/>
              <w:right w:val="single" w:color="auto" w:sz="4" w:space="0"/>
            </w:tcBorders>
            <w:vAlign w:val="center"/>
          </w:tcPr>
          <w:p w14:paraId="600E01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19F4F674">
        <w:tblPrEx>
          <w:tblCellMar>
            <w:top w:w="0" w:type="dxa"/>
            <w:left w:w="108" w:type="dxa"/>
            <w:bottom w:w="0" w:type="dxa"/>
            <w:right w:w="108" w:type="dxa"/>
          </w:tblCellMar>
        </w:tblPrEx>
        <w:trPr>
          <w:trHeight w:val="397" w:hRule="atLeast"/>
          <w:jc w:val="center"/>
        </w:trPr>
        <w:tc>
          <w:tcPr>
            <w:tcW w:w="364" w:type="pct"/>
            <w:vMerge w:val="restart"/>
            <w:tcBorders>
              <w:top w:val="single" w:color="auto" w:sz="4" w:space="0"/>
              <w:left w:val="single" w:color="auto" w:sz="4" w:space="0"/>
              <w:bottom w:val="single" w:color="auto" w:sz="4" w:space="0"/>
              <w:right w:val="single" w:color="auto" w:sz="4" w:space="0"/>
            </w:tcBorders>
            <w:vAlign w:val="center"/>
          </w:tcPr>
          <w:p w14:paraId="1089CEDA">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8" w:type="pct"/>
            <w:tcBorders>
              <w:top w:val="single" w:color="auto" w:sz="4" w:space="0"/>
              <w:left w:val="nil"/>
              <w:bottom w:val="single" w:color="auto" w:sz="4" w:space="0"/>
              <w:right w:val="single" w:color="auto" w:sz="4" w:space="0"/>
            </w:tcBorders>
            <w:vAlign w:val="center"/>
          </w:tcPr>
          <w:p w14:paraId="11D13E1D">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1020" w:type="pct"/>
            <w:tcBorders>
              <w:top w:val="single" w:color="auto" w:sz="4" w:space="0"/>
              <w:left w:val="nil"/>
              <w:bottom w:val="single" w:color="auto" w:sz="4" w:space="0"/>
              <w:right w:val="single" w:color="auto" w:sz="4" w:space="0"/>
            </w:tcBorders>
            <w:vAlign w:val="center"/>
          </w:tcPr>
          <w:p w14:paraId="2348AB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17" w:type="pct"/>
            <w:tcBorders>
              <w:top w:val="single" w:color="auto" w:sz="4" w:space="0"/>
              <w:left w:val="nil"/>
              <w:bottom w:val="single" w:color="auto" w:sz="4" w:space="0"/>
              <w:right w:val="single" w:color="auto" w:sz="4" w:space="0"/>
            </w:tcBorders>
            <w:vAlign w:val="center"/>
          </w:tcPr>
          <w:p w14:paraId="35F6022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39BD1C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1" w:type="pct"/>
            <w:tcBorders>
              <w:top w:val="single" w:color="auto" w:sz="4" w:space="0"/>
              <w:left w:val="nil"/>
              <w:bottom w:val="single" w:color="auto" w:sz="4" w:space="0"/>
              <w:right w:val="single" w:color="auto" w:sz="4" w:space="0"/>
            </w:tcBorders>
            <w:vAlign w:val="center"/>
          </w:tcPr>
          <w:p w14:paraId="26FB839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515CCD3E">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659F8081">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3311AFD4">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020" w:type="pct"/>
            <w:tcBorders>
              <w:top w:val="single" w:color="auto" w:sz="4" w:space="0"/>
              <w:left w:val="nil"/>
              <w:bottom w:val="single" w:color="auto" w:sz="4" w:space="0"/>
              <w:right w:val="single" w:color="auto" w:sz="4" w:space="0"/>
            </w:tcBorders>
            <w:vAlign w:val="center"/>
          </w:tcPr>
          <w:p w14:paraId="48931F1F">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17" w:type="pct"/>
            <w:tcBorders>
              <w:top w:val="single" w:color="auto" w:sz="4" w:space="0"/>
              <w:left w:val="nil"/>
              <w:bottom w:val="single" w:color="auto" w:sz="4" w:space="0"/>
              <w:right w:val="single" w:color="auto" w:sz="4" w:space="0"/>
            </w:tcBorders>
            <w:vAlign w:val="center"/>
          </w:tcPr>
          <w:p w14:paraId="4F1DD090">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45D6F82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62FAFA2F">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556A5AD6">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703A9A23">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3383005">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020" w:type="pct"/>
            <w:tcBorders>
              <w:top w:val="single" w:color="auto" w:sz="4" w:space="0"/>
              <w:left w:val="nil"/>
              <w:bottom w:val="single" w:color="auto" w:sz="4" w:space="0"/>
              <w:right w:val="single" w:color="auto" w:sz="4" w:space="0"/>
            </w:tcBorders>
            <w:vAlign w:val="center"/>
          </w:tcPr>
          <w:p w14:paraId="6D96FA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17" w:type="pct"/>
            <w:tcBorders>
              <w:top w:val="single" w:color="auto" w:sz="4" w:space="0"/>
              <w:left w:val="nil"/>
              <w:bottom w:val="single" w:color="auto" w:sz="4" w:space="0"/>
              <w:right w:val="single" w:color="auto" w:sz="4" w:space="0"/>
            </w:tcBorders>
            <w:vAlign w:val="center"/>
          </w:tcPr>
          <w:p w14:paraId="541B5D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38E16FC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3B8AC31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简单装修</w:t>
            </w:r>
          </w:p>
        </w:tc>
      </w:tr>
      <w:tr w14:paraId="037DF973">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6C2BA0A7">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0BF097F">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1020" w:type="pct"/>
            <w:tcBorders>
              <w:top w:val="single" w:color="auto" w:sz="4" w:space="0"/>
              <w:left w:val="nil"/>
              <w:bottom w:val="single" w:color="auto" w:sz="4" w:space="0"/>
              <w:right w:val="single" w:color="auto" w:sz="4" w:space="0"/>
            </w:tcBorders>
            <w:vAlign w:val="center"/>
          </w:tcPr>
          <w:p w14:paraId="1BDC3D75">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17" w:type="pct"/>
            <w:tcBorders>
              <w:top w:val="single" w:color="auto" w:sz="4" w:space="0"/>
              <w:left w:val="nil"/>
              <w:bottom w:val="single" w:color="auto" w:sz="4" w:space="0"/>
              <w:right w:val="single" w:color="auto" w:sz="4" w:space="0"/>
            </w:tcBorders>
            <w:vAlign w:val="center"/>
          </w:tcPr>
          <w:p w14:paraId="6B2E6FB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6F7FD05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1" w:type="pct"/>
            <w:tcBorders>
              <w:top w:val="single" w:color="auto" w:sz="4" w:space="0"/>
              <w:left w:val="nil"/>
              <w:bottom w:val="single" w:color="auto" w:sz="4" w:space="0"/>
              <w:right w:val="single" w:color="auto" w:sz="4" w:space="0"/>
            </w:tcBorders>
            <w:vAlign w:val="center"/>
          </w:tcPr>
          <w:p w14:paraId="15694B64">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07A84164">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12D75426">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9C3DF17">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1020" w:type="pct"/>
            <w:tcBorders>
              <w:top w:val="single" w:color="auto" w:sz="4" w:space="0"/>
              <w:left w:val="nil"/>
              <w:bottom w:val="single" w:color="auto" w:sz="4" w:space="0"/>
              <w:right w:val="single" w:color="auto" w:sz="4" w:space="0"/>
            </w:tcBorders>
            <w:vAlign w:val="center"/>
          </w:tcPr>
          <w:p w14:paraId="1A52526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17" w:type="pct"/>
            <w:tcBorders>
              <w:top w:val="single" w:color="auto" w:sz="4" w:space="0"/>
              <w:left w:val="nil"/>
              <w:bottom w:val="single" w:color="auto" w:sz="4" w:space="0"/>
              <w:right w:val="single" w:color="auto" w:sz="4" w:space="0"/>
            </w:tcBorders>
            <w:vAlign w:val="center"/>
          </w:tcPr>
          <w:p w14:paraId="63309D46">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9" w:type="pct"/>
            <w:tcBorders>
              <w:top w:val="single" w:color="auto" w:sz="4" w:space="0"/>
              <w:left w:val="nil"/>
              <w:bottom w:val="single" w:color="auto" w:sz="4" w:space="0"/>
              <w:right w:val="single" w:color="auto" w:sz="4" w:space="0"/>
            </w:tcBorders>
            <w:vAlign w:val="center"/>
          </w:tcPr>
          <w:p w14:paraId="5B0E6E6E">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1" w:type="pct"/>
            <w:tcBorders>
              <w:top w:val="single" w:color="auto" w:sz="4" w:space="0"/>
              <w:left w:val="nil"/>
              <w:bottom w:val="single" w:color="auto" w:sz="4" w:space="0"/>
              <w:right w:val="single" w:color="auto" w:sz="4" w:space="0"/>
            </w:tcBorders>
            <w:vAlign w:val="center"/>
          </w:tcPr>
          <w:p w14:paraId="53AF504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5A494438">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5CE13B45">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47ABAAC5">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1020" w:type="pct"/>
            <w:tcBorders>
              <w:top w:val="single" w:color="auto" w:sz="4" w:space="0"/>
              <w:left w:val="nil"/>
              <w:bottom w:val="single" w:color="auto" w:sz="4" w:space="0"/>
              <w:right w:val="single" w:color="auto" w:sz="4" w:space="0"/>
            </w:tcBorders>
            <w:vAlign w:val="center"/>
          </w:tcPr>
          <w:p w14:paraId="1FC32634">
            <w:pPr>
              <w:widowControl/>
              <w:adjustRightInd/>
              <w:spacing w:line="240" w:lineRule="auto"/>
              <w:jc w:val="center"/>
              <w:textAlignment w:val="auto"/>
              <w:rPr>
                <w:rFonts w:ascii="Arial" w:hAnsi="Arial" w:cs="Arial"/>
                <w:sz w:val="16"/>
                <w:szCs w:val="18"/>
              </w:rPr>
            </w:pPr>
            <w:commentRangeStart w:id="7"/>
            <w:r>
              <w:rPr>
                <w:rFonts w:hint="eastAsia" w:ascii="Arial" w:hAnsi="Arial" w:cs="Arial"/>
                <w:sz w:val="16"/>
                <w:szCs w:val="18"/>
              </w:rPr>
              <w:t>一居室</w:t>
            </w:r>
          </w:p>
        </w:tc>
        <w:tc>
          <w:tcPr>
            <w:tcW w:w="917" w:type="pct"/>
            <w:tcBorders>
              <w:top w:val="single" w:color="auto" w:sz="4" w:space="0"/>
              <w:left w:val="nil"/>
              <w:bottom w:val="single" w:color="auto" w:sz="4" w:space="0"/>
              <w:right w:val="single" w:color="auto" w:sz="4" w:space="0"/>
            </w:tcBorders>
            <w:vAlign w:val="center"/>
          </w:tcPr>
          <w:p w14:paraId="1C9D5C2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9" w:type="pct"/>
            <w:tcBorders>
              <w:top w:val="single" w:color="auto" w:sz="4" w:space="0"/>
              <w:left w:val="nil"/>
              <w:bottom w:val="single" w:color="auto" w:sz="4" w:space="0"/>
              <w:right w:val="single" w:color="auto" w:sz="4" w:space="0"/>
            </w:tcBorders>
            <w:vAlign w:val="center"/>
          </w:tcPr>
          <w:p w14:paraId="5BE60888">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一</w:t>
            </w:r>
            <w:r>
              <w:rPr>
                <w:rFonts w:hint="eastAsia" w:ascii="Arial" w:hAnsi="Arial" w:cs="Arial"/>
                <w:sz w:val="16"/>
                <w:szCs w:val="18"/>
              </w:rPr>
              <w:t>居室</w:t>
            </w:r>
          </w:p>
        </w:tc>
        <w:tc>
          <w:tcPr>
            <w:tcW w:w="971" w:type="pct"/>
            <w:tcBorders>
              <w:top w:val="single" w:color="auto" w:sz="4" w:space="0"/>
              <w:left w:val="nil"/>
              <w:bottom w:val="single" w:color="auto" w:sz="4" w:space="0"/>
              <w:right w:val="single" w:color="auto" w:sz="4" w:space="0"/>
            </w:tcBorders>
            <w:vAlign w:val="center"/>
          </w:tcPr>
          <w:p w14:paraId="22E22F9C">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一</w:t>
            </w:r>
            <w:r>
              <w:rPr>
                <w:rFonts w:hint="eastAsia" w:ascii="Arial" w:hAnsi="Arial" w:cs="Arial"/>
                <w:sz w:val="16"/>
                <w:szCs w:val="18"/>
              </w:rPr>
              <w:t>居室</w:t>
            </w:r>
            <w:commentRangeEnd w:id="7"/>
            <w:r>
              <w:rPr>
                <w:rStyle w:val="40"/>
              </w:rPr>
              <w:commentReference w:id="7"/>
            </w:r>
          </w:p>
        </w:tc>
      </w:tr>
      <w:tr w14:paraId="41C733B0">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47CAFC4C">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513DD549">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1020" w:type="pct"/>
            <w:tcBorders>
              <w:top w:val="single" w:color="auto" w:sz="4" w:space="0"/>
              <w:left w:val="nil"/>
              <w:bottom w:val="single" w:color="auto" w:sz="4" w:space="0"/>
              <w:right w:val="single" w:color="auto" w:sz="4" w:space="0"/>
            </w:tcBorders>
            <w:vAlign w:val="center"/>
          </w:tcPr>
          <w:p w14:paraId="4C2C3E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17" w:type="pct"/>
            <w:tcBorders>
              <w:top w:val="single" w:color="auto" w:sz="4" w:space="0"/>
              <w:left w:val="nil"/>
              <w:bottom w:val="single" w:color="auto" w:sz="4" w:space="0"/>
              <w:right w:val="single" w:color="auto" w:sz="4" w:space="0"/>
            </w:tcBorders>
            <w:vAlign w:val="center"/>
          </w:tcPr>
          <w:p w14:paraId="5853F9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28A682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1" w:type="pct"/>
            <w:tcBorders>
              <w:top w:val="single" w:color="auto" w:sz="4" w:space="0"/>
              <w:left w:val="nil"/>
              <w:bottom w:val="single" w:color="auto" w:sz="4" w:space="0"/>
              <w:right w:val="single" w:color="auto" w:sz="4" w:space="0"/>
            </w:tcBorders>
            <w:vAlign w:val="center"/>
          </w:tcPr>
          <w:p w14:paraId="16F7F6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27D983A6">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1216BCE2">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0D58EAB1">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1020" w:type="pct"/>
            <w:tcBorders>
              <w:top w:val="single" w:color="auto" w:sz="4" w:space="0"/>
              <w:left w:val="nil"/>
              <w:bottom w:val="single" w:color="auto" w:sz="4" w:space="0"/>
              <w:right w:val="single" w:color="auto" w:sz="4" w:space="0"/>
            </w:tcBorders>
            <w:vAlign w:val="center"/>
          </w:tcPr>
          <w:p w14:paraId="273051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56.92</w:t>
            </w:r>
          </w:p>
        </w:tc>
        <w:tc>
          <w:tcPr>
            <w:tcW w:w="917" w:type="pct"/>
            <w:tcBorders>
              <w:top w:val="single" w:color="auto" w:sz="4" w:space="0"/>
              <w:left w:val="nil"/>
              <w:bottom w:val="single" w:color="auto" w:sz="4" w:space="0"/>
              <w:right w:val="single" w:color="auto" w:sz="4" w:space="0"/>
            </w:tcBorders>
            <w:vAlign w:val="center"/>
          </w:tcPr>
          <w:p w14:paraId="03BF2C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74.4</w:t>
            </w:r>
          </w:p>
        </w:tc>
        <w:tc>
          <w:tcPr>
            <w:tcW w:w="969" w:type="pct"/>
            <w:tcBorders>
              <w:top w:val="single" w:color="auto" w:sz="4" w:space="0"/>
              <w:left w:val="nil"/>
              <w:bottom w:val="single" w:color="auto" w:sz="4" w:space="0"/>
              <w:right w:val="single" w:color="auto" w:sz="4" w:space="0"/>
            </w:tcBorders>
            <w:vAlign w:val="center"/>
          </w:tcPr>
          <w:p w14:paraId="582C02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58</w:t>
            </w:r>
          </w:p>
        </w:tc>
        <w:tc>
          <w:tcPr>
            <w:tcW w:w="971" w:type="pct"/>
            <w:tcBorders>
              <w:top w:val="single" w:color="auto" w:sz="4" w:space="0"/>
              <w:left w:val="nil"/>
              <w:bottom w:val="single" w:color="auto" w:sz="4" w:space="0"/>
              <w:right w:val="single" w:color="auto" w:sz="4" w:space="0"/>
            </w:tcBorders>
            <w:vAlign w:val="center"/>
          </w:tcPr>
          <w:p w14:paraId="2B7AFA1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55.8</w:t>
            </w:r>
          </w:p>
        </w:tc>
      </w:tr>
      <w:tr w14:paraId="3AF9AF64">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5E9C46BA">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2C523C17">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020" w:type="pct"/>
            <w:tcBorders>
              <w:top w:val="single" w:color="auto" w:sz="4" w:space="0"/>
              <w:left w:val="nil"/>
              <w:bottom w:val="single" w:color="auto" w:sz="4" w:space="0"/>
              <w:right w:val="single" w:color="auto" w:sz="4" w:space="0"/>
            </w:tcBorders>
            <w:vAlign w:val="center"/>
          </w:tcPr>
          <w:p w14:paraId="69D8151F">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17" w:type="pct"/>
            <w:tcBorders>
              <w:top w:val="single" w:color="auto" w:sz="4" w:space="0"/>
              <w:left w:val="nil"/>
              <w:bottom w:val="single" w:color="auto" w:sz="4" w:space="0"/>
              <w:right w:val="single" w:color="auto" w:sz="4" w:space="0"/>
            </w:tcBorders>
            <w:vAlign w:val="center"/>
          </w:tcPr>
          <w:p w14:paraId="21AF2D24">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9" w:type="pct"/>
            <w:tcBorders>
              <w:top w:val="single" w:color="auto" w:sz="4" w:space="0"/>
              <w:left w:val="nil"/>
              <w:bottom w:val="single" w:color="auto" w:sz="4" w:space="0"/>
              <w:right w:val="single" w:color="auto" w:sz="4" w:space="0"/>
            </w:tcBorders>
            <w:vAlign w:val="center"/>
          </w:tcPr>
          <w:p w14:paraId="5863809D">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1" w:type="pct"/>
            <w:tcBorders>
              <w:top w:val="single" w:color="auto" w:sz="4" w:space="0"/>
              <w:left w:val="nil"/>
              <w:bottom w:val="single" w:color="auto" w:sz="4" w:space="0"/>
              <w:right w:val="single" w:color="auto" w:sz="4" w:space="0"/>
            </w:tcBorders>
            <w:vAlign w:val="center"/>
          </w:tcPr>
          <w:p w14:paraId="7C49EC4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297022E1">
        <w:tblPrEx>
          <w:tblCellMar>
            <w:top w:w="0" w:type="dxa"/>
            <w:left w:w="108" w:type="dxa"/>
            <w:bottom w:w="0" w:type="dxa"/>
            <w:right w:w="108" w:type="dxa"/>
          </w:tblCellMar>
        </w:tblPrEx>
        <w:trPr>
          <w:trHeight w:val="397" w:hRule="atLeast"/>
          <w:jc w:val="center"/>
        </w:trPr>
        <w:tc>
          <w:tcPr>
            <w:tcW w:w="364" w:type="pct"/>
            <w:vMerge w:val="restart"/>
            <w:tcBorders>
              <w:left w:val="single" w:color="auto" w:sz="4" w:space="0"/>
              <w:bottom w:val="single" w:color="auto" w:sz="4" w:space="0"/>
              <w:right w:val="single" w:color="auto" w:sz="4" w:space="0"/>
            </w:tcBorders>
            <w:vAlign w:val="center"/>
          </w:tcPr>
          <w:p w14:paraId="17CA5C48">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8" w:type="pct"/>
            <w:tcBorders>
              <w:top w:val="single" w:color="auto" w:sz="4" w:space="0"/>
              <w:left w:val="nil"/>
              <w:bottom w:val="single" w:color="auto" w:sz="4" w:space="0"/>
              <w:right w:val="single" w:color="auto" w:sz="4" w:space="0"/>
            </w:tcBorders>
            <w:vAlign w:val="center"/>
          </w:tcPr>
          <w:p w14:paraId="4942FE89">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1020" w:type="pct"/>
            <w:tcBorders>
              <w:top w:val="single" w:color="auto" w:sz="4" w:space="0"/>
              <w:left w:val="nil"/>
              <w:bottom w:val="single" w:color="auto" w:sz="4" w:space="0"/>
              <w:right w:val="single" w:color="auto" w:sz="4" w:space="0"/>
            </w:tcBorders>
            <w:vAlign w:val="center"/>
          </w:tcPr>
          <w:p w14:paraId="2A2BB97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17" w:type="pct"/>
            <w:tcBorders>
              <w:top w:val="single" w:color="auto" w:sz="4" w:space="0"/>
              <w:left w:val="nil"/>
              <w:bottom w:val="single" w:color="auto" w:sz="4" w:space="0"/>
              <w:right w:val="single" w:color="auto" w:sz="4" w:space="0"/>
            </w:tcBorders>
            <w:vAlign w:val="center"/>
          </w:tcPr>
          <w:p w14:paraId="6A75FE9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4BB3C456">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1" w:type="pct"/>
            <w:tcBorders>
              <w:top w:val="single" w:color="auto" w:sz="4" w:space="0"/>
              <w:left w:val="nil"/>
              <w:bottom w:val="single" w:color="auto" w:sz="4" w:space="0"/>
              <w:right w:val="single" w:color="auto" w:sz="4" w:space="0"/>
            </w:tcBorders>
            <w:vAlign w:val="center"/>
          </w:tcPr>
          <w:p w14:paraId="4A7FF1E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2335FA69">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4DF6E429">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39BCB3E">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1020" w:type="pct"/>
            <w:tcBorders>
              <w:top w:val="single" w:color="auto" w:sz="4" w:space="0"/>
              <w:left w:val="nil"/>
              <w:bottom w:val="single" w:color="auto" w:sz="4" w:space="0"/>
              <w:right w:val="single" w:color="auto" w:sz="4" w:space="0"/>
            </w:tcBorders>
            <w:vAlign w:val="center"/>
          </w:tcPr>
          <w:p w14:paraId="5AD0D4E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17" w:type="pct"/>
            <w:tcBorders>
              <w:top w:val="single" w:color="auto" w:sz="4" w:space="0"/>
              <w:left w:val="nil"/>
              <w:bottom w:val="single" w:color="auto" w:sz="4" w:space="0"/>
              <w:right w:val="single" w:color="auto" w:sz="4" w:space="0"/>
            </w:tcBorders>
            <w:vAlign w:val="center"/>
          </w:tcPr>
          <w:p w14:paraId="1884716B">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2BFFE4F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1" w:type="pct"/>
            <w:tcBorders>
              <w:top w:val="single" w:color="auto" w:sz="4" w:space="0"/>
              <w:left w:val="nil"/>
              <w:bottom w:val="single" w:color="auto" w:sz="4" w:space="0"/>
              <w:right w:val="single" w:color="auto" w:sz="4" w:space="0"/>
            </w:tcBorders>
            <w:vAlign w:val="center"/>
          </w:tcPr>
          <w:p w14:paraId="1300DD49">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68D44D28">
      <w:pPr>
        <w:overflowPunct w:val="0"/>
        <w:spacing w:line="480" w:lineRule="auto"/>
        <w:ind w:firstLine="420" w:firstLineChars="200"/>
        <w:jc w:val="center"/>
        <w:rPr>
          <w:rFonts w:ascii="Arial" w:hAnsi="Arial"/>
          <w:sz w:val="21"/>
          <w:szCs w:val="21"/>
        </w:rPr>
      </w:pPr>
    </w:p>
    <w:p w14:paraId="33A0EE85">
      <w:pPr>
        <w:overflowPunct w:val="0"/>
        <w:spacing w:line="480" w:lineRule="auto"/>
        <w:ind w:firstLine="420" w:firstLineChars="200"/>
        <w:jc w:val="center"/>
        <w:rPr>
          <w:rFonts w:ascii="Arial" w:hAnsi="Arial"/>
          <w:sz w:val="21"/>
          <w:szCs w:val="21"/>
        </w:rPr>
      </w:pPr>
    </w:p>
    <w:p w14:paraId="3FEB28E0">
      <w:pPr>
        <w:overflowPunct w:val="0"/>
        <w:spacing w:line="480" w:lineRule="auto"/>
        <w:ind w:firstLine="420" w:firstLineChars="200"/>
        <w:jc w:val="center"/>
        <w:rPr>
          <w:rFonts w:ascii="Arial" w:hAnsi="Arial"/>
          <w:sz w:val="21"/>
          <w:szCs w:val="21"/>
        </w:rPr>
      </w:pPr>
    </w:p>
    <w:p w14:paraId="3B8BFAEF">
      <w:pPr>
        <w:overflowPunct w:val="0"/>
        <w:spacing w:line="480" w:lineRule="auto"/>
        <w:ind w:firstLine="420" w:firstLineChars="200"/>
        <w:jc w:val="center"/>
        <w:rPr>
          <w:rFonts w:ascii="Arial" w:hAnsi="Arial"/>
          <w:sz w:val="21"/>
          <w:szCs w:val="21"/>
        </w:rPr>
      </w:pPr>
    </w:p>
    <w:p w14:paraId="04266956">
      <w:pPr>
        <w:overflowPunct w:val="0"/>
        <w:spacing w:line="480" w:lineRule="auto"/>
        <w:ind w:firstLine="420" w:firstLineChars="200"/>
        <w:jc w:val="center"/>
        <w:rPr>
          <w:rFonts w:ascii="Arial" w:hAnsi="Arial"/>
          <w:sz w:val="21"/>
          <w:szCs w:val="21"/>
        </w:rPr>
      </w:pPr>
    </w:p>
    <w:p w14:paraId="50A3B8CC">
      <w:pPr>
        <w:overflowPunct w:val="0"/>
        <w:spacing w:line="480" w:lineRule="auto"/>
        <w:ind w:firstLine="420" w:firstLineChars="200"/>
        <w:jc w:val="center"/>
        <w:rPr>
          <w:rFonts w:ascii="Arial" w:hAnsi="Arial"/>
          <w:sz w:val="21"/>
          <w:szCs w:val="21"/>
        </w:rPr>
      </w:pPr>
    </w:p>
    <w:p w14:paraId="33F5388F">
      <w:pPr>
        <w:overflowPunct w:val="0"/>
        <w:spacing w:line="480" w:lineRule="auto"/>
        <w:ind w:firstLine="420" w:firstLineChars="200"/>
        <w:jc w:val="center"/>
        <w:rPr>
          <w:rFonts w:ascii="Arial" w:hAnsi="Arial"/>
          <w:sz w:val="21"/>
          <w:szCs w:val="21"/>
        </w:rPr>
      </w:pPr>
    </w:p>
    <w:p w14:paraId="6187A69B">
      <w:pPr>
        <w:overflowPunct w:val="0"/>
        <w:spacing w:line="480" w:lineRule="auto"/>
        <w:ind w:firstLine="420" w:firstLineChars="200"/>
        <w:jc w:val="center"/>
        <w:rPr>
          <w:rFonts w:ascii="Arial" w:hAnsi="Arial"/>
          <w:sz w:val="21"/>
          <w:szCs w:val="21"/>
        </w:rPr>
      </w:pPr>
    </w:p>
    <w:p w14:paraId="2C0F6E4A">
      <w:pPr>
        <w:overflowPunct w:val="0"/>
        <w:spacing w:line="480" w:lineRule="auto"/>
        <w:ind w:firstLine="420" w:firstLineChars="200"/>
        <w:jc w:val="center"/>
        <w:rPr>
          <w:rFonts w:ascii="Arial" w:hAnsi="Arial"/>
          <w:sz w:val="21"/>
          <w:szCs w:val="21"/>
        </w:rPr>
      </w:pPr>
    </w:p>
    <w:p w14:paraId="6706C886">
      <w:pPr>
        <w:wordWrap w:val="0"/>
        <w:overflowPunct w:val="0"/>
        <w:spacing w:line="480" w:lineRule="auto"/>
        <w:rPr>
          <w:rFonts w:ascii="Arial" w:hAnsi="Arial"/>
          <w:sz w:val="21"/>
          <w:szCs w:val="21"/>
        </w:rPr>
      </w:pPr>
    </w:p>
    <w:p w14:paraId="0A47AD0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7AC49730">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62E9037F">
      <w:pPr>
        <w:overflowPunct w:val="0"/>
        <w:spacing w:line="480" w:lineRule="auto"/>
        <w:ind w:firstLine="420" w:firstLineChars="200"/>
        <w:jc w:val="center"/>
        <w:rPr>
          <w:rFonts w:ascii="Arial" w:hAnsi="Arial"/>
          <w:sz w:val="21"/>
          <w:szCs w:val="21"/>
        </w:rPr>
      </w:pPr>
      <w:r>
        <w:rPr>
          <w:rFonts w:hint="eastAsia" w:ascii="Arial" w:hAnsi="Arial"/>
          <w:sz w:val="21"/>
          <w:szCs w:val="21"/>
        </w:rPr>
        <w:t>西红门金鼎欣盛家园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7"/>
        <w:gridCol w:w="998"/>
        <w:gridCol w:w="989"/>
        <w:gridCol w:w="987"/>
        <w:gridCol w:w="987"/>
        <w:gridCol w:w="987"/>
        <w:gridCol w:w="3778"/>
      </w:tblGrid>
      <w:tr w14:paraId="0DF3AB5B">
        <w:tblPrEx>
          <w:tblCellMar>
            <w:top w:w="57" w:type="dxa"/>
            <w:left w:w="57" w:type="dxa"/>
            <w:bottom w:w="57" w:type="dxa"/>
            <w:right w:w="57" w:type="dxa"/>
          </w:tblCellMar>
        </w:tblPrEx>
        <w:trPr>
          <w:trHeight w:val="20" w:hRule="atLeast"/>
          <w:tblHeader/>
          <w:jc w:val="center"/>
        </w:trPr>
        <w:tc>
          <w:tcPr>
            <w:tcW w:w="842"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2038111B">
            <w:pPr>
              <w:snapToGrid w:val="0"/>
              <w:spacing w:line="240" w:lineRule="exact"/>
              <w:jc w:val="right"/>
              <w:rPr>
                <w:rFonts w:ascii="宋体" w:hAnsi="宋体" w:cs="Arial"/>
                <w:sz w:val="16"/>
                <w:szCs w:val="18"/>
              </w:rPr>
            </w:pPr>
            <w:r>
              <w:rPr>
                <w:rFonts w:ascii="宋体" w:hAnsi="宋体" w:cs="Arial"/>
                <w:sz w:val="16"/>
                <w:szCs w:val="18"/>
              </w:rPr>
              <w:t>估价对象及</w:t>
            </w:r>
          </w:p>
          <w:p w14:paraId="21F4F6DA">
            <w:pPr>
              <w:snapToGrid w:val="0"/>
              <w:spacing w:line="240" w:lineRule="exact"/>
              <w:jc w:val="right"/>
              <w:rPr>
                <w:rFonts w:ascii="宋体" w:hAnsi="宋体" w:cs="Arial"/>
                <w:sz w:val="16"/>
                <w:szCs w:val="18"/>
              </w:rPr>
            </w:pPr>
            <w:r>
              <w:rPr>
                <w:rFonts w:ascii="宋体" w:hAnsi="宋体" w:cs="Arial"/>
                <w:sz w:val="16"/>
                <w:szCs w:val="18"/>
              </w:rPr>
              <w:t>可比实例</w:t>
            </w:r>
          </w:p>
          <w:p w14:paraId="4DAECBF5">
            <w:pPr>
              <w:snapToGrid w:val="0"/>
              <w:spacing w:line="240" w:lineRule="exact"/>
              <w:jc w:val="both"/>
              <w:rPr>
                <w:rFonts w:ascii="宋体" w:hAnsi="宋体" w:cs="Arial"/>
                <w:sz w:val="16"/>
                <w:szCs w:val="18"/>
              </w:rPr>
            </w:pPr>
          </w:p>
          <w:p w14:paraId="45D349C6">
            <w:pPr>
              <w:snapToGrid w:val="0"/>
              <w:spacing w:line="240" w:lineRule="exact"/>
              <w:jc w:val="both"/>
              <w:rPr>
                <w:rFonts w:ascii="宋体" w:hAnsi="宋体" w:cs="Arial"/>
                <w:sz w:val="16"/>
                <w:szCs w:val="18"/>
              </w:rPr>
            </w:pPr>
          </w:p>
          <w:p w14:paraId="55C20D9D">
            <w:pPr>
              <w:snapToGrid w:val="0"/>
              <w:spacing w:line="240" w:lineRule="exact"/>
              <w:jc w:val="both"/>
              <w:rPr>
                <w:rFonts w:ascii="宋体" w:hAnsi="宋体" w:cs="Arial"/>
                <w:sz w:val="16"/>
                <w:szCs w:val="18"/>
              </w:rPr>
            </w:pPr>
            <w:r>
              <w:rPr>
                <w:rFonts w:ascii="宋体" w:hAnsi="宋体" w:cs="Arial"/>
                <w:sz w:val="16"/>
                <w:szCs w:val="18"/>
              </w:rPr>
              <w:t>比较因素</w:t>
            </w:r>
          </w:p>
        </w:tc>
        <w:tc>
          <w:tcPr>
            <w:tcW w:w="532" w:type="pct"/>
            <w:tcBorders>
              <w:top w:val="single" w:color="auto" w:sz="4" w:space="0"/>
              <w:left w:val="nil"/>
              <w:bottom w:val="single" w:color="auto" w:sz="4" w:space="0"/>
              <w:right w:val="single" w:color="auto" w:sz="4" w:space="0"/>
            </w:tcBorders>
            <w:vAlign w:val="center"/>
          </w:tcPr>
          <w:p w14:paraId="10913454">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D912A65">
            <w:pPr>
              <w:snapToGrid w:val="0"/>
              <w:spacing w:line="240" w:lineRule="exact"/>
              <w:jc w:val="both"/>
              <w:rPr>
                <w:rFonts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35144127">
            <w:pPr>
              <w:snapToGrid w:val="0"/>
              <w:spacing w:line="240" w:lineRule="exact"/>
              <w:jc w:val="both"/>
              <w:rPr>
                <w:rFonts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6514548D">
            <w:pPr>
              <w:snapToGrid w:val="0"/>
              <w:spacing w:line="240" w:lineRule="exact"/>
              <w:jc w:val="both"/>
              <w:rPr>
                <w:rFonts w:ascii="宋体" w:hAnsi="宋体" w:cs="Arial"/>
                <w:sz w:val="16"/>
                <w:szCs w:val="18"/>
              </w:rPr>
            </w:pPr>
            <w:r>
              <w:rPr>
                <w:rFonts w:ascii="宋体" w:hAnsi="宋体" w:cs="Arial"/>
                <w:sz w:val="16"/>
                <w:szCs w:val="18"/>
              </w:rPr>
              <w:t>可比实例3</w:t>
            </w:r>
          </w:p>
        </w:tc>
        <w:tc>
          <w:tcPr>
            <w:tcW w:w="2032" w:type="pct"/>
            <w:tcBorders>
              <w:top w:val="single" w:color="auto" w:sz="4" w:space="0"/>
              <w:left w:val="nil"/>
              <w:bottom w:val="single" w:color="auto" w:sz="4" w:space="0"/>
              <w:right w:val="single" w:color="auto" w:sz="4" w:space="0"/>
            </w:tcBorders>
            <w:vAlign w:val="center"/>
          </w:tcPr>
          <w:p w14:paraId="57FC87D4">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7C579DDF">
        <w:tblPrEx>
          <w:tblCellMar>
            <w:top w:w="57" w:type="dxa"/>
            <w:left w:w="57" w:type="dxa"/>
            <w:bottom w:w="57" w:type="dxa"/>
            <w:right w:w="57" w:type="dxa"/>
          </w:tblCellMar>
        </w:tblPrEx>
        <w:trPr>
          <w:trHeight w:val="20" w:hRule="atLeast"/>
          <w:tblHeader/>
          <w:jc w:val="center"/>
        </w:trPr>
        <w:tc>
          <w:tcPr>
            <w:tcW w:w="842" w:type="pct"/>
            <w:gridSpan w:val="2"/>
            <w:vMerge w:val="continue"/>
            <w:tcBorders>
              <w:top w:val="single" w:color="auto" w:sz="4" w:space="0"/>
              <w:left w:val="single" w:color="auto" w:sz="4" w:space="0"/>
              <w:bottom w:val="single" w:color="000000" w:sz="4" w:space="0"/>
              <w:right w:val="single" w:color="000000" w:sz="4" w:space="0"/>
            </w:tcBorders>
            <w:vAlign w:val="center"/>
          </w:tcPr>
          <w:p w14:paraId="580185A5">
            <w:pPr>
              <w:snapToGrid w:val="0"/>
              <w:spacing w:line="240" w:lineRule="exact"/>
              <w:jc w:val="both"/>
              <w:rPr>
                <w:rFonts w:ascii="宋体" w:hAnsi="宋体" w:cs="Arial"/>
                <w:sz w:val="16"/>
                <w:szCs w:val="18"/>
              </w:rPr>
            </w:pPr>
          </w:p>
        </w:tc>
        <w:tc>
          <w:tcPr>
            <w:tcW w:w="532" w:type="pct"/>
            <w:tcBorders>
              <w:top w:val="nil"/>
              <w:left w:val="nil"/>
              <w:bottom w:val="single" w:color="auto" w:sz="4" w:space="0"/>
              <w:right w:val="single" w:color="auto" w:sz="4" w:space="0"/>
            </w:tcBorders>
            <w:vAlign w:val="center"/>
          </w:tcPr>
          <w:p w14:paraId="4D70DEA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531" w:type="pct"/>
            <w:tcBorders>
              <w:top w:val="nil"/>
              <w:left w:val="nil"/>
              <w:bottom w:val="single" w:color="auto" w:sz="4" w:space="0"/>
              <w:right w:val="single" w:color="auto" w:sz="4" w:space="0"/>
            </w:tcBorders>
            <w:vAlign w:val="center"/>
          </w:tcPr>
          <w:p w14:paraId="7E19E8E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531" w:type="pct"/>
            <w:tcBorders>
              <w:top w:val="nil"/>
              <w:left w:val="nil"/>
              <w:bottom w:val="single" w:color="auto" w:sz="4" w:space="0"/>
              <w:right w:val="single" w:color="auto" w:sz="4" w:space="0"/>
            </w:tcBorders>
            <w:vAlign w:val="center"/>
          </w:tcPr>
          <w:p w14:paraId="4309EAD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531" w:type="pct"/>
            <w:tcBorders>
              <w:top w:val="nil"/>
              <w:left w:val="nil"/>
              <w:bottom w:val="single" w:color="auto" w:sz="4" w:space="0"/>
              <w:right w:val="single" w:color="auto" w:sz="4" w:space="0"/>
            </w:tcBorders>
            <w:vAlign w:val="center"/>
          </w:tcPr>
          <w:p w14:paraId="6E8442F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蓝桥驿苑</w:t>
            </w:r>
          </w:p>
        </w:tc>
        <w:tc>
          <w:tcPr>
            <w:tcW w:w="2032" w:type="pct"/>
            <w:tcBorders>
              <w:top w:val="nil"/>
              <w:left w:val="nil"/>
              <w:bottom w:val="single" w:color="auto" w:sz="4" w:space="0"/>
              <w:right w:val="single" w:color="auto" w:sz="4" w:space="0"/>
            </w:tcBorders>
            <w:vAlign w:val="center"/>
          </w:tcPr>
          <w:p w14:paraId="63097197">
            <w:pPr>
              <w:snapToGrid w:val="0"/>
              <w:spacing w:line="240" w:lineRule="exact"/>
              <w:jc w:val="both"/>
              <w:rPr>
                <w:rFonts w:ascii="宋体" w:hAnsi="宋体" w:cs="Arial"/>
                <w:sz w:val="16"/>
                <w:szCs w:val="18"/>
              </w:rPr>
            </w:pPr>
            <w:r>
              <w:rPr>
                <w:rFonts w:ascii="宋体" w:hAnsi="宋体" w:cs="Arial"/>
                <w:sz w:val="16"/>
                <w:szCs w:val="18"/>
              </w:rPr>
              <w:t>——</w:t>
            </w:r>
          </w:p>
        </w:tc>
      </w:tr>
      <w:tr w14:paraId="45EAB42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000000" w:sz="4" w:space="0"/>
            </w:tcBorders>
            <w:vAlign w:val="center"/>
          </w:tcPr>
          <w:p w14:paraId="4850630E">
            <w:pPr>
              <w:snapToGrid w:val="0"/>
              <w:spacing w:line="240" w:lineRule="exact"/>
              <w:jc w:val="both"/>
              <w:rPr>
                <w:rFonts w:ascii="宋体" w:hAnsi="宋体" w:cs="Arial"/>
                <w:sz w:val="16"/>
                <w:szCs w:val="18"/>
              </w:rPr>
            </w:pPr>
            <w:r>
              <w:rPr>
                <w:rFonts w:ascii="宋体" w:hAnsi="宋体" w:cs="Arial"/>
                <w:sz w:val="16"/>
                <w:szCs w:val="18"/>
              </w:rPr>
              <w:t>确定的租金价格（</w:t>
            </w:r>
            <w:r>
              <w:rPr>
                <w:rFonts w:hint="eastAsia" w:ascii="宋体" w:hAnsi="宋体" w:cs="Arial"/>
                <w:sz w:val="16"/>
                <w:szCs w:val="18"/>
                <w:lang w:eastAsia="zh-CN"/>
              </w:rPr>
              <w:t>元/平方米·月</w:t>
            </w:r>
            <w:r>
              <w:rPr>
                <w:rFonts w:ascii="宋体" w:hAnsi="宋体" w:cs="Arial"/>
                <w:sz w:val="16"/>
                <w:szCs w:val="18"/>
              </w:rPr>
              <w:t>）</w:t>
            </w:r>
          </w:p>
        </w:tc>
        <w:tc>
          <w:tcPr>
            <w:tcW w:w="532" w:type="pct"/>
            <w:tcBorders>
              <w:top w:val="nil"/>
              <w:left w:val="nil"/>
              <w:bottom w:val="single" w:color="auto" w:sz="4" w:space="0"/>
              <w:right w:val="single" w:color="auto" w:sz="4" w:space="0"/>
            </w:tcBorders>
            <w:noWrap/>
            <w:vAlign w:val="center"/>
          </w:tcPr>
          <w:p w14:paraId="4EF4F16B">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25DE6DD7">
            <w:pPr>
              <w:pStyle w:val="61"/>
              <w:autoSpaceDE w:val="0"/>
              <w:autoSpaceDN w:val="0"/>
              <w:snapToGrid w:val="0"/>
              <w:spacing w:line="240" w:lineRule="exact"/>
              <w:jc w:val="left"/>
              <w:textAlignment w:val="bottom"/>
              <w:rPr>
                <w:rFonts w:ascii="Arial" w:hAnsi="Arial" w:cs="Arial"/>
                <w:sz w:val="16"/>
                <w:szCs w:val="18"/>
              </w:rPr>
            </w:pPr>
            <w:r>
              <w:rPr>
                <w:rFonts w:hint="eastAsia" w:ascii="Arial" w:hAnsi="Arial" w:cs="Arial"/>
                <w:sz w:val="16"/>
                <w:szCs w:val="18"/>
              </w:rPr>
              <w:t>38.45</w:t>
            </w:r>
          </w:p>
        </w:tc>
        <w:tc>
          <w:tcPr>
            <w:tcW w:w="531" w:type="pct"/>
            <w:tcBorders>
              <w:top w:val="nil"/>
              <w:left w:val="nil"/>
              <w:bottom w:val="single" w:color="auto" w:sz="4" w:space="0"/>
              <w:right w:val="single" w:color="auto" w:sz="4" w:space="0"/>
            </w:tcBorders>
            <w:noWrap/>
            <w:vAlign w:val="center"/>
          </w:tcPr>
          <w:p w14:paraId="61288E05">
            <w:pPr>
              <w:pStyle w:val="61"/>
              <w:autoSpaceDE w:val="0"/>
              <w:autoSpaceDN w:val="0"/>
              <w:snapToGrid w:val="0"/>
              <w:spacing w:line="240" w:lineRule="exact"/>
              <w:jc w:val="left"/>
              <w:textAlignment w:val="bottom"/>
              <w:rPr>
                <w:rFonts w:ascii="Arial" w:hAnsi="Arial" w:cs="Arial"/>
                <w:sz w:val="16"/>
                <w:szCs w:val="18"/>
              </w:rPr>
            </w:pPr>
            <w:r>
              <w:rPr>
                <w:rFonts w:hint="eastAsia" w:ascii="Arial" w:hAnsi="Arial" w:cs="Arial"/>
                <w:sz w:val="16"/>
                <w:szCs w:val="18"/>
              </w:rPr>
              <w:t>36.50</w:t>
            </w:r>
          </w:p>
        </w:tc>
        <w:tc>
          <w:tcPr>
            <w:tcW w:w="531" w:type="pct"/>
            <w:tcBorders>
              <w:top w:val="nil"/>
              <w:left w:val="nil"/>
              <w:bottom w:val="single" w:color="auto" w:sz="4" w:space="0"/>
              <w:right w:val="single" w:color="auto" w:sz="4" w:space="0"/>
            </w:tcBorders>
            <w:noWrap/>
            <w:vAlign w:val="center"/>
          </w:tcPr>
          <w:p w14:paraId="6BDD4981">
            <w:pPr>
              <w:pStyle w:val="61"/>
              <w:autoSpaceDE w:val="0"/>
              <w:autoSpaceDN w:val="0"/>
              <w:snapToGrid w:val="0"/>
              <w:spacing w:line="240" w:lineRule="exact"/>
              <w:jc w:val="left"/>
              <w:textAlignment w:val="bottom"/>
              <w:rPr>
                <w:rFonts w:ascii="Arial" w:hAnsi="Arial" w:cs="Arial"/>
                <w:sz w:val="16"/>
                <w:szCs w:val="18"/>
              </w:rPr>
            </w:pPr>
            <w:r>
              <w:rPr>
                <w:rFonts w:hint="eastAsia" w:ascii="Arial" w:hAnsi="Arial" w:cs="Arial"/>
                <w:sz w:val="16"/>
                <w:szCs w:val="18"/>
              </w:rPr>
              <w:t>36.62</w:t>
            </w:r>
          </w:p>
        </w:tc>
        <w:tc>
          <w:tcPr>
            <w:tcW w:w="2032" w:type="pct"/>
            <w:tcBorders>
              <w:top w:val="nil"/>
              <w:left w:val="nil"/>
              <w:bottom w:val="single" w:color="auto" w:sz="4" w:space="0"/>
              <w:right w:val="single" w:color="auto" w:sz="4" w:space="0"/>
            </w:tcBorders>
            <w:vAlign w:val="center"/>
          </w:tcPr>
          <w:p w14:paraId="2359C516">
            <w:pPr>
              <w:snapToGrid w:val="0"/>
              <w:spacing w:line="240" w:lineRule="exact"/>
              <w:jc w:val="both"/>
              <w:rPr>
                <w:rFonts w:ascii="宋体" w:hAnsi="宋体" w:cs="Arial"/>
                <w:sz w:val="16"/>
                <w:szCs w:val="18"/>
              </w:rPr>
            </w:pPr>
            <w:r>
              <w:rPr>
                <w:rFonts w:ascii="宋体" w:hAnsi="宋体" w:cs="Arial"/>
                <w:sz w:val="16"/>
                <w:szCs w:val="18"/>
              </w:rPr>
              <w:t>——</w:t>
            </w:r>
          </w:p>
        </w:tc>
      </w:tr>
      <w:tr w14:paraId="7DEE566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580D5FB5">
            <w:pPr>
              <w:snapToGrid w:val="0"/>
              <w:spacing w:line="240" w:lineRule="exact"/>
              <w:jc w:val="both"/>
              <w:rPr>
                <w:rFonts w:ascii="宋体" w:hAnsi="宋体" w:cs="Arial"/>
                <w:sz w:val="16"/>
                <w:szCs w:val="18"/>
              </w:rPr>
            </w:pPr>
            <w:r>
              <w:rPr>
                <w:rFonts w:ascii="宋体" w:hAnsi="宋体" w:cs="Arial"/>
                <w:sz w:val="16"/>
                <w:szCs w:val="18"/>
              </w:rPr>
              <w:t>交易时间</w:t>
            </w:r>
          </w:p>
        </w:tc>
        <w:tc>
          <w:tcPr>
            <w:tcW w:w="532" w:type="pct"/>
            <w:tcBorders>
              <w:top w:val="nil"/>
              <w:left w:val="nil"/>
              <w:bottom w:val="single" w:color="auto" w:sz="4" w:space="0"/>
              <w:right w:val="single" w:color="auto" w:sz="4" w:space="0"/>
            </w:tcBorders>
            <w:noWrap/>
            <w:vAlign w:val="center"/>
          </w:tcPr>
          <w:p w14:paraId="141D77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6CEE7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04FC4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503B91">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E09EDA3">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78A28061">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3B74FB71">
            <w:pPr>
              <w:snapToGrid w:val="0"/>
              <w:spacing w:line="240" w:lineRule="exact"/>
              <w:jc w:val="both"/>
              <w:rPr>
                <w:rFonts w:ascii="宋体" w:hAnsi="宋体" w:cs="Arial"/>
                <w:sz w:val="16"/>
                <w:szCs w:val="18"/>
              </w:rPr>
            </w:pPr>
            <w:r>
              <w:rPr>
                <w:rFonts w:ascii="宋体" w:hAnsi="宋体" w:cs="Arial"/>
                <w:sz w:val="16"/>
                <w:szCs w:val="18"/>
              </w:rPr>
              <w:t>交易情况</w:t>
            </w:r>
          </w:p>
        </w:tc>
        <w:tc>
          <w:tcPr>
            <w:tcW w:w="532" w:type="pct"/>
            <w:tcBorders>
              <w:top w:val="nil"/>
              <w:left w:val="nil"/>
              <w:bottom w:val="single" w:color="auto" w:sz="4" w:space="0"/>
              <w:right w:val="single" w:color="auto" w:sz="4" w:space="0"/>
            </w:tcBorders>
            <w:noWrap/>
            <w:vAlign w:val="center"/>
          </w:tcPr>
          <w:p w14:paraId="11DEF20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F8819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903F6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DDC33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697CD0F">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1E2ED5C3">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0D23F178">
            <w:pPr>
              <w:snapToGrid w:val="0"/>
              <w:spacing w:line="240" w:lineRule="exact"/>
              <w:jc w:val="both"/>
              <w:rPr>
                <w:rFonts w:ascii="宋体" w:hAnsi="宋体" w:cs="Arial"/>
                <w:sz w:val="16"/>
                <w:szCs w:val="18"/>
              </w:rPr>
            </w:pPr>
            <w:r>
              <w:rPr>
                <w:rFonts w:ascii="宋体" w:hAnsi="宋体" w:cs="Arial"/>
                <w:sz w:val="16"/>
                <w:szCs w:val="18"/>
              </w:rPr>
              <w:t>项目类型</w:t>
            </w:r>
          </w:p>
        </w:tc>
        <w:tc>
          <w:tcPr>
            <w:tcW w:w="532" w:type="pct"/>
            <w:tcBorders>
              <w:top w:val="nil"/>
              <w:left w:val="nil"/>
              <w:bottom w:val="single" w:color="auto" w:sz="4" w:space="0"/>
              <w:right w:val="single" w:color="auto" w:sz="4" w:space="0"/>
            </w:tcBorders>
            <w:noWrap/>
            <w:vAlign w:val="center"/>
          </w:tcPr>
          <w:p w14:paraId="36F32F2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65E6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46DBD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36B951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142E3EE">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7FBF512F">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05CB6B71">
            <w:pPr>
              <w:snapToGrid w:val="0"/>
              <w:spacing w:line="240" w:lineRule="exact"/>
              <w:jc w:val="both"/>
              <w:rPr>
                <w:rFonts w:ascii="宋体" w:hAnsi="宋体" w:cs="Arial"/>
                <w:sz w:val="16"/>
                <w:szCs w:val="18"/>
              </w:rPr>
            </w:pPr>
            <w:r>
              <w:rPr>
                <w:rFonts w:ascii="宋体" w:hAnsi="宋体" w:cs="Arial"/>
                <w:sz w:val="16"/>
                <w:szCs w:val="18"/>
              </w:rPr>
              <w:t>区域</w:t>
            </w:r>
          </w:p>
          <w:p w14:paraId="67E57A1B">
            <w:pPr>
              <w:snapToGrid w:val="0"/>
              <w:spacing w:line="240" w:lineRule="exact"/>
              <w:jc w:val="both"/>
              <w:rPr>
                <w:rFonts w:ascii="宋体" w:hAnsi="宋体" w:cs="Arial"/>
                <w:sz w:val="16"/>
                <w:szCs w:val="18"/>
              </w:rPr>
            </w:pPr>
            <w:r>
              <w:rPr>
                <w:rFonts w:ascii="宋体" w:hAnsi="宋体" w:cs="Arial"/>
                <w:sz w:val="16"/>
                <w:szCs w:val="18"/>
              </w:rPr>
              <w:t>状况</w:t>
            </w:r>
          </w:p>
        </w:tc>
        <w:tc>
          <w:tcPr>
            <w:tcW w:w="537" w:type="pct"/>
            <w:tcBorders>
              <w:top w:val="nil"/>
              <w:left w:val="nil"/>
              <w:bottom w:val="single" w:color="auto" w:sz="4" w:space="0"/>
              <w:right w:val="single" w:color="auto" w:sz="4" w:space="0"/>
            </w:tcBorders>
            <w:vAlign w:val="center"/>
          </w:tcPr>
          <w:p w14:paraId="698A5684">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2" w:type="pct"/>
            <w:tcBorders>
              <w:top w:val="nil"/>
              <w:left w:val="nil"/>
              <w:bottom w:val="single" w:color="auto" w:sz="4" w:space="0"/>
              <w:right w:val="single" w:color="auto" w:sz="4" w:space="0"/>
            </w:tcBorders>
            <w:noWrap/>
            <w:vAlign w:val="center"/>
          </w:tcPr>
          <w:p w14:paraId="7B25F7B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9C3729">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55FD157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692D033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32" w:type="pct"/>
            <w:tcBorders>
              <w:top w:val="nil"/>
              <w:left w:val="nil"/>
              <w:bottom w:val="single" w:color="auto" w:sz="4" w:space="0"/>
              <w:right w:val="single" w:color="auto" w:sz="4" w:space="0"/>
            </w:tcBorders>
            <w:vAlign w:val="center"/>
          </w:tcPr>
          <w:p w14:paraId="7EE058E5">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1</w:t>
            </w:r>
            <w:r>
              <w:rPr>
                <w:rFonts w:ascii="Arial" w:hAnsi="Arial" w:cs="Arial"/>
                <w:sz w:val="16"/>
                <w:szCs w:val="18"/>
              </w:rPr>
              <w:t>分，确定可比实例1、2、3该因素指数分别为10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w:t>
            </w:r>
          </w:p>
        </w:tc>
      </w:tr>
      <w:tr w14:paraId="1643ED2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99A6BF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642DA2BF">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2" w:type="pct"/>
            <w:tcBorders>
              <w:top w:val="nil"/>
              <w:left w:val="nil"/>
              <w:bottom w:val="single" w:color="auto" w:sz="4" w:space="0"/>
              <w:right w:val="single" w:color="auto" w:sz="4" w:space="0"/>
            </w:tcBorders>
            <w:noWrap/>
            <w:vAlign w:val="center"/>
          </w:tcPr>
          <w:p w14:paraId="45C971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1115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7769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116D7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DA0A0C0">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247E1C65">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6ED86F9">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15FD2D4">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2" w:type="pct"/>
            <w:tcBorders>
              <w:top w:val="nil"/>
              <w:left w:val="nil"/>
              <w:bottom w:val="single" w:color="auto" w:sz="4" w:space="0"/>
              <w:right w:val="single" w:color="auto" w:sz="4" w:space="0"/>
            </w:tcBorders>
            <w:noWrap/>
            <w:vAlign w:val="center"/>
          </w:tcPr>
          <w:p w14:paraId="7427D6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654A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E8F6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3D0EC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6DEF31">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59429D7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5141042">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3DC064FB">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2" w:type="pct"/>
            <w:tcBorders>
              <w:top w:val="nil"/>
              <w:left w:val="nil"/>
              <w:bottom w:val="single" w:color="auto" w:sz="4" w:space="0"/>
              <w:right w:val="single" w:color="auto" w:sz="4" w:space="0"/>
            </w:tcBorders>
            <w:noWrap/>
            <w:vAlign w:val="center"/>
          </w:tcPr>
          <w:p w14:paraId="18EEC3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ABEC4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878A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CCAD3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41E4B7C">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04916FA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BA02B75">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7AB0150C">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2" w:type="pct"/>
            <w:tcBorders>
              <w:top w:val="nil"/>
              <w:left w:val="nil"/>
              <w:bottom w:val="single" w:color="auto" w:sz="4" w:space="0"/>
              <w:right w:val="single" w:color="auto" w:sz="4" w:space="0"/>
            </w:tcBorders>
            <w:noWrap/>
            <w:vAlign w:val="center"/>
          </w:tcPr>
          <w:p w14:paraId="50245CC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081C0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8281B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AC1BE1">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6B68ECE">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149F2E4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A74DB9D">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501A0B99">
            <w:pPr>
              <w:widowControl/>
              <w:adjustRightInd/>
              <w:spacing w:line="240" w:lineRule="auto"/>
              <w:jc w:val="center"/>
              <w:textAlignment w:val="auto"/>
              <w:rPr>
                <w:rFonts w:hint="eastAsia" w:ascii="宋体" w:hAnsi="宋体" w:eastAsia="宋体" w:cs="Arial"/>
                <w:sz w:val="16"/>
                <w:szCs w:val="18"/>
                <w:lang w:eastAsia="zh-CN"/>
              </w:rPr>
            </w:pPr>
            <w:r>
              <w:rPr>
                <w:rFonts w:hint="eastAsia" w:ascii="宋体" w:hAnsi="宋体" w:cs="Arial"/>
                <w:sz w:val="16"/>
                <w:szCs w:val="18"/>
                <w:lang w:eastAsia="zh-CN"/>
              </w:rPr>
              <w:t>自然及人文环境</w:t>
            </w:r>
          </w:p>
        </w:tc>
        <w:tc>
          <w:tcPr>
            <w:tcW w:w="532" w:type="pct"/>
            <w:tcBorders>
              <w:top w:val="nil"/>
              <w:left w:val="nil"/>
              <w:bottom w:val="single" w:color="auto" w:sz="4" w:space="0"/>
              <w:right w:val="single" w:color="auto" w:sz="4" w:space="0"/>
            </w:tcBorders>
            <w:noWrap/>
            <w:vAlign w:val="center"/>
          </w:tcPr>
          <w:p w14:paraId="123BC63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A2F4F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01D6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7B8B1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F943AC4">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2E048BF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9BEE854">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6BE3C17E">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2" w:type="pct"/>
            <w:tcBorders>
              <w:top w:val="nil"/>
              <w:left w:val="nil"/>
              <w:bottom w:val="single" w:color="auto" w:sz="4" w:space="0"/>
              <w:right w:val="single" w:color="auto" w:sz="4" w:space="0"/>
            </w:tcBorders>
            <w:noWrap/>
            <w:vAlign w:val="center"/>
          </w:tcPr>
          <w:p w14:paraId="1B82FC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2EF1F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06261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F1110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42657D6">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160B6E60">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F7ACA7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4B700FE">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2" w:type="pct"/>
            <w:tcBorders>
              <w:top w:val="nil"/>
              <w:left w:val="nil"/>
              <w:bottom w:val="single" w:color="auto" w:sz="4" w:space="0"/>
              <w:right w:val="single" w:color="auto" w:sz="4" w:space="0"/>
            </w:tcBorders>
            <w:noWrap/>
            <w:vAlign w:val="center"/>
          </w:tcPr>
          <w:p w14:paraId="1BADD33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8B93C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B134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28983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638C55">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18F7F9D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F961604">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4BD779AF">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2" w:type="pct"/>
            <w:tcBorders>
              <w:top w:val="nil"/>
              <w:left w:val="nil"/>
              <w:bottom w:val="single" w:color="auto" w:sz="4" w:space="0"/>
              <w:right w:val="single" w:color="auto" w:sz="4" w:space="0"/>
            </w:tcBorders>
            <w:noWrap/>
            <w:vAlign w:val="center"/>
          </w:tcPr>
          <w:p w14:paraId="24640D6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643384">
            <w:pPr>
              <w:snapToGrid w:val="0"/>
              <w:spacing w:line="240" w:lineRule="exact"/>
              <w:jc w:val="both"/>
              <w:rPr>
                <w:rFonts w:ascii="Arial" w:hAnsi="Arial" w:cs="Arial"/>
                <w:sz w:val="16"/>
                <w:szCs w:val="18"/>
              </w:rPr>
            </w:pPr>
            <w:r>
              <w:rPr>
                <w:rFonts w:ascii="Arial" w:hAnsi="Arial" w:cs="Arial"/>
                <w:sz w:val="16"/>
                <w:szCs w:val="18"/>
              </w:rPr>
              <w:t>1</w:t>
            </w:r>
            <w:commentRangeStart w:id="8"/>
            <w:r>
              <w:rPr>
                <w:rFonts w:hint="eastAsia" w:ascii="Arial" w:hAnsi="Arial" w:cs="Arial"/>
                <w:sz w:val="16"/>
                <w:szCs w:val="18"/>
              </w:rPr>
              <w:t>02</w:t>
            </w:r>
            <w:commentRangeEnd w:id="8"/>
            <w:r>
              <w:rPr>
                <w:rStyle w:val="40"/>
              </w:rPr>
              <w:commentReference w:id="8"/>
            </w:r>
          </w:p>
        </w:tc>
        <w:tc>
          <w:tcPr>
            <w:tcW w:w="531" w:type="pct"/>
            <w:tcBorders>
              <w:top w:val="nil"/>
              <w:left w:val="nil"/>
              <w:bottom w:val="single" w:color="auto" w:sz="4" w:space="0"/>
              <w:right w:val="single" w:color="auto" w:sz="4" w:space="0"/>
            </w:tcBorders>
            <w:noWrap/>
            <w:vAlign w:val="center"/>
          </w:tcPr>
          <w:p w14:paraId="781920C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1" w:type="pct"/>
            <w:tcBorders>
              <w:top w:val="nil"/>
              <w:left w:val="nil"/>
              <w:bottom w:val="single" w:color="auto" w:sz="4" w:space="0"/>
              <w:right w:val="single" w:color="auto" w:sz="4" w:space="0"/>
            </w:tcBorders>
            <w:noWrap/>
            <w:vAlign w:val="center"/>
          </w:tcPr>
          <w:p w14:paraId="770B334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2" w:type="pct"/>
            <w:tcBorders>
              <w:top w:val="nil"/>
              <w:left w:val="nil"/>
              <w:bottom w:val="single" w:color="auto" w:sz="4" w:space="0"/>
              <w:right w:val="single" w:color="auto" w:sz="4" w:space="0"/>
            </w:tcBorders>
            <w:vAlign w:val="center"/>
          </w:tcPr>
          <w:p w14:paraId="03BA310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102</w:t>
            </w:r>
            <w:r>
              <w:rPr>
                <w:rFonts w:ascii="Arial" w:hAnsi="Arial" w:cs="Arial"/>
                <w:sz w:val="16"/>
                <w:szCs w:val="18"/>
              </w:rPr>
              <w:t>、</w:t>
            </w:r>
            <w:r>
              <w:rPr>
                <w:rFonts w:hint="eastAsia" w:ascii="Arial" w:hAnsi="Arial" w:cs="Arial"/>
                <w:sz w:val="16"/>
                <w:szCs w:val="18"/>
              </w:rPr>
              <w:t>102</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2065092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C378EB4">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7A6A900A">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2" w:type="pct"/>
            <w:tcBorders>
              <w:top w:val="nil"/>
              <w:left w:val="nil"/>
              <w:bottom w:val="single" w:color="auto" w:sz="4" w:space="0"/>
              <w:right w:val="single" w:color="auto" w:sz="4" w:space="0"/>
            </w:tcBorders>
            <w:noWrap/>
            <w:vAlign w:val="center"/>
          </w:tcPr>
          <w:p w14:paraId="6524CB3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93DE82">
            <w:pPr>
              <w:snapToGrid w:val="0"/>
              <w:spacing w:line="240" w:lineRule="exact"/>
              <w:jc w:val="both"/>
              <w:rPr>
                <w:rFonts w:ascii="Arial" w:hAnsi="Arial" w:cs="Arial"/>
                <w:sz w:val="16"/>
                <w:szCs w:val="18"/>
              </w:rPr>
            </w:pPr>
            <w:r>
              <w:rPr>
                <w:rFonts w:hint="eastAsia" w:ascii="Arial" w:hAnsi="Arial" w:cs="Arial"/>
                <w:sz w:val="16"/>
                <w:szCs w:val="18"/>
              </w:rPr>
              <w:t>96</w:t>
            </w:r>
          </w:p>
        </w:tc>
        <w:tc>
          <w:tcPr>
            <w:tcW w:w="531" w:type="pct"/>
            <w:tcBorders>
              <w:top w:val="nil"/>
              <w:left w:val="nil"/>
              <w:bottom w:val="single" w:color="auto" w:sz="4" w:space="0"/>
              <w:right w:val="single" w:color="auto" w:sz="4" w:space="0"/>
            </w:tcBorders>
            <w:noWrap/>
            <w:vAlign w:val="center"/>
          </w:tcPr>
          <w:p w14:paraId="76CBF48B">
            <w:pPr>
              <w:snapToGrid w:val="0"/>
              <w:spacing w:line="240" w:lineRule="exact"/>
              <w:jc w:val="both"/>
              <w:rPr>
                <w:rFonts w:ascii="Arial" w:hAnsi="Arial" w:cs="Arial"/>
                <w:sz w:val="16"/>
                <w:szCs w:val="18"/>
              </w:rPr>
            </w:pPr>
            <w:r>
              <w:rPr>
                <w:rFonts w:hint="eastAsia" w:ascii="Arial" w:hAnsi="Arial" w:cs="Arial"/>
                <w:sz w:val="16"/>
                <w:szCs w:val="18"/>
              </w:rPr>
              <w:t>96</w:t>
            </w:r>
          </w:p>
        </w:tc>
        <w:tc>
          <w:tcPr>
            <w:tcW w:w="531" w:type="pct"/>
            <w:tcBorders>
              <w:top w:val="nil"/>
              <w:left w:val="nil"/>
              <w:bottom w:val="single" w:color="auto" w:sz="4" w:space="0"/>
              <w:right w:val="single" w:color="auto" w:sz="4" w:space="0"/>
            </w:tcBorders>
            <w:noWrap/>
            <w:vAlign w:val="center"/>
          </w:tcPr>
          <w:p w14:paraId="0971781A">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61193DCF">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96</w:t>
            </w:r>
            <w:r>
              <w:rPr>
                <w:rFonts w:ascii="Arial" w:hAnsi="Arial" w:cs="Arial"/>
                <w:sz w:val="16"/>
                <w:szCs w:val="18"/>
              </w:rPr>
              <w:t>、</w:t>
            </w:r>
            <w:r>
              <w:rPr>
                <w:rFonts w:hint="eastAsia" w:ascii="Arial" w:hAnsi="Arial" w:cs="Arial"/>
                <w:sz w:val="16"/>
                <w:szCs w:val="18"/>
              </w:rPr>
              <w:t>96</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7B48B9AD">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F1D575D">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03AD7317">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2" w:type="pct"/>
            <w:tcBorders>
              <w:top w:val="nil"/>
              <w:left w:val="nil"/>
              <w:bottom w:val="single" w:color="auto" w:sz="4" w:space="0"/>
              <w:right w:val="single" w:color="auto" w:sz="4" w:space="0"/>
            </w:tcBorders>
            <w:noWrap/>
            <w:vAlign w:val="center"/>
          </w:tcPr>
          <w:p w14:paraId="3024E6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B88366">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95A9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A2338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32" w:type="pct"/>
            <w:tcBorders>
              <w:top w:val="nil"/>
              <w:left w:val="nil"/>
              <w:bottom w:val="single" w:color="auto" w:sz="4" w:space="0"/>
              <w:right w:val="single" w:color="auto" w:sz="4" w:space="0"/>
            </w:tcBorders>
            <w:vAlign w:val="center"/>
          </w:tcPr>
          <w:p w14:paraId="34A00E13">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w:t>
            </w:r>
            <w:r>
              <w:rPr>
                <w:rFonts w:ascii="Arial" w:hAnsi="Arial" w:cs="Arial"/>
                <w:sz w:val="16"/>
                <w:szCs w:val="18"/>
              </w:rPr>
              <w:t>1</w:t>
            </w:r>
            <w:r>
              <w:rPr>
                <w:rFonts w:hint="eastAsia" w:ascii="Arial" w:hAnsi="Arial" w:cs="Arial"/>
                <w:sz w:val="16"/>
                <w:szCs w:val="18"/>
              </w:rPr>
              <w:t>01</w:t>
            </w:r>
            <w:r>
              <w:rPr>
                <w:rFonts w:ascii="Arial" w:hAnsi="Arial" w:cs="Arial"/>
                <w:sz w:val="16"/>
                <w:szCs w:val="18"/>
              </w:rPr>
              <w:t>；</w:t>
            </w:r>
          </w:p>
        </w:tc>
      </w:tr>
      <w:tr w14:paraId="37FF4AD1">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30082CB1">
            <w:pPr>
              <w:snapToGrid w:val="0"/>
              <w:spacing w:line="240" w:lineRule="exact"/>
              <w:jc w:val="both"/>
              <w:rPr>
                <w:rFonts w:ascii="宋体" w:hAnsi="宋体" w:cs="Arial"/>
                <w:sz w:val="16"/>
                <w:szCs w:val="18"/>
              </w:rPr>
            </w:pPr>
            <w:r>
              <w:rPr>
                <w:rFonts w:hint="eastAsia" w:ascii="宋体" w:hAnsi="宋体" w:cs="Arial"/>
                <w:sz w:val="16"/>
                <w:szCs w:val="18"/>
              </w:rPr>
              <w:t>2</w:t>
            </w:r>
            <w:r>
              <w:rPr>
                <w:rFonts w:ascii="宋体" w:hAnsi="宋体" w:cs="Arial"/>
                <w:sz w:val="16"/>
                <w:szCs w:val="18"/>
              </w:rPr>
              <w:t>实物</w:t>
            </w:r>
          </w:p>
          <w:p w14:paraId="44A74C1B">
            <w:pPr>
              <w:snapToGrid w:val="0"/>
              <w:spacing w:line="240" w:lineRule="exact"/>
              <w:jc w:val="both"/>
              <w:rPr>
                <w:rFonts w:ascii="宋体" w:hAnsi="宋体" w:cs="Arial"/>
                <w:sz w:val="16"/>
                <w:szCs w:val="18"/>
              </w:rPr>
            </w:pPr>
            <w:r>
              <w:rPr>
                <w:rFonts w:ascii="宋体" w:hAnsi="宋体" w:cs="Arial"/>
                <w:sz w:val="16"/>
                <w:szCs w:val="18"/>
              </w:rPr>
              <w:t>状况</w:t>
            </w:r>
          </w:p>
        </w:tc>
        <w:tc>
          <w:tcPr>
            <w:tcW w:w="537" w:type="pct"/>
            <w:tcBorders>
              <w:top w:val="nil"/>
              <w:left w:val="nil"/>
              <w:bottom w:val="single" w:color="auto" w:sz="4" w:space="0"/>
              <w:right w:val="single" w:color="auto" w:sz="4" w:space="0"/>
            </w:tcBorders>
            <w:vAlign w:val="center"/>
          </w:tcPr>
          <w:p w14:paraId="611F7E6D">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2" w:type="pct"/>
            <w:tcBorders>
              <w:top w:val="nil"/>
              <w:left w:val="nil"/>
              <w:bottom w:val="single" w:color="auto" w:sz="4" w:space="0"/>
              <w:right w:val="single" w:color="auto" w:sz="4" w:space="0"/>
            </w:tcBorders>
            <w:noWrap/>
            <w:vAlign w:val="center"/>
          </w:tcPr>
          <w:p w14:paraId="1041F48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4F1CE9">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F14FB1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12F2C45C">
            <w:pPr>
              <w:snapToGrid w:val="0"/>
              <w:spacing w:line="240" w:lineRule="exact"/>
              <w:jc w:val="both"/>
              <w:rPr>
                <w:rFonts w:ascii="Arial" w:hAnsi="Arial" w:cs="Arial"/>
                <w:sz w:val="16"/>
                <w:szCs w:val="18"/>
              </w:rPr>
            </w:pPr>
            <w:r>
              <w:rPr>
                <w:rFonts w:hint="eastAsia" w:ascii="Arial" w:hAnsi="Arial" w:cs="Arial"/>
                <w:sz w:val="16"/>
                <w:szCs w:val="18"/>
              </w:rPr>
              <w:t>96</w:t>
            </w:r>
          </w:p>
        </w:tc>
        <w:tc>
          <w:tcPr>
            <w:tcW w:w="2032" w:type="pct"/>
            <w:tcBorders>
              <w:top w:val="nil"/>
              <w:left w:val="nil"/>
              <w:bottom w:val="single" w:color="auto" w:sz="4" w:space="0"/>
              <w:right w:val="single" w:color="auto" w:sz="4" w:space="0"/>
            </w:tcBorders>
            <w:vAlign w:val="center"/>
          </w:tcPr>
          <w:p w14:paraId="0663A6B6">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98、98、96</w:t>
            </w:r>
            <w:r>
              <w:rPr>
                <w:rFonts w:ascii="Arial" w:hAnsi="Arial" w:cs="Arial"/>
                <w:sz w:val="16"/>
                <w:szCs w:val="18"/>
              </w:rPr>
              <w:t>；</w:t>
            </w:r>
          </w:p>
        </w:tc>
      </w:tr>
      <w:tr w14:paraId="6D71A45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7E5FE54">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D5AC484">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2" w:type="pct"/>
            <w:tcBorders>
              <w:top w:val="nil"/>
              <w:left w:val="nil"/>
              <w:bottom w:val="single" w:color="auto" w:sz="4" w:space="0"/>
              <w:right w:val="single" w:color="auto" w:sz="4" w:space="0"/>
            </w:tcBorders>
            <w:noWrap/>
            <w:vAlign w:val="center"/>
          </w:tcPr>
          <w:p w14:paraId="0E31DA4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9016A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C219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60CCB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89B0091">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100、100、100</w:t>
            </w:r>
            <w:r>
              <w:rPr>
                <w:rFonts w:ascii="Arial" w:hAnsi="Arial" w:cs="Arial"/>
                <w:sz w:val="16"/>
                <w:szCs w:val="18"/>
              </w:rPr>
              <w:t>；</w:t>
            </w:r>
          </w:p>
        </w:tc>
      </w:tr>
      <w:tr w14:paraId="5B720CC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BB9E27D">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6532A342">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2" w:type="pct"/>
            <w:tcBorders>
              <w:top w:val="nil"/>
              <w:left w:val="nil"/>
              <w:bottom w:val="single" w:color="auto" w:sz="4" w:space="0"/>
              <w:right w:val="single" w:color="auto" w:sz="4" w:space="0"/>
            </w:tcBorders>
            <w:noWrap/>
            <w:vAlign w:val="center"/>
          </w:tcPr>
          <w:p w14:paraId="62AE109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C0379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22876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B186E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391623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2A6CD84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16139F6">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49F95C05">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2" w:type="pct"/>
            <w:tcBorders>
              <w:top w:val="nil"/>
              <w:left w:val="nil"/>
              <w:bottom w:val="single" w:color="auto" w:sz="4" w:space="0"/>
              <w:right w:val="single" w:color="auto" w:sz="4" w:space="0"/>
            </w:tcBorders>
            <w:noWrap/>
            <w:vAlign w:val="center"/>
          </w:tcPr>
          <w:p w14:paraId="7E4C1AD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AF4B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E114E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EC212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DC0042B">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81DDCB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CB158B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AA5E855">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2" w:type="pct"/>
            <w:tcBorders>
              <w:top w:val="nil"/>
              <w:left w:val="nil"/>
              <w:bottom w:val="single" w:color="auto" w:sz="4" w:space="0"/>
              <w:right w:val="single" w:color="auto" w:sz="4" w:space="0"/>
            </w:tcBorders>
            <w:noWrap/>
            <w:vAlign w:val="center"/>
          </w:tcPr>
          <w:p w14:paraId="39CEDC0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DB8F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105F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240DE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235E1A3">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0B1DD5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CA942A7">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346EE945">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2" w:type="pct"/>
            <w:tcBorders>
              <w:top w:val="nil"/>
              <w:left w:val="nil"/>
              <w:bottom w:val="single" w:color="auto" w:sz="4" w:space="0"/>
              <w:right w:val="single" w:color="auto" w:sz="4" w:space="0"/>
            </w:tcBorders>
            <w:noWrap/>
            <w:vAlign w:val="center"/>
          </w:tcPr>
          <w:p w14:paraId="1DF7C5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5D936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ECC81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C4BC8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D8133EE">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根据布局对于使用率的影响，确定可比实例1、2、3该因素指数分别为100、100、100；</w:t>
            </w:r>
          </w:p>
        </w:tc>
      </w:tr>
      <w:tr w14:paraId="2025FFAD">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28649E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64CEB65A">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2" w:type="pct"/>
            <w:tcBorders>
              <w:top w:val="nil"/>
              <w:left w:val="nil"/>
              <w:bottom w:val="single" w:color="auto" w:sz="4" w:space="0"/>
              <w:right w:val="single" w:color="auto" w:sz="4" w:space="0"/>
            </w:tcBorders>
            <w:noWrap/>
            <w:vAlign w:val="center"/>
          </w:tcPr>
          <w:p w14:paraId="69368FC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D37CE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F4C1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B5942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901ABBC">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E7E176E">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CCE420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3FC8BB06">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2" w:type="pct"/>
            <w:tcBorders>
              <w:top w:val="nil"/>
              <w:left w:val="nil"/>
              <w:bottom w:val="single" w:color="auto" w:sz="4" w:space="0"/>
              <w:right w:val="single" w:color="auto" w:sz="4" w:space="0"/>
            </w:tcBorders>
            <w:noWrap/>
            <w:vAlign w:val="center"/>
          </w:tcPr>
          <w:p w14:paraId="12BBA7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27F0A5">
            <w:pPr>
              <w:snapToGrid w:val="0"/>
              <w:spacing w:line="240" w:lineRule="exact"/>
              <w:jc w:val="both"/>
              <w:rPr>
                <w:rFonts w:ascii="Arial" w:hAnsi="Arial" w:cs="Arial"/>
                <w:sz w:val="16"/>
                <w:szCs w:val="18"/>
              </w:rPr>
            </w:pPr>
            <w:r>
              <w:rPr>
                <w:rFonts w:hint="eastAsia" w:ascii="Arial" w:hAnsi="Arial" w:cs="Arial"/>
                <w:sz w:val="16"/>
                <w:szCs w:val="18"/>
              </w:rPr>
              <w:t>96</w:t>
            </w:r>
          </w:p>
        </w:tc>
        <w:tc>
          <w:tcPr>
            <w:tcW w:w="531" w:type="pct"/>
            <w:tcBorders>
              <w:top w:val="nil"/>
              <w:left w:val="nil"/>
              <w:bottom w:val="single" w:color="auto" w:sz="4" w:space="0"/>
              <w:right w:val="single" w:color="auto" w:sz="4" w:space="0"/>
            </w:tcBorders>
            <w:noWrap/>
            <w:vAlign w:val="center"/>
          </w:tcPr>
          <w:p w14:paraId="4B47C714">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BAD1BA4">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B0A2018">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98、100、100</w:t>
            </w:r>
            <w:r>
              <w:rPr>
                <w:rFonts w:ascii="Arial" w:hAnsi="Arial" w:cs="Arial"/>
                <w:sz w:val="16"/>
                <w:szCs w:val="18"/>
              </w:rPr>
              <w:t>；</w:t>
            </w:r>
          </w:p>
        </w:tc>
      </w:tr>
      <w:tr w14:paraId="6D90DB4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655A137">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0E16950C">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2" w:type="pct"/>
            <w:tcBorders>
              <w:top w:val="nil"/>
              <w:left w:val="nil"/>
              <w:bottom w:val="single" w:color="auto" w:sz="4" w:space="0"/>
              <w:right w:val="single" w:color="auto" w:sz="4" w:space="0"/>
            </w:tcBorders>
            <w:noWrap/>
            <w:vAlign w:val="center"/>
          </w:tcPr>
          <w:p w14:paraId="1360AD9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EFAD6D">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4BDD244F">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7DC6D252">
            <w:pPr>
              <w:snapToGrid w:val="0"/>
              <w:spacing w:line="240" w:lineRule="exact"/>
              <w:jc w:val="both"/>
              <w:rPr>
                <w:rFonts w:ascii="Arial" w:hAnsi="Arial" w:cs="Arial"/>
                <w:sz w:val="16"/>
                <w:szCs w:val="18"/>
              </w:rPr>
            </w:pPr>
            <w:r>
              <w:rPr>
                <w:rFonts w:hint="eastAsia" w:ascii="Arial" w:hAnsi="Arial" w:cs="Arial"/>
                <w:sz w:val="16"/>
                <w:szCs w:val="18"/>
              </w:rPr>
              <w:t>91</w:t>
            </w:r>
          </w:p>
        </w:tc>
        <w:tc>
          <w:tcPr>
            <w:tcW w:w="2032" w:type="pct"/>
            <w:tcBorders>
              <w:top w:val="nil"/>
              <w:left w:val="nil"/>
              <w:bottom w:val="single" w:color="auto" w:sz="4" w:space="0"/>
              <w:right w:val="single" w:color="auto" w:sz="4" w:space="0"/>
            </w:tcBorders>
            <w:vAlign w:val="center"/>
          </w:tcPr>
          <w:p w14:paraId="4F7F9C02">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4EC07AAD">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69384758">
            <w:pPr>
              <w:snapToGrid w:val="0"/>
              <w:spacing w:line="240" w:lineRule="exact"/>
              <w:jc w:val="both"/>
              <w:rPr>
                <w:rFonts w:ascii="宋体" w:hAnsi="宋体" w:cs="Arial"/>
                <w:sz w:val="16"/>
                <w:szCs w:val="18"/>
              </w:rPr>
            </w:pPr>
            <w:r>
              <w:rPr>
                <w:rFonts w:ascii="宋体" w:hAnsi="宋体" w:cs="Arial"/>
                <w:sz w:val="16"/>
                <w:szCs w:val="18"/>
              </w:rPr>
              <w:t>权益状况</w:t>
            </w:r>
          </w:p>
        </w:tc>
        <w:tc>
          <w:tcPr>
            <w:tcW w:w="537" w:type="pct"/>
            <w:tcBorders>
              <w:top w:val="single" w:color="auto" w:sz="4" w:space="0"/>
              <w:left w:val="nil"/>
              <w:bottom w:val="single" w:color="auto" w:sz="4" w:space="0"/>
              <w:right w:val="single" w:color="auto" w:sz="4" w:space="0"/>
            </w:tcBorders>
            <w:vAlign w:val="center"/>
          </w:tcPr>
          <w:p w14:paraId="2F15E931">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2" w:type="pct"/>
            <w:tcBorders>
              <w:top w:val="nil"/>
              <w:left w:val="nil"/>
              <w:bottom w:val="single" w:color="auto" w:sz="4" w:space="0"/>
              <w:right w:val="single" w:color="auto" w:sz="4" w:space="0"/>
            </w:tcBorders>
            <w:noWrap/>
            <w:vAlign w:val="center"/>
          </w:tcPr>
          <w:p w14:paraId="769FB7B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856F8A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B8E52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0E08E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B797D16">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4717D8D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92F15D7">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E65AE86">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2" w:type="pct"/>
            <w:tcBorders>
              <w:top w:val="nil"/>
              <w:left w:val="nil"/>
              <w:bottom w:val="single" w:color="auto" w:sz="4" w:space="0"/>
              <w:right w:val="single" w:color="auto" w:sz="4" w:space="0"/>
            </w:tcBorders>
            <w:noWrap/>
            <w:vAlign w:val="center"/>
          </w:tcPr>
          <w:p w14:paraId="0DE527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1E4F5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D64E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89217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3D6EB90">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3FFBF270">
      <w:pPr>
        <w:wordWrap w:val="0"/>
        <w:overflowPunct w:val="0"/>
        <w:spacing w:line="480" w:lineRule="auto"/>
        <w:rPr>
          <w:rFonts w:ascii="Arial" w:hAnsi="Arial"/>
          <w:sz w:val="21"/>
          <w:szCs w:val="21"/>
        </w:rPr>
      </w:pPr>
    </w:p>
    <w:p w14:paraId="3F909512">
      <w:pPr>
        <w:rPr>
          <w:rFonts w:ascii="Arial" w:hAnsi="Arial"/>
          <w:sz w:val="21"/>
          <w:szCs w:val="21"/>
        </w:rPr>
      </w:pPr>
      <w:r>
        <w:rPr>
          <w:rFonts w:hint="eastAsia" w:ascii="Arial" w:hAnsi="Arial"/>
          <w:sz w:val="21"/>
          <w:szCs w:val="21"/>
        </w:rPr>
        <w:br w:type="page"/>
      </w:r>
    </w:p>
    <w:p w14:paraId="28B399F9">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0D26B569">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210A295B">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7"/>
        <w:gridCol w:w="2887"/>
        <w:gridCol w:w="1707"/>
        <w:gridCol w:w="1707"/>
        <w:gridCol w:w="1707"/>
      </w:tblGrid>
      <w:tr w14:paraId="6BD26247">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1DE141F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65ACFD5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387F030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7BA45EB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4E91D32D">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011128DF">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0A5995D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897" w:type="pct"/>
            <w:tcBorders>
              <w:top w:val="nil"/>
              <w:left w:val="nil"/>
              <w:bottom w:val="single" w:color="auto" w:sz="4" w:space="0"/>
              <w:right w:val="single" w:color="auto" w:sz="4" w:space="0"/>
            </w:tcBorders>
            <w:vAlign w:val="center"/>
          </w:tcPr>
          <w:p w14:paraId="29D6B7C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897" w:type="pct"/>
            <w:tcBorders>
              <w:top w:val="nil"/>
              <w:left w:val="nil"/>
              <w:bottom w:val="single" w:color="auto" w:sz="4" w:space="0"/>
              <w:right w:val="single" w:color="auto" w:sz="4" w:space="0"/>
            </w:tcBorders>
            <w:vAlign w:val="center"/>
          </w:tcPr>
          <w:p w14:paraId="2D55C5C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蓝桥驿苑</w:t>
            </w:r>
          </w:p>
        </w:tc>
      </w:tr>
      <w:tr w14:paraId="076309BC">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4B5F400C">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897" w:type="pct"/>
            <w:tcBorders>
              <w:top w:val="nil"/>
              <w:left w:val="nil"/>
              <w:bottom w:val="single" w:color="auto" w:sz="4" w:space="0"/>
              <w:right w:val="single" w:color="auto" w:sz="4" w:space="0"/>
            </w:tcBorders>
            <w:vAlign w:val="center"/>
          </w:tcPr>
          <w:p w14:paraId="2028F4A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35.72</w:t>
            </w:r>
          </w:p>
        </w:tc>
        <w:tc>
          <w:tcPr>
            <w:tcW w:w="897" w:type="pct"/>
            <w:tcBorders>
              <w:top w:val="nil"/>
              <w:left w:val="nil"/>
              <w:bottom w:val="single" w:color="auto" w:sz="4" w:space="0"/>
              <w:right w:val="single" w:color="auto" w:sz="4" w:space="0"/>
            </w:tcBorders>
            <w:vAlign w:val="center"/>
          </w:tcPr>
          <w:p w14:paraId="5E3ECB3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36.5</w:t>
            </w:r>
          </w:p>
        </w:tc>
        <w:tc>
          <w:tcPr>
            <w:tcW w:w="897" w:type="pct"/>
            <w:tcBorders>
              <w:top w:val="nil"/>
              <w:left w:val="nil"/>
              <w:bottom w:val="single" w:color="auto" w:sz="4" w:space="0"/>
              <w:right w:val="single" w:color="auto" w:sz="4" w:space="0"/>
            </w:tcBorders>
            <w:vAlign w:val="center"/>
          </w:tcPr>
          <w:p w14:paraId="2A07C6D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36.62</w:t>
            </w:r>
          </w:p>
        </w:tc>
      </w:tr>
      <w:tr w14:paraId="2B093B5F">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7D79218C">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B08F7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1FED11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7A90A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AE20534">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1C377B9D">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178DF02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B43EC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7DE6C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D6E75B5">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7BEE877C">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08D099F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AF13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899C0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22061CB">
        <w:tblPrEx>
          <w:tblCellMar>
            <w:top w:w="0" w:type="dxa"/>
            <w:left w:w="108" w:type="dxa"/>
            <w:bottom w:w="0" w:type="dxa"/>
            <w:right w:w="108" w:type="dxa"/>
          </w:tblCellMar>
        </w:tblPrEx>
        <w:trPr>
          <w:trHeight w:val="227" w:hRule="atLeast"/>
        </w:trPr>
        <w:tc>
          <w:tcPr>
            <w:tcW w:w="792" w:type="pct"/>
            <w:vMerge w:val="restart"/>
            <w:tcBorders>
              <w:top w:val="nil"/>
              <w:left w:val="single" w:color="auto" w:sz="4" w:space="0"/>
              <w:bottom w:val="single" w:color="auto" w:sz="4" w:space="0"/>
              <w:right w:val="single" w:color="auto" w:sz="4" w:space="0"/>
            </w:tcBorders>
            <w:vAlign w:val="center"/>
          </w:tcPr>
          <w:p w14:paraId="41A68828">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2CC2337C">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313DE46E">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897" w:type="pct"/>
            <w:tcBorders>
              <w:top w:val="nil"/>
              <w:left w:val="nil"/>
              <w:bottom w:val="single" w:color="auto" w:sz="4" w:space="0"/>
              <w:right w:val="single" w:color="auto" w:sz="4" w:space="0"/>
            </w:tcBorders>
            <w:vAlign w:val="center"/>
          </w:tcPr>
          <w:p w14:paraId="2E71154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897" w:type="pct"/>
            <w:tcBorders>
              <w:top w:val="nil"/>
              <w:left w:val="nil"/>
              <w:bottom w:val="single" w:color="auto" w:sz="4" w:space="0"/>
              <w:right w:val="single" w:color="auto" w:sz="4" w:space="0"/>
            </w:tcBorders>
            <w:vAlign w:val="center"/>
          </w:tcPr>
          <w:p w14:paraId="4349D29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5ADBFFBC">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2F545D0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28266F5">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6FB4AE6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1947B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848C5E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2BE7D70">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44EEC10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6706C22">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71F123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AEAD1F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D85D8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5F69DCA">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60DED7D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00AA4F3">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1366F3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F9139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5C88B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1C9C0D">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2110342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5ACEFD2">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5678FB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4B5C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839D7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B21058">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4A9B5E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764BA3">
            <w:pPr>
              <w:widowControl/>
              <w:adjustRightInd/>
              <w:spacing w:line="240" w:lineRule="auto"/>
              <w:textAlignment w:val="auto"/>
              <w:rPr>
                <w:rFonts w:hint="eastAsia" w:ascii="Arial" w:hAnsi="Arial" w:eastAsia="宋体" w:cs="Arial"/>
                <w:sz w:val="16"/>
                <w:szCs w:val="18"/>
                <w:lang w:eastAsia="zh-CN"/>
              </w:rPr>
            </w:pPr>
            <w:r>
              <w:rPr>
                <w:rFonts w:hint="eastAsia" w:ascii="Arial" w:hAnsi="Arial" w:cs="Arial"/>
                <w:sz w:val="16"/>
                <w:szCs w:val="18"/>
                <w:lang w:eastAsia="zh-CN"/>
              </w:rPr>
              <w:t>自然及人文环境</w:t>
            </w:r>
          </w:p>
        </w:tc>
        <w:tc>
          <w:tcPr>
            <w:tcW w:w="897" w:type="pct"/>
            <w:tcBorders>
              <w:top w:val="nil"/>
              <w:left w:val="nil"/>
              <w:bottom w:val="single" w:color="auto" w:sz="4" w:space="0"/>
              <w:right w:val="single" w:color="auto" w:sz="4" w:space="0"/>
            </w:tcBorders>
            <w:vAlign w:val="center"/>
          </w:tcPr>
          <w:p w14:paraId="664082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3DC7E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FAB3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43DF5F">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229D7C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A480F5D">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4982386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3BB9F0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FD11C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18D495">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ADD10A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DD4F25F">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3D62EB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EC72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7F474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39EBFD">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BA03ED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D983285">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62D705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E0B980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897" w:type="pct"/>
            <w:tcBorders>
              <w:top w:val="nil"/>
              <w:left w:val="nil"/>
              <w:bottom w:val="single" w:color="auto" w:sz="4" w:space="0"/>
              <w:right w:val="single" w:color="auto" w:sz="4" w:space="0"/>
            </w:tcBorders>
            <w:vAlign w:val="center"/>
          </w:tcPr>
          <w:p w14:paraId="4DD5696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7451EFDE">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3C1F12A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F1AED3B">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170BA72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c>
          <w:tcPr>
            <w:tcW w:w="897" w:type="pct"/>
            <w:tcBorders>
              <w:top w:val="nil"/>
              <w:left w:val="nil"/>
              <w:bottom w:val="single" w:color="auto" w:sz="4" w:space="0"/>
              <w:right w:val="single" w:color="auto" w:sz="4" w:space="0"/>
            </w:tcBorders>
            <w:vAlign w:val="center"/>
          </w:tcPr>
          <w:p w14:paraId="35178DC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63A60D1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29C9069">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066C0BC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A0D0CD6">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61B2606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328662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0FE36B6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3E0A3D97">
        <w:tblPrEx>
          <w:tblCellMar>
            <w:top w:w="0" w:type="dxa"/>
            <w:left w:w="108" w:type="dxa"/>
            <w:bottom w:w="0" w:type="dxa"/>
            <w:right w:w="108" w:type="dxa"/>
          </w:tblCellMar>
        </w:tblPrEx>
        <w:trPr>
          <w:trHeight w:val="227" w:hRule="atLeast"/>
        </w:trPr>
        <w:tc>
          <w:tcPr>
            <w:tcW w:w="792" w:type="pct"/>
            <w:vMerge w:val="restart"/>
            <w:tcBorders>
              <w:top w:val="single" w:color="auto" w:sz="4" w:space="0"/>
              <w:left w:val="single" w:color="auto" w:sz="4" w:space="0"/>
              <w:bottom w:val="single" w:color="auto" w:sz="4" w:space="0"/>
              <w:right w:val="single" w:color="auto" w:sz="4" w:space="0"/>
            </w:tcBorders>
            <w:vAlign w:val="center"/>
          </w:tcPr>
          <w:p w14:paraId="6B5CC9E2">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1B9D6B7">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316F0ED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0C97FD5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3DDF63F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0A906B93">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29E99B4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1F7C3D3">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192029E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1F3676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1D16EB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E6D9A3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617BA6C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FB9882A">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6BA9A0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587E7D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9D729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2755672">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0DC1F9C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5986AA2">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233FC8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EE71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67DC82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1703ACF">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3A81FCB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C83C17">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47B608C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D7AE27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E4F40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7330AE6">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698CDF8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C673C91">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7F8B65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1BA715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89B41A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0394D6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0C35E1D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A2699A1">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05E06D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DDF95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568CA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CD45BB4">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215B38F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A53FAF">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3589024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c>
          <w:tcPr>
            <w:tcW w:w="897" w:type="pct"/>
            <w:tcBorders>
              <w:top w:val="nil"/>
              <w:left w:val="nil"/>
              <w:bottom w:val="single" w:color="auto" w:sz="4" w:space="0"/>
              <w:right w:val="single" w:color="auto" w:sz="4" w:space="0"/>
            </w:tcBorders>
            <w:vAlign w:val="center"/>
          </w:tcPr>
          <w:p w14:paraId="64283D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6D5A2D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0C336BF">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79CF0DA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4CF82D">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7ED984B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tcPr>
          <w:p w14:paraId="79C5BE1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tcPr>
          <w:p w14:paraId="321B6A2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18519240">
        <w:tblPrEx>
          <w:tblCellMar>
            <w:top w:w="0" w:type="dxa"/>
            <w:left w:w="108" w:type="dxa"/>
            <w:bottom w:w="0" w:type="dxa"/>
            <w:right w:w="108" w:type="dxa"/>
          </w:tblCellMar>
        </w:tblPrEx>
        <w:trPr>
          <w:trHeight w:val="227" w:hRule="atLeast"/>
        </w:trPr>
        <w:tc>
          <w:tcPr>
            <w:tcW w:w="792" w:type="pct"/>
            <w:vMerge w:val="restart"/>
            <w:tcBorders>
              <w:left w:val="single" w:color="auto" w:sz="4" w:space="0"/>
              <w:bottom w:val="single" w:color="auto" w:sz="4" w:space="0"/>
              <w:right w:val="single" w:color="auto" w:sz="4" w:space="0"/>
            </w:tcBorders>
            <w:vAlign w:val="center"/>
          </w:tcPr>
          <w:p w14:paraId="3C183785">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0816C602">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6CB6E2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F14072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E6233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02CF365">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0C64598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0CB2CF8">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0D88DD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6B6403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8CA33A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3ED82E3">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07826673">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30A10DE3">
            <w:pPr>
              <w:spacing w:line="240" w:lineRule="auto"/>
              <w:jc w:val="center"/>
              <w:rPr>
                <w:rFonts w:ascii="Arial" w:hAnsi="Arial" w:cs="Arial"/>
                <w:sz w:val="16"/>
                <w:szCs w:val="18"/>
              </w:rPr>
            </w:pPr>
            <w:r>
              <w:rPr>
                <w:rFonts w:hint="eastAsia" w:ascii="Arial" w:hAnsi="Arial" w:cs="Arial"/>
                <w:sz w:val="16"/>
                <w:szCs w:val="18"/>
              </w:rPr>
              <w:t>1.1811</w:t>
            </w:r>
          </w:p>
        </w:tc>
        <w:tc>
          <w:tcPr>
            <w:tcW w:w="897" w:type="pct"/>
            <w:tcBorders>
              <w:top w:val="single" w:color="auto" w:sz="4" w:space="0"/>
              <w:left w:val="nil"/>
              <w:bottom w:val="single" w:color="auto" w:sz="4" w:space="0"/>
              <w:right w:val="single" w:color="auto" w:sz="4" w:space="0"/>
            </w:tcBorders>
            <w:vAlign w:val="center"/>
          </w:tcPr>
          <w:p w14:paraId="2D9E9B94">
            <w:pPr>
              <w:spacing w:line="240" w:lineRule="auto"/>
              <w:jc w:val="center"/>
              <w:rPr>
                <w:rFonts w:ascii="Arial" w:hAnsi="Arial" w:cs="Arial"/>
                <w:sz w:val="16"/>
                <w:szCs w:val="18"/>
              </w:rPr>
            </w:pPr>
            <w:r>
              <w:rPr>
                <w:rFonts w:hint="eastAsia" w:ascii="Arial" w:hAnsi="Arial" w:cs="Arial"/>
                <w:sz w:val="16"/>
                <w:szCs w:val="18"/>
              </w:rPr>
              <w:t>1.1338</w:t>
            </w:r>
          </w:p>
        </w:tc>
        <w:tc>
          <w:tcPr>
            <w:tcW w:w="897" w:type="pct"/>
            <w:tcBorders>
              <w:top w:val="single" w:color="auto" w:sz="4" w:space="0"/>
              <w:left w:val="nil"/>
              <w:bottom w:val="single" w:color="auto" w:sz="4" w:space="0"/>
              <w:right w:val="single" w:color="auto" w:sz="4" w:space="0"/>
            </w:tcBorders>
            <w:vAlign w:val="center"/>
          </w:tcPr>
          <w:p w14:paraId="38C335A3">
            <w:pPr>
              <w:spacing w:line="240" w:lineRule="auto"/>
              <w:jc w:val="center"/>
              <w:rPr>
                <w:rFonts w:ascii="Arial" w:hAnsi="Arial" w:cs="Arial"/>
                <w:sz w:val="16"/>
                <w:szCs w:val="18"/>
              </w:rPr>
            </w:pPr>
            <w:r>
              <w:rPr>
                <w:rFonts w:hint="eastAsia" w:ascii="Arial" w:hAnsi="Arial" w:cs="Arial"/>
                <w:sz w:val="16"/>
                <w:szCs w:val="18"/>
              </w:rPr>
              <w:t>1.1226</w:t>
            </w:r>
          </w:p>
        </w:tc>
      </w:tr>
      <w:tr w14:paraId="6421296B">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39C2FBAF">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083E2B6A">
            <w:pPr>
              <w:spacing w:line="240" w:lineRule="auto"/>
              <w:jc w:val="center"/>
              <w:rPr>
                <w:rFonts w:ascii="Arial" w:hAnsi="Arial" w:cs="Arial"/>
                <w:sz w:val="16"/>
                <w:szCs w:val="18"/>
              </w:rPr>
            </w:pPr>
            <w:r>
              <w:rPr>
                <w:rFonts w:hint="eastAsia" w:ascii="Arial" w:hAnsi="Arial" w:cs="Arial"/>
                <w:sz w:val="16"/>
                <w:szCs w:val="18"/>
              </w:rPr>
              <w:t>45.41</w:t>
            </w:r>
          </w:p>
        </w:tc>
        <w:tc>
          <w:tcPr>
            <w:tcW w:w="897" w:type="pct"/>
            <w:tcBorders>
              <w:top w:val="single" w:color="auto" w:sz="4" w:space="0"/>
              <w:left w:val="nil"/>
              <w:bottom w:val="single" w:color="auto" w:sz="4" w:space="0"/>
              <w:right w:val="single" w:color="auto" w:sz="4" w:space="0"/>
            </w:tcBorders>
            <w:vAlign w:val="center"/>
          </w:tcPr>
          <w:p w14:paraId="541435E2">
            <w:pPr>
              <w:spacing w:line="240" w:lineRule="auto"/>
              <w:jc w:val="center"/>
              <w:rPr>
                <w:rFonts w:ascii="Arial" w:hAnsi="Arial" w:cs="Arial"/>
                <w:sz w:val="16"/>
                <w:szCs w:val="18"/>
              </w:rPr>
            </w:pPr>
            <w:r>
              <w:rPr>
                <w:rFonts w:hint="eastAsia" w:ascii="Arial" w:hAnsi="Arial" w:cs="Arial"/>
                <w:sz w:val="16"/>
                <w:szCs w:val="18"/>
              </w:rPr>
              <w:t>41.38</w:t>
            </w:r>
          </w:p>
        </w:tc>
        <w:tc>
          <w:tcPr>
            <w:tcW w:w="897" w:type="pct"/>
            <w:tcBorders>
              <w:top w:val="single" w:color="auto" w:sz="4" w:space="0"/>
              <w:left w:val="nil"/>
              <w:bottom w:val="single" w:color="auto" w:sz="4" w:space="0"/>
              <w:right w:val="single" w:color="auto" w:sz="4" w:space="0"/>
            </w:tcBorders>
            <w:vAlign w:val="center"/>
          </w:tcPr>
          <w:p w14:paraId="2663F7AB">
            <w:pPr>
              <w:spacing w:line="240" w:lineRule="auto"/>
              <w:jc w:val="center"/>
              <w:rPr>
                <w:rFonts w:ascii="Arial" w:hAnsi="Arial" w:cs="Arial"/>
                <w:sz w:val="16"/>
                <w:szCs w:val="18"/>
              </w:rPr>
            </w:pPr>
            <w:r>
              <w:rPr>
                <w:rFonts w:hint="eastAsia" w:ascii="Arial" w:hAnsi="Arial" w:cs="Arial"/>
                <w:sz w:val="16"/>
                <w:szCs w:val="18"/>
              </w:rPr>
              <w:t>41.11</w:t>
            </w:r>
          </w:p>
        </w:tc>
      </w:tr>
    </w:tbl>
    <w:p w14:paraId="673EE6F4">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732F0CDB">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6F0D352D">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68BDF6DB">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＝（45.41+41.38+41.11）÷</w:t>
      </w:r>
      <w:r>
        <w:rPr>
          <w:rFonts w:ascii="Arial" w:hAnsi="Arial"/>
          <w:sz w:val="21"/>
          <w:szCs w:val="21"/>
        </w:rPr>
        <w:t>3</w:t>
      </w:r>
      <w:r>
        <w:rPr>
          <w:rFonts w:hint="eastAsia" w:ascii="Arial" w:hAnsi="Arial"/>
          <w:sz w:val="21"/>
          <w:szCs w:val="21"/>
        </w:rPr>
        <w:t>+3.39</w:t>
      </w:r>
    </w:p>
    <w:p w14:paraId="5AB424F8">
      <w:pPr>
        <w:wordWrap w:val="0"/>
        <w:overflowPunct w:val="0"/>
        <w:spacing w:line="480" w:lineRule="auto"/>
        <w:ind w:firstLine="3360" w:firstLineChars="1600"/>
        <w:rPr>
          <w:rFonts w:ascii="Arial" w:hAnsi="Arial"/>
          <w:sz w:val="21"/>
          <w:szCs w:val="21"/>
        </w:rPr>
      </w:pPr>
      <w:r>
        <w:rPr>
          <w:rFonts w:hint="eastAsia" w:ascii="Arial" w:hAnsi="Arial"/>
          <w:sz w:val="21"/>
          <w:szCs w:val="21"/>
        </w:rPr>
        <w:t>＝42.63+3.39</w:t>
      </w:r>
    </w:p>
    <w:p w14:paraId="4BFB3022">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＝46.02（元/平方米·月）</w:t>
      </w:r>
      <w:r>
        <w:rPr>
          <w:rFonts w:hint="eastAsia" w:ascii="宋体" w:hAnsi="宋体"/>
          <w:sz w:val="21"/>
          <w:szCs w:val="21"/>
        </w:rPr>
        <w:t>（含物业费、不含取暖费）</w:t>
      </w:r>
    </w:p>
    <w:p w14:paraId="7E7273B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w:t>
      </w:r>
      <w:r>
        <w:rPr>
          <w:rFonts w:ascii="Arial" w:hAnsi="Arial" w:cs="Arial"/>
          <w:b/>
          <w:sz w:val="21"/>
          <w:szCs w:val="21"/>
        </w:rPr>
        <w:t>2</w:t>
      </w:r>
      <w:r>
        <w:rPr>
          <w:rFonts w:hint="eastAsia" w:ascii="Arial" w:hAnsi="Arial" w:cs="Arial"/>
          <w:b/>
          <w:sz w:val="21"/>
          <w:szCs w:val="21"/>
        </w:rPr>
        <w:t>（两</w:t>
      </w:r>
      <w:r>
        <w:rPr>
          <w:rFonts w:hint="eastAsia" w:ascii="宋体" w:hAnsi="宋体"/>
          <w:b/>
          <w:sz w:val="21"/>
          <w:szCs w:val="21"/>
        </w:rPr>
        <w:t>居室标准房市场租金水平）</w:t>
      </w:r>
    </w:p>
    <w:p w14:paraId="07CE6537">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140D9CC4">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6943BE01">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p>
    <w:p w14:paraId="66DBC46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金色漫香郡</w:t>
      </w:r>
    </w:p>
    <w:p w14:paraId="180A1C0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大兴区海鑫北路18号</w:t>
      </w:r>
    </w:p>
    <w:p w14:paraId="0533132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13736A6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DC6E9EF">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630945D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r>
        <w:rPr>
          <w:rFonts w:hint="eastAsia" w:ascii="Arial" w:hAnsi="Arial" w:cs="Arial"/>
          <w:sz w:val="21"/>
          <w:szCs w:val="21"/>
        </w:rPr>
        <w:t>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w:t>
      </w:r>
      <w:r>
        <w:rPr>
          <w:rStyle w:val="40"/>
        </w:rPr>
        <w:commentReference w:id="9"/>
      </w:r>
      <w:r>
        <w:rPr>
          <w:rFonts w:hint="eastAsia" w:ascii="Arial" w:hAnsi="Arial" w:cs="Arial"/>
          <w:sz w:val="21"/>
          <w:szCs w:val="21"/>
          <w:lang w:val="en-US" w:eastAsia="zh-CN"/>
        </w:rPr>
        <w:t>4</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lang w:val="en-US" w:eastAsia="zh-CN"/>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15</w:t>
      </w:r>
      <w:r>
        <w:rPr>
          <w:rFonts w:ascii="Arial" w:hAnsi="Arial" w:cs="Arial"/>
          <w:sz w:val="21"/>
          <w:szCs w:val="21"/>
        </w:rPr>
        <w:t>年，建筑结构为钢混结构，装修为中档装修，建筑面积为</w:t>
      </w:r>
      <w:r>
        <w:rPr>
          <w:rFonts w:hint="eastAsia" w:ascii="Arial" w:hAnsi="Arial" w:cs="Arial"/>
          <w:sz w:val="21"/>
          <w:szCs w:val="21"/>
        </w:rPr>
        <w:t>88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r>
        <w:rPr>
          <w:rFonts w:hint="eastAsia" w:ascii="Arial" w:hAnsi="Arial" w:cs="Arial"/>
          <w:sz w:val="21"/>
          <w:szCs w:val="21"/>
          <w:lang w:val="en-US" w:eastAsia="zh-CN"/>
        </w:rPr>
        <w:t>39.77</w:t>
      </w:r>
      <w:r>
        <w:rPr>
          <w:rFonts w:hint="eastAsia" w:ascii="Arial" w:hAnsi="Arial" w:cs="Arial"/>
          <w:sz w:val="21"/>
          <w:szCs w:val="21"/>
        </w:rPr>
        <w:t>元/平方米·月（含物业费2.38元/平方米·月、取暖费2.5元/平方米·月）</w:t>
      </w:r>
      <w:r>
        <w:rPr>
          <w:rFonts w:ascii="Arial" w:hAnsi="Arial" w:cs="Arial"/>
          <w:sz w:val="21"/>
          <w:szCs w:val="21"/>
        </w:rPr>
        <w:t>。</w:t>
      </w:r>
    </w:p>
    <w:p w14:paraId="75C96F5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5：</w:t>
      </w:r>
    </w:p>
    <w:p w14:paraId="4BC26BA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融创公园壹号</w:t>
      </w:r>
    </w:p>
    <w:p w14:paraId="7CA98F8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•项目坐落：大兴区海鑫路与盛顺街交叉口东南角</w:t>
      </w:r>
    </w:p>
    <w:p w14:paraId="0FF348E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0340249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EC7FBC2">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691231F2">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可比实例5周边有华远和煦里、华远和墅、格林云墅、首创悦都汇等居住项目，居住小区规模适中，入住率较好，综合评价居住区成熟度较好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盛通街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w:t>
      </w:r>
      <w:r>
        <w:rPr>
          <w:rStyle w:val="40"/>
        </w:rPr>
        <w:commentReference w:id="10"/>
      </w:r>
      <w:r>
        <w:rPr>
          <w:rFonts w:hint="eastAsia" w:ascii="Arial" w:hAnsi="Arial" w:cs="Arial"/>
          <w:sz w:val="21"/>
          <w:szCs w:val="21"/>
          <w:lang w:val="en-US" w:eastAsia="zh-CN"/>
        </w:rPr>
        <w:t>5</w:t>
      </w:r>
      <w:r>
        <w:rPr>
          <w:rFonts w:ascii="Arial" w:hAnsi="Arial" w:cs="Arial"/>
          <w:sz w:val="21"/>
          <w:szCs w:val="21"/>
        </w:rPr>
        <w:t>为</w:t>
      </w:r>
      <w:r>
        <w:rPr>
          <w:rFonts w:hint="eastAsia" w:ascii="Arial" w:hAnsi="Arial" w:cs="Arial"/>
          <w:sz w:val="21"/>
          <w:szCs w:val="21"/>
        </w:rPr>
        <w:t>两居室</w:t>
      </w:r>
      <w:r>
        <w:rPr>
          <w:rFonts w:ascii="Arial" w:hAnsi="Arial" w:cs="Arial"/>
          <w:sz w:val="21"/>
          <w:szCs w:val="21"/>
        </w:rPr>
        <w:t>户型，</w:t>
      </w:r>
      <w:r>
        <w:rPr>
          <w:rFonts w:hint="eastAsia" w:ascii="Arial" w:hAnsi="Arial" w:cs="Arial"/>
          <w:sz w:val="21"/>
          <w:szCs w:val="21"/>
          <w:lang w:val="en-US" w:eastAsia="zh-CN"/>
        </w:rPr>
        <w:t>高</w:t>
      </w:r>
      <w:r>
        <w:rPr>
          <w:rFonts w:ascii="Arial" w:hAnsi="Arial" w:cs="Arial"/>
          <w:sz w:val="21"/>
          <w:szCs w:val="21"/>
        </w:rPr>
        <w:t>楼层，</w:t>
      </w:r>
      <w:r>
        <w:rPr>
          <w:rFonts w:hint="eastAsia" w:ascii="Arial" w:hAnsi="Arial" w:cs="Arial"/>
          <w:sz w:val="21"/>
          <w:szCs w:val="21"/>
          <w:lang w:val="en-US" w:eastAsia="zh-CN"/>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21</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lang w:val="en-US" w:eastAsia="zh-CN"/>
        </w:rPr>
        <w:t>89.34</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r>
        <w:rPr>
          <w:rFonts w:hint="eastAsia" w:ascii="Arial" w:hAnsi="Arial" w:cs="Arial"/>
          <w:sz w:val="21"/>
          <w:szCs w:val="21"/>
          <w:lang w:val="en-US" w:eastAsia="zh-CN"/>
        </w:rPr>
        <w:t>39.28</w:t>
      </w:r>
      <w:r>
        <w:rPr>
          <w:rFonts w:hint="eastAsia" w:ascii="Arial" w:hAnsi="Arial" w:cs="Arial"/>
          <w:sz w:val="21"/>
          <w:szCs w:val="21"/>
        </w:rPr>
        <w:t>元/平方米·月（含物业费3.8元/平方米·月、取暖费2.5元/平方米·月）。</w:t>
      </w:r>
    </w:p>
    <w:p w14:paraId="7A12F40A">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p>
    <w:p w14:paraId="44292FC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首地浣溪谷</w:t>
      </w:r>
    </w:p>
    <w:p w14:paraId="7B19A5F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大兴区安顺北路6号</w:t>
      </w:r>
    </w:p>
    <w:p w14:paraId="22023242">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494EC2F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D99CE39">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0895AC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r>
        <w:rPr>
          <w:rFonts w:hint="eastAsia" w:ascii="Arial" w:hAnsi="Arial" w:cs="Arial"/>
          <w:sz w:val="21"/>
          <w:szCs w:val="21"/>
        </w:rPr>
        <w:t>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15</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rPr>
        <w:t>83.52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r>
        <w:rPr>
          <w:rFonts w:hint="eastAsia" w:ascii="Arial" w:hAnsi="Arial" w:cs="Arial"/>
          <w:sz w:val="21"/>
          <w:szCs w:val="21"/>
          <w:lang w:val="en-US" w:eastAsia="zh-CN"/>
        </w:rPr>
        <w:t>38.31</w:t>
      </w:r>
      <w:r>
        <w:rPr>
          <w:rFonts w:hint="eastAsia" w:ascii="Arial" w:hAnsi="Arial" w:cs="Arial"/>
          <w:sz w:val="21"/>
          <w:szCs w:val="21"/>
        </w:rPr>
        <w:t>元/平方米·月（含物业费2.58元/平方米·月、取暖费2.5元/平方米·月）</w:t>
      </w:r>
      <w:r>
        <w:rPr>
          <w:rFonts w:ascii="Arial" w:hAnsi="Arial" w:cs="Arial"/>
          <w:sz w:val="21"/>
          <w:szCs w:val="21"/>
        </w:rPr>
        <w:t>。</w:t>
      </w:r>
    </w:p>
    <w:p w14:paraId="706BE6FE">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42F8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6899DA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1871E16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63E17FF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可比实例4</w:t>
            </w:r>
          </w:p>
        </w:tc>
        <w:tc>
          <w:tcPr>
            <w:tcW w:w="1812" w:type="dxa"/>
            <w:vAlign w:val="center"/>
          </w:tcPr>
          <w:p w14:paraId="5CF6119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可比实例5</w:t>
            </w:r>
          </w:p>
        </w:tc>
        <w:tc>
          <w:tcPr>
            <w:tcW w:w="1813" w:type="dxa"/>
            <w:vAlign w:val="center"/>
          </w:tcPr>
          <w:p w14:paraId="670EEF2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可比实例6</w:t>
            </w:r>
          </w:p>
        </w:tc>
      </w:tr>
      <w:tr w14:paraId="3164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A2537D4">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60DBA82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1813" w:type="dxa"/>
            <w:vAlign w:val="center"/>
          </w:tcPr>
          <w:p w14:paraId="65CF3F8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1812" w:type="dxa"/>
            <w:vAlign w:val="center"/>
          </w:tcPr>
          <w:p w14:paraId="5AC509F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融创公园壹号</w:t>
            </w:r>
          </w:p>
        </w:tc>
        <w:tc>
          <w:tcPr>
            <w:tcW w:w="1813" w:type="dxa"/>
            <w:vAlign w:val="center"/>
          </w:tcPr>
          <w:p w14:paraId="541B2B9B">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3017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FCC23E1">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w:t>
            </w:r>
            <w:r>
              <w:rPr>
                <w:rFonts w:hint="eastAsia" w:ascii="Arial" w:hAnsi="Arial" w:cs="Arial"/>
                <w:sz w:val="16"/>
                <w:szCs w:val="18"/>
                <w:lang w:eastAsia="zh-CN"/>
              </w:rPr>
              <w:t>元/平方米·月</w:t>
            </w:r>
            <w:r>
              <w:rPr>
                <w:rFonts w:ascii="Arial" w:hAnsi="Arial" w:cs="Arial"/>
                <w:sz w:val="16"/>
                <w:szCs w:val="18"/>
              </w:rPr>
              <w:t>）</w:t>
            </w:r>
          </w:p>
        </w:tc>
        <w:tc>
          <w:tcPr>
            <w:tcW w:w="1813" w:type="dxa"/>
            <w:vAlign w:val="center"/>
          </w:tcPr>
          <w:p w14:paraId="55895C2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11A065B0">
            <w:pPr>
              <w:pStyle w:val="61"/>
              <w:autoSpaceDE w:val="0"/>
              <w:autoSpaceDN w:val="0"/>
              <w:snapToGrid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39.77</w:t>
            </w:r>
          </w:p>
        </w:tc>
        <w:tc>
          <w:tcPr>
            <w:tcW w:w="1812" w:type="dxa"/>
            <w:vAlign w:val="center"/>
          </w:tcPr>
          <w:p w14:paraId="5169C28A">
            <w:pPr>
              <w:pStyle w:val="61"/>
              <w:autoSpaceDE w:val="0"/>
              <w:autoSpaceDN w:val="0"/>
              <w:snapToGrid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39.28</w:t>
            </w:r>
          </w:p>
        </w:tc>
        <w:tc>
          <w:tcPr>
            <w:tcW w:w="1813" w:type="dxa"/>
            <w:vAlign w:val="center"/>
          </w:tcPr>
          <w:p w14:paraId="61590B69">
            <w:pPr>
              <w:pStyle w:val="61"/>
              <w:autoSpaceDE w:val="0"/>
              <w:autoSpaceDN w:val="0"/>
              <w:snapToGrid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38.31</w:t>
            </w:r>
          </w:p>
        </w:tc>
      </w:tr>
      <w:tr w14:paraId="1D10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179B0C9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323F470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3" w:type="dxa"/>
            <w:vAlign w:val="center"/>
          </w:tcPr>
          <w:p w14:paraId="40941A7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0CC892BD">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3" w:type="dxa"/>
            <w:vAlign w:val="center"/>
          </w:tcPr>
          <w:p w14:paraId="05B21D07">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5F8E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4F9348D">
            <w:pPr>
              <w:pStyle w:val="61"/>
              <w:autoSpaceDE w:val="0"/>
              <w:autoSpaceDN w:val="0"/>
              <w:spacing w:line="240" w:lineRule="exact"/>
              <w:textAlignment w:val="bottom"/>
              <w:rPr>
                <w:rFonts w:ascii="Arial" w:hAnsi="Arial" w:cs="Arial"/>
                <w:sz w:val="16"/>
                <w:szCs w:val="18"/>
              </w:rPr>
            </w:pPr>
          </w:p>
        </w:tc>
        <w:tc>
          <w:tcPr>
            <w:tcW w:w="1813" w:type="dxa"/>
            <w:vAlign w:val="center"/>
          </w:tcPr>
          <w:p w14:paraId="3761C72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Style w:val="40"/>
                <w:rFonts w:ascii="Times New Roman"/>
              </w:rPr>
              <w:commentReference w:id="11"/>
            </w:r>
            <w:r>
              <w:rPr>
                <w:rFonts w:hint="eastAsia" w:ascii="Arial" w:hAnsi="Arial" w:cs="Arial"/>
                <w:sz w:val="16"/>
                <w:szCs w:val="18"/>
                <w:lang w:eastAsia="zh-CN"/>
              </w:rPr>
              <w:t>（元/平方米·月）</w:t>
            </w:r>
          </w:p>
        </w:tc>
        <w:tc>
          <w:tcPr>
            <w:tcW w:w="1813" w:type="dxa"/>
            <w:vAlign w:val="center"/>
          </w:tcPr>
          <w:p w14:paraId="3D2243B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4.88</w:t>
            </w:r>
          </w:p>
        </w:tc>
        <w:tc>
          <w:tcPr>
            <w:tcW w:w="1812" w:type="dxa"/>
            <w:vAlign w:val="center"/>
          </w:tcPr>
          <w:p w14:paraId="668D8D50">
            <w:pPr>
              <w:autoSpaceDE w:val="0"/>
              <w:autoSpaceDN w:val="0"/>
              <w:spacing w:line="240" w:lineRule="exact"/>
              <w:jc w:val="center"/>
              <w:textAlignment w:val="bottom"/>
              <w:rPr>
                <w:rFonts w:hint="eastAsia" w:ascii="Arial" w:hAnsi="Arial" w:eastAsia="宋体" w:cs="Arial"/>
                <w:sz w:val="16"/>
                <w:szCs w:val="18"/>
                <w:lang w:val="en-US" w:eastAsia="zh-CN"/>
              </w:rPr>
            </w:pPr>
            <w:r>
              <w:rPr>
                <w:rFonts w:hint="eastAsia" w:ascii="Arial" w:hAnsi="Arial" w:cs="Arial"/>
                <w:sz w:val="16"/>
                <w:szCs w:val="18"/>
              </w:rPr>
              <w:t>6.3</w:t>
            </w:r>
            <w:r>
              <w:rPr>
                <w:rFonts w:hint="eastAsia" w:ascii="Arial" w:hAnsi="Arial" w:cs="Arial"/>
                <w:sz w:val="16"/>
                <w:szCs w:val="18"/>
                <w:lang w:val="en-US" w:eastAsia="zh-CN"/>
              </w:rPr>
              <w:t>0</w:t>
            </w:r>
          </w:p>
        </w:tc>
        <w:tc>
          <w:tcPr>
            <w:tcW w:w="1813" w:type="dxa"/>
            <w:vAlign w:val="center"/>
          </w:tcPr>
          <w:p w14:paraId="5F73263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5.08</w:t>
            </w:r>
          </w:p>
        </w:tc>
      </w:tr>
      <w:tr w14:paraId="09A0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839D7A9">
            <w:pPr>
              <w:pStyle w:val="61"/>
              <w:autoSpaceDE w:val="0"/>
              <w:autoSpaceDN w:val="0"/>
              <w:spacing w:line="240" w:lineRule="exact"/>
              <w:textAlignment w:val="bottom"/>
              <w:rPr>
                <w:rFonts w:ascii="Arial" w:hAnsi="Arial" w:cs="Arial"/>
                <w:sz w:val="16"/>
                <w:szCs w:val="18"/>
              </w:rPr>
            </w:pPr>
          </w:p>
        </w:tc>
        <w:tc>
          <w:tcPr>
            <w:tcW w:w="1813" w:type="dxa"/>
            <w:vAlign w:val="center"/>
          </w:tcPr>
          <w:p w14:paraId="5E135F8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Style w:val="40"/>
                <w:rFonts w:ascii="Times New Roman"/>
              </w:rPr>
              <w:commentReference w:id="12"/>
            </w:r>
            <w:r>
              <w:rPr>
                <w:rFonts w:hint="eastAsia" w:ascii="Arial" w:hAnsi="Arial" w:cs="Arial"/>
                <w:sz w:val="16"/>
                <w:szCs w:val="18"/>
                <w:lang w:eastAsia="zh-CN"/>
              </w:rPr>
              <w:t>（元/平方米·月）</w:t>
            </w:r>
          </w:p>
        </w:tc>
        <w:tc>
          <w:tcPr>
            <w:tcW w:w="1813" w:type="dxa"/>
            <w:vAlign w:val="center"/>
          </w:tcPr>
          <w:p w14:paraId="2844EF66">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34.89</w:t>
            </w:r>
          </w:p>
        </w:tc>
        <w:tc>
          <w:tcPr>
            <w:tcW w:w="1812" w:type="dxa"/>
            <w:vAlign w:val="center"/>
          </w:tcPr>
          <w:p w14:paraId="77A0F3B8">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32.98</w:t>
            </w:r>
          </w:p>
        </w:tc>
        <w:tc>
          <w:tcPr>
            <w:tcW w:w="1813" w:type="dxa"/>
            <w:vAlign w:val="center"/>
          </w:tcPr>
          <w:p w14:paraId="74B2C79C">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33.23</w:t>
            </w:r>
          </w:p>
        </w:tc>
      </w:tr>
      <w:tr w14:paraId="3250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489BB2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62DD15B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5696EBD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6E17EB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43C687B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21C4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98E80A7">
            <w:pPr>
              <w:pStyle w:val="61"/>
              <w:autoSpaceDE w:val="0"/>
              <w:autoSpaceDN w:val="0"/>
              <w:spacing w:line="240" w:lineRule="exact"/>
              <w:textAlignment w:val="bottom"/>
              <w:rPr>
                <w:rFonts w:ascii="Arial" w:hAnsi="Arial" w:cs="Arial"/>
                <w:sz w:val="16"/>
                <w:szCs w:val="18"/>
              </w:rPr>
            </w:pPr>
          </w:p>
        </w:tc>
        <w:tc>
          <w:tcPr>
            <w:tcW w:w="1813" w:type="dxa"/>
            <w:vAlign w:val="center"/>
          </w:tcPr>
          <w:p w14:paraId="4AEA6C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1E4598B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F00D3E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0DCD8DC6">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EDA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FE38AC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274F2D0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237F961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70AD2EA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3EE33E5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C25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FEA9961">
            <w:pPr>
              <w:pStyle w:val="61"/>
              <w:autoSpaceDE w:val="0"/>
              <w:autoSpaceDN w:val="0"/>
              <w:spacing w:line="240" w:lineRule="exact"/>
              <w:textAlignment w:val="bottom"/>
              <w:rPr>
                <w:rFonts w:ascii="Arial" w:hAnsi="Arial" w:cs="Arial"/>
                <w:sz w:val="16"/>
                <w:szCs w:val="18"/>
              </w:rPr>
            </w:pPr>
          </w:p>
        </w:tc>
        <w:tc>
          <w:tcPr>
            <w:tcW w:w="1813" w:type="dxa"/>
            <w:vAlign w:val="center"/>
          </w:tcPr>
          <w:p w14:paraId="360AD14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580AEBED">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609D53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32456AF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3697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65EEDF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Style w:val="40"/>
                <w:rFonts w:ascii="Times New Roman"/>
              </w:rPr>
              <w:commentReference w:id="13"/>
            </w:r>
            <w:r>
              <w:rPr>
                <w:rFonts w:hint="eastAsia" w:ascii="Arial" w:hAnsi="Arial" w:cs="Arial"/>
                <w:sz w:val="16"/>
                <w:szCs w:val="18"/>
                <w:lang w:eastAsia="zh-CN"/>
              </w:rPr>
              <w:t>（元/平方米·月）</w:t>
            </w:r>
          </w:p>
        </w:tc>
        <w:tc>
          <w:tcPr>
            <w:tcW w:w="1813" w:type="dxa"/>
            <w:vAlign w:val="center"/>
          </w:tcPr>
          <w:p w14:paraId="22DCB23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07ACCCE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34.89</w:t>
            </w:r>
          </w:p>
        </w:tc>
        <w:tc>
          <w:tcPr>
            <w:tcW w:w="1812" w:type="dxa"/>
            <w:vAlign w:val="center"/>
          </w:tcPr>
          <w:p w14:paraId="0B3CADB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32.98</w:t>
            </w:r>
          </w:p>
        </w:tc>
        <w:tc>
          <w:tcPr>
            <w:tcW w:w="1813" w:type="dxa"/>
            <w:vAlign w:val="center"/>
          </w:tcPr>
          <w:p w14:paraId="31E1982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33.23</w:t>
            </w:r>
          </w:p>
        </w:tc>
      </w:tr>
    </w:tbl>
    <w:p w14:paraId="2CCA709A">
      <w:pPr>
        <w:wordWrap w:val="0"/>
        <w:overflowPunct w:val="0"/>
        <w:spacing w:line="480" w:lineRule="auto"/>
        <w:rPr>
          <w:rFonts w:ascii="宋体" w:hAnsi="宋体"/>
          <w:sz w:val="21"/>
          <w:szCs w:val="21"/>
        </w:rPr>
      </w:pPr>
    </w:p>
    <w:p w14:paraId="20763F44">
      <w:pPr>
        <w:wordWrap w:val="0"/>
        <w:overflowPunct w:val="0"/>
        <w:spacing w:line="480" w:lineRule="auto"/>
        <w:rPr>
          <w:rFonts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25D89BE1">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7365DCE8">
            <w:pPr>
              <w:jc w:val="center"/>
              <w:rPr>
                <w:rFonts w:ascii="华文细黑" w:hAnsi="华文细黑" w:eastAsia="华文细黑"/>
              </w:rPr>
            </w:pPr>
            <w:r>
              <w:rPr>
                <w:rFonts w:hint="eastAsia" w:ascii="华文细黑" w:hAnsi="华文细黑" w:eastAsia="华文细黑"/>
              </w:rPr>
              <w:t>实例位置</w:t>
            </w:r>
          </w:p>
        </w:tc>
      </w:tr>
      <w:tr w14:paraId="2A22EA4D">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01E0DA4A">
            <w:pPr>
              <w:jc w:val="center"/>
              <w:rPr>
                <w:rFonts w:ascii="Calibri" w:hAnsi="Calibri"/>
              </w:rPr>
            </w:pPr>
            <w:r>
              <w:drawing>
                <wp:inline distT="0" distB="0" distL="0" distR="0">
                  <wp:extent cx="5869940" cy="3897630"/>
                  <wp:effectExtent l="0" t="0" r="0" b="7620"/>
                  <wp:docPr id="514185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85291" name="图片 1"/>
                          <pic:cNvPicPr>
                            <a:picLocks noChangeAspect="1"/>
                          </pic:cNvPicPr>
                        </pic:nvPicPr>
                        <pic:blipFill>
                          <a:blip r:embed="rId49"/>
                          <a:stretch>
                            <a:fillRect/>
                          </a:stretch>
                        </pic:blipFill>
                        <pic:spPr>
                          <a:xfrm>
                            <a:off x="0" y="0"/>
                            <a:ext cx="5869940" cy="3897630"/>
                          </a:xfrm>
                          <a:prstGeom prst="rect">
                            <a:avLst/>
                          </a:prstGeom>
                        </pic:spPr>
                      </pic:pic>
                    </a:graphicData>
                  </a:graphic>
                </wp:inline>
              </w:drawing>
            </w:r>
          </w:p>
        </w:tc>
      </w:tr>
    </w:tbl>
    <w:p w14:paraId="18836644"/>
    <w:p w14:paraId="03F70477">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367300D4">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4F3964F">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6"/>
        <w:gridCol w:w="1844"/>
        <w:gridCol w:w="1844"/>
        <w:gridCol w:w="1844"/>
        <w:gridCol w:w="1848"/>
      </w:tblGrid>
      <w:tr w14:paraId="4538EA06">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3FDA57F9">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9" w:type="pct"/>
            <w:tcBorders>
              <w:top w:val="single" w:color="auto" w:sz="4" w:space="0"/>
              <w:left w:val="nil"/>
              <w:bottom w:val="single" w:color="auto" w:sz="4" w:space="0"/>
              <w:right w:val="single" w:color="auto" w:sz="4" w:space="0"/>
            </w:tcBorders>
            <w:vAlign w:val="center"/>
          </w:tcPr>
          <w:p w14:paraId="366DCE4A">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9" w:type="pct"/>
            <w:tcBorders>
              <w:top w:val="single" w:color="auto" w:sz="4" w:space="0"/>
              <w:left w:val="nil"/>
              <w:bottom w:val="single" w:color="auto" w:sz="4" w:space="0"/>
              <w:right w:val="single" w:color="auto" w:sz="4" w:space="0"/>
            </w:tcBorders>
            <w:vAlign w:val="center"/>
          </w:tcPr>
          <w:p w14:paraId="2D8FB6C3">
            <w:pPr>
              <w:widowControl/>
              <w:adjustRightInd/>
              <w:spacing w:line="240" w:lineRule="auto"/>
              <w:jc w:val="center"/>
              <w:textAlignment w:val="auto"/>
              <w:rPr>
                <w:rFonts w:ascii="Arial" w:hAnsi="Arial" w:cs="Arial"/>
                <w:sz w:val="16"/>
                <w:szCs w:val="18"/>
              </w:rPr>
            </w:pPr>
            <w:r>
              <w:rPr>
                <w:rFonts w:ascii="Arial" w:hAnsi="Arial" w:cs="Arial"/>
                <w:sz w:val="16"/>
                <w:szCs w:val="18"/>
              </w:rPr>
              <w:t>可比实例4</w:t>
            </w:r>
          </w:p>
        </w:tc>
        <w:tc>
          <w:tcPr>
            <w:tcW w:w="969" w:type="pct"/>
            <w:tcBorders>
              <w:top w:val="single" w:color="auto" w:sz="4" w:space="0"/>
              <w:left w:val="nil"/>
              <w:bottom w:val="single" w:color="auto" w:sz="4" w:space="0"/>
              <w:right w:val="single" w:color="auto" w:sz="4" w:space="0"/>
            </w:tcBorders>
            <w:vAlign w:val="center"/>
          </w:tcPr>
          <w:p w14:paraId="7D63346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可比实例5</w:t>
            </w:r>
          </w:p>
        </w:tc>
        <w:tc>
          <w:tcPr>
            <w:tcW w:w="971" w:type="pct"/>
            <w:tcBorders>
              <w:top w:val="single" w:color="auto" w:sz="4" w:space="0"/>
              <w:left w:val="nil"/>
              <w:bottom w:val="single" w:color="auto" w:sz="4" w:space="0"/>
              <w:right w:val="single" w:color="auto" w:sz="4" w:space="0"/>
            </w:tcBorders>
            <w:vAlign w:val="center"/>
          </w:tcPr>
          <w:p w14:paraId="61DF0E6A">
            <w:pPr>
              <w:widowControl/>
              <w:adjustRightInd/>
              <w:spacing w:line="240" w:lineRule="auto"/>
              <w:jc w:val="center"/>
              <w:textAlignment w:val="auto"/>
              <w:rPr>
                <w:rFonts w:ascii="Arial" w:hAnsi="Arial" w:cs="Arial"/>
                <w:sz w:val="16"/>
                <w:szCs w:val="18"/>
              </w:rPr>
            </w:pPr>
            <w:r>
              <w:rPr>
                <w:rFonts w:ascii="Arial" w:hAnsi="Arial" w:cs="Arial"/>
                <w:sz w:val="16"/>
                <w:szCs w:val="18"/>
              </w:rPr>
              <w:t>可比案例6</w:t>
            </w:r>
          </w:p>
        </w:tc>
      </w:tr>
      <w:tr w14:paraId="3B2213E5">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376C923">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9" w:type="pct"/>
            <w:tcBorders>
              <w:top w:val="nil"/>
              <w:left w:val="nil"/>
              <w:bottom w:val="single" w:color="auto" w:sz="4" w:space="0"/>
              <w:right w:val="single" w:color="auto" w:sz="4" w:space="0"/>
            </w:tcBorders>
            <w:vAlign w:val="center"/>
          </w:tcPr>
          <w:p w14:paraId="6F0F1F3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969" w:type="pct"/>
            <w:tcBorders>
              <w:top w:val="nil"/>
              <w:left w:val="nil"/>
              <w:bottom w:val="single" w:color="auto" w:sz="4" w:space="0"/>
              <w:right w:val="single" w:color="auto" w:sz="4" w:space="0"/>
            </w:tcBorders>
            <w:vAlign w:val="center"/>
          </w:tcPr>
          <w:p w14:paraId="322CDF6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969" w:type="pct"/>
            <w:tcBorders>
              <w:top w:val="nil"/>
              <w:left w:val="nil"/>
              <w:bottom w:val="single" w:color="auto" w:sz="4" w:space="0"/>
              <w:right w:val="single" w:color="auto" w:sz="4" w:space="0"/>
            </w:tcBorders>
            <w:vAlign w:val="center"/>
          </w:tcPr>
          <w:p w14:paraId="7E83B0F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融创公园壹号</w:t>
            </w:r>
          </w:p>
        </w:tc>
        <w:tc>
          <w:tcPr>
            <w:tcW w:w="971" w:type="pct"/>
            <w:tcBorders>
              <w:top w:val="nil"/>
              <w:left w:val="nil"/>
              <w:bottom w:val="single" w:color="auto" w:sz="4" w:space="0"/>
              <w:right w:val="single" w:color="auto" w:sz="4" w:space="0"/>
            </w:tcBorders>
            <w:vAlign w:val="center"/>
          </w:tcPr>
          <w:p w14:paraId="1D28A3D6">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25C75A86">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5621927">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9" w:type="pct"/>
            <w:tcBorders>
              <w:top w:val="nil"/>
              <w:left w:val="nil"/>
              <w:bottom w:val="single" w:color="auto" w:sz="4" w:space="0"/>
              <w:right w:val="single" w:color="auto" w:sz="4" w:space="0"/>
            </w:tcBorders>
            <w:vAlign w:val="center"/>
          </w:tcPr>
          <w:p w14:paraId="3F6BA2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1F3DE8C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34.89</w:t>
            </w:r>
          </w:p>
        </w:tc>
        <w:tc>
          <w:tcPr>
            <w:tcW w:w="1844" w:type="dxa"/>
            <w:tcBorders>
              <w:top w:val="nil"/>
              <w:left w:val="nil"/>
              <w:bottom w:val="single" w:color="auto" w:sz="4" w:space="0"/>
              <w:right w:val="single" w:color="auto" w:sz="4" w:space="0"/>
            </w:tcBorders>
            <w:vAlign w:val="center"/>
          </w:tcPr>
          <w:p w14:paraId="2517990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32.98</w:t>
            </w:r>
          </w:p>
        </w:tc>
        <w:tc>
          <w:tcPr>
            <w:tcW w:w="1848" w:type="dxa"/>
            <w:tcBorders>
              <w:top w:val="nil"/>
              <w:left w:val="nil"/>
              <w:bottom w:val="single" w:color="auto" w:sz="4" w:space="0"/>
              <w:right w:val="single" w:color="auto" w:sz="4" w:space="0"/>
            </w:tcBorders>
            <w:vAlign w:val="center"/>
          </w:tcPr>
          <w:p w14:paraId="15562B4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33.23</w:t>
            </w:r>
          </w:p>
        </w:tc>
      </w:tr>
      <w:tr w14:paraId="3FF8839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BE899B3">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9" w:type="pct"/>
            <w:tcBorders>
              <w:top w:val="nil"/>
              <w:left w:val="nil"/>
              <w:bottom w:val="single" w:color="auto" w:sz="4" w:space="0"/>
              <w:right w:val="single" w:color="auto" w:sz="4" w:space="0"/>
            </w:tcBorders>
            <w:vAlign w:val="center"/>
          </w:tcPr>
          <w:p w14:paraId="555D4B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9" w:type="pct"/>
            <w:tcBorders>
              <w:top w:val="nil"/>
              <w:left w:val="nil"/>
              <w:bottom w:val="single" w:color="auto" w:sz="4" w:space="0"/>
              <w:right w:val="single" w:color="auto" w:sz="4" w:space="0"/>
            </w:tcBorders>
            <w:vAlign w:val="center"/>
          </w:tcPr>
          <w:p w14:paraId="77302252">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9" w:type="pct"/>
            <w:tcBorders>
              <w:top w:val="nil"/>
              <w:left w:val="nil"/>
              <w:bottom w:val="single" w:color="auto" w:sz="4" w:space="0"/>
              <w:right w:val="single" w:color="auto" w:sz="4" w:space="0"/>
            </w:tcBorders>
            <w:vAlign w:val="center"/>
          </w:tcPr>
          <w:p w14:paraId="0CA1A39F">
            <w:pPr>
              <w:widowControl/>
              <w:adjustRightInd/>
              <w:spacing w:line="240" w:lineRule="auto"/>
              <w:jc w:val="center"/>
              <w:textAlignment w:val="auto"/>
              <w:rPr>
                <w:rFonts w:ascii="Arial" w:hAnsi="Arial" w:cs="Arial"/>
                <w:sz w:val="16"/>
                <w:szCs w:val="18"/>
              </w:rPr>
            </w:pPr>
            <w:commentRangeStart w:id="14"/>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commentRangeEnd w:id="14"/>
            <w:r>
              <w:rPr>
                <w:rStyle w:val="40"/>
              </w:rPr>
              <w:commentReference w:id="14"/>
            </w:r>
          </w:p>
        </w:tc>
        <w:tc>
          <w:tcPr>
            <w:tcW w:w="971" w:type="pct"/>
            <w:tcBorders>
              <w:top w:val="nil"/>
              <w:left w:val="nil"/>
              <w:bottom w:val="single" w:color="auto" w:sz="4" w:space="0"/>
              <w:right w:val="single" w:color="auto" w:sz="4" w:space="0"/>
            </w:tcBorders>
            <w:vAlign w:val="center"/>
          </w:tcPr>
          <w:p w14:paraId="300EB9B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23AE140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BDD2254">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9" w:type="pct"/>
            <w:tcBorders>
              <w:top w:val="nil"/>
              <w:left w:val="nil"/>
              <w:bottom w:val="single" w:color="auto" w:sz="4" w:space="0"/>
              <w:right w:val="single" w:color="auto" w:sz="4" w:space="0"/>
            </w:tcBorders>
            <w:vAlign w:val="center"/>
          </w:tcPr>
          <w:p w14:paraId="2D7ACEA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5B55AF5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0135311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1" w:type="pct"/>
            <w:tcBorders>
              <w:top w:val="nil"/>
              <w:left w:val="nil"/>
              <w:bottom w:val="single" w:color="auto" w:sz="4" w:space="0"/>
              <w:right w:val="single" w:color="auto" w:sz="4" w:space="0"/>
            </w:tcBorders>
            <w:vAlign w:val="center"/>
          </w:tcPr>
          <w:p w14:paraId="70A922EF">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7B5625FD">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8431074">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9" w:type="pct"/>
            <w:tcBorders>
              <w:top w:val="nil"/>
              <w:left w:val="nil"/>
              <w:bottom w:val="single" w:color="auto" w:sz="4" w:space="0"/>
              <w:right w:val="single" w:color="auto" w:sz="4" w:space="0"/>
            </w:tcBorders>
            <w:vAlign w:val="center"/>
          </w:tcPr>
          <w:p w14:paraId="6FDB3004">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46CE0FA6">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6A3B396E">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1" w:type="pct"/>
            <w:tcBorders>
              <w:top w:val="nil"/>
              <w:left w:val="nil"/>
              <w:bottom w:val="single" w:color="auto" w:sz="4" w:space="0"/>
              <w:right w:val="single" w:color="auto" w:sz="4" w:space="0"/>
            </w:tcBorders>
            <w:vAlign w:val="center"/>
          </w:tcPr>
          <w:p w14:paraId="7D1720E7">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757258D8">
        <w:tblPrEx>
          <w:tblCellMar>
            <w:top w:w="0" w:type="dxa"/>
            <w:left w:w="108" w:type="dxa"/>
            <w:bottom w:w="0" w:type="dxa"/>
            <w:right w:w="108" w:type="dxa"/>
          </w:tblCellMar>
        </w:tblPrEx>
        <w:trPr>
          <w:trHeight w:val="397"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32FC66A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17FAE55E">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9" w:type="pct"/>
            <w:tcBorders>
              <w:top w:val="nil"/>
              <w:left w:val="nil"/>
              <w:bottom w:val="single" w:color="auto" w:sz="4" w:space="0"/>
              <w:right w:val="single" w:color="auto" w:sz="4" w:space="0"/>
            </w:tcBorders>
            <w:vAlign w:val="center"/>
          </w:tcPr>
          <w:p w14:paraId="0F3E12A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估价对象周边2公里内有CCB建融家园创业之家、紫薇兰庭等居住项目，居住小区规模适中，入住率一般，综合评价居住社区成熟度一般</w:t>
            </w:r>
          </w:p>
        </w:tc>
        <w:tc>
          <w:tcPr>
            <w:tcW w:w="969" w:type="pct"/>
            <w:tcBorders>
              <w:top w:val="nil"/>
              <w:left w:val="nil"/>
              <w:bottom w:val="single" w:color="auto" w:sz="4" w:space="0"/>
              <w:right w:val="single" w:color="auto" w:sz="4" w:space="0"/>
            </w:tcBorders>
            <w:vAlign w:val="center"/>
          </w:tcPr>
          <w:p w14:paraId="5B5F544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周边2公里内有融创公园壹号、华远和煦里、华远和墅、格林云墅、首创悦都汇等居住项目，居住小区规模适中，入住率较好，综合评价居住区成熟度较好</w:t>
            </w:r>
          </w:p>
        </w:tc>
        <w:tc>
          <w:tcPr>
            <w:tcW w:w="969" w:type="pct"/>
            <w:tcBorders>
              <w:top w:val="nil"/>
              <w:left w:val="nil"/>
              <w:bottom w:val="single" w:color="auto" w:sz="4" w:space="0"/>
              <w:right w:val="single" w:color="auto" w:sz="4" w:space="0"/>
            </w:tcBorders>
            <w:vAlign w:val="center"/>
          </w:tcPr>
          <w:p w14:paraId="73313B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周边2公里内有华远和煦里、华远和墅、格林云墅、首创悦都汇等居住项目，居住小区规模适中，入住率较好，综合评价居住区成熟度较好</w:t>
            </w:r>
          </w:p>
        </w:tc>
        <w:tc>
          <w:tcPr>
            <w:tcW w:w="971" w:type="pct"/>
            <w:tcBorders>
              <w:top w:val="nil"/>
              <w:left w:val="nil"/>
              <w:bottom w:val="single" w:color="auto" w:sz="4" w:space="0"/>
              <w:right w:val="single" w:color="auto" w:sz="4" w:space="0"/>
            </w:tcBorders>
            <w:vAlign w:val="center"/>
          </w:tcPr>
          <w:p w14:paraId="42C0B1D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r>
      <w:tr w14:paraId="341B70A6">
        <w:tblPrEx>
          <w:tblCellMar>
            <w:top w:w="0" w:type="dxa"/>
            <w:left w:w="108" w:type="dxa"/>
            <w:bottom w:w="0" w:type="dxa"/>
            <w:right w:w="108" w:type="dxa"/>
          </w:tblCellMar>
        </w:tblPrEx>
        <w:trPr>
          <w:trHeight w:val="90"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EC73FF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CEDDD57">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9" w:type="pct"/>
            <w:tcBorders>
              <w:top w:val="nil"/>
              <w:left w:val="nil"/>
              <w:bottom w:val="single" w:color="auto" w:sz="4" w:space="0"/>
              <w:right w:val="single" w:color="auto" w:sz="4" w:space="0"/>
            </w:tcBorders>
            <w:vAlign w:val="center"/>
          </w:tcPr>
          <w:p w14:paraId="4C5141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周边500米内有城市次干道——鼎创路</w:t>
            </w:r>
          </w:p>
        </w:tc>
        <w:tc>
          <w:tcPr>
            <w:tcW w:w="969" w:type="pct"/>
            <w:tcBorders>
              <w:top w:val="nil"/>
              <w:left w:val="nil"/>
              <w:bottom w:val="single" w:color="auto" w:sz="4" w:space="0"/>
              <w:right w:val="single" w:color="auto" w:sz="4" w:space="0"/>
            </w:tcBorders>
            <w:vAlign w:val="center"/>
          </w:tcPr>
          <w:p w14:paraId="64395F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周边500米内有城市次干道——盛达街</w:t>
            </w:r>
          </w:p>
        </w:tc>
        <w:tc>
          <w:tcPr>
            <w:tcW w:w="969" w:type="pct"/>
            <w:tcBorders>
              <w:top w:val="nil"/>
              <w:left w:val="nil"/>
              <w:bottom w:val="single" w:color="auto" w:sz="4" w:space="0"/>
              <w:right w:val="single" w:color="auto" w:sz="4" w:space="0"/>
            </w:tcBorders>
            <w:vAlign w:val="center"/>
          </w:tcPr>
          <w:p w14:paraId="08181C0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周边500米内有城市次干道——</w:t>
            </w:r>
            <w:r>
              <w:rPr>
                <w:rFonts w:hint="eastAsia" w:ascii="Arial" w:hAnsi="Arial" w:cs="Arial"/>
                <w:sz w:val="16"/>
                <w:szCs w:val="18"/>
              </w:rPr>
              <w:t>盛通街</w:t>
            </w:r>
          </w:p>
        </w:tc>
        <w:tc>
          <w:tcPr>
            <w:tcW w:w="971" w:type="pct"/>
            <w:tcBorders>
              <w:top w:val="nil"/>
              <w:left w:val="nil"/>
              <w:bottom w:val="single" w:color="auto" w:sz="4" w:space="0"/>
              <w:right w:val="single" w:color="auto" w:sz="4" w:space="0"/>
            </w:tcBorders>
            <w:vAlign w:val="center"/>
          </w:tcPr>
          <w:p w14:paraId="1FF925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周边500米内有城市次干道——安顺北路</w:t>
            </w:r>
          </w:p>
        </w:tc>
      </w:tr>
      <w:tr w14:paraId="5E6C420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BBD608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B2DEFAB">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9" w:type="pct"/>
            <w:tcBorders>
              <w:top w:val="nil"/>
              <w:left w:val="nil"/>
              <w:bottom w:val="single" w:color="auto" w:sz="4" w:space="0"/>
              <w:right w:val="single" w:color="auto" w:sz="4" w:space="0"/>
            </w:tcBorders>
            <w:vAlign w:val="center"/>
          </w:tcPr>
          <w:p w14:paraId="3C5042E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6E241C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7A612AA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1" w:type="pct"/>
            <w:tcBorders>
              <w:top w:val="nil"/>
              <w:left w:val="nil"/>
              <w:bottom w:val="single" w:color="auto" w:sz="4" w:space="0"/>
              <w:right w:val="single" w:color="auto" w:sz="4" w:space="0"/>
            </w:tcBorders>
            <w:vAlign w:val="center"/>
          </w:tcPr>
          <w:p w14:paraId="7CAEF1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7ED1C60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A2E211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6B97189">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9" w:type="pct"/>
            <w:tcBorders>
              <w:top w:val="nil"/>
              <w:left w:val="nil"/>
              <w:bottom w:val="single" w:color="auto" w:sz="4" w:space="0"/>
              <w:right w:val="single" w:color="auto" w:sz="4" w:space="0"/>
            </w:tcBorders>
            <w:vAlign w:val="center"/>
          </w:tcPr>
          <w:p w14:paraId="2345758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周边1公里内有兴29路、兴63路、兴80路等公交线路途径并设立站点，综合评价交通便捷度一般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3AB99C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7DB39F4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71" w:type="pct"/>
            <w:tcBorders>
              <w:top w:val="nil"/>
              <w:left w:val="nil"/>
              <w:bottom w:val="single" w:color="auto" w:sz="4" w:space="0"/>
              <w:right w:val="single" w:color="auto" w:sz="4" w:space="0"/>
            </w:tcBorders>
            <w:vAlign w:val="center"/>
          </w:tcPr>
          <w:p w14:paraId="6EF317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r>
      <w:tr w14:paraId="1C62E03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0A5F6E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9FD83A4">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9" w:type="pct"/>
            <w:tcBorders>
              <w:top w:val="nil"/>
              <w:left w:val="nil"/>
              <w:bottom w:val="single" w:color="auto" w:sz="4" w:space="0"/>
              <w:right w:val="single" w:color="auto" w:sz="4" w:space="0"/>
            </w:tcBorders>
            <w:vAlign w:val="center"/>
          </w:tcPr>
          <w:p w14:paraId="5DAFD2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9" w:type="pct"/>
            <w:tcBorders>
              <w:top w:val="nil"/>
              <w:left w:val="nil"/>
              <w:bottom w:val="single" w:color="auto" w:sz="4" w:space="0"/>
              <w:right w:val="single" w:color="auto" w:sz="4" w:space="0"/>
            </w:tcBorders>
            <w:vAlign w:val="center"/>
          </w:tcPr>
          <w:p w14:paraId="3D3A440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9" w:type="pct"/>
            <w:tcBorders>
              <w:top w:val="nil"/>
              <w:left w:val="nil"/>
              <w:bottom w:val="single" w:color="auto" w:sz="4" w:space="0"/>
              <w:right w:val="single" w:color="auto" w:sz="4" w:space="0"/>
            </w:tcBorders>
            <w:vAlign w:val="center"/>
          </w:tcPr>
          <w:p w14:paraId="7F509A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1" w:type="pct"/>
            <w:tcBorders>
              <w:top w:val="nil"/>
              <w:left w:val="nil"/>
              <w:bottom w:val="single" w:color="auto" w:sz="4" w:space="0"/>
              <w:right w:val="single" w:color="auto" w:sz="4" w:space="0"/>
            </w:tcBorders>
            <w:vAlign w:val="center"/>
          </w:tcPr>
          <w:p w14:paraId="5236D3A9">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515BEDD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840BEC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6E3AA7E">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9" w:type="pct"/>
            <w:tcBorders>
              <w:top w:val="nil"/>
              <w:left w:val="nil"/>
              <w:bottom w:val="single" w:color="auto" w:sz="4" w:space="0"/>
              <w:right w:val="single" w:color="auto" w:sz="4" w:space="0"/>
            </w:tcBorders>
            <w:vAlign w:val="center"/>
          </w:tcPr>
          <w:p w14:paraId="671061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估价对象周边2公里有新西凤渠湿地、新凤河等自然景观，自然与人文环境一般</w:t>
            </w:r>
          </w:p>
        </w:tc>
        <w:tc>
          <w:tcPr>
            <w:tcW w:w="969" w:type="pct"/>
            <w:tcBorders>
              <w:top w:val="nil"/>
              <w:left w:val="nil"/>
              <w:bottom w:val="single" w:color="auto" w:sz="4" w:space="0"/>
              <w:right w:val="single" w:color="auto" w:sz="4" w:space="0"/>
            </w:tcBorders>
            <w:vAlign w:val="center"/>
          </w:tcPr>
          <w:p w14:paraId="7A6E52B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69" w:type="pct"/>
            <w:tcBorders>
              <w:top w:val="nil"/>
              <w:left w:val="nil"/>
              <w:bottom w:val="single" w:color="auto" w:sz="4" w:space="0"/>
              <w:right w:val="single" w:color="auto" w:sz="4" w:space="0"/>
            </w:tcBorders>
            <w:vAlign w:val="center"/>
          </w:tcPr>
          <w:p w14:paraId="7568519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71" w:type="pct"/>
            <w:tcBorders>
              <w:top w:val="nil"/>
              <w:left w:val="nil"/>
              <w:bottom w:val="single" w:color="auto" w:sz="4" w:space="0"/>
              <w:right w:val="single" w:color="auto" w:sz="4" w:space="0"/>
            </w:tcBorders>
            <w:vAlign w:val="center"/>
          </w:tcPr>
          <w:p w14:paraId="3E0E9AF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r>
      <w:tr w14:paraId="7B43275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EC0317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E366C56">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9" w:type="pct"/>
            <w:tcBorders>
              <w:top w:val="nil"/>
              <w:left w:val="nil"/>
              <w:bottom w:val="single" w:color="auto" w:sz="4" w:space="0"/>
              <w:right w:val="single" w:color="auto" w:sz="4" w:space="0"/>
            </w:tcBorders>
            <w:vAlign w:val="center"/>
          </w:tcPr>
          <w:p w14:paraId="48E6EB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9" w:type="pct"/>
            <w:tcBorders>
              <w:top w:val="nil"/>
              <w:left w:val="nil"/>
              <w:bottom w:val="single" w:color="auto" w:sz="4" w:space="0"/>
              <w:right w:val="single" w:color="auto" w:sz="4" w:space="0"/>
            </w:tcBorders>
            <w:vAlign w:val="center"/>
          </w:tcPr>
          <w:p w14:paraId="5DE063F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9" w:type="pct"/>
            <w:tcBorders>
              <w:top w:val="nil"/>
              <w:left w:val="nil"/>
              <w:bottom w:val="single" w:color="auto" w:sz="4" w:space="0"/>
              <w:right w:val="single" w:color="auto" w:sz="4" w:space="0"/>
            </w:tcBorders>
            <w:vAlign w:val="center"/>
          </w:tcPr>
          <w:p w14:paraId="0467ED6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1" w:type="pct"/>
            <w:tcBorders>
              <w:top w:val="nil"/>
              <w:left w:val="nil"/>
              <w:bottom w:val="single" w:color="auto" w:sz="4" w:space="0"/>
              <w:right w:val="single" w:color="auto" w:sz="4" w:space="0"/>
            </w:tcBorders>
            <w:vAlign w:val="center"/>
          </w:tcPr>
          <w:p w14:paraId="220A2BE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3265744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A48259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CD60F1C">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9" w:type="pct"/>
            <w:tcBorders>
              <w:top w:val="nil"/>
              <w:left w:val="nil"/>
              <w:bottom w:val="single" w:color="auto" w:sz="4" w:space="0"/>
              <w:right w:val="single" w:color="auto" w:sz="4" w:space="0"/>
            </w:tcBorders>
            <w:vAlign w:val="center"/>
          </w:tcPr>
          <w:p w14:paraId="5B0E5A1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无大型购物中心，有多喜多超市、春雷生活超市等生活配套商业；有北京现代艺术学校、北京三间房中心幼儿园等教育机构，有北京市大兴区黄村镇三间房社区卫生服务站等医疗机构；有北京农商银行（新建分理处）等金融网点，公共配套设施状况一般</w:t>
            </w:r>
          </w:p>
        </w:tc>
        <w:tc>
          <w:tcPr>
            <w:tcW w:w="969" w:type="pct"/>
            <w:tcBorders>
              <w:top w:val="nil"/>
              <w:left w:val="nil"/>
              <w:bottom w:val="single" w:color="auto" w:sz="4" w:space="0"/>
              <w:right w:val="single" w:color="auto" w:sz="4" w:space="0"/>
            </w:tcBorders>
            <w:vAlign w:val="center"/>
          </w:tcPr>
          <w:p w14:paraId="50A2478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69" w:type="pct"/>
            <w:tcBorders>
              <w:top w:val="nil"/>
              <w:left w:val="nil"/>
              <w:bottom w:val="single" w:color="auto" w:sz="4" w:space="0"/>
              <w:right w:val="single" w:color="auto" w:sz="4" w:space="0"/>
            </w:tcBorders>
            <w:vAlign w:val="center"/>
          </w:tcPr>
          <w:p w14:paraId="7C9E912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71" w:type="pct"/>
            <w:tcBorders>
              <w:top w:val="nil"/>
              <w:left w:val="nil"/>
              <w:bottom w:val="single" w:color="auto" w:sz="4" w:space="0"/>
              <w:right w:val="single" w:color="auto" w:sz="4" w:space="0"/>
            </w:tcBorders>
            <w:vAlign w:val="center"/>
          </w:tcPr>
          <w:p w14:paraId="6A329A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r>
      <w:tr w14:paraId="5125E2A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92BC5C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F4F3D4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9" w:type="pct"/>
            <w:tcBorders>
              <w:top w:val="nil"/>
              <w:left w:val="nil"/>
              <w:bottom w:val="single" w:color="auto" w:sz="4" w:space="0"/>
              <w:right w:val="single" w:color="auto" w:sz="4" w:space="0"/>
            </w:tcBorders>
            <w:vAlign w:val="center"/>
          </w:tcPr>
          <w:p w14:paraId="3DEED2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9" w:type="pct"/>
            <w:tcBorders>
              <w:top w:val="nil"/>
              <w:left w:val="nil"/>
              <w:bottom w:val="single" w:color="auto" w:sz="4" w:space="0"/>
              <w:right w:val="single" w:color="auto" w:sz="4" w:space="0"/>
            </w:tcBorders>
            <w:vAlign w:val="center"/>
          </w:tcPr>
          <w:p w14:paraId="0E1B5A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69" w:type="pct"/>
            <w:tcBorders>
              <w:top w:val="nil"/>
              <w:left w:val="nil"/>
              <w:bottom w:val="single" w:color="auto" w:sz="4" w:space="0"/>
              <w:right w:val="single" w:color="auto" w:sz="4" w:space="0"/>
            </w:tcBorders>
            <w:vAlign w:val="center"/>
          </w:tcPr>
          <w:p w14:paraId="4A6107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71" w:type="pct"/>
            <w:tcBorders>
              <w:top w:val="nil"/>
              <w:left w:val="nil"/>
              <w:bottom w:val="single" w:color="auto" w:sz="4" w:space="0"/>
              <w:right w:val="single" w:color="auto" w:sz="4" w:space="0"/>
            </w:tcBorders>
            <w:vAlign w:val="center"/>
          </w:tcPr>
          <w:p w14:paraId="076BE4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34D4182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57563C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381C931">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55105F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7025DD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77A2E2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71" w:type="pct"/>
            <w:tcBorders>
              <w:top w:val="nil"/>
              <w:left w:val="nil"/>
              <w:bottom w:val="single" w:color="auto" w:sz="4" w:space="0"/>
              <w:right w:val="single" w:color="auto" w:sz="4" w:space="0"/>
            </w:tcBorders>
            <w:vAlign w:val="center"/>
          </w:tcPr>
          <w:p w14:paraId="3EC55E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15A60AD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47B0476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0B0C23D">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9" w:type="pct"/>
            <w:tcBorders>
              <w:top w:val="nil"/>
              <w:left w:val="nil"/>
              <w:bottom w:val="single" w:color="auto" w:sz="4" w:space="0"/>
              <w:right w:val="single" w:color="auto" w:sz="4" w:space="0"/>
            </w:tcBorders>
            <w:vAlign w:val="center"/>
          </w:tcPr>
          <w:p w14:paraId="28188D5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9" w:type="pct"/>
            <w:tcBorders>
              <w:top w:val="nil"/>
              <w:left w:val="nil"/>
              <w:bottom w:val="single" w:color="auto" w:sz="4" w:space="0"/>
              <w:right w:val="single" w:color="auto" w:sz="4" w:space="0"/>
            </w:tcBorders>
            <w:vAlign w:val="center"/>
          </w:tcPr>
          <w:p w14:paraId="50F3A4D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9" w:type="pct"/>
            <w:tcBorders>
              <w:top w:val="nil"/>
              <w:left w:val="nil"/>
              <w:bottom w:val="single" w:color="auto" w:sz="4" w:space="0"/>
              <w:right w:val="single" w:color="auto" w:sz="4" w:space="0"/>
            </w:tcBorders>
            <w:vAlign w:val="center"/>
          </w:tcPr>
          <w:p w14:paraId="2E06A7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1" w:type="pct"/>
            <w:tcBorders>
              <w:top w:val="nil"/>
              <w:left w:val="nil"/>
              <w:bottom w:val="single" w:color="auto" w:sz="4" w:space="0"/>
              <w:right w:val="single" w:color="auto" w:sz="4" w:space="0"/>
            </w:tcBorders>
            <w:vAlign w:val="center"/>
          </w:tcPr>
          <w:p w14:paraId="505CDD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6716F2C5">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1DFB8958">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55D0AC44">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9" w:type="pct"/>
            <w:tcBorders>
              <w:top w:val="single" w:color="auto" w:sz="4" w:space="0"/>
              <w:left w:val="nil"/>
              <w:bottom w:val="single" w:color="auto" w:sz="4" w:space="0"/>
              <w:right w:val="single" w:color="auto" w:sz="4" w:space="0"/>
            </w:tcBorders>
            <w:vAlign w:val="center"/>
          </w:tcPr>
          <w:p w14:paraId="416D88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221A10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5D03902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71" w:type="pct"/>
            <w:tcBorders>
              <w:top w:val="single" w:color="auto" w:sz="4" w:space="0"/>
              <w:left w:val="nil"/>
              <w:bottom w:val="single" w:color="auto" w:sz="4" w:space="0"/>
              <w:right w:val="single" w:color="auto" w:sz="4" w:space="0"/>
            </w:tcBorders>
            <w:vAlign w:val="center"/>
          </w:tcPr>
          <w:p w14:paraId="6CBE99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151E68D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66C635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2B7FB5">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9" w:type="pct"/>
            <w:tcBorders>
              <w:top w:val="single" w:color="auto" w:sz="4" w:space="0"/>
              <w:left w:val="nil"/>
              <w:bottom w:val="single" w:color="auto" w:sz="4" w:space="0"/>
              <w:right w:val="single" w:color="auto" w:sz="4" w:space="0"/>
            </w:tcBorders>
            <w:vAlign w:val="center"/>
          </w:tcPr>
          <w:p w14:paraId="1ACF15B4">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158050CB">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76A82A46">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2C6AB7E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5ECF842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AA90255">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0CB44E1">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9" w:type="pct"/>
            <w:tcBorders>
              <w:top w:val="single" w:color="auto" w:sz="4" w:space="0"/>
              <w:left w:val="nil"/>
              <w:bottom w:val="single" w:color="auto" w:sz="4" w:space="0"/>
              <w:right w:val="single" w:color="auto" w:sz="4" w:space="0"/>
            </w:tcBorders>
            <w:vAlign w:val="center"/>
          </w:tcPr>
          <w:p w14:paraId="211E48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21E16A9F">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5FC40F2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7F86509D">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4F86290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A0CD1C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8D9DAA6">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9" w:type="pct"/>
            <w:tcBorders>
              <w:top w:val="single" w:color="auto" w:sz="4" w:space="0"/>
              <w:left w:val="nil"/>
              <w:bottom w:val="single" w:color="auto" w:sz="4" w:space="0"/>
              <w:right w:val="single" w:color="auto" w:sz="4" w:space="0"/>
            </w:tcBorders>
            <w:vAlign w:val="center"/>
          </w:tcPr>
          <w:p w14:paraId="18A5F41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3191CB68">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41351F56">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1" w:type="pct"/>
            <w:tcBorders>
              <w:top w:val="single" w:color="auto" w:sz="4" w:space="0"/>
              <w:left w:val="nil"/>
              <w:bottom w:val="single" w:color="auto" w:sz="4" w:space="0"/>
              <w:right w:val="single" w:color="auto" w:sz="4" w:space="0"/>
            </w:tcBorders>
            <w:vAlign w:val="center"/>
          </w:tcPr>
          <w:p w14:paraId="2DFFF5D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4B28F5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8E0735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5B5B83C">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9" w:type="pct"/>
            <w:tcBorders>
              <w:top w:val="single" w:color="auto" w:sz="4" w:space="0"/>
              <w:left w:val="nil"/>
              <w:bottom w:val="single" w:color="auto" w:sz="4" w:space="0"/>
              <w:right w:val="single" w:color="auto" w:sz="4" w:space="0"/>
            </w:tcBorders>
            <w:vAlign w:val="center"/>
          </w:tcPr>
          <w:p w14:paraId="2769914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9" w:type="pct"/>
            <w:tcBorders>
              <w:top w:val="single" w:color="auto" w:sz="4" w:space="0"/>
              <w:left w:val="nil"/>
              <w:bottom w:val="single" w:color="auto" w:sz="4" w:space="0"/>
              <w:right w:val="single" w:color="auto" w:sz="4" w:space="0"/>
            </w:tcBorders>
            <w:vAlign w:val="center"/>
          </w:tcPr>
          <w:p w14:paraId="17F7A644">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9" w:type="pct"/>
            <w:tcBorders>
              <w:top w:val="single" w:color="auto" w:sz="4" w:space="0"/>
              <w:left w:val="nil"/>
              <w:bottom w:val="single" w:color="auto" w:sz="4" w:space="0"/>
              <w:right w:val="single" w:color="auto" w:sz="4" w:space="0"/>
            </w:tcBorders>
            <w:vAlign w:val="center"/>
          </w:tcPr>
          <w:p w14:paraId="12B24524">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1" w:type="pct"/>
            <w:tcBorders>
              <w:top w:val="single" w:color="auto" w:sz="4" w:space="0"/>
              <w:left w:val="nil"/>
              <w:bottom w:val="single" w:color="auto" w:sz="4" w:space="0"/>
              <w:right w:val="single" w:color="auto" w:sz="4" w:space="0"/>
            </w:tcBorders>
            <w:vAlign w:val="center"/>
          </w:tcPr>
          <w:p w14:paraId="5C131FA9">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159F396B">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13169C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FB4A09C">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9" w:type="pct"/>
            <w:tcBorders>
              <w:top w:val="single" w:color="auto" w:sz="4" w:space="0"/>
              <w:left w:val="nil"/>
              <w:bottom w:val="single" w:color="auto" w:sz="4" w:space="0"/>
              <w:right w:val="single" w:color="auto" w:sz="4" w:space="0"/>
            </w:tcBorders>
            <w:vAlign w:val="center"/>
          </w:tcPr>
          <w:p w14:paraId="5F8250EB">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9" w:type="pct"/>
            <w:tcBorders>
              <w:top w:val="single" w:color="auto" w:sz="4" w:space="0"/>
              <w:left w:val="nil"/>
              <w:bottom w:val="single" w:color="auto" w:sz="4" w:space="0"/>
              <w:right w:val="single" w:color="auto" w:sz="4" w:space="0"/>
            </w:tcBorders>
            <w:vAlign w:val="center"/>
          </w:tcPr>
          <w:p w14:paraId="256735D1">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9" w:type="pct"/>
            <w:tcBorders>
              <w:top w:val="single" w:color="auto" w:sz="4" w:space="0"/>
              <w:left w:val="nil"/>
              <w:bottom w:val="single" w:color="auto" w:sz="4" w:space="0"/>
              <w:right w:val="single" w:color="auto" w:sz="4" w:space="0"/>
            </w:tcBorders>
            <w:vAlign w:val="center"/>
          </w:tcPr>
          <w:p w14:paraId="038862BA">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1" w:type="pct"/>
            <w:tcBorders>
              <w:top w:val="single" w:color="auto" w:sz="4" w:space="0"/>
              <w:left w:val="nil"/>
              <w:bottom w:val="single" w:color="auto" w:sz="4" w:space="0"/>
              <w:right w:val="single" w:color="auto" w:sz="4" w:space="0"/>
            </w:tcBorders>
            <w:vAlign w:val="center"/>
          </w:tcPr>
          <w:p w14:paraId="22403E35">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14:paraId="06AEC8A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86A804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8C73B45">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9" w:type="pct"/>
            <w:tcBorders>
              <w:top w:val="single" w:color="auto" w:sz="4" w:space="0"/>
              <w:left w:val="nil"/>
              <w:bottom w:val="single" w:color="auto" w:sz="4" w:space="0"/>
              <w:right w:val="single" w:color="auto" w:sz="4" w:space="0"/>
            </w:tcBorders>
            <w:vAlign w:val="center"/>
          </w:tcPr>
          <w:p w14:paraId="1E3990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217C52B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397D11C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1" w:type="pct"/>
            <w:tcBorders>
              <w:top w:val="single" w:color="auto" w:sz="4" w:space="0"/>
              <w:left w:val="nil"/>
              <w:bottom w:val="single" w:color="auto" w:sz="4" w:space="0"/>
              <w:right w:val="single" w:color="auto" w:sz="4" w:space="0"/>
            </w:tcBorders>
            <w:vAlign w:val="center"/>
          </w:tcPr>
          <w:p w14:paraId="0E2042C9">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0704607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A555C6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C6C72A">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9" w:type="pct"/>
            <w:tcBorders>
              <w:top w:val="single" w:color="auto" w:sz="4" w:space="0"/>
              <w:left w:val="nil"/>
              <w:bottom w:val="single" w:color="auto" w:sz="4" w:space="0"/>
              <w:right w:val="single" w:color="auto" w:sz="4" w:space="0"/>
            </w:tcBorders>
            <w:vAlign w:val="center"/>
          </w:tcPr>
          <w:p w14:paraId="5FD377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87.36</w:t>
            </w:r>
          </w:p>
        </w:tc>
        <w:tc>
          <w:tcPr>
            <w:tcW w:w="969" w:type="pct"/>
            <w:tcBorders>
              <w:top w:val="single" w:color="auto" w:sz="4" w:space="0"/>
              <w:left w:val="nil"/>
              <w:bottom w:val="single" w:color="auto" w:sz="4" w:space="0"/>
              <w:right w:val="single" w:color="auto" w:sz="4" w:space="0"/>
            </w:tcBorders>
            <w:vAlign w:val="center"/>
          </w:tcPr>
          <w:p w14:paraId="4EAB33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88</w:t>
            </w:r>
          </w:p>
        </w:tc>
        <w:tc>
          <w:tcPr>
            <w:tcW w:w="969" w:type="pct"/>
            <w:tcBorders>
              <w:top w:val="single" w:color="auto" w:sz="4" w:space="0"/>
              <w:left w:val="nil"/>
              <w:bottom w:val="single" w:color="auto" w:sz="4" w:space="0"/>
              <w:right w:val="single" w:color="auto" w:sz="4" w:space="0"/>
            </w:tcBorders>
            <w:vAlign w:val="center"/>
          </w:tcPr>
          <w:p w14:paraId="18DC0A22">
            <w:pPr>
              <w:widowControl/>
              <w:adjustRightInd/>
              <w:spacing w:line="240" w:lineRule="auto"/>
              <w:jc w:val="center"/>
              <w:textAlignment w:val="auto"/>
              <w:rPr>
                <w:rFonts w:hint="default" w:ascii="Arial" w:hAnsi="Arial" w:eastAsia="宋体" w:cs="Arial"/>
                <w:sz w:val="16"/>
                <w:szCs w:val="18"/>
                <w:lang w:val="en-US" w:eastAsia="zh-CN"/>
              </w:rPr>
            </w:pPr>
            <w:r>
              <w:rPr>
                <w:rFonts w:hint="eastAsia" w:ascii="Arial" w:hAnsi="Arial" w:cs="Arial"/>
                <w:sz w:val="16"/>
                <w:szCs w:val="18"/>
                <w:lang w:val="en-US" w:eastAsia="zh-CN"/>
              </w:rPr>
              <w:t>89.34</w:t>
            </w:r>
          </w:p>
        </w:tc>
        <w:tc>
          <w:tcPr>
            <w:tcW w:w="971" w:type="pct"/>
            <w:tcBorders>
              <w:top w:val="single" w:color="auto" w:sz="4" w:space="0"/>
              <w:left w:val="nil"/>
              <w:bottom w:val="single" w:color="auto" w:sz="4" w:space="0"/>
              <w:right w:val="single" w:color="auto" w:sz="4" w:space="0"/>
            </w:tcBorders>
            <w:vAlign w:val="center"/>
          </w:tcPr>
          <w:p w14:paraId="4C7D89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83.52</w:t>
            </w:r>
          </w:p>
        </w:tc>
      </w:tr>
      <w:tr w14:paraId="7834B32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DF6466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BF85ABF">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9" w:type="pct"/>
            <w:tcBorders>
              <w:top w:val="single" w:color="auto" w:sz="4" w:space="0"/>
              <w:left w:val="nil"/>
              <w:bottom w:val="single" w:color="auto" w:sz="4" w:space="0"/>
              <w:right w:val="single" w:color="auto" w:sz="4" w:space="0"/>
            </w:tcBorders>
            <w:vAlign w:val="center"/>
          </w:tcPr>
          <w:p w14:paraId="01BE5677">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69" w:type="pct"/>
            <w:tcBorders>
              <w:top w:val="single" w:color="auto" w:sz="4" w:space="0"/>
              <w:left w:val="nil"/>
              <w:bottom w:val="single" w:color="auto" w:sz="4" w:space="0"/>
              <w:right w:val="single" w:color="auto" w:sz="4" w:space="0"/>
            </w:tcBorders>
            <w:vAlign w:val="center"/>
          </w:tcPr>
          <w:p w14:paraId="7E07B71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9" w:type="pct"/>
            <w:tcBorders>
              <w:top w:val="single" w:color="auto" w:sz="4" w:space="0"/>
              <w:left w:val="nil"/>
              <w:bottom w:val="single" w:color="auto" w:sz="4" w:space="0"/>
              <w:right w:val="single" w:color="auto" w:sz="4" w:space="0"/>
            </w:tcBorders>
            <w:vAlign w:val="center"/>
          </w:tcPr>
          <w:p w14:paraId="0908FA5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1" w:type="pct"/>
            <w:tcBorders>
              <w:top w:val="single" w:color="auto" w:sz="4" w:space="0"/>
              <w:left w:val="nil"/>
              <w:bottom w:val="single" w:color="auto" w:sz="4" w:space="0"/>
              <w:right w:val="single" w:color="auto" w:sz="4" w:space="0"/>
            </w:tcBorders>
            <w:vAlign w:val="center"/>
          </w:tcPr>
          <w:p w14:paraId="38783FCF">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0C5C0570">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18C8C50B">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693BF88E">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9" w:type="pct"/>
            <w:tcBorders>
              <w:top w:val="single" w:color="auto" w:sz="4" w:space="0"/>
              <w:left w:val="nil"/>
              <w:bottom w:val="single" w:color="auto" w:sz="4" w:space="0"/>
              <w:right w:val="single" w:color="auto" w:sz="4" w:space="0"/>
            </w:tcBorders>
            <w:vAlign w:val="center"/>
          </w:tcPr>
          <w:p w14:paraId="3CBB5D5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7AF7BE5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0D4D3E16">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1" w:type="pct"/>
            <w:tcBorders>
              <w:top w:val="single" w:color="auto" w:sz="4" w:space="0"/>
              <w:left w:val="nil"/>
              <w:bottom w:val="single" w:color="auto" w:sz="4" w:space="0"/>
              <w:right w:val="single" w:color="auto" w:sz="4" w:space="0"/>
            </w:tcBorders>
            <w:vAlign w:val="center"/>
          </w:tcPr>
          <w:p w14:paraId="675393DA">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16934E1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1495B1A">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638BDE0">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9" w:type="pct"/>
            <w:tcBorders>
              <w:top w:val="single" w:color="auto" w:sz="4" w:space="0"/>
              <w:left w:val="nil"/>
              <w:bottom w:val="single" w:color="auto" w:sz="4" w:space="0"/>
              <w:right w:val="single" w:color="auto" w:sz="4" w:space="0"/>
            </w:tcBorders>
            <w:vAlign w:val="center"/>
          </w:tcPr>
          <w:p w14:paraId="39D9148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57F4D32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6654AE9E">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1" w:type="pct"/>
            <w:tcBorders>
              <w:top w:val="single" w:color="auto" w:sz="4" w:space="0"/>
              <w:left w:val="nil"/>
              <w:bottom w:val="single" w:color="auto" w:sz="4" w:space="0"/>
              <w:right w:val="single" w:color="auto" w:sz="4" w:space="0"/>
            </w:tcBorders>
            <w:vAlign w:val="center"/>
          </w:tcPr>
          <w:p w14:paraId="59BBD97C">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4EFD2B21">
      <w:pPr>
        <w:overflowPunct w:val="0"/>
        <w:spacing w:line="480" w:lineRule="auto"/>
        <w:ind w:firstLine="420" w:firstLineChars="200"/>
        <w:jc w:val="center"/>
        <w:rPr>
          <w:rFonts w:ascii="Arial" w:hAnsi="Arial"/>
          <w:sz w:val="21"/>
          <w:szCs w:val="21"/>
        </w:rPr>
      </w:pPr>
    </w:p>
    <w:p w14:paraId="7358B23B">
      <w:pPr>
        <w:overflowPunct w:val="0"/>
        <w:spacing w:line="480" w:lineRule="auto"/>
        <w:ind w:firstLine="420" w:firstLineChars="200"/>
        <w:jc w:val="center"/>
        <w:rPr>
          <w:rFonts w:ascii="Arial" w:hAnsi="Arial"/>
          <w:sz w:val="21"/>
          <w:szCs w:val="21"/>
        </w:rPr>
      </w:pPr>
    </w:p>
    <w:p w14:paraId="2CBA829D">
      <w:pPr>
        <w:overflowPunct w:val="0"/>
        <w:spacing w:line="480" w:lineRule="auto"/>
        <w:ind w:firstLine="420" w:firstLineChars="200"/>
        <w:jc w:val="center"/>
        <w:rPr>
          <w:rFonts w:ascii="Arial" w:hAnsi="Arial"/>
          <w:sz w:val="21"/>
          <w:szCs w:val="21"/>
        </w:rPr>
      </w:pPr>
    </w:p>
    <w:p w14:paraId="0A317A36">
      <w:pPr>
        <w:overflowPunct w:val="0"/>
        <w:spacing w:line="480" w:lineRule="auto"/>
        <w:ind w:firstLine="420" w:firstLineChars="200"/>
        <w:jc w:val="center"/>
        <w:rPr>
          <w:rFonts w:ascii="Arial" w:hAnsi="Arial"/>
          <w:sz w:val="21"/>
          <w:szCs w:val="21"/>
        </w:rPr>
      </w:pPr>
    </w:p>
    <w:p w14:paraId="272A0D6F">
      <w:pPr>
        <w:overflowPunct w:val="0"/>
        <w:spacing w:line="480" w:lineRule="auto"/>
        <w:ind w:firstLine="420" w:firstLineChars="200"/>
        <w:jc w:val="center"/>
        <w:rPr>
          <w:rFonts w:ascii="Arial" w:hAnsi="Arial"/>
          <w:sz w:val="21"/>
          <w:szCs w:val="21"/>
        </w:rPr>
      </w:pPr>
    </w:p>
    <w:p w14:paraId="13522E6C">
      <w:pPr>
        <w:overflowPunct w:val="0"/>
        <w:spacing w:line="480" w:lineRule="auto"/>
        <w:ind w:firstLine="420" w:firstLineChars="200"/>
        <w:jc w:val="center"/>
        <w:rPr>
          <w:rFonts w:ascii="Arial" w:hAnsi="Arial"/>
          <w:sz w:val="21"/>
          <w:szCs w:val="21"/>
        </w:rPr>
      </w:pPr>
    </w:p>
    <w:p w14:paraId="52CBA991">
      <w:pPr>
        <w:overflowPunct w:val="0"/>
        <w:spacing w:line="480" w:lineRule="auto"/>
        <w:ind w:firstLine="420" w:firstLineChars="200"/>
        <w:jc w:val="center"/>
        <w:rPr>
          <w:rFonts w:ascii="Arial" w:hAnsi="Arial"/>
          <w:sz w:val="21"/>
          <w:szCs w:val="21"/>
        </w:rPr>
      </w:pPr>
    </w:p>
    <w:p w14:paraId="6A3512B0">
      <w:pPr>
        <w:overflowPunct w:val="0"/>
        <w:spacing w:line="480" w:lineRule="auto"/>
        <w:ind w:firstLine="420" w:firstLineChars="200"/>
        <w:jc w:val="center"/>
        <w:rPr>
          <w:rFonts w:ascii="Arial" w:hAnsi="Arial"/>
          <w:sz w:val="21"/>
          <w:szCs w:val="21"/>
        </w:rPr>
      </w:pPr>
    </w:p>
    <w:p w14:paraId="111AE32D">
      <w:pPr>
        <w:overflowPunct w:val="0"/>
        <w:spacing w:line="480" w:lineRule="auto"/>
        <w:ind w:firstLine="420" w:firstLineChars="200"/>
        <w:jc w:val="center"/>
        <w:rPr>
          <w:rFonts w:ascii="Arial" w:hAnsi="Arial"/>
          <w:sz w:val="21"/>
          <w:szCs w:val="21"/>
        </w:rPr>
      </w:pPr>
    </w:p>
    <w:p w14:paraId="4F89E4C7">
      <w:pPr>
        <w:wordWrap w:val="0"/>
        <w:overflowPunct w:val="0"/>
        <w:spacing w:line="480" w:lineRule="auto"/>
        <w:rPr>
          <w:rFonts w:ascii="Arial" w:hAnsi="Arial"/>
          <w:sz w:val="21"/>
          <w:szCs w:val="21"/>
        </w:rPr>
      </w:pPr>
    </w:p>
    <w:p w14:paraId="781A7F4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B92CB73">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3993B4D9">
      <w:pPr>
        <w:overflowPunct w:val="0"/>
        <w:spacing w:line="480" w:lineRule="auto"/>
        <w:ind w:firstLine="420" w:firstLineChars="200"/>
        <w:jc w:val="center"/>
        <w:rPr>
          <w:rFonts w:ascii="Arial" w:hAnsi="Arial"/>
          <w:sz w:val="21"/>
          <w:szCs w:val="21"/>
        </w:rPr>
      </w:pPr>
      <w:r>
        <w:rPr>
          <w:rFonts w:hint="eastAsia" w:ascii="Arial" w:hAnsi="Arial"/>
          <w:sz w:val="21"/>
          <w:szCs w:val="21"/>
        </w:rPr>
        <w:t>西红门金鼎欣盛家园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46"/>
        <w:gridCol w:w="978"/>
        <w:gridCol w:w="1002"/>
        <w:gridCol w:w="1002"/>
        <w:gridCol w:w="1002"/>
        <w:gridCol w:w="1002"/>
        <w:gridCol w:w="3761"/>
      </w:tblGrid>
      <w:tr w14:paraId="23E2EFBE">
        <w:tblPrEx>
          <w:tblCellMar>
            <w:top w:w="57" w:type="dxa"/>
            <w:left w:w="57" w:type="dxa"/>
            <w:bottom w:w="57" w:type="dxa"/>
            <w:right w:w="57" w:type="dxa"/>
          </w:tblCellMar>
        </w:tblPrEx>
        <w:trPr>
          <w:trHeight w:val="20" w:hRule="atLeast"/>
          <w:tblHeader/>
          <w:jc w:val="center"/>
        </w:trPr>
        <w:tc>
          <w:tcPr>
            <w:tcW w:w="82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728DB9E7">
            <w:pPr>
              <w:snapToGrid w:val="0"/>
              <w:spacing w:line="240" w:lineRule="exact"/>
              <w:jc w:val="right"/>
              <w:rPr>
                <w:rFonts w:ascii="宋体" w:hAnsi="宋体" w:cs="Arial"/>
                <w:sz w:val="16"/>
                <w:szCs w:val="18"/>
              </w:rPr>
            </w:pPr>
            <w:r>
              <w:rPr>
                <w:rFonts w:ascii="宋体" w:hAnsi="宋体" w:cs="Arial"/>
                <w:sz w:val="16"/>
                <w:szCs w:val="18"/>
              </w:rPr>
              <w:t>估价对象及</w:t>
            </w:r>
          </w:p>
          <w:p w14:paraId="4221C14A">
            <w:pPr>
              <w:snapToGrid w:val="0"/>
              <w:spacing w:line="240" w:lineRule="exact"/>
              <w:jc w:val="right"/>
              <w:rPr>
                <w:rFonts w:ascii="宋体" w:hAnsi="宋体" w:cs="Arial"/>
                <w:sz w:val="16"/>
                <w:szCs w:val="18"/>
              </w:rPr>
            </w:pPr>
            <w:r>
              <w:rPr>
                <w:rFonts w:ascii="宋体" w:hAnsi="宋体" w:cs="Arial"/>
                <w:sz w:val="16"/>
                <w:szCs w:val="18"/>
              </w:rPr>
              <w:t>可比实例</w:t>
            </w:r>
          </w:p>
          <w:p w14:paraId="2400FCCA">
            <w:pPr>
              <w:snapToGrid w:val="0"/>
              <w:spacing w:line="240" w:lineRule="exact"/>
              <w:jc w:val="both"/>
              <w:rPr>
                <w:rFonts w:ascii="宋体" w:hAnsi="宋体" w:cs="Arial"/>
                <w:sz w:val="16"/>
                <w:szCs w:val="18"/>
              </w:rPr>
            </w:pPr>
          </w:p>
          <w:p w14:paraId="54EEA11B">
            <w:pPr>
              <w:snapToGrid w:val="0"/>
              <w:spacing w:line="240" w:lineRule="exact"/>
              <w:jc w:val="both"/>
              <w:rPr>
                <w:rFonts w:ascii="宋体" w:hAnsi="宋体" w:cs="Arial"/>
                <w:sz w:val="16"/>
                <w:szCs w:val="18"/>
              </w:rPr>
            </w:pPr>
          </w:p>
          <w:p w14:paraId="61A76CD6">
            <w:pPr>
              <w:snapToGrid w:val="0"/>
              <w:spacing w:line="240" w:lineRule="exact"/>
              <w:jc w:val="both"/>
              <w:rPr>
                <w:rFonts w:ascii="宋体" w:hAnsi="宋体" w:cs="Arial"/>
                <w:sz w:val="16"/>
                <w:szCs w:val="18"/>
              </w:rPr>
            </w:pPr>
            <w:r>
              <w:rPr>
                <w:rFonts w:ascii="宋体" w:hAnsi="宋体" w:cs="Arial"/>
                <w:sz w:val="16"/>
                <w:szCs w:val="18"/>
              </w:rPr>
              <w:t>比较因素</w:t>
            </w:r>
          </w:p>
        </w:tc>
        <w:tc>
          <w:tcPr>
            <w:tcW w:w="539" w:type="pct"/>
            <w:tcBorders>
              <w:top w:val="single" w:color="auto" w:sz="4" w:space="0"/>
              <w:left w:val="nil"/>
              <w:bottom w:val="single" w:color="auto" w:sz="4" w:space="0"/>
              <w:right w:val="single" w:color="auto" w:sz="4" w:space="0"/>
            </w:tcBorders>
            <w:vAlign w:val="center"/>
          </w:tcPr>
          <w:p w14:paraId="6F073A63">
            <w:pPr>
              <w:snapToGrid w:val="0"/>
              <w:spacing w:line="240" w:lineRule="exact"/>
              <w:jc w:val="both"/>
              <w:rPr>
                <w:rFonts w:ascii="宋体" w:hAnsi="宋体" w:cs="Arial"/>
                <w:sz w:val="16"/>
                <w:szCs w:val="18"/>
              </w:rPr>
            </w:pPr>
            <w:r>
              <w:rPr>
                <w:rFonts w:ascii="宋体" w:hAnsi="宋体" w:cs="Arial"/>
                <w:sz w:val="16"/>
                <w:szCs w:val="18"/>
              </w:rPr>
              <w:t>估价对象</w:t>
            </w:r>
          </w:p>
        </w:tc>
        <w:tc>
          <w:tcPr>
            <w:tcW w:w="539" w:type="pct"/>
            <w:tcBorders>
              <w:top w:val="single" w:color="auto" w:sz="4" w:space="0"/>
              <w:left w:val="nil"/>
              <w:bottom w:val="single" w:color="auto" w:sz="4" w:space="0"/>
              <w:right w:val="single" w:color="auto" w:sz="4" w:space="0"/>
            </w:tcBorders>
            <w:vAlign w:val="center"/>
          </w:tcPr>
          <w:p w14:paraId="0357D058">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9" w:type="pct"/>
            <w:tcBorders>
              <w:top w:val="single" w:color="auto" w:sz="4" w:space="0"/>
              <w:left w:val="nil"/>
              <w:bottom w:val="single" w:color="auto" w:sz="4" w:space="0"/>
              <w:right w:val="single" w:color="auto" w:sz="4" w:space="0"/>
            </w:tcBorders>
            <w:vAlign w:val="center"/>
          </w:tcPr>
          <w:p w14:paraId="5AE0747E">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9" w:type="pct"/>
            <w:tcBorders>
              <w:top w:val="single" w:color="auto" w:sz="4" w:space="0"/>
              <w:left w:val="nil"/>
              <w:bottom w:val="single" w:color="auto" w:sz="4" w:space="0"/>
              <w:right w:val="single" w:color="auto" w:sz="4" w:space="0"/>
            </w:tcBorders>
            <w:vAlign w:val="center"/>
          </w:tcPr>
          <w:p w14:paraId="6FE1EC46">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23" w:type="pct"/>
            <w:tcBorders>
              <w:top w:val="single" w:color="auto" w:sz="4" w:space="0"/>
              <w:left w:val="nil"/>
              <w:bottom w:val="single" w:color="auto" w:sz="4" w:space="0"/>
              <w:right w:val="single" w:color="auto" w:sz="4" w:space="0"/>
            </w:tcBorders>
            <w:vAlign w:val="center"/>
          </w:tcPr>
          <w:p w14:paraId="493225DA">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181CCF7F">
        <w:tblPrEx>
          <w:tblCellMar>
            <w:top w:w="57" w:type="dxa"/>
            <w:left w:w="57" w:type="dxa"/>
            <w:bottom w:w="57" w:type="dxa"/>
            <w:right w:w="57" w:type="dxa"/>
          </w:tblCellMar>
        </w:tblPrEx>
        <w:trPr>
          <w:trHeight w:val="20" w:hRule="atLeast"/>
          <w:tblHeader/>
          <w:jc w:val="center"/>
        </w:trPr>
        <w:tc>
          <w:tcPr>
            <w:tcW w:w="820" w:type="pct"/>
            <w:gridSpan w:val="2"/>
            <w:vMerge w:val="continue"/>
            <w:tcBorders>
              <w:top w:val="single" w:color="auto" w:sz="4" w:space="0"/>
              <w:left w:val="single" w:color="auto" w:sz="4" w:space="0"/>
              <w:bottom w:val="single" w:color="000000" w:sz="4" w:space="0"/>
              <w:right w:val="single" w:color="000000" w:sz="4" w:space="0"/>
            </w:tcBorders>
            <w:vAlign w:val="center"/>
          </w:tcPr>
          <w:p w14:paraId="541413CE">
            <w:pPr>
              <w:snapToGrid w:val="0"/>
              <w:spacing w:line="240" w:lineRule="exact"/>
              <w:jc w:val="both"/>
              <w:rPr>
                <w:rFonts w:ascii="宋体" w:hAnsi="宋体" w:cs="Arial"/>
                <w:sz w:val="16"/>
                <w:szCs w:val="18"/>
              </w:rPr>
            </w:pPr>
          </w:p>
        </w:tc>
        <w:tc>
          <w:tcPr>
            <w:tcW w:w="539" w:type="pct"/>
            <w:tcBorders>
              <w:top w:val="nil"/>
              <w:left w:val="nil"/>
              <w:bottom w:val="single" w:color="auto" w:sz="4" w:space="0"/>
              <w:right w:val="single" w:color="auto" w:sz="4" w:space="0"/>
            </w:tcBorders>
            <w:vAlign w:val="center"/>
          </w:tcPr>
          <w:p w14:paraId="2148A02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539" w:type="pct"/>
            <w:tcBorders>
              <w:top w:val="nil"/>
              <w:left w:val="nil"/>
              <w:bottom w:val="single" w:color="auto" w:sz="4" w:space="0"/>
              <w:right w:val="single" w:color="auto" w:sz="4" w:space="0"/>
            </w:tcBorders>
            <w:vAlign w:val="center"/>
          </w:tcPr>
          <w:p w14:paraId="7A33C0B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539" w:type="pct"/>
            <w:tcBorders>
              <w:top w:val="nil"/>
              <w:left w:val="nil"/>
              <w:bottom w:val="single" w:color="auto" w:sz="4" w:space="0"/>
              <w:right w:val="single" w:color="auto" w:sz="4" w:space="0"/>
            </w:tcBorders>
            <w:vAlign w:val="center"/>
          </w:tcPr>
          <w:p w14:paraId="2E76200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融创公园壹号</w:t>
            </w:r>
          </w:p>
        </w:tc>
        <w:tc>
          <w:tcPr>
            <w:tcW w:w="539" w:type="pct"/>
            <w:tcBorders>
              <w:top w:val="nil"/>
              <w:left w:val="nil"/>
              <w:bottom w:val="single" w:color="auto" w:sz="4" w:space="0"/>
              <w:right w:val="single" w:color="auto" w:sz="4" w:space="0"/>
            </w:tcBorders>
            <w:vAlign w:val="center"/>
          </w:tcPr>
          <w:p w14:paraId="04B86346">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c>
          <w:tcPr>
            <w:tcW w:w="2023" w:type="pct"/>
            <w:tcBorders>
              <w:top w:val="nil"/>
              <w:left w:val="nil"/>
              <w:bottom w:val="single" w:color="auto" w:sz="4" w:space="0"/>
              <w:right w:val="single" w:color="auto" w:sz="4" w:space="0"/>
            </w:tcBorders>
            <w:vAlign w:val="center"/>
          </w:tcPr>
          <w:p w14:paraId="30C53206">
            <w:pPr>
              <w:snapToGrid w:val="0"/>
              <w:spacing w:line="240" w:lineRule="exact"/>
              <w:jc w:val="both"/>
              <w:rPr>
                <w:rFonts w:ascii="宋体" w:hAnsi="宋体" w:cs="Arial"/>
                <w:sz w:val="16"/>
                <w:szCs w:val="18"/>
              </w:rPr>
            </w:pPr>
            <w:r>
              <w:rPr>
                <w:rFonts w:ascii="宋体" w:hAnsi="宋体" w:cs="Arial"/>
                <w:sz w:val="16"/>
                <w:szCs w:val="18"/>
              </w:rPr>
              <w:t>——</w:t>
            </w:r>
          </w:p>
        </w:tc>
      </w:tr>
      <w:tr w14:paraId="32A04CEF">
        <w:tblPrEx>
          <w:tblCellMar>
            <w:top w:w="57" w:type="dxa"/>
            <w:left w:w="57" w:type="dxa"/>
            <w:bottom w:w="57" w:type="dxa"/>
            <w:right w:w="57" w:type="dxa"/>
          </w:tblCellMar>
        </w:tblPrEx>
        <w:trPr>
          <w:trHeight w:val="20" w:hRule="atLeast"/>
          <w:jc w:val="center"/>
        </w:trPr>
        <w:tc>
          <w:tcPr>
            <w:tcW w:w="820" w:type="pct"/>
            <w:gridSpan w:val="2"/>
            <w:tcBorders>
              <w:top w:val="single" w:color="auto" w:sz="4" w:space="0"/>
              <w:left w:val="single" w:color="auto" w:sz="4" w:space="0"/>
              <w:bottom w:val="single" w:color="auto" w:sz="4" w:space="0"/>
              <w:right w:val="single" w:color="000000" w:sz="4" w:space="0"/>
            </w:tcBorders>
            <w:vAlign w:val="center"/>
          </w:tcPr>
          <w:p w14:paraId="24510146">
            <w:pPr>
              <w:snapToGrid w:val="0"/>
              <w:spacing w:line="240" w:lineRule="exact"/>
              <w:jc w:val="both"/>
              <w:rPr>
                <w:rFonts w:ascii="宋体" w:hAnsi="宋体" w:cs="Arial"/>
                <w:sz w:val="16"/>
                <w:szCs w:val="18"/>
              </w:rPr>
            </w:pPr>
            <w:r>
              <w:rPr>
                <w:rFonts w:ascii="宋体" w:hAnsi="宋体" w:cs="Arial"/>
                <w:sz w:val="16"/>
                <w:szCs w:val="18"/>
              </w:rPr>
              <w:t>确定的租金价格（</w:t>
            </w:r>
            <w:r>
              <w:rPr>
                <w:rStyle w:val="40"/>
              </w:rPr>
              <w:commentReference w:id="15"/>
            </w:r>
            <w:r>
              <w:rPr>
                <w:rFonts w:hint="eastAsia" w:ascii="宋体" w:hAnsi="宋体" w:cs="Arial"/>
                <w:sz w:val="16"/>
                <w:szCs w:val="18"/>
                <w:lang w:eastAsia="zh-CN"/>
              </w:rPr>
              <w:t>元/平方米·月</w:t>
            </w:r>
            <w:r>
              <w:rPr>
                <w:rFonts w:ascii="宋体" w:hAnsi="宋体" w:cs="Arial"/>
                <w:sz w:val="16"/>
                <w:szCs w:val="18"/>
              </w:rPr>
              <w:t>）</w:t>
            </w:r>
          </w:p>
        </w:tc>
        <w:tc>
          <w:tcPr>
            <w:tcW w:w="539" w:type="pct"/>
            <w:tcBorders>
              <w:top w:val="nil"/>
              <w:left w:val="nil"/>
              <w:bottom w:val="single" w:color="auto" w:sz="4" w:space="0"/>
              <w:right w:val="single" w:color="auto" w:sz="4" w:space="0"/>
            </w:tcBorders>
            <w:noWrap/>
            <w:vAlign w:val="center"/>
          </w:tcPr>
          <w:p w14:paraId="52AA8E81">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9" w:type="pct"/>
            <w:tcBorders>
              <w:top w:val="nil"/>
              <w:left w:val="nil"/>
              <w:bottom w:val="single" w:color="auto" w:sz="4" w:space="0"/>
              <w:right w:val="single" w:color="auto" w:sz="4" w:space="0"/>
            </w:tcBorders>
            <w:noWrap/>
            <w:vAlign w:val="center"/>
          </w:tcPr>
          <w:p w14:paraId="7429CDEA">
            <w:pPr>
              <w:autoSpaceDE w:val="0"/>
              <w:autoSpaceDN w:val="0"/>
              <w:spacing w:line="240" w:lineRule="exact"/>
              <w:jc w:val="both"/>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34.89</w:t>
            </w:r>
          </w:p>
        </w:tc>
        <w:tc>
          <w:tcPr>
            <w:tcW w:w="539" w:type="pct"/>
            <w:tcBorders>
              <w:top w:val="nil"/>
              <w:left w:val="nil"/>
              <w:bottom w:val="single" w:color="auto" w:sz="4" w:space="0"/>
              <w:right w:val="single" w:color="auto" w:sz="4" w:space="0"/>
            </w:tcBorders>
            <w:noWrap/>
            <w:vAlign w:val="center"/>
          </w:tcPr>
          <w:p w14:paraId="02CD8F29">
            <w:pPr>
              <w:autoSpaceDE w:val="0"/>
              <w:autoSpaceDN w:val="0"/>
              <w:spacing w:line="240" w:lineRule="exact"/>
              <w:jc w:val="both"/>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32.98</w:t>
            </w:r>
          </w:p>
        </w:tc>
        <w:tc>
          <w:tcPr>
            <w:tcW w:w="539" w:type="pct"/>
            <w:tcBorders>
              <w:top w:val="nil"/>
              <w:left w:val="nil"/>
              <w:bottom w:val="single" w:color="auto" w:sz="4" w:space="0"/>
              <w:right w:val="single" w:color="auto" w:sz="4" w:space="0"/>
            </w:tcBorders>
            <w:noWrap/>
            <w:vAlign w:val="center"/>
          </w:tcPr>
          <w:p w14:paraId="22F9C2D5">
            <w:pPr>
              <w:autoSpaceDE w:val="0"/>
              <w:autoSpaceDN w:val="0"/>
              <w:spacing w:line="240" w:lineRule="exact"/>
              <w:jc w:val="both"/>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33.23</w:t>
            </w:r>
          </w:p>
        </w:tc>
        <w:tc>
          <w:tcPr>
            <w:tcW w:w="2023" w:type="pct"/>
            <w:tcBorders>
              <w:top w:val="nil"/>
              <w:left w:val="nil"/>
              <w:bottom w:val="single" w:color="auto" w:sz="4" w:space="0"/>
              <w:right w:val="single" w:color="auto" w:sz="4" w:space="0"/>
            </w:tcBorders>
            <w:vAlign w:val="center"/>
          </w:tcPr>
          <w:p w14:paraId="62B41BED">
            <w:pPr>
              <w:snapToGrid w:val="0"/>
              <w:spacing w:line="240" w:lineRule="exact"/>
              <w:jc w:val="both"/>
              <w:rPr>
                <w:rFonts w:ascii="宋体" w:hAnsi="宋体" w:cs="Arial"/>
                <w:sz w:val="16"/>
                <w:szCs w:val="18"/>
              </w:rPr>
            </w:pPr>
            <w:r>
              <w:rPr>
                <w:rFonts w:ascii="宋体" w:hAnsi="宋体" w:cs="Arial"/>
                <w:sz w:val="16"/>
                <w:szCs w:val="18"/>
              </w:rPr>
              <w:t>——</w:t>
            </w:r>
          </w:p>
        </w:tc>
      </w:tr>
      <w:tr w14:paraId="0D63AB77">
        <w:tblPrEx>
          <w:tblCellMar>
            <w:top w:w="57" w:type="dxa"/>
            <w:left w:w="57" w:type="dxa"/>
            <w:bottom w:w="57" w:type="dxa"/>
            <w:right w:w="57" w:type="dxa"/>
          </w:tblCellMar>
        </w:tblPrEx>
        <w:trPr>
          <w:trHeight w:val="20" w:hRule="atLeast"/>
          <w:jc w:val="center"/>
        </w:trPr>
        <w:tc>
          <w:tcPr>
            <w:tcW w:w="820" w:type="pct"/>
            <w:gridSpan w:val="2"/>
            <w:tcBorders>
              <w:top w:val="single" w:color="auto" w:sz="4" w:space="0"/>
              <w:left w:val="single" w:color="auto" w:sz="4" w:space="0"/>
              <w:bottom w:val="single" w:color="auto" w:sz="4" w:space="0"/>
              <w:right w:val="single" w:color="auto" w:sz="4" w:space="0"/>
            </w:tcBorders>
            <w:vAlign w:val="center"/>
          </w:tcPr>
          <w:p w14:paraId="4AB42DA3">
            <w:pPr>
              <w:snapToGrid w:val="0"/>
              <w:spacing w:line="240" w:lineRule="exact"/>
              <w:jc w:val="both"/>
              <w:rPr>
                <w:rFonts w:ascii="宋体" w:hAnsi="宋体" w:cs="Arial"/>
                <w:sz w:val="16"/>
                <w:szCs w:val="18"/>
              </w:rPr>
            </w:pPr>
            <w:r>
              <w:rPr>
                <w:rFonts w:ascii="宋体" w:hAnsi="宋体" w:cs="Arial"/>
                <w:sz w:val="16"/>
                <w:szCs w:val="18"/>
              </w:rPr>
              <w:t>交易时间</w:t>
            </w:r>
          </w:p>
        </w:tc>
        <w:tc>
          <w:tcPr>
            <w:tcW w:w="539" w:type="pct"/>
            <w:tcBorders>
              <w:top w:val="nil"/>
              <w:left w:val="nil"/>
              <w:bottom w:val="single" w:color="auto" w:sz="4" w:space="0"/>
              <w:right w:val="single" w:color="auto" w:sz="4" w:space="0"/>
            </w:tcBorders>
            <w:noWrap/>
            <w:vAlign w:val="center"/>
          </w:tcPr>
          <w:p w14:paraId="7D47A49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08362D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B74C94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A5A481E">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148D5788">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0CC77E7C">
        <w:tblPrEx>
          <w:tblCellMar>
            <w:top w:w="57" w:type="dxa"/>
            <w:left w:w="57" w:type="dxa"/>
            <w:bottom w:w="57" w:type="dxa"/>
            <w:right w:w="57" w:type="dxa"/>
          </w:tblCellMar>
        </w:tblPrEx>
        <w:trPr>
          <w:trHeight w:val="20" w:hRule="atLeast"/>
          <w:jc w:val="center"/>
        </w:trPr>
        <w:tc>
          <w:tcPr>
            <w:tcW w:w="820" w:type="pct"/>
            <w:gridSpan w:val="2"/>
            <w:tcBorders>
              <w:top w:val="single" w:color="auto" w:sz="4" w:space="0"/>
              <w:left w:val="single" w:color="auto" w:sz="4" w:space="0"/>
              <w:bottom w:val="single" w:color="auto" w:sz="4" w:space="0"/>
              <w:right w:val="single" w:color="auto" w:sz="4" w:space="0"/>
            </w:tcBorders>
            <w:vAlign w:val="center"/>
          </w:tcPr>
          <w:p w14:paraId="43B5AA67">
            <w:pPr>
              <w:snapToGrid w:val="0"/>
              <w:spacing w:line="240" w:lineRule="exact"/>
              <w:jc w:val="both"/>
              <w:rPr>
                <w:rFonts w:ascii="宋体" w:hAnsi="宋体" w:cs="Arial"/>
                <w:sz w:val="16"/>
                <w:szCs w:val="18"/>
              </w:rPr>
            </w:pPr>
            <w:r>
              <w:rPr>
                <w:rFonts w:ascii="宋体" w:hAnsi="宋体" w:cs="Arial"/>
                <w:sz w:val="16"/>
                <w:szCs w:val="18"/>
              </w:rPr>
              <w:t>交易情况</w:t>
            </w:r>
          </w:p>
        </w:tc>
        <w:tc>
          <w:tcPr>
            <w:tcW w:w="539" w:type="pct"/>
            <w:tcBorders>
              <w:top w:val="nil"/>
              <w:left w:val="nil"/>
              <w:bottom w:val="single" w:color="auto" w:sz="4" w:space="0"/>
              <w:right w:val="single" w:color="auto" w:sz="4" w:space="0"/>
            </w:tcBorders>
            <w:noWrap/>
            <w:vAlign w:val="center"/>
          </w:tcPr>
          <w:p w14:paraId="2B5717C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737BF0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0A9316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5DA55C1">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14188C35">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70903859">
        <w:tblPrEx>
          <w:tblCellMar>
            <w:top w:w="57" w:type="dxa"/>
            <w:left w:w="57" w:type="dxa"/>
            <w:bottom w:w="57" w:type="dxa"/>
            <w:right w:w="57" w:type="dxa"/>
          </w:tblCellMar>
        </w:tblPrEx>
        <w:trPr>
          <w:trHeight w:val="20" w:hRule="atLeast"/>
          <w:jc w:val="center"/>
        </w:trPr>
        <w:tc>
          <w:tcPr>
            <w:tcW w:w="820" w:type="pct"/>
            <w:gridSpan w:val="2"/>
            <w:tcBorders>
              <w:top w:val="single" w:color="auto" w:sz="4" w:space="0"/>
              <w:left w:val="single" w:color="auto" w:sz="4" w:space="0"/>
              <w:bottom w:val="single" w:color="auto" w:sz="4" w:space="0"/>
              <w:right w:val="single" w:color="auto" w:sz="4" w:space="0"/>
            </w:tcBorders>
            <w:vAlign w:val="center"/>
          </w:tcPr>
          <w:p w14:paraId="5C4C1B7C">
            <w:pPr>
              <w:snapToGrid w:val="0"/>
              <w:spacing w:line="240" w:lineRule="exact"/>
              <w:jc w:val="both"/>
              <w:rPr>
                <w:rFonts w:ascii="宋体" w:hAnsi="宋体" w:cs="Arial"/>
                <w:sz w:val="16"/>
                <w:szCs w:val="18"/>
              </w:rPr>
            </w:pPr>
            <w:r>
              <w:rPr>
                <w:rFonts w:ascii="宋体" w:hAnsi="宋体" w:cs="Arial"/>
                <w:sz w:val="16"/>
                <w:szCs w:val="18"/>
              </w:rPr>
              <w:t>项目类型</w:t>
            </w:r>
          </w:p>
        </w:tc>
        <w:tc>
          <w:tcPr>
            <w:tcW w:w="539" w:type="pct"/>
            <w:tcBorders>
              <w:top w:val="nil"/>
              <w:left w:val="nil"/>
              <w:bottom w:val="single" w:color="auto" w:sz="4" w:space="0"/>
              <w:right w:val="single" w:color="auto" w:sz="4" w:space="0"/>
            </w:tcBorders>
            <w:noWrap/>
            <w:vAlign w:val="center"/>
          </w:tcPr>
          <w:p w14:paraId="6EC745F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DD4712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A066773">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2BB5EC0">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592EB986">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70D0A07B">
        <w:tblPrEx>
          <w:tblCellMar>
            <w:top w:w="57" w:type="dxa"/>
            <w:left w:w="57" w:type="dxa"/>
            <w:bottom w:w="57" w:type="dxa"/>
            <w:right w:w="57" w:type="dxa"/>
          </w:tblCellMar>
        </w:tblPrEx>
        <w:trPr>
          <w:trHeight w:val="20" w:hRule="atLeast"/>
          <w:jc w:val="center"/>
        </w:trPr>
        <w:tc>
          <w:tcPr>
            <w:tcW w:w="294" w:type="pct"/>
            <w:vMerge w:val="restart"/>
            <w:tcBorders>
              <w:top w:val="single" w:color="auto" w:sz="4" w:space="0"/>
              <w:left w:val="single" w:color="auto" w:sz="4" w:space="0"/>
              <w:bottom w:val="single" w:color="auto" w:sz="4" w:space="0"/>
              <w:right w:val="single" w:color="auto" w:sz="4" w:space="0"/>
            </w:tcBorders>
            <w:noWrap/>
            <w:vAlign w:val="center"/>
          </w:tcPr>
          <w:p w14:paraId="67CE9309">
            <w:pPr>
              <w:snapToGrid w:val="0"/>
              <w:spacing w:line="240" w:lineRule="exact"/>
              <w:jc w:val="both"/>
              <w:rPr>
                <w:rFonts w:ascii="宋体" w:hAnsi="宋体" w:cs="Arial"/>
                <w:sz w:val="16"/>
                <w:szCs w:val="18"/>
              </w:rPr>
            </w:pPr>
            <w:r>
              <w:rPr>
                <w:rFonts w:ascii="宋体" w:hAnsi="宋体" w:cs="Arial"/>
                <w:sz w:val="16"/>
                <w:szCs w:val="18"/>
              </w:rPr>
              <w:t>区域</w:t>
            </w:r>
          </w:p>
          <w:p w14:paraId="7AEB9EE7">
            <w:pPr>
              <w:snapToGrid w:val="0"/>
              <w:spacing w:line="240" w:lineRule="exact"/>
              <w:jc w:val="both"/>
              <w:rPr>
                <w:rFonts w:ascii="宋体" w:hAnsi="宋体" w:cs="Arial"/>
                <w:sz w:val="16"/>
                <w:szCs w:val="18"/>
              </w:rPr>
            </w:pPr>
            <w:r>
              <w:rPr>
                <w:rFonts w:ascii="宋体" w:hAnsi="宋体" w:cs="Arial"/>
                <w:sz w:val="16"/>
                <w:szCs w:val="18"/>
              </w:rPr>
              <w:t>状况</w:t>
            </w:r>
          </w:p>
        </w:tc>
        <w:tc>
          <w:tcPr>
            <w:tcW w:w="526" w:type="pct"/>
            <w:tcBorders>
              <w:top w:val="nil"/>
              <w:left w:val="nil"/>
              <w:bottom w:val="single" w:color="auto" w:sz="4" w:space="0"/>
              <w:right w:val="single" w:color="auto" w:sz="4" w:space="0"/>
            </w:tcBorders>
            <w:vAlign w:val="center"/>
          </w:tcPr>
          <w:p w14:paraId="3C3BED91">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9" w:type="pct"/>
            <w:tcBorders>
              <w:top w:val="nil"/>
              <w:left w:val="nil"/>
              <w:bottom w:val="single" w:color="auto" w:sz="4" w:space="0"/>
              <w:right w:val="single" w:color="auto" w:sz="4" w:space="0"/>
            </w:tcBorders>
            <w:noWrap/>
            <w:vAlign w:val="center"/>
          </w:tcPr>
          <w:p w14:paraId="6215B20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55AEAD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3BF10EF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29D78B6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23" w:type="pct"/>
            <w:tcBorders>
              <w:top w:val="nil"/>
              <w:left w:val="nil"/>
              <w:bottom w:val="single" w:color="auto" w:sz="4" w:space="0"/>
              <w:right w:val="single" w:color="auto" w:sz="4" w:space="0"/>
            </w:tcBorders>
            <w:vAlign w:val="center"/>
          </w:tcPr>
          <w:p w14:paraId="4D0C6D79">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1</w:t>
            </w:r>
            <w:r>
              <w:rPr>
                <w:rFonts w:ascii="Arial" w:hAnsi="Arial" w:cs="Arial"/>
                <w:sz w:val="16"/>
                <w:szCs w:val="18"/>
              </w:rPr>
              <w:t>分，确定可比实例1、2、3该因素指数分别为10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w:t>
            </w:r>
          </w:p>
        </w:tc>
      </w:tr>
      <w:tr w14:paraId="1C76017E">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0EA9939C">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1A908424">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9" w:type="pct"/>
            <w:tcBorders>
              <w:top w:val="nil"/>
              <w:left w:val="nil"/>
              <w:bottom w:val="single" w:color="auto" w:sz="4" w:space="0"/>
              <w:right w:val="single" w:color="auto" w:sz="4" w:space="0"/>
            </w:tcBorders>
            <w:noWrap/>
            <w:vAlign w:val="center"/>
          </w:tcPr>
          <w:p w14:paraId="352A22F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C8BEE9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F4CEBA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4FA1701">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59513BF5">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5E98EDCD">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7624104B">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091FF0F">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9" w:type="pct"/>
            <w:tcBorders>
              <w:top w:val="nil"/>
              <w:left w:val="nil"/>
              <w:bottom w:val="single" w:color="auto" w:sz="4" w:space="0"/>
              <w:right w:val="single" w:color="auto" w:sz="4" w:space="0"/>
            </w:tcBorders>
            <w:noWrap/>
            <w:vAlign w:val="center"/>
          </w:tcPr>
          <w:p w14:paraId="5BF2DF5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F6F780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25C99C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58557F0">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178B85CE">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759AE56E">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2BE7B3A1">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2E2FF60">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9" w:type="pct"/>
            <w:tcBorders>
              <w:top w:val="nil"/>
              <w:left w:val="nil"/>
              <w:bottom w:val="single" w:color="auto" w:sz="4" w:space="0"/>
              <w:right w:val="single" w:color="auto" w:sz="4" w:space="0"/>
            </w:tcBorders>
            <w:noWrap/>
            <w:vAlign w:val="center"/>
          </w:tcPr>
          <w:p w14:paraId="096C088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090DAA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021BCF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95B50AF">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4F331434">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6D09EB3B">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5260A54C">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0B223A8">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9" w:type="pct"/>
            <w:tcBorders>
              <w:top w:val="nil"/>
              <w:left w:val="nil"/>
              <w:bottom w:val="single" w:color="auto" w:sz="4" w:space="0"/>
              <w:right w:val="single" w:color="auto" w:sz="4" w:space="0"/>
            </w:tcBorders>
            <w:noWrap/>
            <w:vAlign w:val="center"/>
          </w:tcPr>
          <w:p w14:paraId="2D0ED613">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D375BE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FCDDEA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7E35A73">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4811C6F1">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33762B3B">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309234EA">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404BFDC">
            <w:pPr>
              <w:widowControl/>
              <w:adjustRightInd/>
              <w:spacing w:line="240" w:lineRule="auto"/>
              <w:jc w:val="center"/>
              <w:textAlignment w:val="auto"/>
              <w:rPr>
                <w:rFonts w:hint="eastAsia" w:ascii="宋体" w:hAnsi="宋体" w:eastAsia="宋体" w:cs="Arial"/>
                <w:sz w:val="16"/>
                <w:szCs w:val="18"/>
                <w:lang w:eastAsia="zh-CN"/>
              </w:rPr>
            </w:pPr>
            <w:r>
              <w:rPr>
                <w:rFonts w:hint="eastAsia" w:ascii="宋体" w:hAnsi="宋体" w:cs="Arial"/>
                <w:sz w:val="16"/>
                <w:szCs w:val="18"/>
                <w:lang w:eastAsia="zh-CN"/>
              </w:rPr>
              <w:t>自然及人文环境</w:t>
            </w:r>
          </w:p>
        </w:tc>
        <w:tc>
          <w:tcPr>
            <w:tcW w:w="539" w:type="pct"/>
            <w:tcBorders>
              <w:top w:val="nil"/>
              <w:left w:val="nil"/>
              <w:bottom w:val="single" w:color="auto" w:sz="4" w:space="0"/>
              <w:right w:val="single" w:color="auto" w:sz="4" w:space="0"/>
            </w:tcBorders>
            <w:noWrap/>
            <w:vAlign w:val="center"/>
          </w:tcPr>
          <w:p w14:paraId="7541465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435704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120E51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601EEB7">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632F950E">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255D6F9A">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5765348C">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09DCEF3">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9" w:type="pct"/>
            <w:tcBorders>
              <w:top w:val="nil"/>
              <w:left w:val="nil"/>
              <w:bottom w:val="single" w:color="auto" w:sz="4" w:space="0"/>
              <w:right w:val="single" w:color="auto" w:sz="4" w:space="0"/>
            </w:tcBorders>
            <w:noWrap/>
            <w:vAlign w:val="center"/>
          </w:tcPr>
          <w:p w14:paraId="2119364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F4491F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49FBB5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EE1FA6D">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1E5105EF">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19C79C76">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0C8F2F41">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C148EF4">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9" w:type="pct"/>
            <w:tcBorders>
              <w:top w:val="nil"/>
              <w:left w:val="nil"/>
              <w:bottom w:val="single" w:color="auto" w:sz="4" w:space="0"/>
              <w:right w:val="single" w:color="auto" w:sz="4" w:space="0"/>
            </w:tcBorders>
            <w:noWrap/>
            <w:vAlign w:val="center"/>
          </w:tcPr>
          <w:p w14:paraId="6BBD054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D80382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AF7156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3FCACBF">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0F7BC1D4">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25E06B3C">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19CA286C">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B7D6AA2">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9" w:type="pct"/>
            <w:tcBorders>
              <w:top w:val="nil"/>
              <w:left w:val="nil"/>
              <w:bottom w:val="single" w:color="auto" w:sz="4" w:space="0"/>
              <w:right w:val="single" w:color="auto" w:sz="4" w:space="0"/>
            </w:tcBorders>
            <w:noWrap/>
            <w:vAlign w:val="center"/>
          </w:tcPr>
          <w:p w14:paraId="1570B9E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09949F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9" w:type="pct"/>
            <w:tcBorders>
              <w:top w:val="nil"/>
              <w:left w:val="nil"/>
              <w:bottom w:val="single" w:color="auto" w:sz="4" w:space="0"/>
              <w:right w:val="single" w:color="auto" w:sz="4" w:space="0"/>
            </w:tcBorders>
            <w:noWrap/>
            <w:vAlign w:val="center"/>
          </w:tcPr>
          <w:p w14:paraId="33B710D3">
            <w:pPr>
              <w:snapToGrid w:val="0"/>
              <w:spacing w:line="240" w:lineRule="exact"/>
              <w:jc w:val="both"/>
              <w:rPr>
                <w:rFonts w:hint="eastAsia" w:ascii="Arial" w:hAnsi="Arial" w:eastAsia="宋体" w:cs="Arial"/>
                <w:sz w:val="16"/>
                <w:szCs w:val="18"/>
                <w:lang w:val="en-US" w:eastAsia="zh-CN"/>
              </w:rPr>
            </w:pPr>
            <w:r>
              <w:rPr>
                <w:rFonts w:ascii="Arial" w:hAnsi="Arial" w:cs="Arial"/>
                <w:sz w:val="16"/>
                <w:szCs w:val="18"/>
              </w:rPr>
              <w:t>10</w:t>
            </w:r>
            <w:r>
              <w:rPr>
                <w:rFonts w:hint="eastAsia" w:ascii="Arial" w:hAnsi="Arial" w:cs="Arial"/>
                <w:sz w:val="16"/>
                <w:szCs w:val="18"/>
                <w:lang w:val="en-US" w:eastAsia="zh-CN"/>
              </w:rPr>
              <w:t>2</w:t>
            </w:r>
          </w:p>
        </w:tc>
        <w:tc>
          <w:tcPr>
            <w:tcW w:w="539" w:type="pct"/>
            <w:tcBorders>
              <w:top w:val="nil"/>
              <w:left w:val="nil"/>
              <w:bottom w:val="single" w:color="auto" w:sz="4" w:space="0"/>
              <w:right w:val="single" w:color="auto" w:sz="4" w:space="0"/>
            </w:tcBorders>
            <w:noWrap/>
            <w:vAlign w:val="center"/>
          </w:tcPr>
          <w:p w14:paraId="110D39C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23" w:type="pct"/>
            <w:tcBorders>
              <w:top w:val="nil"/>
              <w:left w:val="nil"/>
              <w:bottom w:val="single" w:color="auto" w:sz="4" w:space="0"/>
              <w:right w:val="single" w:color="auto" w:sz="4" w:space="0"/>
            </w:tcBorders>
            <w:vAlign w:val="center"/>
          </w:tcPr>
          <w:p w14:paraId="436F74C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102</w:t>
            </w:r>
            <w:r>
              <w:rPr>
                <w:rFonts w:ascii="Arial" w:hAnsi="Arial" w:cs="Arial"/>
                <w:sz w:val="16"/>
                <w:szCs w:val="18"/>
              </w:rPr>
              <w:t>、</w:t>
            </w:r>
            <w:r>
              <w:rPr>
                <w:rFonts w:hint="eastAsia" w:ascii="Arial" w:hAnsi="Arial" w:cs="Arial"/>
                <w:sz w:val="16"/>
                <w:szCs w:val="18"/>
              </w:rPr>
              <w:t>10</w:t>
            </w:r>
            <w:r>
              <w:rPr>
                <w:rFonts w:hint="eastAsia" w:ascii="Arial" w:hAnsi="Arial" w:cs="Arial"/>
                <w:sz w:val="16"/>
                <w:szCs w:val="18"/>
                <w:lang w:val="en-US" w:eastAsia="zh-CN"/>
              </w:rPr>
              <w:t>2</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7A33FDD4">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2D7EAE5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FF24B3D">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9" w:type="pct"/>
            <w:tcBorders>
              <w:top w:val="nil"/>
              <w:left w:val="nil"/>
              <w:bottom w:val="single" w:color="auto" w:sz="4" w:space="0"/>
              <w:right w:val="single" w:color="auto" w:sz="4" w:space="0"/>
            </w:tcBorders>
            <w:noWrap/>
            <w:vAlign w:val="center"/>
          </w:tcPr>
          <w:p w14:paraId="3D3D5FF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6985E6C">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4E6B5C8E">
            <w:pPr>
              <w:snapToGrid w:val="0"/>
              <w:spacing w:line="240" w:lineRule="exact"/>
              <w:jc w:val="both"/>
              <w:rPr>
                <w:rFonts w:hint="default" w:ascii="Arial" w:hAnsi="Arial" w:eastAsia="宋体" w:cs="Arial"/>
                <w:sz w:val="16"/>
                <w:szCs w:val="18"/>
                <w:lang w:val="en-US" w:eastAsia="zh-CN"/>
              </w:rPr>
            </w:pPr>
            <w:r>
              <w:rPr>
                <w:rFonts w:hint="eastAsia" w:ascii="Arial" w:hAnsi="Arial" w:cs="Arial"/>
                <w:sz w:val="16"/>
                <w:szCs w:val="18"/>
                <w:lang w:val="en-US" w:eastAsia="zh-CN"/>
              </w:rPr>
              <w:t>100</w:t>
            </w:r>
          </w:p>
        </w:tc>
        <w:tc>
          <w:tcPr>
            <w:tcW w:w="539" w:type="pct"/>
            <w:tcBorders>
              <w:top w:val="nil"/>
              <w:left w:val="nil"/>
              <w:bottom w:val="single" w:color="auto" w:sz="4" w:space="0"/>
              <w:right w:val="single" w:color="auto" w:sz="4" w:space="0"/>
            </w:tcBorders>
            <w:noWrap/>
            <w:vAlign w:val="center"/>
          </w:tcPr>
          <w:p w14:paraId="07CA8F3A">
            <w:pPr>
              <w:snapToGrid w:val="0"/>
              <w:spacing w:line="240" w:lineRule="exact"/>
              <w:jc w:val="both"/>
              <w:rPr>
                <w:rFonts w:ascii="Arial" w:hAnsi="Arial" w:cs="Arial"/>
                <w:sz w:val="16"/>
                <w:szCs w:val="18"/>
              </w:rPr>
            </w:pPr>
            <w:r>
              <w:rPr>
                <w:rFonts w:hint="eastAsia"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00E55D2B">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lang w:val="en-US" w:eastAsia="zh-CN"/>
              </w:rPr>
              <w:t>100</w:t>
            </w:r>
            <w:r>
              <w:rPr>
                <w:rFonts w:hint="eastAsia" w:ascii="Arial" w:hAnsi="Arial" w:cs="Arial"/>
                <w:sz w:val="16"/>
                <w:szCs w:val="18"/>
              </w:rPr>
              <w:t>，100</w:t>
            </w:r>
            <w:r>
              <w:rPr>
                <w:rFonts w:ascii="Arial" w:hAnsi="Arial" w:cs="Arial"/>
                <w:sz w:val="16"/>
                <w:szCs w:val="18"/>
              </w:rPr>
              <w:t>；</w:t>
            </w:r>
          </w:p>
        </w:tc>
      </w:tr>
      <w:tr w14:paraId="714603AD">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379DAB99">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36CCDC15">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9" w:type="pct"/>
            <w:tcBorders>
              <w:top w:val="nil"/>
              <w:left w:val="nil"/>
              <w:bottom w:val="single" w:color="auto" w:sz="4" w:space="0"/>
              <w:right w:val="single" w:color="auto" w:sz="4" w:space="0"/>
            </w:tcBorders>
            <w:noWrap/>
            <w:vAlign w:val="center"/>
          </w:tcPr>
          <w:p w14:paraId="6C23E0C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7721EC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3012DFC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5F20A7D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23" w:type="pct"/>
            <w:tcBorders>
              <w:top w:val="nil"/>
              <w:left w:val="nil"/>
              <w:bottom w:val="single" w:color="auto" w:sz="4" w:space="0"/>
              <w:right w:val="single" w:color="auto" w:sz="4" w:space="0"/>
            </w:tcBorders>
            <w:vAlign w:val="center"/>
          </w:tcPr>
          <w:p w14:paraId="02D2EFCB">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commentRangeStart w:id="16"/>
            <w:r>
              <w:rPr>
                <w:rFonts w:hint="eastAsia" w:ascii="Arial" w:hAnsi="Arial" w:cs="Arial"/>
                <w:sz w:val="16"/>
                <w:szCs w:val="18"/>
              </w:rPr>
              <w:t>10</w:t>
            </w:r>
            <w:r>
              <w:rPr>
                <w:rFonts w:hint="eastAsia" w:ascii="Arial" w:hAnsi="Arial" w:cs="Arial"/>
                <w:sz w:val="16"/>
                <w:szCs w:val="18"/>
                <w:lang w:val="en-US" w:eastAsia="zh-CN"/>
              </w:rPr>
              <w:t>1</w:t>
            </w:r>
            <w:r>
              <w:rPr>
                <w:rFonts w:hint="eastAsia" w:ascii="Arial" w:hAnsi="Arial" w:cs="Arial"/>
                <w:sz w:val="16"/>
                <w:szCs w:val="18"/>
                <w:lang w:eastAsia="zh-CN"/>
              </w:rPr>
              <w:t>、</w:t>
            </w:r>
            <w:r>
              <w:rPr>
                <w:rFonts w:hint="eastAsia" w:ascii="Arial" w:hAnsi="Arial" w:cs="Arial"/>
                <w:sz w:val="16"/>
                <w:szCs w:val="18"/>
                <w:lang w:val="en-US" w:eastAsia="zh-CN"/>
              </w:rPr>
              <w:t>101</w:t>
            </w:r>
            <w:r>
              <w:rPr>
                <w:rFonts w:hint="eastAsia" w:ascii="Arial" w:hAnsi="Arial" w:cs="Arial"/>
                <w:sz w:val="16"/>
                <w:szCs w:val="18"/>
              </w:rPr>
              <w:t>、</w:t>
            </w:r>
            <w:commentRangeEnd w:id="16"/>
            <w:r>
              <w:rPr>
                <w:rStyle w:val="40"/>
              </w:rPr>
              <w:commentReference w:id="16"/>
            </w:r>
            <w:r>
              <w:rPr>
                <w:rFonts w:ascii="Arial" w:hAnsi="Arial" w:cs="Arial"/>
                <w:sz w:val="16"/>
                <w:szCs w:val="18"/>
              </w:rPr>
              <w:t>1</w:t>
            </w:r>
            <w:r>
              <w:rPr>
                <w:rFonts w:hint="eastAsia" w:ascii="Arial" w:hAnsi="Arial" w:cs="Arial"/>
                <w:sz w:val="16"/>
                <w:szCs w:val="18"/>
              </w:rPr>
              <w:t>01</w:t>
            </w:r>
            <w:r>
              <w:rPr>
                <w:rFonts w:ascii="Arial" w:hAnsi="Arial" w:cs="Arial"/>
                <w:sz w:val="16"/>
                <w:szCs w:val="18"/>
              </w:rPr>
              <w:t>；</w:t>
            </w:r>
          </w:p>
        </w:tc>
      </w:tr>
      <w:tr w14:paraId="7023ECAB">
        <w:tblPrEx>
          <w:tblCellMar>
            <w:top w:w="57" w:type="dxa"/>
            <w:left w:w="57" w:type="dxa"/>
            <w:bottom w:w="57" w:type="dxa"/>
            <w:right w:w="57" w:type="dxa"/>
          </w:tblCellMar>
        </w:tblPrEx>
        <w:trPr>
          <w:trHeight w:val="20" w:hRule="atLeast"/>
          <w:jc w:val="center"/>
        </w:trPr>
        <w:tc>
          <w:tcPr>
            <w:tcW w:w="294" w:type="pct"/>
            <w:vMerge w:val="restart"/>
            <w:tcBorders>
              <w:top w:val="single" w:color="auto" w:sz="4" w:space="0"/>
              <w:left w:val="single" w:color="auto" w:sz="4" w:space="0"/>
              <w:bottom w:val="single" w:color="auto" w:sz="4" w:space="0"/>
              <w:right w:val="single" w:color="auto" w:sz="4" w:space="0"/>
            </w:tcBorders>
            <w:noWrap/>
            <w:vAlign w:val="center"/>
          </w:tcPr>
          <w:p w14:paraId="26080840">
            <w:pPr>
              <w:snapToGrid w:val="0"/>
              <w:spacing w:line="240" w:lineRule="exact"/>
              <w:jc w:val="both"/>
              <w:rPr>
                <w:rFonts w:ascii="宋体" w:hAnsi="宋体" w:cs="Arial"/>
                <w:sz w:val="16"/>
                <w:szCs w:val="18"/>
              </w:rPr>
            </w:pPr>
            <w:r>
              <w:rPr>
                <w:rFonts w:ascii="宋体" w:hAnsi="宋体" w:cs="Arial"/>
                <w:sz w:val="16"/>
                <w:szCs w:val="18"/>
              </w:rPr>
              <w:t>实物</w:t>
            </w:r>
          </w:p>
          <w:p w14:paraId="1D314828">
            <w:pPr>
              <w:snapToGrid w:val="0"/>
              <w:spacing w:line="240" w:lineRule="exact"/>
              <w:jc w:val="both"/>
              <w:rPr>
                <w:rFonts w:ascii="宋体" w:hAnsi="宋体" w:cs="Arial"/>
                <w:sz w:val="16"/>
                <w:szCs w:val="18"/>
              </w:rPr>
            </w:pPr>
            <w:r>
              <w:rPr>
                <w:rFonts w:ascii="宋体" w:hAnsi="宋体" w:cs="Arial"/>
                <w:sz w:val="16"/>
                <w:szCs w:val="18"/>
              </w:rPr>
              <w:t>状况</w:t>
            </w:r>
          </w:p>
        </w:tc>
        <w:tc>
          <w:tcPr>
            <w:tcW w:w="526" w:type="pct"/>
            <w:tcBorders>
              <w:top w:val="nil"/>
              <w:left w:val="nil"/>
              <w:bottom w:val="single" w:color="auto" w:sz="4" w:space="0"/>
              <w:right w:val="single" w:color="auto" w:sz="4" w:space="0"/>
            </w:tcBorders>
            <w:vAlign w:val="center"/>
          </w:tcPr>
          <w:p w14:paraId="06A9F642">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9" w:type="pct"/>
            <w:tcBorders>
              <w:top w:val="nil"/>
              <w:left w:val="nil"/>
              <w:bottom w:val="single" w:color="auto" w:sz="4" w:space="0"/>
              <w:right w:val="single" w:color="auto" w:sz="4" w:space="0"/>
            </w:tcBorders>
            <w:noWrap/>
            <w:vAlign w:val="center"/>
          </w:tcPr>
          <w:p w14:paraId="4158FFA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E54233A">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4CD82A15">
            <w:pPr>
              <w:snapToGrid w:val="0"/>
              <w:spacing w:line="240" w:lineRule="exact"/>
              <w:jc w:val="both"/>
              <w:rPr>
                <w:rFonts w:ascii="Arial" w:hAnsi="Arial" w:cs="Arial"/>
                <w:sz w:val="16"/>
                <w:szCs w:val="18"/>
              </w:rPr>
            </w:pPr>
            <w:r>
              <w:rPr>
                <w:rFonts w:hint="eastAsia"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BD34272">
            <w:pPr>
              <w:snapToGrid w:val="0"/>
              <w:spacing w:line="240" w:lineRule="exact"/>
              <w:jc w:val="both"/>
              <w:rPr>
                <w:rFonts w:ascii="Arial" w:hAnsi="Arial" w:cs="Arial"/>
                <w:sz w:val="16"/>
                <w:szCs w:val="18"/>
              </w:rPr>
            </w:pPr>
            <w:r>
              <w:rPr>
                <w:rFonts w:hint="eastAsia" w:ascii="Arial" w:hAnsi="Arial" w:cs="Arial"/>
                <w:sz w:val="16"/>
                <w:szCs w:val="18"/>
              </w:rPr>
              <w:t>98</w:t>
            </w:r>
          </w:p>
        </w:tc>
        <w:tc>
          <w:tcPr>
            <w:tcW w:w="2023" w:type="pct"/>
            <w:tcBorders>
              <w:top w:val="nil"/>
              <w:left w:val="nil"/>
              <w:bottom w:val="single" w:color="auto" w:sz="4" w:space="0"/>
              <w:right w:val="single" w:color="auto" w:sz="4" w:space="0"/>
            </w:tcBorders>
            <w:vAlign w:val="center"/>
          </w:tcPr>
          <w:p w14:paraId="12A8C896">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98、100、98</w:t>
            </w:r>
            <w:r>
              <w:rPr>
                <w:rFonts w:ascii="Arial" w:hAnsi="Arial" w:cs="Arial"/>
                <w:sz w:val="16"/>
                <w:szCs w:val="18"/>
              </w:rPr>
              <w:t>；</w:t>
            </w:r>
          </w:p>
        </w:tc>
      </w:tr>
      <w:tr w14:paraId="6D5E524A">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2D3B5595">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84EF98A">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9" w:type="pct"/>
            <w:tcBorders>
              <w:top w:val="nil"/>
              <w:left w:val="nil"/>
              <w:bottom w:val="single" w:color="auto" w:sz="4" w:space="0"/>
              <w:right w:val="single" w:color="auto" w:sz="4" w:space="0"/>
            </w:tcBorders>
            <w:noWrap/>
            <w:vAlign w:val="center"/>
          </w:tcPr>
          <w:p w14:paraId="68C7F6C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A5218D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A90AC7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B34B3A2">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6FDC315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100、100、100</w:t>
            </w:r>
            <w:r>
              <w:rPr>
                <w:rFonts w:ascii="Arial" w:hAnsi="Arial" w:cs="Arial"/>
                <w:sz w:val="16"/>
                <w:szCs w:val="18"/>
              </w:rPr>
              <w:t>；</w:t>
            </w:r>
          </w:p>
        </w:tc>
      </w:tr>
      <w:tr w14:paraId="3E704482">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5687BFD1">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30D69429">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9" w:type="pct"/>
            <w:tcBorders>
              <w:top w:val="nil"/>
              <w:left w:val="nil"/>
              <w:bottom w:val="single" w:color="auto" w:sz="4" w:space="0"/>
              <w:right w:val="single" w:color="auto" w:sz="4" w:space="0"/>
            </w:tcBorders>
            <w:noWrap/>
            <w:vAlign w:val="center"/>
          </w:tcPr>
          <w:p w14:paraId="32FEBD9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1BB20E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2E9B40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AAC4B48">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4ED0E1B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4D308BC6">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740101F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5B48F22">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9" w:type="pct"/>
            <w:tcBorders>
              <w:top w:val="nil"/>
              <w:left w:val="nil"/>
              <w:bottom w:val="single" w:color="auto" w:sz="4" w:space="0"/>
              <w:right w:val="single" w:color="auto" w:sz="4" w:space="0"/>
            </w:tcBorders>
            <w:noWrap/>
            <w:vAlign w:val="center"/>
          </w:tcPr>
          <w:p w14:paraId="5AE3ECA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4FBCD8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B090A6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4E151E9">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7310238B">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CAA652A">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5A6F039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FE8CD4E">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9" w:type="pct"/>
            <w:tcBorders>
              <w:top w:val="nil"/>
              <w:left w:val="nil"/>
              <w:bottom w:val="single" w:color="auto" w:sz="4" w:space="0"/>
              <w:right w:val="single" w:color="auto" w:sz="4" w:space="0"/>
            </w:tcBorders>
            <w:noWrap/>
            <w:vAlign w:val="center"/>
          </w:tcPr>
          <w:p w14:paraId="51191E4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BAC384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8F7E08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86C46C5">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7CE3DD36">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C46FF95">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3FF7E289">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3BA794A">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9" w:type="pct"/>
            <w:tcBorders>
              <w:top w:val="nil"/>
              <w:left w:val="nil"/>
              <w:bottom w:val="single" w:color="auto" w:sz="4" w:space="0"/>
              <w:right w:val="single" w:color="auto" w:sz="4" w:space="0"/>
            </w:tcBorders>
            <w:noWrap/>
            <w:vAlign w:val="center"/>
          </w:tcPr>
          <w:p w14:paraId="43CBC55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B5EF3B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4B9CF5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754E8B1">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3F6FBA33">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100、100、100</w:t>
            </w:r>
            <w:r>
              <w:rPr>
                <w:rFonts w:ascii="Arial" w:hAnsi="Arial" w:cs="Arial"/>
                <w:sz w:val="16"/>
                <w:szCs w:val="18"/>
              </w:rPr>
              <w:t>；</w:t>
            </w:r>
          </w:p>
        </w:tc>
      </w:tr>
      <w:tr w14:paraId="0DF32CB4">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0AC7D4CB">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F3B252C">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9" w:type="pct"/>
            <w:tcBorders>
              <w:top w:val="nil"/>
              <w:left w:val="nil"/>
              <w:bottom w:val="single" w:color="auto" w:sz="4" w:space="0"/>
              <w:right w:val="single" w:color="auto" w:sz="4" w:space="0"/>
            </w:tcBorders>
            <w:noWrap/>
            <w:vAlign w:val="center"/>
          </w:tcPr>
          <w:p w14:paraId="0B0DD00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BF20AC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F9498F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2BDDED5">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491A386B">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18C2C416">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4506B8FA">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DF32284">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9" w:type="pct"/>
            <w:tcBorders>
              <w:top w:val="nil"/>
              <w:left w:val="nil"/>
              <w:bottom w:val="single" w:color="auto" w:sz="4" w:space="0"/>
              <w:right w:val="single" w:color="auto" w:sz="4" w:space="0"/>
            </w:tcBorders>
            <w:noWrap/>
            <w:vAlign w:val="center"/>
          </w:tcPr>
          <w:p w14:paraId="637FF7A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F4D5388">
            <w:pPr>
              <w:snapToGrid w:val="0"/>
              <w:spacing w:line="240" w:lineRule="exact"/>
              <w:jc w:val="both"/>
              <w:rPr>
                <w:rFonts w:ascii="Arial" w:hAnsi="Arial" w:cs="Arial"/>
                <w:sz w:val="16"/>
                <w:szCs w:val="18"/>
              </w:rPr>
            </w:pPr>
            <w:r>
              <w:rPr>
                <w:rFonts w:hint="eastAsia"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48A5E47">
            <w:pPr>
              <w:snapToGrid w:val="0"/>
              <w:spacing w:line="240" w:lineRule="exact"/>
              <w:jc w:val="both"/>
              <w:rPr>
                <w:rFonts w:hint="eastAsia" w:ascii="Arial" w:hAnsi="Arial" w:eastAsia="宋体" w:cs="Arial"/>
                <w:sz w:val="16"/>
                <w:szCs w:val="18"/>
                <w:lang w:val="en-US" w:eastAsia="zh-CN"/>
              </w:rPr>
            </w:pPr>
            <w:r>
              <w:rPr>
                <w:rFonts w:ascii="Arial" w:hAnsi="Arial" w:cs="Arial"/>
                <w:sz w:val="16"/>
                <w:szCs w:val="18"/>
              </w:rPr>
              <w:t>10</w:t>
            </w:r>
            <w:r>
              <w:rPr>
                <w:rFonts w:hint="eastAsia" w:ascii="Arial" w:hAnsi="Arial" w:cs="Arial"/>
                <w:sz w:val="16"/>
                <w:szCs w:val="18"/>
                <w:lang w:val="en-US" w:eastAsia="zh-CN"/>
              </w:rPr>
              <w:t>0</w:t>
            </w:r>
          </w:p>
        </w:tc>
        <w:tc>
          <w:tcPr>
            <w:tcW w:w="539" w:type="pct"/>
            <w:tcBorders>
              <w:top w:val="nil"/>
              <w:left w:val="nil"/>
              <w:bottom w:val="single" w:color="auto" w:sz="4" w:space="0"/>
              <w:right w:val="single" w:color="auto" w:sz="4" w:space="0"/>
            </w:tcBorders>
            <w:noWrap/>
            <w:vAlign w:val="center"/>
          </w:tcPr>
          <w:p w14:paraId="1B4F836A">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54714722">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w:t>
            </w:r>
            <w:r>
              <w:rPr>
                <w:rFonts w:hint="eastAsia" w:ascii="Arial" w:hAnsi="Arial" w:cs="Arial"/>
                <w:sz w:val="16"/>
                <w:szCs w:val="18"/>
                <w:lang w:val="en-US" w:eastAsia="zh-CN"/>
              </w:rPr>
              <w:t>0</w:t>
            </w:r>
            <w:r>
              <w:rPr>
                <w:rFonts w:hint="eastAsia" w:ascii="Arial" w:hAnsi="Arial" w:cs="Arial"/>
                <w:sz w:val="16"/>
                <w:szCs w:val="18"/>
              </w:rPr>
              <w:t>、100</w:t>
            </w:r>
            <w:r>
              <w:rPr>
                <w:rFonts w:ascii="Arial" w:hAnsi="Arial" w:cs="Arial"/>
                <w:sz w:val="16"/>
                <w:szCs w:val="18"/>
              </w:rPr>
              <w:t>；</w:t>
            </w:r>
          </w:p>
        </w:tc>
      </w:tr>
      <w:tr w14:paraId="3972F3EC">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02E94694">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4A45534A">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9" w:type="pct"/>
            <w:tcBorders>
              <w:top w:val="nil"/>
              <w:left w:val="nil"/>
              <w:bottom w:val="single" w:color="auto" w:sz="4" w:space="0"/>
              <w:right w:val="single" w:color="auto" w:sz="4" w:space="0"/>
            </w:tcBorders>
            <w:noWrap/>
            <w:vAlign w:val="center"/>
          </w:tcPr>
          <w:p w14:paraId="6099083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9DCF7A6">
            <w:pPr>
              <w:snapToGrid w:val="0"/>
              <w:spacing w:line="240" w:lineRule="exact"/>
              <w:jc w:val="both"/>
              <w:rPr>
                <w:rFonts w:ascii="Arial" w:hAnsi="Arial" w:cs="Arial"/>
                <w:sz w:val="16"/>
                <w:szCs w:val="18"/>
              </w:rPr>
            </w:pPr>
            <w:r>
              <w:rPr>
                <w:rFonts w:hint="eastAsia" w:ascii="Arial" w:hAnsi="Arial" w:cs="Arial"/>
                <w:sz w:val="16"/>
                <w:szCs w:val="18"/>
              </w:rPr>
              <w:t>91</w:t>
            </w:r>
          </w:p>
        </w:tc>
        <w:tc>
          <w:tcPr>
            <w:tcW w:w="539" w:type="pct"/>
            <w:tcBorders>
              <w:top w:val="nil"/>
              <w:left w:val="nil"/>
              <w:bottom w:val="single" w:color="auto" w:sz="4" w:space="0"/>
              <w:right w:val="single" w:color="auto" w:sz="4" w:space="0"/>
            </w:tcBorders>
            <w:noWrap/>
            <w:vAlign w:val="center"/>
          </w:tcPr>
          <w:p w14:paraId="5D159B0E">
            <w:pPr>
              <w:snapToGrid w:val="0"/>
              <w:spacing w:line="240" w:lineRule="exact"/>
              <w:jc w:val="both"/>
              <w:rPr>
                <w:rFonts w:ascii="Arial" w:hAnsi="Arial" w:cs="Arial"/>
                <w:sz w:val="16"/>
                <w:szCs w:val="18"/>
              </w:rPr>
            </w:pPr>
            <w:r>
              <w:rPr>
                <w:rFonts w:hint="eastAsia" w:ascii="Arial" w:hAnsi="Arial" w:cs="Arial"/>
                <w:sz w:val="16"/>
                <w:szCs w:val="18"/>
              </w:rPr>
              <w:t>91</w:t>
            </w:r>
          </w:p>
        </w:tc>
        <w:tc>
          <w:tcPr>
            <w:tcW w:w="539" w:type="pct"/>
            <w:tcBorders>
              <w:top w:val="nil"/>
              <w:left w:val="nil"/>
              <w:bottom w:val="single" w:color="auto" w:sz="4" w:space="0"/>
              <w:right w:val="single" w:color="auto" w:sz="4" w:space="0"/>
            </w:tcBorders>
            <w:noWrap/>
            <w:vAlign w:val="center"/>
          </w:tcPr>
          <w:p w14:paraId="20EA5CAD">
            <w:pPr>
              <w:snapToGrid w:val="0"/>
              <w:spacing w:line="240" w:lineRule="exact"/>
              <w:jc w:val="both"/>
              <w:rPr>
                <w:rFonts w:ascii="Arial" w:hAnsi="Arial" w:cs="Arial"/>
                <w:sz w:val="16"/>
                <w:szCs w:val="18"/>
              </w:rPr>
            </w:pPr>
            <w:r>
              <w:rPr>
                <w:rFonts w:hint="eastAsia" w:ascii="Arial" w:hAnsi="Arial" w:cs="Arial"/>
                <w:sz w:val="16"/>
                <w:szCs w:val="18"/>
              </w:rPr>
              <w:t>91</w:t>
            </w:r>
          </w:p>
        </w:tc>
        <w:tc>
          <w:tcPr>
            <w:tcW w:w="2023" w:type="pct"/>
            <w:tcBorders>
              <w:top w:val="nil"/>
              <w:left w:val="nil"/>
              <w:bottom w:val="single" w:color="auto" w:sz="4" w:space="0"/>
              <w:right w:val="single" w:color="auto" w:sz="4" w:space="0"/>
            </w:tcBorders>
            <w:vAlign w:val="center"/>
          </w:tcPr>
          <w:p w14:paraId="59F22499">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61E8B4FF">
        <w:tblPrEx>
          <w:tblCellMar>
            <w:top w:w="57" w:type="dxa"/>
            <w:left w:w="57" w:type="dxa"/>
            <w:bottom w:w="57" w:type="dxa"/>
            <w:right w:w="57" w:type="dxa"/>
          </w:tblCellMar>
        </w:tblPrEx>
        <w:trPr>
          <w:trHeight w:val="20" w:hRule="atLeast"/>
          <w:jc w:val="center"/>
        </w:trPr>
        <w:tc>
          <w:tcPr>
            <w:tcW w:w="294" w:type="pct"/>
            <w:vMerge w:val="restart"/>
            <w:tcBorders>
              <w:top w:val="single" w:color="auto" w:sz="4" w:space="0"/>
              <w:left w:val="single" w:color="auto" w:sz="4" w:space="0"/>
              <w:bottom w:val="single" w:color="auto" w:sz="4" w:space="0"/>
              <w:right w:val="single" w:color="auto" w:sz="4" w:space="0"/>
            </w:tcBorders>
            <w:vAlign w:val="center"/>
          </w:tcPr>
          <w:p w14:paraId="0A04859F">
            <w:pPr>
              <w:snapToGrid w:val="0"/>
              <w:spacing w:line="240" w:lineRule="exact"/>
              <w:jc w:val="both"/>
              <w:rPr>
                <w:rFonts w:ascii="宋体" w:hAnsi="宋体" w:cs="Arial"/>
                <w:sz w:val="16"/>
                <w:szCs w:val="18"/>
              </w:rPr>
            </w:pPr>
            <w:r>
              <w:rPr>
                <w:rFonts w:ascii="宋体" w:hAnsi="宋体" w:cs="Arial"/>
                <w:sz w:val="16"/>
                <w:szCs w:val="18"/>
              </w:rPr>
              <w:t>权益状况</w:t>
            </w:r>
          </w:p>
        </w:tc>
        <w:tc>
          <w:tcPr>
            <w:tcW w:w="526" w:type="pct"/>
            <w:tcBorders>
              <w:top w:val="single" w:color="auto" w:sz="4" w:space="0"/>
              <w:left w:val="nil"/>
              <w:bottom w:val="single" w:color="auto" w:sz="4" w:space="0"/>
              <w:right w:val="single" w:color="auto" w:sz="4" w:space="0"/>
            </w:tcBorders>
            <w:vAlign w:val="center"/>
          </w:tcPr>
          <w:p w14:paraId="6A86D2EA">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9" w:type="pct"/>
            <w:tcBorders>
              <w:top w:val="nil"/>
              <w:left w:val="nil"/>
              <w:bottom w:val="single" w:color="auto" w:sz="4" w:space="0"/>
              <w:right w:val="single" w:color="auto" w:sz="4" w:space="0"/>
            </w:tcBorders>
            <w:noWrap/>
            <w:vAlign w:val="center"/>
          </w:tcPr>
          <w:p w14:paraId="51565703">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854FF8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FDBDE6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0EFA860">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651B4310">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52BB6176">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377481F7">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0BAAA6B8">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9" w:type="pct"/>
            <w:tcBorders>
              <w:top w:val="nil"/>
              <w:left w:val="nil"/>
              <w:bottom w:val="single" w:color="auto" w:sz="4" w:space="0"/>
              <w:right w:val="single" w:color="auto" w:sz="4" w:space="0"/>
            </w:tcBorders>
            <w:noWrap/>
            <w:vAlign w:val="center"/>
          </w:tcPr>
          <w:p w14:paraId="2CCA86F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0A9367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69BEAB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6886D2F">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7AD183D4">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996D909">
      <w:pPr>
        <w:wordWrap w:val="0"/>
        <w:overflowPunct w:val="0"/>
        <w:spacing w:line="480" w:lineRule="auto"/>
        <w:rPr>
          <w:rFonts w:ascii="Arial" w:hAnsi="Arial"/>
          <w:sz w:val="21"/>
          <w:szCs w:val="21"/>
        </w:rPr>
      </w:pPr>
    </w:p>
    <w:p w14:paraId="4B2E20C7">
      <w:pPr>
        <w:wordWrap w:val="0"/>
        <w:overflowPunct w:val="0"/>
        <w:spacing w:line="480" w:lineRule="auto"/>
        <w:rPr>
          <w:rFonts w:ascii="Arial" w:hAnsi="Arial"/>
          <w:sz w:val="21"/>
          <w:szCs w:val="21"/>
        </w:rPr>
      </w:pPr>
    </w:p>
    <w:p w14:paraId="4D5D6F7D">
      <w:pPr>
        <w:rPr>
          <w:rFonts w:hint="eastAsia" w:ascii="Arial" w:hAnsi="Arial"/>
          <w:sz w:val="21"/>
          <w:szCs w:val="21"/>
        </w:rPr>
      </w:pPr>
      <w:r>
        <w:rPr>
          <w:rFonts w:hint="eastAsia" w:ascii="Arial" w:hAnsi="Arial"/>
          <w:sz w:val="21"/>
          <w:szCs w:val="21"/>
        </w:rPr>
        <w:br w:type="page"/>
      </w:r>
    </w:p>
    <w:p w14:paraId="43AC5473">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453097AB">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7437576E">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7"/>
        <w:gridCol w:w="2889"/>
        <w:gridCol w:w="1707"/>
        <w:gridCol w:w="1707"/>
        <w:gridCol w:w="1705"/>
      </w:tblGrid>
      <w:tr w14:paraId="24A934DD">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0A220EC6">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79D867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513D4AF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3771D29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7F0604BB">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0A5DD0BD">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4C1D9CF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897" w:type="pct"/>
            <w:tcBorders>
              <w:top w:val="nil"/>
              <w:left w:val="nil"/>
              <w:bottom w:val="single" w:color="auto" w:sz="4" w:space="0"/>
              <w:right w:val="single" w:color="auto" w:sz="4" w:space="0"/>
            </w:tcBorders>
            <w:vAlign w:val="center"/>
          </w:tcPr>
          <w:p w14:paraId="271B229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融创公园壹号</w:t>
            </w:r>
          </w:p>
        </w:tc>
        <w:tc>
          <w:tcPr>
            <w:tcW w:w="897" w:type="pct"/>
            <w:tcBorders>
              <w:top w:val="nil"/>
              <w:left w:val="nil"/>
              <w:bottom w:val="single" w:color="auto" w:sz="4" w:space="0"/>
              <w:right w:val="single" w:color="auto" w:sz="4" w:space="0"/>
            </w:tcBorders>
            <w:vAlign w:val="center"/>
          </w:tcPr>
          <w:p w14:paraId="570BE967">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621D0871">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24F084DA">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897" w:type="pct"/>
            <w:tcBorders>
              <w:top w:val="nil"/>
              <w:left w:val="nil"/>
              <w:bottom w:val="single" w:color="auto" w:sz="4" w:space="0"/>
              <w:right w:val="single" w:color="auto" w:sz="4" w:space="0"/>
            </w:tcBorders>
            <w:vAlign w:val="center"/>
          </w:tcPr>
          <w:p w14:paraId="3A25700B">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34.89</w:t>
            </w:r>
          </w:p>
        </w:tc>
        <w:tc>
          <w:tcPr>
            <w:tcW w:w="897" w:type="pct"/>
            <w:tcBorders>
              <w:top w:val="nil"/>
              <w:left w:val="nil"/>
              <w:bottom w:val="single" w:color="auto" w:sz="4" w:space="0"/>
              <w:right w:val="single" w:color="auto" w:sz="4" w:space="0"/>
            </w:tcBorders>
            <w:vAlign w:val="center"/>
          </w:tcPr>
          <w:p w14:paraId="49482F76">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32.98</w:t>
            </w:r>
          </w:p>
        </w:tc>
        <w:tc>
          <w:tcPr>
            <w:tcW w:w="897" w:type="pct"/>
            <w:tcBorders>
              <w:top w:val="nil"/>
              <w:left w:val="nil"/>
              <w:bottom w:val="single" w:color="auto" w:sz="4" w:space="0"/>
              <w:right w:val="single" w:color="auto" w:sz="4" w:space="0"/>
            </w:tcBorders>
            <w:vAlign w:val="center"/>
          </w:tcPr>
          <w:p w14:paraId="7151970F">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33.23</w:t>
            </w:r>
          </w:p>
        </w:tc>
      </w:tr>
      <w:tr w14:paraId="5D50C358">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0ED9C9C5">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541E419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7C6179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83D35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C77ED25">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7E62ED18">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342EA1A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BFCB8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94378A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4C0DF74">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3FD15572">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5CC7C8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75C6C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FCE348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01A9958">
        <w:tblPrEx>
          <w:tblCellMar>
            <w:top w:w="0" w:type="dxa"/>
            <w:left w:w="108" w:type="dxa"/>
            <w:bottom w:w="0" w:type="dxa"/>
            <w:right w:w="108" w:type="dxa"/>
          </w:tblCellMar>
        </w:tblPrEx>
        <w:trPr>
          <w:trHeight w:val="227" w:hRule="atLeast"/>
        </w:trPr>
        <w:tc>
          <w:tcPr>
            <w:tcW w:w="792" w:type="pct"/>
            <w:vMerge w:val="restart"/>
            <w:tcBorders>
              <w:top w:val="nil"/>
              <w:left w:val="single" w:color="auto" w:sz="4" w:space="0"/>
              <w:bottom w:val="single" w:color="auto" w:sz="4" w:space="0"/>
              <w:right w:val="single" w:color="auto" w:sz="4" w:space="0"/>
            </w:tcBorders>
            <w:vAlign w:val="center"/>
          </w:tcPr>
          <w:p w14:paraId="46492D85">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006432FE">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1F04EE6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897" w:type="pct"/>
            <w:tcBorders>
              <w:top w:val="nil"/>
              <w:left w:val="nil"/>
              <w:bottom w:val="single" w:color="auto" w:sz="4" w:space="0"/>
              <w:right w:val="single" w:color="auto" w:sz="4" w:space="0"/>
            </w:tcBorders>
            <w:vAlign w:val="center"/>
          </w:tcPr>
          <w:p w14:paraId="1B3B8F43">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897" w:type="pct"/>
            <w:tcBorders>
              <w:top w:val="nil"/>
              <w:left w:val="nil"/>
              <w:bottom w:val="single" w:color="auto" w:sz="4" w:space="0"/>
              <w:right w:val="single" w:color="auto" w:sz="4" w:space="0"/>
            </w:tcBorders>
            <w:vAlign w:val="center"/>
          </w:tcPr>
          <w:p w14:paraId="56F3C00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19B89D38">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779A5C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0D990D9">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0596885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F8105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98E5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2478B67">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5A74401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8CA9408">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4E9DD8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87A944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9669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B623F86">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3DBBDD2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B2059B7">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531EA9E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A69F16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D5E72A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D757F02">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232BC80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1A49D69">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0337B73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B7B717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BC07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9A867C5">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F9656F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922A3A">
            <w:pPr>
              <w:widowControl/>
              <w:adjustRightInd/>
              <w:spacing w:line="240" w:lineRule="auto"/>
              <w:textAlignment w:val="auto"/>
              <w:rPr>
                <w:rFonts w:hint="eastAsia" w:ascii="Arial" w:hAnsi="Arial" w:eastAsia="宋体" w:cs="Arial"/>
                <w:sz w:val="16"/>
                <w:szCs w:val="18"/>
                <w:lang w:eastAsia="zh-CN"/>
              </w:rPr>
            </w:pPr>
            <w:r>
              <w:rPr>
                <w:rFonts w:hint="eastAsia" w:ascii="Arial" w:hAnsi="Arial" w:cs="Arial"/>
                <w:sz w:val="16"/>
                <w:szCs w:val="18"/>
                <w:lang w:eastAsia="zh-CN"/>
              </w:rPr>
              <w:t>自然及人文环境</w:t>
            </w:r>
          </w:p>
        </w:tc>
        <w:tc>
          <w:tcPr>
            <w:tcW w:w="897" w:type="pct"/>
            <w:tcBorders>
              <w:top w:val="nil"/>
              <w:left w:val="nil"/>
              <w:bottom w:val="single" w:color="auto" w:sz="4" w:space="0"/>
              <w:right w:val="single" w:color="auto" w:sz="4" w:space="0"/>
            </w:tcBorders>
            <w:vAlign w:val="center"/>
          </w:tcPr>
          <w:p w14:paraId="136AC2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1B16A6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E4C8C2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720242B">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3CA1A74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09AA61C">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67E341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460808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52FD5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2A11296">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171843F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8F41301">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6689D0A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0164E7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2CDF7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469F440">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6852C21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9EC9C4F">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1535662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897" w:type="pct"/>
            <w:tcBorders>
              <w:top w:val="nil"/>
              <w:left w:val="nil"/>
              <w:bottom w:val="single" w:color="auto" w:sz="4" w:space="0"/>
              <w:right w:val="single" w:color="auto" w:sz="4" w:space="0"/>
            </w:tcBorders>
            <w:vAlign w:val="center"/>
          </w:tcPr>
          <w:p w14:paraId="3C9BDB40">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100/10</w:t>
            </w:r>
            <w:r>
              <w:rPr>
                <w:rFonts w:hint="eastAsia" w:ascii="Arial" w:hAnsi="Arial" w:cs="Arial"/>
                <w:sz w:val="16"/>
                <w:szCs w:val="18"/>
                <w:lang w:val="en-US" w:eastAsia="zh-CN"/>
              </w:rPr>
              <w:t>2</w:t>
            </w:r>
          </w:p>
        </w:tc>
        <w:tc>
          <w:tcPr>
            <w:tcW w:w="897" w:type="pct"/>
            <w:tcBorders>
              <w:top w:val="nil"/>
              <w:left w:val="nil"/>
              <w:bottom w:val="single" w:color="auto" w:sz="4" w:space="0"/>
              <w:right w:val="single" w:color="auto" w:sz="4" w:space="0"/>
            </w:tcBorders>
            <w:vAlign w:val="center"/>
          </w:tcPr>
          <w:p w14:paraId="4237093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480B5164">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FCC109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2A56CC9">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2F4B45A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75BB909F">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100</w:t>
            </w:r>
          </w:p>
        </w:tc>
        <w:tc>
          <w:tcPr>
            <w:tcW w:w="897" w:type="pct"/>
            <w:tcBorders>
              <w:top w:val="nil"/>
              <w:left w:val="nil"/>
              <w:bottom w:val="single" w:color="auto" w:sz="4" w:space="0"/>
              <w:right w:val="single" w:color="auto" w:sz="4" w:space="0"/>
            </w:tcBorders>
            <w:vAlign w:val="center"/>
          </w:tcPr>
          <w:p w14:paraId="37A8211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20A828D7">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53E4CD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216699B">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60DE649B">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100/10</w:t>
            </w:r>
            <w:r>
              <w:rPr>
                <w:rFonts w:hint="eastAsia" w:ascii="Arial" w:hAnsi="Arial" w:cs="Arial"/>
                <w:sz w:val="16"/>
                <w:szCs w:val="18"/>
                <w:lang w:val="en-US" w:eastAsia="zh-CN"/>
              </w:rPr>
              <w:t>1</w:t>
            </w:r>
          </w:p>
        </w:tc>
        <w:tc>
          <w:tcPr>
            <w:tcW w:w="897" w:type="pct"/>
            <w:tcBorders>
              <w:top w:val="nil"/>
              <w:left w:val="nil"/>
              <w:bottom w:val="single" w:color="auto" w:sz="4" w:space="0"/>
              <w:right w:val="single" w:color="auto" w:sz="4" w:space="0"/>
            </w:tcBorders>
            <w:vAlign w:val="center"/>
          </w:tcPr>
          <w:p w14:paraId="4EC66D8B">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101</w:t>
            </w:r>
          </w:p>
        </w:tc>
        <w:tc>
          <w:tcPr>
            <w:tcW w:w="897" w:type="pct"/>
            <w:tcBorders>
              <w:top w:val="nil"/>
              <w:left w:val="nil"/>
              <w:bottom w:val="single" w:color="auto" w:sz="4" w:space="0"/>
              <w:right w:val="single" w:color="auto" w:sz="4" w:space="0"/>
            </w:tcBorders>
            <w:vAlign w:val="center"/>
          </w:tcPr>
          <w:p w14:paraId="2D65422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0D5545F9">
        <w:tblPrEx>
          <w:tblCellMar>
            <w:top w:w="0" w:type="dxa"/>
            <w:left w:w="108" w:type="dxa"/>
            <w:bottom w:w="0" w:type="dxa"/>
            <w:right w:w="108" w:type="dxa"/>
          </w:tblCellMar>
        </w:tblPrEx>
        <w:trPr>
          <w:trHeight w:val="227" w:hRule="atLeast"/>
        </w:trPr>
        <w:tc>
          <w:tcPr>
            <w:tcW w:w="792" w:type="pct"/>
            <w:vMerge w:val="restart"/>
            <w:tcBorders>
              <w:top w:val="single" w:color="auto" w:sz="4" w:space="0"/>
              <w:left w:val="single" w:color="auto" w:sz="4" w:space="0"/>
              <w:bottom w:val="single" w:color="auto" w:sz="4" w:space="0"/>
              <w:right w:val="single" w:color="auto" w:sz="4" w:space="0"/>
            </w:tcBorders>
            <w:vAlign w:val="center"/>
          </w:tcPr>
          <w:p w14:paraId="6E3382F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4933324A">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4C1D198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1368FEF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3E097EE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428716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1B6A18D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0475FC5">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5D31F1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17A6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6674E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93E2B64">
        <w:tblPrEx>
          <w:tblCellMar>
            <w:top w:w="0" w:type="dxa"/>
            <w:left w:w="108" w:type="dxa"/>
            <w:bottom w:w="0" w:type="dxa"/>
            <w:right w:w="108" w:type="dxa"/>
          </w:tblCellMar>
        </w:tblPrEx>
        <w:trPr>
          <w:trHeight w:val="215" w:hRule="atLeast"/>
        </w:trPr>
        <w:tc>
          <w:tcPr>
            <w:tcW w:w="792" w:type="pct"/>
            <w:vMerge w:val="continue"/>
            <w:tcBorders>
              <w:left w:val="single" w:color="auto" w:sz="4" w:space="0"/>
              <w:bottom w:val="single" w:color="auto" w:sz="4" w:space="0"/>
              <w:right w:val="single" w:color="auto" w:sz="4" w:space="0"/>
            </w:tcBorders>
            <w:vAlign w:val="center"/>
          </w:tcPr>
          <w:p w14:paraId="5E934B9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3C8C603">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5861443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682FE1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A5AD23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7C675D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41137EC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3F2B3BE">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30E63CA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BB1376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8A6F3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A58EC41">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03A37D3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2078517">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6589A29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C2F4F8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E0AAB4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99E0B20">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306C350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23B4F52">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785EC7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7124A8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3C28CB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180222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5F1D83A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A50338D">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41D65D3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7C2311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FE2F93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585C95">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3BAB043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CD87DA">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29E16FD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488B728D">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100/10</w:t>
            </w:r>
            <w:r>
              <w:rPr>
                <w:rFonts w:hint="eastAsia" w:ascii="Arial" w:hAnsi="Arial" w:cs="Arial"/>
                <w:sz w:val="16"/>
                <w:szCs w:val="18"/>
                <w:lang w:val="en-US" w:eastAsia="zh-CN"/>
              </w:rPr>
              <w:t>0</w:t>
            </w:r>
          </w:p>
        </w:tc>
        <w:tc>
          <w:tcPr>
            <w:tcW w:w="897" w:type="pct"/>
            <w:tcBorders>
              <w:top w:val="nil"/>
              <w:left w:val="nil"/>
              <w:bottom w:val="single" w:color="auto" w:sz="4" w:space="0"/>
              <w:right w:val="single" w:color="auto" w:sz="4" w:space="0"/>
            </w:tcBorders>
            <w:vAlign w:val="center"/>
          </w:tcPr>
          <w:p w14:paraId="28B66BF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2596404">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4DE4C46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C4E87A4">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4BB68694">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rPr>
              <w:t>9</w:t>
            </w:r>
            <w:r>
              <w:rPr>
                <w:rFonts w:hint="eastAsia" w:ascii="Arial" w:hAnsi="Arial" w:cs="Arial"/>
                <w:sz w:val="16"/>
                <w:szCs w:val="18"/>
                <w:lang w:val="en-US" w:eastAsia="zh-CN"/>
              </w:rPr>
              <w:t>1</w:t>
            </w:r>
          </w:p>
        </w:tc>
        <w:tc>
          <w:tcPr>
            <w:tcW w:w="897" w:type="pct"/>
            <w:tcBorders>
              <w:top w:val="nil"/>
              <w:left w:val="nil"/>
              <w:bottom w:val="single" w:color="auto" w:sz="4" w:space="0"/>
              <w:right w:val="single" w:color="auto" w:sz="4" w:space="0"/>
            </w:tcBorders>
            <w:vAlign w:val="center"/>
          </w:tcPr>
          <w:p w14:paraId="3455BA1A">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rPr>
              <w:t>9</w:t>
            </w:r>
            <w:r>
              <w:rPr>
                <w:rFonts w:hint="eastAsia" w:ascii="Arial" w:hAnsi="Arial" w:cs="Arial"/>
                <w:sz w:val="16"/>
                <w:szCs w:val="18"/>
                <w:lang w:val="en-US" w:eastAsia="zh-CN"/>
              </w:rPr>
              <w:t>1</w:t>
            </w:r>
          </w:p>
        </w:tc>
        <w:tc>
          <w:tcPr>
            <w:tcW w:w="897" w:type="pct"/>
            <w:tcBorders>
              <w:top w:val="nil"/>
              <w:left w:val="nil"/>
              <w:bottom w:val="single" w:color="auto" w:sz="4" w:space="0"/>
              <w:right w:val="single" w:color="auto" w:sz="4" w:space="0"/>
            </w:tcBorders>
            <w:vAlign w:val="center"/>
          </w:tcPr>
          <w:p w14:paraId="57D14538">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rPr>
              <w:t>9</w:t>
            </w:r>
            <w:r>
              <w:rPr>
                <w:rFonts w:hint="eastAsia" w:ascii="Arial" w:hAnsi="Arial" w:cs="Arial"/>
                <w:sz w:val="16"/>
                <w:szCs w:val="18"/>
                <w:lang w:val="en-US" w:eastAsia="zh-CN"/>
              </w:rPr>
              <w:t>1</w:t>
            </w:r>
          </w:p>
        </w:tc>
      </w:tr>
      <w:tr w14:paraId="2362728F">
        <w:tblPrEx>
          <w:tblCellMar>
            <w:top w:w="0" w:type="dxa"/>
            <w:left w:w="108" w:type="dxa"/>
            <w:bottom w:w="0" w:type="dxa"/>
            <w:right w:w="108" w:type="dxa"/>
          </w:tblCellMar>
        </w:tblPrEx>
        <w:trPr>
          <w:trHeight w:val="227" w:hRule="atLeast"/>
        </w:trPr>
        <w:tc>
          <w:tcPr>
            <w:tcW w:w="792" w:type="pct"/>
            <w:vMerge w:val="restart"/>
            <w:tcBorders>
              <w:left w:val="single" w:color="auto" w:sz="4" w:space="0"/>
              <w:bottom w:val="single" w:color="auto" w:sz="4" w:space="0"/>
              <w:right w:val="single" w:color="auto" w:sz="4" w:space="0"/>
            </w:tcBorders>
            <w:vAlign w:val="center"/>
          </w:tcPr>
          <w:p w14:paraId="0A5EABCC">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6CF16961">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046497E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223BDC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0352F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C2DA39">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12D1964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D7F7385">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6D7F789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E428A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9B9FA4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ED01B96">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343A762E">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41D48266">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1.0997</w:t>
            </w:r>
          </w:p>
        </w:tc>
        <w:tc>
          <w:tcPr>
            <w:tcW w:w="897" w:type="pct"/>
            <w:tcBorders>
              <w:top w:val="single" w:color="auto" w:sz="4" w:space="0"/>
              <w:left w:val="nil"/>
              <w:bottom w:val="single" w:color="auto" w:sz="4" w:space="0"/>
              <w:right w:val="single" w:color="auto" w:sz="4" w:space="0"/>
            </w:tcBorders>
            <w:vAlign w:val="center"/>
          </w:tcPr>
          <w:p w14:paraId="109B6C08">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1.05617</w:t>
            </w:r>
          </w:p>
        </w:tc>
        <w:tc>
          <w:tcPr>
            <w:tcW w:w="897" w:type="pct"/>
            <w:tcBorders>
              <w:top w:val="single" w:color="auto" w:sz="4" w:space="0"/>
              <w:left w:val="nil"/>
              <w:bottom w:val="single" w:color="auto" w:sz="4" w:space="0"/>
              <w:right w:val="single" w:color="auto" w:sz="4" w:space="0"/>
            </w:tcBorders>
            <w:vAlign w:val="center"/>
          </w:tcPr>
          <w:p w14:paraId="358C34BE">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1.0777</w:t>
            </w:r>
          </w:p>
        </w:tc>
      </w:tr>
      <w:tr w14:paraId="7081336B">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70BF3D07">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73953930">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38.37</w:t>
            </w:r>
            <w:commentRangeStart w:id="17"/>
          </w:p>
        </w:tc>
        <w:tc>
          <w:tcPr>
            <w:tcW w:w="897" w:type="pct"/>
            <w:tcBorders>
              <w:top w:val="single" w:color="auto" w:sz="4" w:space="0"/>
              <w:left w:val="nil"/>
              <w:bottom w:val="single" w:color="auto" w:sz="4" w:space="0"/>
              <w:right w:val="single" w:color="auto" w:sz="4" w:space="0"/>
            </w:tcBorders>
            <w:vAlign w:val="center"/>
          </w:tcPr>
          <w:p w14:paraId="3EBFEC2F">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34.83</w:t>
            </w:r>
          </w:p>
        </w:tc>
        <w:tc>
          <w:tcPr>
            <w:tcW w:w="897" w:type="pct"/>
            <w:tcBorders>
              <w:top w:val="single" w:color="auto" w:sz="4" w:space="0"/>
              <w:left w:val="nil"/>
              <w:bottom w:val="single" w:color="auto" w:sz="4" w:space="0"/>
              <w:right w:val="single" w:color="auto" w:sz="4" w:space="0"/>
            </w:tcBorders>
            <w:vAlign w:val="center"/>
          </w:tcPr>
          <w:p w14:paraId="63D4A9C1">
            <w:pPr>
              <w:spacing w:line="240" w:lineRule="auto"/>
              <w:jc w:val="center"/>
              <w:rPr>
                <w:rFonts w:ascii="Arial" w:hAnsi="Arial" w:cs="Arial"/>
                <w:sz w:val="16"/>
                <w:szCs w:val="18"/>
              </w:rPr>
            </w:pPr>
            <w:r>
              <w:rPr>
                <w:rFonts w:hint="eastAsia" w:ascii="Arial" w:hAnsi="Arial" w:cs="Arial"/>
                <w:sz w:val="16"/>
                <w:szCs w:val="18"/>
                <w:lang w:val="en-US" w:eastAsia="zh-CN"/>
              </w:rPr>
              <w:t>35.81</w:t>
            </w:r>
            <w:commentRangeEnd w:id="17"/>
            <w:r>
              <w:rPr>
                <w:rStyle w:val="40"/>
              </w:rPr>
              <w:commentReference w:id="17"/>
            </w:r>
          </w:p>
        </w:tc>
      </w:tr>
    </w:tbl>
    <w:p w14:paraId="279E75B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0516282D">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3E0FF926">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05D6067E">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2</w:t>
      </w:r>
      <w:r>
        <w:rPr>
          <w:rFonts w:hint="eastAsia" w:ascii="Arial" w:hAnsi="Arial"/>
          <w:bCs/>
          <w:sz w:val="21"/>
        </w:rPr>
        <w:t>市场租赁住房租金</w:t>
      </w:r>
      <w:r>
        <w:rPr>
          <w:rFonts w:hint="eastAsia" w:ascii="Arial" w:hAnsi="Arial"/>
          <w:sz w:val="21"/>
          <w:szCs w:val="21"/>
        </w:rPr>
        <w:t>＝（</w:t>
      </w:r>
      <w:r>
        <w:rPr>
          <w:rFonts w:hint="eastAsia" w:ascii="Arial" w:hAnsi="Arial"/>
          <w:sz w:val="21"/>
          <w:szCs w:val="21"/>
          <w:lang w:val="en-US" w:eastAsia="zh-CN"/>
        </w:rPr>
        <w:t>38.37</w:t>
      </w:r>
      <w:r>
        <w:rPr>
          <w:rFonts w:hint="eastAsia" w:ascii="Arial" w:hAnsi="Arial"/>
          <w:sz w:val="21"/>
          <w:szCs w:val="21"/>
        </w:rPr>
        <w:t>+3</w:t>
      </w:r>
      <w:r>
        <w:rPr>
          <w:rFonts w:hint="eastAsia" w:ascii="Arial" w:hAnsi="Arial"/>
          <w:sz w:val="21"/>
          <w:szCs w:val="21"/>
          <w:lang w:val="en-US" w:eastAsia="zh-CN"/>
        </w:rPr>
        <w:t>4.83</w:t>
      </w:r>
      <w:r>
        <w:rPr>
          <w:rFonts w:hint="eastAsia" w:ascii="Arial" w:hAnsi="Arial"/>
          <w:sz w:val="21"/>
          <w:szCs w:val="21"/>
        </w:rPr>
        <w:t>+</w:t>
      </w:r>
      <w:r>
        <w:rPr>
          <w:rFonts w:hint="eastAsia" w:ascii="Arial" w:hAnsi="Arial"/>
          <w:sz w:val="21"/>
          <w:szCs w:val="21"/>
          <w:lang w:val="en-US" w:eastAsia="zh-CN"/>
        </w:rPr>
        <w:t>35.81</w:t>
      </w:r>
      <w:r>
        <w:rPr>
          <w:rFonts w:hint="eastAsia" w:ascii="Arial" w:hAnsi="Arial"/>
          <w:sz w:val="21"/>
          <w:szCs w:val="21"/>
        </w:rPr>
        <w:t>）÷</w:t>
      </w:r>
      <w:r>
        <w:rPr>
          <w:rFonts w:ascii="Arial" w:hAnsi="Arial"/>
          <w:sz w:val="21"/>
          <w:szCs w:val="21"/>
        </w:rPr>
        <w:t>3</w:t>
      </w:r>
      <w:r>
        <w:rPr>
          <w:rFonts w:hint="eastAsia" w:ascii="Arial" w:hAnsi="Arial"/>
          <w:sz w:val="21"/>
          <w:szCs w:val="21"/>
        </w:rPr>
        <w:t>+3.39</w:t>
      </w:r>
    </w:p>
    <w:p w14:paraId="7EC3C186">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＝36.34+3.39</w:t>
      </w:r>
    </w:p>
    <w:p w14:paraId="36E422E6">
      <w:pPr>
        <w:wordWrap w:val="0"/>
        <w:overflowPunct w:val="0"/>
        <w:spacing w:line="480" w:lineRule="auto"/>
        <w:ind w:firstLine="3360" w:firstLineChars="1600"/>
        <w:rPr>
          <w:rFonts w:ascii="宋体" w:hAnsi="宋体"/>
          <w:sz w:val="21"/>
          <w:szCs w:val="21"/>
        </w:rPr>
      </w:pPr>
      <w:r>
        <w:rPr>
          <w:rFonts w:hint="eastAsia" w:ascii="Arial" w:hAnsi="Arial"/>
          <w:sz w:val="21"/>
          <w:szCs w:val="21"/>
        </w:rPr>
        <w:t>＝39.73（元/平方米·月）</w:t>
      </w:r>
      <w:r>
        <w:rPr>
          <w:rFonts w:hint="eastAsia" w:ascii="宋体" w:hAnsi="宋体"/>
          <w:sz w:val="21"/>
          <w:szCs w:val="21"/>
        </w:rPr>
        <w:t>（含物业费、不含取暖费）</w:t>
      </w:r>
    </w:p>
    <w:p w14:paraId="691B96B6">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w:t>
      </w:r>
      <w:r>
        <w:rPr>
          <w:rFonts w:ascii="Arial" w:hAnsi="Arial" w:cs="Arial"/>
          <w:b/>
          <w:sz w:val="21"/>
          <w:szCs w:val="21"/>
        </w:rPr>
        <w:t>3</w:t>
      </w:r>
      <w:r>
        <w:rPr>
          <w:rFonts w:hint="eastAsia" w:ascii="Arial" w:hAnsi="Arial" w:cs="Arial"/>
          <w:b/>
          <w:sz w:val="21"/>
          <w:szCs w:val="21"/>
        </w:rPr>
        <w:t>（三</w:t>
      </w:r>
      <w:r>
        <w:rPr>
          <w:rFonts w:hint="eastAsia" w:ascii="宋体" w:hAnsi="宋体"/>
          <w:b/>
          <w:sz w:val="21"/>
          <w:szCs w:val="21"/>
        </w:rPr>
        <w:t>居室标准房市场租金水平）</w:t>
      </w:r>
    </w:p>
    <w:p w14:paraId="6271B70E">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3F88865A">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区及其周边</w:t>
      </w:r>
      <w:r>
        <w:rPr>
          <w:rFonts w:hint="eastAsia" w:ascii="Arial" w:hAnsi="Arial" w:cs="Arial"/>
          <w:sz w:val="21"/>
          <w:szCs w:val="21"/>
        </w:rPr>
        <w:t>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7397049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7：</w:t>
      </w:r>
    </w:p>
    <w:p w14:paraId="0398AD5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新兴家园</w:t>
      </w:r>
    </w:p>
    <w:p w14:paraId="133DAB6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大兴区海鑫北路15号</w:t>
      </w:r>
    </w:p>
    <w:p w14:paraId="3FE58A5A">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3F962C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15056F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224612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lang w:val="en-US" w:eastAsia="zh-CN"/>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2014</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rPr>
        <w:t>120</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为27.5元/平方米·月（含物业费2.1元/平方米·月、取暖费2.5元/平方米·月）。</w:t>
      </w:r>
    </w:p>
    <w:p w14:paraId="38AFC38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8：</w:t>
      </w:r>
    </w:p>
    <w:p w14:paraId="49EDBC6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金色漫香郡</w:t>
      </w:r>
    </w:p>
    <w:p w14:paraId="4061C6D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大兴区海鑫北路18号</w:t>
      </w:r>
    </w:p>
    <w:p w14:paraId="0216C10A">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3DF84B5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96E1C1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1039BCD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5</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rPr>
        <w:t>128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为27.34元/平方米·月（含物业费2.38元/平方米·月、取暖费2.5元/平方米·月）。</w:t>
      </w:r>
    </w:p>
    <w:p w14:paraId="120F1778">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9：</w:t>
      </w:r>
    </w:p>
    <w:p w14:paraId="68041E5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首地浣溪谷</w:t>
      </w:r>
    </w:p>
    <w:p w14:paraId="010E232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大兴区安顺北路6号</w:t>
      </w:r>
    </w:p>
    <w:p w14:paraId="1667D76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28BE64E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B31CDE5">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0B48F77">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可比实例9周边有融创公园壹号、华远和煦里、华远和墅、格林云墅、首创悦都汇等居住项目，居住小区规模适中，入住率较好，综合评价居住区成熟度较好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三居室</w:t>
      </w:r>
      <w:r>
        <w:rPr>
          <w:rFonts w:ascii="Arial" w:hAnsi="Arial" w:cs="Arial"/>
          <w:sz w:val="21"/>
          <w:szCs w:val="21"/>
        </w:rPr>
        <w:t>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5</w:t>
      </w:r>
      <w:r>
        <w:rPr>
          <w:rFonts w:ascii="Arial" w:hAnsi="Arial" w:cs="Arial"/>
          <w:sz w:val="21"/>
          <w:szCs w:val="21"/>
        </w:rPr>
        <w:t>年，建筑结构为钢混结构，装修为中档装修，建筑面积为</w:t>
      </w:r>
      <w:r>
        <w:rPr>
          <w:rFonts w:hint="eastAsia" w:ascii="Arial" w:hAnsi="Arial" w:cs="Arial"/>
          <w:sz w:val="21"/>
          <w:szCs w:val="21"/>
        </w:rPr>
        <w:t>93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为32.26元/平方米·月（含物业费2.58元/平方米·月、取暖费2.5元/平方米·月）。</w:t>
      </w:r>
    </w:p>
    <w:p w14:paraId="19F08C15">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656B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C3AB42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331EB01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3B56826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可比实例7</w:t>
            </w:r>
          </w:p>
        </w:tc>
        <w:tc>
          <w:tcPr>
            <w:tcW w:w="1812" w:type="dxa"/>
            <w:vAlign w:val="center"/>
          </w:tcPr>
          <w:p w14:paraId="00D582A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可比实例8</w:t>
            </w:r>
          </w:p>
        </w:tc>
        <w:tc>
          <w:tcPr>
            <w:tcW w:w="1813" w:type="dxa"/>
            <w:vAlign w:val="center"/>
          </w:tcPr>
          <w:p w14:paraId="1A024DB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可比实例9</w:t>
            </w:r>
          </w:p>
        </w:tc>
      </w:tr>
      <w:tr w14:paraId="5E1D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5E7E5C4">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3C6686B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1813" w:type="dxa"/>
            <w:vAlign w:val="center"/>
          </w:tcPr>
          <w:p w14:paraId="444BE823">
            <w:pPr>
              <w:widowControl/>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1812" w:type="dxa"/>
            <w:vAlign w:val="center"/>
          </w:tcPr>
          <w:p w14:paraId="2F155AA3">
            <w:pPr>
              <w:widowControl/>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1813" w:type="dxa"/>
            <w:vAlign w:val="center"/>
          </w:tcPr>
          <w:p w14:paraId="6142E379">
            <w:pPr>
              <w:widowControl/>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52AD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D844E5B">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w:t>
            </w:r>
            <w:r>
              <w:rPr>
                <w:rFonts w:hint="eastAsia" w:ascii="Arial" w:hAnsi="Arial" w:cs="Arial"/>
                <w:sz w:val="16"/>
                <w:szCs w:val="18"/>
                <w:lang w:eastAsia="zh-CN"/>
              </w:rPr>
              <w:t>元/平方米·月</w:t>
            </w:r>
            <w:r>
              <w:rPr>
                <w:rFonts w:ascii="Arial" w:hAnsi="Arial" w:cs="Arial"/>
                <w:sz w:val="16"/>
                <w:szCs w:val="18"/>
              </w:rPr>
              <w:t>）</w:t>
            </w:r>
          </w:p>
        </w:tc>
        <w:tc>
          <w:tcPr>
            <w:tcW w:w="1813" w:type="dxa"/>
            <w:vAlign w:val="center"/>
          </w:tcPr>
          <w:p w14:paraId="47BECE7A">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7E03FAD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27.5</w:t>
            </w:r>
          </w:p>
        </w:tc>
        <w:tc>
          <w:tcPr>
            <w:tcW w:w="1812" w:type="dxa"/>
            <w:vAlign w:val="center"/>
          </w:tcPr>
          <w:p w14:paraId="79BB89E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27.34</w:t>
            </w:r>
          </w:p>
        </w:tc>
        <w:tc>
          <w:tcPr>
            <w:tcW w:w="1813" w:type="dxa"/>
            <w:vAlign w:val="center"/>
          </w:tcPr>
          <w:p w14:paraId="2AA68E4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32.26</w:t>
            </w:r>
          </w:p>
        </w:tc>
      </w:tr>
      <w:tr w14:paraId="1706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5738641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296541E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3" w:type="dxa"/>
            <w:vAlign w:val="center"/>
          </w:tcPr>
          <w:p w14:paraId="2C9D98C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34F9DE2F">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3" w:type="dxa"/>
            <w:vAlign w:val="center"/>
          </w:tcPr>
          <w:p w14:paraId="70CD8225">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71E7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72CFB77">
            <w:pPr>
              <w:pStyle w:val="61"/>
              <w:autoSpaceDE w:val="0"/>
              <w:autoSpaceDN w:val="0"/>
              <w:spacing w:line="240" w:lineRule="exact"/>
              <w:textAlignment w:val="bottom"/>
              <w:rPr>
                <w:rFonts w:ascii="Arial" w:hAnsi="Arial" w:cs="Arial"/>
                <w:sz w:val="16"/>
                <w:szCs w:val="18"/>
              </w:rPr>
            </w:pPr>
          </w:p>
        </w:tc>
        <w:tc>
          <w:tcPr>
            <w:tcW w:w="1813" w:type="dxa"/>
            <w:vAlign w:val="center"/>
          </w:tcPr>
          <w:p w14:paraId="13B7FA5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元/平方米·月</w:t>
            </w:r>
            <w:commentRangeStart w:id="18"/>
            <w:r>
              <w:rPr>
                <w:rFonts w:ascii="Arial" w:hAnsi="Arial" w:cs="Arial"/>
                <w:sz w:val="16"/>
                <w:szCs w:val="18"/>
              </w:rPr>
              <w:t>）</w:t>
            </w:r>
            <w:commentRangeEnd w:id="18"/>
            <w:r>
              <w:rPr>
                <w:rStyle w:val="40"/>
                <w:rFonts w:ascii="Times New Roman"/>
              </w:rPr>
              <w:commentReference w:id="18"/>
            </w:r>
          </w:p>
        </w:tc>
        <w:tc>
          <w:tcPr>
            <w:tcW w:w="1813" w:type="dxa"/>
            <w:vAlign w:val="center"/>
          </w:tcPr>
          <w:p w14:paraId="140AD97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4.6</w:t>
            </w:r>
          </w:p>
        </w:tc>
        <w:tc>
          <w:tcPr>
            <w:tcW w:w="1812" w:type="dxa"/>
            <w:vAlign w:val="center"/>
          </w:tcPr>
          <w:p w14:paraId="7F4523C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4.88</w:t>
            </w:r>
          </w:p>
        </w:tc>
        <w:tc>
          <w:tcPr>
            <w:tcW w:w="1813" w:type="dxa"/>
            <w:vAlign w:val="center"/>
          </w:tcPr>
          <w:p w14:paraId="1A7ABE6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5.08</w:t>
            </w:r>
          </w:p>
        </w:tc>
      </w:tr>
      <w:tr w14:paraId="693B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6812B44">
            <w:pPr>
              <w:pStyle w:val="61"/>
              <w:autoSpaceDE w:val="0"/>
              <w:autoSpaceDN w:val="0"/>
              <w:spacing w:line="240" w:lineRule="exact"/>
              <w:textAlignment w:val="bottom"/>
              <w:rPr>
                <w:rFonts w:ascii="Arial" w:hAnsi="Arial" w:cs="Arial"/>
                <w:sz w:val="16"/>
                <w:szCs w:val="18"/>
              </w:rPr>
            </w:pPr>
          </w:p>
        </w:tc>
        <w:tc>
          <w:tcPr>
            <w:tcW w:w="1813" w:type="dxa"/>
            <w:vAlign w:val="center"/>
          </w:tcPr>
          <w:p w14:paraId="6465BC1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元/平方米·月</w:t>
            </w:r>
            <w:r>
              <w:rPr>
                <w:rFonts w:ascii="Arial" w:hAnsi="Arial" w:cs="Arial"/>
                <w:sz w:val="16"/>
                <w:szCs w:val="18"/>
              </w:rPr>
              <w:t>）</w:t>
            </w:r>
          </w:p>
        </w:tc>
        <w:tc>
          <w:tcPr>
            <w:tcW w:w="1813" w:type="dxa"/>
            <w:vAlign w:val="center"/>
          </w:tcPr>
          <w:p w14:paraId="2DEEEB1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22.9</w:t>
            </w:r>
          </w:p>
        </w:tc>
        <w:tc>
          <w:tcPr>
            <w:tcW w:w="1812" w:type="dxa"/>
            <w:vAlign w:val="center"/>
          </w:tcPr>
          <w:p w14:paraId="41BDDEE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22.46</w:t>
            </w:r>
          </w:p>
        </w:tc>
        <w:tc>
          <w:tcPr>
            <w:tcW w:w="1813" w:type="dxa"/>
            <w:vAlign w:val="center"/>
          </w:tcPr>
          <w:p w14:paraId="2C1CD59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27.18</w:t>
            </w:r>
          </w:p>
        </w:tc>
      </w:tr>
      <w:tr w14:paraId="0B8A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286CF7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28D2AD2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35487FB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39594AB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3193BB7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69E2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E73BC1F">
            <w:pPr>
              <w:pStyle w:val="61"/>
              <w:autoSpaceDE w:val="0"/>
              <w:autoSpaceDN w:val="0"/>
              <w:spacing w:line="240" w:lineRule="exact"/>
              <w:textAlignment w:val="bottom"/>
              <w:rPr>
                <w:rFonts w:ascii="Arial" w:hAnsi="Arial" w:cs="Arial"/>
                <w:sz w:val="16"/>
                <w:szCs w:val="18"/>
              </w:rPr>
            </w:pPr>
          </w:p>
        </w:tc>
        <w:tc>
          <w:tcPr>
            <w:tcW w:w="1813" w:type="dxa"/>
            <w:vAlign w:val="center"/>
          </w:tcPr>
          <w:p w14:paraId="6904DE9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7ADBD490">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E76A1B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082761D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33FB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CA8B2E7">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5EE4094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6D43EB6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1AC05F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1F6D023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10F8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5230AFB">
            <w:pPr>
              <w:pStyle w:val="61"/>
              <w:autoSpaceDE w:val="0"/>
              <w:autoSpaceDN w:val="0"/>
              <w:spacing w:line="240" w:lineRule="exact"/>
              <w:textAlignment w:val="bottom"/>
              <w:rPr>
                <w:rFonts w:ascii="Arial" w:hAnsi="Arial" w:cs="Arial"/>
                <w:sz w:val="16"/>
                <w:szCs w:val="18"/>
              </w:rPr>
            </w:pPr>
          </w:p>
        </w:tc>
        <w:tc>
          <w:tcPr>
            <w:tcW w:w="1813" w:type="dxa"/>
            <w:vAlign w:val="center"/>
          </w:tcPr>
          <w:p w14:paraId="3C69221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284D9D3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4494AD5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16CB514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19A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972273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Style w:val="40"/>
                <w:rFonts w:ascii="Times New Roman"/>
              </w:rPr>
              <w:commentReference w:id="19"/>
            </w:r>
            <w:r>
              <w:rPr>
                <w:rFonts w:hint="eastAsia" w:ascii="Arial" w:hAnsi="Arial" w:cs="Arial"/>
                <w:sz w:val="16"/>
                <w:szCs w:val="18"/>
                <w:lang w:eastAsia="zh-CN"/>
              </w:rPr>
              <w:t>（元/平方米·月）</w:t>
            </w:r>
          </w:p>
        </w:tc>
        <w:tc>
          <w:tcPr>
            <w:tcW w:w="1813" w:type="dxa"/>
            <w:vAlign w:val="center"/>
          </w:tcPr>
          <w:p w14:paraId="6B582C8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30B0D09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22.9</w:t>
            </w:r>
          </w:p>
        </w:tc>
        <w:tc>
          <w:tcPr>
            <w:tcW w:w="1812" w:type="dxa"/>
            <w:vAlign w:val="center"/>
          </w:tcPr>
          <w:p w14:paraId="0A3F2ED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22.46</w:t>
            </w:r>
          </w:p>
        </w:tc>
        <w:tc>
          <w:tcPr>
            <w:tcW w:w="1813" w:type="dxa"/>
            <w:vAlign w:val="center"/>
          </w:tcPr>
          <w:p w14:paraId="34F3A20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27.18</w:t>
            </w:r>
          </w:p>
        </w:tc>
      </w:tr>
    </w:tbl>
    <w:p w14:paraId="282882D0">
      <w:pPr>
        <w:wordWrap w:val="0"/>
        <w:overflowPunct w:val="0"/>
        <w:spacing w:line="480" w:lineRule="auto"/>
        <w:ind w:firstLine="420" w:firstLineChars="200"/>
        <w:rPr>
          <w:rFonts w:ascii="宋体" w:hAnsi="宋体"/>
          <w:sz w:val="21"/>
          <w:szCs w:val="21"/>
        </w:rPr>
      </w:pPr>
    </w:p>
    <w:p w14:paraId="352F27E0">
      <w:pPr>
        <w:wordWrap w:val="0"/>
        <w:overflowPunct w:val="0"/>
        <w:spacing w:line="480" w:lineRule="auto"/>
        <w:ind w:firstLine="420" w:firstLineChars="200"/>
        <w:rPr>
          <w:rFonts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09F0BA3B">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6D199832">
            <w:pPr>
              <w:jc w:val="center"/>
              <w:rPr>
                <w:rFonts w:ascii="华文细黑" w:hAnsi="华文细黑" w:eastAsia="华文细黑"/>
              </w:rPr>
            </w:pPr>
            <w:r>
              <w:rPr>
                <w:rFonts w:hint="eastAsia" w:ascii="华文细黑" w:hAnsi="华文细黑" w:eastAsia="华文细黑"/>
              </w:rPr>
              <w:t>实例位置</w:t>
            </w:r>
          </w:p>
        </w:tc>
      </w:tr>
      <w:tr w14:paraId="6FC7BFDA">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73250F45">
            <w:pPr>
              <w:jc w:val="center"/>
              <w:rPr>
                <w:rFonts w:ascii="Calibri" w:hAnsi="Calibri"/>
              </w:rPr>
            </w:pPr>
            <w:r>
              <w:drawing>
                <wp:inline distT="0" distB="0" distL="114300" distR="114300">
                  <wp:extent cx="5861685" cy="4037330"/>
                  <wp:effectExtent l="0" t="0" r="5715" b="127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50"/>
                          <a:stretch>
                            <a:fillRect/>
                          </a:stretch>
                        </pic:blipFill>
                        <pic:spPr>
                          <a:xfrm>
                            <a:off x="0" y="0"/>
                            <a:ext cx="5861685" cy="4037330"/>
                          </a:xfrm>
                          <a:prstGeom prst="rect">
                            <a:avLst/>
                          </a:prstGeom>
                          <a:noFill/>
                          <a:ln>
                            <a:noFill/>
                          </a:ln>
                        </pic:spPr>
                      </pic:pic>
                    </a:graphicData>
                  </a:graphic>
                </wp:inline>
              </w:drawing>
            </w:r>
          </w:p>
        </w:tc>
      </w:tr>
    </w:tbl>
    <w:p w14:paraId="5D17FCB7"/>
    <w:p w14:paraId="7C46CF52">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438C6AA2">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CE3ADC7">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6"/>
        <w:gridCol w:w="1844"/>
        <w:gridCol w:w="1844"/>
        <w:gridCol w:w="1844"/>
        <w:gridCol w:w="1848"/>
      </w:tblGrid>
      <w:tr w14:paraId="19738122">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58E9ED5">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9" w:type="pct"/>
            <w:tcBorders>
              <w:top w:val="single" w:color="auto" w:sz="4" w:space="0"/>
              <w:left w:val="nil"/>
              <w:bottom w:val="single" w:color="auto" w:sz="4" w:space="0"/>
              <w:right w:val="single" w:color="auto" w:sz="4" w:space="0"/>
            </w:tcBorders>
            <w:vAlign w:val="center"/>
          </w:tcPr>
          <w:p w14:paraId="0B702ED1">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9" w:type="pct"/>
            <w:tcBorders>
              <w:top w:val="single" w:color="auto" w:sz="4" w:space="0"/>
              <w:left w:val="nil"/>
              <w:bottom w:val="single" w:color="auto" w:sz="4" w:space="0"/>
              <w:right w:val="single" w:color="auto" w:sz="4" w:space="0"/>
            </w:tcBorders>
            <w:vAlign w:val="center"/>
          </w:tcPr>
          <w:p w14:paraId="69C0CECE">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9" w:type="pct"/>
            <w:tcBorders>
              <w:top w:val="single" w:color="auto" w:sz="4" w:space="0"/>
              <w:left w:val="nil"/>
              <w:bottom w:val="single" w:color="auto" w:sz="4" w:space="0"/>
              <w:right w:val="single" w:color="auto" w:sz="4" w:space="0"/>
            </w:tcBorders>
            <w:vAlign w:val="center"/>
          </w:tcPr>
          <w:p w14:paraId="24CAAE9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1" w:type="pct"/>
            <w:tcBorders>
              <w:top w:val="single" w:color="auto" w:sz="4" w:space="0"/>
              <w:left w:val="nil"/>
              <w:bottom w:val="single" w:color="auto" w:sz="4" w:space="0"/>
              <w:right w:val="single" w:color="auto" w:sz="4" w:space="0"/>
            </w:tcBorders>
            <w:vAlign w:val="center"/>
          </w:tcPr>
          <w:p w14:paraId="0E98DD6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14D82D4E">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F2DA35B">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9" w:type="pct"/>
            <w:tcBorders>
              <w:top w:val="nil"/>
              <w:left w:val="nil"/>
              <w:bottom w:val="single" w:color="auto" w:sz="4" w:space="0"/>
              <w:right w:val="single" w:color="auto" w:sz="4" w:space="0"/>
            </w:tcBorders>
            <w:vAlign w:val="center"/>
          </w:tcPr>
          <w:p w14:paraId="14E0C82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969" w:type="pct"/>
            <w:tcBorders>
              <w:top w:val="nil"/>
              <w:left w:val="nil"/>
              <w:bottom w:val="single" w:color="auto" w:sz="4" w:space="0"/>
              <w:right w:val="single" w:color="auto" w:sz="4" w:space="0"/>
            </w:tcBorders>
            <w:vAlign w:val="center"/>
          </w:tcPr>
          <w:p w14:paraId="0E6A6D6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969" w:type="pct"/>
            <w:tcBorders>
              <w:top w:val="nil"/>
              <w:left w:val="nil"/>
              <w:bottom w:val="single" w:color="auto" w:sz="4" w:space="0"/>
              <w:right w:val="single" w:color="auto" w:sz="4" w:space="0"/>
            </w:tcBorders>
            <w:vAlign w:val="center"/>
          </w:tcPr>
          <w:p w14:paraId="23F328D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971" w:type="pct"/>
            <w:tcBorders>
              <w:top w:val="nil"/>
              <w:left w:val="nil"/>
              <w:bottom w:val="single" w:color="auto" w:sz="4" w:space="0"/>
              <w:right w:val="single" w:color="auto" w:sz="4" w:space="0"/>
            </w:tcBorders>
            <w:vAlign w:val="center"/>
          </w:tcPr>
          <w:p w14:paraId="42716FBB">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6E24124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44ED10B">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9" w:type="pct"/>
            <w:tcBorders>
              <w:top w:val="nil"/>
              <w:left w:val="nil"/>
              <w:bottom w:val="single" w:color="auto" w:sz="4" w:space="0"/>
              <w:right w:val="single" w:color="auto" w:sz="4" w:space="0"/>
            </w:tcBorders>
            <w:vAlign w:val="center"/>
          </w:tcPr>
          <w:p w14:paraId="1EB6665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9" w:type="pct"/>
            <w:tcBorders>
              <w:top w:val="nil"/>
              <w:left w:val="nil"/>
              <w:bottom w:val="single" w:color="auto" w:sz="4" w:space="0"/>
              <w:right w:val="single" w:color="auto" w:sz="4" w:space="0"/>
            </w:tcBorders>
            <w:vAlign w:val="center"/>
          </w:tcPr>
          <w:p w14:paraId="56800AA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22.9</w:t>
            </w:r>
          </w:p>
        </w:tc>
        <w:tc>
          <w:tcPr>
            <w:tcW w:w="969" w:type="pct"/>
            <w:tcBorders>
              <w:top w:val="nil"/>
              <w:left w:val="nil"/>
              <w:bottom w:val="single" w:color="auto" w:sz="4" w:space="0"/>
              <w:right w:val="single" w:color="auto" w:sz="4" w:space="0"/>
            </w:tcBorders>
            <w:vAlign w:val="center"/>
          </w:tcPr>
          <w:p w14:paraId="0926026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22.46</w:t>
            </w:r>
          </w:p>
        </w:tc>
        <w:tc>
          <w:tcPr>
            <w:tcW w:w="971" w:type="pct"/>
            <w:tcBorders>
              <w:top w:val="nil"/>
              <w:left w:val="nil"/>
              <w:bottom w:val="single" w:color="auto" w:sz="4" w:space="0"/>
              <w:right w:val="single" w:color="auto" w:sz="4" w:space="0"/>
            </w:tcBorders>
            <w:vAlign w:val="center"/>
          </w:tcPr>
          <w:p w14:paraId="12374A2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27.18</w:t>
            </w:r>
          </w:p>
        </w:tc>
      </w:tr>
      <w:tr w14:paraId="6F4EF8A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8DF2242">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9" w:type="pct"/>
            <w:tcBorders>
              <w:top w:val="nil"/>
              <w:left w:val="nil"/>
              <w:bottom w:val="single" w:color="auto" w:sz="4" w:space="0"/>
              <w:right w:val="single" w:color="auto" w:sz="4" w:space="0"/>
            </w:tcBorders>
            <w:vAlign w:val="center"/>
          </w:tcPr>
          <w:p w14:paraId="23323BC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9" w:type="pct"/>
            <w:tcBorders>
              <w:top w:val="nil"/>
              <w:left w:val="nil"/>
              <w:bottom w:val="single" w:color="auto" w:sz="4" w:space="0"/>
              <w:right w:val="single" w:color="auto" w:sz="4" w:space="0"/>
            </w:tcBorders>
            <w:vAlign w:val="center"/>
          </w:tcPr>
          <w:p w14:paraId="592C409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9" w:type="pct"/>
            <w:tcBorders>
              <w:top w:val="nil"/>
              <w:left w:val="nil"/>
              <w:bottom w:val="single" w:color="auto" w:sz="4" w:space="0"/>
              <w:right w:val="single" w:color="auto" w:sz="4" w:space="0"/>
            </w:tcBorders>
            <w:vAlign w:val="center"/>
          </w:tcPr>
          <w:p w14:paraId="11B6F85D">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1" w:type="pct"/>
            <w:tcBorders>
              <w:top w:val="nil"/>
              <w:left w:val="nil"/>
              <w:bottom w:val="single" w:color="auto" w:sz="4" w:space="0"/>
              <w:right w:val="single" w:color="auto" w:sz="4" w:space="0"/>
            </w:tcBorders>
            <w:vAlign w:val="center"/>
          </w:tcPr>
          <w:p w14:paraId="3362C5E7">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0EA5F95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3A5C7F4">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9" w:type="pct"/>
            <w:tcBorders>
              <w:top w:val="nil"/>
              <w:left w:val="nil"/>
              <w:bottom w:val="single" w:color="auto" w:sz="4" w:space="0"/>
              <w:right w:val="single" w:color="auto" w:sz="4" w:space="0"/>
            </w:tcBorders>
            <w:vAlign w:val="center"/>
          </w:tcPr>
          <w:p w14:paraId="49F4B8C7">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4C617BAA">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52D20CA3">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1" w:type="pct"/>
            <w:tcBorders>
              <w:top w:val="nil"/>
              <w:left w:val="nil"/>
              <w:bottom w:val="single" w:color="auto" w:sz="4" w:space="0"/>
              <w:right w:val="single" w:color="auto" w:sz="4" w:space="0"/>
            </w:tcBorders>
            <w:vAlign w:val="center"/>
          </w:tcPr>
          <w:p w14:paraId="5F3BA7E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6520C78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05BCBC3">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9" w:type="pct"/>
            <w:tcBorders>
              <w:top w:val="nil"/>
              <w:left w:val="nil"/>
              <w:bottom w:val="single" w:color="auto" w:sz="4" w:space="0"/>
              <w:right w:val="single" w:color="auto" w:sz="4" w:space="0"/>
            </w:tcBorders>
            <w:vAlign w:val="center"/>
          </w:tcPr>
          <w:p w14:paraId="2CA4B80E">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4635BE1D">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16CB2DE3">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1" w:type="pct"/>
            <w:tcBorders>
              <w:top w:val="nil"/>
              <w:left w:val="nil"/>
              <w:bottom w:val="single" w:color="auto" w:sz="4" w:space="0"/>
              <w:right w:val="single" w:color="auto" w:sz="4" w:space="0"/>
            </w:tcBorders>
            <w:vAlign w:val="center"/>
          </w:tcPr>
          <w:p w14:paraId="0BAC1EA8">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70BE0911">
        <w:tblPrEx>
          <w:tblCellMar>
            <w:top w:w="0" w:type="dxa"/>
            <w:left w:w="108" w:type="dxa"/>
            <w:bottom w:w="0" w:type="dxa"/>
            <w:right w:w="108" w:type="dxa"/>
          </w:tblCellMar>
        </w:tblPrEx>
        <w:trPr>
          <w:trHeight w:val="397"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3594791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1BF62D6A">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9" w:type="pct"/>
            <w:tcBorders>
              <w:top w:val="nil"/>
              <w:left w:val="nil"/>
              <w:bottom w:val="single" w:color="auto" w:sz="4" w:space="0"/>
              <w:right w:val="single" w:color="auto" w:sz="4" w:space="0"/>
            </w:tcBorders>
            <w:vAlign w:val="center"/>
          </w:tcPr>
          <w:p w14:paraId="4E390EF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估价对象周边2公里内有CCB建融家园创业之家、紫薇兰庭等居住项目，居住小区规模适中，入住率一般，综合评价居住社区成熟度一般</w:t>
            </w:r>
          </w:p>
        </w:tc>
        <w:tc>
          <w:tcPr>
            <w:tcW w:w="969" w:type="pct"/>
            <w:tcBorders>
              <w:top w:val="nil"/>
              <w:left w:val="nil"/>
              <w:bottom w:val="single" w:color="auto" w:sz="4" w:space="0"/>
              <w:right w:val="single" w:color="auto" w:sz="4" w:space="0"/>
            </w:tcBorders>
            <w:vAlign w:val="center"/>
          </w:tcPr>
          <w:p w14:paraId="7E0073F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周边2公里内有融创公园壹号、华远和煦里、华远和墅、格林云墅、首创悦都汇等居住项目，居住小区规模适中，入住率较好，综合评价居住区成熟度较好</w:t>
            </w:r>
          </w:p>
        </w:tc>
        <w:tc>
          <w:tcPr>
            <w:tcW w:w="969" w:type="pct"/>
            <w:tcBorders>
              <w:top w:val="nil"/>
              <w:left w:val="nil"/>
              <w:bottom w:val="single" w:color="auto" w:sz="4" w:space="0"/>
              <w:right w:val="single" w:color="auto" w:sz="4" w:space="0"/>
            </w:tcBorders>
            <w:vAlign w:val="center"/>
          </w:tcPr>
          <w:p w14:paraId="726EDC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c>
          <w:tcPr>
            <w:tcW w:w="971" w:type="pct"/>
            <w:tcBorders>
              <w:top w:val="nil"/>
              <w:left w:val="nil"/>
              <w:bottom w:val="single" w:color="auto" w:sz="4" w:space="0"/>
              <w:right w:val="single" w:color="auto" w:sz="4" w:space="0"/>
            </w:tcBorders>
            <w:vAlign w:val="center"/>
          </w:tcPr>
          <w:p w14:paraId="21FC8D1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r>
      <w:tr w14:paraId="4D27E6FB">
        <w:tblPrEx>
          <w:tblCellMar>
            <w:top w:w="0" w:type="dxa"/>
            <w:left w:w="108" w:type="dxa"/>
            <w:bottom w:w="0" w:type="dxa"/>
            <w:right w:w="108" w:type="dxa"/>
          </w:tblCellMar>
        </w:tblPrEx>
        <w:trPr>
          <w:trHeight w:val="90"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56EBD39">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45E0AD9">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9" w:type="pct"/>
            <w:tcBorders>
              <w:top w:val="nil"/>
              <w:left w:val="nil"/>
              <w:bottom w:val="single" w:color="auto" w:sz="4" w:space="0"/>
              <w:right w:val="single" w:color="auto" w:sz="4" w:space="0"/>
            </w:tcBorders>
            <w:vAlign w:val="center"/>
          </w:tcPr>
          <w:p w14:paraId="66D30A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周边500米内有城市次干道——鼎创路</w:t>
            </w:r>
          </w:p>
        </w:tc>
        <w:tc>
          <w:tcPr>
            <w:tcW w:w="969" w:type="pct"/>
            <w:tcBorders>
              <w:top w:val="nil"/>
              <w:left w:val="nil"/>
              <w:bottom w:val="single" w:color="auto" w:sz="4" w:space="0"/>
              <w:right w:val="single" w:color="auto" w:sz="4" w:space="0"/>
            </w:tcBorders>
            <w:vAlign w:val="center"/>
          </w:tcPr>
          <w:p w14:paraId="493AA7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周边500米内有城市次干道——盛达街</w:t>
            </w:r>
          </w:p>
        </w:tc>
        <w:tc>
          <w:tcPr>
            <w:tcW w:w="969" w:type="pct"/>
            <w:tcBorders>
              <w:top w:val="nil"/>
              <w:left w:val="nil"/>
              <w:bottom w:val="single" w:color="auto" w:sz="4" w:space="0"/>
              <w:right w:val="single" w:color="auto" w:sz="4" w:space="0"/>
            </w:tcBorders>
            <w:vAlign w:val="center"/>
          </w:tcPr>
          <w:p w14:paraId="6A41980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周边500米内有城市次干道——民顺路</w:t>
            </w:r>
          </w:p>
        </w:tc>
        <w:tc>
          <w:tcPr>
            <w:tcW w:w="971" w:type="pct"/>
            <w:tcBorders>
              <w:top w:val="nil"/>
              <w:left w:val="nil"/>
              <w:bottom w:val="single" w:color="auto" w:sz="4" w:space="0"/>
              <w:right w:val="single" w:color="auto" w:sz="4" w:space="0"/>
            </w:tcBorders>
            <w:vAlign w:val="center"/>
          </w:tcPr>
          <w:p w14:paraId="717268B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周边500米内有城市次干道——安顺北路</w:t>
            </w:r>
          </w:p>
        </w:tc>
      </w:tr>
      <w:tr w14:paraId="5CA887D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ED5158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FA6EC67">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9" w:type="pct"/>
            <w:tcBorders>
              <w:top w:val="nil"/>
              <w:left w:val="nil"/>
              <w:bottom w:val="single" w:color="auto" w:sz="4" w:space="0"/>
              <w:right w:val="single" w:color="auto" w:sz="4" w:space="0"/>
            </w:tcBorders>
            <w:vAlign w:val="center"/>
          </w:tcPr>
          <w:p w14:paraId="61C7EC8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4DC9F1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573BE7C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1" w:type="pct"/>
            <w:tcBorders>
              <w:top w:val="nil"/>
              <w:left w:val="nil"/>
              <w:bottom w:val="single" w:color="auto" w:sz="4" w:space="0"/>
              <w:right w:val="single" w:color="auto" w:sz="4" w:space="0"/>
            </w:tcBorders>
            <w:vAlign w:val="center"/>
          </w:tcPr>
          <w:p w14:paraId="303782F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37BA093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86F0BF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72B78B8">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9" w:type="pct"/>
            <w:tcBorders>
              <w:top w:val="nil"/>
              <w:left w:val="nil"/>
              <w:bottom w:val="single" w:color="auto" w:sz="4" w:space="0"/>
              <w:right w:val="single" w:color="auto" w:sz="4" w:space="0"/>
            </w:tcBorders>
            <w:vAlign w:val="center"/>
          </w:tcPr>
          <w:p w14:paraId="09C3113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周边1公里内有兴29路、兴63路、兴80路等公交线路途径并设立站点，综合评价交通便捷度一般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1B7789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53E881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71" w:type="pct"/>
            <w:tcBorders>
              <w:top w:val="nil"/>
              <w:left w:val="nil"/>
              <w:bottom w:val="single" w:color="auto" w:sz="4" w:space="0"/>
              <w:right w:val="single" w:color="auto" w:sz="4" w:space="0"/>
            </w:tcBorders>
            <w:vAlign w:val="center"/>
          </w:tcPr>
          <w:p w14:paraId="19AA5CE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r>
      <w:tr w14:paraId="41F059A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6FF746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1210721">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9" w:type="pct"/>
            <w:tcBorders>
              <w:top w:val="nil"/>
              <w:left w:val="nil"/>
              <w:bottom w:val="single" w:color="auto" w:sz="4" w:space="0"/>
              <w:right w:val="single" w:color="auto" w:sz="4" w:space="0"/>
            </w:tcBorders>
            <w:vAlign w:val="center"/>
          </w:tcPr>
          <w:p w14:paraId="2B1B5EE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9" w:type="pct"/>
            <w:tcBorders>
              <w:top w:val="nil"/>
              <w:left w:val="nil"/>
              <w:bottom w:val="single" w:color="auto" w:sz="4" w:space="0"/>
              <w:right w:val="single" w:color="auto" w:sz="4" w:space="0"/>
            </w:tcBorders>
            <w:vAlign w:val="center"/>
          </w:tcPr>
          <w:p w14:paraId="541546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9" w:type="pct"/>
            <w:tcBorders>
              <w:top w:val="nil"/>
              <w:left w:val="nil"/>
              <w:bottom w:val="single" w:color="auto" w:sz="4" w:space="0"/>
              <w:right w:val="single" w:color="auto" w:sz="4" w:space="0"/>
            </w:tcBorders>
            <w:vAlign w:val="center"/>
          </w:tcPr>
          <w:p w14:paraId="4F46E98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1" w:type="pct"/>
            <w:tcBorders>
              <w:top w:val="nil"/>
              <w:left w:val="nil"/>
              <w:bottom w:val="single" w:color="auto" w:sz="4" w:space="0"/>
              <w:right w:val="single" w:color="auto" w:sz="4" w:space="0"/>
            </w:tcBorders>
            <w:vAlign w:val="center"/>
          </w:tcPr>
          <w:p w14:paraId="6E7963A3">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0C68EA6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CAB413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0F2B381">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9" w:type="pct"/>
            <w:tcBorders>
              <w:top w:val="nil"/>
              <w:left w:val="nil"/>
              <w:bottom w:val="single" w:color="auto" w:sz="4" w:space="0"/>
              <w:right w:val="single" w:color="auto" w:sz="4" w:space="0"/>
            </w:tcBorders>
            <w:vAlign w:val="center"/>
          </w:tcPr>
          <w:p w14:paraId="49DD16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估价对象周边2公里有新西凤渠湿地、新凤河等自然景观，自然与人文环境一般</w:t>
            </w:r>
          </w:p>
        </w:tc>
        <w:tc>
          <w:tcPr>
            <w:tcW w:w="969" w:type="pct"/>
            <w:tcBorders>
              <w:top w:val="nil"/>
              <w:left w:val="nil"/>
              <w:bottom w:val="single" w:color="auto" w:sz="4" w:space="0"/>
              <w:right w:val="single" w:color="auto" w:sz="4" w:space="0"/>
            </w:tcBorders>
            <w:vAlign w:val="center"/>
          </w:tcPr>
          <w:p w14:paraId="41B0821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69" w:type="pct"/>
            <w:tcBorders>
              <w:top w:val="nil"/>
              <w:left w:val="nil"/>
              <w:bottom w:val="single" w:color="auto" w:sz="4" w:space="0"/>
              <w:right w:val="single" w:color="auto" w:sz="4" w:space="0"/>
            </w:tcBorders>
            <w:vAlign w:val="center"/>
          </w:tcPr>
          <w:p w14:paraId="2B7CB4E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71" w:type="pct"/>
            <w:tcBorders>
              <w:top w:val="nil"/>
              <w:left w:val="nil"/>
              <w:bottom w:val="single" w:color="auto" w:sz="4" w:space="0"/>
              <w:right w:val="single" w:color="auto" w:sz="4" w:space="0"/>
            </w:tcBorders>
            <w:vAlign w:val="center"/>
          </w:tcPr>
          <w:p w14:paraId="6A34F35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r>
      <w:tr w14:paraId="380E0C2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FF59DC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CB1C642">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9" w:type="pct"/>
            <w:tcBorders>
              <w:top w:val="nil"/>
              <w:left w:val="nil"/>
              <w:bottom w:val="single" w:color="auto" w:sz="4" w:space="0"/>
              <w:right w:val="single" w:color="auto" w:sz="4" w:space="0"/>
            </w:tcBorders>
            <w:vAlign w:val="center"/>
          </w:tcPr>
          <w:p w14:paraId="4B0FC75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9" w:type="pct"/>
            <w:tcBorders>
              <w:top w:val="nil"/>
              <w:left w:val="nil"/>
              <w:bottom w:val="single" w:color="auto" w:sz="4" w:space="0"/>
              <w:right w:val="single" w:color="auto" w:sz="4" w:space="0"/>
            </w:tcBorders>
            <w:vAlign w:val="center"/>
          </w:tcPr>
          <w:p w14:paraId="375E334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9" w:type="pct"/>
            <w:tcBorders>
              <w:top w:val="nil"/>
              <w:left w:val="nil"/>
              <w:bottom w:val="single" w:color="auto" w:sz="4" w:space="0"/>
              <w:right w:val="single" w:color="auto" w:sz="4" w:space="0"/>
            </w:tcBorders>
            <w:vAlign w:val="center"/>
          </w:tcPr>
          <w:p w14:paraId="33E24E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1" w:type="pct"/>
            <w:tcBorders>
              <w:top w:val="nil"/>
              <w:left w:val="nil"/>
              <w:bottom w:val="single" w:color="auto" w:sz="4" w:space="0"/>
              <w:right w:val="single" w:color="auto" w:sz="4" w:space="0"/>
            </w:tcBorders>
            <w:vAlign w:val="center"/>
          </w:tcPr>
          <w:p w14:paraId="0BEDACE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351E210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F51AE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F159E28">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9" w:type="pct"/>
            <w:tcBorders>
              <w:top w:val="nil"/>
              <w:left w:val="nil"/>
              <w:bottom w:val="single" w:color="auto" w:sz="4" w:space="0"/>
              <w:right w:val="single" w:color="auto" w:sz="4" w:space="0"/>
            </w:tcBorders>
            <w:vAlign w:val="center"/>
          </w:tcPr>
          <w:p w14:paraId="4B612BA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无大型购物中心，有多喜多超市、春雷生活超市等生活配套商业；有北京现代艺术学校、北京三间房中心幼儿园等教育机构，有北京市大兴区黄村镇三间房社区卫生服务站等医疗机构；有北京农商银行（新建分理处）等金融网点，公共配套设施状况一般</w:t>
            </w:r>
          </w:p>
        </w:tc>
        <w:tc>
          <w:tcPr>
            <w:tcW w:w="969" w:type="pct"/>
            <w:tcBorders>
              <w:top w:val="nil"/>
              <w:left w:val="nil"/>
              <w:bottom w:val="single" w:color="auto" w:sz="4" w:space="0"/>
              <w:right w:val="single" w:color="auto" w:sz="4" w:space="0"/>
            </w:tcBorders>
            <w:vAlign w:val="center"/>
          </w:tcPr>
          <w:p w14:paraId="69D3F48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69" w:type="pct"/>
            <w:tcBorders>
              <w:top w:val="nil"/>
              <w:left w:val="nil"/>
              <w:bottom w:val="single" w:color="auto" w:sz="4" w:space="0"/>
              <w:right w:val="single" w:color="auto" w:sz="4" w:space="0"/>
            </w:tcBorders>
            <w:vAlign w:val="center"/>
          </w:tcPr>
          <w:p w14:paraId="03583FC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71" w:type="pct"/>
            <w:tcBorders>
              <w:top w:val="nil"/>
              <w:left w:val="nil"/>
              <w:bottom w:val="single" w:color="auto" w:sz="4" w:space="0"/>
              <w:right w:val="single" w:color="auto" w:sz="4" w:space="0"/>
            </w:tcBorders>
            <w:vAlign w:val="center"/>
          </w:tcPr>
          <w:p w14:paraId="6B9458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r>
      <w:tr w14:paraId="0E531B2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FE5206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41988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9" w:type="pct"/>
            <w:tcBorders>
              <w:top w:val="nil"/>
              <w:left w:val="nil"/>
              <w:bottom w:val="single" w:color="auto" w:sz="4" w:space="0"/>
              <w:right w:val="single" w:color="auto" w:sz="4" w:space="0"/>
            </w:tcBorders>
            <w:vAlign w:val="center"/>
          </w:tcPr>
          <w:p w14:paraId="12A1275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9" w:type="pct"/>
            <w:tcBorders>
              <w:top w:val="nil"/>
              <w:left w:val="nil"/>
              <w:bottom w:val="single" w:color="auto" w:sz="4" w:space="0"/>
              <w:right w:val="single" w:color="auto" w:sz="4" w:space="0"/>
            </w:tcBorders>
            <w:vAlign w:val="center"/>
          </w:tcPr>
          <w:p w14:paraId="4B6E0CF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69" w:type="pct"/>
            <w:tcBorders>
              <w:top w:val="nil"/>
              <w:left w:val="nil"/>
              <w:bottom w:val="single" w:color="auto" w:sz="4" w:space="0"/>
              <w:right w:val="single" w:color="auto" w:sz="4" w:space="0"/>
            </w:tcBorders>
            <w:vAlign w:val="center"/>
          </w:tcPr>
          <w:p w14:paraId="57F5397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71" w:type="pct"/>
            <w:tcBorders>
              <w:top w:val="nil"/>
              <w:left w:val="nil"/>
              <w:bottom w:val="single" w:color="auto" w:sz="4" w:space="0"/>
              <w:right w:val="single" w:color="auto" w:sz="4" w:space="0"/>
            </w:tcBorders>
            <w:vAlign w:val="center"/>
          </w:tcPr>
          <w:p w14:paraId="75A9CE0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2467CC7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5444FE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8BA0A03">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241EFEA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541C96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67D8B8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1" w:type="pct"/>
            <w:tcBorders>
              <w:top w:val="nil"/>
              <w:left w:val="nil"/>
              <w:bottom w:val="single" w:color="auto" w:sz="4" w:space="0"/>
              <w:right w:val="single" w:color="auto" w:sz="4" w:space="0"/>
            </w:tcBorders>
            <w:vAlign w:val="center"/>
          </w:tcPr>
          <w:p w14:paraId="0035A0D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r>
      <w:tr w14:paraId="04AF886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3D1CD1B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5A56C50">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9" w:type="pct"/>
            <w:tcBorders>
              <w:top w:val="nil"/>
              <w:left w:val="nil"/>
              <w:bottom w:val="single" w:color="auto" w:sz="4" w:space="0"/>
              <w:right w:val="single" w:color="auto" w:sz="4" w:space="0"/>
            </w:tcBorders>
            <w:vAlign w:val="center"/>
          </w:tcPr>
          <w:p w14:paraId="0638F9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9" w:type="pct"/>
            <w:tcBorders>
              <w:top w:val="nil"/>
              <w:left w:val="nil"/>
              <w:bottom w:val="single" w:color="auto" w:sz="4" w:space="0"/>
              <w:right w:val="single" w:color="auto" w:sz="4" w:space="0"/>
            </w:tcBorders>
            <w:vAlign w:val="center"/>
          </w:tcPr>
          <w:p w14:paraId="52D9C4A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9" w:type="pct"/>
            <w:tcBorders>
              <w:top w:val="nil"/>
              <w:left w:val="nil"/>
              <w:bottom w:val="single" w:color="auto" w:sz="4" w:space="0"/>
              <w:right w:val="single" w:color="auto" w:sz="4" w:space="0"/>
            </w:tcBorders>
            <w:vAlign w:val="center"/>
          </w:tcPr>
          <w:p w14:paraId="075A31A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1" w:type="pct"/>
            <w:tcBorders>
              <w:top w:val="nil"/>
              <w:left w:val="nil"/>
              <w:bottom w:val="single" w:color="auto" w:sz="4" w:space="0"/>
              <w:right w:val="single" w:color="auto" w:sz="4" w:space="0"/>
            </w:tcBorders>
            <w:vAlign w:val="center"/>
          </w:tcPr>
          <w:p w14:paraId="2A2FBE9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76A78D49">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5D111104">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72C69D5E">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9" w:type="pct"/>
            <w:tcBorders>
              <w:top w:val="single" w:color="auto" w:sz="4" w:space="0"/>
              <w:left w:val="nil"/>
              <w:bottom w:val="single" w:color="auto" w:sz="4" w:space="0"/>
              <w:right w:val="single" w:color="auto" w:sz="4" w:space="0"/>
            </w:tcBorders>
            <w:vAlign w:val="center"/>
          </w:tcPr>
          <w:p w14:paraId="489013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5A5AA5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627C9D0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1" w:type="pct"/>
            <w:tcBorders>
              <w:top w:val="single" w:color="auto" w:sz="4" w:space="0"/>
              <w:left w:val="nil"/>
              <w:bottom w:val="single" w:color="auto" w:sz="4" w:space="0"/>
              <w:right w:val="single" w:color="auto" w:sz="4" w:space="0"/>
            </w:tcBorders>
            <w:vAlign w:val="center"/>
          </w:tcPr>
          <w:p w14:paraId="61A0F3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214CBD0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4E430E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135638B">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9" w:type="pct"/>
            <w:tcBorders>
              <w:top w:val="single" w:color="auto" w:sz="4" w:space="0"/>
              <w:left w:val="nil"/>
              <w:bottom w:val="single" w:color="auto" w:sz="4" w:space="0"/>
              <w:right w:val="single" w:color="auto" w:sz="4" w:space="0"/>
            </w:tcBorders>
            <w:vAlign w:val="center"/>
          </w:tcPr>
          <w:p w14:paraId="48387980">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399A1192">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66A0E15B">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44F25FA9">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2061F86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7FD495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AF3F349">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9" w:type="pct"/>
            <w:tcBorders>
              <w:top w:val="single" w:color="auto" w:sz="4" w:space="0"/>
              <w:left w:val="nil"/>
              <w:bottom w:val="single" w:color="auto" w:sz="4" w:space="0"/>
              <w:right w:val="single" w:color="auto" w:sz="4" w:space="0"/>
            </w:tcBorders>
            <w:vAlign w:val="center"/>
          </w:tcPr>
          <w:p w14:paraId="2BC91F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5DC82FDB">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63E0BD6C">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3FCFC26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4612F29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98290F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0FFDA2C">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9" w:type="pct"/>
            <w:tcBorders>
              <w:top w:val="single" w:color="auto" w:sz="4" w:space="0"/>
              <w:left w:val="nil"/>
              <w:bottom w:val="single" w:color="auto" w:sz="4" w:space="0"/>
              <w:right w:val="single" w:color="auto" w:sz="4" w:space="0"/>
            </w:tcBorders>
            <w:vAlign w:val="center"/>
          </w:tcPr>
          <w:p w14:paraId="0261BBA8">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7A68BE32">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1F557DC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1" w:type="pct"/>
            <w:tcBorders>
              <w:top w:val="single" w:color="auto" w:sz="4" w:space="0"/>
              <w:left w:val="nil"/>
              <w:bottom w:val="single" w:color="auto" w:sz="4" w:space="0"/>
              <w:right w:val="single" w:color="auto" w:sz="4" w:space="0"/>
            </w:tcBorders>
            <w:vAlign w:val="center"/>
          </w:tcPr>
          <w:p w14:paraId="2DC6FE35">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09DB10A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FF1AC06">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5615737">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9" w:type="pct"/>
            <w:tcBorders>
              <w:top w:val="single" w:color="auto" w:sz="4" w:space="0"/>
              <w:left w:val="nil"/>
              <w:bottom w:val="single" w:color="auto" w:sz="4" w:space="0"/>
              <w:right w:val="single" w:color="auto" w:sz="4" w:space="0"/>
            </w:tcBorders>
            <w:vAlign w:val="center"/>
          </w:tcPr>
          <w:p w14:paraId="125BCE8C">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9" w:type="pct"/>
            <w:tcBorders>
              <w:top w:val="single" w:color="auto" w:sz="4" w:space="0"/>
              <w:left w:val="nil"/>
              <w:bottom w:val="single" w:color="auto" w:sz="4" w:space="0"/>
              <w:right w:val="single" w:color="auto" w:sz="4" w:space="0"/>
            </w:tcBorders>
            <w:vAlign w:val="center"/>
          </w:tcPr>
          <w:p w14:paraId="670F841C">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9" w:type="pct"/>
            <w:tcBorders>
              <w:top w:val="single" w:color="auto" w:sz="4" w:space="0"/>
              <w:left w:val="nil"/>
              <w:bottom w:val="single" w:color="auto" w:sz="4" w:space="0"/>
              <w:right w:val="single" w:color="auto" w:sz="4" w:space="0"/>
            </w:tcBorders>
            <w:vAlign w:val="center"/>
          </w:tcPr>
          <w:p w14:paraId="594C094D">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1" w:type="pct"/>
            <w:tcBorders>
              <w:top w:val="single" w:color="auto" w:sz="4" w:space="0"/>
              <w:left w:val="nil"/>
              <w:bottom w:val="single" w:color="auto" w:sz="4" w:space="0"/>
              <w:right w:val="single" w:color="auto" w:sz="4" w:space="0"/>
            </w:tcBorders>
            <w:vAlign w:val="center"/>
          </w:tcPr>
          <w:p w14:paraId="550DB4B9">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7414292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41B6CCE">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B29D7E8">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9" w:type="pct"/>
            <w:tcBorders>
              <w:top w:val="single" w:color="auto" w:sz="4" w:space="0"/>
              <w:left w:val="nil"/>
              <w:bottom w:val="single" w:color="auto" w:sz="4" w:space="0"/>
              <w:right w:val="single" w:color="auto" w:sz="4" w:space="0"/>
            </w:tcBorders>
            <w:vAlign w:val="center"/>
          </w:tcPr>
          <w:p w14:paraId="2F4C942F">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9" w:type="pct"/>
            <w:tcBorders>
              <w:top w:val="single" w:color="auto" w:sz="4" w:space="0"/>
              <w:left w:val="nil"/>
              <w:bottom w:val="single" w:color="auto" w:sz="4" w:space="0"/>
              <w:right w:val="single" w:color="auto" w:sz="4" w:space="0"/>
            </w:tcBorders>
            <w:vAlign w:val="center"/>
          </w:tcPr>
          <w:p w14:paraId="27DD8BB1">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9" w:type="pct"/>
            <w:tcBorders>
              <w:top w:val="single" w:color="auto" w:sz="4" w:space="0"/>
              <w:left w:val="nil"/>
              <w:bottom w:val="single" w:color="auto" w:sz="4" w:space="0"/>
              <w:right w:val="single" w:color="auto" w:sz="4" w:space="0"/>
            </w:tcBorders>
            <w:vAlign w:val="center"/>
          </w:tcPr>
          <w:p w14:paraId="7944DD1D">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1" w:type="pct"/>
            <w:tcBorders>
              <w:top w:val="single" w:color="auto" w:sz="4" w:space="0"/>
              <w:left w:val="nil"/>
              <w:bottom w:val="single" w:color="auto" w:sz="4" w:space="0"/>
              <w:right w:val="single" w:color="auto" w:sz="4" w:space="0"/>
            </w:tcBorders>
            <w:vAlign w:val="center"/>
          </w:tcPr>
          <w:p w14:paraId="61E39D3D">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14:paraId="52764B27">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47C21B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925AA2A">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9" w:type="pct"/>
            <w:tcBorders>
              <w:top w:val="single" w:color="auto" w:sz="4" w:space="0"/>
              <w:left w:val="nil"/>
              <w:bottom w:val="single" w:color="auto" w:sz="4" w:space="0"/>
              <w:right w:val="single" w:color="auto" w:sz="4" w:space="0"/>
            </w:tcBorders>
            <w:vAlign w:val="center"/>
          </w:tcPr>
          <w:p w14:paraId="64FDFAC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7E8B79BD">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47CA3DBF">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1" w:type="pct"/>
            <w:tcBorders>
              <w:top w:val="single" w:color="auto" w:sz="4" w:space="0"/>
              <w:left w:val="nil"/>
              <w:bottom w:val="single" w:color="auto" w:sz="4" w:space="0"/>
              <w:right w:val="single" w:color="auto" w:sz="4" w:space="0"/>
            </w:tcBorders>
            <w:vAlign w:val="center"/>
          </w:tcPr>
          <w:p w14:paraId="34AFAC6B">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1EE4CF68">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F2DFF8C">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2B1524F">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9" w:type="pct"/>
            <w:tcBorders>
              <w:top w:val="single" w:color="auto" w:sz="4" w:space="0"/>
              <w:left w:val="nil"/>
              <w:bottom w:val="single" w:color="auto" w:sz="4" w:space="0"/>
              <w:right w:val="single" w:color="auto" w:sz="4" w:space="0"/>
            </w:tcBorders>
            <w:vAlign w:val="center"/>
          </w:tcPr>
          <w:p w14:paraId="27AF803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125.6</w:t>
            </w:r>
          </w:p>
        </w:tc>
        <w:tc>
          <w:tcPr>
            <w:tcW w:w="969" w:type="pct"/>
            <w:tcBorders>
              <w:top w:val="single" w:color="auto" w:sz="4" w:space="0"/>
              <w:left w:val="nil"/>
              <w:bottom w:val="single" w:color="auto" w:sz="4" w:space="0"/>
              <w:right w:val="single" w:color="auto" w:sz="4" w:space="0"/>
            </w:tcBorders>
            <w:vAlign w:val="center"/>
          </w:tcPr>
          <w:p w14:paraId="12D747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120</w:t>
            </w:r>
          </w:p>
        </w:tc>
        <w:tc>
          <w:tcPr>
            <w:tcW w:w="969" w:type="pct"/>
            <w:tcBorders>
              <w:top w:val="single" w:color="auto" w:sz="4" w:space="0"/>
              <w:left w:val="nil"/>
              <w:bottom w:val="single" w:color="auto" w:sz="4" w:space="0"/>
              <w:right w:val="single" w:color="auto" w:sz="4" w:space="0"/>
            </w:tcBorders>
            <w:vAlign w:val="center"/>
          </w:tcPr>
          <w:p w14:paraId="67F114E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128</w:t>
            </w:r>
          </w:p>
        </w:tc>
        <w:tc>
          <w:tcPr>
            <w:tcW w:w="971" w:type="pct"/>
            <w:tcBorders>
              <w:top w:val="single" w:color="auto" w:sz="4" w:space="0"/>
              <w:left w:val="nil"/>
              <w:bottom w:val="single" w:color="auto" w:sz="4" w:space="0"/>
              <w:right w:val="single" w:color="auto" w:sz="4" w:space="0"/>
            </w:tcBorders>
            <w:vAlign w:val="center"/>
          </w:tcPr>
          <w:p w14:paraId="26BC3FB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93</w:t>
            </w:r>
          </w:p>
        </w:tc>
      </w:tr>
      <w:tr w14:paraId="0C080B27">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AF59BA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B612B76">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9" w:type="pct"/>
            <w:tcBorders>
              <w:top w:val="single" w:color="auto" w:sz="4" w:space="0"/>
              <w:left w:val="nil"/>
              <w:bottom w:val="single" w:color="auto" w:sz="4" w:space="0"/>
              <w:right w:val="single" w:color="auto" w:sz="4" w:space="0"/>
            </w:tcBorders>
            <w:vAlign w:val="center"/>
          </w:tcPr>
          <w:p w14:paraId="69CD26E1">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69" w:type="pct"/>
            <w:tcBorders>
              <w:top w:val="single" w:color="auto" w:sz="4" w:space="0"/>
              <w:left w:val="nil"/>
              <w:bottom w:val="single" w:color="auto" w:sz="4" w:space="0"/>
              <w:right w:val="single" w:color="auto" w:sz="4" w:space="0"/>
            </w:tcBorders>
            <w:vAlign w:val="center"/>
          </w:tcPr>
          <w:p w14:paraId="7E597DD8">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9" w:type="pct"/>
            <w:tcBorders>
              <w:top w:val="single" w:color="auto" w:sz="4" w:space="0"/>
              <w:left w:val="nil"/>
              <w:bottom w:val="single" w:color="auto" w:sz="4" w:space="0"/>
              <w:right w:val="single" w:color="auto" w:sz="4" w:space="0"/>
            </w:tcBorders>
            <w:vAlign w:val="center"/>
          </w:tcPr>
          <w:p w14:paraId="4A3DCE31">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1" w:type="pct"/>
            <w:tcBorders>
              <w:top w:val="single" w:color="auto" w:sz="4" w:space="0"/>
              <w:left w:val="nil"/>
              <w:bottom w:val="single" w:color="auto" w:sz="4" w:space="0"/>
              <w:right w:val="single" w:color="auto" w:sz="4" w:space="0"/>
            </w:tcBorders>
            <w:vAlign w:val="center"/>
          </w:tcPr>
          <w:p w14:paraId="401BF80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2219B4EA">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2BA09762">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4ADC57A1">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9" w:type="pct"/>
            <w:tcBorders>
              <w:top w:val="single" w:color="auto" w:sz="4" w:space="0"/>
              <w:left w:val="nil"/>
              <w:bottom w:val="single" w:color="auto" w:sz="4" w:space="0"/>
              <w:right w:val="single" w:color="auto" w:sz="4" w:space="0"/>
            </w:tcBorders>
            <w:vAlign w:val="center"/>
          </w:tcPr>
          <w:p w14:paraId="021A8AD7">
            <w:pPr>
              <w:widowControl/>
              <w:adjustRightInd/>
              <w:spacing w:line="240" w:lineRule="auto"/>
              <w:jc w:val="center"/>
              <w:textAlignment w:val="auto"/>
              <w:rPr>
                <w:rFonts w:ascii="Arial" w:hAnsi="Arial" w:cs="Arial"/>
                <w:sz w:val="16"/>
                <w:szCs w:val="18"/>
              </w:rPr>
            </w:pPr>
            <w:commentRangeStart w:id="20"/>
            <w:commentRangeStart w:id="21"/>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4F4D1B4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5C1CE72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1" w:type="pct"/>
            <w:tcBorders>
              <w:top w:val="single" w:color="auto" w:sz="4" w:space="0"/>
              <w:left w:val="nil"/>
              <w:bottom w:val="single" w:color="auto" w:sz="4" w:space="0"/>
              <w:right w:val="single" w:color="auto" w:sz="4" w:space="0"/>
            </w:tcBorders>
            <w:vAlign w:val="center"/>
          </w:tcPr>
          <w:p w14:paraId="5BDC00D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commentRangeEnd w:id="20"/>
            <w:r>
              <w:rPr>
                <w:rStyle w:val="40"/>
              </w:rPr>
              <w:commentReference w:id="20"/>
            </w:r>
            <w:commentRangeEnd w:id="21"/>
            <w:r>
              <w:commentReference w:id="21"/>
            </w:r>
          </w:p>
        </w:tc>
      </w:tr>
      <w:tr w14:paraId="57B6800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F3E494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38EF613">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9" w:type="pct"/>
            <w:tcBorders>
              <w:top w:val="single" w:color="auto" w:sz="4" w:space="0"/>
              <w:left w:val="nil"/>
              <w:bottom w:val="single" w:color="auto" w:sz="4" w:space="0"/>
              <w:right w:val="single" w:color="auto" w:sz="4" w:space="0"/>
            </w:tcBorders>
            <w:vAlign w:val="center"/>
          </w:tcPr>
          <w:p w14:paraId="3E830E58">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44CA1ED5">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190DBB8E">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1" w:type="pct"/>
            <w:tcBorders>
              <w:top w:val="single" w:color="auto" w:sz="4" w:space="0"/>
              <w:left w:val="nil"/>
              <w:bottom w:val="single" w:color="auto" w:sz="4" w:space="0"/>
              <w:right w:val="single" w:color="auto" w:sz="4" w:space="0"/>
            </w:tcBorders>
            <w:vAlign w:val="center"/>
          </w:tcPr>
          <w:p w14:paraId="3EE0F8D3">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0F599FE6">
      <w:pPr>
        <w:overflowPunct w:val="0"/>
        <w:spacing w:line="480" w:lineRule="auto"/>
        <w:ind w:firstLine="420" w:firstLineChars="200"/>
        <w:jc w:val="center"/>
        <w:rPr>
          <w:rFonts w:ascii="Arial" w:hAnsi="Arial"/>
          <w:sz w:val="21"/>
          <w:szCs w:val="21"/>
        </w:rPr>
      </w:pPr>
    </w:p>
    <w:p w14:paraId="7C5805DB">
      <w:pPr>
        <w:overflowPunct w:val="0"/>
        <w:spacing w:line="480" w:lineRule="auto"/>
        <w:ind w:firstLine="420" w:firstLineChars="200"/>
        <w:jc w:val="center"/>
        <w:rPr>
          <w:rFonts w:ascii="Arial" w:hAnsi="Arial"/>
          <w:sz w:val="21"/>
          <w:szCs w:val="21"/>
        </w:rPr>
      </w:pPr>
    </w:p>
    <w:p w14:paraId="57E59174">
      <w:pPr>
        <w:overflowPunct w:val="0"/>
        <w:spacing w:line="480" w:lineRule="auto"/>
        <w:ind w:firstLine="420" w:firstLineChars="200"/>
        <w:jc w:val="center"/>
        <w:rPr>
          <w:rFonts w:ascii="Arial" w:hAnsi="Arial"/>
          <w:sz w:val="21"/>
          <w:szCs w:val="21"/>
        </w:rPr>
      </w:pPr>
    </w:p>
    <w:p w14:paraId="1D09E263">
      <w:pPr>
        <w:overflowPunct w:val="0"/>
        <w:spacing w:line="480" w:lineRule="auto"/>
        <w:ind w:firstLine="420" w:firstLineChars="200"/>
        <w:jc w:val="center"/>
        <w:rPr>
          <w:rFonts w:ascii="Arial" w:hAnsi="Arial"/>
          <w:sz w:val="21"/>
          <w:szCs w:val="21"/>
        </w:rPr>
      </w:pPr>
    </w:p>
    <w:p w14:paraId="1F3EC23D">
      <w:pPr>
        <w:overflowPunct w:val="0"/>
        <w:spacing w:line="480" w:lineRule="auto"/>
        <w:ind w:firstLine="420" w:firstLineChars="200"/>
        <w:jc w:val="center"/>
        <w:rPr>
          <w:rFonts w:ascii="Arial" w:hAnsi="Arial"/>
          <w:sz w:val="21"/>
          <w:szCs w:val="21"/>
        </w:rPr>
      </w:pPr>
    </w:p>
    <w:p w14:paraId="45AE6292">
      <w:pPr>
        <w:overflowPunct w:val="0"/>
        <w:spacing w:line="480" w:lineRule="auto"/>
        <w:ind w:firstLine="420" w:firstLineChars="200"/>
        <w:jc w:val="center"/>
        <w:rPr>
          <w:rFonts w:ascii="Arial" w:hAnsi="Arial"/>
          <w:sz w:val="21"/>
          <w:szCs w:val="21"/>
        </w:rPr>
      </w:pPr>
    </w:p>
    <w:p w14:paraId="4E084EA9">
      <w:pPr>
        <w:overflowPunct w:val="0"/>
        <w:spacing w:line="480" w:lineRule="auto"/>
        <w:ind w:firstLine="420" w:firstLineChars="200"/>
        <w:jc w:val="center"/>
        <w:rPr>
          <w:rFonts w:ascii="Arial" w:hAnsi="Arial"/>
          <w:sz w:val="21"/>
          <w:szCs w:val="21"/>
        </w:rPr>
      </w:pPr>
    </w:p>
    <w:p w14:paraId="2FBE7825">
      <w:pPr>
        <w:overflowPunct w:val="0"/>
        <w:spacing w:line="480" w:lineRule="auto"/>
        <w:ind w:firstLine="420" w:firstLineChars="200"/>
        <w:jc w:val="center"/>
        <w:rPr>
          <w:rFonts w:ascii="Arial" w:hAnsi="Arial"/>
          <w:sz w:val="21"/>
          <w:szCs w:val="21"/>
        </w:rPr>
      </w:pPr>
    </w:p>
    <w:p w14:paraId="3913F99C">
      <w:pPr>
        <w:overflowPunct w:val="0"/>
        <w:spacing w:line="480" w:lineRule="auto"/>
        <w:ind w:firstLine="420" w:firstLineChars="200"/>
        <w:jc w:val="center"/>
        <w:rPr>
          <w:rFonts w:ascii="Arial" w:hAnsi="Arial"/>
          <w:sz w:val="21"/>
          <w:szCs w:val="21"/>
        </w:rPr>
      </w:pPr>
    </w:p>
    <w:p w14:paraId="4E5BAB2A">
      <w:pPr>
        <w:wordWrap w:val="0"/>
        <w:overflowPunct w:val="0"/>
        <w:spacing w:line="480" w:lineRule="auto"/>
        <w:rPr>
          <w:rFonts w:ascii="Arial" w:hAnsi="Arial"/>
          <w:sz w:val="21"/>
          <w:szCs w:val="21"/>
        </w:rPr>
      </w:pPr>
    </w:p>
    <w:p w14:paraId="2DC24DC4">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122E1413">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0CC4D567">
      <w:pPr>
        <w:overflowPunct w:val="0"/>
        <w:spacing w:line="480" w:lineRule="auto"/>
        <w:ind w:firstLine="420" w:firstLineChars="200"/>
        <w:jc w:val="center"/>
        <w:rPr>
          <w:rFonts w:ascii="Arial" w:hAnsi="Arial"/>
          <w:sz w:val="21"/>
          <w:szCs w:val="21"/>
        </w:rPr>
      </w:pPr>
      <w:r>
        <w:rPr>
          <w:rFonts w:hint="eastAsia" w:ascii="Arial" w:hAnsi="Arial"/>
          <w:sz w:val="21"/>
          <w:szCs w:val="21"/>
        </w:rPr>
        <w:t>西红门金鼎欣盛家园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47"/>
        <w:gridCol w:w="978"/>
        <w:gridCol w:w="1002"/>
        <w:gridCol w:w="1002"/>
        <w:gridCol w:w="1002"/>
        <w:gridCol w:w="1002"/>
        <w:gridCol w:w="3760"/>
      </w:tblGrid>
      <w:tr w14:paraId="57103046">
        <w:tblPrEx>
          <w:tblCellMar>
            <w:top w:w="57" w:type="dxa"/>
            <w:left w:w="57" w:type="dxa"/>
            <w:bottom w:w="57" w:type="dxa"/>
            <w:right w:w="57" w:type="dxa"/>
          </w:tblCellMar>
        </w:tblPrEx>
        <w:trPr>
          <w:trHeight w:val="20" w:hRule="atLeast"/>
          <w:tblHeader/>
          <w:jc w:val="center"/>
        </w:trPr>
        <w:tc>
          <w:tcPr>
            <w:tcW w:w="82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763B823E">
            <w:pPr>
              <w:snapToGrid w:val="0"/>
              <w:spacing w:line="240" w:lineRule="exact"/>
              <w:jc w:val="right"/>
              <w:rPr>
                <w:rFonts w:ascii="宋体" w:hAnsi="宋体" w:cs="Arial"/>
                <w:sz w:val="16"/>
                <w:szCs w:val="18"/>
              </w:rPr>
            </w:pPr>
            <w:r>
              <w:rPr>
                <w:rFonts w:ascii="宋体" w:hAnsi="宋体" w:cs="Arial"/>
                <w:sz w:val="16"/>
                <w:szCs w:val="18"/>
              </w:rPr>
              <w:t>估价对象及</w:t>
            </w:r>
          </w:p>
          <w:p w14:paraId="64007CB5">
            <w:pPr>
              <w:snapToGrid w:val="0"/>
              <w:spacing w:line="240" w:lineRule="exact"/>
              <w:jc w:val="right"/>
              <w:rPr>
                <w:rFonts w:ascii="宋体" w:hAnsi="宋体" w:cs="Arial"/>
                <w:sz w:val="16"/>
                <w:szCs w:val="18"/>
              </w:rPr>
            </w:pPr>
            <w:r>
              <w:rPr>
                <w:rFonts w:ascii="宋体" w:hAnsi="宋体" w:cs="Arial"/>
                <w:sz w:val="16"/>
                <w:szCs w:val="18"/>
              </w:rPr>
              <w:t>可比实例</w:t>
            </w:r>
          </w:p>
          <w:p w14:paraId="01BD1316">
            <w:pPr>
              <w:snapToGrid w:val="0"/>
              <w:spacing w:line="240" w:lineRule="exact"/>
              <w:jc w:val="both"/>
              <w:rPr>
                <w:rFonts w:ascii="宋体" w:hAnsi="宋体" w:cs="Arial"/>
                <w:sz w:val="16"/>
                <w:szCs w:val="18"/>
              </w:rPr>
            </w:pPr>
          </w:p>
          <w:p w14:paraId="4D91D29D">
            <w:pPr>
              <w:snapToGrid w:val="0"/>
              <w:spacing w:line="240" w:lineRule="exact"/>
              <w:jc w:val="both"/>
              <w:rPr>
                <w:rFonts w:ascii="宋体" w:hAnsi="宋体" w:cs="Arial"/>
                <w:sz w:val="16"/>
                <w:szCs w:val="18"/>
              </w:rPr>
            </w:pPr>
          </w:p>
          <w:p w14:paraId="6E499D89">
            <w:pPr>
              <w:snapToGrid w:val="0"/>
              <w:spacing w:line="240" w:lineRule="exact"/>
              <w:jc w:val="both"/>
              <w:rPr>
                <w:rFonts w:ascii="宋体" w:hAnsi="宋体" w:cs="Arial"/>
                <w:sz w:val="16"/>
                <w:szCs w:val="18"/>
              </w:rPr>
            </w:pPr>
            <w:r>
              <w:rPr>
                <w:rFonts w:ascii="宋体" w:hAnsi="宋体" w:cs="Arial"/>
                <w:sz w:val="16"/>
                <w:szCs w:val="18"/>
              </w:rPr>
              <w:t>比较因素</w:t>
            </w:r>
          </w:p>
        </w:tc>
        <w:tc>
          <w:tcPr>
            <w:tcW w:w="539" w:type="pct"/>
            <w:tcBorders>
              <w:top w:val="single" w:color="auto" w:sz="4" w:space="0"/>
              <w:left w:val="nil"/>
              <w:bottom w:val="single" w:color="auto" w:sz="4" w:space="0"/>
              <w:right w:val="single" w:color="auto" w:sz="4" w:space="0"/>
            </w:tcBorders>
            <w:vAlign w:val="center"/>
          </w:tcPr>
          <w:p w14:paraId="192D9313">
            <w:pPr>
              <w:snapToGrid w:val="0"/>
              <w:spacing w:line="240" w:lineRule="exact"/>
              <w:jc w:val="both"/>
              <w:rPr>
                <w:rFonts w:ascii="宋体" w:hAnsi="宋体" w:cs="Arial"/>
                <w:sz w:val="16"/>
                <w:szCs w:val="18"/>
              </w:rPr>
            </w:pPr>
            <w:r>
              <w:rPr>
                <w:rFonts w:ascii="宋体" w:hAnsi="宋体" w:cs="Arial"/>
                <w:sz w:val="16"/>
                <w:szCs w:val="18"/>
              </w:rPr>
              <w:t>估价对象</w:t>
            </w:r>
          </w:p>
        </w:tc>
        <w:tc>
          <w:tcPr>
            <w:tcW w:w="539" w:type="pct"/>
            <w:tcBorders>
              <w:top w:val="single" w:color="auto" w:sz="4" w:space="0"/>
              <w:left w:val="nil"/>
              <w:bottom w:val="single" w:color="auto" w:sz="4" w:space="0"/>
              <w:right w:val="single" w:color="auto" w:sz="4" w:space="0"/>
            </w:tcBorders>
            <w:vAlign w:val="center"/>
          </w:tcPr>
          <w:p w14:paraId="046FEE96">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9" w:type="pct"/>
            <w:tcBorders>
              <w:top w:val="single" w:color="auto" w:sz="4" w:space="0"/>
              <w:left w:val="nil"/>
              <w:bottom w:val="single" w:color="auto" w:sz="4" w:space="0"/>
              <w:right w:val="single" w:color="auto" w:sz="4" w:space="0"/>
            </w:tcBorders>
            <w:vAlign w:val="center"/>
          </w:tcPr>
          <w:p w14:paraId="5520AA30">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9" w:type="pct"/>
            <w:tcBorders>
              <w:top w:val="single" w:color="auto" w:sz="4" w:space="0"/>
              <w:left w:val="nil"/>
              <w:bottom w:val="single" w:color="auto" w:sz="4" w:space="0"/>
              <w:right w:val="single" w:color="auto" w:sz="4" w:space="0"/>
            </w:tcBorders>
            <w:vAlign w:val="center"/>
          </w:tcPr>
          <w:p w14:paraId="612DC808">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24" w:type="pct"/>
            <w:tcBorders>
              <w:top w:val="single" w:color="auto" w:sz="4" w:space="0"/>
              <w:left w:val="nil"/>
              <w:bottom w:val="single" w:color="auto" w:sz="4" w:space="0"/>
              <w:right w:val="single" w:color="auto" w:sz="4" w:space="0"/>
            </w:tcBorders>
            <w:vAlign w:val="center"/>
          </w:tcPr>
          <w:p w14:paraId="345FB785">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1B968EE2">
        <w:tblPrEx>
          <w:tblCellMar>
            <w:top w:w="57" w:type="dxa"/>
            <w:left w:w="57" w:type="dxa"/>
            <w:bottom w:w="57" w:type="dxa"/>
            <w:right w:w="57" w:type="dxa"/>
          </w:tblCellMar>
        </w:tblPrEx>
        <w:trPr>
          <w:trHeight w:val="20" w:hRule="atLeast"/>
          <w:tblHeader/>
          <w:jc w:val="center"/>
        </w:trPr>
        <w:tc>
          <w:tcPr>
            <w:tcW w:w="821" w:type="pct"/>
            <w:gridSpan w:val="2"/>
            <w:vMerge w:val="continue"/>
            <w:tcBorders>
              <w:top w:val="single" w:color="auto" w:sz="4" w:space="0"/>
              <w:left w:val="single" w:color="auto" w:sz="4" w:space="0"/>
              <w:bottom w:val="single" w:color="000000" w:sz="4" w:space="0"/>
              <w:right w:val="single" w:color="000000" w:sz="4" w:space="0"/>
            </w:tcBorders>
            <w:vAlign w:val="center"/>
          </w:tcPr>
          <w:p w14:paraId="2318C7CC">
            <w:pPr>
              <w:snapToGrid w:val="0"/>
              <w:spacing w:line="240" w:lineRule="exact"/>
              <w:jc w:val="both"/>
              <w:rPr>
                <w:rFonts w:ascii="宋体" w:hAnsi="宋体" w:cs="Arial"/>
                <w:sz w:val="16"/>
                <w:szCs w:val="18"/>
              </w:rPr>
            </w:pPr>
          </w:p>
        </w:tc>
        <w:tc>
          <w:tcPr>
            <w:tcW w:w="539" w:type="pct"/>
            <w:tcBorders>
              <w:top w:val="nil"/>
              <w:left w:val="nil"/>
              <w:bottom w:val="single" w:color="auto" w:sz="4" w:space="0"/>
              <w:right w:val="single" w:color="auto" w:sz="4" w:space="0"/>
            </w:tcBorders>
            <w:vAlign w:val="center"/>
          </w:tcPr>
          <w:p w14:paraId="08B592D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539" w:type="pct"/>
            <w:tcBorders>
              <w:top w:val="nil"/>
              <w:left w:val="nil"/>
              <w:bottom w:val="single" w:color="auto" w:sz="4" w:space="0"/>
              <w:right w:val="single" w:color="auto" w:sz="4" w:space="0"/>
            </w:tcBorders>
            <w:vAlign w:val="center"/>
          </w:tcPr>
          <w:p w14:paraId="38CED84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539" w:type="pct"/>
            <w:tcBorders>
              <w:top w:val="nil"/>
              <w:left w:val="nil"/>
              <w:bottom w:val="single" w:color="auto" w:sz="4" w:space="0"/>
              <w:right w:val="single" w:color="auto" w:sz="4" w:space="0"/>
            </w:tcBorders>
            <w:vAlign w:val="center"/>
          </w:tcPr>
          <w:p w14:paraId="724C395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539" w:type="pct"/>
            <w:tcBorders>
              <w:top w:val="nil"/>
              <w:left w:val="nil"/>
              <w:bottom w:val="single" w:color="auto" w:sz="4" w:space="0"/>
              <w:right w:val="single" w:color="auto" w:sz="4" w:space="0"/>
            </w:tcBorders>
            <w:vAlign w:val="center"/>
          </w:tcPr>
          <w:p w14:paraId="7141A49C">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c>
          <w:tcPr>
            <w:tcW w:w="2024" w:type="pct"/>
            <w:tcBorders>
              <w:top w:val="nil"/>
              <w:left w:val="nil"/>
              <w:bottom w:val="single" w:color="auto" w:sz="4" w:space="0"/>
              <w:right w:val="single" w:color="auto" w:sz="4" w:space="0"/>
            </w:tcBorders>
            <w:vAlign w:val="center"/>
          </w:tcPr>
          <w:p w14:paraId="7E54F060">
            <w:pPr>
              <w:snapToGrid w:val="0"/>
              <w:spacing w:line="240" w:lineRule="exact"/>
              <w:jc w:val="both"/>
              <w:rPr>
                <w:rFonts w:ascii="宋体" w:hAnsi="宋体" w:cs="Arial"/>
                <w:sz w:val="16"/>
                <w:szCs w:val="18"/>
              </w:rPr>
            </w:pPr>
            <w:r>
              <w:rPr>
                <w:rFonts w:ascii="宋体" w:hAnsi="宋体" w:cs="Arial"/>
                <w:sz w:val="16"/>
                <w:szCs w:val="18"/>
              </w:rPr>
              <w:t>——</w:t>
            </w:r>
          </w:p>
        </w:tc>
      </w:tr>
      <w:tr w14:paraId="6F96053E">
        <w:tblPrEx>
          <w:tblCellMar>
            <w:top w:w="57" w:type="dxa"/>
            <w:left w:w="57" w:type="dxa"/>
            <w:bottom w:w="57" w:type="dxa"/>
            <w:right w:w="57" w:type="dxa"/>
          </w:tblCellMar>
        </w:tblPrEx>
        <w:trPr>
          <w:trHeight w:val="20" w:hRule="atLeast"/>
          <w:jc w:val="center"/>
        </w:trPr>
        <w:tc>
          <w:tcPr>
            <w:tcW w:w="821" w:type="pct"/>
            <w:gridSpan w:val="2"/>
            <w:tcBorders>
              <w:top w:val="single" w:color="auto" w:sz="4" w:space="0"/>
              <w:left w:val="single" w:color="auto" w:sz="4" w:space="0"/>
              <w:bottom w:val="single" w:color="auto" w:sz="4" w:space="0"/>
              <w:right w:val="single" w:color="000000" w:sz="4" w:space="0"/>
            </w:tcBorders>
            <w:vAlign w:val="center"/>
          </w:tcPr>
          <w:p w14:paraId="79F43F40">
            <w:pPr>
              <w:snapToGrid w:val="0"/>
              <w:spacing w:line="240" w:lineRule="exact"/>
              <w:jc w:val="both"/>
              <w:rPr>
                <w:rFonts w:ascii="宋体" w:hAnsi="宋体" w:cs="Arial"/>
                <w:sz w:val="16"/>
                <w:szCs w:val="18"/>
              </w:rPr>
            </w:pPr>
            <w:r>
              <w:rPr>
                <w:rFonts w:ascii="宋体" w:hAnsi="宋体" w:cs="Arial"/>
                <w:sz w:val="16"/>
                <w:szCs w:val="18"/>
              </w:rPr>
              <w:t>确定的租金价格（</w:t>
            </w:r>
            <w:r>
              <w:rPr>
                <w:rFonts w:hint="eastAsia" w:ascii="宋体" w:hAnsi="宋体" w:cs="Arial"/>
                <w:sz w:val="16"/>
                <w:szCs w:val="18"/>
                <w:lang w:eastAsia="zh-CN"/>
              </w:rPr>
              <w:t>元/平方米·月</w:t>
            </w:r>
            <w:r>
              <w:rPr>
                <w:rFonts w:ascii="宋体" w:hAnsi="宋体" w:cs="Arial"/>
                <w:sz w:val="16"/>
                <w:szCs w:val="18"/>
              </w:rPr>
              <w:t>）</w:t>
            </w:r>
          </w:p>
        </w:tc>
        <w:tc>
          <w:tcPr>
            <w:tcW w:w="539" w:type="pct"/>
            <w:tcBorders>
              <w:top w:val="nil"/>
              <w:left w:val="nil"/>
              <w:bottom w:val="single" w:color="auto" w:sz="4" w:space="0"/>
              <w:right w:val="single" w:color="auto" w:sz="4" w:space="0"/>
            </w:tcBorders>
            <w:noWrap/>
            <w:vAlign w:val="center"/>
          </w:tcPr>
          <w:p w14:paraId="2A2B8192">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9" w:type="pct"/>
            <w:tcBorders>
              <w:top w:val="nil"/>
              <w:left w:val="nil"/>
              <w:bottom w:val="single" w:color="auto" w:sz="4" w:space="0"/>
              <w:right w:val="single" w:color="auto" w:sz="4" w:space="0"/>
            </w:tcBorders>
            <w:noWrap/>
            <w:vAlign w:val="center"/>
          </w:tcPr>
          <w:p w14:paraId="621699AD">
            <w:pPr>
              <w:autoSpaceDE w:val="0"/>
              <w:autoSpaceDN w:val="0"/>
              <w:spacing w:line="240" w:lineRule="exact"/>
              <w:textAlignment w:val="bottom"/>
              <w:rPr>
                <w:rFonts w:ascii="Arial" w:hAnsi="Arial" w:cs="Arial"/>
                <w:sz w:val="16"/>
                <w:szCs w:val="18"/>
              </w:rPr>
            </w:pPr>
            <w:r>
              <w:rPr>
                <w:rFonts w:hint="eastAsia" w:ascii="Arial" w:hAnsi="Arial" w:cs="Arial"/>
                <w:sz w:val="16"/>
                <w:szCs w:val="18"/>
              </w:rPr>
              <w:t>22.9</w:t>
            </w:r>
          </w:p>
        </w:tc>
        <w:tc>
          <w:tcPr>
            <w:tcW w:w="539" w:type="pct"/>
            <w:tcBorders>
              <w:top w:val="nil"/>
              <w:left w:val="nil"/>
              <w:bottom w:val="single" w:color="auto" w:sz="4" w:space="0"/>
              <w:right w:val="single" w:color="auto" w:sz="4" w:space="0"/>
            </w:tcBorders>
            <w:noWrap/>
            <w:vAlign w:val="center"/>
          </w:tcPr>
          <w:p w14:paraId="1812614F">
            <w:pPr>
              <w:autoSpaceDE w:val="0"/>
              <w:autoSpaceDN w:val="0"/>
              <w:spacing w:line="240" w:lineRule="exact"/>
              <w:textAlignment w:val="bottom"/>
              <w:rPr>
                <w:rFonts w:ascii="Arial" w:hAnsi="Arial" w:cs="Arial"/>
                <w:sz w:val="16"/>
                <w:szCs w:val="18"/>
              </w:rPr>
            </w:pPr>
            <w:r>
              <w:rPr>
                <w:rFonts w:hint="eastAsia" w:ascii="Arial" w:hAnsi="Arial" w:cs="Arial"/>
                <w:sz w:val="16"/>
                <w:szCs w:val="18"/>
              </w:rPr>
              <w:t>22.46</w:t>
            </w:r>
          </w:p>
        </w:tc>
        <w:tc>
          <w:tcPr>
            <w:tcW w:w="539" w:type="pct"/>
            <w:tcBorders>
              <w:top w:val="nil"/>
              <w:left w:val="nil"/>
              <w:bottom w:val="single" w:color="auto" w:sz="4" w:space="0"/>
              <w:right w:val="single" w:color="auto" w:sz="4" w:space="0"/>
            </w:tcBorders>
            <w:noWrap/>
            <w:vAlign w:val="center"/>
          </w:tcPr>
          <w:p w14:paraId="142BD6EA">
            <w:pPr>
              <w:autoSpaceDE w:val="0"/>
              <w:autoSpaceDN w:val="0"/>
              <w:spacing w:line="240" w:lineRule="exact"/>
              <w:textAlignment w:val="bottom"/>
              <w:rPr>
                <w:rFonts w:ascii="Arial" w:hAnsi="Arial" w:cs="Arial"/>
                <w:sz w:val="16"/>
                <w:szCs w:val="18"/>
              </w:rPr>
            </w:pPr>
            <w:r>
              <w:rPr>
                <w:rFonts w:hint="eastAsia" w:ascii="Arial" w:hAnsi="Arial" w:cs="Arial"/>
                <w:sz w:val="16"/>
                <w:szCs w:val="18"/>
              </w:rPr>
              <w:t>27.18</w:t>
            </w:r>
          </w:p>
        </w:tc>
        <w:tc>
          <w:tcPr>
            <w:tcW w:w="2024" w:type="pct"/>
            <w:tcBorders>
              <w:top w:val="nil"/>
              <w:left w:val="nil"/>
              <w:bottom w:val="single" w:color="auto" w:sz="4" w:space="0"/>
              <w:right w:val="single" w:color="auto" w:sz="4" w:space="0"/>
            </w:tcBorders>
            <w:vAlign w:val="center"/>
          </w:tcPr>
          <w:p w14:paraId="70E07FDC">
            <w:pPr>
              <w:snapToGrid w:val="0"/>
              <w:spacing w:line="240" w:lineRule="exact"/>
              <w:jc w:val="both"/>
              <w:rPr>
                <w:rFonts w:ascii="宋体" w:hAnsi="宋体" w:cs="Arial"/>
                <w:sz w:val="16"/>
                <w:szCs w:val="18"/>
              </w:rPr>
            </w:pPr>
            <w:r>
              <w:rPr>
                <w:rFonts w:ascii="宋体" w:hAnsi="宋体" w:cs="Arial"/>
                <w:sz w:val="16"/>
                <w:szCs w:val="18"/>
              </w:rPr>
              <w:t>——</w:t>
            </w:r>
          </w:p>
        </w:tc>
      </w:tr>
      <w:tr w14:paraId="29390C9F">
        <w:tblPrEx>
          <w:tblCellMar>
            <w:top w:w="57" w:type="dxa"/>
            <w:left w:w="57" w:type="dxa"/>
            <w:bottom w:w="57" w:type="dxa"/>
            <w:right w:w="57" w:type="dxa"/>
          </w:tblCellMar>
        </w:tblPrEx>
        <w:trPr>
          <w:trHeight w:val="20" w:hRule="atLeast"/>
          <w:jc w:val="center"/>
        </w:trPr>
        <w:tc>
          <w:tcPr>
            <w:tcW w:w="821" w:type="pct"/>
            <w:gridSpan w:val="2"/>
            <w:tcBorders>
              <w:top w:val="single" w:color="auto" w:sz="4" w:space="0"/>
              <w:left w:val="single" w:color="auto" w:sz="4" w:space="0"/>
              <w:bottom w:val="single" w:color="auto" w:sz="4" w:space="0"/>
              <w:right w:val="single" w:color="auto" w:sz="4" w:space="0"/>
            </w:tcBorders>
            <w:vAlign w:val="center"/>
          </w:tcPr>
          <w:p w14:paraId="69541222">
            <w:pPr>
              <w:snapToGrid w:val="0"/>
              <w:spacing w:line="240" w:lineRule="exact"/>
              <w:jc w:val="both"/>
              <w:rPr>
                <w:rFonts w:ascii="宋体" w:hAnsi="宋体" w:cs="Arial"/>
                <w:sz w:val="16"/>
                <w:szCs w:val="18"/>
              </w:rPr>
            </w:pPr>
            <w:r>
              <w:rPr>
                <w:rFonts w:ascii="宋体" w:hAnsi="宋体" w:cs="Arial"/>
                <w:sz w:val="16"/>
                <w:szCs w:val="18"/>
              </w:rPr>
              <w:t>交易时间</w:t>
            </w:r>
          </w:p>
        </w:tc>
        <w:tc>
          <w:tcPr>
            <w:tcW w:w="539" w:type="pct"/>
            <w:tcBorders>
              <w:top w:val="nil"/>
              <w:left w:val="nil"/>
              <w:bottom w:val="single" w:color="auto" w:sz="4" w:space="0"/>
              <w:right w:val="single" w:color="auto" w:sz="4" w:space="0"/>
            </w:tcBorders>
            <w:noWrap/>
            <w:vAlign w:val="center"/>
          </w:tcPr>
          <w:p w14:paraId="594890D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FEA91C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4E7662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C476885">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0A819B8C">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13484BC7">
        <w:tblPrEx>
          <w:tblCellMar>
            <w:top w:w="57" w:type="dxa"/>
            <w:left w:w="57" w:type="dxa"/>
            <w:bottom w:w="57" w:type="dxa"/>
            <w:right w:w="57" w:type="dxa"/>
          </w:tblCellMar>
        </w:tblPrEx>
        <w:trPr>
          <w:trHeight w:val="20" w:hRule="atLeast"/>
          <w:jc w:val="center"/>
        </w:trPr>
        <w:tc>
          <w:tcPr>
            <w:tcW w:w="821" w:type="pct"/>
            <w:gridSpan w:val="2"/>
            <w:tcBorders>
              <w:top w:val="single" w:color="auto" w:sz="4" w:space="0"/>
              <w:left w:val="single" w:color="auto" w:sz="4" w:space="0"/>
              <w:bottom w:val="single" w:color="auto" w:sz="4" w:space="0"/>
              <w:right w:val="single" w:color="auto" w:sz="4" w:space="0"/>
            </w:tcBorders>
            <w:vAlign w:val="center"/>
          </w:tcPr>
          <w:p w14:paraId="0CA60389">
            <w:pPr>
              <w:snapToGrid w:val="0"/>
              <w:spacing w:line="240" w:lineRule="exact"/>
              <w:jc w:val="both"/>
              <w:rPr>
                <w:rFonts w:ascii="宋体" w:hAnsi="宋体" w:cs="Arial"/>
                <w:sz w:val="16"/>
                <w:szCs w:val="18"/>
              </w:rPr>
            </w:pPr>
            <w:r>
              <w:rPr>
                <w:rFonts w:ascii="宋体" w:hAnsi="宋体" w:cs="Arial"/>
                <w:sz w:val="16"/>
                <w:szCs w:val="18"/>
              </w:rPr>
              <w:t>交易情况</w:t>
            </w:r>
          </w:p>
        </w:tc>
        <w:tc>
          <w:tcPr>
            <w:tcW w:w="539" w:type="pct"/>
            <w:tcBorders>
              <w:top w:val="nil"/>
              <w:left w:val="nil"/>
              <w:bottom w:val="single" w:color="auto" w:sz="4" w:space="0"/>
              <w:right w:val="single" w:color="auto" w:sz="4" w:space="0"/>
            </w:tcBorders>
            <w:noWrap/>
            <w:vAlign w:val="center"/>
          </w:tcPr>
          <w:p w14:paraId="57E2551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0E747A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3B45B2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91AF68A">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A70C527">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5CB552B9">
        <w:tblPrEx>
          <w:tblCellMar>
            <w:top w:w="57" w:type="dxa"/>
            <w:left w:w="57" w:type="dxa"/>
            <w:bottom w:w="57" w:type="dxa"/>
            <w:right w:w="57" w:type="dxa"/>
          </w:tblCellMar>
        </w:tblPrEx>
        <w:trPr>
          <w:trHeight w:val="20" w:hRule="atLeast"/>
          <w:jc w:val="center"/>
        </w:trPr>
        <w:tc>
          <w:tcPr>
            <w:tcW w:w="821" w:type="pct"/>
            <w:gridSpan w:val="2"/>
            <w:tcBorders>
              <w:top w:val="single" w:color="auto" w:sz="4" w:space="0"/>
              <w:left w:val="single" w:color="auto" w:sz="4" w:space="0"/>
              <w:bottom w:val="single" w:color="auto" w:sz="4" w:space="0"/>
              <w:right w:val="single" w:color="auto" w:sz="4" w:space="0"/>
            </w:tcBorders>
            <w:vAlign w:val="center"/>
          </w:tcPr>
          <w:p w14:paraId="578FC644">
            <w:pPr>
              <w:snapToGrid w:val="0"/>
              <w:spacing w:line="240" w:lineRule="exact"/>
              <w:jc w:val="both"/>
              <w:rPr>
                <w:rFonts w:ascii="宋体" w:hAnsi="宋体" w:cs="Arial"/>
                <w:sz w:val="16"/>
                <w:szCs w:val="18"/>
              </w:rPr>
            </w:pPr>
            <w:r>
              <w:rPr>
                <w:rFonts w:ascii="宋体" w:hAnsi="宋体" w:cs="Arial"/>
                <w:sz w:val="16"/>
                <w:szCs w:val="18"/>
              </w:rPr>
              <w:t>项目类型</w:t>
            </w:r>
          </w:p>
        </w:tc>
        <w:tc>
          <w:tcPr>
            <w:tcW w:w="539" w:type="pct"/>
            <w:tcBorders>
              <w:top w:val="nil"/>
              <w:left w:val="nil"/>
              <w:bottom w:val="single" w:color="auto" w:sz="4" w:space="0"/>
              <w:right w:val="single" w:color="auto" w:sz="4" w:space="0"/>
            </w:tcBorders>
            <w:noWrap/>
            <w:vAlign w:val="center"/>
          </w:tcPr>
          <w:p w14:paraId="41B608A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F76C25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A0B3F8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C9009E8">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6CD90583">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6A48C7E6">
        <w:tblPrEx>
          <w:tblCellMar>
            <w:top w:w="57" w:type="dxa"/>
            <w:left w:w="57" w:type="dxa"/>
            <w:bottom w:w="57" w:type="dxa"/>
            <w:right w:w="57" w:type="dxa"/>
          </w:tblCellMar>
        </w:tblPrEx>
        <w:trPr>
          <w:trHeight w:val="20" w:hRule="atLeast"/>
          <w:jc w:val="center"/>
        </w:trPr>
        <w:tc>
          <w:tcPr>
            <w:tcW w:w="295" w:type="pct"/>
            <w:vMerge w:val="restart"/>
            <w:tcBorders>
              <w:top w:val="single" w:color="auto" w:sz="4" w:space="0"/>
              <w:left w:val="single" w:color="auto" w:sz="4" w:space="0"/>
              <w:bottom w:val="single" w:color="auto" w:sz="4" w:space="0"/>
              <w:right w:val="single" w:color="auto" w:sz="4" w:space="0"/>
            </w:tcBorders>
            <w:noWrap/>
            <w:vAlign w:val="center"/>
          </w:tcPr>
          <w:p w14:paraId="33335ED8">
            <w:pPr>
              <w:snapToGrid w:val="0"/>
              <w:spacing w:line="240" w:lineRule="exact"/>
              <w:jc w:val="both"/>
              <w:rPr>
                <w:rFonts w:ascii="宋体" w:hAnsi="宋体" w:cs="Arial"/>
                <w:sz w:val="16"/>
                <w:szCs w:val="18"/>
              </w:rPr>
            </w:pPr>
            <w:r>
              <w:rPr>
                <w:rFonts w:ascii="宋体" w:hAnsi="宋体" w:cs="Arial"/>
                <w:sz w:val="16"/>
                <w:szCs w:val="18"/>
              </w:rPr>
              <w:t>区域</w:t>
            </w:r>
          </w:p>
          <w:p w14:paraId="54CA63ED">
            <w:pPr>
              <w:snapToGrid w:val="0"/>
              <w:spacing w:line="240" w:lineRule="exact"/>
              <w:jc w:val="both"/>
              <w:rPr>
                <w:rFonts w:ascii="宋体" w:hAnsi="宋体" w:cs="Arial"/>
                <w:sz w:val="16"/>
                <w:szCs w:val="18"/>
              </w:rPr>
            </w:pPr>
            <w:r>
              <w:rPr>
                <w:rFonts w:ascii="宋体" w:hAnsi="宋体" w:cs="Arial"/>
                <w:sz w:val="16"/>
                <w:szCs w:val="18"/>
              </w:rPr>
              <w:t>状况</w:t>
            </w:r>
          </w:p>
        </w:tc>
        <w:tc>
          <w:tcPr>
            <w:tcW w:w="526" w:type="pct"/>
            <w:tcBorders>
              <w:top w:val="nil"/>
              <w:left w:val="nil"/>
              <w:bottom w:val="single" w:color="auto" w:sz="4" w:space="0"/>
              <w:right w:val="single" w:color="auto" w:sz="4" w:space="0"/>
            </w:tcBorders>
            <w:vAlign w:val="center"/>
          </w:tcPr>
          <w:p w14:paraId="736864AB">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9" w:type="pct"/>
            <w:tcBorders>
              <w:top w:val="nil"/>
              <w:left w:val="nil"/>
              <w:bottom w:val="single" w:color="auto" w:sz="4" w:space="0"/>
              <w:right w:val="single" w:color="auto" w:sz="4" w:space="0"/>
            </w:tcBorders>
            <w:noWrap/>
            <w:vAlign w:val="center"/>
          </w:tcPr>
          <w:p w14:paraId="06EAF1B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E474A59">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0FFC2ED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589EE24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24" w:type="pct"/>
            <w:tcBorders>
              <w:top w:val="nil"/>
              <w:left w:val="nil"/>
              <w:bottom w:val="single" w:color="auto" w:sz="4" w:space="0"/>
              <w:right w:val="single" w:color="auto" w:sz="4" w:space="0"/>
            </w:tcBorders>
            <w:vAlign w:val="center"/>
          </w:tcPr>
          <w:p w14:paraId="625B7949">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1</w:t>
            </w:r>
            <w:r>
              <w:rPr>
                <w:rFonts w:ascii="Arial" w:hAnsi="Arial" w:cs="Arial"/>
                <w:sz w:val="16"/>
                <w:szCs w:val="18"/>
              </w:rPr>
              <w:t>分，确定可比实例1、2、3该因素指数分别为10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w:t>
            </w:r>
          </w:p>
        </w:tc>
      </w:tr>
      <w:tr w14:paraId="2B9B123D">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0529AF5B">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B38DFA5">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9" w:type="pct"/>
            <w:tcBorders>
              <w:top w:val="nil"/>
              <w:left w:val="nil"/>
              <w:bottom w:val="single" w:color="auto" w:sz="4" w:space="0"/>
              <w:right w:val="single" w:color="auto" w:sz="4" w:space="0"/>
            </w:tcBorders>
            <w:noWrap/>
            <w:vAlign w:val="center"/>
          </w:tcPr>
          <w:p w14:paraId="3FE88F83">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7D674D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94E788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27209D7">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5BF0452F">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1E31B8D6">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771772CB">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99BBE45">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9" w:type="pct"/>
            <w:tcBorders>
              <w:top w:val="nil"/>
              <w:left w:val="nil"/>
              <w:bottom w:val="single" w:color="auto" w:sz="4" w:space="0"/>
              <w:right w:val="single" w:color="auto" w:sz="4" w:space="0"/>
            </w:tcBorders>
            <w:noWrap/>
            <w:vAlign w:val="center"/>
          </w:tcPr>
          <w:p w14:paraId="46DF45E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E891A1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CBAAB2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04536C2">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0A529BDA">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497C635C">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748CBDE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65D86A1">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9" w:type="pct"/>
            <w:tcBorders>
              <w:top w:val="nil"/>
              <w:left w:val="nil"/>
              <w:bottom w:val="single" w:color="auto" w:sz="4" w:space="0"/>
              <w:right w:val="single" w:color="auto" w:sz="4" w:space="0"/>
            </w:tcBorders>
            <w:noWrap/>
            <w:vAlign w:val="center"/>
          </w:tcPr>
          <w:p w14:paraId="5D02AE5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AE665D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3DDD21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FD13576">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47FCD4CC">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0292B67F">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43FCA4AD">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4E465C0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9" w:type="pct"/>
            <w:tcBorders>
              <w:top w:val="nil"/>
              <w:left w:val="nil"/>
              <w:bottom w:val="single" w:color="auto" w:sz="4" w:space="0"/>
              <w:right w:val="single" w:color="auto" w:sz="4" w:space="0"/>
            </w:tcBorders>
            <w:noWrap/>
            <w:vAlign w:val="center"/>
          </w:tcPr>
          <w:p w14:paraId="7C45A14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649231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ED424C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B932CE5">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582E4826">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21F3998D">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516FCDB3">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49332246">
            <w:pPr>
              <w:widowControl/>
              <w:adjustRightInd/>
              <w:spacing w:line="240" w:lineRule="auto"/>
              <w:jc w:val="center"/>
              <w:textAlignment w:val="auto"/>
              <w:rPr>
                <w:rFonts w:ascii="宋体" w:hAnsi="宋体" w:cs="Arial"/>
                <w:sz w:val="16"/>
                <w:szCs w:val="18"/>
              </w:rPr>
            </w:pPr>
            <w:r>
              <w:rPr>
                <w:rStyle w:val="40"/>
              </w:rPr>
              <w:commentReference w:id="22"/>
            </w:r>
            <w:r>
              <w:rPr>
                <w:rFonts w:hint="eastAsia" w:ascii="宋体" w:hAnsi="宋体" w:cs="Arial"/>
                <w:sz w:val="16"/>
                <w:szCs w:val="18"/>
                <w:lang w:eastAsia="zh-CN"/>
              </w:rPr>
              <w:t>自然及人文环境</w:t>
            </w:r>
          </w:p>
        </w:tc>
        <w:tc>
          <w:tcPr>
            <w:tcW w:w="539" w:type="pct"/>
            <w:tcBorders>
              <w:top w:val="nil"/>
              <w:left w:val="nil"/>
              <w:bottom w:val="single" w:color="auto" w:sz="4" w:space="0"/>
              <w:right w:val="single" w:color="auto" w:sz="4" w:space="0"/>
            </w:tcBorders>
            <w:noWrap/>
            <w:vAlign w:val="center"/>
          </w:tcPr>
          <w:p w14:paraId="49B6A48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ED2CBB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7DE5BA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86E578E">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2C21A63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7BC2A12C">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195687D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7A555B6">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9" w:type="pct"/>
            <w:tcBorders>
              <w:top w:val="nil"/>
              <w:left w:val="nil"/>
              <w:bottom w:val="single" w:color="auto" w:sz="4" w:space="0"/>
              <w:right w:val="single" w:color="auto" w:sz="4" w:space="0"/>
            </w:tcBorders>
            <w:noWrap/>
            <w:vAlign w:val="center"/>
          </w:tcPr>
          <w:p w14:paraId="0CD5F97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7D0159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4D9D12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33A541C">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2FB988D2">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57AAC390">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74AE20B9">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72A5044">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9" w:type="pct"/>
            <w:tcBorders>
              <w:top w:val="nil"/>
              <w:left w:val="nil"/>
              <w:bottom w:val="single" w:color="auto" w:sz="4" w:space="0"/>
              <w:right w:val="single" w:color="auto" w:sz="4" w:space="0"/>
            </w:tcBorders>
            <w:noWrap/>
            <w:vAlign w:val="center"/>
          </w:tcPr>
          <w:p w14:paraId="0D5632A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EE2AE8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94E33C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826399B">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1D7CCBFF">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7BE12D89">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4D1D418E">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668C10B">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9" w:type="pct"/>
            <w:tcBorders>
              <w:top w:val="nil"/>
              <w:left w:val="nil"/>
              <w:bottom w:val="single" w:color="auto" w:sz="4" w:space="0"/>
              <w:right w:val="single" w:color="auto" w:sz="4" w:space="0"/>
            </w:tcBorders>
            <w:noWrap/>
            <w:vAlign w:val="center"/>
          </w:tcPr>
          <w:p w14:paraId="2BC2C8B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A9C03B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9" w:type="pct"/>
            <w:tcBorders>
              <w:top w:val="nil"/>
              <w:left w:val="nil"/>
              <w:bottom w:val="single" w:color="auto" w:sz="4" w:space="0"/>
              <w:right w:val="single" w:color="auto" w:sz="4" w:space="0"/>
            </w:tcBorders>
            <w:noWrap/>
            <w:vAlign w:val="center"/>
          </w:tcPr>
          <w:p w14:paraId="7E46F2B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9" w:type="pct"/>
            <w:tcBorders>
              <w:top w:val="nil"/>
              <w:left w:val="nil"/>
              <w:bottom w:val="single" w:color="auto" w:sz="4" w:space="0"/>
              <w:right w:val="single" w:color="auto" w:sz="4" w:space="0"/>
            </w:tcBorders>
            <w:noWrap/>
            <w:vAlign w:val="center"/>
          </w:tcPr>
          <w:p w14:paraId="02D97C7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24" w:type="pct"/>
            <w:tcBorders>
              <w:top w:val="nil"/>
              <w:left w:val="nil"/>
              <w:bottom w:val="single" w:color="auto" w:sz="4" w:space="0"/>
              <w:right w:val="single" w:color="auto" w:sz="4" w:space="0"/>
            </w:tcBorders>
            <w:vAlign w:val="center"/>
          </w:tcPr>
          <w:p w14:paraId="6C89C1E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102</w:t>
            </w:r>
            <w:r>
              <w:rPr>
                <w:rFonts w:ascii="Arial" w:hAnsi="Arial" w:cs="Arial"/>
                <w:sz w:val="16"/>
                <w:szCs w:val="18"/>
              </w:rPr>
              <w:t>、</w:t>
            </w:r>
            <w:r>
              <w:rPr>
                <w:rFonts w:hint="eastAsia" w:ascii="Arial" w:hAnsi="Arial" w:cs="Arial"/>
                <w:sz w:val="16"/>
                <w:szCs w:val="18"/>
              </w:rPr>
              <w:t>102</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3BA8D054">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089CD789">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04055281">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9" w:type="pct"/>
            <w:tcBorders>
              <w:top w:val="nil"/>
              <w:left w:val="nil"/>
              <w:bottom w:val="single" w:color="auto" w:sz="4" w:space="0"/>
              <w:right w:val="single" w:color="auto" w:sz="4" w:space="0"/>
            </w:tcBorders>
            <w:noWrap/>
            <w:vAlign w:val="center"/>
          </w:tcPr>
          <w:p w14:paraId="5B3AC70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8F218CD">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7AAE78B0">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125900D6">
            <w:pPr>
              <w:snapToGrid w:val="0"/>
              <w:spacing w:line="240" w:lineRule="exact"/>
              <w:jc w:val="both"/>
              <w:rPr>
                <w:rFonts w:ascii="Arial" w:hAnsi="Arial" w:cs="Arial"/>
                <w:sz w:val="16"/>
                <w:szCs w:val="18"/>
              </w:rPr>
            </w:pPr>
            <w:r>
              <w:rPr>
                <w:rFonts w:hint="eastAsia" w:ascii="Arial" w:hAnsi="Arial" w:cs="Arial"/>
                <w:sz w:val="16"/>
                <w:szCs w:val="18"/>
              </w:rPr>
              <w:t>96</w:t>
            </w:r>
          </w:p>
        </w:tc>
        <w:tc>
          <w:tcPr>
            <w:tcW w:w="2024" w:type="pct"/>
            <w:tcBorders>
              <w:top w:val="nil"/>
              <w:left w:val="nil"/>
              <w:bottom w:val="single" w:color="auto" w:sz="4" w:space="0"/>
              <w:right w:val="single" w:color="auto" w:sz="4" w:space="0"/>
            </w:tcBorders>
            <w:vAlign w:val="center"/>
          </w:tcPr>
          <w:p w14:paraId="7B81BFD2">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96</w:t>
            </w:r>
            <w:r>
              <w:rPr>
                <w:rFonts w:ascii="Arial" w:hAnsi="Arial" w:cs="Arial"/>
                <w:sz w:val="16"/>
                <w:szCs w:val="18"/>
              </w:rPr>
              <w:t>；</w:t>
            </w:r>
          </w:p>
        </w:tc>
      </w:tr>
      <w:tr w14:paraId="53912287">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564CF5DD">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18106D6">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9" w:type="pct"/>
            <w:tcBorders>
              <w:top w:val="nil"/>
              <w:left w:val="nil"/>
              <w:bottom w:val="single" w:color="auto" w:sz="4" w:space="0"/>
              <w:right w:val="single" w:color="auto" w:sz="4" w:space="0"/>
            </w:tcBorders>
            <w:noWrap/>
            <w:vAlign w:val="center"/>
          </w:tcPr>
          <w:p w14:paraId="2DF01AA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F3A78F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31406E5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0FD5866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24" w:type="pct"/>
            <w:tcBorders>
              <w:top w:val="nil"/>
              <w:left w:val="nil"/>
              <w:bottom w:val="single" w:color="auto" w:sz="4" w:space="0"/>
              <w:right w:val="single" w:color="auto" w:sz="4" w:space="0"/>
            </w:tcBorders>
            <w:vAlign w:val="center"/>
          </w:tcPr>
          <w:p w14:paraId="0D92CB62">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101、101、</w:t>
            </w:r>
            <w:r>
              <w:rPr>
                <w:rFonts w:ascii="Arial" w:hAnsi="Arial" w:cs="Arial"/>
                <w:sz w:val="16"/>
                <w:szCs w:val="18"/>
              </w:rPr>
              <w:t>1</w:t>
            </w:r>
            <w:r>
              <w:rPr>
                <w:rFonts w:hint="eastAsia" w:ascii="Arial" w:hAnsi="Arial" w:cs="Arial"/>
                <w:sz w:val="16"/>
                <w:szCs w:val="18"/>
              </w:rPr>
              <w:t>01</w:t>
            </w:r>
            <w:r>
              <w:rPr>
                <w:rFonts w:ascii="Arial" w:hAnsi="Arial" w:cs="Arial"/>
                <w:sz w:val="16"/>
                <w:szCs w:val="18"/>
              </w:rPr>
              <w:t>；</w:t>
            </w:r>
          </w:p>
        </w:tc>
      </w:tr>
      <w:tr w14:paraId="1AE6D9B8">
        <w:tblPrEx>
          <w:tblCellMar>
            <w:top w:w="57" w:type="dxa"/>
            <w:left w:w="57" w:type="dxa"/>
            <w:bottom w:w="57" w:type="dxa"/>
            <w:right w:w="57" w:type="dxa"/>
          </w:tblCellMar>
        </w:tblPrEx>
        <w:trPr>
          <w:trHeight w:val="20" w:hRule="atLeast"/>
          <w:jc w:val="center"/>
        </w:trPr>
        <w:tc>
          <w:tcPr>
            <w:tcW w:w="295" w:type="pct"/>
            <w:vMerge w:val="restart"/>
            <w:tcBorders>
              <w:top w:val="single" w:color="auto" w:sz="4" w:space="0"/>
              <w:left w:val="single" w:color="auto" w:sz="4" w:space="0"/>
              <w:bottom w:val="single" w:color="auto" w:sz="4" w:space="0"/>
              <w:right w:val="single" w:color="auto" w:sz="4" w:space="0"/>
            </w:tcBorders>
            <w:noWrap/>
            <w:vAlign w:val="center"/>
          </w:tcPr>
          <w:p w14:paraId="01E66A2A">
            <w:pPr>
              <w:snapToGrid w:val="0"/>
              <w:spacing w:line="240" w:lineRule="exact"/>
              <w:jc w:val="both"/>
              <w:rPr>
                <w:rFonts w:ascii="宋体" w:hAnsi="宋体" w:cs="Arial"/>
                <w:sz w:val="16"/>
                <w:szCs w:val="18"/>
              </w:rPr>
            </w:pPr>
            <w:r>
              <w:rPr>
                <w:rFonts w:ascii="宋体" w:hAnsi="宋体" w:cs="Arial"/>
                <w:sz w:val="16"/>
                <w:szCs w:val="18"/>
              </w:rPr>
              <w:t>实物</w:t>
            </w:r>
          </w:p>
          <w:p w14:paraId="7F838DEB">
            <w:pPr>
              <w:snapToGrid w:val="0"/>
              <w:spacing w:line="240" w:lineRule="exact"/>
              <w:jc w:val="both"/>
              <w:rPr>
                <w:rFonts w:ascii="宋体" w:hAnsi="宋体" w:cs="Arial"/>
                <w:sz w:val="16"/>
                <w:szCs w:val="18"/>
              </w:rPr>
            </w:pPr>
            <w:r>
              <w:rPr>
                <w:rFonts w:ascii="宋体" w:hAnsi="宋体" w:cs="Arial"/>
                <w:sz w:val="16"/>
                <w:szCs w:val="18"/>
              </w:rPr>
              <w:t>状况</w:t>
            </w:r>
          </w:p>
        </w:tc>
        <w:tc>
          <w:tcPr>
            <w:tcW w:w="526" w:type="pct"/>
            <w:tcBorders>
              <w:top w:val="nil"/>
              <w:left w:val="nil"/>
              <w:bottom w:val="single" w:color="auto" w:sz="4" w:space="0"/>
              <w:right w:val="single" w:color="auto" w:sz="4" w:space="0"/>
            </w:tcBorders>
            <w:vAlign w:val="center"/>
          </w:tcPr>
          <w:p w14:paraId="74E86735">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9" w:type="pct"/>
            <w:tcBorders>
              <w:top w:val="nil"/>
              <w:left w:val="nil"/>
              <w:bottom w:val="single" w:color="auto" w:sz="4" w:space="0"/>
              <w:right w:val="single" w:color="auto" w:sz="4" w:space="0"/>
            </w:tcBorders>
            <w:noWrap/>
            <w:vAlign w:val="center"/>
          </w:tcPr>
          <w:p w14:paraId="12CC505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3321B34">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744A6351">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64D11AED">
            <w:pPr>
              <w:snapToGrid w:val="0"/>
              <w:spacing w:line="240" w:lineRule="exact"/>
              <w:jc w:val="both"/>
              <w:rPr>
                <w:rFonts w:ascii="Arial" w:hAnsi="Arial" w:cs="Arial"/>
                <w:sz w:val="16"/>
                <w:szCs w:val="18"/>
              </w:rPr>
            </w:pPr>
            <w:r>
              <w:rPr>
                <w:rFonts w:hint="eastAsia" w:ascii="Arial" w:hAnsi="Arial" w:cs="Arial"/>
                <w:sz w:val="16"/>
                <w:szCs w:val="18"/>
              </w:rPr>
              <w:t>98</w:t>
            </w:r>
          </w:p>
        </w:tc>
        <w:tc>
          <w:tcPr>
            <w:tcW w:w="2024" w:type="pct"/>
            <w:tcBorders>
              <w:top w:val="nil"/>
              <w:left w:val="nil"/>
              <w:bottom w:val="single" w:color="auto" w:sz="4" w:space="0"/>
              <w:right w:val="single" w:color="auto" w:sz="4" w:space="0"/>
            </w:tcBorders>
            <w:vAlign w:val="center"/>
          </w:tcPr>
          <w:p w14:paraId="4502E3B8">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98、98、98</w:t>
            </w:r>
            <w:r>
              <w:rPr>
                <w:rFonts w:ascii="Arial" w:hAnsi="Arial" w:cs="Arial"/>
                <w:sz w:val="16"/>
                <w:szCs w:val="18"/>
              </w:rPr>
              <w:t>；</w:t>
            </w:r>
          </w:p>
        </w:tc>
      </w:tr>
      <w:tr w14:paraId="609011BD">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253B3373">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B3180D1">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9" w:type="pct"/>
            <w:tcBorders>
              <w:top w:val="nil"/>
              <w:left w:val="nil"/>
              <w:bottom w:val="single" w:color="auto" w:sz="4" w:space="0"/>
              <w:right w:val="single" w:color="auto" w:sz="4" w:space="0"/>
            </w:tcBorders>
            <w:noWrap/>
            <w:vAlign w:val="center"/>
          </w:tcPr>
          <w:p w14:paraId="6527BB0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03FB59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7255F5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FC709B0">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1CB5531">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100</w:t>
            </w:r>
            <w:r>
              <w:rPr>
                <w:rFonts w:ascii="Arial" w:hAnsi="Arial" w:cs="Arial"/>
                <w:sz w:val="16"/>
                <w:szCs w:val="18"/>
              </w:rPr>
              <w:t>、100；</w:t>
            </w:r>
          </w:p>
        </w:tc>
      </w:tr>
      <w:tr w14:paraId="6B0CF7DC">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120570CE">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5C54CF3">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9" w:type="pct"/>
            <w:tcBorders>
              <w:top w:val="nil"/>
              <w:left w:val="nil"/>
              <w:bottom w:val="single" w:color="auto" w:sz="4" w:space="0"/>
              <w:right w:val="single" w:color="auto" w:sz="4" w:space="0"/>
            </w:tcBorders>
            <w:noWrap/>
            <w:vAlign w:val="center"/>
          </w:tcPr>
          <w:p w14:paraId="2D25F65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4696A2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B1A83F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3451868">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4CC635D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735E4497">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6B8DA2F0">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33B0C04F">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9" w:type="pct"/>
            <w:tcBorders>
              <w:top w:val="nil"/>
              <w:left w:val="nil"/>
              <w:bottom w:val="single" w:color="auto" w:sz="4" w:space="0"/>
              <w:right w:val="single" w:color="auto" w:sz="4" w:space="0"/>
            </w:tcBorders>
            <w:noWrap/>
            <w:vAlign w:val="center"/>
          </w:tcPr>
          <w:p w14:paraId="1ECE589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D28593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FF26E3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27AFD7C">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535B5F27">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593C4738">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027A4481">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7A2AEDB">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9" w:type="pct"/>
            <w:tcBorders>
              <w:top w:val="nil"/>
              <w:left w:val="nil"/>
              <w:bottom w:val="single" w:color="auto" w:sz="4" w:space="0"/>
              <w:right w:val="single" w:color="auto" w:sz="4" w:space="0"/>
            </w:tcBorders>
            <w:noWrap/>
            <w:vAlign w:val="center"/>
          </w:tcPr>
          <w:p w14:paraId="271ABE8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80D4AD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0FDF51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9B0A0BD">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81358A3">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705A9A01">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78851FA8">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61C7AF3">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9" w:type="pct"/>
            <w:tcBorders>
              <w:top w:val="nil"/>
              <w:left w:val="nil"/>
              <w:bottom w:val="single" w:color="auto" w:sz="4" w:space="0"/>
              <w:right w:val="single" w:color="auto" w:sz="4" w:space="0"/>
            </w:tcBorders>
            <w:noWrap/>
            <w:vAlign w:val="center"/>
          </w:tcPr>
          <w:p w14:paraId="2DA58D2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323DE1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20BED8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EA501DB">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0B44FAEA">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98、100、100</w:t>
            </w:r>
            <w:r>
              <w:rPr>
                <w:rFonts w:ascii="Arial" w:hAnsi="Arial" w:cs="Arial"/>
                <w:sz w:val="16"/>
                <w:szCs w:val="18"/>
              </w:rPr>
              <w:t>；</w:t>
            </w:r>
          </w:p>
        </w:tc>
      </w:tr>
      <w:tr w14:paraId="4F3DD8EE">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5ED2FEA4">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F7FB12B">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9" w:type="pct"/>
            <w:tcBorders>
              <w:top w:val="nil"/>
              <w:left w:val="nil"/>
              <w:bottom w:val="single" w:color="auto" w:sz="4" w:space="0"/>
              <w:right w:val="single" w:color="auto" w:sz="4" w:space="0"/>
            </w:tcBorders>
            <w:noWrap/>
            <w:vAlign w:val="center"/>
          </w:tcPr>
          <w:p w14:paraId="40BCA56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023022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A16EE9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CCC98FB">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015CBF2">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8131402">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12B8106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3A5944FC">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9" w:type="pct"/>
            <w:tcBorders>
              <w:top w:val="nil"/>
              <w:left w:val="nil"/>
              <w:bottom w:val="single" w:color="auto" w:sz="4" w:space="0"/>
              <w:right w:val="single" w:color="auto" w:sz="4" w:space="0"/>
            </w:tcBorders>
            <w:noWrap/>
            <w:vAlign w:val="center"/>
          </w:tcPr>
          <w:p w14:paraId="0DB8590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43C477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78DBB7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35D1F4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24" w:type="pct"/>
            <w:tcBorders>
              <w:top w:val="nil"/>
              <w:left w:val="nil"/>
              <w:bottom w:val="single" w:color="auto" w:sz="4" w:space="0"/>
              <w:right w:val="single" w:color="auto" w:sz="4" w:space="0"/>
            </w:tcBorders>
            <w:vAlign w:val="center"/>
          </w:tcPr>
          <w:p w14:paraId="46864508">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100、100、102</w:t>
            </w:r>
            <w:r>
              <w:rPr>
                <w:rFonts w:ascii="Arial" w:hAnsi="Arial" w:cs="Arial"/>
                <w:sz w:val="16"/>
                <w:szCs w:val="18"/>
              </w:rPr>
              <w:t>；</w:t>
            </w:r>
          </w:p>
        </w:tc>
      </w:tr>
      <w:tr w14:paraId="24CA32BC">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7EF34ADE">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68C250D">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9" w:type="pct"/>
            <w:tcBorders>
              <w:top w:val="nil"/>
              <w:left w:val="nil"/>
              <w:bottom w:val="single" w:color="auto" w:sz="4" w:space="0"/>
              <w:right w:val="single" w:color="auto" w:sz="4" w:space="0"/>
            </w:tcBorders>
            <w:noWrap/>
            <w:vAlign w:val="center"/>
          </w:tcPr>
          <w:p w14:paraId="59764E0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A9CF28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21132E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8D9DC05">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68DA9670">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64B84232">
        <w:tblPrEx>
          <w:tblCellMar>
            <w:top w:w="57" w:type="dxa"/>
            <w:left w:w="57" w:type="dxa"/>
            <w:bottom w:w="57" w:type="dxa"/>
            <w:right w:w="57" w:type="dxa"/>
          </w:tblCellMar>
        </w:tblPrEx>
        <w:trPr>
          <w:trHeight w:val="20" w:hRule="atLeast"/>
          <w:jc w:val="center"/>
        </w:trPr>
        <w:tc>
          <w:tcPr>
            <w:tcW w:w="295" w:type="pct"/>
            <w:vMerge w:val="restart"/>
            <w:tcBorders>
              <w:top w:val="single" w:color="auto" w:sz="4" w:space="0"/>
              <w:left w:val="single" w:color="auto" w:sz="4" w:space="0"/>
              <w:bottom w:val="single" w:color="auto" w:sz="4" w:space="0"/>
              <w:right w:val="single" w:color="auto" w:sz="4" w:space="0"/>
            </w:tcBorders>
            <w:vAlign w:val="center"/>
          </w:tcPr>
          <w:p w14:paraId="7C092D49">
            <w:pPr>
              <w:snapToGrid w:val="0"/>
              <w:spacing w:line="240" w:lineRule="exact"/>
              <w:jc w:val="both"/>
              <w:rPr>
                <w:rFonts w:ascii="宋体" w:hAnsi="宋体" w:cs="Arial"/>
                <w:sz w:val="16"/>
                <w:szCs w:val="18"/>
              </w:rPr>
            </w:pPr>
            <w:r>
              <w:rPr>
                <w:rFonts w:ascii="宋体" w:hAnsi="宋体" w:cs="Arial"/>
                <w:sz w:val="16"/>
                <w:szCs w:val="18"/>
              </w:rPr>
              <w:t>权益状况</w:t>
            </w:r>
          </w:p>
        </w:tc>
        <w:tc>
          <w:tcPr>
            <w:tcW w:w="526" w:type="pct"/>
            <w:tcBorders>
              <w:top w:val="single" w:color="auto" w:sz="4" w:space="0"/>
              <w:left w:val="nil"/>
              <w:bottom w:val="single" w:color="auto" w:sz="4" w:space="0"/>
              <w:right w:val="single" w:color="auto" w:sz="4" w:space="0"/>
            </w:tcBorders>
            <w:vAlign w:val="center"/>
          </w:tcPr>
          <w:p w14:paraId="071B454E">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9" w:type="pct"/>
            <w:tcBorders>
              <w:top w:val="nil"/>
              <w:left w:val="nil"/>
              <w:bottom w:val="single" w:color="auto" w:sz="4" w:space="0"/>
              <w:right w:val="single" w:color="auto" w:sz="4" w:space="0"/>
            </w:tcBorders>
            <w:noWrap/>
            <w:vAlign w:val="center"/>
          </w:tcPr>
          <w:p w14:paraId="3C3E778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37B9C94">
            <w:pPr>
              <w:snapToGrid w:val="0"/>
              <w:spacing w:line="240" w:lineRule="exact"/>
              <w:jc w:val="both"/>
              <w:rPr>
                <w:rFonts w:ascii="Arial" w:hAnsi="Arial" w:cs="Arial"/>
                <w:sz w:val="16"/>
                <w:szCs w:val="18"/>
              </w:rPr>
            </w:pPr>
            <w:r>
              <w:rPr>
                <w:rFonts w:hint="eastAsia" w:ascii="Arial" w:hAnsi="Arial" w:cs="Arial"/>
                <w:sz w:val="16"/>
                <w:szCs w:val="18"/>
              </w:rPr>
              <w:t>91</w:t>
            </w:r>
          </w:p>
        </w:tc>
        <w:tc>
          <w:tcPr>
            <w:tcW w:w="539" w:type="pct"/>
            <w:tcBorders>
              <w:top w:val="nil"/>
              <w:left w:val="nil"/>
              <w:bottom w:val="single" w:color="auto" w:sz="4" w:space="0"/>
              <w:right w:val="single" w:color="auto" w:sz="4" w:space="0"/>
            </w:tcBorders>
            <w:noWrap/>
            <w:vAlign w:val="center"/>
          </w:tcPr>
          <w:p w14:paraId="7832B83F">
            <w:pPr>
              <w:snapToGrid w:val="0"/>
              <w:spacing w:line="240" w:lineRule="exact"/>
              <w:jc w:val="both"/>
              <w:rPr>
                <w:rFonts w:ascii="Arial" w:hAnsi="Arial" w:cs="Arial"/>
                <w:sz w:val="16"/>
                <w:szCs w:val="18"/>
              </w:rPr>
            </w:pPr>
            <w:r>
              <w:rPr>
                <w:rFonts w:hint="eastAsia" w:ascii="Arial" w:hAnsi="Arial" w:cs="Arial"/>
                <w:sz w:val="16"/>
                <w:szCs w:val="18"/>
              </w:rPr>
              <w:t>91</w:t>
            </w:r>
          </w:p>
        </w:tc>
        <w:tc>
          <w:tcPr>
            <w:tcW w:w="539" w:type="pct"/>
            <w:tcBorders>
              <w:top w:val="nil"/>
              <w:left w:val="nil"/>
              <w:bottom w:val="single" w:color="auto" w:sz="4" w:space="0"/>
              <w:right w:val="single" w:color="auto" w:sz="4" w:space="0"/>
            </w:tcBorders>
            <w:noWrap/>
            <w:vAlign w:val="center"/>
          </w:tcPr>
          <w:p w14:paraId="4CD34AF6">
            <w:pPr>
              <w:snapToGrid w:val="0"/>
              <w:spacing w:line="240" w:lineRule="exact"/>
              <w:jc w:val="both"/>
              <w:rPr>
                <w:rFonts w:ascii="Arial" w:hAnsi="Arial" w:cs="Arial"/>
                <w:sz w:val="16"/>
                <w:szCs w:val="18"/>
              </w:rPr>
            </w:pPr>
            <w:r>
              <w:rPr>
                <w:rFonts w:hint="eastAsia" w:ascii="Arial" w:hAnsi="Arial" w:cs="Arial"/>
                <w:sz w:val="16"/>
                <w:szCs w:val="18"/>
              </w:rPr>
              <w:t>91</w:t>
            </w:r>
          </w:p>
        </w:tc>
        <w:tc>
          <w:tcPr>
            <w:tcW w:w="2024" w:type="pct"/>
            <w:tcBorders>
              <w:top w:val="nil"/>
              <w:left w:val="nil"/>
              <w:bottom w:val="single" w:color="auto" w:sz="4" w:space="0"/>
              <w:right w:val="single" w:color="auto" w:sz="4" w:space="0"/>
            </w:tcBorders>
            <w:vAlign w:val="center"/>
          </w:tcPr>
          <w:p w14:paraId="60EFA5CB">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91、91、91</w:t>
            </w:r>
            <w:r>
              <w:rPr>
                <w:rFonts w:ascii="Arial" w:hAnsi="Arial" w:cs="Arial"/>
                <w:sz w:val="16"/>
                <w:szCs w:val="18"/>
              </w:rPr>
              <w:t>。</w:t>
            </w:r>
          </w:p>
        </w:tc>
      </w:tr>
      <w:tr w14:paraId="1858CB6D">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0BD0761F">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75043B3">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9" w:type="pct"/>
            <w:tcBorders>
              <w:top w:val="nil"/>
              <w:left w:val="nil"/>
              <w:bottom w:val="single" w:color="auto" w:sz="4" w:space="0"/>
              <w:right w:val="single" w:color="auto" w:sz="4" w:space="0"/>
            </w:tcBorders>
            <w:noWrap/>
            <w:vAlign w:val="center"/>
          </w:tcPr>
          <w:p w14:paraId="3D420BF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9D19F5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9DB285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7A894D6">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962A4CB">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2180D99C">
      <w:pPr>
        <w:wordWrap w:val="0"/>
        <w:overflowPunct w:val="0"/>
        <w:spacing w:line="480" w:lineRule="auto"/>
        <w:rPr>
          <w:rFonts w:ascii="Arial" w:hAnsi="Arial"/>
          <w:sz w:val="21"/>
          <w:szCs w:val="21"/>
        </w:rPr>
      </w:pPr>
    </w:p>
    <w:p w14:paraId="29317535">
      <w:pPr>
        <w:wordWrap w:val="0"/>
        <w:overflowPunct w:val="0"/>
        <w:spacing w:line="480" w:lineRule="auto"/>
        <w:rPr>
          <w:rFonts w:ascii="Arial" w:hAnsi="Arial"/>
          <w:sz w:val="21"/>
          <w:szCs w:val="21"/>
        </w:rPr>
      </w:pPr>
    </w:p>
    <w:p w14:paraId="696A4B6B">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2DDC278E">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71E64AB3">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10E30F46">
        <w:tblPrEx>
          <w:tblCellMar>
            <w:top w:w="0" w:type="dxa"/>
            <w:left w:w="108" w:type="dxa"/>
            <w:bottom w:w="0" w:type="dxa"/>
            <w:right w:w="108" w:type="dxa"/>
          </w:tblCellMar>
        </w:tblPrEx>
        <w:trPr>
          <w:trHeight w:val="205"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ACCA63F">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0812840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49608CF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180B9F18">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69ABB4E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1CDA2B4">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78E7CF0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1707" w:type="dxa"/>
            <w:tcBorders>
              <w:top w:val="nil"/>
              <w:left w:val="nil"/>
              <w:bottom w:val="single" w:color="auto" w:sz="4" w:space="0"/>
              <w:right w:val="single" w:color="auto" w:sz="4" w:space="0"/>
            </w:tcBorders>
            <w:vAlign w:val="center"/>
          </w:tcPr>
          <w:p w14:paraId="6FFDE7E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1708" w:type="dxa"/>
            <w:tcBorders>
              <w:top w:val="nil"/>
              <w:left w:val="nil"/>
              <w:bottom w:val="single" w:color="auto" w:sz="4" w:space="0"/>
              <w:right w:val="single" w:color="auto" w:sz="4" w:space="0"/>
            </w:tcBorders>
            <w:vAlign w:val="center"/>
          </w:tcPr>
          <w:p w14:paraId="7AB76BB3">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78DC5D6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B48CE85">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3327D02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22.9</w:t>
            </w:r>
          </w:p>
        </w:tc>
        <w:tc>
          <w:tcPr>
            <w:tcW w:w="1707" w:type="dxa"/>
            <w:tcBorders>
              <w:top w:val="nil"/>
              <w:left w:val="nil"/>
              <w:bottom w:val="single" w:color="auto" w:sz="4" w:space="0"/>
              <w:right w:val="single" w:color="auto" w:sz="4" w:space="0"/>
            </w:tcBorders>
            <w:vAlign w:val="center"/>
          </w:tcPr>
          <w:p w14:paraId="196880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22.46</w:t>
            </w:r>
          </w:p>
        </w:tc>
        <w:tc>
          <w:tcPr>
            <w:tcW w:w="1708" w:type="dxa"/>
            <w:tcBorders>
              <w:top w:val="nil"/>
              <w:left w:val="nil"/>
              <w:bottom w:val="single" w:color="auto" w:sz="4" w:space="0"/>
              <w:right w:val="single" w:color="auto" w:sz="4" w:space="0"/>
            </w:tcBorders>
            <w:vAlign w:val="center"/>
          </w:tcPr>
          <w:p w14:paraId="5906E7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27.18</w:t>
            </w:r>
          </w:p>
        </w:tc>
      </w:tr>
      <w:tr w14:paraId="6B79109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8F848E1">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810C1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5D726F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9FF8A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6A205AF">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E7DDAE7">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5D43A15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69257A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738BC7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6A1AE1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0C0BAC0">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5CC9501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2122AE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E0450E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E628BCE">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039FF33C">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color="auto" w:sz="4" w:space="0"/>
              <w:right w:val="single" w:color="auto" w:sz="4" w:space="0"/>
            </w:tcBorders>
            <w:vAlign w:val="center"/>
          </w:tcPr>
          <w:p w14:paraId="2A430097">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677A78B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7" w:type="dxa"/>
            <w:tcBorders>
              <w:top w:val="nil"/>
              <w:left w:val="nil"/>
              <w:bottom w:val="single" w:color="auto" w:sz="4" w:space="0"/>
              <w:right w:val="single" w:color="auto" w:sz="4" w:space="0"/>
            </w:tcBorders>
            <w:vAlign w:val="center"/>
          </w:tcPr>
          <w:p w14:paraId="607713B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533B8B79">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3699293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59A386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873783A">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60D81F9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E419C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60AC7A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25D938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CCF89B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0E1E2D4">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64C7BA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D3F38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D76D1D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788BFE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F17B2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D0DA011">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EC288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7F814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349F6A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D710DB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437138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FF5F41F">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59A3125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0028B1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C9EA6C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EE8FDE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526FA46">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35C0108">
            <w:pPr>
              <w:widowControl/>
              <w:adjustRightInd/>
              <w:spacing w:line="240" w:lineRule="auto"/>
              <w:textAlignment w:val="auto"/>
              <w:rPr>
                <w:rFonts w:hint="eastAsia" w:ascii="Arial" w:hAnsi="Arial" w:eastAsia="宋体" w:cs="Arial"/>
                <w:sz w:val="16"/>
                <w:szCs w:val="18"/>
                <w:lang w:eastAsia="zh-CN"/>
              </w:rPr>
            </w:pPr>
            <w:r>
              <w:rPr>
                <w:rFonts w:hint="eastAsia" w:ascii="Arial" w:hAnsi="Arial" w:cs="Arial"/>
                <w:sz w:val="16"/>
                <w:szCs w:val="18"/>
                <w:lang w:eastAsia="zh-CN"/>
              </w:rPr>
              <w:t>自然及人文环境</w:t>
            </w:r>
          </w:p>
        </w:tc>
        <w:tc>
          <w:tcPr>
            <w:tcW w:w="1707" w:type="dxa"/>
            <w:tcBorders>
              <w:top w:val="nil"/>
              <w:left w:val="nil"/>
              <w:bottom w:val="single" w:color="auto" w:sz="4" w:space="0"/>
              <w:right w:val="single" w:color="auto" w:sz="4" w:space="0"/>
            </w:tcBorders>
            <w:vAlign w:val="center"/>
          </w:tcPr>
          <w:p w14:paraId="3BA0733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56FC5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C02B5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2AB88A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B607D4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FB2CCC8">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966F32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D8A87C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68836D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633200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9A64643">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AE238C7">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03A90C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746D02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2AB71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26B26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2618883">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2BED1BE">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4D816327">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7" w:type="dxa"/>
            <w:tcBorders>
              <w:top w:val="nil"/>
              <w:left w:val="nil"/>
              <w:bottom w:val="single" w:color="auto" w:sz="4" w:space="0"/>
              <w:right w:val="single" w:color="auto" w:sz="4" w:space="0"/>
            </w:tcBorders>
            <w:vAlign w:val="center"/>
          </w:tcPr>
          <w:p w14:paraId="77C5B60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8" w:type="dxa"/>
            <w:tcBorders>
              <w:top w:val="nil"/>
              <w:left w:val="nil"/>
              <w:bottom w:val="single" w:color="auto" w:sz="4" w:space="0"/>
              <w:right w:val="single" w:color="auto" w:sz="4" w:space="0"/>
            </w:tcBorders>
            <w:vAlign w:val="center"/>
          </w:tcPr>
          <w:p w14:paraId="76E5ACE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5F30326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B979BF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2485968">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6C9AC77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08E3148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0A97089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3E24187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70AC58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348AEA6">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2660F1A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7" w:type="dxa"/>
            <w:tcBorders>
              <w:top w:val="nil"/>
              <w:left w:val="nil"/>
              <w:bottom w:val="single" w:color="auto" w:sz="4" w:space="0"/>
              <w:right w:val="single" w:color="auto" w:sz="4" w:space="0"/>
            </w:tcBorders>
            <w:vAlign w:val="center"/>
          </w:tcPr>
          <w:p w14:paraId="70230A8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0B57B0BE">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6CA14867">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09CAF329">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color="auto" w:sz="4" w:space="0"/>
              <w:right w:val="single" w:color="auto" w:sz="4" w:space="0"/>
            </w:tcBorders>
            <w:vAlign w:val="center"/>
          </w:tcPr>
          <w:p w14:paraId="49DF1747">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0E8CDF2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4D59A54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03263A9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BA0FA3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2638A11">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FB44EEB">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034475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463325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C8EC1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B9DF527">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59AC508C">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29ADDA8">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4A3644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EFC62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36318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AE52A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5D2918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A253F35">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11F6AE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F8A40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5C6336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B8AFBD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DA69E66">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C1789F1">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5E13C9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814E42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48132E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902ADD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DEB85B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F74F8C6">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357888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C0AA59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F80532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B722D4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6D43DF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75A084A">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53FCFD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B9F031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E4580F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77677A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63F9539">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04C676D">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1E28918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5637B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48F45D3">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3F4830C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6D9573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AF414D3">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60CFCAC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1EA406B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15A392E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125FBD01">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4F84930B">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color="auto" w:sz="4" w:space="0"/>
              <w:right w:val="single" w:color="auto" w:sz="4" w:space="0"/>
            </w:tcBorders>
            <w:vAlign w:val="center"/>
          </w:tcPr>
          <w:p w14:paraId="2C09E8C9">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13342E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3D78A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ED813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A9DED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DE29CB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9A1F728">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5593B7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EE1B7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451294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9048FD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7D79C1A">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58C66C9">
            <w:pPr>
              <w:spacing w:line="240" w:lineRule="auto"/>
              <w:jc w:val="center"/>
              <w:rPr>
                <w:rFonts w:ascii="Arial" w:hAnsi="Arial" w:cs="Arial"/>
                <w:sz w:val="16"/>
                <w:szCs w:val="18"/>
              </w:rPr>
            </w:pPr>
            <w:r>
              <w:rPr>
                <w:rFonts w:hint="eastAsia" w:ascii="Arial" w:hAnsi="Arial" w:cs="Arial"/>
                <w:sz w:val="16"/>
                <w:szCs w:val="18"/>
              </w:rPr>
              <w:t>1.0997</w:t>
            </w:r>
          </w:p>
        </w:tc>
        <w:tc>
          <w:tcPr>
            <w:tcW w:w="897" w:type="pct"/>
            <w:tcBorders>
              <w:top w:val="single" w:color="auto" w:sz="4" w:space="0"/>
              <w:left w:val="nil"/>
              <w:bottom w:val="single" w:color="auto" w:sz="4" w:space="0"/>
              <w:right w:val="single" w:color="auto" w:sz="4" w:space="0"/>
            </w:tcBorders>
            <w:vAlign w:val="center"/>
          </w:tcPr>
          <w:p w14:paraId="565028F3">
            <w:pPr>
              <w:spacing w:line="240" w:lineRule="auto"/>
              <w:jc w:val="center"/>
              <w:rPr>
                <w:rFonts w:ascii="Arial" w:hAnsi="Arial" w:cs="Arial"/>
                <w:sz w:val="16"/>
                <w:szCs w:val="18"/>
              </w:rPr>
            </w:pPr>
            <w:r>
              <w:rPr>
                <w:rFonts w:hint="eastAsia" w:ascii="Arial" w:hAnsi="Arial" w:cs="Arial"/>
                <w:sz w:val="16"/>
                <w:szCs w:val="18"/>
              </w:rPr>
              <w:t>1.0997</w:t>
            </w:r>
          </w:p>
        </w:tc>
        <w:tc>
          <w:tcPr>
            <w:tcW w:w="897" w:type="pct"/>
            <w:tcBorders>
              <w:top w:val="single" w:color="auto" w:sz="4" w:space="0"/>
              <w:left w:val="nil"/>
              <w:bottom w:val="single" w:color="auto" w:sz="4" w:space="0"/>
              <w:right w:val="single" w:color="auto" w:sz="4" w:space="0"/>
            </w:tcBorders>
            <w:vAlign w:val="center"/>
          </w:tcPr>
          <w:p w14:paraId="5C3FDCC0">
            <w:pPr>
              <w:spacing w:line="240" w:lineRule="auto"/>
              <w:jc w:val="center"/>
              <w:rPr>
                <w:rFonts w:ascii="Arial" w:hAnsi="Arial" w:cs="Arial"/>
                <w:sz w:val="16"/>
                <w:szCs w:val="18"/>
              </w:rPr>
            </w:pPr>
            <w:r>
              <w:rPr>
                <w:rFonts w:hint="eastAsia" w:ascii="Arial" w:hAnsi="Arial" w:cs="Arial"/>
                <w:sz w:val="16"/>
                <w:szCs w:val="18"/>
              </w:rPr>
              <w:t>1.1006</w:t>
            </w:r>
          </w:p>
        </w:tc>
      </w:tr>
      <w:tr w14:paraId="337DD95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F0FCA27">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7BCB3532">
            <w:pPr>
              <w:spacing w:line="240" w:lineRule="auto"/>
              <w:jc w:val="center"/>
              <w:rPr>
                <w:rFonts w:ascii="Arial" w:hAnsi="Arial" w:cs="Arial"/>
                <w:sz w:val="16"/>
                <w:szCs w:val="18"/>
              </w:rPr>
            </w:pPr>
            <w:r>
              <w:rPr>
                <w:rFonts w:hint="eastAsia" w:ascii="Arial" w:hAnsi="Arial" w:cs="Arial"/>
                <w:sz w:val="16"/>
                <w:szCs w:val="18"/>
              </w:rPr>
              <w:t>25.18</w:t>
            </w:r>
          </w:p>
        </w:tc>
        <w:tc>
          <w:tcPr>
            <w:tcW w:w="897" w:type="pct"/>
            <w:tcBorders>
              <w:top w:val="single" w:color="auto" w:sz="4" w:space="0"/>
              <w:left w:val="nil"/>
              <w:bottom w:val="single" w:color="auto" w:sz="4" w:space="0"/>
              <w:right w:val="single" w:color="auto" w:sz="4" w:space="0"/>
            </w:tcBorders>
            <w:vAlign w:val="center"/>
          </w:tcPr>
          <w:p w14:paraId="3DC4C91C">
            <w:pPr>
              <w:spacing w:line="240" w:lineRule="auto"/>
              <w:jc w:val="center"/>
              <w:rPr>
                <w:rFonts w:ascii="Arial" w:hAnsi="Arial" w:cs="Arial"/>
                <w:sz w:val="16"/>
                <w:szCs w:val="18"/>
              </w:rPr>
            </w:pPr>
            <w:r>
              <w:rPr>
                <w:rFonts w:hint="eastAsia" w:ascii="Arial" w:hAnsi="Arial" w:cs="Arial"/>
                <w:sz w:val="16"/>
                <w:szCs w:val="18"/>
              </w:rPr>
              <w:t>24.70</w:t>
            </w:r>
          </w:p>
        </w:tc>
        <w:tc>
          <w:tcPr>
            <w:tcW w:w="897" w:type="pct"/>
            <w:tcBorders>
              <w:top w:val="single" w:color="auto" w:sz="4" w:space="0"/>
              <w:left w:val="nil"/>
              <w:bottom w:val="single" w:color="auto" w:sz="4" w:space="0"/>
              <w:right w:val="single" w:color="auto" w:sz="4" w:space="0"/>
            </w:tcBorders>
            <w:vAlign w:val="center"/>
          </w:tcPr>
          <w:p w14:paraId="4163FA15">
            <w:pPr>
              <w:spacing w:line="240" w:lineRule="auto"/>
              <w:jc w:val="center"/>
              <w:rPr>
                <w:rFonts w:ascii="Arial" w:hAnsi="Arial" w:cs="Arial"/>
                <w:sz w:val="16"/>
                <w:szCs w:val="18"/>
              </w:rPr>
            </w:pPr>
            <w:r>
              <w:rPr>
                <w:rFonts w:hint="eastAsia" w:ascii="Arial" w:hAnsi="Arial" w:cs="Arial"/>
                <w:sz w:val="16"/>
                <w:szCs w:val="18"/>
              </w:rPr>
              <w:t>29.91</w:t>
            </w:r>
          </w:p>
        </w:tc>
      </w:tr>
    </w:tbl>
    <w:p w14:paraId="7E078CAF">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02AD0A9E">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437CF862">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2C51AF28">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3</w:t>
      </w:r>
      <w:r>
        <w:rPr>
          <w:rFonts w:hint="eastAsia" w:ascii="Arial" w:hAnsi="Arial"/>
          <w:bCs/>
          <w:sz w:val="21"/>
        </w:rPr>
        <w:t>市场租赁住房租金</w:t>
      </w:r>
      <w:r>
        <w:rPr>
          <w:rFonts w:hint="eastAsia" w:ascii="Arial" w:hAnsi="Arial"/>
          <w:sz w:val="21"/>
          <w:szCs w:val="21"/>
        </w:rPr>
        <w:t>＝（25.18+24.70+29.91）÷</w:t>
      </w:r>
      <w:r>
        <w:rPr>
          <w:rFonts w:ascii="Arial" w:hAnsi="Arial"/>
          <w:sz w:val="21"/>
          <w:szCs w:val="21"/>
        </w:rPr>
        <w:t>3</w:t>
      </w:r>
      <w:r>
        <w:rPr>
          <w:rFonts w:hint="eastAsia" w:ascii="Arial" w:hAnsi="Arial"/>
          <w:sz w:val="21"/>
          <w:szCs w:val="21"/>
        </w:rPr>
        <w:t>+3.39</w:t>
      </w:r>
    </w:p>
    <w:p w14:paraId="54B95D0F">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＝26.6+3.39</w:t>
      </w:r>
    </w:p>
    <w:p w14:paraId="251FCFAC">
      <w:pPr>
        <w:wordWrap w:val="0"/>
        <w:overflowPunct w:val="0"/>
        <w:spacing w:line="480" w:lineRule="auto"/>
        <w:ind w:firstLine="3360" w:firstLineChars="1600"/>
        <w:rPr>
          <w:rFonts w:hint="eastAsia" w:ascii="宋体" w:hAnsi="宋体"/>
          <w:sz w:val="21"/>
          <w:szCs w:val="21"/>
        </w:rPr>
      </w:pPr>
      <w:r>
        <w:rPr>
          <w:rFonts w:hint="eastAsia" w:ascii="Arial" w:hAnsi="Arial"/>
          <w:sz w:val="21"/>
          <w:szCs w:val="21"/>
        </w:rPr>
        <w:t>＝29.99（元/平方米·月）</w:t>
      </w:r>
      <w:r>
        <w:rPr>
          <w:rFonts w:hint="eastAsia" w:ascii="宋体" w:hAnsi="宋体"/>
          <w:sz w:val="21"/>
          <w:szCs w:val="21"/>
        </w:rPr>
        <w:t>（含物业费、不含取暖费）</w:t>
      </w:r>
    </w:p>
    <w:p w14:paraId="66A8EBBA">
      <w:pPr>
        <w:wordWrap w:val="0"/>
        <w:overflowPunct w:val="0"/>
        <w:spacing w:line="480" w:lineRule="auto"/>
        <w:ind w:firstLine="420" w:firstLineChars="200"/>
        <w:rPr>
          <w:rFonts w:hint="default" w:ascii="宋体" w:hAnsi="宋体" w:eastAsia="宋体"/>
          <w:sz w:val="21"/>
          <w:szCs w:val="21"/>
          <w:lang w:val="en-US" w:eastAsia="zh-CN"/>
        </w:rPr>
      </w:pPr>
      <w:r>
        <w:rPr>
          <w:rFonts w:hint="eastAsia" w:ascii="宋体" w:hAnsi="宋体"/>
          <w:sz w:val="21"/>
          <w:szCs w:val="21"/>
          <w:lang w:val="en-US" w:eastAsia="zh-CN"/>
        </w:rPr>
        <w:t>按各户型建筑面积比例，结合上述各户型的测算结果，综合确定项目整体的综合租金，即：</w:t>
      </w:r>
    </w:p>
    <w:p w14:paraId="00D52FBB">
      <w:pPr>
        <w:wordWrap w:val="0"/>
        <w:overflowPunct w:val="0"/>
        <w:spacing w:line="480" w:lineRule="auto"/>
        <w:ind w:firstLine="420" w:firstLineChars="200"/>
        <w:rPr>
          <w:rFonts w:ascii="Arial" w:hAnsi="Arial"/>
          <w:sz w:val="21"/>
          <w:szCs w:val="21"/>
        </w:rPr>
      </w:pPr>
      <w:bookmarkStart w:id="70" w:name="_Toc155267108"/>
      <w:bookmarkStart w:id="71" w:name="_Toc525655441"/>
      <w:commentRangeStart w:id="23"/>
      <w:r>
        <w:rPr>
          <w:rFonts w:hint="eastAsia" w:ascii="Arial" w:hAnsi="Arial"/>
          <w:sz w:val="21"/>
          <w:szCs w:val="21"/>
        </w:rPr>
        <w:t>综合租</w:t>
      </w:r>
      <w:commentRangeEnd w:id="23"/>
      <w:r>
        <w:rPr>
          <w:rStyle w:val="40"/>
        </w:rPr>
        <w:commentReference w:id="23"/>
      </w:r>
      <w:r>
        <w:rPr>
          <w:rFonts w:hint="eastAsia" w:ascii="Arial" w:hAnsi="Arial"/>
          <w:sz w:val="21"/>
          <w:szCs w:val="21"/>
        </w:rPr>
        <w:t>金=（913.76×46.02+5654.61×39.73+2526.6</w:t>
      </w:r>
      <w:r>
        <w:rPr>
          <w:rFonts w:ascii="Arial" w:hAnsi="Arial"/>
          <w:sz w:val="21"/>
          <w:szCs w:val="21"/>
        </w:rPr>
        <w:t>×</w:t>
      </w:r>
      <w:r>
        <w:rPr>
          <w:rFonts w:hint="eastAsia" w:ascii="Arial" w:hAnsi="Arial"/>
          <w:sz w:val="21"/>
          <w:szCs w:val="21"/>
        </w:rPr>
        <w:t>29.99）÷9094.97</w:t>
      </w:r>
    </w:p>
    <w:p w14:paraId="5E03AF54">
      <w:pPr>
        <w:wordWrap w:val="0"/>
        <w:overflowPunct w:val="0"/>
        <w:spacing w:line="480" w:lineRule="auto"/>
        <w:ind w:firstLine="1260" w:firstLineChars="600"/>
        <w:rPr>
          <w:rFonts w:ascii="Arial" w:hAnsi="Arial"/>
          <w:sz w:val="21"/>
          <w:szCs w:val="21"/>
        </w:rPr>
      </w:pPr>
      <w:r>
        <w:rPr>
          <w:rFonts w:hint="eastAsia" w:ascii="Arial" w:hAnsi="Arial"/>
          <w:sz w:val="21"/>
          <w:szCs w:val="21"/>
        </w:rPr>
        <w:t>=37.66（元/平方米·月）（含物业费、不含取暖费）</w:t>
      </w:r>
    </w:p>
    <w:p w14:paraId="1897BCFF">
      <w:pPr>
        <w:wordWrap w:val="0"/>
        <w:overflowPunct w:val="0"/>
        <w:spacing w:line="480" w:lineRule="auto"/>
        <w:ind w:firstLine="420" w:firstLineChars="200"/>
        <w:rPr>
          <w:kern w:val="2"/>
          <w:sz w:val="21"/>
          <w:szCs w:val="21"/>
        </w:rPr>
      </w:pPr>
    </w:p>
    <w:p w14:paraId="570BB5BA">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0"/>
      <w:bookmarkEnd w:id="71"/>
    </w:p>
    <w:p w14:paraId="774780DA">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（西红门金鼎欣盛家园）保障性租赁住房（住宅型）项目于价值时点2026年4月7日同地段、同品质市场租赁住房租金为：</w:t>
      </w:r>
    </w:p>
    <w:p w14:paraId="0D2714B3">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一居室（56.92-57.43</w:t>
      </w:r>
      <w:r>
        <w:rPr>
          <w:rFonts w:ascii="Arial" w:hAnsi="Arial" w:cs="Arial"/>
          <w:b/>
          <w:bCs/>
          <w:sz w:val="21"/>
          <w:szCs w:val="21"/>
        </w:rPr>
        <w:t>平方米）</w:t>
      </w:r>
      <w:r>
        <w:rPr>
          <w:rFonts w:hint="eastAsia" w:ascii="Arial" w:hAnsi="Arial" w:cs="Arial"/>
          <w:b/>
          <w:bCs/>
          <w:sz w:val="21"/>
          <w:szCs w:val="21"/>
        </w:rPr>
        <w:t>：46.02元/平方米·月</w:t>
      </w:r>
    </w:p>
    <w:p w14:paraId="2F51C0EA">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两居室（87.86-90.39</w:t>
      </w:r>
      <w:r>
        <w:rPr>
          <w:rFonts w:ascii="Arial" w:hAnsi="Arial" w:cs="Arial"/>
          <w:b/>
          <w:bCs/>
          <w:sz w:val="21"/>
          <w:szCs w:val="21"/>
        </w:rPr>
        <w:t>平方米）</w:t>
      </w:r>
      <w:r>
        <w:rPr>
          <w:rFonts w:hint="eastAsia" w:ascii="Arial" w:hAnsi="Arial" w:cs="Arial"/>
          <w:b/>
          <w:bCs/>
          <w:sz w:val="21"/>
          <w:szCs w:val="21"/>
        </w:rPr>
        <w:t>：39.73元/平方米·月</w:t>
      </w:r>
    </w:p>
    <w:p w14:paraId="6E62991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三居室（125.6-127.11</w:t>
      </w:r>
      <w:r>
        <w:rPr>
          <w:rFonts w:ascii="Arial" w:hAnsi="Arial" w:cs="Arial"/>
          <w:b/>
          <w:bCs/>
          <w:sz w:val="21"/>
          <w:szCs w:val="21"/>
        </w:rPr>
        <w:t>平方米</w:t>
      </w:r>
      <w:r>
        <w:rPr>
          <w:rFonts w:hint="eastAsia" w:ascii="Arial" w:hAnsi="Arial" w:cs="Arial"/>
          <w:b/>
          <w:bCs/>
          <w:sz w:val="21"/>
          <w:szCs w:val="21"/>
        </w:rPr>
        <w:t>）：29.99元/平方米·月</w:t>
      </w:r>
    </w:p>
    <w:p w14:paraId="5797D72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综合租金：37.66元/平方米·月</w:t>
      </w:r>
    </w:p>
    <w:p w14:paraId="7725DE3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02CBB9A8">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5C9E204C">
      <w:pPr>
        <w:overflowPunct w:val="0"/>
        <w:spacing w:line="480" w:lineRule="auto"/>
        <w:ind w:left="720" w:leftChars="150" w:hanging="360" w:hangingChars="200"/>
        <w:jc w:val="both"/>
        <w:textAlignment w:val="auto"/>
        <w:rPr>
          <w:rFonts w:ascii="Arial" w:hAnsi="Arial" w:cs="Arial"/>
          <w:sz w:val="18"/>
          <w:szCs w:val="18"/>
        </w:rPr>
        <w:sectPr>
          <w:headerReference r:id="rId26" w:type="first"/>
          <w:headerReference r:id="rId24" w:type="default"/>
          <w:headerReference r:id="rId25" w:type="even"/>
          <w:pgSz w:w="11907" w:h="16840"/>
          <w:pgMar w:top="1843" w:right="1134" w:bottom="1134" w:left="1134" w:header="1134" w:footer="907" w:gutter="340"/>
          <w:cols w:space="720" w:num="1"/>
          <w:docGrid w:linePitch="326" w:charSpace="0"/>
        </w:sectPr>
      </w:pPr>
    </w:p>
    <w:p w14:paraId="3949DB47">
      <w:pPr>
        <w:overflowPunct w:val="0"/>
        <w:spacing w:line="480" w:lineRule="auto"/>
        <w:jc w:val="both"/>
        <w:textAlignment w:val="auto"/>
        <w:rPr>
          <w:rFonts w:ascii="Arial" w:hAnsi="Arial" w:cs="Arial"/>
          <w:sz w:val="18"/>
          <w:szCs w:val="18"/>
        </w:rPr>
      </w:pPr>
    </w:p>
    <w:p w14:paraId="616E1133">
      <w:pPr>
        <w:pStyle w:val="2"/>
        <w:spacing w:line="480" w:lineRule="auto"/>
        <w:jc w:val="center"/>
        <w:rPr>
          <w:rFonts w:eastAsia="方正黑体简体"/>
          <w:b w:val="0"/>
          <w:kern w:val="2"/>
          <w:sz w:val="32"/>
          <w:szCs w:val="32"/>
        </w:rPr>
      </w:pPr>
      <w:bookmarkStart w:id="72" w:name="_Toc155267109"/>
      <w:r>
        <w:rPr>
          <w:rFonts w:hint="eastAsia" w:eastAsia="方正黑体简体"/>
          <w:b w:val="0"/>
          <w:kern w:val="2"/>
          <w:sz w:val="32"/>
          <w:szCs w:val="32"/>
        </w:rPr>
        <w:t>附   件</w:t>
      </w:r>
      <w:bookmarkEnd w:id="72"/>
    </w:p>
    <w:p w14:paraId="5696CCA2">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72354D66">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01E72723">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1BD51E8B">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5A017025">
      <w:pPr>
        <w:numPr>
          <w:ilvl w:val="0"/>
          <w:numId w:val="11"/>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04382E63">
      <w:pPr>
        <w:numPr>
          <w:ilvl w:val="0"/>
          <w:numId w:val="11"/>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7A583180">
      <w:pPr>
        <w:numPr>
          <w:ilvl w:val="0"/>
          <w:numId w:val="11"/>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246FFBC7">
      <w:pPr>
        <w:numPr>
          <w:ilvl w:val="0"/>
          <w:numId w:val="11"/>
        </w:numPr>
        <w:spacing w:line="360" w:lineRule="auto"/>
        <w:jc w:val="both"/>
        <w:rPr>
          <w:rFonts w:ascii="Arial" w:hAnsi="Arial" w:cs="Arial"/>
          <w:sz w:val="21"/>
          <w:szCs w:val="21"/>
        </w:rPr>
      </w:pPr>
      <w:r>
        <w:rPr>
          <w:rFonts w:hint="eastAsia" w:ascii="Arial" w:hAnsi="Arial" w:cs="Arial"/>
          <w:sz w:val="21"/>
          <w:szCs w:val="21"/>
        </w:rPr>
        <w:t>《不动产权证书》[京（2026）大不动产权第0006771、0006774、0006887、0006889、0006899、0006906、0006914、0006922、0006926、0006949、0006958、0006963、0006949号]部分复印件</w:t>
      </w:r>
    </w:p>
    <w:p w14:paraId="771AD9EE">
      <w:pPr>
        <w:numPr>
          <w:ilvl w:val="0"/>
          <w:numId w:val="11"/>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5C277B17">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71AA1677">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252CCFC3">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in10B" w:date="2026-04-16T09:59:00Z" w:initials="w">
    <w:p w14:paraId="411B1CE9">
      <w:pPr>
        <w:pStyle w:val="11"/>
      </w:pPr>
      <w:r>
        <w:t>排版</w:t>
      </w:r>
    </w:p>
  </w:comment>
  <w:comment w:id="1" w:author="win10B" w:date="2026-04-16T10:03:00Z" w:initials="w">
    <w:p w14:paraId="2EFB7C07">
      <w:pPr>
        <w:pStyle w:val="11"/>
      </w:pPr>
      <w:r>
        <w:t>还有一个租赁管理办法</w:t>
      </w:r>
    </w:p>
  </w:comment>
  <w:comment w:id="2" w:author="win10B" w:date="2026-04-16T10:03:00Z" w:initials="w">
    <w:p w14:paraId="1FBEDA82">
      <w:pPr>
        <w:pStyle w:val="11"/>
      </w:pPr>
      <w:r>
        <w:t>设定</w:t>
      </w:r>
    </w:p>
  </w:comment>
  <w:comment w:id="3" w:author="Administrator" w:date="2026-04-16T08:48:00Z" w:initials="A">
    <w:p w14:paraId="4E13137F">
      <w:pPr>
        <w:pStyle w:val="11"/>
      </w:pPr>
      <w:r>
        <w:rPr>
          <w:rFonts w:hint="eastAsia"/>
        </w:rPr>
        <w:t>多一句号</w:t>
      </w:r>
    </w:p>
  </w:comment>
  <w:comment w:id="4" w:author="Administrator" w:date="2026-04-16T08:54:00Z" w:initials="A">
    <w:p w14:paraId="10601F72">
      <w:pPr>
        <w:pStyle w:val="11"/>
      </w:pPr>
      <w:r>
        <w:rPr>
          <w:rFonts w:hint="eastAsia"/>
        </w:rPr>
        <w:t>月</w:t>
      </w:r>
    </w:p>
  </w:comment>
  <w:comment w:id="5" w:author="Administrator" w:date="2026-04-16T08:54:00Z" w:initials="A">
    <w:p w14:paraId="1511AB1D">
      <w:pPr>
        <w:pStyle w:val="11"/>
      </w:pPr>
      <w:r>
        <w:rPr>
          <w:rFonts w:hint="eastAsia"/>
        </w:rPr>
        <w:t>月</w:t>
      </w:r>
    </w:p>
  </w:comment>
  <w:comment w:id="6" w:author="Administrator" w:date="2026-04-16T08:54:00Z" w:initials="A">
    <w:p w14:paraId="7984A698">
      <w:pPr>
        <w:pStyle w:val="11"/>
      </w:pPr>
      <w:r>
        <w:rPr>
          <w:rFonts w:hint="eastAsia"/>
        </w:rPr>
        <w:t>月</w:t>
      </w:r>
    </w:p>
  </w:comment>
  <w:comment w:id="7" w:author="win10B" w:date="2026-04-16T10:22:00Z" w:initials="w">
    <w:p w14:paraId="1F7E24E1">
      <w:pPr>
        <w:pStyle w:val="11"/>
      </w:pPr>
      <w:r>
        <w:t>和前面描述不一致</w:t>
      </w:r>
    </w:p>
  </w:comment>
  <w:comment w:id="8" w:author="win10B" w:date="2026-04-16T10:24:00Z" w:initials="w">
    <w:p w14:paraId="5CC7B801">
      <w:pPr>
        <w:pStyle w:val="11"/>
      </w:pPr>
      <w:r>
        <w:t>和前面描述不一致</w:t>
      </w:r>
    </w:p>
  </w:comment>
  <w:comment w:id="9" w:author="win10B" w:date="2026-04-16T10:26:00Z" w:initials="w">
    <w:p w14:paraId="016C079B">
      <w:pPr>
        <w:pStyle w:val="11"/>
      </w:pPr>
      <w:r>
        <w:rPr>
          <w:rFonts w:hint="eastAsia"/>
        </w:rPr>
        <w:t>4</w:t>
      </w:r>
    </w:p>
  </w:comment>
  <w:comment w:id="10" w:author="win10B" w:date="2026-04-16T10:27:00Z" w:initials="w">
    <w:p w14:paraId="1D9B74F5">
      <w:pPr>
        <w:pStyle w:val="11"/>
      </w:pPr>
      <w:r>
        <w:rPr>
          <w:rFonts w:hint="eastAsia"/>
        </w:rPr>
        <w:t>5</w:t>
      </w:r>
    </w:p>
  </w:comment>
  <w:comment w:id="11" w:author="Administrator" w:date="2026-04-16T08:56:00Z" w:initials="A">
    <w:p w14:paraId="55BBC46E">
      <w:pPr>
        <w:pStyle w:val="11"/>
      </w:pPr>
      <w:r>
        <w:rPr>
          <w:rFonts w:hint="eastAsia"/>
        </w:rPr>
        <w:t>.</w:t>
      </w:r>
    </w:p>
  </w:comment>
  <w:comment w:id="12" w:author="Administrator" w:date="2026-04-16T08:56:00Z" w:initials="A">
    <w:p w14:paraId="78A0D9FE">
      <w:pPr>
        <w:pStyle w:val="11"/>
      </w:pPr>
      <w:r>
        <w:rPr>
          <w:rFonts w:hint="eastAsia"/>
        </w:rPr>
        <w:t>.</w:t>
      </w:r>
    </w:p>
  </w:comment>
  <w:comment w:id="13" w:author="Administrator" w:date="2026-04-16T08:56:00Z" w:initials="A">
    <w:p w14:paraId="7BEAC6C8">
      <w:pPr>
        <w:pStyle w:val="11"/>
      </w:pPr>
      <w:r>
        <w:rPr>
          <w:rFonts w:hint="eastAsia"/>
        </w:rPr>
        <w:t>.</w:t>
      </w:r>
    </w:p>
  </w:comment>
  <w:comment w:id="14" w:author="win10B" w:date="2026-04-16T10:29:00Z" w:initials="w">
    <w:p w14:paraId="7C19C016">
      <w:pPr>
        <w:pStyle w:val="11"/>
      </w:pPr>
      <w:r>
        <w:t>改成</w:t>
      </w:r>
      <w:r>
        <w:rPr>
          <w:rFonts w:hint="eastAsia"/>
        </w:rPr>
        <w:t>3月，本来就4月7号估价时点</w:t>
      </w:r>
    </w:p>
  </w:comment>
  <w:comment w:id="15" w:author="win10B" w:date="2026-04-16T10:28:00Z" w:initials="w">
    <w:p w14:paraId="45512426">
      <w:pPr>
        <w:pStyle w:val="11"/>
      </w:pPr>
      <w:r>
        <w:t>月</w:t>
      </w:r>
    </w:p>
  </w:comment>
  <w:comment w:id="16" w:author="win10B" w:date="2026-04-16T10:30:00Z" w:initials="w">
    <w:p w14:paraId="222DA1C0">
      <w:pPr>
        <w:pStyle w:val="11"/>
      </w:pPr>
      <w:r>
        <w:annotationRef/>
      </w:r>
    </w:p>
  </w:comment>
  <w:comment w:id="17" w:author="win10B" w:date="2026-04-16T10:32:00Z" w:initials="w">
    <w:p w14:paraId="46625A04">
      <w:pPr>
        <w:pStyle w:val="11"/>
      </w:pPr>
      <w:r>
        <w:t>不合适啊</w:t>
      </w:r>
    </w:p>
  </w:comment>
  <w:comment w:id="18" w:author="win10B" w:date="2026-04-16T10:34:00Z" w:initials="w">
    <w:p w14:paraId="445CC3DF">
      <w:pPr>
        <w:pStyle w:val="11"/>
      </w:pPr>
      <w:r>
        <w:annotationRef/>
      </w:r>
    </w:p>
  </w:comment>
  <w:comment w:id="19" w:author="Administrator" w:date="2026-04-16T08:58:00Z" w:initials="A">
    <w:p w14:paraId="7D14975C">
      <w:pPr>
        <w:pStyle w:val="11"/>
      </w:pPr>
      <w:r>
        <w:rPr>
          <w:rFonts w:hint="eastAsia"/>
        </w:rPr>
        <w:t>.</w:t>
      </w:r>
    </w:p>
  </w:comment>
  <w:comment w:id="20" w:author="win10B" w:date="2026-04-16T10:37:00Z" w:initials="w">
    <w:p w14:paraId="16DCFEEA">
      <w:pPr>
        <w:pStyle w:val="11"/>
      </w:pPr>
      <w:r>
        <w:t>有区别？</w:t>
      </w:r>
    </w:p>
  </w:comment>
  <w:comment w:id="21" w:author="诗霖" w:date="2026-04-16T15:07:25Z" w:initials="">
    <w:p w14:paraId="7FB1FD21">
      <w:pPr>
        <w:pStyle w:val="11"/>
        <w:rPr>
          <w:rFonts w:hint="default" w:eastAsia="宋体"/>
          <w:lang w:val="en-US" w:eastAsia="zh-CN"/>
        </w:rPr>
      </w:pPr>
      <w:r>
        <w:rPr>
          <w:rFonts w:hint="eastAsia"/>
          <w:lang w:val="en-US" w:eastAsia="zh-CN"/>
        </w:rPr>
        <w:t>没有区别，没修正</w:t>
      </w:r>
    </w:p>
  </w:comment>
  <w:comment w:id="22" w:author="win10B" w:date="2026-04-16T10:35:00Z" w:initials="w">
    <w:p w14:paraId="7DAF9992">
      <w:pPr>
        <w:pStyle w:val="11"/>
      </w:pPr>
      <w:r>
        <w:t>及人文环境</w:t>
      </w:r>
    </w:p>
  </w:comment>
  <w:comment w:id="23" w:author="Administrator" w:date="2026-04-16T09:03:00Z" w:initials="A">
    <w:p w14:paraId="37DBE99F">
      <w:pPr>
        <w:pStyle w:val="11"/>
      </w:pPr>
      <w:r>
        <w:rPr>
          <w:rFonts w:hint="eastAsia"/>
        </w:rPr>
        <w:t>建议：在此稍加一两行文字似更妥。序号D，大意是根据前面三种户型的评估（测算）结果，按面积综合确定项目整体的综合租金</w:t>
      </w:r>
      <w:r>
        <w:t>…</w:t>
      </w:r>
      <w:r>
        <w:rPr>
          <w:rFonts w:hint="eastAsia"/>
        </w:rPr>
        <w:t>。类似的，请再组织下语言</w:t>
      </w:r>
    </w:p>
    <w:p w14:paraId="78B78B54">
      <w:pPr>
        <w:pStyle w:val="11"/>
      </w:pPr>
      <w:r>
        <w:rPr>
          <w:rFonts w:hint="eastAsia"/>
        </w:rPr>
        <w:t>另两报告同样</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11B1CE9" w15:done="0"/>
  <w15:commentEx w15:paraId="2EFB7C07" w15:done="0"/>
  <w15:commentEx w15:paraId="1FBEDA82" w15:done="0"/>
  <w15:commentEx w15:paraId="4E13137F" w15:done="0"/>
  <w15:commentEx w15:paraId="10601F72" w15:done="0"/>
  <w15:commentEx w15:paraId="1511AB1D" w15:done="0"/>
  <w15:commentEx w15:paraId="7984A698" w15:done="0"/>
  <w15:commentEx w15:paraId="1F7E24E1" w15:done="0"/>
  <w15:commentEx w15:paraId="5CC7B801" w15:done="0"/>
  <w15:commentEx w15:paraId="016C079B" w15:done="0"/>
  <w15:commentEx w15:paraId="1D9B74F5" w15:done="0"/>
  <w15:commentEx w15:paraId="55BBC46E" w15:done="0"/>
  <w15:commentEx w15:paraId="78A0D9FE" w15:done="0"/>
  <w15:commentEx w15:paraId="7BEAC6C8" w15:done="0"/>
  <w15:commentEx w15:paraId="7C19C016" w15:done="0"/>
  <w15:commentEx w15:paraId="45512426" w15:done="0"/>
  <w15:commentEx w15:paraId="222DA1C0" w15:done="0"/>
  <w15:commentEx w15:paraId="46625A04" w15:done="0"/>
  <w15:commentEx w15:paraId="445CC3DF" w15:done="0"/>
  <w15:commentEx w15:paraId="7D14975C" w15:done="0"/>
  <w15:commentEx w15:paraId="16DCFEEA" w15:done="0"/>
  <w15:commentEx w15:paraId="7FB1FD21" w15:done="0" w15:paraIdParent="16DCFEEA"/>
  <w15:commentEx w15:paraId="7DAF9992" w15:done="0"/>
  <w15:commentEx w15:paraId="78B78B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汉仪中黑 197">
    <w:altName w:val="黑体"/>
    <w:panose1 w:val="00020600040101010101"/>
    <w:charset w:val="86"/>
    <w:family w:val="swiss"/>
    <w:pitch w:val="fixed"/>
    <w:sig w:usb0="00000000" w:usb1="00000000" w:usb2="00000000" w:usb3="00000000" w:csb0="00000000" w:csb1="00000000"/>
  </w:font>
  <w:font w:name="KSOFF9CC6125">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3625B">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10</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5A995">
    <w:pPr>
      <w:pStyle w:val="21"/>
      <w:framePr w:wrap="around" w:vAnchor="text" w:hAnchor="margin" w:xAlign="center" w:y="1"/>
      <w:rPr>
        <w:rStyle w:val="37"/>
      </w:rPr>
    </w:pPr>
    <w:r>
      <w:fldChar w:fldCharType="begin"/>
    </w:r>
    <w:r>
      <w:rPr>
        <w:rStyle w:val="37"/>
      </w:rPr>
      <w:instrText xml:space="preserve">PAGE  </w:instrText>
    </w:r>
    <w:r>
      <w:fldChar w:fldCharType="end"/>
    </w:r>
  </w:p>
  <w:p w14:paraId="1D67B8BC">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8F430">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2B633">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7F04900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4E816">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68</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7606B">
    <w:pPr>
      <w:pStyle w:val="21"/>
      <w:framePr w:wrap="around" w:vAnchor="text" w:hAnchor="margin" w:xAlign="center" w:y="1"/>
      <w:rPr>
        <w:rStyle w:val="37"/>
      </w:rPr>
    </w:pPr>
    <w:r>
      <w:fldChar w:fldCharType="begin"/>
    </w:r>
    <w:r>
      <w:rPr>
        <w:rStyle w:val="37"/>
      </w:rPr>
      <w:instrText xml:space="preserve">PAGE  </w:instrText>
    </w:r>
    <w:r>
      <w:fldChar w:fldCharType="end"/>
    </w:r>
  </w:p>
  <w:p w14:paraId="2DFAD598">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494EB">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6F104">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4D08C">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622C">
    <w:pPr>
      <w:pStyle w:val="22"/>
      <w:pBdr>
        <w:bottom w:val="none" w:color="auto" w:sz="0" w:space="0"/>
      </w:pBdr>
    </w:pPr>
    <w:bookmarkStart w:id="73" w:name="_Hlk154502004"/>
    <w:bookmarkStart w:id="74" w:name="_Hlk154502003"/>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3"/>
    <w:bookmarkEnd w:id="7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BBFBC">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ECDE9">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9656A">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ADFEF">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3C71D">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86CEA">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53DF7">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E6075">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0A3BE">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E07AC">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win10B">
    <w15:presenceInfo w15:providerId="None" w15:userId="win10B"/>
  </w15:person>
  <w15:person w15:author="诗霖">
    <w15:presenceInfo w15:providerId="WPS Office" w15:userId="2424977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lNTcwYzRhZDhlOGZhZjI3NjFkMzdhNWI3MTJjMDgifQ=="/>
  </w:docVars>
  <w:rsids>
    <w:rsidRoot w:val="00AF4C5B"/>
    <w:rsid w:val="00000D1B"/>
    <w:rsid w:val="000011CD"/>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6499"/>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67C96"/>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17CFF"/>
    <w:rsid w:val="002202C8"/>
    <w:rsid w:val="00221452"/>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2CB7"/>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0EF9"/>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4E16"/>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0EB"/>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1F5"/>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66E"/>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39A6"/>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73A"/>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1C0"/>
    <w:rsid w:val="00826729"/>
    <w:rsid w:val="00826BDE"/>
    <w:rsid w:val="00826CDD"/>
    <w:rsid w:val="00827E88"/>
    <w:rsid w:val="00830E5D"/>
    <w:rsid w:val="00831441"/>
    <w:rsid w:val="00831E03"/>
    <w:rsid w:val="008334D8"/>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760"/>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8ED"/>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630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774"/>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34B"/>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159"/>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64B"/>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6A7"/>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4EFC"/>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2F"/>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015B3238"/>
    <w:rsid w:val="02225B04"/>
    <w:rsid w:val="02FE20CD"/>
    <w:rsid w:val="0337738D"/>
    <w:rsid w:val="0376348B"/>
    <w:rsid w:val="04150505"/>
    <w:rsid w:val="04806B11"/>
    <w:rsid w:val="05015EA4"/>
    <w:rsid w:val="076A46C8"/>
    <w:rsid w:val="07944DAE"/>
    <w:rsid w:val="08053EFD"/>
    <w:rsid w:val="08F31CBC"/>
    <w:rsid w:val="08FF094D"/>
    <w:rsid w:val="09370DBB"/>
    <w:rsid w:val="0955063D"/>
    <w:rsid w:val="0A7156FA"/>
    <w:rsid w:val="0BE91440"/>
    <w:rsid w:val="0BEF6A57"/>
    <w:rsid w:val="0BF70001"/>
    <w:rsid w:val="0C2A7A8F"/>
    <w:rsid w:val="0C957D9E"/>
    <w:rsid w:val="0C9E047D"/>
    <w:rsid w:val="0CEE6D0E"/>
    <w:rsid w:val="0D1D5845"/>
    <w:rsid w:val="0D3D37F2"/>
    <w:rsid w:val="0D587038"/>
    <w:rsid w:val="0DA87805"/>
    <w:rsid w:val="0EB775D4"/>
    <w:rsid w:val="0F057A1D"/>
    <w:rsid w:val="0F362BEE"/>
    <w:rsid w:val="0FFC1ECE"/>
    <w:rsid w:val="108F25B6"/>
    <w:rsid w:val="130927B2"/>
    <w:rsid w:val="13685340"/>
    <w:rsid w:val="13EB21F9"/>
    <w:rsid w:val="140B2690"/>
    <w:rsid w:val="15160239"/>
    <w:rsid w:val="15C947BC"/>
    <w:rsid w:val="161C0D90"/>
    <w:rsid w:val="16957462"/>
    <w:rsid w:val="16B30054"/>
    <w:rsid w:val="16DC6219"/>
    <w:rsid w:val="17F33D3A"/>
    <w:rsid w:val="18393F11"/>
    <w:rsid w:val="184C6FDF"/>
    <w:rsid w:val="18BA03EC"/>
    <w:rsid w:val="18EB2C9C"/>
    <w:rsid w:val="19513DE9"/>
    <w:rsid w:val="19555CF5"/>
    <w:rsid w:val="19D43730"/>
    <w:rsid w:val="1A420699"/>
    <w:rsid w:val="1A562397"/>
    <w:rsid w:val="1AA255DC"/>
    <w:rsid w:val="1AC527E9"/>
    <w:rsid w:val="1B245FF1"/>
    <w:rsid w:val="1B3F2E2B"/>
    <w:rsid w:val="1B446693"/>
    <w:rsid w:val="1BF9747E"/>
    <w:rsid w:val="1C5F6668"/>
    <w:rsid w:val="1D750D86"/>
    <w:rsid w:val="1D952961"/>
    <w:rsid w:val="1E537CFD"/>
    <w:rsid w:val="1E5B44E7"/>
    <w:rsid w:val="1ED85A70"/>
    <w:rsid w:val="1EDF6D30"/>
    <w:rsid w:val="1F6C10DE"/>
    <w:rsid w:val="201A79C2"/>
    <w:rsid w:val="20D14525"/>
    <w:rsid w:val="20EC5803"/>
    <w:rsid w:val="238E0DF3"/>
    <w:rsid w:val="23902475"/>
    <w:rsid w:val="248F5924"/>
    <w:rsid w:val="24D942F0"/>
    <w:rsid w:val="25AE7098"/>
    <w:rsid w:val="25B35AF5"/>
    <w:rsid w:val="26214108"/>
    <w:rsid w:val="26B66697"/>
    <w:rsid w:val="26BE1474"/>
    <w:rsid w:val="26EA4592"/>
    <w:rsid w:val="26EB3E67"/>
    <w:rsid w:val="271E159B"/>
    <w:rsid w:val="277F117F"/>
    <w:rsid w:val="278C389C"/>
    <w:rsid w:val="27941F58"/>
    <w:rsid w:val="279A4F13"/>
    <w:rsid w:val="28083CAF"/>
    <w:rsid w:val="28150C75"/>
    <w:rsid w:val="28433F5A"/>
    <w:rsid w:val="285C14C0"/>
    <w:rsid w:val="28AF5856"/>
    <w:rsid w:val="29B33362"/>
    <w:rsid w:val="29B82726"/>
    <w:rsid w:val="2A2B355E"/>
    <w:rsid w:val="2A557F75"/>
    <w:rsid w:val="2C1856FE"/>
    <w:rsid w:val="2C6375EE"/>
    <w:rsid w:val="2C956D4E"/>
    <w:rsid w:val="2DAD00C8"/>
    <w:rsid w:val="2FFD5337"/>
    <w:rsid w:val="303B19BB"/>
    <w:rsid w:val="305241D5"/>
    <w:rsid w:val="3150593A"/>
    <w:rsid w:val="315D3273"/>
    <w:rsid w:val="316D3DF6"/>
    <w:rsid w:val="317653A0"/>
    <w:rsid w:val="324266D0"/>
    <w:rsid w:val="32A01FA9"/>
    <w:rsid w:val="32B9008D"/>
    <w:rsid w:val="32E75E2A"/>
    <w:rsid w:val="32EE0F67"/>
    <w:rsid w:val="3381002D"/>
    <w:rsid w:val="33F20F2A"/>
    <w:rsid w:val="34012270"/>
    <w:rsid w:val="34E15227"/>
    <w:rsid w:val="351729F7"/>
    <w:rsid w:val="353F4A0E"/>
    <w:rsid w:val="35BF0856"/>
    <w:rsid w:val="37C4673A"/>
    <w:rsid w:val="38A309BF"/>
    <w:rsid w:val="39202096"/>
    <w:rsid w:val="392526A5"/>
    <w:rsid w:val="39333B77"/>
    <w:rsid w:val="39475874"/>
    <w:rsid w:val="3A370C19"/>
    <w:rsid w:val="3A8A6FD0"/>
    <w:rsid w:val="3ACE04B8"/>
    <w:rsid w:val="3ADE5D64"/>
    <w:rsid w:val="3B0A0908"/>
    <w:rsid w:val="3B0C0B24"/>
    <w:rsid w:val="3B4E4C98"/>
    <w:rsid w:val="3BA819F4"/>
    <w:rsid w:val="3BC96A15"/>
    <w:rsid w:val="3C0637C5"/>
    <w:rsid w:val="3D1201AC"/>
    <w:rsid w:val="3D891FB8"/>
    <w:rsid w:val="3D8B21D4"/>
    <w:rsid w:val="3EB47508"/>
    <w:rsid w:val="3FCB2D5B"/>
    <w:rsid w:val="3FDF6807"/>
    <w:rsid w:val="407F58F4"/>
    <w:rsid w:val="40F2256A"/>
    <w:rsid w:val="421D3616"/>
    <w:rsid w:val="42F06635"/>
    <w:rsid w:val="43064E70"/>
    <w:rsid w:val="43EA39CC"/>
    <w:rsid w:val="43EF0FE2"/>
    <w:rsid w:val="43F82FDF"/>
    <w:rsid w:val="43FB7987"/>
    <w:rsid w:val="44136A7F"/>
    <w:rsid w:val="450043C2"/>
    <w:rsid w:val="45774DEB"/>
    <w:rsid w:val="45C523C0"/>
    <w:rsid w:val="464C44CA"/>
    <w:rsid w:val="46C36F5E"/>
    <w:rsid w:val="47D236DF"/>
    <w:rsid w:val="47E04ECA"/>
    <w:rsid w:val="48A73C3A"/>
    <w:rsid w:val="49975A5C"/>
    <w:rsid w:val="4A1C41B3"/>
    <w:rsid w:val="4A251E1B"/>
    <w:rsid w:val="4A2C2648"/>
    <w:rsid w:val="4A4245CD"/>
    <w:rsid w:val="4A4F6337"/>
    <w:rsid w:val="4AC76815"/>
    <w:rsid w:val="4AE01685"/>
    <w:rsid w:val="4B4D6D1A"/>
    <w:rsid w:val="4BE60F1D"/>
    <w:rsid w:val="4C013661"/>
    <w:rsid w:val="4C8311CB"/>
    <w:rsid w:val="4D4203D5"/>
    <w:rsid w:val="4D6E221F"/>
    <w:rsid w:val="4DA16EA9"/>
    <w:rsid w:val="4DE41F8A"/>
    <w:rsid w:val="4E916F1E"/>
    <w:rsid w:val="4ECF5314"/>
    <w:rsid w:val="4EE01C53"/>
    <w:rsid w:val="4EE31744"/>
    <w:rsid w:val="4F5C39D0"/>
    <w:rsid w:val="4F6A776F"/>
    <w:rsid w:val="4F710AFD"/>
    <w:rsid w:val="4F8A5A9D"/>
    <w:rsid w:val="505F14C7"/>
    <w:rsid w:val="5099655E"/>
    <w:rsid w:val="518252DB"/>
    <w:rsid w:val="51EB2889"/>
    <w:rsid w:val="522105B9"/>
    <w:rsid w:val="530103EA"/>
    <w:rsid w:val="53D33B35"/>
    <w:rsid w:val="545C7FCE"/>
    <w:rsid w:val="55292E8A"/>
    <w:rsid w:val="569267A7"/>
    <w:rsid w:val="56A619D5"/>
    <w:rsid w:val="576F1263"/>
    <w:rsid w:val="578810DA"/>
    <w:rsid w:val="580E5A83"/>
    <w:rsid w:val="58122B18"/>
    <w:rsid w:val="59121BED"/>
    <w:rsid w:val="59985FA3"/>
    <w:rsid w:val="59B368E2"/>
    <w:rsid w:val="5A2C0443"/>
    <w:rsid w:val="5A2F0E8B"/>
    <w:rsid w:val="5A5338E2"/>
    <w:rsid w:val="5A70032F"/>
    <w:rsid w:val="5BC44840"/>
    <w:rsid w:val="5BCC799D"/>
    <w:rsid w:val="5C14118E"/>
    <w:rsid w:val="5C311D40"/>
    <w:rsid w:val="5C8B76A2"/>
    <w:rsid w:val="5CAE15E3"/>
    <w:rsid w:val="5D465377"/>
    <w:rsid w:val="5D6E4482"/>
    <w:rsid w:val="5DCB699B"/>
    <w:rsid w:val="5EEC63F2"/>
    <w:rsid w:val="5F765739"/>
    <w:rsid w:val="601B2AEB"/>
    <w:rsid w:val="60663E56"/>
    <w:rsid w:val="60F2109D"/>
    <w:rsid w:val="616E49ED"/>
    <w:rsid w:val="62044554"/>
    <w:rsid w:val="625C563D"/>
    <w:rsid w:val="62FF66F4"/>
    <w:rsid w:val="635A354E"/>
    <w:rsid w:val="63A430D3"/>
    <w:rsid w:val="641E0DFC"/>
    <w:rsid w:val="64211EE5"/>
    <w:rsid w:val="64990483"/>
    <w:rsid w:val="64B41760"/>
    <w:rsid w:val="64DE1478"/>
    <w:rsid w:val="65F16A93"/>
    <w:rsid w:val="662A6B92"/>
    <w:rsid w:val="6697565C"/>
    <w:rsid w:val="66CC0FE3"/>
    <w:rsid w:val="67A4786A"/>
    <w:rsid w:val="67D16185"/>
    <w:rsid w:val="68555E3C"/>
    <w:rsid w:val="698D5D2B"/>
    <w:rsid w:val="69A27DD9"/>
    <w:rsid w:val="6A0C33B6"/>
    <w:rsid w:val="6A6D03E7"/>
    <w:rsid w:val="6ABC4ECB"/>
    <w:rsid w:val="6AD46799"/>
    <w:rsid w:val="6ADB7A47"/>
    <w:rsid w:val="6AEF52A0"/>
    <w:rsid w:val="6B142F59"/>
    <w:rsid w:val="6B2E730F"/>
    <w:rsid w:val="6B910106"/>
    <w:rsid w:val="6BE446D9"/>
    <w:rsid w:val="6BE62696"/>
    <w:rsid w:val="6C08062F"/>
    <w:rsid w:val="6C5D448C"/>
    <w:rsid w:val="6D0A63C2"/>
    <w:rsid w:val="6D2A25C0"/>
    <w:rsid w:val="6DBC76BD"/>
    <w:rsid w:val="6E3971A4"/>
    <w:rsid w:val="6E5378F4"/>
    <w:rsid w:val="6FDA2E93"/>
    <w:rsid w:val="6FE27182"/>
    <w:rsid w:val="707149AA"/>
    <w:rsid w:val="70B56644"/>
    <w:rsid w:val="714479C8"/>
    <w:rsid w:val="72037883"/>
    <w:rsid w:val="72542898"/>
    <w:rsid w:val="72B15531"/>
    <w:rsid w:val="72DC7A37"/>
    <w:rsid w:val="72DE4054"/>
    <w:rsid w:val="72FC77E5"/>
    <w:rsid w:val="73221F8B"/>
    <w:rsid w:val="73840550"/>
    <w:rsid w:val="741D3CC2"/>
    <w:rsid w:val="74507348"/>
    <w:rsid w:val="748C2BD9"/>
    <w:rsid w:val="74A215D5"/>
    <w:rsid w:val="74C50E20"/>
    <w:rsid w:val="769211D6"/>
    <w:rsid w:val="776B2153"/>
    <w:rsid w:val="779E44BF"/>
    <w:rsid w:val="77A52A33"/>
    <w:rsid w:val="788A2AAC"/>
    <w:rsid w:val="78A70F68"/>
    <w:rsid w:val="79D74B7F"/>
    <w:rsid w:val="7A2D1941"/>
    <w:rsid w:val="7A590988"/>
    <w:rsid w:val="7AFB1A3F"/>
    <w:rsid w:val="7BF00E78"/>
    <w:rsid w:val="7C3945CD"/>
    <w:rsid w:val="7C43369E"/>
    <w:rsid w:val="7CB73744"/>
    <w:rsid w:val="7CD82038"/>
    <w:rsid w:val="7D291B42"/>
    <w:rsid w:val="7DDBCC09"/>
    <w:rsid w:val="7E6F7172"/>
    <w:rsid w:val="7E7E7CFE"/>
    <w:rsid w:val="7EE03426"/>
    <w:rsid w:val="7F7A5E20"/>
    <w:rsid w:val="7F9A1827"/>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99"/>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Char1"/>
    <w:link w:val="10"/>
    <w:semiHidden/>
    <w:qFormat/>
    <w:uiPriority w:val="0"/>
    <w:rPr>
      <w:sz w:val="24"/>
      <w:shd w:val="clear" w:color="auto" w:fill="000080"/>
    </w:rPr>
  </w:style>
  <w:style w:type="character" w:customStyle="1" w:styleId="42">
    <w:name w:val="批注文字 Char1"/>
    <w:link w:val="11"/>
    <w:qFormat/>
    <w:uiPriority w:val="0"/>
    <w:rPr>
      <w:sz w:val="24"/>
    </w:rPr>
  </w:style>
  <w:style w:type="character" w:customStyle="1" w:styleId="43">
    <w:name w:val="页脚 Char2"/>
    <w:link w:val="21"/>
    <w:qFormat/>
    <w:uiPriority w:val="99"/>
    <w:rPr>
      <w:sz w:val="18"/>
    </w:rPr>
  </w:style>
  <w:style w:type="character" w:customStyle="1" w:styleId="44">
    <w:name w:val="页眉 Char2"/>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Char"/>
    <w:link w:val="2"/>
    <w:qFormat/>
    <w:uiPriority w:val="0"/>
    <w:rPr>
      <w:rFonts w:ascii="Arial" w:hAnsi="Arial" w:eastAsia="仿宋_GB2312" w:cs="Arial"/>
      <w:b/>
      <w:sz w:val="28"/>
    </w:rPr>
  </w:style>
  <w:style w:type="character" w:customStyle="1" w:styleId="69">
    <w:name w:val="标题 2 Char"/>
    <w:link w:val="3"/>
    <w:qFormat/>
    <w:uiPriority w:val="0"/>
    <w:rPr>
      <w:rFonts w:ascii="Arial" w:hAnsi="Arial" w:eastAsia="仿宋_GB2312" w:cs="Arial"/>
      <w:b/>
      <w:bCs/>
      <w:sz w:val="28"/>
    </w:rPr>
  </w:style>
  <w:style w:type="character" w:customStyle="1" w:styleId="70">
    <w:name w:val="标题 3 Char"/>
    <w:link w:val="4"/>
    <w:qFormat/>
    <w:uiPriority w:val="0"/>
    <w:rPr>
      <w:rFonts w:ascii="仿宋_GB2312" w:hAnsi="Arial" w:eastAsia="仿宋_GB2312" w:cs="Arial"/>
      <w:sz w:val="28"/>
    </w:rPr>
  </w:style>
  <w:style w:type="character" w:customStyle="1" w:styleId="71">
    <w:name w:val="标题 4 Char"/>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Char"/>
    <w:link w:val="12"/>
    <w:qFormat/>
    <w:uiPriority w:val="0"/>
    <w:rPr>
      <w:rFonts w:eastAsia="隶书"/>
      <w:sz w:val="52"/>
    </w:rPr>
  </w:style>
  <w:style w:type="character" w:customStyle="1" w:styleId="75">
    <w:name w:val="正文文本缩进 Char"/>
    <w:link w:val="13"/>
    <w:qFormat/>
    <w:uiPriority w:val="0"/>
    <w:rPr>
      <w:rFonts w:ascii="楷体_GB2312" w:eastAsia="楷体_GB2312"/>
      <w:kern w:val="2"/>
      <w:sz w:val="28"/>
    </w:rPr>
  </w:style>
  <w:style w:type="character" w:customStyle="1" w:styleId="76">
    <w:name w:val="纯文本 Char"/>
    <w:link w:val="16"/>
    <w:qFormat/>
    <w:uiPriority w:val="0"/>
    <w:rPr>
      <w:rFonts w:ascii="宋体" w:hAnsi="Courier New"/>
      <w:kern w:val="2"/>
      <w:sz w:val="21"/>
    </w:rPr>
  </w:style>
  <w:style w:type="character" w:customStyle="1" w:styleId="77">
    <w:name w:val="日期 Char"/>
    <w:link w:val="18"/>
    <w:qFormat/>
    <w:uiPriority w:val="0"/>
    <w:rPr>
      <w:rFonts w:ascii="楷体_GB2312" w:eastAsia="楷体_GB2312"/>
      <w:b/>
      <w:sz w:val="28"/>
    </w:rPr>
  </w:style>
  <w:style w:type="character" w:customStyle="1" w:styleId="78">
    <w:name w:val="正文文本缩进 2 Char"/>
    <w:link w:val="19"/>
    <w:qFormat/>
    <w:uiPriority w:val="0"/>
    <w:rPr>
      <w:rFonts w:ascii="楷体_GB2312" w:eastAsia="楷体_GB2312"/>
      <w:kern w:val="2"/>
      <w:sz w:val="28"/>
    </w:rPr>
  </w:style>
  <w:style w:type="character" w:customStyle="1" w:styleId="79">
    <w:name w:val="批注框文本 Char"/>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Char"/>
    <w:link w:val="26"/>
    <w:qFormat/>
    <w:uiPriority w:val="0"/>
    <w:rPr>
      <w:rFonts w:ascii="楷体_GB2312" w:eastAsia="楷体_GB2312"/>
      <w:kern w:val="2"/>
      <w:sz w:val="28"/>
    </w:rPr>
  </w:style>
  <w:style w:type="character" w:customStyle="1" w:styleId="83">
    <w:name w:val="正文文本 2 Char"/>
    <w:link w:val="29"/>
    <w:qFormat/>
    <w:uiPriority w:val="0"/>
    <w:rPr>
      <w:rFonts w:eastAsia="仿宋_GB2312"/>
      <w:sz w:val="28"/>
    </w:rPr>
  </w:style>
  <w:style w:type="character" w:customStyle="1" w:styleId="84">
    <w:name w:val="批注主题 Char"/>
    <w:link w:val="31"/>
    <w:semiHidden/>
    <w:qFormat/>
    <w:uiPriority w:val="0"/>
    <w:rPr>
      <w:b/>
      <w:bCs/>
      <w:sz w:val="24"/>
    </w:rPr>
  </w:style>
  <w:style w:type="character" w:customStyle="1" w:styleId="85">
    <w:name w:val="正文首行缩进 Char"/>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1.png"/><Relationship Id="rId5" Type="http://schemas.openxmlformats.org/officeDocument/2006/relationships/footnotes" Target="footnotes.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chart" Target="charts/chart3.xml"/><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microsoft.com/office/2011/relationships/commentsExtended" Target="commentsExtended.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chart" Target="charts/chart2.xml"/><Relationship Id="rId3" Type="http://schemas.openxmlformats.org/officeDocument/2006/relationships/comments" Target="comments.xml"/><Relationship Id="rId29" Type="http://schemas.openxmlformats.org/officeDocument/2006/relationships/chart" Target="charts/chart1.xml"/><Relationship Id="rId28" Type="http://schemas.openxmlformats.org/officeDocument/2006/relationships/image" Target="media/image2.png"/><Relationship Id="rId27" Type="http://schemas.openxmlformats.org/officeDocument/2006/relationships/theme" Target="theme/theme1.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6.xml"/><Relationship Id="rId22" Type="http://schemas.openxmlformats.org/officeDocument/2006/relationships/footer" Target="footer5.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4.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4&#23395;&#24230;\&#20303;&#23429;\&#20303;&#23429;&#22270;&#34920;2025Q4.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227392128"/>
        <c:axId val="252919808"/>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252949248"/>
        <c:axId val="252956672"/>
      </c:lineChart>
      <c:catAx>
        <c:axId val="22739212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52919808"/>
        <c:crosses val="autoZero"/>
        <c:auto val="1"/>
        <c:lblAlgn val="ctr"/>
        <c:lblOffset val="100"/>
        <c:noMultiLvlLbl val="0"/>
      </c:catAx>
      <c:valAx>
        <c:axId val="25291980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27392128"/>
        <c:crosses val="autoZero"/>
        <c:crossBetween val="between"/>
        <c:majorUnit val="500"/>
      </c:valAx>
      <c:catAx>
        <c:axId val="25294924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52956672"/>
        <c:crosses val="autoZero"/>
        <c:auto val="1"/>
        <c:lblAlgn val="ctr"/>
        <c:lblOffset val="100"/>
        <c:noMultiLvlLbl val="0"/>
      </c:catAx>
      <c:valAx>
        <c:axId val="252956672"/>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5294924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b06da5f-8847-45ab-9123-3b9ca1ef496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0.0049019598382817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ser>
        <c:ser>
          <c:idx val="1"/>
          <c:order val="1"/>
          <c:tx>
            <c:strRef>
              <c:f>推出成交!$C$2</c:f>
              <c:strCache>
                <c:ptCount val="1"/>
                <c:pt idx="0">
                  <c:v>成交规划建面（万㎡）</c:v>
                </c:pt>
              </c:strCache>
            </c:strRef>
          </c:tx>
          <c:invertIfNegative val="0"/>
          <c:dLbls>
            <c:dLbl>
              <c:idx val="0"/>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ser>
        <c:dLbls>
          <c:showLegendKey val="0"/>
          <c:showVal val="0"/>
          <c:showCatName val="0"/>
          <c:showSerName val="0"/>
          <c:showPercent val="0"/>
          <c:showBubbleSize val="0"/>
        </c:dLbls>
        <c:gapWidth val="150"/>
        <c:axId val="35470336"/>
        <c:axId val="35476224"/>
      </c:barChart>
      <c:catAx>
        <c:axId val="354703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476224"/>
        <c:crosses val="autoZero"/>
        <c:auto val="1"/>
        <c:lblAlgn val="ctr"/>
        <c:lblOffset val="100"/>
        <c:noMultiLvlLbl val="0"/>
      </c:catAx>
      <c:valAx>
        <c:axId val="35476224"/>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4703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029c0d5-3c1f-42e1-9f9f-a9e8593a8124}"/>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endParaRPr lang="zh-CN" altLang="en-US" sz="1200" b="1">
              <a:latin typeface="汉仪中黑 197" panose="00020600040101010101" pitchFamily="18" charset="-122"/>
              <a:ea typeface="汉仪中黑 197" panose="00020600040101010101" pitchFamily="18" charset="-122"/>
            </a:endParaRPr>
          </a:p>
        </c:rich>
      </c:tx>
      <c:layout/>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cmpd="sng" algn="ctr">
              <a:solidFill>
                <a:schemeClr val="accent1"/>
              </a:solidFill>
              <a:prstDash val="solid"/>
              <a:round/>
            </a:ln>
            <a:effectLst/>
          </c:spPr>
          <c:marker>
            <c:symbol val="none"/>
          </c:marker>
          <c:dLbls>
            <c:dLbl>
              <c:idx val="6"/>
              <c:layout>
                <c:manualLayout>
                  <c:x val="-0.0333333333333334"/>
                  <c:y val="0.04629629629629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ser>
        <c:dLbls>
          <c:showLegendKey val="0"/>
          <c:showVal val="0"/>
          <c:showCatName val="0"/>
          <c:showSerName val="0"/>
          <c:showPercent val="0"/>
          <c:showBubbleSize val="0"/>
        </c:dLbls>
        <c:marker val="0"/>
        <c:smooth val="0"/>
        <c:axId val="35485952"/>
        <c:axId val="35495936"/>
      </c:lineChart>
      <c:catAx>
        <c:axId val="3548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495936"/>
        <c:crosses val="autoZero"/>
        <c:auto val="1"/>
        <c:lblAlgn val="ctr"/>
        <c:lblOffset val="100"/>
        <c:noMultiLvlLbl val="0"/>
      </c:catAx>
      <c:valAx>
        <c:axId val="35495936"/>
        <c:scaling>
          <c:orientation val="minMax"/>
          <c:min val="0.6"/>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485952"/>
        <c:crosses val="autoZero"/>
        <c:crossBetween val="between"/>
      </c:valAx>
      <c:spPr>
        <a:noFill/>
        <a:ln>
          <a:noFill/>
        </a:ln>
        <a:effectLst/>
      </c:spPr>
    </c:plotArea>
    <c:plotVisOnly val="1"/>
    <c:dispBlanksAs val="gap"/>
    <c:showDLblsOverMax val="0"/>
    <c:extLst>
      <c:ext uri="{0b15fc19-7d7d-44ad-8c2d-2c3a37ce22c3}">
        <chartProps xmlns="https://web.wps.cn/et/2018/main" chartId="{5b27c19f-1dc9-4629-88b0-53ff36fbf38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B06BE7-6ED6-467E-9C64-4CC4E34FBD6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79</Pages>
  <Words>5426</Words>
  <Characters>6383</Characters>
  <Lines>430</Lines>
  <Paragraphs>121</Paragraphs>
  <TotalTime>1</TotalTime>
  <ScaleCrop>false</ScaleCrop>
  <LinksUpToDate>false</LinksUpToDate>
  <CharactersWithSpaces>6451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2026-04-16T02:39:00Z</dcterms:created>
  <dc:creator>djg</dc:creator>
  <cp:lastModifiedBy>诗霖</cp:lastModifiedBy>
  <cp:lastPrinted>2024-05-24T07:20:00Z</cp:lastPrinted>
  <dcterms:modified xsi:type="dcterms:W3CDTF">2026-04-16T07:43:02Z</dcterms:modified>
  <dc:title>电 话：82253558  传真：82253565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CD62ACF2C294414E9E11D2527362598B_13</vt:lpwstr>
  </property>
  <property fmtid="{D5CDD505-2E9C-101B-9397-08002B2CF9AE}" pid="4" name="KSOTemplateDocerSaveRecord">
    <vt:lpwstr>eyJoZGlkIjoiMDdlZmQwYWM0MmRiNGMxZDA3YWY5YzJiY2QxOTlhYTMiLCJ1c2VySWQiOiIyMDkxMDc5NzUifQ==</vt:lpwstr>
  </property>
</Properties>
</file>