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Override PartName="/word/theme/themeOverride4.xml" ContentType="application/vnd.openxmlformats-officedocument.themeOverride+xml"/>
  <Override PartName="/word/theme/themeOverride5.xml" ContentType="application/vnd.openxmlformats-officedocument.themeOverride+xml"/>
  <Override PartName="/word/theme/themeOverride6.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5000" w:type="pct"/>
        <w:tblCellSpacing w:w="15" w:type="dxa"/>
        <w:tblInd w:w="0" w:type="dxa"/>
        <w:tblLayout w:type="autofit"/>
        <w:tblCellMar>
          <w:top w:w="15" w:type="dxa"/>
          <w:left w:w="15" w:type="dxa"/>
          <w:bottom w:w="15" w:type="dxa"/>
          <w:right w:w="15" w:type="dxa"/>
        </w:tblCellMar>
      </w:tblPr>
      <w:tblGrid>
        <w:gridCol w:w="5349"/>
        <w:gridCol w:w="3405"/>
      </w:tblGrid>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备案号：</w:t>
            </w:r>
          </w:p>
        </w:tc>
        <w:tc>
          <w:tcPr>
            <w:tcW w:w="1939" w:type="pct"/>
            <w:vMerge w:val="restart"/>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查询码：</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r>
        <w:tblPrEx>
          <w:tblCellMar>
            <w:top w:w="15" w:type="dxa"/>
            <w:left w:w="15" w:type="dxa"/>
            <w:bottom w:w="15" w:type="dxa"/>
            <w:right w:w="15" w:type="dxa"/>
          </w:tblCellMar>
        </w:tblPrEx>
        <w:trPr>
          <w:tblCellSpacing w:w="15" w:type="dxa"/>
        </w:trPr>
        <w:tc>
          <w:tcPr>
            <w:tcW w:w="0" w:type="auto"/>
            <w:vAlign w:val="center"/>
          </w:tcPr>
          <w:p>
            <w:pPr>
              <w:widowControl/>
              <w:spacing w:line="300" w:lineRule="auto"/>
              <w:rPr>
                <w:rFonts w:ascii="Arial" w:hAnsi="Arial" w:eastAsia="楷体" w:cs="Arial"/>
                <w:sz w:val="32"/>
                <w:szCs w:val="32"/>
                <w:highlight w:val="none"/>
              </w:rPr>
            </w:pPr>
            <w:r>
              <w:rPr>
                <w:rFonts w:ascii="Arial" w:hAnsi="Arial" w:eastAsia="楷体" w:cs="Arial"/>
                <w:sz w:val="32"/>
                <w:szCs w:val="32"/>
                <w:highlight w:val="none"/>
              </w:rPr>
              <w:t xml:space="preserve"> </w:t>
            </w:r>
          </w:p>
        </w:tc>
        <w:tc>
          <w:tcPr>
            <w:tcW w:w="1939" w:type="pct"/>
            <w:vMerge w:val="continue"/>
          </w:tcPr>
          <w:p>
            <w:pPr>
              <w:spacing w:line="300" w:lineRule="auto"/>
              <w:jc w:val="right"/>
              <w:rPr>
                <w:rFonts w:ascii="Arial" w:hAnsi="Arial" w:cs="Arial"/>
                <w:highlight w:val="none"/>
              </w:rPr>
            </w:pPr>
          </w:p>
        </w:tc>
      </w:tr>
    </w:tbl>
    <w:p>
      <w:pPr>
        <w:spacing w:line="300" w:lineRule="auto"/>
        <w:jc w:val="center"/>
        <w:rPr>
          <w:rFonts w:ascii="Arial" w:hAnsi="Arial" w:eastAsia="楷体_GB2312" w:cs="Arial"/>
          <w:b/>
          <w:sz w:val="32"/>
          <w:highlight w:val="none"/>
        </w:rPr>
      </w:pPr>
    </w:p>
    <w:p>
      <w:pPr>
        <w:spacing w:line="300" w:lineRule="auto"/>
        <w:jc w:val="center"/>
        <w:rPr>
          <w:rFonts w:ascii="Arial" w:hAnsi="Arial" w:eastAsia="楷体_GB2312" w:cs="Arial"/>
          <w:b/>
          <w:sz w:val="32"/>
          <w:highlight w:val="none"/>
        </w:rPr>
      </w:pPr>
    </w:p>
    <w:p>
      <w:pPr>
        <w:spacing w:line="300" w:lineRule="auto"/>
        <w:jc w:val="center"/>
        <w:rPr>
          <w:rFonts w:ascii="Arial" w:hAnsi="Arial" w:cs="Arial"/>
          <w:b/>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p>
    <w:p>
      <w:pPr>
        <w:spacing w:line="300" w:lineRule="auto"/>
        <w:jc w:val="center"/>
        <w:rPr>
          <w:rFonts w:ascii="Arial" w:hAnsi="Arial" w:eastAsia="昆仑仿宋" w:cs="Arial"/>
          <w:b/>
          <w:sz w:val="44"/>
          <w:highlight w:val="none"/>
        </w:rPr>
      </w:pPr>
    </w:p>
    <w:p>
      <w:pPr>
        <w:spacing w:line="300" w:lineRule="auto"/>
        <w:jc w:val="center"/>
        <w:rPr>
          <w:rFonts w:ascii="Arial" w:hAnsi="Arial" w:eastAsia="楷体_GB2312" w:cs="Arial"/>
          <w:b/>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8号楼601-605号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jc w:val="both"/>
        <w:rPr>
          <w:rFonts w:ascii="Arial" w:hAnsi="Arial" w:eastAsia="楷体_GB2312" w:cs="Arial"/>
          <w:b/>
          <w:sz w:val="32"/>
          <w:highlight w:val="none"/>
        </w:rPr>
      </w:pPr>
      <w:r>
        <w:rPr>
          <w:rFonts w:ascii="Arial" w:hAnsi="Arial" w:eastAsia="楷体_GB2312" w:cs="Arial"/>
          <w:b/>
          <w:sz w:val="32"/>
          <w:highlight w:val="none"/>
        </w:rPr>
        <w:t>受托估价单位：北京康正宏基房地产评估有限公司</w:t>
      </w:r>
    </w:p>
    <w:p>
      <w:pPr>
        <w:spacing w:line="300" w:lineRule="auto"/>
        <w:jc w:val="both"/>
        <w:rPr>
          <w:rFonts w:ascii="Arial" w:hAnsi="Arial" w:eastAsia="楷体_GB2312" w:cs="Arial"/>
          <w:b/>
          <w:sz w:val="32"/>
          <w:highlight w:val="none"/>
        </w:rPr>
      </w:pPr>
    </w:p>
    <w:p>
      <w:pPr>
        <w:spacing w:line="300" w:lineRule="auto"/>
        <w:ind w:left="3213" w:hanging="3213" w:hangingChars="1000"/>
        <w:jc w:val="both"/>
        <w:rPr>
          <w:rFonts w:hint="eastAsia" w:ascii="Arial" w:hAnsi="Arial" w:eastAsia="楷体_GB2312" w:cs="Arial"/>
          <w:b/>
          <w:sz w:val="32"/>
          <w:highlight w:val="none"/>
          <w:lang w:eastAsia="zh-CN"/>
        </w:rPr>
      </w:pPr>
      <w:r>
        <w:rPr>
          <w:rFonts w:ascii="Arial" w:hAnsi="Arial" w:eastAsia="楷体_GB2312" w:cs="Arial"/>
          <w:b/>
          <w:sz w:val="32"/>
          <w:highlight w:val="none"/>
        </w:rPr>
        <w:t>土地估价报告编号：</w:t>
      </w:r>
      <w:r>
        <w:rPr>
          <w:rFonts w:hint="eastAsia" w:ascii="Arial" w:hAnsi="Arial" w:eastAsia="楷体_GB2312" w:cs="Arial"/>
          <w:b/>
          <w:sz w:val="32"/>
          <w:highlight w:val="none"/>
          <w:lang w:eastAsia="zh-CN"/>
        </w:rPr>
        <w:t>北京康正2023（估）字第0013号</w:t>
      </w:r>
    </w:p>
    <w:p>
      <w:pPr>
        <w:spacing w:line="300" w:lineRule="auto"/>
        <w:ind w:left="2400" w:leftChars="1000" w:firstLine="482" w:firstLineChars="150"/>
        <w:jc w:val="both"/>
        <w:rPr>
          <w:rFonts w:hint="eastAsia" w:ascii="Arial" w:hAnsi="Arial" w:eastAsia="楷体_GB2312" w:cs="Arial"/>
          <w:b/>
          <w:sz w:val="32"/>
          <w:highlight w:val="none"/>
          <w:lang w:eastAsia="zh-CN"/>
        </w:rPr>
      </w:pPr>
      <w:r>
        <w:rPr>
          <w:rFonts w:hint="eastAsia" w:ascii="Arial" w:hAnsi="Arial" w:eastAsia="楷体_GB2312" w:cs="Arial"/>
          <w:b/>
          <w:sz w:val="32"/>
          <w:highlight w:val="none"/>
          <w:lang w:eastAsia="zh-CN"/>
        </w:rPr>
        <w:t>2023-1-0448-F02TDCR6</w:t>
      </w:r>
    </w:p>
    <w:p>
      <w:pPr>
        <w:spacing w:line="300" w:lineRule="auto"/>
        <w:jc w:val="both"/>
        <w:rPr>
          <w:rFonts w:ascii="Arial" w:hAnsi="Arial" w:eastAsia="楷体_GB2312" w:cs="Arial"/>
          <w:b/>
          <w:sz w:val="32"/>
          <w:highlight w:val="none"/>
        </w:rPr>
      </w:pPr>
    </w:p>
    <w:p>
      <w:pPr>
        <w:tabs>
          <w:tab w:val="left" w:pos="6413"/>
        </w:tabs>
        <w:spacing w:line="300" w:lineRule="auto"/>
        <w:jc w:val="both"/>
        <w:rPr>
          <w:rFonts w:ascii="Arial" w:hAnsi="Arial" w:eastAsia="仿宋_GB2312" w:cs="Arial"/>
          <w:sz w:val="44"/>
          <w:highlight w:val="none"/>
        </w:rPr>
      </w:pPr>
      <w:r>
        <w:rPr>
          <w:rFonts w:ascii="Arial" w:hAnsi="Arial" w:eastAsia="楷体_GB2312" w:cs="Arial"/>
          <w:b/>
          <w:sz w:val="32"/>
          <w:highlight w:val="none"/>
        </w:rPr>
        <w:t>提交估价报告日期：</w:t>
      </w:r>
      <w:r>
        <w:rPr>
          <w:rFonts w:hint="eastAsia" w:ascii="Arial" w:hAnsi="Arial" w:eastAsia="楷体_GB2312" w:cs="Arial"/>
          <w:b/>
          <w:sz w:val="32"/>
          <w:highlight w:val="none"/>
        </w:rPr>
        <w:t>2023年6月9日</w:t>
      </w:r>
      <w:r>
        <w:rPr>
          <w:rFonts w:ascii="Arial" w:hAnsi="Arial" w:eastAsia="楷体_GB2312" w:cs="Arial"/>
          <w:b/>
          <w:sz w:val="32"/>
          <w:highlight w:val="none"/>
        </w:rPr>
        <w:tab/>
      </w:r>
      <w:r>
        <w:rPr>
          <w:rFonts w:ascii="Arial" w:hAnsi="Arial" w:eastAsia="仿宋_GB2312" w:cs="Arial"/>
          <w:sz w:val="44"/>
          <w:highlight w:val="none"/>
        </w:rPr>
        <w:tab/>
      </w:r>
    </w:p>
    <w:p>
      <w:pPr>
        <w:widowControl/>
        <w:adjustRightInd/>
        <w:spacing w:line="300" w:lineRule="auto"/>
        <w:textAlignment w:val="auto"/>
        <w:rPr>
          <w:rFonts w:ascii="Arial" w:hAnsi="Arial" w:eastAsia="仿宋_GB2312" w:cs="Arial"/>
          <w:sz w:val="44"/>
          <w:highlight w:val="none"/>
        </w:rPr>
      </w:pPr>
      <w:r>
        <w:rPr>
          <w:rFonts w:ascii="Arial" w:hAnsi="Arial" w:eastAsia="仿宋_GB2312" w:cs="Arial"/>
          <w:sz w:val="44"/>
          <w:highlight w:val="none"/>
        </w:rPr>
        <w:br w:type="page"/>
      </w:r>
    </w:p>
    <w:p>
      <w:pPr>
        <w:tabs>
          <w:tab w:val="left" w:pos="6413"/>
        </w:tabs>
        <w:spacing w:line="300" w:lineRule="auto"/>
        <w:jc w:val="both"/>
        <w:rPr>
          <w:rFonts w:ascii="Arial" w:hAnsi="Arial" w:eastAsia="仿宋_GB2312" w:cs="Arial"/>
          <w:sz w:val="44"/>
          <w:highlight w:val="none"/>
        </w:rPr>
        <w:sectPr>
          <w:footerReference r:id="rId9" w:type="first"/>
          <w:headerReference r:id="rId5" w:type="default"/>
          <w:footerReference r:id="rId7" w:type="default"/>
          <w:headerReference r:id="rId6" w:type="even"/>
          <w:footerReference r:id="rId8" w:type="even"/>
          <w:pgSz w:w="11907" w:h="16840"/>
          <w:pgMar w:top="1440" w:right="1440" w:bottom="1440" w:left="1803" w:header="851" w:footer="1134" w:gutter="0"/>
          <w:pgNumType w:start="0"/>
          <w:cols w:space="720" w:num="1"/>
          <w:titlePg/>
        </w:sectPr>
      </w:pPr>
    </w:p>
    <w:p>
      <w:pPr>
        <w:spacing w:line="300" w:lineRule="auto"/>
        <w:jc w:val="center"/>
        <w:rPr>
          <w:rFonts w:ascii="Arial" w:hAnsi="Arial" w:cs="Arial"/>
          <w:b/>
          <w:sz w:val="32"/>
          <w:szCs w:val="32"/>
          <w:highlight w:val="none"/>
        </w:rPr>
      </w:pPr>
      <w:r>
        <w:rPr>
          <w:rFonts w:ascii="Arial" w:hAnsi="Arial" w:cs="Arial"/>
          <w:b/>
          <w:sz w:val="32"/>
          <w:szCs w:val="32"/>
          <w:highlight w:val="none"/>
        </w:rPr>
        <w:t>目录</w:t>
      </w:r>
    </w:p>
    <w:p>
      <w:pPr>
        <w:pStyle w:val="23"/>
        <w:spacing w:line="300" w:lineRule="auto"/>
        <w:rPr>
          <w:rFonts w:ascii="Arial" w:cs="Arial" w:eastAsiaTheme="minorEastAsia"/>
          <w:kern w:val="2"/>
          <w:sz w:val="21"/>
          <w:szCs w:val="22"/>
          <w:highlight w:val="none"/>
        </w:rPr>
      </w:pPr>
      <w:r>
        <w:rPr>
          <w:rFonts w:ascii="Arial" w:cs="Arial"/>
          <w:highlight w:val="none"/>
        </w:rPr>
        <w:fldChar w:fldCharType="begin"/>
      </w:r>
      <w:r>
        <w:rPr>
          <w:rFonts w:ascii="Arial" w:cs="Arial"/>
          <w:highlight w:val="none"/>
        </w:rPr>
        <w:instrText xml:space="preserve"> TOC \o "1-2" \h \z \u </w:instrText>
      </w:r>
      <w:r>
        <w:rPr>
          <w:rFonts w:ascii="Arial" w:cs="Arial"/>
          <w:highlight w:val="none"/>
        </w:rPr>
        <w:fldChar w:fldCharType="separate"/>
      </w:r>
      <w:r>
        <w:rPr>
          <w:highlight w:val="none"/>
        </w:rPr>
        <w:fldChar w:fldCharType="begin"/>
      </w:r>
      <w:r>
        <w:rPr>
          <w:highlight w:val="none"/>
        </w:rPr>
        <w:instrText xml:space="preserve"> HYPERLINK \l "_Toc69393366" </w:instrText>
      </w:r>
      <w:r>
        <w:rPr>
          <w:highlight w:val="none"/>
        </w:rPr>
        <w:fldChar w:fldCharType="separate"/>
      </w:r>
      <w:r>
        <w:rPr>
          <w:rStyle w:val="40"/>
          <w:rFonts w:ascii="Arial" w:cs="Arial"/>
          <w:b/>
          <w:highlight w:val="none"/>
        </w:rPr>
        <w:t>第一部分  摘  要</w:t>
      </w:r>
      <w:r>
        <w:rPr>
          <w:rFonts w:ascii="Arial" w:cs="Arial"/>
          <w:highlight w:val="none"/>
        </w:rPr>
        <w:tab/>
      </w:r>
      <w:r>
        <w:rPr>
          <w:rFonts w:ascii="Arial" w:cs="Arial"/>
          <w:highlight w:val="none"/>
        </w:rPr>
        <w:fldChar w:fldCharType="begin"/>
      </w:r>
      <w:r>
        <w:rPr>
          <w:rFonts w:ascii="Arial" w:cs="Arial"/>
          <w:highlight w:val="none"/>
        </w:rPr>
        <w:instrText xml:space="preserve"> PAGEREF _Toc69393366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"_Toc69393367" </w:instrText>
      </w:r>
      <w:r>
        <w:rPr>
          <w:highlight w:val="none"/>
        </w:rPr>
        <w:fldChar w:fldCharType="separate"/>
      </w:r>
      <w:r>
        <w:rPr>
          <w:rStyle w:val="40"/>
          <w:rFonts w:ascii="Arial" w:hAnsi="Arial" w:eastAsia="仿宋_GB2312" w:cs="Arial"/>
          <w:b/>
          <w:bCs/>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"_Toc69393368" </w:instrText>
      </w:r>
      <w:r>
        <w:rPr>
          <w:highlight w:val="none"/>
        </w:rPr>
        <w:fldChar w:fldCharType="separate"/>
      </w:r>
      <w:r>
        <w:rPr>
          <w:rStyle w:val="40"/>
          <w:rFonts w:ascii="Arial" w:hAnsi="Arial" w:eastAsia="仿宋_GB2312" w:cs="Arial"/>
          <w:b/>
          <w:bCs/>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"_Toc69393369" </w:instrText>
      </w:r>
      <w:r>
        <w:rPr>
          <w:highlight w:val="none"/>
        </w:rPr>
        <w:fldChar w:fldCharType="separate"/>
      </w:r>
      <w:r>
        <w:rPr>
          <w:rStyle w:val="40"/>
          <w:rFonts w:ascii="Arial" w:hAnsi="Arial" w:eastAsia="仿宋_GB2312" w:cs="Arial"/>
          <w:b/>
          <w:bCs/>
          <w:highlight w:val="none"/>
        </w:rPr>
        <w:t>三、估价目的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_Toc69393369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"_Toc69393370" </w:instrText>
      </w:r>
      <w:r>
        <w:rPr>
          <w:highlight w:val="none"/>
        </w:rPr>
        <w:fldChar w:fldCharType="separate"/>
      </w:r>
      <w:r>
        <w:rPr>
          <w:rStyle w:val="40"/>
          <w:rFonts w:ascii="Arial" w:hAnsi="Arial" w:eastAsia="仿宋_GB2312" w:cs="Arial"/>
          <w:b/>
          <w:bCs/>
          <w:highlight w:val="none"/>
        </w:rPr>
        <w:t>四、估价期日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_Toc69393370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"_Toc69393371" </w:instrText>
      </w:r>
      <w:r>
        <w:rPr>
          <w:highlight w:val="none"/>
        </w:rPr>
        <w:fldChar w:fldCharType="separate"/>
      </w:r>
      <w:r>
        <w:rPr>
          <w:rStyle w:val="40"/>
          <w:rFonts w:ascii="Arial" w:hAnsi="Arial" w:eastAsia="仿宋_GB2312" w:cs="Arial"/>
          <w:b/>
          <w:bCs/>
          <w:highlight w:val="none"/>
        </w:rPr>
        <w:t>五、估价日期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_Toc69393371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"_Toc69393372" </w:instrText>
      </w:r>
      <w:r>
        <w:rPr>
          <w:highlight w:val="none"/>
        </w:rPr>
        <w:fldChar w:fldCharType="separate"/>
      </w:r>
      <w:r>
        <w:rPr>
          <w:rStyle w:val="40"/>
          <w:rFonts w:ascii="Arial" w:hAnsi="Arial" w:eastAsia="仿宋_GB2312" w:cs="Arial"/>
          <w:b/>
          <w:bCs/>
          <w:highlight w:val="none"/>
        </w:rPr>
        <w:t>六、地价定义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_Toc69393372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"_Toc69393373" </w:instrText>
      </w:r>
      <w:r>
        <w:rPr>
          <w:highlight w:val="none"/>
        </w:rPr>
        <w:fldChar w:fldCharType="separate"/>
      </w:r>
      <w:r>
        <w:rPr>
          <w:rStyle w:val="40"/>
          <w:rFonts w:ascii="Arial" w:hAnsi="Arial" w:eastAsia="仿宋_GB2312" w:cs="Arial"/>
          <w:b/>
          <w:highlight w:val="none"/>
        </w:rPr>
        <w:t>七、估价结果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_Toc69393373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"_Toc69393374" </w:instrText>
      </w:r>
      <w:r>
        <w:rPr>
          <w:highlight w:val="none"/>
        </w:rPr>
        <w:fldChar w:fldCharType="separate"/>
      </w:r>
      <w:r>
        <w:rPr>
          <w:rStyle w:val="40"/>
          <w:rFonts w:ascii="Arial" w:hAnsi="Arial" w:cs="Arial"/>
          <w:b/>
          <w:bCs/>
          <w:highlight w:val="none"/>
        </w:rPr>
        <w:t>八</w:t>
      </w:r>
      <w:r>
        <w:rPr>
          <w:rStyle w:val="40"/>
          <w:rFonts w:ascii="Arial" w:hAnsi="Arial" w:eastAsia="仿宋_GB2312" w:cs="Arial"/>
          <w:b/>
          <w:bCs/>
          <w:highlight w:val="none"/>
        </w:rPr>
        <w:t>、评估专业人员签字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_Toc69393374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"_Toc69393375" </w:instrText>
      </w:r>
      <w:r>
        <w:rPr>
          <w:highlight w:val="none"/>
        </w:rPr>
        <w:fldChar w:fldCharType="separate"/>
      </w:r>
      <w:r>
        <w:rPr>
          <w:rStyle w:val="40"/>
          <w:rFonts w:ascii="Arial" w:hAnsi="Arial" w:eastAsia="仿宋_GB2312" w:cs="Arial"/>
          <w:b/>
          <w:highlight w:val="none"/>
        </w:rPr>
        <w:t>九、土地估价机构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_Toc69393375 \h </w:instrText>
      </w:r>
      <w:r>
        <w:rPr>
          <w:rFonts w:ascii="Arial" w:hAnsi="Arial" w:cs="Arial"/>
          <w:highlight w:val="none"/>
        </w:rPr>
        <w:fldChar w:fldCharType="separate"/>
      </w:r>
      <w:r>
        <w:rPr>
          <w:rFonts w:ascii="Arial" w:hAnsi="Arial" w:cs="Arial"/>
          <w:highlight w:val="none"/>
        </w:rPr>
        <w:t>8</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"_Toc69393376" </w:instrText>
      </w:r>
      <w:r>
        <w:rPr>
          <w:highlight w:val="none"/>
        </w:rPr>
        <w:fldChar w:fldCharType="separate"/>
      </w:r>
      <w:r>
        <w:rPr>
          <w:rStyle w:val="40"/>
          <w:rFonts w:ascii="Arial" w:cs="Arial"/>
          <w:b/>
          <w:highlight w:val="none"/>
        </w:rPr>
        <w:t>第二部分  估价对象界定</w:t>
      </w:r>
      <w:r>
        <w:rPr>
          <w:rFonts w:ascii="Arial" w:cs="Arial"/>
          <w:highlight w:val="none"/>
        </w:rPr>
        <w:tab/>
      </w:r>
      <w:r>
        <w:rPr>
          <w:rFonts w:ascii="Arial" w:cs="Arial"/>
          <w:highlight w:val="none"/>
        </w:rPr>
        <w:fldChar w:fldCharType="begin"/>
      </w:r>
      <w:r>
        <w:rPr>
          <w:rFonts w:ascii="Arial" w:cs="Arial"/>
          <w:highlight w:val="none"/>
        </w:rPr>
        <w:instrText xml:space="preserve"> PAGEREF _Toc69393376 \h </w:instrText>
      </w:r>
      <w:r>
        <w:rPr>
          <w:rFonts w:ascii="Arial" w:cs="Arial"/>
          <w:highlight w:val="none"/>
        </w:rPr>
        <w:fldChar w:fldCharType="separate"/>
      </w:r>
      <w:r>
        <w:rPr>
          <w:rFonts w:ascii="Arial" w:cs="Arial"/>
          <w:highlight w:val="none"/>
        </w:rPr>
        <w:t>11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"_Toc69393377" </w:instrText>
      </w:r>
      <w:r>
        <w:rPr>
          <w:highlight w:val="none"/>
        </w:rPr>
        <w:fldChar w:fldCharType="separate"/>
      </w:r>
      <w:r>
        <w:rPr>
          <w:rStyle w:val="40"/>
          <w:rFonts w:ascii="Arial" w:hAnsi="Arial" w:eastAsia="仿宋_GB2312" w:cs="Arial"/>
          <w:b/>
          <w:highlight w:val="none"/>
        </w:rPr>
        <w:t>一、委托估价方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_Toc69393377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"_Toc69393378" </w:instrText>
      </w:r>
      <w:r>
        <w:rPr>
          <w:highlight w:val="none"/>
        </w:rPr>
        <w:fldChar w:fldCharType="separate"/>
      </w:r>
      <w:r>
        <w:rPr>
          <w:rStyle w:val="40"/>
          <w:rFonts w:ascii="Arial" w:hAnsi="Arial" w:eastAsia="仿宋_GB2312" w:cs="Arial"/>
          <w:b/>
          <w:highlight w:val="none"/>
        </w:rPr>
        <w:t>二、估价对象</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_Toc69393378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"_Toc69393379" </w:instrText>
      </w:r>
      <w:r>
        <w:rPr>
          <w:highlight w:val="none"/>
        </w:rPr>
        <w:fldChar w:fldCharType="separate"/>
      </w:r>
      <w:r>
        <w:rPr>
          <w:rStyle w:val="40"/>
          <w:rFonts w:ascii="Arial" w:hAnsi="Arial" w:eastAsia="仿宋_GB2312" w:cs="Arial"/>
          <w:b/>
          <w:highlight w:val="none"/>
        </w:rPr>
        <w:t>三、估价对象概况</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_Toc69393379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"_Toc69393380" </w:instrText>
      </w:r>
      <w:r>
        <w:rPr>
          <w:highlight w:val="none"/>
        </w:rPr>
        <w:fldChar w:fldCharType="separate"/>
      </w:r>
      <w:r>
        <w:rPr>
          <w:rStyle w:val="40"/>
          <w:rFonts w:ascii="Arial" w:hAnsi="Arial" w:eastAsia="仿宋_GB2312" w:cs="Arial"/>
          <w:b/>
          <w:bCs/>
          <w:highlight w:val="none"/>
        </w:rPr>
        <w:t>四、影响地价的因素说明</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_Toc69393380 \h </w:instrText>
      </w:r>
      <w:r>
        <w:rPr>
          <w:rFonts w:ascii="Arial" w:hAnsi="Arial" w:cs="Arial"/>
          <w:highlight w:val="none"/>
        </w:rPr>
        <w:fldChar w:fldCharType="separate"/>
      </w:r>
      <w:r>
        <w:rPr>
          <w:rFonts w:ascii="Arial" w:hAnsi="Arial" w:cs="Arial"/>
          <w:highlight w:val="none"/>
        </w:rPr>
        <w:t>13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"_Toc69393381" </w:instrText>
      </w:r>
      <w:r>
        <w:rPr>
          <w:highlight w:val="none"/>
        </w:rPr>
        <w:fldChar w:fldCharType="separate"/>
      </w:r>
      <w:r>
        <w:rPr>
          <w:rStyle w:val="40"/>
          <w:rFonts w:ascii="Arial" w:cs="Arial"/>
          <w:b/>
          <w:highlight w:val="none"/>
        </w:rPr>
        <w:t>第三部分  土地估价结果及其使用</w:t>
      </w:r>
      <w:r>
        <w:rPr>
          <w:rFonts w:ascii="Arial" w:cs="Arial"/>
          <w:highlight w:val="none"/>
        </w:rPr>
        <w:tab/>
      </w:r>
      <w:r>
        <w:rPr>
          <w:rFonts w:ascii="Arial" w:cs="Arial"/>
          <w:highlight w:val="none"/>
        </w:rPr>
        <w:fldChar w:fldCharType="begin"/>
      </w:r>
      <w:r>
        <w:rPr>
          <w:rFonts w:ascii="Arial" w:cs="Arial"/>
          <w:highlight w:val="none"/>
        </w:rPr>
        <w:instrText xml:space="preserve"> PAGEREF _Toc69393381 \h </w:instrText>
      </w:r>
      <w:r>
        <w:rPr>
          <w:rFonts w:ascii="Arial" w:cs="Arial"/>
          <w:highlight w:val="none"/>
        </w:rPr>
        <w:fldChar w:fldCharType="separate"/>
      </w:r>
      <w:r>
        <w:rPr>
          <w:rFonts w:ascii="Arial" w:cs="Arial"/>
          <w:highlight w:val="none"/>
        </w:rPr>
        <w:t>30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"_Toc69393382" </w:instrText>
      </w:r>
      <w:r>
        <w:rPr>
          <w:highlight w:val="none"/>
        </w:rPr>
        <w:fldChar w:fldCharType="separate"/>
      </w:r>
      <w:r>
        <w:rPr>
          <w:rStyle w:val="40"/>
          <w:rFonts w:ascii="Arial" w:hAnsi="Arial" w:eastAsia="仿宋_GB2312" w:cs="Arial"/>
          <w:b/>
          <w:highlight w:val="none"/>
        </w:rPr>
        <w:t>一、估价依据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_Toc69393382 \h </w:instrText>
      </w:r>
      <w:r>
        <w:rPr>
          <w:rFonts w:ascii="Arial" w:hAnsi="Arial" w:cs="Arial"/>
          <w:highlight w:val="none"/>
        </w:rPr>
        <w:fldChar w:fldCharType="separate"/>
      </w:r>
      <w:r>
        <w:rPr>
          <w:rFonts w:ascii="Arial" w:hAnsi="Arial" w:cs="Arial"/>
          <w:highlight w:val="none"/>
        </w:rPr>
        <w:t>30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"_Toc69393383" </w:instrText>
      </w:r>
      <w:r>
        <w:rPr>
          <w:highlight w:val="none"/>
        </w:rPr>
        <w:fldChar w:fldCharType="separate"/>
      </w:r>
      <w:r>
        <w:rPr>
          <w:rStyle w:val="40"/>
          <w:rFonts w:ascii="Arial" w:hAnsi="Arial" w:eastAsia="仿宋_GB2312" w:cs="Arial"/>
          <w:b/>
          <w:highlight w:val="none"/>
        </w:rPr>
        <w:t>二、土地估价原则</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_Toc69393383 \h </w:instrText>
      </w:r>
      <w:r>
        <w:rPr>
          <w:rFonts w:ascii="Arial" w:hAnsi="Arial" w:cs="Arial"/>
          <w:highlight w:val="none"/>
        </w:rPr>
        <w:fldChar w:fldCharType="separate"/>
      </w:r>
      <w:r>
        <w:rPr>
          <w:rFonts w:ascii="Arial" w:hAnsi="Arial" w:cs="Arial"/>
          <w:highlight w:val="none"/>
        </w:rPr>
        <w:t>34</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"_Toc69393384" </w:instrText>
      </w:r>
      <w:r>
        <w:rPr>
          <w:highlight w:val="none"/>
        </w:rPr>
        <w:fldChar w:fldCharType="separate"/>
      </w:r>
      <w:r>
        <w:rPr>
          <w:rStyle w:val="40"/>
          <w:rFonts w:ascii="Arial" w:hAnsi="Arial" w:eastAsia="仿宋_GB2312" w:cs="Arial"/>
          <w:b/>
          <w:highlight w:val="none"/>
        </w:rPr>
        <w:t>三、估价结果和估价报告的使用</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_Toc69393384 \h </w:instrText>
      </w:r>
      <w:r>
        <w:rPr>
          <w:rFonts w:ascii="Arial" w:hAnsi="Arial" w:cs="Arial"/>
          <w:highlight w:val="none"/>
        </w:rPr>
        <w:fldChar w:fldCharType="separate"/>
      </w:r>
      <w:r>
        <w:rPr>
          <w:rFonts w:ascii="Arial" w:hAnsi="Arial" w:cs="Arial"/>
          <w:highlight w:val="none"/>
        </w:rPr>
        <w:t>43</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"_Toc69393385" </w:instrText>
      </w:r>
      <w:r>
        <w:rPr>
          <w:highlight w:val="none"/>
        </w:rPr>
        <w:fldChar w:fldCharType="separate"/>
      </w:r>
      <w:r>
        <w:rPr>
          <w:rStyle w:val="40"/>
          <w:rFonts w:ascii="Arial" w:cs="Arial"/>
          <w:b/>
          <w:highlight w:val="none"/>
        </w:rPr>
        <w:t>第四部分  附  件</w:t>
      </w:r>
      <w:r>
        <w:rPr>
          <w:rFonts w:ascii="Arial" w:cs="Arial"/>
          <w:highlight w:val="none"/>
        </w:rPr>
        <w:tab/>
      </w:r>
      <w:r>
        <w:rPr>
          <w:rFonts w:ascii="Arial" w:cs="Arial"/>
          <w:highlight w:val="none"/>
        </w:rPr>
        <w:fldChar w:fldCharType="begin"/>
      </w:r>
      <w:r>
        <w:rPr>
          <w:rFonts w:ascii="Arial" w:cs="Arial"/>
          <w:highlight w:val="none"/>
        </w:rPr>
        <w:instrText xml:space="preserve"> PAGEREF _Toc69393385 \h </w:instrText>
      </w:r>
      <w:r>
        <w:rPr>
          <w:rFonts w:ascii="Arial" w:cs="Arial"/>
          <w:highlight w:val="none"/>
        </w:rPr>
        <w:fldChar w:fldCharType="separate"/>
      </w:r>
      <w:r>
        <w:rPr>
          <w:rFonts w:ascii="Arial" w:cs="Arial"/>
          <w:highlight w:val="none"/>
        </w:rPr>
        <w:t>47</w:t>
      </w:r>
      <w:r>
        <w:rPr>
          <w:rFonts w:ascii="Arial" w:cs="Arial"/>
          <w:highlight w:val="none"/>
        </w:rPr>
        <w:fldChar w:fldCharType="end"/>
      </w:r>
      <w:r>
        <w:rPr>
          <w:rFonts w:ascii="Arial" w:cs="Arial"/>
          <w:highlight w:val="none"/>
        </w:rPr>
        <w:fldChar w:fldCharType="end"/>
      </w:r>
    </w:p>
    <w:p>
      <w:pPr>
        <w:spacing w:line="300" w:lineRule="auto"/>
        <w:rPr>
          <w:rFonts w:ascii="Arial" w:hAnsi="Arial" w:eastAsia="仿宋_GB2312" w:cs="Arial"/>
          <w:sz w:val="44"/>
          <w:highlight w:val="none"/>
        </w:rPr>
        <w:sectPr>
          <w:headerReference r:id="rId10" w:type="first"/>
          <w:pgSz w:w="11907" w:h="16840"/>
          <w:pgMar w:top="1843" w:right="1134" w:bottom="1134" w:left="1134" w:header="1134" w:footer="907" w:gutter="340"/>
          <w:pgNumType w:start="0"/>
          <w:cols w:space="720" w:num="1"/>
          <w:titlePg/>
          <w:docGrid w:linePitch="326" w:charSpace="0"/>
        </w:sectPr>
      </w:pPr>
      <w:r>
        <w:rPr>
          <w:rFonts w:ascii="Arial" w:hAnsi="Arial" w:eastAsia="仿宋_GB2312" w:cs="Arial"/>
          <w:sz w:val="28"/>
          <w:szCs w:val="28"/>
          <w:highlight w:val="none"/>
        </w:rPr>
        <w:fldChar w:fldCharType="end"/>
      </w:r>
    </w:p>
    <w:p>
      <w:pPr>
        <w:spacing w:line="300" w:lineRule="auto"/>
        <w:rPr>
          <w:rFonts w:ascii="Arial" w:hAnsi="Arial" w:eastAsia="仿宋_GB2312" w:cs="Arial"/>
          <w:sz w:val="44"/>
          <w:highlight w:val="none"/>
        </w:rPr>
        <w:sectPr>
          <w:headerReference r:id="rId12" w:type="first"/>
          <w:footerReference r:id="rId15" w:type="first"/>
          <w:headerReference r:id="rId11" w:type="default"/>
          <w:footerReference r:id="rId13" w:type="default"/>
          <w:footerReference r:id="rId14" w:type="even"/>
          <w:type w:val="continuous"/>
          <w:pgSz w:w="11907" w:h="16840"/>
          <w:pgMar w:top="1440" w:right="1440" w:bottom="1440" w:left="1803" w:header="851" w:footer="1134" w:gutter="0"/>
          <w:pgNumType w:start="1"/>
          <w:cols w:space="720" w:num="1"/>
          <w:titlePg/>
        </w:sectPr>
      </w:pPr>
    </w:p>
    <w:p>
      <w:pPr>
        <w:spacing w:line="300" w:lineRule="auto"/>
        <w:jc w:val="center"/>
        <w:rPr>
          <w:rFonts w:ascii="Arial" w:hAnsi="Arial" w:cs="Arial"/>
          <w:b/>
          <w:sz w:val="32"/>
          <w:highlight w:val="none"/>
        </w:rPr>
      </w:pPr>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p>
    <w:p>
      <w:pPr>
        <w:spacing w:line="300" w:lineRule="auto"/>
        <w:rPr>
          <w:rFonts w:ascii="Arial" w:hAnsi="Arial" w:eastAsia="楷体_GB2312" w:cs="Arial"/>
          <w:b/>
          <w:sz w:val="32"/>
          <w:highlight w:val="none"/>
        </w:rPr>
      </w:pPr>
    </w:p>
    <w:p>
      <w:pPr>
        <w:tabs>
          <w:tab w:val="center" w:pos="4332"/>
          <w:tab w:val="right" w:pos="8664"/>
        </w:tabs>
        <w:spacing w:line="300" w:lineRule="auto"/>
        <w:ind w:firstLine="3534" w:firstLineChars="1100"/>
        <w:outlineLvl w:val="0"/>
        <w:rPr>
          <w:rFonts w:ascii="Arial" w:hAnsi="Arial" w:cs="Arial"/>
          <w:sz w:val="32"/>
          <w:highlight w:val="none"/>
        </w:rPr>
      </w:pPr>
      <w:bookmarkStart w:id="0" w:name="_Toc425250300"/>
      <w:bookmarkStart w:id="1" w:name="_Toc524335054"/>
      <w:bookmarkStart w:id="2" w:name="_Toc418750878"/>
      <w:bookmarkStart w:id="3" w:name="_Toc416783516"/>
      <w:bookmarkStart w:id="4" w:name="_Toc69393366"/>
      <w:bookmarkStart w:id="5" w:name="_Toc469066300"/>
      <w:bookmarkStart w:id="6" w:name="_Hlk82856123"/>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摘</w:t>
      </w:r>
      <w:r>
        <w:rPr>
          <w:rFonts w:ascii="Arial" w:hAnsi="Arial" w:eastAsia="仿宋_GB2312" w:cs="Arial"/>
          <w:b/>
          <w:sz w:val="32"/>
          <w:highlight w:val="none"/>
        </w:rPr>
        <w:t xml:space="preserve">  </w:t>
      </w:r>
      <w:r>
        <w:rPr>
          <w:rFonts w:ascii="Arial" w:hAnsi="Arial" w:cs="Arial"/>
          <w:b/>
          <w:sz w:val="32"/>
          <w:highlight w:val="none"/>
        </w:rPr>
        <w:t>要</w:t>
      </w:r>
      <w:bookmarkEnd w:id="0"/>
      <w:bookmarkEnd w:id="1"/>
      <w:bookmarkEnd w:id="2"/>
      <w:bookmarkEnd w:id="3"/>
      <w:bookmarkEnd w:id="4"/>
      <w:bookmarkEnd w:id="5"/>
      <w:r>
        <w:rPr>
          <w:rFonts w:ascii="Arial" w:hAnsi="Arial" w:cs="Arial"/>
          <w:b/>
          <w:sz w:val="32"/>
          <w:highlight w:val="none"/>
        </w:rPr>
        <w:tab/>
      </w:r>
    </w:p>
    <w:p>
      <w:pPr>
        <w:spacing w:line="300" w:lineRule="auto"/>
        <w:rPr>
          <w:rFonts w:ascii="Arial" w:hAnsi="Arial" w:eastAsia="仿宋_GB2312" w:cs="Arial"/>
          <w:sz w:val="28"/>
          <w:highlight w:val="none"/>
        </w:rPr>
      </w:pPr>
    </w:p>
    <w:p>
      <w:pPr>
        <w:spacing w:line="300" w:lineRule="auto"/>
        <w:jc w:val="both"/>
        <w:outlineLvl w:val="1"/>
        <w:rPr>
          <w:rFonts w:ascii="Arial" w:hAnsi="Arial" w:eastAsia="仿宋_GB2312" w:cs="Arial"/>
          <w:b/>
          <w:bCs/>
          <w:sz w:val="28"/>
          <w:highlight w:val="none"/>
        </w:rPr>
      </w:pPr>
      <w:bookmarkStart w:id="7" w:name="_Toc469066301"/>
      <w:bookmarkStart w:id="8" w:name="_Toc416783517"/>
      <w:bookmarkStart w:id="9" w:name="_Toc425250301"/>
      <w:bookmarkStart w:id="10" w:name="_Toc515458358"/>
      <w:bookmarkStart w:id="11" w:name="_Toc418750879"/>
      <w:bookmarkStart w:id="12" w:name="_Toc524335055"/>
      <w:bookmarkStart w:id="13" w:name="_Toc69393367"/>
      <w:r>
        <w:rPr>
          <w:rFonts w:ascii="Arial" w:hAnsi="Arial" w:eastAsia="仿宋_GB2312" w:cs="Arial"/>
          <w:b/>
          <w:bCs/>
          <w:sz w:val="28"/>
          <w:highlight w:val="none"/>
        </w:rPr>
        <w:t>一、估价项目名称</w:t>
      </w:r>
      <w:bookmarkEnd w:id="7"/>
      <w:bookmarkEnd w:id="8"/>
      <w:bookmarkEnd w:id="9"/>
      <w:bookmarkEnd w:id="10"/>
      <w:bookmarkEnd w:id="11"/>
      <w:bookmarkEnd w:id="12"/>
      <w:bookmarkEnd w:id="13"/>
    </w:p>
    <w:p>
      <w:pPr>
        <w:spacing w:line="300" w:lineRule="auto"/>
        <w:ind w:firstLine="557" w:firstLineChars="199"/>
        <w:jc w:val="both"/>
        <w:rPr>
          <w:rFonts w:ascii="Arial" w:hAnsi="Arial" w:eastAsia="仿宋_GB2312" w:cs="Arial"/>
          <w:sz w:val="28"/>
          <w:highlight w:val="none"/>
        </w:rPr>
      </w:pPr>
      <w:bookmarkStart w:id="14" w:name="_Hlk79696906"/>
      <w:bookmarkStart w:id="15" w:name="_Hlk79698272"/>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 有建设用地使用权出让价格评估</w:t>
      </w:r>
    </w:p>
    <w:p>
      <w:pPr>
        <w:spacing w:line="300" w:lineRule="auto"/>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6" w:name="_Toc69393368"/>
      <w:r>
        <w:rPr>
          <w:rFonts w:ascii="Arial" w:hAnsi="Arial" w:eastAsia="仿宋_GB2312" w:cs="Arial"/>
          <w:b/>
          <w:bCs/>
          <w:sz w:val="28"/>
          <w:highlight w:val="none"/>
        </w:rPr>
        <w:t>二、委托估价方</w:t>
      </w:r>
      <w:bookmarkEnd w:id="16"/>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ind w:left="1" w:right="-85"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17" w:name="_Toc515261587"/>
      <w:bookmarkStart w:id="18" w:name="_Toc469066303"/>
      <w:bookmarkStart w:id="19" w:name="_Toc524335057"/>
      <w:bookmarkStart w:id="20" w:name="_Toc425250303"/>
      <w:bookmarkStart w:id="21" w:name="_Toc515458360"/>
      <w:bookmarkStart w:id="22" w:name="_Toc69393369"/>
      <w:bookmarkStart w:id="23" w:name="_Toc418750881"/>
      <w:bookmarkStart w:id="24" w:name="_Toc416783519"/>
      <w:r>
        <w:rPr>
          <w:rFonts w:ascii="Arial" w:hAnsi="Arial" w:eastAsia="仿宋_GB2312" w:cs="Arial"/>
          <w:b/>
          <w:bCs/>
          <w:sz w:val="28"/>
          <w:highlight w:val="none"/>
        </w:rPr>
        <w:t>三、估价目的</w:t>
      </w:r>
      <w:bookmarkEnd w:id="17"/>
      <w:bookmarkEnd w:id="18"/>
      <w:bookmarkEnd w:id="19"/>
      <w:bookmarkEnd w:id="20"/>
      <w:bookmarkEnd w:id="21"/>
      <w:bookmarkEnd w:id="22"/>
      <w:bookmarkEnd w:id="23"/>
      <w:bookmarkEnd w:id="24"/>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ind w:firstLine="562" w:firstLineChars="200"/>
        <w:jc w:val="both"/>
        <w:rPr>
          <w:rFonts w:ascii="Arial" w:hAnsi="Arial" w:eastAsia="仿宋_GB2312" w:cs="Arial"/>
          <w:b/>
          <w:bCs/>
          <w:sz w:val="28"/>
          <w:highlight w:val="none"/>
        </w:rPr>
      </w:pPr>
    </w:p>
    <w:p>
      <w:pPr>
        <w:spacing w:line="300" w:lineRule="auto"/>
        <w:jc w:val="both"/>
        <w:outlineLvl w:val="1"/>
        <w:rPr>
          <w:rFonts w:ascii="Arial" w:hAnsi="Arial" w:eastAsia="仿宋_GB2312" w:cs="Arial"/>
          <w:b/>
          <w:bCs/>
          <w:sz w:val="28"/>
          <w:highlight w:val="none"/>
        </w:rPr>
      </w:pPr>
      <w:bookmarkStart w:id="25" w:name="_Toc425250304"/>
      <w:bookmarkStart w:id="26" w:name="_Toc69393370"/>
      <w:bookmarkStart w:id="27" w:name="_Toc515261588"/>
      <w:bookmarkStart w:id="28" w:name="_Toc416783520"/>
      <w:bookmarkStart w:id="29" w:name="_Toc418750882"/>
      <w:bookmarkStart w:id="30" w:name="_Toc515458361"/>
      <w:bookmarkStart w:id="31" w:name="_Toc469066304"/>
      <w:bookmarkStart w:id="32" w:name="_Toc524335058"/>
      <w:r>
        <w:rPr>
          <w:rFonts w:ascii="Arial" w:hAnsi="Arial" w:eastAsia="仿宋_GB2312" w:cs="Arial"/>
          <w:b/>
          <w:bCs/>
          <w:sz w:val="28"/>
          <w:highlight w:val="none"/>
        </w:rPr>
        <w:t>四、估价期日</w:t>
      </w:r>
      <w:bookmarkEnd w:id="25"/>
      <w:bookmarkEnd w:id="26"/>
      <w:bookmarkEnd w:id="27"/>
      <w:bookmarkEnd w:id="28"/>
      <w:bookmarkEnd w:id="29"/>
      <w:bookmarkEnd w:id="30"/>
      <w:bookmarkEnd w:id="31"/>
      <w:bookmarkEnd w:id="32"/>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2023年6月5日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33" w:name="_Toc69393371"/>
      <w:bookmarkStart w:id="34" w:name="_Toc469066305"/>
      <w:bookmarkStart w:id="35" w:name="_Toc515261589"/>
      <w:bookmarkStart w:id="36" w:name="_Toc425250305"/>
      <w:bookmarkStart w:id="37" w:name="_Toc515458362"/>
      <w:bookmarkStart w:id="38" w:name="_Toc524335059"/>
      <w:bookmarkStart w:id="39" w:name="_Toc418750883"/>
      <w:bookmarkStart w:id="40" w:name="_Toc416783521"/>
      <w:r>
        <w:rPr>
          <w:rFonts w:ascii="Arial" w:hAnsi="Arial" w:eastAsia="仿宋_GB2312" w:cs="Arial"/>
          <w:b/>
          <w:bCs/>
          <w:sz w:val="28"/>
          <w:highlight w:val="none"/>
        </w:rPr>
        <w:t>五、估价日期</w:t>
      </w:r>
      <w:bookmarkEnd w:id="33"/>
      <w:bookmarkEnd w:id="34"/>
      <w:bookmarkEnd w:id="35"/>
      <w:bookmarkEnd w:id="36"/>
      <w:bookmarkEnd w:id="37"/>
      <w:bookmarkEnd w:id="38"/>
      <w:bookmarkEnd w:id="39"/>
      <w:bookmarkEnd w:id="40"/>
      <w:r>
        <w:rPr>
          <w:rFonts w:ascii="Arial" w:hAnsi="Arial" w:eastAsia="仿宋_GB2312" w:cs="Arial"/>
          <w:b/>
          <w:bCs/>
          <w:sz w:val="28"/>
          <w:highlight w:val="none"/>
        </w:rPr>
        <w:tab/>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2023年6月2日</w:t>
      </w:r>
      <w:r>
        <w:rPr>
          <w:rFonts w:ascii="Arial" w:hAnsi="Arial" w:eastAsia="仿宋_GB2312" w:cs="Arial"/>
          <w:sz w:val="28"/>
          <w:highlight w:val="none"/>
        </w:rPr>
        <w:t>至</w:t>
      </w:r>
      <w:bookmarkStart w:id="41" w:name="_Toc418750884"/>
      <w:bookmarkStart w:id="42" w:name="_Toc469066306"/>
      <w:bookmarkStart w:id="43" w:name="_Toc416783522"/>
      <w:bookmarkStart w:id="44" w:name="_Toc425250306"/>
      <w:r>
        <w:rPr>
          <w:rFonts w:hint="eastAsia" w:ascii="Arial" w:hAnsi="Arial" w:eastAsia="仿宋_GB2312" w:cs="Arial"/>
          <w:sz w:val="28"/>
          <w:highlight w:val="none"/>
        </w:rPr>
        <w:t>2023年6月9日</w:t>
      </w:r>
    </w:p>
    <w:p>
      <w:pPr>
        <w:spacing w:line="300" w:lineRule="auto"/>
        <w:ind w:firstLine="560" w:firstLineChars="200"/>
        <w:jc w:val="both"/>
        <w:rPr>
          <w:rFonts w:ascii="Arial" w:hAnsi="Arial" w:eastAsia="仿宋_GB2312" w:cs="Arial"/>
          <w:sz w:val="28"/>
          <w:highlight w:val="none"/>
        </w:rPr>
      </w:pPr>
    </w:p>
    <w:p>
      <w:pPr>
        <w:tabs>
          <w:tab w:val="left" w:pos="6957"/>
        </w:tabs>
        <w:spacing w:line="300" w:lineRule="auto"/>
        <w:jc w:val="both"/>
        <w:outlineLvl w:val="1"/>
        <w:rPr>
          <w:rFonts w:ascii="Arial" w:hAnsi="Arial" w:eastAsia="仿宋_GB2312" w:cs="Arial"/>
          <w:b/>
          <w:bCs/>
          <w:sz w:val="28"/>
          <w:highlight w:val="none"/>
        </w:rPr>
      </w:pPr>
      <w:bookmarkStart w:id="45" w:name="_Toc69393372"/>
      <w:bookmarkStart w:id="46" w:name="_Toc524335060"/>
      <w:r>
        <w:rPr>
          <w:rFonts w:ascii="Arial" w:hAnsi="Arial" w:eastAsia="仿宋_GB2312" w:cs="Arial"/>
          <w:b/>
          <w:bCs/>
          <w:sz w:val="28"/>
          <w:highlight w:val="none"/>
        </w:rPr>
        <w:t>六、地价定义</w:t>
      </w:r>
      <w:bookmarkEnd w:id="41"/>
      <w:bookmarkEnd w:id="42"/>
      <w:bookmarkEnd w:id="43"/>
      <w:bookmarkEnd w:id="44"/>
      <w:bookmarkEnd w:id="45"/>
      <w:bookmarkEnd w:id="46"/>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估价对象的出让国有建设用地使用权价格定义为：在公开市场条件下，估价对象在估价期日2023年6月5日；</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估价对象的划拨国有建设用地使用权价格定义为：在特定市场条件下，估价对象在估价期日2023年6月5日；</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widowControl/>
        <w:snapToGrid w:val="0"/>
        <w:spacing w:line="300" w:lineRule="auto"/>
        <w:ind w:firstLine="560" w:firstLineChars="200"/>
        <w:jc w:val="both"/>
        <w:rPr>
          <w:rFonts w:ascii="Arial" w:hAnsi="Arial" w:eastAsia="仿宋_GB2312" w:cs="Arial"/>
          <w:sz w:val="28"/>
          <w:szCs w:val="28"/>
          <w:highlight w:val="none"/>
        </w:rPr>
      </w:pPr>
      <w:bookmarkStart w:id="47" w:name="_Toc515458363"/>
      <w:bookmarkStart w:id="48" w:name="_Toc524335061"/>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p>
    <w:p>
      <w:pPr>
        <w:spacing w:line="300" w:lineRule="auto"/>
        <w:outlineLvl w:val="1"/>
        <w:rPr>
          <w:rFonts w:ascii="Arial" w:hAnsi="Arial" w:eastAsia="仿宋_GB2312" w:cs="Arial"/>
          <w:b/>
          <w:sz w:val="28"/>
          <w:highlight w:val="none"/>
        </w:rPr>
      </w:pPr>
      <w:bookmarkStart w:id="49" w:name="_Toc69393373"/>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七、估价结果</w:t>
      </w:r>
      <w:bookmarkEnd w:id="47"/>
      <w:bookmarkEnd w:id="48"/>
      <w:bookmarkEnd w:id="49"/>
    </w:p>
    <w:p>
      <w:pPr>
        <w:spacing w:line="300" w:lineRule="auto"/>
        <w:ind w:firstLine="560" w:firstLineChars="200"/>
        <w:jc w:val="both"/>
        <w:rPr>
          <w:rFonts w:ascii="Arial" w:hAnsi="Arial" w:eastAsia="仿宋_GB2312" w:cs="Arial"/>
          <w:sz w:val="28"/>
          <w:highlight w:val="none"/>
        </w:rPr>
      </w:pPr>
      <w:bookmarkStart w:id="50" w:name="_Toc416783524"/>
      <w:bookmarkStart w:id="51" w:name="_Toc418750886"/>
      <w:bookmarkStart w:id="52" w:name="_Toc524335062"/>
      <w:bookmarkStart w:id="53" w:name="_Toc425250308"/>
      <w:bookmarkStart w:id="54" w:name="_Toc469066308"/>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168.4739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壹佰陆拾捌万肆仟柒佰叁拾玖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6486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13231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122.3942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壹佰贰拾贰万叁仟玖佰肆拾贰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4712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46.0797</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肆拾陆万零柒佰玖拾柒</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1774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6486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168.4739</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4712</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122.3942</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1774</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46.0797</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6486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168.4739</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4712</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122.3942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6486</w:t>
      </w:r>
      <w:r>
        <w:rPr>
          <w:rFonts w:hint="eastAsia" w:ascii="Arial" w:hAnsi="Arial" w:cs="Arial"/>
          <w:szCs w:val="28"/>
          <w:highlight w:val="none"/>
        </w:rPr>
        <w:t>－</w:t>
      </w:r>
      <w:r>
        <w:rPr>
          <w:rFonts w:hint="eastAsia" w:ascii="Arial" w:hAnsi="Arial" w:cs="Arial"/>
          <w:szCs w:val="28"/>
          <w:highlight w:val="none"/>
          <w:lang w:val="en-US" w:eastAsia="zh-CN"/>
        </w:rPr>
        <w:t>4712</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46.0797</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6486</w:t>
      </w:r>
      <w:r>
        <w:rPr>
          <w:rFonts w:hint="eastAsia" w:ascii="Arial" w:hAnsi="Arial" w:cs="Arial"/>
          <w:szCs w:val="28"/>
          <w:highlight w:val="none"/>
        </w:rPr>
        <w:t>×25%＝</w:t>
      </w:r>
      <w:r>
        <w:rPr>
          <w:rFonts w:hint="eastAsia" w:ascii="Arial" w:hAnsi="Arial" w:eastAsia="仿宋" w:cs="Arial"/>
          <w:highlight w:val="none"/>
          <w:lang w:val="en-US" w:eastAsia="zh-CN"/>
        </w:rPr>
        <w:t>1622</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42.1315</w:t>
      </w:r>
      <w:r>
        <w:rPr>
          <w:rFonts w:hint="eastAsia" w:ascii="Arial" w:hAnsi="Arial" w:cs="Arial"/>
          <w:szCs w:val="28"/>
          <w:highlight w:val="none"/>
        </w:rPr>
        <w:t>（万元）</w:t>
      </w:r>
    </w:p>
    <w:p>
      <w:pPr>
        <w:pStyle w:val="52"/>
        <w:adjustRightInd w:val="0"/>
        <w:spacing w:line="300" w:lineRule="auto"/>
        <w:rPr>
          <w:rFonts w:ascii="Arial" w:hAnsi="Arial" w:eastAsia="仿宋" w:cs="Arial"/>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eastAsia="zh-CN"/>
        </w:rPr>
        <w:t>1774</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eastAsia="zh-CN"/>
        </w:rPr>
        <w:t>46.0797</w:t>
      </w:r>
      <w:r>
        <w:rPr>
          <w:rFonts w:ascii="Arial" w:hAnsi="Arial" w:eastAsia="仿宋" w:cs="Arial"/>
          <w:sz w:val="28"/>
          <w:szCs w:val="28"/>
          <w:highlight w:val="none"/>
        </w:rPr>
        <w:t>万元</w:t>
      </w:r>
      <w:r>
        <w:rPr>
          <w:rFonts w:hint="eastAsia" w:ascii="Arial" w:hAnsi="Arial" w:eastAsia="仿宋" w:cs="Arial"/>
          <w:highlight w:val="none"/>
        </w:rPr>
        <w:t>。</w:t>
      </w:r>
    </w:p>
    <w:p>
      <w:pPr>
        <w:pStyle w:val="52"/>
        <w:spacing w:line="300" w:lineRule="auto"/>
        <w:jc w:val="both"/>
        <w:rPr>
          <w:rFonts w:ascii="Arial" w:hAnsi="Arial" w:cs="Arial"/>
          <w:szCs w:val="28"/>
          <w:highlight w:val="none"/>
        </w:rPr>
      </w:pPr>
    </w:p>
    <w:p>
      <w:pPr>
        <w:spacing w:line="300" w:lineRule="auto"/>
        <w:outlineLvl w:val="1"/>
        <w:rPr>
          <w:rStyle w:val="38"/>
          <w:rFonts w:ascii="Arial" w:hAnsi="Arial" w:cs="Arial"/>
          <w:highlight w:val="none"/>
        </w:rPr>
      </w:pPr>
      <w:bookmarkStart w:id="55" w:name="_Toc69393374"/>
      <w:r>
        <w:rPr>
          <w:rStyle w:val="38"/>
          <w:rFonts w:ascii="Arial" w:hAnsi="Arial" w:cs="Arial"/>
          <w:highlight w:val="none"/>
        </w:rPr>
        <w:t>八</w:t>
      </w:r>
      <w:r>
        <w:rPr>
          <w:rFonts w:ascii="Arial" w:hAnsi="Arial" w:eastAsia="仿宋_GB2312" w:cs="Arial"/>
          <w:b/>
          <w:bCs/>
          <w:sz w:val="28"/>
          <w:highlight w:val="none"/>
        </w:rPr>
        <w:t>、</w:t>
      </w:r>
      <w:bookmarkEnd w:id="50"/>
      <w:bookmarkEnd w:id="51"/>
      <w:bookmarkEnd w:id="52"/>
      <w:bookmarkEnd w:id="53"/>
      <w:bookmarkEnd w:id="54"/>
      <w:bookmarkEnd w:id="55"/>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56" w:name="_Toc69393375"/>
      <w:bookmarkStart w:id="57" w:name="_Toc418750889"/>
      <w:bookmarkStart w:id="58" w:name="_Toc425250311"/>
      <w:bookmarkStart w:id="59" w:name="_Toc515458364"/>
      <w:bookmarkStart w:id="60" w:name="_Toc524335063"/>
      <w:bookmarkStart w:id="61" w:name="_Toc416783526"/>
      <w:bookmarkStart w:id="62" w:name="_Toc469066309"/>
      <w:r>
        <w:rPr>
          <w:rFonts w:ascii="Arial" w:hAnsi="Arial" w:eastAsia="仿宋_GB2312" w:cs="Arial"/>
          <w:b/>
          <w:sz w:val="28"/>
          <w:highlight w:val="none"/>
        </w:rPr>
        <w:t>九、土地估价机构</w:t>
      </w:r>
      <w:bookmarkEnd w:id="56"/>
      <w:bookmarkEnd w:id="57"/>
      <w:bookmarkEnd w:id="58"/>
      <w:bookmarkEnd w:id="59"/>
      <w:bookmarkEnd w:id="60"/>
      <w:bookmarkEnd w:id="61"/>
      <w:bookmarkEnd w:id="62"/>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二三年六月九日</w:t>
            </w:r>
          </w:p>
        </w:tc>
      </w:tr>
    </w:tbl>
    <w:p>
      <w:pPr>
        <w:spacing w:line="300" w:lineRule="auto"/>
        <w:rPr>
          <w:rFonts w:ascii="Arial" w:hAnsi="Arial" w:eastAsia="仿宋_GB2312" w:cs="Arial"/>
          <w:sz w:val="28"/>
          <w:highlight w:val="none"/>
        </w:rPr>
        <w:sectPr>
          <w:footerReference r:id="rId16" w:type="first"/>
          <w:pgSz w:w="11907" w:h="16840"/>
          <w:pgMar w:top="1843" w:right="1134" w:bottom="1134" w:left="1134" w:header="1134" w:footer="907" w:gutter="340"/>
          <w:pgNumType w:start="1"/>
          <w:cols w:space="720" w:num="1"/>
          <w:titlePg/>
          <w:docGrid w:linePitch="326" w:charSpace="0"/>
        </w:sectPr>
      </w:pP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6486</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168.4739</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4712</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122.3942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1774</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18" w:type="first"/>
          <w:headerReference r:id="rId17" w:type="default"/>
          <w:footerReference r:id="rId19" w:type="default"/>
          <w:pgSz w:w="16840" w:h="11907" w:orient="landscape"/>
          <w:pgMar w:top="2041" w:right="1134" w:bottom="1134" w:left="1134" w:header="1304" w:footer="1020" w:gutter="340"/>
          <w:cols w:space="720" w:num="1"/>
          <w:titlePg/>
          <w:docGrid w:linePitch="326" w:charSpace="0"/>
        </w:sectPr>
      </w:pPr>
    </w:p>
    <w:bookmarkEnd w:id="6"/>
    <w:p>
      <w:pPr>
        <w:spacing w:line="300" w:lineRule="auto"/>
        <w:ind w:left="1"/>
        <w:jc w:val="both"/>
        <w:rPr>
          <w:rFonts w:ascii="Arial" w:hAnsi="Arial" w:eastAsia="仿宋_GB2312" w:cs="Arial"/>
          <w:b/>
          <w:highlight w:val="none"/>
        </w:rPr>
      </w:pPr>
      <w:r>
        <w:rPr>
          <w:rFonts w:ascii="Arial" w:hAnsi="Arial" w:eastAsia="仿宋_GB2312" w:cs="Arial"/>
          <w:b/>
          <w:highlight w:val="none"/>
        </w:rPr>
        <w:t>一、上述估价结果的限定条件</w:t>
      </w:r>
    </w:p>
    <w:p>
      <w:pPr>
        <w:spacing w:line="300" w:lineRule="auto"/>
        <w:jc w:val="both"/>
        <w:rPr>
          <w:rFonts w:ascii="Arial" w:hAnsi="Arial" w:eastAsia="仿宋_GB2312" w:cs="Arial"/>
          <w:bCs/>
          <w:highlight w:val="none"/>
        </w:rPr>
      </w:pPr>
      <w:r>
        <w:rPr>
          <w:rFonts w:ascii="Arial" w:hAnsi="Arial" w:eastAsia="仿宋_GB2312" w:cs="Arial"/>
          <w:bCs/>
          <w:highlight w:val="none"/>
        </w:rPr>
        <w:t>（一）土地权利限制：至估价期日，估价对象未见抵押权登记。根据估价目的，设定待估宗地无抵押权、担保权等他项权利；</w:t>
      </w:r>
    </w:p>
    <w:p>
      <w:pPr>
        <w:spacing w:line="300" w:lineRule="auto"/>
        <w:jc w:val="both"/>
        <w:rPr>
          <w:rFonts w:ascii="Arial" w:hAnsi="Arial" w:eastAsia="仿宋_GB2312" w:cs="Arial"/>
          <w:bCs/>
          <w:highlight w:val="none"/>
        </w:rPr>
      </w:pPr>
      <w:r>
        <w:rPr>
          <w:rFonts w:ascii="Arial" w:hAnsi="Arial" w:eastAsia="仿宋_GB2312" w:cs="Arial"/>
          <w:bCs/>
          <w:highlight w:val="none"/>
        </w:rPr>
        <w:t>（二）基础设施条件：估价对象实际土地开发程度为宗地</w:t>
      </w:r>
      <w:r>
        <w:rPr>
          <w:rFonts w:hint="eastAsia" w:ascii="Arial" w:hAnsi="Arial" w:eastAsia="仿宋_GB2312" w:cs="Arial"/>
          <w:bCs/>
          <w:highlight w:val="none"/>
        </w:rPr>
        <w:t>红线</w:t>
      </w:r>
      <w:r>
        <w:rPr>
          <w:rFonts w:ascii="Arial" w:hAnsi="Arial" w:eastAsia="仿宋_GB2312" w:cs="Arial"/>
          <w:bCs/>
          <w:highlight w:val="none"/>
        </w:rPr>
        <w:t>外</w:t>
      </w:r>
      <w:r>
        <w:rPr>
          <w:rFonts w:hint="eastAsia" w:ascii="Arial" w:hAnsi="Arial" w:eastAsia="仿宋_GB2312" w:cs="Arial"/>
          <w:bCs/>
          <w:highlight w:val="none"/>
        </w:rPr>
        <w:t>”七通”（即通路、通上水、通下水、通电、通讯、通燃气、通热）</w:t>
      </w:r>
      <w:r>
        <w:rPr>
          <w:rFonts w:ascii="Arial" w:hAnsi="Arial" w:eastAsia="仿宋_GB2312" w:cs="Arial"/>
          <w:bCs/>
          <w:highlight w:val="none"/>
        </w:rPr>
        <w:t>及宗地红线内建筑物</w:t>
      </w:r>
      <w:r>
        <w:rPr>
          <w:rFonts w:hint="eastAsia" w:ascii="Arial" w:hAnsi="Arial" w:eastAsia="仿宋_GB2312" w:cs="Arial"/>
          <w:bCs/>
          <w:highlight w:val="none"/>
        </w:rPr>
        <w:t>已建成完工</w:t>
      </w:r>
      <w:r>
        <w:rPr>
          <w:rFonts w:ascii="Arial" w:hAnsi="Arial" w:eastAsia="仿宋_GB2312" w:cs="Arial"/>
          <w:bCs/>
          <w:highlight w:val="none"/>
        </w:rPr>
        <w:t>；</w:t>
      </w:r>
      <w:r>
        <w:rPr>
          <w:rFonts w:hint="eastAsia" w:ascii="Arial" w:hAnsi="Arial" w:eastAsia="仿宋_GB2312" w:cs="Arial"/>
          <w:bCs/>
          <w:highlight w:val="none"/>
        </w:rPr>
        <w:t>根据估价目的，</w:t>
      </w:r>
      <w:r>
        <w:rPr>
          <w:rFonts w:ascii="Arial" w:hAnsi="Arial" w:eastAsia="仿宋_GB2312" w:cs="Arial"/>
          <w:bCs/>
          <w:highlight w:val="none"/>
        </w:rPr>
        <w:t>设定开发程度为</w:t>
      </w:r>
      <w:r>
        <w:rPr>
          <w:rFonts w:hint="eastAsia" w:ascii="Arial" w:hAnsi="Arial" w:eastAsia="仿宋_GB2312" w:cs="Arial"/>
          <w:bCs/>
          <w:highlight w:val="none"/>
        </w:rPr>
        <w:t>宗地红线外”七通”（即通路、通上水、通下水、通电、通讯、通燃气、通热）</w:t>
      </w:r>
      <w:r>
        <w:rPr>
          <w:rFonts w:ascii="Arial" w:hAnsi="Arial" w:eastAsia="仿宋_GB2312" w:cs="Arial"/>
          <w:bCs/>
          <w:highlight w:val="none"/>
        </w:rPr>
        <w:t>及宗地红线内</w:t>
      </w:r>
      <w:r>
        <w:rPr>
          <w:rFonts w:hint="eastAsia" w:ascii="Arial" w:hAnsi="Arial" w:eastAsia="仿宋_GB2312" w:cs="Arial"/>
          <w:bCs/>
          <w:highlight w:val="none"/>
        </w:rPr>
        <w:t>“</w:t>
      </w:r>
      <w:r>
        <w:rPr>
          <w:rFonts w:ascii="Arial" w:hAnsi="Arial" w:eastAsia="仿宋_GB2312" w:cs="Arial"/>
          <w:bCs/>
          <w:highlight w:val="none"/>
        </w:rPr>
        <w:t>场地平整</w:t>
      </w:r>
      <w:r>
        <w:rPr>
          <w:rFonts w:hint="eastAsia" w:ascii="Arial" w:hAnsi="Arial" w:eastAsia="仿宋_GB2312" w:cs="Arial"/>
          <w:bCs/>
          <w:highlight w:val="none"/>
        </w:rPr>
        <w:t>”</w:t>
      </w:r>
      <w:r>
        <w:rPr>
          <w:rFonts w:ascii="Arial" w:hAnsi="Arial" w:eastAsia="仿宋_GB2312" w:cs="Arial"/>
          <w:bCs/>
          <w:highlight w:val="none"/>
        </w:rPr>
        <w:t>；</w:t>
      </w:r>
    </w:p>
    <w:p>
      <w:pPr>
        <w:spacing w:line="300" w:lineRule="auto"/>
        <w:jc w:val="both"/>
        <w:rPr>
          <w:rFonts w:ascii="Arial" w:hAnsi="Arial" w:eastAsia="仿宋_GB2312" w:cs="Arial"/>
          <w:bCs/>
          <w:szCs w:val="24"/>
          <w:highlight w:val="none"/>
        </w:rPr>
      </w:pPr>
      <w:r>
        <w:rPr>
          <w:rFonts w:ascii="Arial" w:hAnsi="Arial" w:eastAsia="仿宋_GB2312" w:cs="Arial"/>
          <w:bCs/>
          <w:highlight w:val="none"/>
        </w:rPr>
        <w:t>（三）规划限制条件：</w:t>
      </w:r>
      <w:r>
        <w:rPr>
          <w:rFonts w:hint="eastAsia" w:ascii="Arial" w:hAnsi="Arial" w:eastAsia="仿宋_GB2312" w:cs="Arial"/>
          <w:bCs/>
          <w:highlight w:val="none"/>
        </w:rPr>
        <w:t>根据《土地权属审查告知书》[</w:t>
      </w:r>
      <w:r>
        <w:rPr>
          <w:rFonts w:hint="eastAsia" w:ascii="Arial" w:hAnsi="Arial" w:eastAsia="仿宋_GB2312" w:cs="Arial"/>
          <w:bCs/>
          <w:highlight w:val="none"/>
          <w:lang w:eastAsia="zh-CN"/>
        </w:rPr>
        <w:t>密权属审〔2023〕字第019号</w:t>
      </w:r>
      <w:r>
        <w:rPr>
          <w:rFonts w:hint="eastAsia" w:ascii="Arial" w:hAnsi="Arial" w:eastAsia="仿宋_GB2312" w:cs="Arial"/>
          <w:bCs/>
          <w:highlight w:val="none"/>
        </w:rPr>
        <w:t>]</w:t>
      </w:r>
      <w:r>
        <w:rPr>
          <w:rFonts w:ascii="Arial" w:hAnsi="Arial" w:eastAsia="仿宋_GB2312" w:cs="Arial"/>
          <w:bCs/>
          <w:kern w:val="2"/>
          <w:szCs w:val="24"/>
          <w:highlight w:val="none"/>
        </w:rPr>
        <w:t>、</w:t>
      </w:r>
      <w:r>
        <w:rPr>
          <w:rFonts w:hint="eastAsia" w:ascii="Arial" w:hAnsi="Arial" w:eastAsia="仿宋_GB2312" w:cs="Arial"/>
          <w:bCs/>
          <w:highlight w:val="none"/>
        </w:rPr>
        <w:t>《国有建设用地使用权出让地价评估委托书》及</w:t>
      </w:r>
      <w:r>
        <w:rPr>
          <w:rFonts w:hint="eastAsia" w:ascii="Arial" w:hAnsi="Arial" w:eastAsia="仿宋_GB2312" w:cs="Arial"/>
          <w:bCs/>
          <w:kern w:val="2"/>
          <w:szCs w:val="24"/>
          <w:highlight w:val="none"/>
        </w:rPr>
        <w:t>《北京市房屋土地登记表》[宗地号：110228002001GB00135]</w:t>
      </w:r>
      <w:r>
        <w:rPr>
          <w:rFonts w:ascii="Arial" w:hAnsi="Arial" w:eastAsia="仿宋_GB2312" w:cs="Arial"/>
          <w:bCs/>
          <w:kern w:val="2"/>
          <w:szCs w:val="24"/>
          <w:highlight w:val="none"/>
        </w:rPr>
        <w:t>；</w:t>
      </w:r>
    </w:p>
    <w:p>
      <w:pPr>
        <w:spacing w:line="300" w:lineRule="auto"/>
        <w:ind w:left="2"/>
        <w:jc w:val="both"/>
        <w:rPr>
          <w:rFonts w:ascii="Arial" w:hAnsi="Arial" w:eastAsia="仿宋_GB2312" w:cs="Arial"/>
          <w:bCs/>
          <w:highlight w:val="none"/>
        </w:rPr>
      </w:pPr>
      <w:r>
        <w:rPr>
          <w:rFonts w:ascii="Arial" w:hAnsi="Arial" w:eastAsia="仿宋_GB2312" w:cs="Arial"/>
          <w:bCs/>
          <w:szCs w:val="24"/>
          <w:highlight w:val="none"/>
        </w:rPr>
        <w:t>（四）影响土地价格的其他限定条件：</w:t>
      </w:r>
      <w:r>
        <w:rPr>
          <w:rFonts w:hint="eastAsia" w:ascii="Arial" w:hAnsi="Arial" w:eastAsia="仿宋_GB2312" w:cs="Arial"/>
          <w:bCs/>
          <w:szCs w:val="24"/>
          <w:highlight w:val="none"/>
        </w:rPr>
        <w:t>无</w:t>
      </w:r>
      <w:r>
        <w:rPr>
          <w:rFonts w:ascii="Arial" w:hAnsi="Arial" w:eastAsia="仿宋_GB2312" w:cs="Arial"/>
          <w:bCs/>
          <w:highlight w:val="none"/>
        </w:rPr>
        <w:t>。</w:t>
      </w:r>
    </w:p>
    <w:p>
      <w:pPr>
        <w:spacing w:line="300" w:lineRule="auto"/>
        <w:jc w:val="both"/>
        <w:rPr>
          <w:rFonts w:ascii="Arial" w:hAnsi="Arial" w:eastAsia="仿宋_GB2312" w:cs="Arial"/>
          <w:bCs/>
          <w:highlight w:val="none"/>
        </w:rPr>
      </w:pPr>
      <w:r>
        <w:rPr>
          <w:rFonts w:ascii="Arial" w:hAnsi="Arial" w:eastAsia="仿宋_GB2312" w:cs="Arial"/>
          <w:b/>
          <w:highlight w:val="none"/>
        </w:rPr>
        <w:t>二、其他需要说明的事项</w:t>
      </w:r>
      <w:r>
        <w:rPr>
          <w:rFonts w:ascii="Arial" w:hAnsi="Arial" w:eastAsia="仿宋_GB2312" w:cs="Arial"/>
          <w:bCs/>
          <w:highlight w:val="none"/>
        </w:rPr>
        <w:t>：详见报告中的特殊事项说明及假设和限制条件。</w:t>
      </w:r>
    </w:p>
    <w:p>
      <w:pPr>
        <w:spacing w:line="300" w:lineRule="auto"/>
        <w:rPr>
          <w:rFonts w:ascii="Arial" w:hAnsi="Arial" w:eastAsia="仿宋_GB2312" w:cs="Arial"/>
          <w:bCs/>
          <w:highlight w:val="none"/>
        </w:rPr>
      </w:pPr>
      <w:r>
        <w:rPr>
          <w:rFonts w:ascii="Arial" w:hAnsi="Arial" w:eastAsia="仿宋_GB2312" w:cs="Arial"/>
          <w:bCs/>
          <w:highlight w:val="none"/>
        </w:rPr>
        <w:t xml:space="preserve"> </w:t>
      </w:r>
    </w:p>
    <w:p>
      <w:pPr>
        <w:spacing w:line="300" w:lineRule="auto"/>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7500"/>
        <w:jc w:val="right"/>
        <w:rPr>
          <w:rFonts w:ascii="Arial" w:hAnsi="Arial" w:eastAsia="仿宋_GB2312" w:cs="Arial"/>
          <w:bCs/>
          <w:highlight w:val="none"/>
        </w:rPr>
      </w:pPr>
    </w:p>
    <w:p>
      <w:pPr>
        <w:spacing w:line="300" w:lineRule="auto"/>
        <w:ind w:firstLine="3828"/>
        <w:jc w:val="right"/>
        <w:rPr>
          <w:rFonts w:ascii="Arial" w:hAnsi="Arial" w:eastAsia="仿宋_GB2312" w:cs="Arial"/>
          <w:bCs/>
          <w:highlight w:val="none"/>
        </w:rPr>
      </w:pPr>
      <w:r>
        <w:rPr>
          <w:rFonts w:ascii="Arial" w:hAnsi="Arial" w:eastAsia="仿宋_GB2312" w:cs="Arial"/>
          <w:bCs/>
          <w:highlight w:val="none"/>
        </w:rPr>
        <w:t>估价机构：北京康正宏基房地产评估有限公司</w:t>
      </w:r>
    </w:p>
    <w:p>
      <w:pPr>
        <w:spacing w:line="300" w:lineRule="auto"/>
        <w:ind w:firstLine="7384" w:firstLineChars="3077"/>
        <w:jc w:val="right"/>
        <w:rPr>
          <w:rFonts w:ascii="Arial" w:hAnsi="Arial" w:eastAsia="仿宋_GB2312" w:cs="Arial"/>
          <w:sz w:val="28"/>
          <w:highlight w:val="none"/>
        </w:rPr>
      </w:pPr>
      <w:r>
        <w:rPr>
          <w:rFonts w:ascii="Arial" w:hAnsi="Arial" w:eastAsia="仿宋_GB2312" w:cs="Arial"/>
          <w:bCs/>
          <w:highlight w:val="none"/>
        </w:rPr>
        <w:t xml:space="preserve">                </w:t>
      </w:r>
      <w:r>
        <w:rPr>
          <w:rFonts w:hint="eastAsia" w:ascii="Arial" w:hAnsi="Arial" w:eastAsia="仿宋_GB2312" w:cs="Arial"/>
          <w:bCs/>
          <w:highlight w:val="none"/>
        </w:rPr>
        <w:t>2023年6月9日</w:t>
      </w:r>
    </w:p>
    <w:p>
      <w:pPr>
        <w:spacing w:line="300" w:lineRule="auto"/>
        <w:ind w:firstLine="7384" w:firstLineChars="3077"/>
        <w:jc w:val="right"/>
        <w:rPr>
          <w:rFonts w:ascii="Arial" w:hAnsi="Arial" w:eastAsia="仿宋_GB2312" w:cs="Arial"/>
          <w:bCs/>
          <w:highlight w:val="none"/>
        </w:rPr>
      </w:pPr>
    </w:p>
    <w:p>
      <w:pPr>
        <w:spacing w:line="300" w:lineRule="auto"/>
        <w:ind w:firstLine="7384" w:firstLineChars="3077"/>
        <w:jc w:val="right"/>
        <w:rPr>
          <w:rFonts w:ascii="Arial" w:hAnsi="Arial" w:eastAsia="仿宋_GB2312" w:cs="Arial"/>
          <w:bCs/>
          <w:highlight w:val="none"/>
        </w:rPr>
      </w:pPr>
    </w:p>
    <w:p>
      <w:pPr>
        <w:spacing w:line="300" w:lineRule="auto"/>
        <w:ind w:firstLine="8615" w:firstLineChars="3077"/>
        <w:jc w:val="right"/>
        <w:rPr>
          <w:rFonts w:ascii="Arial" w:hAnsi="Arial" w:eastAsia="仿宋_GB2312" w:cs="Arial"/>
          <w:sz w:val="28"/>
          <w:highlight w:val="none"/>
        </w:rPr>
      </w:pPr>
    </w:p>
    <w:p>
      <w:pPr>
        <w:spacing w:line="300" w:lineRule="auto"/>
        <w:ind w:firstLine="4480" w:firstLineChars="1600"/>
        <w:rPr>
          <w:rFonts w:ascii="Arial" w:hAnsi="Arial" w:eastAsia="仿宋_GB2312" w:cs="Arial"/>
          <w:sz w:val="28"/>
          <w:highlight w:val="none"/>
        </w:rPr>
        <w:sectPr>
          <w:headerReference r:id="rId20" w:type="first"/>
          <w:pgSz w:w="11907" w:h="16840"/>
          <w:pgMar w:top="1843" w:right="1134" w:bottom="1134" w:left="1134" w:header="1134" w:footer="850" w:gutter="340"/>
          <w:cols w:space="720" w:num="1"/>
          <w:titlePg/>
          <w:docGrid w:linePitch="326" w:charSpace="0"/>
        </w:sectPr>
      </w:pPr>
    </w:p>
    <w:p>
      <w:pPr>
        <w:spacing w:line="300" w:lineRule="auto"/>
        <w:jc w:val="center"/>
        <w:outlineLvl w:val="0"/>
        <w:rPr>
          <w:rFonts w:ascii="Arial" w:hAnsi="Arial" w:cs="Arial"/>
          <w:b/>
          <w:sz w:val="32"/>
          <w:highlight w:val="none"/>
        </w:rPr>
      </w:pPr>
      <w:bookmarkStart w:id="63" w:name="_Toc418750891"/>
      <w:bookmarkStart w:id="64" w:name="_Toc425250313"/>
      <w:bookmarkStart w:id="65" w:name="_Toc524335065"/>
      <w:bookmarkStart w:id="66" w:name="_Toc69393376"/>
      <w:bookmarkStart w:id="67" w:name="_Toc416783528"/>
      <w:bookmarkStart w:id="68" w:name="_Toc469066311"/>
      <w:bookmarkStart w:id="69" w:name="_Toc515458366"/>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估价对象界定</w:t>
      </w:r>
      <w:bookmarkEnd w:id="63"/>
      <w:bookmarkEnd w:id="64"/>
      <w:bookmarkEnd w:id="65"/>
      <w:bookmarkEnd w:id="66"/>
      <w:bookmarkEnd w:id="67"/>
      <w:bookmarkEnd w:id="68"/>
      <w:bookmarkEnd w:id="69"/>
    </w:p>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70" w:name="_Toc425250314"/>
      <w:bookmarkStart w:id="71" w:name="_Toc418750892"/>
      <w:bookmarkStart w:id="72" w:name="_Toc416783529"/>
      <w:bookmarkStart w:id="73" w:name="_Toc469066312"/>
      <w:bookmarkStart w:id="74" w:name="_Toc515261594"/>
      <w:bookmarkStart w:id="75" w:name="_Toc69393377"/>
      <w:bookmarkStart w:id="76" w:name="_Toc524335066"/>
      <w:bookmarkStart w:id="77" w:name="_Toc515458367"/>
      <w:bookmarkStart w:id="78" w:name="_Toc416783532"/>
      <w:bookmarkStart w:id="79" w:name="_Toc425250317"/>
      <w:bookmarkStart w:id="80" w:name="_Toc418750895"/>
      <w:bookmarkStart w:id="81" w:name="_Toc469066315"/>
      <w:r>
        <w:rPr>
          <w:rFonts w:ascii="Arial" w:hAnsi="Arial" w:eastAsia="仿宋_GB2312" w:cs="Arial"/>
          <w:b/>
          <w:sz w:val="28"/>
          <w:highlight w:val="none"/>
        </w:rPr>
        <w:t>一、委托估价方</w:t>
      </w:r>
      <w:bookmarkEnd w:id="70"/>
      <w:bookmarkEnd w:id="71"/>
      <w:bookmarkEnd w:id="72"/>
      <w:bookmarkEnd w:id="73"/>
      <w:bookmarkEnd w:id="74"/>
      <w:bookmarkEnd w:id="75"/>
      <w:bookmarkEnd w:id="76"/>
      <w:bookmarkEnd w:id="77"/>
    </w:p>
    <w:p>
      <w:pPr>
        <w:spacing w:line="300" w:lineRule="auto"/>
        <w:ind w:firstLine="570"/>
        <w:jc w:val="both"/>
        <w:rPr>
          <w:rFonts w:ascii="Arial" w:hAnsi="Arial" w:eastAsia="仿宋_GB2312" w:cs="Arial"/>
          <w:sz w:val="28"/>
          <w:highlight w:val="none"/>
        </w:rPr>
      </w:pPr>
      <w:r>
        <w:rPr>
          <w:rFonts w:ascii="Arial" w:hAnsi="Arial" w:eastAsia="仿宋_GB2312" w:cs="Arial"/>
          <w:sz w:val="28"/>
          <w:highlight w:val="none"/>
        </w:rPr>
        <w:t>本次评估委托估价方为北京市规划和自然资源委员会，非估价对象的不动产权利人。</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单位名称：北京市规划和自然资源委员会</w:t>
      </w:r>
    </w:p>
    <w:p>
      <w:pPr>
        <w:snapToGrid w:val="0"/>
        <w:spacing w:line="300" w:lineRule="auto"/>
        <w:ind w:firstLine="556"/>
        <w:rPr>
          <w:rFonts w:ascii="Arial" w:hAnsi="Arial" w:eastAsia="仿宋_GB2312" w:cs="Arial"/>
          <w:sz w:val="28"/>
          <w:szCs w:val="28"/>
          <w:highlight w:val="none"/>
        </w:rPr>
      </w:pPr>
      <w:r>
        <w:rPr>
          <w:rFonts w:ascii="Arial" w:hAnsi="Arial" w:eastAsia="仿宋_GB2312" w:cs="Arial"/>
          <w:sz w:val="28"/>
          <w:szCs w:val="28"/>
          <w:highlight w:val="none"/>
        </w:rPr>
        <w:t>单位地址：北京市通州区承安街1号</w:t>
      </w:r>
    </w:p>
    <w:p>
      <w:pPr>
        <w:snapToGrid w:val="0"/>
        <w:spacing w:line="300" w:lineRule="auto"/>
        <w:ind w:firstLine="556"/>
        <w:rPr>
          <w:rFonts w:ascii="Arial" w:hAnsi="Arial" w:eastAsia="仿宋_GB2312" w:cs="Arial"/>
          <w:sz w:val="28"/>
          <w:szCs w:val="28"/>
          <w:highlight w:val="none"/>
        </w:rPr>
      </w:pPr>
    </w:p>
    <w:p>
      <w:pPr>
        <w:snapToGrid w:val="0"/>
        <w:spacing w:line="300" w:lineRule="auto"/>
        <w:ind w:firstLine="556"/>
        <w:rPr>
          <w:rFonts w:hint="eastAsia" w:ascii="Arial" w:hAnsi="Arial" w:eastAsia="仿宋_GB2312" w:cs="Arial"/>
          <w:sz w:val="28"/>
          <w:highlight w:val="none"/>
          <w:lang w:eastAsia="zh-CN"/>
        </w:rPr>
      </w:pPr>
      <w:r>
        <w:rPr>
          <w:rFonts w:ascii="Arial" w:hAnsi="Arial" w:eastAsia="仿宋_GB2312" w:cs="Arial"/>
          <w:sz w:val="28"/>
          <w:highlight w:val="none"/>
        </w:rPr>
        <w:t>受让方：</w:t>
      </w:r>
      <w:r>
        <w:rPr>
          <w:rFonts w:hint="eastAsia" w:ascii="Arial" w:hAnsi="Arial" w:eastAsia="仿宋_GB2312" w:cs="Arial"/>
          <w:sz w:val="28"/>
          <w:highlight w:val="none"/>
          <w:lang w:eastAsia="zh-CN"/>
        </w:rPr>
        <w:t>王蕴华</w:t>
      </w:r>
    </w:p>
    <w:p>
      <w:pPr>
        <w:snapToGrid w:val="0"/>
        <w:spacing w:line="300" w:lineRule="auto"/>
        <w:ind w:firstLine="556"/>
        <w:rPr>
          <w:rFonts w:ascii="Arial" w:hAnsi="Arial" w:eastAsia="仿宋_GB2312" w:cs="Arial"/>
          <w:sz w:val="28"/>
          <w:highlight w:val="none"/>
        </w:rPr>
      </w:pP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王蕴华</w:t>
      </w:r>
    </w:p>
    <w:p>
      <w:pPr>
        <w:spacing w:line="300" w:lineRule="auto"/>
        <w:ind w:firstLine="560" w:firstLineChars="200"/>
        <w:jc w:val="both"/>
        <w:rPr>
          <w:rFonts w:hint="default" w:ascii="Arial" w:hAnsi="Arial" w:eastAsia="仿宋_GB2312" w:cs="Arial"/>
          <w:sz w:val="28"/>
          <w:szCs w:val="28"/>
          <w:highlight w:val="none"/>
          <w:lang w:val="en-US" w:eastAsia="zh-CN"/>
        </w:rPr>
      </w:pPr>
      <w:r>
        <w:rPr>
          <w:rFonts w:ascii="Arial" w:hAnsi="Arial" w:eastAsia="仿宋_GB2312" w:cs="Arial"/>
          <w:sz w:val="28"/>
          <w:szCs w:val="28"/>
          <w:highlight w:val="none"/>
        </w:rPr>
        <w:t>联系电话：1</w:t>
      </w:r>
      <w:r>
        <w:rPr>
          <w:rFonts w:hint="eastAsia" w:ascii="Arial" w:hAnsi="Arial" w:eastAsia="仿宋_GB2312" w:cs="Arial"/>
          <w:sz w:val="28"/>
          <w:szCs w:val="28"/>
          <w:highlight w:val="none"/>
        </w:rPr>
        <w:t>3</w:t>
      </w:r>
      <w:r>
        <w:rPr>
          <w:rFonts w:hint="eastAsia" w:ascii="Arial" w:hAnsi="Arial" w:eastAsia="仿宋_GB2312" w:cs="Arial"/>
          <w:sz w:val="28"/>
          <w:szCs w:val="28"/>
          <w:highlight w:val="none"/>
          <w:lang w:val="en-US" w:eastAsia="zh-CN"/>
        </w:rPr>
        <w:t>520851888</w:t>
      </w:r>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82" w:name="_Toc515458368"/>
      <w:bookmarkStart w:id="83" w:name="_Toc469066313"/>
      <w:bookmarkStart w:id="84" w:name="_Toc416783530"/>
      <w:bookmarkStart w:id="85" w:name="_Toc515261595"/>
      <w:bookmarkStart w:id="86" w:name="_Toc418750893"/>
      <w:bookmarkStart w:id="87" w:name="_Toc425250315"/>
      <w:bookmarkStart w:id="88" w:name="_Toc524335067"/>
      <w:bookmarkStart w:id="89" w:name="_Toc69393378"/>
      <w:r>
        <w:rPr>
          <w:rFonts w:ascii="Arial" w:hAnsi="Arial" w:eastAsia="仿宋_GB2312" w:cs="Arial"/>
          <w:b/>
          <w:sz w:val="28"/>
          <w:highlight w:val="none"/>
        </w:rPr>
        <w:t>二、估价对象</w:t>
      </w:r>
      <w:bookmarkEnd w:id="82"/>
      <w:bookmarkEnd w:id="83"/>
      <w:bookmarkEnd w:id="84"/>
      <w:bookmarkEnd w:id="85"/>
      <w:bookmarkEnd w:id="86"/>
      <w:bookmarkEnd w:id="87"/>
      <w:bookmarkEnd w:id="88"/>
      <w:bookmarkEnd w:id="89"/>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北京市密云区西门外大街8号楼</w:t>
      </w:r>
      <w:r>
        <w:rPr>
          <w:rFonts w:hint="eastAsia" w:ascii="Arial" w:hAnsi="Arial" w:eastAsia="仿宋_GB2312" w:cs="Arial"/>
          <w:sz w:val="28"/>
          <w:highlight w:val="none"/>
          <w:lang w:val="en-US" w:eastAsia="zh-CN"/>
        </w:rPr>
        <w:t>601-605</w:t>
      </w:r>
      <w:r>
        <w:rPr>
          <w:rFonts w:hint="eastAsia" w:ascii="Arial" w:hAnsi="Arial" w:eastAsia="仿宋_GB2312" w:cs="Arial"/>
          <w:sz w:val="28"/>
          <w:highlight w:val="none"/>
        </w:rPr>
        <w:t>号现状商业用地，位于北京市密云区西门外大街</w:t>
      </w:r>
      <w:r>
        <w:rPr>
          <w:rFonts w:ascii="Arial" w:hAnsi="Arial" w:eastAsia="仿宋_GB2312" w:cs="Arial"/>
          <w:sz w:val="28"/>
          <w:highlight w:val="none"/>
        </w:rPr>
        <w:t>。估价对象为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现状商业用地，位于北京市密云区西门外大街</w:t>
      </w:r>
      <w:r>
        <w:rPr>
          <w:rFonts w:ascii="Arial" w:hAnsi="Arial" w:eastAsia="仿宋_GB2312" w:cs="Arial"/>
          <w:sz w:val="28"/>
          <w:highlight w:val="none"/>
        </w:rPr>
        <w:t>。</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tabs>
          <w:tab w:val="left" w:pos="9027"/>
        </w:tabs>
        <w:spacing w:line="300" w:lineRule="auto"/>
        <w:ind w:firstLine="360" w:firstLineChars="200"/>
        <w:jc w:val="both"/>
        <w:rPr>
          <w:rFonts w:ascii="Arial" w:hAnsi="Arial" w:eastAsia="仿宋_GB2312" w:cs="Arial"/>
          <w:sz w:val="18"/>
          <w:szCs w:val="18"/>
          <w:highlight w:val="none"/>
        </w:rPr>
      </w:pPr>
    </w:p>
    <w:p>
      <w:pPr>
        <w:spacing w:line="300" w:lineRule="auto"/>
        <w:jc w:val="both"/>
        <w:rPr>
          <w:rFonts w:ascii="Arial" w:hAnsi="Arial" w:eastAsia="仿宋_GB2312" w:cs="Arial"/>
          <w:b/>
          <w:sz w:val="21"/>
          <w:szCs w:val="21"/>
          <w:highlight w:val="none"/>
        </w:rPr>
      </w:pPr>
    </w:p>
    <w:p>
      <w:pPr>
        <w:spacing w:line="300" w:lineRule="auto"/>
        <w:outlineLvl w:val="1"/>
        <w:rPr>
          <w:rFonts w:ascii="Arial" w:hAnsi="Arial" w:eastAsia="仿宋_GB2312" w:cs="Arial"/>
          <w:b/>
          <w:sz w:val="28"/>
          <w:highlight w:val="none"/>
        </w:rPr>
      </w:pPr>
      <w:bookmarkStart w:id="90" w:name="_Toc425250316"/>
      <w:bookmarkStart w:id="91" w:name="_Toc515458369"/>
      <w:bookmarkStart w:id="92" w:name="_Toc524335068"/>
      <w:bookmarkStart w:id="93" w:name="_Toc515261596"/>
      <w:bookmarkStart w:id="94" w:name="_Toc418750894"/>
      <w:bookmarkStart w:id="95" w:name="_Toc69393379"/>
      <w:bookmarkStart w:id="96" w:name="_Toc416783531"/>
      <w:bookmarkStart w:id="97" w:name="_Toc469066314"/>
      <w:r>
        <w:rPr>
          <w:rFonts w:ascii="Arial" w:hAnsi="Arial" w:eastAsia="仿宋_GB2312" w:cs="Arial"/>
          <w:b/>
          <w:sz w:val="28"/>
          <w:highlight w:val="none"/>
        </w:rPr>
        <w:t>三、估价对象概况</w:t>
      </w:r>
      <w:bookmarkEnd w:id="90"/>
      <w:bookmarkEnd w:id="91"/>
      <w:bookmarkEnd w:id="92"/>
      <w:bookmarkEnd w:id="93"/>
      <w:bookmarkEnd w:id="94"/>
      <w:bookmarkEnd w:id="95"/>
      <w:bookmarkEnd w:id="96"/>
      <w:bookmarkEnd w:id="97"/>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8号楼601-605号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王蕴华</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lang w:val="en-US" w:eastAsia="zh-CN"/>
        </w:rPr>
        <w:t>0</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王蕴华</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2023年6月5日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w:t>
      </w:r>
      <w:r>
        <w:rPr>
          <w:rFonts w:hint="eastAsia" w:ascii="Arial" w:hAnsi="Arial" w:eastAsia="仿宋_GB2312" w:cs="Arial"/>
          <w:sz w:val="28"/>
          <w:szCs w:val="28"/>
          <w:highlight w:val="none"/>
          <w:lang w:eastAsia="zh-CN"/>
        </w:rPr>
        <w:t>估价对象位于其6层</w:t>
      </w:r>
      <w:r>
        <w:rPr>
          <w:rFonts w:hint="eastAsia" w:ascii="Arial" w:hAnsi="Arial" w:eastAsia="仿宋_GB2312" w:cs="Arial"/>
          <w:sz w:val="28"/>
          <w:szCs w:val="28"/>
          <w:highlight w:val="none"/>
        </w:rPr>
        <w:t>；</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w:t>
      </w:r>
    </w:p>
    <w:p>
      <w:pPr>
        <w:snapToGrid w:val="0"/>
        <w:spacing w:line="300" w:lineRule="auto"/>
        <w:ind w:firstLine="560" w:firstLineChars="200"/>
        <w:jc w:val="both"/>
        <w:rPr>
          <w:rFonts w:ascii="Arial" w:hAnsi="Arial" w:eastAsia="仿宋_GB2312" w:cs="Arial"/>
          <w:sz w:val="28"/>
          <w:szCs w:val="28"/>
          <w:highlight w:val="none"/>
        </w:rPr>
      </w:pPr>
    </w:p>
    <w:bookmarkEnd w:id="14"/>
    <w:bookmarkEnd w:id="78"/>
    <w:bookmarkEnd w:id="79"/>
    <w:bookmarkEnd w:id="80"/>
    <w:bookmarkEnd w:id="81"/>
    <w:p>
      <w:pPr>
        <w:spacing w:line="300" w:lineRule="auto"/>
        <w:jc w:val="both"/>
        <w:outlineLvl w:val="1"/>
        <w:rPr>
          <w:rFonts w:ascii="Arial" w:hAnsi="Arial" w:eastAsia="仿宋_GB2312" w:cs="Arial"/>
          <w:b/>
          <w:bCs/>
          <w:sz w:val="28"/>
          <w:highlight w:val="none"/>
        </w:rPr>
      </w:pPr>
      <w:bookmarkStart w:id="98" w:name="_Toc524335069"/>
      <w:bookmarkStart w:id="99" w:name="_Toc69393380"/>
      <w:bookmarkStart w:id="100" w:name="_Toc515261597"/>
      <w:bookmarkStart w:id="101" w:name="_Toc515458370"/>
      <w:r>
        <w:rPr>
          <w:rFonts w:ascii="Arial" w:hAnsi="Arial" w:eastAsia="仿宋_GB2312" w:cs="Arial"/>
          <w:b/>
          <w:bCs/>
          <w:sz w:val="28"/>
          <w:highlight w:val="none"/>
        </w:rPr>
        <w:t>四、影响地价的因素说明</w:t>
      </w:r>
      <w:bookmarkEnd w:id="98"/>
      <w:bookmarkEnd w:id="99"/>
      <w:bookmarkEnd w:id="100"/>
      <w:bookmarkEnd w:id="101"/>
    </w:p>
    <w:p>
      <w:pPr>
        <w:spacing w:line="300" w:lineRule="auto"/>
        <w:jc w:val="both"/>
        <w:rPr>
          <w:rFonts w:ascii="Arial" w:hAnsi="Arial" w:eastAsia="仿宋_GB2312"/>
          <w:sz w:val="28"/>
          <w:highlight w:val="none"/>
        </w:rPr>
      </w:pPr>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bookmarkStart w:id="102" w:name="OLE_LINK33"/>
      <w:bookmarkStart w:id="103" w:name="OLE_LINK38"/>
      <w:bookmarkStart w:id="104" w:name="OLE_LINK34"/>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bookmarkEnd w:id="102"/>
    <w:bookmarkEnd w:id="103"/>
    <w:bookmarkEnd w:id="104"/>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0" t="0" r="17780" b="6350"/>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hint="eastAsia"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p>
      <w:pPr>
        <w:widowControl/>
        <w:spacing w:line="300" w:lineRule="auto"/>
        <w:ind w:firstLine="560" w:firstLineChars="200"/>
        <w:jc w:val="both"/>
        <w:rPr>
          <w:rFonts w:hint="eastAsia" w:ascii="Arial" w:hAnsi="Arial" w:eastAsia="仿宋_GB2312" w:cs="Arial"/>
          <w:sz w:val="28"/>
          <w:highlight w:val="none"/>
        </w:rPr>
      </w:pP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0" t="0" r="13970" b="635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widowControl/>
        <w:spacing w:line="300" w:lineRule="auto"/>
        <w:jc w:val="center"/>
        <w:rPr>
          <w:highlight w:val="none"/>
        </w:rPr>
      </w:pPr>
      <w:r>
        <w:rPr>
          <w:highlight w:val="none"/>
        </w:rPr>
        <w:drawing>
          <wp:inline distT="0" distB="0" distL="0" distR="0">
            <wp:extent cx="5454650" cy="2677160"/>
            <wp:effectExtent l="0" t="0" r="12700" b="8890"/>
            <wp:docPr id="32" name="图表 32"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w:t>
      </w:r>
      <w:bookmarkStart w:id="105" w:name="OLE_LINK31"/>
      <w:bookmarkStart w:id="106" w:name="OLE_LINK32"/>
      <w:bookmarkStart w:id="107" w:name="OLE_LINK30"/>
      <w:r>
        <w:rPr>
          <w:rFonts w:hint="eastAsia" w:ascii="Arial" w:hAnsi="Arial" w:eastAsia="仿宋_GB2312" w:cs="Arial"/>
          <w:bCs/>
          <w:color w:val="000000"/>
          <w:sz w:val="28"/>
          <w:szCs w:val="28"/>
          <w:highlight w:val="none"/>
        </w:rPr>
        <w:t>，</w:t>
      </w:r>
      <w:bookmarkStart w:id="108" w:name="OLE_LINK1"/>
      <w:r>
        <w:rPr>
          <w:rFonts w:hint="eastAsia" w:ascii="Arial" w:hAnsi="Arial" w:eastAsia="仿宋_GB2312" w:cs="Arial"/>
          <w:bCs/>
          <w:color w:val="000000"/>
          <w:sz w:val="28"/>
          <w:szCs w:val="28"/>
          <w:highlight w:val="none"/>
        </w:rPr>
        <w:t>2023年1季度北京市</w:t>
      </w:r>
      <w:bookmarkEnd w:id="105"/>
      <w:bookmarkEnd w:id="106"/>
      <w:bookmarkEnd w:id="107"/>
      <w:bookmarkEnd w:id="108"/>
      <w:r>
        <w:rPr>
          <w:rFonts w:hint="eastAsia" w:ascii="Arial" w:hAnsi="Arial" w:eastAsia="仿宋_GB2312" w:cs="Arial"/>
          <w:bCs/>
          <w:color w:val="000000"/>
          <w:sz w:val="28"/>
          <w:szCs w:val="28"/>
          <w:highlight w:val="none"/>
        </w:rPr>
        <w:t>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w:t>
      </w:r>
      <w:r>
        <w:rPr>
          <w:rFonts w:hint="eastAsia" w:ascii="Arial" w:hAnsi="Arial" w:eastAsia="仿宋_GB2312" w:cs="Arial"/>
          <w:bCs/>
          <w:color w:val="000000"/>
          <w:sz w:val="28"/>
          <w:szCs w:val="28"/>
          <w:highlight w:val="none"/>
          <w:lang w:eastAsia="zh-CN"/>
        </w:rPr>
        <w:t>13231</w:t>
      </w:r>
      <w:r>
        <w:rPr>
          <w:rFonts w:hint="eastAsia" w:ascii="Arial" w:hAnsi="Arial" w:eastAsia="仿宋_GB2312" w:cs="Arial"/>
          <w:bCs/>
          <w:color w:val="000000"/>
          <w:sz w:val="28"/>
          <w:szCs w:val="28"/>
          <w:highlight w:val="none"/>
        </w:rPr>
        <w:t>.1万平方米，同比下降1.1%，其中住宅施工面积5758.3万平方米，下降0.4%。全市商品房销售面积218.6万平方米，同比增长13.5%，其中住宅销售面积147.3万平方米，增长7.1%。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bookmarkStart w:id="109" w:name="_Hlk79697274"/>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bookmarkEnd w:id="109"/>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szCs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bookmarkStart w:id="110" w:name="_Toc469066317"/>
      <w:bookmarkStart w:id="111" w:name="_Toc416783534"/>
      <w:bookmarkStart w:id="112" w:name="_Toc425250319"/>
      <w:bookmarkStart w:id="113" w:name="_Toc524335079"/>
      <w:bookmarkStart w:id="114" w:name="_Toc515458374"/>
      <w:bookmarkStart w:id="115" w:name="_Toc418750897"/>
      <w:r>
        <w:rPr>
          <w:rFonts w:ascii="Arial" w:hAnsi="Arial" w:eastAsia="仿宋_GB2312" w:cs="Arial"/>
          <w:sz w:val="28"/>
          <w:szCs w:val="28"/>
          <w:highlight w:val="none"/>
        </w:rPr>
        <w:br w:type="page"/>
      </w:r>
    </w:p>
    <w:p>
      <w:pPr>
        <w:spacing w:line="300" w:lineRule="auto"/>
        <w:jc w:val="center"/>
        <w:outlineLvl w:val="0"/>
        <w:rPr>
          <w:rFonts w:ascii="Arial" w:hAnsi="Arial" w:cs="Arial"/>
          <w:b/>
          <w:sz w:val="32"/>
          <w:highlight w:val="none"/>
        </w:rPr>
      </w:pPr>
      <w:bookmarkStart w:id="116" w:name="_Toc69393381"/>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土地估价结果及其使用</w:t>
      </w:r>
      <w:bookmarkEnd w:id="110"/>
      <w:bookmarkEnd w:id="111"/>
      <w:bookmarkEnd w:id="112"/>
      <w:bookmarkEnd w:id="113"/>
      <w:bookmarkEnd w:id="114"/>
      <w:bookmarkEnd w:id="115"/>
      <w:bookmarkEnd w:id="116"/>
    </w:p>
    <w:p>
      <w:pPr>
        <w:spacing w:line="300" w:lineRule="auto"/>
        <w:jc w:val="both"/>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17" w:name="_Toc416783535"/>
      <w:bookmarkStart w:id="118" w:name="_Toc524335080"/>
      <w:bookmarkStart w:id="119" w:name="_Toc418750898"/>
      <w:bookmarkStart w:id="120" w:name="_Toc515458375"/>
      <w:bookmarkStart w:id="121" w:name="_Toc469066318"/>
      <w:bookmarkStart w:id="122" w:name="_Toc69393382"/>
      <w:bookmarkStart w:id="123" w:name="_Toc515261602"/>
      <w:bookmarkStart w:id="124" w:name="_Toc425250320"/>
      <w:r>
        <w:rPr>
          <w:rFonts w:ascii="Arial" w:hAnsi="Arial" w:eastAsia="仿宋_GB2312" w:cs="Arial"/>
          <w:b/>
          <w:sz w:val="28"/>
          <w:highlight w:val="none"/>
        </w:rPr>
        <w:t>一、估价依据</w:t>
      </w:r>
      <w:bookmarkEnd w:id="117"/>
      <w:bookmarkEnd w:id="118"/>
      <w:bookmarkEnd w:id="119"/>
      <w:bookmarkEnd w:id="120"/>
      <w:bookmarkEnd w:id="121"/>
      <w:bookmarkEnd w:id="122"/>
      <w:bookmarkEnd w:id="123"/>
      <w:bookmarkEnd w:id="124"/>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bookmarkStart w:id="125" w:name="_Hlk136539666"/>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bookmarkEnd w:id="125"/>
      <w:r>
        <w:rPr>
          <w:rFonts w:hint="eastAsia" w:ascii="Arial" w:hAnsi="Arial" w:eastAsia="仿宋" w:cs="Arial"/>
          <w:sz w:val="28"/>
          <w:szCs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26" w:name="_Toc515458376"/>
      <w:bookmarkStart w:id="127" w:name="_Toc416783536"/>
      <w:bookmarkStart w:id="128" w:name="_Toc418750899"/>
      <w:bookmarkStart w:id="129" w:name="_Toc425250321"/>
      <w:bookmarkStart w:id="130" w:name="_Toc469066319"/>
      <w:bookmarkStart w:id="131" w:name="_Toc524335081"/>
      <w:bookmarkStart w:id="132" w:name="_Toc69393383"/>
      <w:r>
        <w:rPr>
          <w:rFonts w:ascii="Arial" w:hAnsi="Arial" w:eastAsia="仿宋_GB2312" w:cs="Arial"/>
          <w:b/>
          <w:sz w:val="28"/>
          <w:highlight w:val="none"/>
        </w:rPr>
        <w:t>二、土地估价</w:t>
      </w:r>
      <w:bookmarkEnd w:id="126"/>
      <w:bookmarkEnd w:id="127"/>
      <w:bookmarkEnd w:id="128"/>
      <w:bookmarkEnd w:id="129"/>
      <w:bookmarkEnd w:id="130"/>
      <w:r>
        <w:rPr>
          <w:rFonts w:ascii="Arial" w:hAnsi="Arial" w:eastAsia="仿宋_GB2312" w:cs="Arial"/>
          <w:b/>
          <w:sz w:val="28"/>
          <w:highlight w:val="none"/>
        </w:rPr>
        <w:t>原则</w:t>
      </w:r>
      <w:bookmarkEnd w:id="131"/>
      <w:bookmarkEnd w:id="132"/>
    </w:p>
    <w:p>
      <w:pPr>
        <w:kinsoku w:val="0"/>
        <w:overflowPunct w:val="0"/>
        <w:autoSpaceDE w:val="0"/>
        <w:autoSpaceDN w:val="0"/>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2.最有效利用原则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3.预期收益原则</w:t>
      </w:r>
    </w:p>
    <w:p>
      <w:pPr>
        <w:spacing w:before="60" w:beforeLines="25" w:after="60" w:afterLines="25"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4.供需原则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5.贡献原则</w:t>
      </w:r>
    </w:p>
    <w:p>
      <w:pPr>
        <w:spacing w:line="300" w:lineRule="auto"/>
        <w:ind w:firstLine="560" w:firstLineChars="200"/>
        <w:jc w:val="both"/>
        <w:rPr>
          <w:rFonts w:ascii="Arial" w:hAnsi="Arial" w:eastAsia="仿宋_GB2312" w:cs="Arial"/>
          <w:sz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（二）估价方法</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（三）估价结果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168.4739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壹佰陆拾捌万肆仟柒佰叁拾玖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6486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13231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122.3942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壹佰贰拾贰万叁仟玖佰肆拾贰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4712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46.0797</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肆拾陆万零柒佰玖拾柒</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1774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6486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168.4739</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4712</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122.3942</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1774</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46.0797</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6486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168.4739</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4712</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122.3942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6486</w:t>
      </w:r>
      <w:r>
        <w:rPr>
          <w:rFonts w:hint="eastAsia" w:ascii="Arial" w:hAnsi="Arial" w:cs="Arial"/>
          <w:szCs w:val="28"/>
          <w:highlight w:val="none"/>
        </w:rPr>
        <w:t>－</w:t>
      </w:r>
      <w:r>
        <w:rPr>
          <w:rFonts w:hint="eastAsia" w:ascii="Arial" w:hAnsi="Arial" w:cs="Arial"/>
          <w:szCs w:val="28"/>
          <w:highlight w:val="none"/>
          <w:lang w:val="en-US" w:eastAsia="zh-CN"/>
        </w:rPr>
        <w:t>4712</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46.0797</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6486</w:t>
      </w:r>
      <w:r>
        <w:rPr>
          <w:rFonts w:hint="eastAsia" w:ascii="Arial" w:hAnsi="Arial" w:cs="Arial"/>
          <w:szCs w:val="28"/>
          <w:highlight w:val="none"/>
        </w:rPr>
        <w:t>×25%＝</w:t>
      </w:r>
      <w:r>
        <w:rPr>
          <w:rFonts w:hint="eastAsia" w:ascii="Arial" w:hAnsi="Arial" w:eastAsia="仿宋" w:cs="Arial"/>
          <w:highlight w:val="none"/>
          <w:lang w:val="en-US" w:eastAsia="zh-CN"/>
        </w:rPr>
        <w:t>1622</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42.1315</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eastAsia="zh-CN"/>
        </w:rPr>
        <w:t>1774</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eastAsia="zh-CN"/>
        </w:rPr>
        <w:t>46.0797</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Arial" w:hAnsi="Arial" w:eastAsia="仿宋_GB2312" w:cs="Arial"/>
          <w:sz w:val="28"/>
          <w:highlight w:val="none"/>
        </w:rPr>
        <w:sectPr>
          <w:footerReference r:id="rId23" w:type="first"/>
          <w:headerReference r:id="rId21" w:type="default"/>
          <w:footerReference r:id="rId22" w:type="default"/>
          <w:pgSz w:w="11907" w:h="16840"/>
          <w:pgMar w:top="1843" w:right="1134" w:bottom="1134" w:left="1134" w:header="1134" w:footer="907" w:gutter="340"/>
          <w:cols w:space="720" w:num="1"/>
          <w:titlePg/>
          <w:docGrid w:linePitch="326" w:charSpace="0"/>
        </w:sectPr>
      </w:pPr>
      <w:r>
        <w:rPr>
          <w:rFonts w:hint="eastAsia" w:ascii="仿宋" w:hAnsi="仿宋" w:eastAsia="仿宋" w:cs="仿宋"/>
          <w:sz w:val="28"/>
          <w:szCs w:val="28"/>
          <w:highlight w:val="none"/>
        </w:rPr>
        <w:t xml:space="preserve">   </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6486</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168.4739</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4712</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122.3942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1774</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ind w:firstLine="561"/>
        <w:rPr>
          <w:rFonts w:ascii="Arial" w:hAnsi="Arial" w:eastAsia="仿宋_GB2312" w:cs="Arial"/>
          <w:sz w:val="28"/>
          <w:szCs w:val="28"/>
          <w:highlight w:val="none"/>
        </w:rPr>
        <w:sectPr>
          <w:headerReference r:id="rId24" w:type="default"/>
          <w:footerReference r:id="rId25" w:type="default"/>
          <w:pgSz w:w="16840" w:h="11907" w:orient="landscape"/>
          <w:pgMar w:top="2041" w:right="1134" w:bottom="1134" w:left="1134" w:header="1304" w:footer="1020" w:gutter="340"/>
          <w:cols w:space="425" w:num="1"/>
          <w:docGrid w:linePitch="326" w:charSpace="0"/>
        </w:sectPr>
      </w:pPr>
    </w:p>
    <w:p>
      <w:pPr>
        <w:spacing w:line="300" w:lineRule="auto"/>
        <w:outlineLvl w:val="1"/>
        <w:rPr>
          <w:rFonts w:ascii="Arial" w:hAnsi="Arial" w:eastAsia="仿宋_GB2312" w:cs="Arial"/>
          <w:b/>
          <w:sz w:val="28"/>
          <w:highlight w:val="none"/>
        </w:rPr>
      </w:pPr>
      <w:bookmarkStart w:id="133" w:name="_Toc69393384"/>
      <w:bookmarkStart w:id="134" w:name="_Toc416783537"/>
      <w:bookmarkStart w:id="135" w:name="_Toc425250322"/>
      <w:bookmarkStart w:id="136" w:name="_Toc515458377"/>
      <w:bookmarkStart w:id="137" w:name="_Toc469066320"/>
      <w:bookmarkStart w:id="138" w:name="_Toc524335082"/>
      <w:bookmarkStart w:id="139" w:name="_Toc418750900"/>
      <w:r>
        <w:rPr>
          <w:rFonts w:ascii="Arial" w:hAnsi="Arial" w:eastAsia="仿宋_GB2312" w:cs="Arial"/>
          <w:b/>
          <w:sz w:val="28"/>
          <w:highlight w:val="none"/>
        </w:rPr>
        <w:t>三、估价结果和估价报告的使用</w:t>
      </w:r>
      <w:bookmarkEnd w:id="133"/>
      <w:bookmarkEnd w:id="134"/>
      <w:bookmarkEnd w:id="135"/>
      <w:bookmarkEnd w:id="136"/>
      <w:bookmarkEnd w:id="137"/>
      <w:bookmarkEnd w:id="138"/>
      <w:bookmarkEnd w:id="139"/>
    </w:p>
    <w:p>
      <w:pPr>
        <w:spacing w:line="300" w:lineRule="auto"/>
        <w:ind w:firstLine="560" w:firstLineChars="200"/>
        <w:rPr>
          <w:rFonts w:ascii="Arial" w:hAnsi="Arial" w:eastAsia="仿宋_GB2312" w:cs="Arial"/>
          <w:sz w:val="28"/>
          <w:szCs w:val="28"/>
          <w:highlight w:val="none"/>
        </w:rPr>
      </w:pPr>
      <w:bookmarkStart w:id="140" w:name="_Toc469066321"/>
      <w:bookmarkStart w:id="141" w:name="_Toc416783538"/>
      <w:bookmarkStart w:id="142" w:name="_Toc425250323"/>
      <w:bookmarkStart w:id="143" w:name="_Toc418750901"/>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2023年6月9日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rPr>
        <w:t>8</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60" w:firstLineChars="200"/>
        <w:rPr>
          <w:rFonts w:ascii="Arial" w:hAnsi="Arial" w:eastAsia="仿宋_GB2312" w:cs="Arial"/>
          <w:sz w:val="28"/>
          <w:szCs w:val="28"/>
          <w:highlight w:val="none"/>
        </w:rPr>
      </w:pPr>
      <w:bookmarkStart w:id="144" w:name="_Hlk79697750"/>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bookmarkEnd w:id="144"/>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月2日正式委托进行评估，确定估价期日为</w:t>
      </w:r>
      <w:r>
        <w:rPr>
          <w:rFonts w:hint="eastAsia" w:ascii="Arial" w:hAnsi="Arial" w:eastAsia="仿宋_GB2312" w:cs="Arial"/>
          <w:sz w:val="28"/>
          <w:highlight w:val="none"/>
        </w:rPr>
        <w:t>2023年6月5日</w:t>
      </w:r>
      <w:r>
        <w:rPr>
          <w:rFonts w:ascii="Arial" w:hAnsi="Arial" w:eastAsia="仿宋_GB2312" w:cs="Arial"/>
          <w:sz w:val="28"/>
          <w:highlight w:val="none"/>
        </w:rPr>
        <w:t>。评估专业人员于2023年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rPr>
        <w:t>5</w:t>
      </w:r>
      <w:r>
        <w:rPr>
          <w:rFonts w:ascii="Arial" w:hAnsi="Arial" w:eastAsia="仿宋_GB2312" w:cs="Arial"/>
          <w:sz w:val="28"/>
          <w:highlight w:val="none"/>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26"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bookmarkEnd w:id="15"/>
    <w:p>
      <w:pPr>
        <w:spacing w:line="300" w:lineRule="auto"/>
        <w:jc w:val="center"/>
        <w:outlineLvl w:val="0"/>
        <w:rPr>
          <w:rFonts w:ascii="Arial" w:hAnsi="Arial" w:eastAsia="仿宋_GB2312" w:cs="Arial"/>
          <w:sz w:val="28"/>
          <w:highlight w:val="none"/>
        </w:rPr>
      </w:pPr>
      <w:bookmarkStart w:id="145" w:name="_Toc524335083"/>
      <w:bookmarkStart w:id="146" w:name="_Toc69393385"/>
      <w:bookmarkStart w:id="147" w:name="_Toc515458378"/>
      <w:r>
        <w:rPr>
          <w:rFonts w:ascii="Arial" w:hAnsi="Arial" w:cs="Arial"/>
          <w:b/>
          <w:sz w:val="32"/>
          <w:highlight w:val="none"/>
        </w:rPr>
        <w:t>第四部分</w:t>
      </w:r>
      <w:r>
        <w:rPr>
          <w:rFonts w:ascii="Arial" w:hAnsi="Arial" w:eastAsia="仿宋_GB2312" w:cs="Arial"/>
          <w:b/>
          <w:sz w:val="32"/>
          <w:highlight w:val="none"/>
        </w:rPr>
        <w:t xml:space="preserve">  </w:t>
      </w:r>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140"/>
      <w:bookmarkEnd w:id="141"/>
      <w:bookmarkEnd w:id="142"/>
      <w:bookmarkEnd w:id="143"/>
      <w:bookmarkEnd w:id="145"/>
      <w:bookmarkEnd w:id="146"/>
      <w:bookmarkEnd w:id="147"/>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6</w:t>
      </w:r>
      <w:r>
        <w:rPr>
          <w:rFonts w:ascii="Arial" w:hAnsi="Arial" w:eastAsia="仿宋_GB2312" w:cs="Arial"/>
          <w:sz w:val="28"/>
          <w:highlight w:val="none"/>
        </w:rPr>
        <w:t>.估价机构《营业执照（副本）》复印件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w:t>
      </w:r>
      <w:r>
        <w:rPr>
          <w:rFonts w:ascii="Arial" w:hAnsi="Arial" w:eastAsia="仿宋_GB2312" w:cs="Arial"/>
          <w:sz w:val="28"/>
          <w:highlight w:val="none"/>
        </w:rPr>
        <w:t>.估价机构评估资质复印件</w:t>
      </w:r>
    </w:p>
    <w:p>
      <w:pPr>
        <w:spacing w:line="300" w:lineRule="auto"/>
        <w:ind w:firstLine="560" w:firstLineChars="200"/>
        <w:jc w:val="both"/>
        <w:rPr>
          <w:rFonts w:ascii="Arial" w:hAnsi="Arial" w:cs="Arial"/>
          <w:highlight w:val="none"/>
        </w:rPr>
      </w:pPr>
      <w:r>
        <w:rPr>
          <w:rFonts w:hint="eastAsia" w:ascii="Arial" w:hAnsi="Arial" w:eastAsia="楷体_GB2312" w:cs="Arial"/>
          <w:sz w:val="28"/>
          <w:highlight w:val="none"/>
        </w:rPr>
        <w:t>8</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p>
      <w:pPr>
        <w:spacing w:line="300" w:lineRule="auto"/>
        <w:jc w:val="center"/>
        <w:rPr>
          <w:rFonts w:ascii="Arial" w:hAnsi="Arial" w:cs="Arial"/>
          <w:b/>
          <w:sz w:val="44"/>
          <w:highlight w:val="none"/>
        </w:rPr>
        <w:sectPr>
          <w:footerReference r:id="rId27" w:type="default"/>
          <w:pgSz w:w="11907" w:h="16840"/>
          <w:pgMar w:top="1843" w:right="1134" w:bottom="1134" w:left="1134" w:header="1134" w:footer="907" w:gutter="340"/>
          <w:cols w:space="720" w:num="1"/>
          <w:docGrid w:linePitch="326" w:charSpace="0"/>
        </w:sectPr>
      </w:pPr>
      <w:bookmarkStart w:id="148" w:name="_Toc416783635"/>
      <w:bookmarkStart w:id="149" w:name="_Toc416783539"/>
      <w:bookmarkStart w:id="150" w:name="_Toc418750902"/>
    </w:p>
    <w:p>
      <w:pPr>
        <w:spacing w:line="300" w:lineRule="auto"/>
        <w:jc w:val="center"/>
        <w:rPr>
          <w:rFonts w:ascii="Arial" w:hAnsi="Arial" w:cs="Arial"/>
          <w:b/>
          <w:sz w:val="44"/>
          <w:highlight w:val="none"/>
        </w:rPr>
      </w:pPr>
    </w:p>
    <w:p>
      <w:pPr>
        <w:spacing w:line="300" w:lineRule="auto"/>
        <w:jc w:val="center"/>
        <w:rPr>
          <w:rFonts w:ascii="Arial" w:hAnsi="Arial" w:cs="Arial"/>
          <w:b/>
          <w:sz w:val="44"/>
          <w:highlight w:val="none"/>
        </w:rPr>
      </w:pPr>
    </w:p>
    <w:p>
      <w:pPr>
        <w:spacing w:line="300" w:lineRule="auto"/>
        <w:jc w:val="center"/>
        <w:rPr>
          <w:rFonts w:ascii="Arial" w:hAnsi="Arial" w:cs="Arial"/>
          <w:sz w:val="44"/>
          <w:highlight w:val="none"/>
        </w:rPr>
      </w:pPr>
      <w:r>
        <w:rPr>
          <w:rFonts w:ascii="Arial" w:hAnsi="Arial" w:cs="Arial"/>
          <w:b/>
          <w:sz w:val="44"/>
          <w:highlight w:val="none"/>
        </w:rPr>
        <w:t>土</w:t>
      </w:r>
      <w:r>
        <w:rPr>
          <w:rFonts w:ascii="Arial" w:hAnsi="Arial" w:eastAsia="仿宋_GB2312" w:cs="Arial"/>
          <w:b/>
          <w:sz w:val="44"/>
          <w:highlight w:val="none"/>
        </w:rPr>
        <w:t xml:space="preserve"> </w:t>
      </w:r>
      <w:r>
        <w:rPr>
          <w:rFonts w:ascii="Arial" w:hAnsi="Arial" w:cs="Arial"/>
          <w:b/>
          <w:sz w:val="44"/>
          <w:highlight w:val="none"/>
        </w:rPr>
        <w:t>地</w:t>
      </w:r>
      <w:r>
        <w:rPr>
          <w:rFonts w:ascii="Arial" w:hAnsi="Arial" w:eastAsia="仿宋_GB2312" w:cs="Arial"/>
          <w:b/>
          <w:sz w:val="44"/>
          <w:highlight w:val="none"/>
        </w:rPr>
        <w:t xml:space="preserve"> </w:t>
      </w:r>
      <w:r>
        <w:rPr>
          <w:rFonts w:ascii="Arial" w:hAnsi="Arial" w:cs="Arial"/>
          <w:b/>
          <w:sz w:val="44"/>
          <w:highlight w:val="none"/>
        </w:rPr>
        <w:t>估</w:t>
      </w:r>
      <w:r>
        <w:rPr>
          <w:rFonts w:ascii="Arial" w:hAnsi="Arial" w:eastAsia="仿宋_GB2312" w:cs="Arial"/>
          <w:b/>
          <w:sz w:val="44"/>
          <w:highlight w:val="none"/>
        </w:rPr>
        <w:t xml:space="preserve"> </w:t>
      </w:r>
      <w:r>
        <w:rPr>
          <w:rFonts w:ascii="Arial" w:hAnsi="Arial" w:cs="Arial"/>
          <w:b/>
          <w:sz w:val="44"/>
          <w:highlight w:val="none"/>
        </w:rPr>
        <w:t>价</w:t>
      </w:r>
      <w:r>
        <w:rPr>
          <w:rFonts w:ascii="Arial" w:hAnsi="Arial" w:eastAsia="仿宋_GB2312" w:cs="Arial"/>
          <w:b/>
          <w:sz w:val="44"/>
          <w:highlight w:val="none"/>
        </w:rPr>
        <w:t xml:space="preserve"> </w:t>
      </w:r>
      <w:r>
        <w:rPr>
          <w:rFonts w:ascii="Arial" w:hAnsi="Arial" w:cs="Arial"/>
          <w:b/>
          <w:sz w:val="44"/>
          <w:highlight w:val="none"/>
        </w:rPr>
        <w:t>技</w:t>
      </w:r>
      <w:r>
        <w:rPr>
          <w:rFonts w:ascii="Arial" w:hAnsi="Arial" w:eastAsia="仿宋_GB2312" w:cs="Arial"/>
          <w:b/>
          <w:sz w:val="44"/>
          <w:highlight w:val="none"/>
        </w:rPr>
        <w:t xml:space="preserve"> </w:t>
      </w:r>
      <w:r>
        <w:rPr>
          <w:rFonts w:ascii="Arial" w:hAnsi="Arial" w:cs="Arial"/>
          <w:b/>
          <w:sz w:val="44"/>
          <w:highlight w:val="none"/>
        </w:rPr>
        <w:t>术</w:t>
      </w:r>
      <w:r>
        <w:rPr>
          <w:rFonts w:ascii="Arial" w:hAnsi="Arial" w:eastAsia="仿宋_GB2312" w:cs="Arial"/>
          <w:b/>
          <w:sz w:val="44"/>
          <w:highlight w:val="none"/>
        </w:rPr>
        <w:t xml:space="preserve"> </w:t>
      </w:r>
      <w:r>
        <w:rPr>
          <w:rFonts w:ascii="Arial" w:hAnsi="Arial" w:cs="Arial"/>
          <w:b/>
          <w:sz w:val="44"/>
          <w:highlight w:val="none"/>
        </w:rPr>
        <w:t>报</w:t>
      </w:r>
      <w:r>
        <w:rPr>
          <w:rFonts w:ascii="Arial" w:hAnsi="Arial" w:eastAsia="仿宋_GB2312" w:cs="Arial"/>
          <w:b/>
          <w:sz w:val="44"/>
          <w:highlight w:val="none"/>
        </w:rPr>
        <w:t xml:space="preserve"> </w:t>
      </w:r>
      <w:r>
        <w:rPr>
          <w:rFonts w:ascii="Arial" w:hAnsi="Arial" w:cs="Arial"/>
          <w:b/>
          <w:sz w:val="44"/>
          <w:highlight w:val="none"/>
        </w:rPr>
        <w:t>告</w:t>
      </w:r>
      <w:bookmarkEnd w:id="148"/>
      <w:bookmarkEnd w:id="149"/>
      <w:bookmarkEnd w:id="150"/>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jc w:val="center"/>
        <w:rPr>
          <w:rFonts w:ascii="Arial" w:hAnsi="Arial" w:eastAsia="楷体_GB2312" w:cs="Arial"/>
          <w:bCs/>
          <w:sz w:val="32"/>
          <w:highlight w:val="none"/>
        </w:rPr>
      </w:pPr>
    </w:p>
    <w:p>
      <w:pPr>
        <w:spacing w:line="300" w:lineRule="auto"/>
        <w:ind w:left="2201" w:hanging="2201" w:hangingChars="685"/>
        <w:jc w:val="both"/>
        <w:rPr>
          <w:rFonts w:ascii="Arial" w:hAnsi="Arial" w:eastAsia="楷体_GB2312" w:cs="Arial"/>
          <w:b/>
          <w:i/>
          <w:sz w:val="28"/>
          <w:szCs w:val="28"/>
          <w:highlight w:val="none"/>
        </w:rPr>
      </w:pPr>
      <w:r>
        <w:rPr>
          <w:rFonts w:ascii="Arial" w:hAnsi="Arial" w:eastAsia="楷体_GB2312" w:cs="Arial"/>
          <w:b/>
          <w:sz w:val="32"/>
          <w:highlight w:val="none"/>
        </w:rPr>
        <w:t>项</w:t>
      </w:r>
      <w:r>
        <w:rPr>
          <w:rFonts w:ascii="Arial" w:hAnsi="Arial" w:eastAsia="仿宋_GB2312" w:cs="Arial"/>
          <w:b/>
          <w:sz w:val="32"/>
          <w:highlight w:val="none"/>
        </w:rPr>
        <w:t xml:space="preserve">  </w:t>
      </w:r>
      <w:r>
        <w:rPr>
          <w:rFonts w:ascii="Arial" w:hAnsi="Arial" w:eastAsia="楷体_GB2312" w:cs="Arial"/>
          <w:b/>
          <w:sz w:val="32"/>
          <w:highlight w:val="none"/>
        </w:rPr>
        <w:t>目</w:t>
      </w:r>
      <w:r>
        <w:rPr>
          <w:rFonts w:ascii="Arial" w:hAnsi="Arial" w:eastAsia="仿宋_GB2312" w:cs="Arial"/>
          <w:b/>
          <w:sz w:val="32"/>
          <w:highlight w:val="none"/>
        </w:rPr>
        <w:t xml:space="preserve"> </w:t>
      </w:r>
      <w:r>
        <w:rPr>
          <w:rFonts w:ascii="Arial" w:hAnsi="Arial" w:eastAsia="楷体_GB2312" w:cs="Arial"/>
          <w:b/>
          <w:sz w:val="32"/>
          <w:highlight w:val="none"/>
        </w:rPr>
        <w:t>名</w:t>
      </w:r>
      <w:r>
        <w:rPr>
          <w:rFonts w:ascii="Arial" w:hAnsi="Arial" w:eastAsia="仿宋_GB2312" w:cs="Arial"/>
          <w:b/>
          <w:sz w:val="32"/>
          <w:highlight w:val="none"/>
        </w:rPr>
        <w:t xml:space="preserve"> </w:t>
      </w:r>
      <w:r>
        <w:rPr>
          <w:rFonts w:ascii="Arial" w:hAnsi="Arial" w:eastAsia="楷体_GB2312" w:cs="Arial"/>
          <w:b/>
          <w:sz w:val="32"/>
          <w:highlight w:val="none"/>
        </w:rPr>
        <w:t>称：</w:t>
      </w:r>
      <w:r>
        <w:rPr>
          <w:rFonts w:hint="eastAsia" w:ascii="Arial" w:hAnsi="Arial" w:eastAsia="楷体_GB2312" w:cs="Arial"/>
          <w:b/>
          <w:sz w:val="32"/>
          <w:highlight w:val="none"/>
        </w:rPr>
        <w:t>北京市密云区西门外大街</w:t>
      </w:r>
      <w:r>
        <w:rPr>
          <w:rFonts w:hint="eastAsia" w:ascii="Arial" w:hAnsi="Arial" w:eastAsia="楷体_GB2312" w:cs="Arial"/>
          <w:b/>
          <w:sz w:val="32"/>
          <w:highlight w:val="none"/>
          <w:lang w:eastAsia="zh-CN"/>
        </w:rPr>
        <w:t>8号楼601-605号</w:t>
      </w:r>
      <w:r>
        <w:rPr>
          <w:rFonts w:hint="eastAsia" w:ascii="Arial" w:hAnsi="Arial" w:eastAsia="楷体_GB2312" w:cs="Arial"/>
          <w:b/>
          <w:sz w:val="32"/>
          <w:highlight w:val="none"/>
        </w:rPr>
        <w:t>现状商业用地国有建设用地使用权出让价格评估</w:t>
      </w:r>
    </w:p>
    <w:p>
      <w:pPr>
        <w:spacing w:line="300" w:lineRule="auto"/>
        <w:ind w:left="1925" w:hanging="1925" w:hangingChars="685"/>
        <w:jc w:val="both"/>
        <w:rPr>
          <w:rFonts w:ascii="Arial" w:hAnsi="Arial" w:eastAsia="楷体_GB2312" w:cs="Arial"/>
          <w:b/>
          <w:sz w:val="28"/>
          <w:szCs w:val="28"/>
          <w:highlight w:val="none"/>
        </w:rPr>
      </w:pPr>
    </w:p>
    <w:p>
      <w:pPr>
        <w:spacing w:line="300" w:lineRule="auto"/>
        <w:rPr>
          <w:rFonts w:ascii="Arial" w:hAnsi="Arial" w:eastAsia="楷体_GB2312" w:cs="Arial"/>
          <w:b/>
          <w:bCs/>
          <w:sz w:val="32"/>
          <w:highlight w:val="none"/>
        </w:rPr>
      </w:pPr>
      <w:r>
        <w:rPr>
          <w:rFonts w:ascii="Arial" w:hAnsi="Arial" w:eastAsia="楷体_GB2312" w:cs="Arial"/>
          <w:b/>
          <w:sz w:val="32"/>
          <w:highlight w:val="none"/>
        </w:rPr>
        <w:t>受托估价单位：北京康正宏基房地产评估有限公司</w:t>
      </w:r>
    </w:p>
    <w:p>
      <w:pPr>
        <w:spacing w:line="300" w:lineRule="auto"/>
        <w:ind w:right="-327"/>
        <w:rPr>
          <w:rFonts w:ascii="Arial" w:hAnsi="Arial" w:eastAsia="楷体_GB2312" w:cs="Arial"/>
          <w:b/>
          <w:bCs/>
          <w:sz w:val="32"/>
          <w:highlight w:val="none"/>
        </w:rPr>
      </w:pPr>
      <w:bookmarkStart w:id="151" w:name="_Toc416783636"/>
      <w:bookmarkStart w:id="152" w:name="_Toc416783540"/>
    </w:p>
    <w:bookmarkEnd w:id="151"/>
    <w:bookmarkEnd w:id="152"/>
    <w:p>
      <w:pPr>
        <w:spacing w:line="300" w:lineRule="auto"/>
        <w:ind w:left="2891" w:right="-327" w:hanging="2891" w:hangingChars="900"/>
        <w:rPr>
          <w:rFonts w:hint="eastAsia" w:ascii="Arial" w:hAnsi="Arial" w:eastAsia="楷体_GB2312" w:cs="Arial"/>
          <w:b/>
          <w:sz w:val="32"/>
          <w:highlight w:val="none"/>
          <w:lang w:eastAsia="zh-CN"/>
        </w:rPr>
      </w:pPr>
      <w:bookmarkStart w:id="153" w:name="_Toc418750903"/>
      <w:r>
        <w:rPr>
          <w:rFonts w:ascii="Arial" w:hAnsi="Arial" w:eastAsia="楷体_GB2312" w:cs="Arial"/>
          <w:b/>
          <w:sz w:val="32"/>
          <w:highlight w:val="none"/>
        </w:rPr>
        <w:t>土地估价报告编号：</w:t>
      </w:r>
      <w:bookmarkEnd w:id="153"/>
      <w:bookmarkStart w:id="154" w:name="_Toc416783541"/>
      <w:bookmarkStart w:id="155" w:name="_Toc416783637"/>
      <w:r>
        <w:rPr>
          <w:rFonts w:hint="eastAsia" w:ascii="Arial" w:hAnsi="Arial" w:eastAsia="楷体_GB2312" w:cs="Arial"/>
          <w:b/>
          <w:sz w:val="32"/>
          <w:highlight w:val="none"/>
          <w:lang w:eastAsia="zh-CN"/>
        </w:rPr>
        <w:t>北京康正2023（估）字第0013号2023-1-0448-F02TDCR6</w:t>
      </w:r>
    </w:p>
    <w:p>
      <w:pPr>
        <w:spacing w:line="300" w:lineRule="auto"/>
        <w:ind w:right="-327"/>
        <w:rPr>
          <w:rFonts w:ascii="Arial" w:hAnsi="Arial" w:eastAsia="楷体_GB2312" w:cs="Arial"/>
          <w:b/>
          <w:bCs/>
          <w:spacing w:val="-10"/>
          <w:sz w:val="32"/>
          <w:highlight w:val="none"/>
        </w:rPr>
      </w:pPr>
    </w:p>
    <w:p>
      <w:pPr>
        <w:spacing w:line="300" w:lineRule="auto"/>
        <w:ind w:left="3314" w:right="-207" w:hanging="3314" w:hangingChars="1100"/>
        <w:rPr>
          <w:rFonts w:hint="eastAsia" w:ascii="Arial" w:hAnsi="Arial" w:eastAsia="楷体_GB2312" w:cs="Arial"/>
          <w:b/>
          <w:sz w:val="32"/>
          <w:highlight w:val="none"/>
          <w:lang w:eastAsia="zh-CN"/>
        </w:rPr>
      </w:pPr>
      <w:bookmarkStart w:id="156" w:name="_Toc418750904"/>
      <w:r>
        <w:rPr>
          <w:rFonts w:ascii="Arial" w:hAnsi="Arial" w:eastAsia="楷体_GB2312" w:cs="Arial"/>
          <w:b/>
          <w:bCs/>
          <w:spacing w:val="-10"/>
          <w:sz w:val="32"/>
          <w:highlight w:val="none"/>
        </w:rPr>
        <w:t>土地估价技术报告编号：</w:t>
      </w:r>
      <w:bookmarkEnd w:id="154"/>
      <w:bookmarkEnd w:id="155"/>
      <w:bookmarkEnd w:id="156"/>
      <w:r>
        <w:rPr>
          <w:rFonts w:hint="eastAsia" w:ascii="Arial" w:hAnsi="Arial" w:eastAsia="楷体_GB2312" w:cs="Arial"/>
          <w:b/>
          <w:sz w:val="32"/>
          <w:highlight w:val="none"/>
          <w:lang w:eastAsia="zh-CN"/>
        </w:rPr>
        <w:t>北京康正2023（估）字第0013号2023-1-0448-F02TDCR6</w:t>
      </w:r>
    </w:p>
    <w:p>
      <w:pPr>
        <w:spacing w:line="300" w:lineRule="auto"/>
        <w:ind w:right="-207"/>
        <w:rPr>
          <w:rFonts w:ascii="Arial" w:hAnsi="Arial" w:eastAsia="楷体_GB2312" w:cs="Arial"/>
          <w:b/>
          <w:sz w:val="32"/>
          <w:highlight w:val="none"/>
        </w:rPr>
      </w:pPr>
    </w:p>
    <w:p>
      <w:pPr>
        <w:spacing w:line="300" w:lineRule="auto"/>
        <w:rPr>
          <w:rFonts w:ascii="Arial" w:hAnsi="Arial" w:eastAsia="楷体_GB2312" w:cs="Arial"/>
          <w:b/>
          <w:bCs/>
          <w:spacing w:val="-20"/>
          <w:sz w:val="32"/>
          <w:highlight w:val="none"/>
        </w:rPr>
      </w:pPr>
      <w:r>
        <w:rPr>
          <w:rFonts w:ascii="Arial" w:hAnsi="Arial" w:eastAsia="楷体_GB2312" w:cs="Arial"/>
          <w:b/>
          <w:bCs/>
          <w:sz w:val="32"/>
          <w:highlight w:val="none"/>
        </w:rPr>
        <w:t>提交估价报告日期：</w:t>
      </w:r>
      <w:r>
        <w:rPr>
          <w:rFonts w:hint="eastAsia" w:ascii="Arial" w:hAnsi="Arial" w:eastAsia="楷体_GB2312" w:cs="Arial"/>
          <w:b/>
          <w:sz w:val="32"/>
          <w:highlight w:val="none"/>
        </w:rPr>
        <w:t>2023年6月9日</w:t>
      </w:r>
    </w:p>
    <w:p>
      <w:pPr>
        <w:spacing w:line="300" w:lineRule="auto"/>
        <w:rPr>
          <w:rFonts w:ascii="Arial" w:hAnsi="Arial" w:eastAsia="楷体_GB2312" w:cs="Arial"/>
          <w:b/>
          <w:bCs/>
          <w:sz w:val="32"/>
          <w:highlight w:val="none"/>
        </w:rPr>
      </w:pPr>
    </w:p>
    <w:p>
      <w:pPr>
        <w:spacing w:line="300" w:lineRule="auto"/>
        <w:rPr>
          <w:rFonts w:ascii="Arial" w:hAnsi="Arial" w:eastAsia="楷体_GB2312" w:cs="Arial"/>
          <w:b/>
          <w:bCs/>
          <w:sz w:val="32"/>
          <w:highlight w:val="none"/>
        </w:rPr>
      </w:pPr>
      <w:r>
        <w:rPr>
          <w:rFonts w:ascii="Arial" w:hAnsi="Arial" w:eastAsia="楷体_GB2312" w:cs="Arial"/>
          <w:b/>
          <w:bCs/>
          <w:sz w:val="32"/>
          <w:highlight w:val="none"/>
        </w:rPr>
        <w:t>关键词：北京市、</w:t>
      </w:r>
      <w:r>
        <w:rPr>
          <w:rFonts w:hint="eastAsia" w:ascii="Arial" w:hAnsi="Arial" w:eastAsia="楷体_GB2312" w:cs="Arial"/>
          <w:b/>
          <w:bCs/>
          <w:sz w:val="32"/>
          <w:highlight w:val="none"/>
        </w:rPr>
        <w:t>密云</w:t>
      </w:r>
      <w:r>
        <w:rPr>
          <w:rFonts w:ascii="Arial" w:hAnsi="Arial" w:eastAsia="楷体_GB2312" w:cs="Arial"/>
          <w:b/>
          <w:bCs/>
          <w:sz w:val="32"/>
          <w:highlight w:val="none"/>
        </w:rPr>
        <w:t>区</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出让</w:t>
      </w:r>
      <w:r>
        <w:rPr>
          <w:rFonts w:hint="eastAsia" w:ascii="Arial" w:hAnsi="Arial" w:eastAsia="楷体_GB2312" w:cs="Arial"/>
          <w:b/>
          <w:bCs/>
          <w:sz w:val="32"/>
          <w:highlight w:val="none"/>
        </w:rPr>
        <w:t>、划拨</w:t>
      </w:r>
    </w:p>
    <w:p>
      <w:pPr>
        <w:spacing w:line="300" w:lineRule="auto"/>
        <w:ind w:firstLine="1285" w:firstLineChars="400"/>
        <w:rPr>
          <w:rFonts w:ascii="Arial" w:hAnsi="Arial" w:eastAsia="楷体_GB2312" w:cs="Arial"/>
          <w:b/>
          <w:bCs/>
          <w:sz w:val="32"/>
          <w:highlight w:val="none"/>
        </w:rPr>
      </w:pPr>
      <w:r>
        <w:rPr>
          <w:rFonts w:ascii="Arial" w:hAnsi="Arial" w:eastAsia="楷体_GB2312" w:cs="Arial"/>
          <w:b/>
          <w:bCs/>
          <w:sz w:val="32"/>
          <w:highlight w:val="none"/>
        </w:rPr>
        <w:t>北京康正宏基房地产评估有限公司</w:t>
      </w:r>
    </w:p>
    <w:p>
      <w:pPr>
        <w:spacing w:line="300" w:lineRule="auto"/>
        <w:rPr>
          <w:rFonts w:ascii="Arial" w:hAnsi="Arial" w:eastAsia="楷体_GB2312" w:cs="Arial"/>
          <w:b/>
          <w:bCs/>
          <w:spacing w:val="-20"/>
          <w:sz w:val="32"/>
          <w:highlight w:val="none"/>
        </w:rPr>
      </w:pPr>
      <w:r>
        <w:rPr>
          <w:rFonts w:ascii="Arial" w:hAnsi="Arial" w:eastAsia="仿宋_GB2312" w:cs="Arial"/>
          <w:b/>
          <w:bCs/>
          <w:sz w:val="32"/>
          <w:highlight w:val="none"/>
        </w:rPr>
        <w:t xml:space="preserve">        </w:t>
      </w:r>
      <w:r>
        <w:rPr>
          <w:rFonts w:ascii="Arial" w:hAnsi="Arial" w:eastAsia="楷体_GB2312" w:cs="Arial"/>
          <w:b/>
          <w:bCs/>
          <w:sz w:val="32"/>
          <w:highlight w:val="none"/>
        </w:rPr>
        <w:t>二Ｏ二</w:t>
      </w:r>
      <w:r>
        <w:rPr>
          <w:rFonts w:hint="eastAsia" w:ascii="Arial" w:hAnsi="Arial" w:eastAsia="楷体_GB2312" w:cs="Arial"/>
          <w:b/>
          <w:bCs/>
          <w:sz w:val="32"/>
          <w:highlight w:val="none"/>
        </w:rPr>
        <w:t>三</w:t>
      </w:r>
      <w:r>
        <w:rPr>
          <w:rFonts w:ascii="Arial" w:hAnsi="Arial" w:eastAsia="楷体_GB2312" w:cs="Arial"/>
          <w:b/>
          <w:bCs/>
          <w:sz w:val="32"/>
          <w:highlight w:val="none"/>
        </w:rPr>
        <w:t>年</w:t>
      </w:r>
    </w:p>
    <w:p>
      <w:pPr>
        <w:tabs>
          <w:tab w:val="center" w:pos="4649"/>
        </w:tabs>
        <w:spacing w:line="300" w:lineRule="auto"/>
        <w:rPr>
          <w:rFonts w:ascii="Arial" w:hAnsi="Arial" w:eastAsia="楷体" w:cs="Arial"/>
          <w:bCs/>
          <w:sz w:val="32"/>
          <w:highlight w:val="none"/>
        </w:rPr>
        <w:sectPr>
          <w:footerReference r:id="rId28" w:type="default"/>
          <w:pgSz w:w="11907" w:h="16840"/>
          <w:pgMar w:top="1843" w:right="1134" w:bottom="1134" w:left="1134" w:header="1134" w:footer="907" w:gutter="340"/>
          <w:pgNumType w:start="1"/>
          <w:cols w:space="720" w:num="1"/>
          <w:docGrid w:linePitch="326" w:charSpace="0"/>
        </w:sectPr>
      </w:pPr>
      <w:r>
        <w:rPr>
          <w:rFonts w:ascii="Arial" w:hAnsi="Arial" w:eastAsia="楷体" w:cs="Arial"/>
          <w:bCs/>
          <w:sz w:val="32"/>
          <w:highlight w:val="none"/>
        </w:rPr>
        <w:tab/>
      </w:r>
    </w:p>
    <w:p>
      <w:pPr>
        <w:pStyle w:val="23"/>
        <w:spacing w:line="300" w:lineRule="auto"/>
        <w:rPr>
          <w:rFonts w:ascii="Arial" w:cs="Arial"/>
          <w:highlight w:val="none"/>
        </w:rPr>
      </w:pPr>
      <w:r>
        <w:rPr>
          <w:rFonts w:ascii="Arial" w:cs="Arial"/>
          <w:b/>
          <w:sz w:val="32"/>
          <w:szCs w:val="32"/>
          <w:highlight w:val="none"/>
        </w:rPr>
        <w:t>目录</w:t>
      </w:r>
      <w:r>
        <w:rPr>
          <w:rStyle w:val="40"/>
          <w:rFonts w:ascii="Arial" w:cs="Arial"/>
          <w:color w:val="auto"/>
          <w:sz w:val="24"/>
          <w:szCs w:val="24"/>
          <w:highlight w:val="none"/>
        </w:rPr>
        <w:fldChar w:fldCharType="begin"/>
      </w:r>
      <w:r>
        <w:rPr>
          <w:rStyle w:val="40"/>
          <w:rFonts w:ascii="Arial" w:cs="Arial"/>
          <w:color w:val="auto"/>
          <w:sz w:val="24"/>
          <w:szCs w:val="24"/>
          <w:highlight w:val="none"/>
        </w:rPr>
        <w:instrText xml:space="preserve"> TOC \o "1-2" \h \z \u </w:instrText>
      </w:r>
      <w:r>
        <w:rPr>
          <w:rStyle w:val="40"/>
          <w:rFonts w:ascii="Arial" w:cs="Arial"/>
          <w:color w:val="auto"/>
          <w:sz w:val="24"/>
          <w:szCs w:val="24"/>
          <w:highlight w:val="none"/>
        </w:rPr>
        <w:fldChar w:fldCharType="separate"/>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"_Toc524335084" </w:instrText>
      </w:r>
      <w:r>
        <w:rPr>
          <w:highlight w:val="none"/>
        </w:rPr>
        <w:fldChar w:fldCharType="separate"/>
      </w:r>
      <w:r>
        <w:rPr>
          <w:rStyle w:val="40"/>
          <w:rFonts w:ascii="Arial" w:cs="Arial"/>
          <w:b/>
          <w:color w:val="auto"/>
          <w:highlight w:val="none"/>
        </w:rPr>
        <w:t>第一部分  总  述</w:t>
      </w:r>
      <w:r>
        <w:rPr>
          <w:rFonts w:ascii="Arial" w:cs="Arial"/>
          <w:highlight w:val="none"/>
        </w:rPr>
        <w:tab/>
      </w:r>
      <w:r>
        <w:rPr>
          <w:rFonts w:ascii="Arial" w:cs="Arial"/>
          <w:highlight w:val="none"/>
        </w:rPr>
        <w:fldChar w:fldCharType="begin"/>
      </w:r>
      <w:r>
        <w:rPr>
          <w:rFonts w:ascii="Arial" w:cs="Arial"/>
          <w:highlight w:val="none"/>
        </w:rPr>
        <w:instrText xml:space="preserve"> PAGEREF _Toc524335084 \h </w:instrText>
      </w:r>
      <w:r>
        <w:rPr>
          <w:rFonts w:ascii="Arial" w:cs="Arial"/>
          <w:highlight w:val="none"/>
        </w:rPr>
        <w:fldChar w:fldCharType="separate"/>
      </w:r>
      <w:r>
        <w:rPr>
          <w:rFonts w:ascii="Arial" w:cs="Arial"/>
          <w:highlight w:val="none"/>
        </w:rPr>
        <w:t>1</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"_Toc524335085" </w:instrText>
      </w:r>
      <w:r>
        <w:rPr>
          <w:highlight w:val="none"/>
        </w:rPr>
        <w:fldChar w:fldCharType="separate"/>
      </w:r>
      <w:r>
        <w:rPr>
          <w:rStyle w:val="40"/>
          <w:rFonts w:ascii="Arial" w:hAnsi="Arial" w:eastAsia="仿宋_GB2312" w:cs="Arial"/>
          <w:b/>
          <w:color w:val="auto"/>
          <w:highlight w:val="none"/>
        </w:rPr>
        <w:t>一、估价项目名称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_Toc524335085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"_Toc524335086" </w:instrText>
      </w:r>
      <w:r>
        <w:rPr>
          <w:highlight w:val="none"/>
        </w:rPr>
        <w:fldChar w:fldCharType="separate"/>
      </w:r>
      <w:r>
        <w:rPr>
          <w:rStyle w:val="40"/>
          <w:rFonts w:ascii="Arial" w:hAnsi="Arial" w:eastAsia="仿宋_GB2312" w:cs="Arial"/>
          <w:b/>
          <w:color w:val="auto"/>
          <w:highlight w:val="none"/>
        </w:rPr>
        <w:t>二、委托估价方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_Toc524335086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"_Toc524335087" </w:instrText>
      </w:r>
      <w:r>
        <w:rPr>
          <w:highlight w:val="none"/>
        </w:rPr>
        <w:fldChar w:fldCharType="separate"/>
      </w:r>
      <w:r>
        <w:rPr>
          <w:rStyle w:val="40"/>
          <w:rFonts w:ascii="Arial" w:hAnsi="Arial" w:eastAsia="仿宋_GB2312" w:cs="Arial"/>
          <w:b/>
          <w:color w:val="auto"/>
          <w:highlight w:val="none"/>
        </w:rPr>
        <w:t>三、受托估价方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_Toc524335087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"_Toc524335088" </w:instrText>
      </w:r>
      <w:r>
        <w:rPr>
          <w:highlight w:val="none"/>
        </w:rPr>
        <w:fldChar w:fldCharType="separate"/>
      </w:r>
      <w:r>
        <w:rPr>
          <w:rStyle w:val="40"/>
          <w:rFonts w:ascii="Arial" w:hAnsi="Arial" w:eastAsia="仿宋_GB2312" w:cs="Arial"/>
          <w:b/>
          <w:color w:val="auto"/>
          <w:highlight w:val="none"/>
        </w:rPr>
        <w:t>四、估价目的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_Toc524335088 \h </w:instrText>
      </w:r>
      <w:r>
        <w:rPr>
          <w:rFonts w:ascii="Arial" w:hAnsi="Arial" w:cs="Arial"/>
          <w:highlight w:val="none"/>
        </w:rPr>
        <w:fldChar w:fldCharType="separate"/>
      </w:r>
      <w:r>
        <w:rPr>
          <w:rFonts w:ascii="Arial" w:hAnsi="Arial" w:cs="Arial"/>
          <w:highlight w:val="none"/>
        </w:rPr>
        <w:t>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"_Toc524335089" </w:instrText>
      </w:r>
      <w:r>
        <w:rPr>
          <w:highlight w:val="none"/>
        </w:rPr>
        <w:fldChar w:fldCharType="separate"/>
      </w:r>
      <w:r>
        <w:rPr>
          <w:rStyle w:val="40"/>
          <w:rFonts w:ascii="Arial" w:hAnsi="Arial" w:eastAsia="仿宋_GB2312" w:cs="Arial"/>
          <w:b/>
          <w:color w:val="auto"/>
          <w:highlight w:val="none"/>
        </w:rPr>
        <w:t>五、估价依据</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_Toc524335089 \h </w:instrText>
      </w:r>
      <w:r>
        <w:rPr>
          <w:rFonts w:ascii="Arial" w:hAnsi="Arial" w:cs="Arial"/>
          <w:highlight w:val="none"/>
        </w:rPr>
        <w:fldChar w:fldCharType="separate"/>
      </w:r>
      <w:r>
        <w:rPr>
          <w:rFonts w:ascii="Arial" w:hAnsi="Arial" w:cs="Arial"/>
          <w:highlight w:val="none"/>
        </w:rPr>
        <w:t>2</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"_Toc524335090" </w:instrText>
      </w:r>
      <w:r>
        <w:rPr>
          <w:highlight w:val="none"/>
        </w:rPr>
        <w:fldChar w:fldCharType="separate"/>
      </w:r>
      <w:r>
        <w:rPr>
          <w:rStyle w:val="40"/>
          <w:rFonts w:ascii="Arial" w:hAnsi="Arial" w:eastAsia="仿宋_GB2312" w:cs="Arial"/>
          <w:b/>
          <w:color w:val="auto"/>
          <w:highlight w:val="none"/>
        </w:rPr>
        <w:t>六、估价期日</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_Toc524335090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"_Toc524335091" </w:instrText>
      </w:r>
      <w:r>
        <w:rPr>
          <w:highlight w:val="none"/>
        </w:rPr>
        <w:fldChar w:fldCharType="separate"/>
      </w:r>
      <w:r>
        <w:rPr>
          <w:rStyle w:val="40"/>
          <w:rFonts w:ascii="Arial" w:hAnsi="Arial" w:eastAsia="仿宋_GB2312" w:cs="Arial"/>
          <w:b/>
          <w:bCs/>
          <w:color w:val="auto"/>
          <w:highlight w:val="none"/>
        </w:rPr>
        <w:t>七、估价日期</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_Toc524335091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"_Toc524335092" </w:instrText>
      </w:r>
      <w:r>
        <w:rPr>
          <w:highlight w:val="none"/>
        </w:rPr>
        <w:fldChar w:fldCharType="separate"/>
      </w:r>
      <w:r>
        <w:rPr>
          <w:rStyle w:val="40"/>
          <w:rFonts w:ascii="Arial" w:hAnsi="Arial" w:eastAsia="仿宋_GB2312" w:cs="Arial"/>
          <w:b/>
          <w:bCs/>
          <w:color w:val="auto"/>
          <w:highlight w:val="none"/>
        </w:rPr>
        <w:t>八、地价定义</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_Toc524335092 \h </w:instrText>
      </w:r>
      <w:r>
        <w:rPr>
          <w:rFonts w:ascii="Arial" w:hAnsi="Arial" w:cs="Arial"/>
          <w:highlight w:val="none"/>
        </w:rPr>
        <w:fldChar w:fldCharType="separate"/>
      </w:r>
      <w:r>
        <w:rPr>
          <w:rFonts w:ascii="Arial" w:hAnsi="Arial" w:cs="Arial"/>
          <w:highlight w:val="none"/>
        </w:rPr>
        <w:t>6</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"_Toc524335093" </w:instrText>
      </w:r>
      <w:r>
        <w:rPr>
          <w:highlight w:val="none"/>
        </w:rPr>
        <w:fldChar w:fldCharType="separate"/>
      </w:r>
      <w:r>
        <w:rPr>
          <w:rStyle w:val="40"/>
          <w:rFonts w:ascii="Arial" w:hAnsi="Arial" w:eastAsia="仿宋_GB2312" w:cs="Arial"/>
          <w:b/>
          <w:color w:val="auto"/>
          <w:highlight w:val="none"/>
        </w:rPr>
        <w:t>九、估价结果</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_Toc524335093 \h </w:instrText>
      </w:r>
      <w:r>
        <w:rPr>
          <w:rFonts w:ascii="Arial" w:hAnsi="Arial" w:cs="Arial"/>
          <w:highlight w:val="none"/>
        </w:rPr>
        <w:fldChar w:fldCharType="separate"/>
      </w:r>
      <w:r>
        <w:rPr>
          <w:rFonts w:ascii="Arial" w:hAnsi="Arial" w:cs="Arial"/>
          <w:highlight w:val="none"/>
        </w:rPr>
        <w:t>11</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"_Toc524335095" </w:instrText>
      </w:r>
      <w:r>
        <w:rPr>
          <w:highlight w:val="none"/>
        </w:rPr>
        <w:fldChar w:fldCharType="separate"/>
      </w:r>
      <w:r>
        <w:rPr>
          <w:rStyle w:val="40"/>
          <w:rFonts w:ascii="Arial" w:hAnsi="Arial" w:eastAsia="仿宋_GB2312" w:cs="Arial"/>
          <w:b/>
          <w:color w:val="auto"/>
          <w:highlight w:val="none"/>
        </w:rPr>
        <w:t>十、需要特殊说明的事项</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_Toc524335095 \h </w:instrText>
      </w:r>
      <w:r>
        <w:rPr>
          <w:rFonts w:ascii="Arial" w:hAnsi="Arial" w:cs="Arial"/>
          <w:highlight w:val="none"/>
        </w:rPr>
        <w:fldChar w:fldCharType="separate"/>
      </w:r>
      <w:r>
        <w:rPr>
          <w:rFonts w:ascii="Arial" w:hAnsi="Arial" w:cs="Arial"/>
          <w:highlight w:val="none"/>
        </w:rPr>
        <w:t>15</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"_Toc524335096" </w:instrText>
      </w:r>
      <w:r>
        <w:rPr>
          <w:highlight w:val="none"/>
        </w:rPr>
        <w:fldChar w:fldCharType="separate"/>
      </w:r>
      <w:r>
        <w:rPr>
          <w:rStyle w:val="40"/>
          <w:rFonts w:ascii="Arial" w:hAnsi="Arial" w:eastAsia="仿宋_GB2312" w:cs="Arial"/>
          <w:b/>
          <w:color w:val="auto"/>
          <w:highlight w:val="none"/>
        </w:rPr>
        <w:t>十一、评估专业人员签字</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_Toc524335096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"_Toc524335097" </w:instrText>
      </w:r>
      <w:r>
        <w:rPr>
          <w:highlight w:val="none"/>
        </w:rPr>
        <w:fldChar w:fldCharType="separate"/>
      </w:r>
      <w:r>
        <w:rPr>
          <w:rStyle w:val="40"/>
          <w:rFonts w:ascii="Arial" w:hAnsi="Arial" w:eastAsia="仿宋_GB2312" w:cs="Arial"/>
          <w:b/>
          <w:color w:val="auto"/>
          <w:highlight w:val="none"/>
        </w:rPr>
        <w:t>十二、土地估价机构</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_Toc524335097 \h </w:instrText>
      </w:r>
      <w:r>
        <w:rPr>
          <w:rFonts w:ascii="Arial" w:hAnsi="Arial" w:cs="Arial"/>
          <w:highlight w:val="none"/>
        </w:rPr>
        <w:fldChar w:fldCharType="separate"/>
      </w:r>
      <w:r>
        <w:rPr>
          <w:rFonts w:ascii="Arial" w:hAnsi="Arial" w:cs="Arial"/>
          <w:highlight w:val="none"/>
        </w:rPr>
        <w:t>19</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"_Toc524335098" </w:instrText>
      </w:r>
      <w:r>
        <w:rPr>
          <w:highlight w:val="none"/>
        </w:rPr>
        <w:fldChar w:fldCharType="separate"/>
      </w:r>
      <w:r>
        <w:rPr>
          <w:rStyle w:val="40"/>
          <w:rFonts w:ascii="Arial" w:cs="Arial"/>
          <w:b/>
          <w:color w:val="auto"/>
          <w:highlight w:val="none"/>
        </w:rPr>
        <w:t>第二部分  估价对象描述及土地价格影响因素分析</w:t>
      </w:r>
      <w:r>
        <w:rPr>
          <w:rFonts w:ascii="Arial" w:cs="Arial"/>
          <w:highlight w:val="none"/>
        </w:rPr>
        <w:tab/>
      </w:r>
      <w:r>
        <w:rPr>
          <w:rFonts w:ascii="Arial" w:cs="Arial"/>
          <w:highlight w:val="none"/>
        </w:rPr>
        <w:fldChar w:fldCharType="begin"/>
      </w:r>
      <w:r>
        <w:rPr>
          <w:rFonts w:ascii="Arial" w:cs="Arial"/>
          <w:highlight w:val="none"/>
        </w:rPr>
        <w:instrText xml:space="preserve"> PAGEREF _Toc524335098 \h </w:instrText>
      </w:r>
      <w:r>
        <w:rPr>
          <w:rFonts w:ascii="Arial" w:cs="Arial"/>
          <w:highlight w:val="none"/>
        </w:rPr>
        <w:fldChar w:fldCharType="separate"/>
      </w:r>
      <w:r>
        <w:rPr>
          <w:rFonts w:ascii="Arial" w:cs="Arial"/>
          <w:highlight w:val="none"/>
        </w:rPr>
        <w:t>20</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"_Toc524335099" </w:instrText>
      </w:r>
      <w:r>
        <w:rPr>
          <w:highlight w:val="none"/>
        </w:rPr>
        <w:fldChar w:fldCharType="separate"/>
      </w:r>
      <w:r>
        <w:rPr>
          <w:rStyle w:val="40"/>
          <w:rFonts w:ascii="Arial" w:hAnsi="Arial" w:eastAsia="仿宋_GB2312" w:cs="Arial"/>
          <w:b/>
          <w:color w:val="auto"/>
          <w:highlight w:val="none"/>
        </w:rPr>
        <w:t>一、估价对象描述</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_Toc524335099 \h </w:instrText>
      </w:r>
      <w:r>
        <w:rPr>
          <w:rFonts w:ascii="Arial" w:hAnsi="Arial" w:cs="Arial"/>
          <w:highlight w:val="none"/>
        </w:rPr>
        <w:fldChar w:fldCharType="separate"/>
      </w:r>
      <w:r>
        <w:rPr>
          <w:rFonts w:ascii="Arial" w:hAnsi="Arial" w:cs="Arial"/>
          <w:highlight w:val="none"/>
        </w:rPr>
        <w:t>20</w:t>
      </w:r>
      <w:r>
        <w:rPr>
          <w:rFonts w:ascii="Arial" w:hAnsi="Arial" w:cs="Arial"/>
          <w:highlight w:val="none"/>
        </w:rPr>
        <w:fldChar w:fldCharType="end"/>
      </w:r>
      <w:r>
        <w:rPr>
          <w:rFonts w:ascii="Arial" w:hAnsi="Arial" w:cs="Arial"/>
          <w:highlight w:val="none"/>
        </w:rPr>
        <w:fldChar w:fldCharType="end"/>
      </w:r>
    </w:p>
    <w:p>
      <w:pPr>
        <w:pStyle w:val="28"/>
        <w:spacing w:line="300" w:lineRule="auto"/>
        <w:rPr>
          <w:rFonts w:ascii="Arial" w:hAnsi="Arial" w:cs="Arial" w:eastAsiaTheme="minorEastAsia"/>
          <w:kern w:val="2"/>
          <w:sz w:val="21"/>
          <w:szCs w:val="22"/>
          <w:highlight w:val="none"/>
        </w:rPr>
      </w:pPr>
      <w:r>
        <w:rPr>
          <w:highlight w:val="none"/>
        </w:rPr>
        <w:fldChar w:fldCharType="begin"/>
      </w:r>
      <w:r>
        <w:rPr>
          <w:highlight w:val="none"/>
        </w:rPr>
        <w:instrText xml:space="preserve"> HYPERLINK \l "_Toc524335100" </w:instrText>
      </w:r>
      <w:r>
        <w:rPr>
          <w:highlight w:val="none"/>
        </w:rPr>
        <w:fldChar w:fldCharType="separate"/>
      </w:r>
      <w:r>
        <w:rPr>
          <w:rStyle w:val="40"/>
          <w:rFonts w:ascii="Arial" w:hAnsi="Arial" w:eastAsia="仿宋_GB2312" w:cs="Arial"/>
          <w:b/>
          <w:color w:val="auto"/>
          <w:highlight w:val="none"/>
        </w:rPr>
        <w:t>二、地价影响因素分析</w:t>
      </w:r>
      <w:r>
        <w:rPr>
          <w:rFonts w:ascii="Arial" w:hAnsi="Arial" w:cs="Arial"/>
          <w:highlight w:val="none"/>
        </w:rPr>
        <w:tab/>
      </w:r>
      <w:r>
        <w:rPr>
          <w:rFonts w:ascii="Arial" w:hAnsi="Arial" w:cs="Arial"/>
          <w:highlight w:val="none"/>
        </w:rPr>
        <w:fldChar w:fldCharType="begin"/>
      </w:r>
      <w:r>
        <w:rPr>
          <w:rFonts w:ascii="Arial" w:hAnsi="Arial" w:cs="Arial"/>
          <w:highlight w:val="none"/>
        </w:rPr>
        <w:instrText xml:space="preserve"> PAGEREF _Toc524335100 \h </w:instrText>
      </w:r>
      <w:r>
        <w:rPr>
          <w:rFonts w:ascii="Arial" w:hAnsi="Arial" w:cs="Arial"/>
          <w:highlight w:val="none"/>
        </w:rPr>
        <w:fldChar w:fldCharType="separate"/>
      </w:r>
      <w:r>
        <w:rPr>
          <w:rFonts w:ascii="Arial" w:hAnsi="Arial" w:cs="Arial"/>
          <w:highlight w:val="none"/>
        </w:rPr>
        <w:t>22</w:t>
      </w:r>
      <w:r>
        <w:rPr>
          <w:rFonts w:ascii="Arial" w:hAnsi="Arial" w:cs="Arial"/>
          <w:highlight w:val="none"/>
        </w:rPr>
        <w:fldChar w:fldCharType="end"/>
      </w:r>
      <w:r>
        <w:rPr>
          <w:rFonts w:ascii="Arial" w:hAnsi="Arial" w:cs="Arial"/>
          <w:highlight w:val="none"/>
        </w:rPr>
        <w:fldChar w:fldCharType="end"/>
      </w:r>
    </w:p>
    <w:p>
      <w:pPr>
        <w:pStyle w:val="23"/>
        <w:spacing w:line="300" w:lineRule="auto"/>
        <w:rPr>
          <w:rFonts w:hint="eastAsia" w:ascii="Arial" w:eastAsia="仿宋_GB2312" w:cs="Arial"/>
          <w:kern w:val="2"/>
          <w:sz w:val="21"/>
          <w:szCs w:val="22"/>
          <w:highlight w:val="none"/>
          <w:lang w:val="en-US" w:eastAsia="zh-CN"/>
        </w:rPr>
      </w:pPr>
      <w:r>
        <w:rPr>
          <w:highlight w:val="none"/>
        </w:rPr>
        <w:fldChar w:fldCharType="begin"/>
      </w:r>
      <w:r>
        <w:rPr>
          <w:highlight w:val="none"/>
        </w:rPr>
        <w:instrText xml:space="preserve"> HYPERLINK \l "_Toc524335110" </w:instrText>
      </w:r>
      <w:r>
        <w:rPr>
          <w:highlight w:val="none"/>
        </w:rPr>
        <w:fldChar w:fldCharType="separate"/>
      </w:r>
      <w:r>
        <w:rPr>
          <w:rStyle w:val="40"/>
          <w:rFonts w:ascii="Arial" w:cs="Arial"/>
          <w:b/>
          <w:color w:val="auto"/>
          <w:highlight w:val="none"/>
        </w:rPr>
        <w:t>第三部分  土地估价</w:t>
      </w:r>
      <w:r>
        <w:rPr>
          <w:rStyle w:val="40"/>
          <w:rFonts w:hint="eastAsia" w:ascii="Arial" w:cs="Arial"/>
          <w:b/>
          <w:color w:val="auto"/>
          <w:highlight w:val="none"/>
          <w:lang w:val="en-US" w:eastAsia="zh-CN"/>
        </w:rPr>
        <w:t xml:space="preserve"> </w:t>
      </w:r>
      <w:r>
        <w:rPr>
          <w:rFonts w:ascii="Arial" w:cs="Arial"/>
          <w:highlight w:val="none"/>
        </w:rPr>
        <w:tab/>
      </w:r>
      <w:r>
        <w:rPr>
          <w:rFonts w:hint="eastAsia" w:ascii="Arial" w:cs="Arial"/>
          <w:highlight w:val="none"/>
          <w:lang w:val="en-US" w:eastAsia="zh-CN"/>
        </w:rPr>
        <w:t>3</w:t>
      </w:r>
      <w:r>
        <w:rPr>
          <w:rFonts w:ascii="Arial" w:cs="Arial"/>
          <w:highlight w:val="none"/>
        </w:rPr>
        <w:fldChar w:fldCharType="end"/>
      </w:r>
      <w:r>
        <w:rPr>
          <w:rFonts w:hint="eastAsia" w:ascii="Arial" w:cs="Arial"/>
          <w:highlight w:val="none"/>
          <w:lang w:val="en-US" w:eastAsia="zh-CN"/>
        </w:rPr>
        <w:t>8</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"_Toc524335111" </w:instrText>
      </w:r>
      <w:r>
        <w:rPr>
          <w:highlight w:val="none"/>
        </w:rPr>
        <w:fldChar w:fldCharType="separate"/>
      </w:r>
      <w:r>
        <w:rPr>
          <w:rStyle w:val="40"/>
          <w:rFonts w:ascii="Arial" w:hAnsi="Arial" w:eastAsia="仿宋_GB2312" w:cs="Arial"/>
          <w:b/>
          <w:color w:val="auto"/>
          <w:highlight w:val="none"/>
        </w:rPr>
        <w:t>一、估价原则</w:t>
      </w:r>
      <w:r>
        <w:rPr>
          <w:rFonts w:ascii="Arial" w:hAnsi="Arial" w:cs="Arial"/>
          <w:highlight w:val="none"/>
        </w:rPr>
        <w:tab/>
      </w:r>
      <w:r>
        <w:rPr>
          <w:rFonts w:hint="eastAsia" w:ascii="Arial" w:hAnsi="Arial" w:cs="Arial"/>
          <w:highlight w:val="none"/>
          <w:lang w:val="en-US" w:eastAsia="zh-CN"/>
        </w:rPr>
        <w:t>3</w:t>
      </w:r>
      <w:r>
        <w:rPr>
          <w:rFonts w:ascii="Arial" w:hAnsi="Arial" w:cs="Arial"/>
          <w:highlight w:val="none"/>
        </w:rPr>
        <w:fldChar w:fldCharType="end"/>
      </w:r>
      <w:r>
        <w:rPr>
          <w:rFonts w:hint="eastAsia" w:ascii="Arial" w:hAnsi="Arial" w:cs="Arial"/>
          <w:highlight w:val="none"/>
          <w:lang w:val="en-US" w:eastAsia="zh-CN"/>
        </w:rPr>
        <w:t>8</w:t>
      </w:r>
    </w:p>
    <w:p>
      <w:pPr>
        <w:pStyle w:val="28"/>
        <w:spacing w:line="300" w:lineRule="auto"/>
        <w:rPr>
          <w:rFonts w:hint="eastAsia" w:ascii="Arial" w:hAnsi="Arial" w:eastAsia="宋体" w:cs="Arial"/>
          <w:kern w:val="2"/>
          <w:sz w:val="21"/>
          <w:szCs w:val="22"/>
          <w:highlight w:val="none"/>
          <w:lang w:val="en-US" w:eastAsia="zh-CN"/>
        </w:rPr>
      </w:pPr>
      <w:r>
        <w:rPr>
          <w:highlight w:val="none"/>
        </w:rPr>
        <w:fldChar w:fldCharType="begin"/>
      </w:r>
      <w:r>
        <w:rPr>
          <w:highlight w:val="none"/>
        </w:rPr>
        <w:instrText xml:space="preserve"> HYPERLINK \l "_Toc524335112" </w:instrText>
      </w:r>
      <w:r>
        <w:rPr>
          <w:highlight w:val="none"/>
        </w:rPr>
        <w:fldChar w:fldCharType="separate"/>
      </w:r>
      <w:r>
        <w:rPr>
          <w:rStyle w:val="40"/>
          <w:rFonts w:ascii="Arial" w:hAnsi="Arial" w:eastAsia="仿宋_GB2312" w:cs="Arial"/>
          <w:b/>
          <w:color w:val="auto"/>
          <w:highlight w:val="none"/>
        </w:rPr>
        <w:t>二、估价方法与估价过程</w:t>
      </w:r>
      <w:r>
        <w:rPr>
          <w:rFonts w:ascii="Arial" w:hAnsi="Arial" w:cs="Arial"/>
          <w:highlight w:val="none"/>
        </w:rPr>
        <w:tab/>
      </w:r>
      <w:r>
        <w:rPr>
          <w:rFonts w:hint="eastAsia" w:ascii="Arial" w:hAnsi="Arial" w:cs="Arial"/>
          <w:highlight w:val="none"/>
          <w:lang w:val="en-US" w:eastAsia="zh-CN"/>
        </w:rPr>
        <w:t>4</w:t>
      </w:r>
      <w:r>
        <w:rPr>
          <w:rFonts w:ascii="Arial" w:hAnsi="Arial" w:cs="Arial"/>
          <w:highlight w:val="none"/>
        </w:rPr>
        <w:fldChar w:fldCharType="end"/>
      </w:r>
      <w:r>
        <w:rPr>
          <w:rFonts w:hint="eastAsia" w:ascii="Arial" w:hAnsi="Arial" w:cs="Arial"/>
          <w:highlight w:val="none"/>
          <w:lang w:val="en-US" w:eastAsia="zh-CN"/>
        </w:rPr>
        <w:t>0</w:t>
      </w:r>
    </w:p>
    <w:p>
      <w:pPr>
        <w:pStyle w:val="23"/>
        <w:spacing w:line="300" w:lineRule="auto"/>
        <w:rPr>
          <w:rFonts w:ascii="Arial" w:cs="Arial" w:eastAsiaTheme="minorEastAsia"/>
          <w:kern w:val="2"/>
          <w:sz w:val="21"/>
          <w:szCs w:val="22"/>
          <w:highlight w:val="none"/>
        </w:rPr>
      </w:pPr>
      <w:r>
        <w:rPr>
          <w:highlight w:val="none"/>
        </w:rPr>
        <w:fldChar w:fldCharType="begin"/>
      </w:r>
      <w:r>
        <w:rPr>
          <w:highlight w:val="none"/>
        </w:rPr>
        <w:instrText xml:space="preserve"> HYPERLINK \l "_Toc524335123" </w:instrText>
      </w:r>
      <w:r>
        <w:rPr>
          <w:highlight w:val="none"/>
        </w:rPr>
        <w:fldChar w:fldCharType="separate"/>
      </w:r>
      <w:r>
        <w:rPr>
          <w:rStyle w:val="40"/>
          <w:rFonts w:ascii="Arial" w:cs="Arial"/>
          <w:b/>
          <w:color w:val="auto"/>
          <w:highlight w:val="none"/>
        </w:rPr>
        <w:t>附  件</w:t>
      </w:r>
      <w:r>
        <w:rPr>
          <w:rFonts w:ascii="Arial" w:cs="Arial"/>
          <w:highlight w:val="none"/>
        </w:rPr>
        <w:tab/>
      </w:r>
      <w:r>
        <w:rPr>
          <w:rFonts w:ascii="Arial" w:cs="Arial"/>
          <w:highlight w:val="none"/>
        </w:rPr>
        <w:fldChar w:fldCharType="begin"/>
      </w:r>
      <w:r>
        <w:rPr>
          <w:rFonts w:ascii="Arial" w:cs="Arial"/>
          <w:highlight w:val="none"/>
        </w:rPr>
        <w:instrText xml:space="preserve"> PAGEREF _Toc524335123 \h </w:instrText>
      </w:r>
      <w:r>
        <w:rPr>
          <w:rFonts w:ascii="Arial" w:cs="Arial"/>
          <w:highlight w:val="none"/>
        </w:rPr>
        <w:fldChar w:fldCharType="separate"/>
      </w:r>
      <w:r>
        <w:rPr>
          <w:rFonts w:ascii="Arial" w:cs="Arial"/>
          <w:highlight w:val="none"/>
        </w:rPr>
        <w:t>86</w:t>
      </w:r>
      <w:r>
        <w:rPr>
          <w:rFonts w:ascii="Arial" w:cs="Arial"/>
          <w:highlight w:val="none"/>
        </w:rPr>
        <w:fldChar w:fldCharType="end"/>
      </w:r>
      <w:r>
        <w:rPr>
          <w:rFonts w:ascii="Arial" w:cs="Arial"/>
          <w:highlight w:val="none"/>
        </w:rPr>
        <w:fldChar w:fldCharType="end"/>
      </w:r>
    </w:p>
    <w:p>
      <w:pPr>
        <w:pStyle w:val="28"/>
        <w:spacing w:line="300" w:lineRule="auto"/>
        <w:rPr>
          <w:rFonts w:ascii="Arial" w:hAnsi="Arial" w:eastAsia="楷体" w:cs="Arial"/>
          <w:sz w:val="32"/>
          <w:highlight w:val="none"/>
        </w:rPr>
        <w:sectPr>
          <w:headerReference r:id="rId29" w:type="first"/>
          <w:footerReference r:id="rId30" w:type="first"/>
          <w:pgSz w:w="11907" w:h="16840"/>
          <w:pgMar w:top="1843" w:right="1134" w:bottom="1134" w:left="1134" w:header="1134" w:footer="907" w:gutter="340"/>
          <w:cols w:space="720" w:num="1"/>
          <w:titlePg/>
          <w:docGrid w:linePitch="326" w:charSpace="0"/>
        </w:sectPr>
      </w:pPr>
      <w:r>
        <w:rPr>
          <w:rStyle w:val="40"/>
          <w:rFonts w:ascii="Arial" w:hAnsi="Arial" w:eastAsia="仿宋_GB2312" w:cs="Arial"/>
          <w:color w:val="auto"/>
          <w:szCs w:val="24"/>
          <w:highlight w:val="none"/>
        </w:rPr>
        <w:fldChar w:fldCharType="end"/>
      </w:r>
    </w:p>
    <w:p>
      <w:pPr>
        <w:spacing w:line="300" w:lineRule="auto"/>
        <w:jc w:val="center"/>
        <w:rPr>
          <w:rFonts w:ascii="Arial" w:hAnsi="Arial" w:cs="Arial"/>
          <w:sz w:val="32"/>
          <w:highlight w:val="none"/>
        </w:rPr>
      </w:pPr>
      <w:bookmarkStart w:id="157" w:name="_Toc416783542"/>
      <w:bookmarkStart w:id="158" w:name="_Toc416783638"/>
      <w:r>
        <w:rPr>
          <w:rFonts w:ascii="Arial" w:hAnsi="Arial" w:cs="Arial"/>
          <w:b/>
          <w:sz w:val="32"/>
          <w:highlight w:val="none"/>
        </w:rPr>
        <w:t>土</w:t>
      </w:r>
      <w:r>
        <w:rPr>
          <w:rFonts w:ascii="Arial" w:hAnsi="Arial" w:eastAsia="仿宋_GB2312" w:cs="Arial"/>
          <w:b/>
          <w:sz w:val="32"/>
          <w:highlight w:val="none"/>
        </w:rPr>
        <w:t xml:space="preserve"> </w:t>
      </w:r>
      <w:r>
        <w:rPr>
          <w:rFonts w:ascii="Arial" w:hAnsi="Arial" w:cs="Arial"/>
          <w:b/>
          <w:sz w:val="32"/>
          <w:highlight w:val="none"/>
        </w:rPr>
        <w:t>地</w:t>
      </w:r>
      <w:r>
        <w:rPr>
          <w:rFonts w:ascii="Arial" w:hAnsi="Arial" w:eastAsia="仿宋_GB2312" w:cs="Arial"/>
          <w:b/>
          <w:sz w:val="32"/>
          <w:highlight w:val="none"/>
        </w:rPr>
        <w:t xml:space="preserve"> </w:t>
      </w:r>
      <w:r>
        <w:rPr>
          <w:rFonts w:ascii="Arial" w:hAnsi="Arial" w:cs="Arial"/>
          <w:b/>
          <w:sz w:val="32"/>
          <w:highlight w:val="none"/>
        </w:rPr>
        <w:t>估</w:t>
      </w:r>
      <w:r>
        <w:rPr>
          <w:rFonts w:ascii="Arial" w:hAnsi="Arial" w:eastAsia="仿宋_GB2312" w:cs="Arial"/>
          <w:b/>
          <w:sz w:val="32"/>
          <w:highlight w:val="none"/>
        </w:rPr>
        <w:t xml:space="preserve"> </w:t>
      </w:r>
      <w:r>
        <w:rPr>
          <w:rFonts w:ascii="Arial" w:hAnsi="Arial" w:cs="Arial"/>
          <w:b/>
          <w:sz w:val="32"/>
          <w:highlight w:val="none"/>
        </w:rPr>
        <w:t>价</w:t>
      </w:r>
      <w:r>
        <w:rPr>
          <w:rFonts w:ascii="Arial" w:hAnsi="Arial" w:eastAsia="仿宋_GB2312" w:cs="Arial"/>
          <w:b/>
          <w:sz w:val="32"/>
          <w:highlight w:val="none"/>
        </w:rPr>
        <w:t xml:space="preserve"> </w:t>
      </w:r>
      <w:r>
        <w:rPr>
          <w:rFonts w:ascii="Arial" w:hAnsi="Arial" w:cs="Arial"/>
          <w:b/>
          <w:sz w:val="32"/>
          <w:highlight w:val="none"/>
        </w:rPr>
        <w:t>技</w:t>
      </w:r>
      <w:r>
        <w:rPr>
          <w:rFonts w:ascii="Arial" w:hAnsi="Arial" w:eastAsia="仿宋_GB2312" w:cs="Arial"/>
          <w:b/>
          <w:sz w:val="32"/>
          <w:highlight w:val="none"/>
        </w:rPr>
        <w:t xml:space="preserve"> </w:t>
      </w:r>
      <w:r>
        <w:rPr>
          <w:rFonts w:ascii="Arial" w:hAnsi="Arial" w:cs="Arial"/>
          <w:b/>
          <w:sz w:val="32"/>
          <w:highlight w:val="none"/>
        </w:rPr>
        <w:t>术</w:t>
      </w:r>
      <w:r>
        <w:rPr>
          <w:rFonts w:ascii="Arial" w:hAnsi="Arial" w:eastAsia="仿宋_GB2312" w:cs="Arial"/>
          <w:b/>
          <w:sz w:val="32"/>
          <w:highlight w:val="none"/>
        </w:rPr>
        <w:t xml:space="preserve"> </w:t>
      </w:r>
      <w:r>
        <w:rPr>
          <w:rFonts w:ascii="Arial" w:hAnsi="Arial" w:cs="Arial"/>
          <w:b/>
          <w:sz w:val="32"/>
          <w:highlight w:val="none"/>
        </w:rPr>
        <w:t>报</w:t>
      </w:r>
      <w:r>
        <w:rPr>
          <w:rFonts w:ascii="Arial" w:hAnsi="Arial" w:eastAsia="仿宋_GB2312" w:cs="Arial"/>
          <w:b/>
          <w:sz w:val="32"/>
          <w:highlight w:val="none"/>
        </w:rPr>
        <w:t xml:space="preserve"> </w:t>
      </w:r>
      <w:r>
        <w:rPr>
          <w:rFonts w:ascii="Arial" w:hAnsi="Arial" w:cs="Arial"/>
          <w:b/>
          <w:sz w:val="32"/>
          <w:highlight w:val="none"/>
        </w:rPr>
        <w:t>告</w:t>
      </w:r>
      <w:bookmarkEnd w:id="157"/>
      <w:bookmarkEnd w:id="158"/>
    </w:p>
    <w:p>
      <w:pPr>
        <w:spacing w:line="300" w:lineRule="auto"/>
        <w:jc w:val="center"/>
        <w:rPr>
          <w:rFonts w:ascii="Arial" w:hAnsi="Arial" w:cs="Arial"/>
          <w:sz w:val="32"/>
          <w:highlight w:val="none"/>
        </w:rPr>
      </w:pPr>
    </w:p>
    <w:p>
      <w:pPr>
        <w:spacing w:line="300" w:lineRule="auto"/>
        <w:jc w:val="center"/>
        <w:outlineLvl w:val="0"/>
        <w:rPr>
          <w:rFonts w:ascii="Arial" w:hAnsi="Arial" w:cs="Arial"/>
          <w:sz w:val="32"/>
          <w:highlight w:val="none"/>
        </w:rPr>
      </w:pPr>
      <w:bookmarkStart w:id="159" w:name="_Toc515457801"/>
      <w:bookmarkStart w:id="160" w:name="_Toc516488179"/>
      <w:bookmarkStart w:id="161" w:name="_Toc66929511"/>
      <w:bookmarkStart w:id="162" w:name="_Toc524335084"/>
      <w:bookmarkStart w:id="163" w:name="_Toc69393386"/>
      <w:bookmarkStart w:id="164" w:name="_Toc416783639"/>
      <w:bookmarkStart w:id="165" w:name="_Toc416783543"/>
      <w:bookmarkStart w:id="166" w:name="_Toc469066149"/>
      <w:r>
        <w:rPr>
          <w:rFonts w:ascii="Arial" w:hAnsi="Arial" w:cs="Arial"/>
          <w:b/>
          <w:sz w:val="32"/>
          <w:highlight w:val="none"/>
        </w:rPr>
        <w:t>第一部分</w:t>
      </w:r>
      <w:r>
        <w:rPr>
          <w:rFonts w:ascii="Arial" w:hAnsi="Arial" w:eastAsia="仿宋_GB2312" w:cs="Arial"/>
          <w:b/>
          <w:sz w:val="32"/>
          <w:highlight w:val="none"/>
        </w:rPr>
        <w:t xml:space="preserve">  </w:t>
      </w:r>
      <w:r>
        <w:rPr>
          <w:rFonts w:ascii="Arial" w:hAnsi="Arial" w:cs="Arial"/>
          <w:b/>
          <w:sz w:val="32"/>
          <w:highlight w:val="none"/>
        </w:rPr>
        <w:t>总</w:t>
      </w:r>
      <w:r>
        <w:rPr>
          <w:rFonts w:ascii="Arial" w:hAnsi="Arial" w:eastAsia="仿宋_GB2312" w:cs="Arial"/>
          <w:b/>
          <w:sz w:val="32"/>
          <w:highlight w:val="none"/>
        </w:rPr>
        <w:t xml:space="preserve">  </w:t>
      </w:r>
      <w:r>
        <w:rPr>
          <w:rFonts w:ascii="Arial" w:hAnsi="Arial" w:cs="Arial"/>
          <w:b/>
          <w:sz w:val="32"/>
          <w:highlight w:val="none"/>
        </w:rPr>
        <w:t>述</w:t>
      </w:r>
      <w:bookmarkEnd w:id="159"/>
      <w:bookmarkEnd w:id="160"/>
      <w:bookmarkEnd w:id="161"/>
      <w:bookmarkEnd w:id="162"/>
      <w:bookmarkEnd w:id="163"/>
      <w:bookmarkEnd w:id="164"/>
      <w:bookmarkEnd w:id="165"/>
      <w:bookmarkEnd w:id="166"/>
    </w:p>
    <w:p>
      <w:pPr>
        <w:spacing w:line="300" w:lineRule="auto"/>
        <w:jc w:val="center"/>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67" w:name="_Toc69393387"/>
      <w:bookmarkStart w:id="168" w:name="_Toc515457802"/>
      <w:bookmarkStart w:id="169" w:name="_Toc516488180"/>
      <w:bookmarkStart w:id="170" w:name="_Toc66929512"/>
      <w:bookmarkStart w:id="171" w:name="_Toc524335085"/>
      <w:bookmarkStart w:id="172" w:name="_Toc469066150"/>
      <w:bookmarkStart w:id="173" w:name="_Toc416783640"/>
      <w:bookmarkStart w:id="174" w:name="_Toc416783544"/>
      <w:r>
        <w:rPr>
          <w:rFonts w:ascii="Arial" w:hAnsi="Arial" w:eastAsia="仿宋_GB2312" w:cs="Arial"/>
          <w:b/>
          <w:sz w:val="28"/>
          <w:highlight w:val="none"/>
        </w:rPr>
        <w:t>一、估价项目名称</w:t>
      </w:r>
      <w:bookmarkEnd w:id="167"/>
      <w:bookmarkEnd w:id="168"/>
      <w:bookmarkEnd w:id="169"/>
      <w:bookmarkEnd w:id="170"/>
      <w:bookmarkEnd w:id="171"/>
      <w:bookmarkEnd w:id="172"/>
      <w:bookmarkEnd w:id="173"/>
      <w:bookmarkEnd w:id="174"/>
    </w:p>
    <w:p>
      <w:pPr>
        <w:spacing w:line="300" w:lineRule="auto"/>
        <w:ind w:firstLine="557" w:firstLineChars="199"/>
        <w:jc w:val="both"/>
        <w:rPr>
          <w:rFonts w:ascii="Arial" w:hAnsi="Arial" w:eastAsia="仿宋_GB2312" w:cs="Arial"/>
          <w:sz w:val="28"/>
          <w:highlight w:val="none"/>
        </w:rPr>
      </w:pP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 有建设用地使用权出让价格评估</w:t>
      </w:r>
    </w:p>
    <w:p>
      <w:pPr>
        <w:spacing w:line="300" w:lineRule="auto"/>
        <w:ind w:right="-327"/>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175" w:name="_Toc69393388"/>
      <w:bookmarkStart w:id="176" w:name="_Toc66929513"/>
      <w:bookmarkStart w:id="177" w:name="_Toc515457803"/>
      <w:bookmarkStart w:id="178" w:name="_Toc469066151"/>
      <w:bookmarkStart w:id="179" w:name="_Toc416783642"/>
      <w:bookmarkStart w:id="180" w:name="_Toc516488181"/>
      <w:bookmarkStart w:id="181" w:name="_Toc524335086"/>
      <w:bookmarkStart w:id="182" w:name="_Toc416783546"/>
      <w:r>
        <w:rPr>
          <w:rFonts w:ascii="Arial" w:hAnsi="Arial" w:eastAsia="仿宋_GB2312" w:cs="Arial"/>
          <w:b/>
          <w:sz w:val="28"/>
          <w:highlight w:val="none"/>
        </w:rPr>
        <w:t>二、委托估价方</w:t>
      </w:r>
      <w:bookmarkEnd w:id="175"/>
      <w:bookmarkEnd w:id="176"/>
      <w:bookmarkEnd w:id="177"/>
      <w:bookmarkEnd w:id="178"/>
      <w:bookmarkEnd w:id="179"/>
      <w:bookmarkEnd w:id="180"/>
      <w:bookmarkEnd w:id="181"/>
      <w:bookmarkEnd w:id="182"/>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 xml:space="preserve">北京市规划和自然资源委员会 </w:t>
      </w:r>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183" w:name="_Toc469066152"/>
      <w:bookmarkStart w:id="184" w:name="_Toc524335087"/>
      <w:bookmarkStart w:id="185" w:name="_Toc416783643"/>
      <w:bookmarkStart w:id="186" w:name="_Toc516488182"/>
      <w:bookmarkStart w:id="187" w:name="_Toc69393389"/>
      <w:bookmarkStart w:id="188" w:name="_Toc416783547"/>
      <w:bookmarkStart w:id="189" w:name="_Toc66929514"/>
      <w:bookmarkStart w:id="190" w:name="_Toc515457804"/>
      <w:r>
        <w:rPr>
          <w:rFonts w:ascii="Arial" w:hAnsi="Arial" w:eastAsia="仿宋_GB2312" w:cs="Arial"/>
          <w:b/>
          <w:sz w:val="28"/>
          <w:highlight w:val="none"/>
        </w:rPr>
        <w:t>三、受托估价方</w:t>
      </w:r>
      <w:bookmarkEnd w:id="183"/>
      <w:bookmarkEnd w:id="184"/>
      <w:bookmarkEnd w:id="185"/>
      <w:bookmarkEnd w:id="186"/>
      <w:bookmarkEnd w:id="187"/>
      <w:bookmarkEnd w:id="188"/>
      <w:bookmarkEnd w:id="189"/>
      <w:bookmarkEnd w:id="190"/>
    </w:p>
    <w:p>
      <w:pPr>
        <w:spacing w:line="300" w:lineRule="auto"/>
        <w:ind w:firstLine="570"/>
        <w:jc w:val="both"/>
        <w:rPr>
          <w:rFonts w:ascii="Arial" w:hAnsi="Arial" w:eastAsia="仿宋_GB2312" w:cs="Arial"/>
          <w:sz w:val="28"/>
          <w:highlight w:val="none"/>
        </w:rPr>
      </w:pPr>
      <w:bookmarkStart w:id="191" w:name="_Toc416783644"/>
      <w:bookmarkStart w:id="192" w:name="_Toc416783548"/>
      <w:r>
        <w:rPr>
          <w:rFonts w:ascii="Arial" w:hAnsi="Arial" w:eastAsia="仿宋_GB2312" w:cs="Arial"/>
          <w:sz w:val="28"/>
          <w:highlight w:val="none"/>
        </w:rPr>
        <w:t>受托机构：北京康正宏基房地产评估有限公司</w:t>
      </w:r>
      <w:bookmarkEnd w:id="191"/>
      <w:bookmarkEnd w:id="192"/>
    </w:p>
    <w:p>
      <w:pPr>
        <w:spacing w:line="300" w:lineRule="auto"/>
        <w:ind w:left="1960" w:hanging="1960" w:hangingChars="700"/>
        <w:rPr>
          <w:rFonts w:ascii="Arial" w:hAnsi="Arial" w:eastAsia="仿宋_GB2312" w:cs="Arial"/>
          <w:sz w:val="28"/>
          <w:highlight w:val="none"/>
        </w:rPr>
      </w:pPr>
      <w:r>
        <w:rPr>
          <w:rFonts w:ascii="Arial" w:hAnsi="Arial" w:eastAsia="仿宋_GB2312" w:cs="Arial"/>
          <w:sz w:val="28"/>
          <w:highlight w:val="none"/>
        </w:rPr>
        <w:t xml:space="preserve">    地    址：北京市朝阳区裕民路12号中国国际科技会展中心B 座10层1003室</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资质级别：在全国范围内从事土地估价业务</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资质证书号：A201111009</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法人代表：齐  宏</w:t>
      </w:r>
    </w:p>
    <w:p>
      <w:pPr>
        <w:spacing w:line="300" w:lineRule="auto"/>
        <w:rPr>
          <w:rFonts w:hint="eastAsia" w:ascii="Arial" w:hAnsi="Arial" w:eastAsia="仿宋_GB2312" w:cs="Arial"/>
          <w:sz w:val="28"/>
          <w:highlight w:val="none"/>
          <w:lang w:val="en-US" w:eastAsia="zh-CN"/>
        </w:rPr>
      </w:pPr>
      <w:r>
        <w:rPr>
          <w:rFonts w:ascii="Arial" w:hAnsi="Arial" w:eastAsia="仿宋_GB2312" w:cs="Arial"/>
          <w:sz w:val="28"/>
          <w:highlight w:val="none"/>
        </w:rPr>
        <w:t xml:space="preserve">    </w:t>
      </w:r>
      <w:r>
        <w:rPr>
          <w:rFonts w:hint="eastAsia" w:ascii="Arial" w:hAnsi="Arial" w:eastAsia="仿宋_GB2312" w:cs="Arial"/>
          <w:sz w:val="28"/>
          <w:highlight w:val="none"/>
        </w:rPr>
        <w:t>联系人：</w:t>
      </w:r>
      <w:r>
        <w:rPr>
          <w:rFonts w:hint="eastAsia" w:ascii="Arial" w:hAnsi="Arial" w:eastAsia="仿宋_GB2312" w:cs="Arial"/>
          <w:sz w:val="28"/>
          <w:highlight w:val="none"/>
          <w:lang w:eastAsia="zh-CN"/>
        </w:rPr>
        <w:t>李诗霖</w:t>
      </w:r>
    </w:p>
    <w:p>
      <w:pPr>
        <w:keepNext w:val="0"/>
        <w:keepLines w:val="0"/>
        <w:pageBreakBefore w:val="0"/>
        <w:widowControl w:val="0"/>
        <w:kinsoku/>
        <w:wordWrap/>
        <w:overflowPunct/>
        <w:topLinePunct w:val="0"/>
        <w:autoSpaceDE/>
        <w:autoSpaceDN/>
        <w:bidi w:val="0"/>
        <w:adjustRightInd w:val="0"/>
        <w:snapToGrid w:val="0"/>
        <w:spacing w:line="300" w:lineRule="auto"/>
        <w:ind w:firstLine="560" w:firstLineChars="200"/>
        <w:textAlignment w:val="baseline"/>
        <w:outlineLvl w:val="1"/>
        <w:rPr>
          <w:rFonts w:ascii="Arial" w:hAnsi="Arial" w:eastAsia="仿宋_GB2312" w:cs="Arial"/>
          <w:sz w:val="28"/>
          <w:highlight w:val="none"/>
        </w:rPr>
      </w:pPr>
      <w:r>
        <w:rPr>
          <w:rFonts w:hint="eastAsia" w:ascii="Arial" w:hAnsi="Arial" w:eastAsia="仿宋_GB2312" w:cs="Arial"/>
          <w:sz w:val="28"/>
          <w:highlight w:val="none"/>
        </w:rPr>
        <w:t>联系电话：</w:t>
      </w:r>
      <w:r>
        <w:rPr>
          <w:rFonts w:ascii="Arial" w:hAnsi="Arial" w:eastAsia="仿宋_GB2312" w:cs="Arial"/>
          <w:sz w:val="28"/>
          <w:highlight w:val="none"/>
        </w:rPr>
        <w:t>010-82253558</w:t>
      </w:r>
      <w:bookmarkStart w:id="193" w:name="_Toc469066153"/>
      <w:bookmarkStart w:id="194" w:name="_Toc524335088"/>
      <w:bookmarkStart w:id="195" w:name="_Toc69393390"/>
      <w:bookmarkStart w:id="196" w:name="_Toc516488183"/>
      <w:bookmarkStart w:id="197" w:name="_Toc66929515"/>
      <w:bookmarkStart w:id="198" w:name="_Toc416783645"/>
      <w:bookmarkStart w:id="199" w:name="_Toc416783549"/>
      <w:bookmarkStart w:id="200" w:name="_Toc515457805"/>
    </w:p>
    <w:p>
      <w:pPr>
        <w:spacing w:line="300" w:lineRule="auto"/>
        <w:outlineLvl w:val="1"/>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r>
        <w:rPr>
          <w:rFonts w:ascii="Arial" w:hAnsi="Arial" w:eastAsia="仿宋_GB2312" w:cs="Arial"/>
          <w:b/>
          <w:sz w:val="28"/>
          <w:highlight w:val="none"/>
        </w:rPr>
        <w:t>四、估价目的</w:t>
      </w:r>
      <w:bookmarkEnd w:id="193"/>
      <w:bookmarkEnd w:id="194"/>
      <w:bookmarkEnd w:id="195"/>
      <w:bookmarkEnd w:id="196"/>
      <w:bookmarkEnd w:id="197"/>
      <w:bookmarkEnd w:id="198"/>
      <w:bookmarkEnd w:id="199"/>
      <w:bookmarkEnd w:id="20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手续。经北京市规划和自然资源委员会审查，该项目符合北京市国有建设用地使用权</w:t>
      </w:r>
      <w:r>
        <w:rPr>
          <w:rFonts w:hint="eastAsia" w:ascii="Arial" w:hAnsi="Arial" w:eastAsia="仿宋_GB2312" w:cs="Arial"/>
          <w:sz w:val="28"/>
          <w:highlight w:val="none"/>
        </w:rPr>
        <w:t>协议出让</w:t>
      </w:r>
      <w:r>
        <w:rPr>
          <w:rFonts w:ascii="Arial" w:hAnsi="Arial" w:eastAsia="仿宋_GB2312" w:cs="Arial"/>
          <w:sz w:val="28"/>
          <w:highlight w:val="none"/>
        </w:rPr>
        <w:t>的条件，故由北京市规划和自然资源委员会委托北京康正宏基房地产评估有限公司依据有关法律法规、土地估价相关规程和规范等对估价对象国有建设用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w:t>
      </w:r>
      <w:r>
        <w:rPr>
          <w:rFonts w:hint="eastAsia" w:ascii="Arial" w:hAnsi="Arial" w:eastAsia="仿宋_GB2312" w:cs="Arial"/>
          <w:sz w:val="28"/>
          <w:highlight w:val="none"/>
        </w:rPr>
        <w:t>依据</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1" w:name="_Toc516488184"/>
      <w:bookmarkStart w:id="202" w:name="_Toc469066154"/>
      <w:bookmarkStart w:id="203" w:name="_Toc416783553"/>
      <w:bookmarkStart w:id="204" w:name="_Toc524335089"/>
      <w:bookmarkStart w:id="205" w:name="_Toc416783649"/>
      <w:bookmarkStart w:id="206" w:name="_Toc69393391"/>
      <w:bookmarkStart w:id="207" w:name="_Toc515457806"/>
      <w:bookmarkStart w:id="208" w:name="_Toc66929516"/>
      <w:r>
        <w:rPr>
          <w:rFonts w:ascii="Arial" w:hAnsi="Arial" w:eastAsia="仿宋_GB2312" w:cs="Arial"/>
          <w:b/>
          <w:sz w:val="28"/>
          <w:highlight w:val="none"/>
        </w:rPr>
        <w:t>五、估价依据</w:t>
      </w:r>
      <w:bookmarkEnd w:id="201"/>
      <w:bookmarkEnd w:id="202"/>
      <w:bookmarkEnd w:id="203"/>
      <w:bookmarkEnd w:id="204"/>
      <w:bookmarkEnd w:id="205"/>
      <w:bookmarkEnd w:id="206"/>
      <w:bookmarkEnd w:id="207"/>
      <w:bookmarkEnd w:id="208"/>
    </w:p>
    <w:p>
      <w:pPr>
        <w:spacing w:line="300" w:lineRule="auto"/>
        <w:jc w:val="both"/>
        <w:rPr>
          <w:rFonts w:ascii="Arial" w:hAnsi="Arial" w:eastAsia="仿宋_GB2312" w:cs="Arial"/>
          <w:sz w:val="28"/>
          <w:highlight w:val="none"/>
        </w:rPr>
      </w:pPr>
      <w:r>
        <w:rPr>
          <w:rFonts w:ascii="Arial" w:hAnsi="Arial" w:eastAsia="仿宋_GB2312" w:cs="Arial"/>
          <w:sz w:val="28"/>
          <w:highlight w:val="none"/>
        </w:rPr>
        <w:t>（一）有关的法律、法规、行政规章及估价对象所在省市的有关法律法规和政策</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中华人民共和国土地管理法》（1986年6月25日第六届全国人民代表大会常务委员会第十六次会议通过，中华人民共和国主席令第41号公布，1987年1月1日起施行；1988年12月29日第七届全国人民代表大会常务委员会第五次会议第一次修正通过，自1988年12月29日起施行；1998年8月29日第九届全国人民代表大会常务委员会第四次会议修订通过，中华人民共和国主席令第8号公布，自1999年1月1日起施行；2004年8月28日第十届全国人民代表大会常务委员会第十一次会议第二次修正通过，中华人民共和国主席令第28号公布，自公布起日起施行；2019年8月26日第十三届全国人民代表大会常务委员会第十二次会议第三次修正通过，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中华人民共和国城市房地产管理法》（1994年7月5日第八届全国人民代表大会常务委员会第八次会议通过，中华人民共和国主席令第29号公布，自1995年1月1日起施行；2007年8月30日第十届全国人民代表大会常务委员会第二十九次会议通过第一次修正通过，中华人民共和国主席令第72号公布，自公布之日起施行；2009年8月27日第十一届全国人民代表大会常务委员会第十次会议第二次修正通过，中华人民共和国主席令第18号公布，自公布之日起施行；2019年8月26日第十三届全国人大常委会第十二次会议通过第三次修正，自2020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3.《中华人民共和国城乡规划法》（2007年10月28日第十届全国人民代表大会常务委员会第三十次会议通过；根据2015年4月24日第十二届全国人民代表大会常务委员会第十四次会议《关于修改〈中华人民共和国港口法〉等七部法律的决定》第一次修正，公布之日起施行；根据2019年4月23日第十三届全国人民代表大会常务委员会第十次会议《关于修改〈中华人民共和国建筑法〉等八部法律的决定》第二次修正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4.《中华人民共和国资产评估法》（2016年7月2日第十二届全国人民代表大会常务委员会第二十一次会议通过，2016年3月16日中华人民共和国主席令第46号公布，自2016年12月1日起施行）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5.《中华人民共和国民法典》（2020年5月28日第十三届全国人大三次会议表决通过，自2021年1月1日起施行）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6.《中华人民共和国城镇国有土地使用权出让和转让暂行条例》（1990年5月19日中华人民共和国国务院令第55号发布，自发布之日起施行；根据2020年11月29日中华人民共和国国务院令第732号公布的《国务院关于修改和废止部分行政法规的决定》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7.《中华人民共和国土地管理法实施条例》（1998年12月24日国务院第12次常务会议通过 ，1998年12月27日中华人民共和国国务院令第256号发布，自1999年1月1日起施行；2010年12月29日国务院第138次常务会议第一次修正通过，2011年1月8日中华人民共和国国务院令第588号发布，自发布之日起施行；2014年7月9日国务院第54次常务会议第二次修正通过，2014年7月29日中华人民共和国国务院令第653号公布，自公布之日起施行；2021年4月21日国务院第132次会议第三次修订通过，2021年7月2日中华人民共和国国务院令第743号公布，自2021年9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8.</w:t>
      </w:r>
      <w:r>
        <w:rPr>
          <w:rFonts w:ascii="Arial" w:hAnsi="Arial" w:eastAsia="仿宋_GB2312"/>
          <w:sz w:val="28"/>
          <w:highlight w:val="none"/>
        </w:rPr>
        <w:t>《不动产登记暂行条例》〔</w:t>
      </w:r>
      <w:r>
        <w:rPr>
          <w:rFonts w:hint="eastAsia" w:ascii="Arial" w:hAnsi="Arial" w:eastAsia="仿宋_GB2312"/>
          <w:sz w:val="28"/>
          <w:highlight w:val="none"/>
        </w:rPr>
        <w:t>2014年11月24日中华人民共和国国务院令第656号公布，自2015年3月1日起施行；根据2019年3月24日中华人民共和国国务院令第710号公布的《国务院关于修改部分行政法规的决定》修订，自公布之日起施行</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9.《不动产登记暂行条例实施细则》（2015年6月29日国土资源部第3次部务会议通过，自2016年1月1日起施行；根据2019年7月16日自然资源部第2次部务会议审议通过《自然资源部关于第一批废止和修改的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10.《不动产登记资料查询暂行办法》（2018年3月2日国土资源部令第80号公布；根据2019年7月16日自然资源部第2次部务会《自然资源部关于废止和修改的第一批部门规章的决定》（中华人民共和国自然资源部令第5号）修订，自公布之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11.</w:t>
      </w:r>
      <w:r>
        <w:rPr>
          <w:rFonts w:ascii="Arial" w:hAnsi="Arial" w:eastAsia="仿宋_GB2312"/>
          <w:sz w:val="28"/>
          <w:highlight w:val="none"/>
        </w:rPr>
        <w:t>《国务院关于加强国有土地资产管理的通知》〔国发〔2001〕15号，2001年4月30日〕；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12.</w:t>
      </w:r>
      <w:r>
        <w:rPr>
          <w:rFonts w:ascii="Arial" w:hAnsi="Arial" w:eastAsia="仿宋_GB2312"/>
          <w:sz w:val="28"/>
          <w:highlight w:val="none"/>
        </w:rPr>
        <w:t>《国务院关于深化改革严格土地管理的决定》〔国发〔2004〕28号，2004年10月21日〕；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13.</w:t>
      </w:r>
      <w:r>
        <w:rPr>
          <w:rFonts w:ascii="Arial" w:hAnsi="Arial" w:eastAsia="仿宋_GB2312"/>
          <w:sz w:val="28"/>
          <w:highlight w:val="none"/>
        </w:rPr>
        <w:t>《国务院关于加强土地调控有关问题的通知》〔国发 （2006） 31号，2006年8月31日发布〕；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14.</w:t>
      </w:r>
      <w:r>
        <w:rPr>
          <w:rFonts w:ascii="Arial" w:hAnsi="Arial" w:eastAsia="仿宋_GB2312"/>
          <w:sz w:val="28"/>
          <w:highlight w:val="none"/>
        </w:rPr>
        <w:t>《国务院关于促进节约集约用地的通知》〔国发〔2008〕3号，2008年1月3日发布〕；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15.</w:t>
      </w:r>
      <w:r>
        <w:rPr>
          <w:rFonts w:ascii="Arial" w:hAnsi="Arial" w:eastAsia="仿宋_GB2312"/>
          <w:sz w:val="28"/>
          <w:highlight w:val="none"/>
        </w:rPr>
        <w:t>《协议出让国有土地使用权规定》〔国土资源部令第21号，自2003年8月1日起施行〕；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16.</w:t>
      </w:r>
      <w:r>
        <w:rPr>
          <w:rFonts w:ascii="Arial" w:hAnsi="Arial" w:eastAsia="仿宋_GB2312"/>
          <w:sz w:val="28"/>
          <w:highlight w:val="none"/>
        </w:rPr>
        <w:t>《招标拍卖挂牌出让国有建设用地使用权规定》〔国土资源部令第39号，2007年9月21日</w:t>
      </w:r>
      <w:r>
        <w:rPr>
          <w:rFonts w:hint="eastAsia" w:ascii="Arial" w:hAnsi="Arial" w:eastAsia="仿宋_GB2312"/>
          <w:sz w:val="28"/>
          <w:highlight w:val="none"/>
        </w:rPr>
        <w:t>原</w:t>
      </w:r>
      <w:r>
        <w:rPr>
          <w:rFonts w:ascii="Arial" w:hAnsi="Arial" w:eastAsia="仿宋_GB2312"/>
          <w:sz w:val="28"/>
          <w:highlight w:val="none"/>
        </w:rPr>
        <w:t>国土资源部第3次部务会议审议通过〕；</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17.《节约</w:t>
      </w:r>
      <w:r>
        <w:rPr>
          <w:rFonts w:ascii="Arial" w:hAnsi="Arial" w:eastAsia="仿宋_GB2312"/>
          <w:sz w:val="28"/>
          <w:highlight w:val="none"/>
        </w:rPr>
        <w:t>集约利用土地规定</w:t>
      </w:r>
      <w:r>
        <w:rPr>
          <w:rFonts w:hint="eastAsia" w:ascii="Arial" w:hAnsi="Arial" w:eastAsia="仿宋_GB2312"/>
          <w:sz w:val="28"/>
          <w:highlight w:val="none"/>
        </w:rPr>
        <w:t>》</w:t>
      </w:r>
      <w:r>
        <w:rPr>
          <w:rFonts w:ascii="Arial" w:hAnsi="Arial" w:eastAsia="仿宋_GB2312"/>
          <w:sz w:val="28"/>
          <w:highlight w:val="none"/>
        </w:rPr>
        <w:t>〔</w:t>
      </w:r>
      <w:r>
        <w:rPr>
          <w:rFonts w:hint="eastAsia" w:ascii="Arial" w:hAnsi="Arial" w:eastAsia="仿宋_GB2312"/>
          <w:sz w:val="28"/>
          <w:highlight w:val="none"/>
        </w:rPr>
        <w:t>国土资源部令第61号，2014年5月22日公布；根据2019年7月16日自然资源部第2次部务会议《自然资源部关于第一批废止和修改的部门规章的决定》修正 自2014年9月1日起实施</w:t>
      </w:r>
      <w:r>
        <w:rPr>
          <w:rFonts w:ascii="Arial" w:hAnsi="Arial" w:eastAsia="仿宋_GB2312"/>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18.《国土资源部关于推进土地节约集约利用的指导意见》</w:t>
      </w:r>
      <w:r>
        <w:rPr>
          <w:rFonts w:ascii="Arial" w:hAnsi="Arial" w:eastAsia="仿宋_GB2312"/>
          <w:sz w:val="28"/>
          <w:highlight w:val="none"/>
        </w:rPr>
        <w:t>〔国土资发（20</w:t>
      </w:r>
      <w:r>
        <w:rPr>
          <w:rFonts w:hint="eastAsia" w:ascii="Arial" w:hAnsi="Arial" w:eastAsia="仿宋_GB2312"/>
          <w:sz w:val="28"/>
          <w:highlight w:val="none"/>
        </w:rPr>
        <w:t>14</w:t>
      </w:r>
      <w:r>
        <w:rPr>
          <w:rFonts w:ascii="Arial" w:hAnsi="Arial" w:eastAsia="仿宋_GB2312"/>
          <w:sz w:val="28"/>
          <w:highlight w:val="none"/>
        </w:rPr>
        <w:t>）11</w:t>
      </w:r>
      <w:r>
        <w:rPr>
          <w:rFonts w:hint="eastAsia" w:ascii="Arial" w:hAnsi="Arial" w:eastAsia="仿宋_GB2312"/>
          <w:sz w:val="28"/>
          <w:highlight w:val="none"/>
        </w:rPr>
        <w:t>9</w:t>
      </w:r>
      <w:r>
        <w:rPr>
          <w:rFonts w:ascii="Arial" w:hAnsi="Arial" w:eastAsia="仿宋_GB2312"/>
          <w:sz w:val="28"/>
          <w:highlight w:val="none"/>
        </w:rPr>
        <w:t>号，20</w:t>
      </w:r>
      <w:r>
        <w:rPr>
          <w:rFonts w:hint="eastAsia" w:ascii="Arial" w:hAnsi="Arial" w:eastAsia="仿宋_GB2312"/>
          <w:sz w:val="28"/>
          <w:highlight w:val="none"/>
        </w:rPr>
        <w:t>14</w:t>
      </w:r>
      <w:r>
        <w:rPr>
          <w:rFonts w:ascii="Arial" w:hAnsi="Arial" w:eastAsia="仿宋_GB2312"/>
          <w:sz w:val="28"/>
          <w:highlight w:val="none"/>
        </w:rPr>
        <w:t>年</w:t>
      </w:r>
      <w:r>
        <w:rPr>
          <w:rFonts w:hint="eastAsia" w:ascii="Arial" w:hAnsi="Arial" w:eastAsia="仿宋_GB2312"/>
          <w:sz w:val="28"/>
          <w:highlight w:val="none"/>
        </w:rPr>
        <w:t>9</w:t>
      </w:r>
      <w:r>
        <w:rPr>
          <w:rFonts w:ascii="Arial" w:hAnsi="Arial" w:eastAsia="仿宋_GB2312"/>
          <w:sz w:val="28"/>
          <w:highlight w:val="none"/>
        </w:rPr>
        <w:t>月</w:t>
      </w:r>
      <w:r>
        <w:rPr>
          <w:rFonts w:hint="eastAsia" w:ascii="Arial" w:hAnsi="Arial" w:eastAsia="仿宋_GB2312"/>
          <w:sz w:val="28"/>
          <w:highlight w:val="none"/>
        </w:rPr>
        <w:t>12</w:t>
      </w:r>
      <w:r>
        <w:rPr>
          <w:rFonts w:ascii="Arial" w:hAnsi="Arial" w:eastAsia="仿宋_GB2312"/>
          <w:sz w:val="28"/>
          <w:highlight w:val="none"/>
        </w:rPr>
        <w:t>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19.《</w:t>
      </w:r>
      <w:r>
        <w:rPr>
          <w:rFonts w:ascii="Arial" w:hAnsi="Arial" w:eastAsia="仿宋_GB2312"/>
          <w:sz w:val="28"/>
          <w:highlight w:val="none"/>
        </w:rPr>
        <w:t>国土资源部</w:t>
      </w:r>
      <w:r>
        <w:rPr>
          <w:rFonts w:hint="eastAsia" w:ascii="Arial" w:hAnsi="Arial" w:eastAsia="仿宋_GB2312"/>
          <w:sz w:val="28"/>
          <w:highlight w:val="none"/>
        </w:rPr>
        <w:t>&lt;</w:t>
      </w:r>
      <w:r>
        <w:rPr>
          <w:rFonts w:ascii="Arial" w:hAnsi="Arial" w:eastAsia="仿宋_GB2312"/>
          <w:sz w:val="28"/>
          <w:highlight w:val="none"/>
        </w:rPr>
        <w:t>关于坚持和完善土地招标拍卖挂牌出让制度的意见</w:t>
      </w:r>
      <w:r>
        <w:rPr>
          <w:rFonts w:hint="eastAsia" w:ascii="Arial" w:hAnsi="Arial" w:eastAsia="仿宋_GB2312"/>
          <w:sz w:val="28"/>
          <w:highlight w:val="none"/>
        </w:rPr>
        <w:t>&gt;</w:t>
      </w:r>
      <w:r>
        <w:rPr>
          <w:rFonts w:ascii="Arial" w:hAnsi="Arial" w:eastAsia="仿宋_GB2312"/>
          <w:sz w:val="28"/>
          <w:highlight w:val="none"/>
        </w:rPr>
        <w:t>》〔国土资发〔2011〕63号，2011年5月13日〕；</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20.《</w:t>
      </w:r>
      <w:r>
        <w:rPr>
          <w:rFonts w:ascii="Arial" w:hAnsi="Arial" w:eastAsia="仿宋_GB2312"/>
          <w:sz w:val="28"/>
          <w:highlight w:val="none"/>
        </w:rPr>
        <w:t>国土资源部办公厅</w:t>
      </w:r>
      <w:r>
        <w:rPr>
          <w:rFonts w:hint="eastAsia" w:ascii="Arial" w:hAnsi="Arial" w:eastAsia="仿宋_GB2312"/>
          <w:sz w:val="28"/>
          <w:highlight w:val="none"/>
        </w:rPr>
        <w:t>&lt;</w:t>
      </w:r>
      <w:r>
        <w:rPr>
          <w:rFonts w:ascii="Arial" w:hAnsi="Arial" w:eastAsia="仿宋_GB2312"/>
          <w:sz w:val="28"/>
          <w:highlight w:val="none"/>
        </w:rPr>
        <w:t>关于实行电子化备案完善土地估价报告备案制度的通知</w:t>
      </w:r>
      <w:r>
        <w:rPr>
          <w:rFonts w:hint="eastAsia" w:ascii="Arial" w:hAnsi="Arial" w:eastAsia="仿宋_GB2312"/>
          <w:sz w:val="28"/>
          <w:highlight w:val="none"/>
        </w:rPr>
        <w:t>&gt;</w:t>
      </w:r>
      <w:r>
        <w:rPr>
          <w:rFonts w:ascii="Arial" w:hAnsi="Arial" w:eastAsia="仿宋_GB2312"/>
          <w:sz w:val="28"/>
          <w:highlight w:val="none"/>
        </w:rPr>
        <w:t>》〔国土资厅发〔2012〕35号，2012年6月14日发布〕</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21.《北京市实施&lt;中华人民共和国城镇国有土地使用权出让和转让暂行条例&gt;办法》（1992年5月27日北京市人民政府第11号令发布；根据1993年5月18日北京市人民政府第6号令第一次修改；根据2002年2月11日北京市人民政府第92号令第二次修改；根据2007年11月23日北京市人民政府第200号令第三次修改）</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22.《北京市城市房地产转让管理办法》（北京市人民政府令第135号，经2003年8月26日市人民政府第13次常务会议通过，自2003年12月1日起施行，2008年12月6日北京市人民政府令第209号修正）</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23.《北京市城乡规划条例》（2009年5月22日北京市第十三届人民代表大会常务委员会第十一次会议通过；2019年3月29日北京市第十五届人民代表大会常务委员会第十二次会议修订，自2019年4月28日起施行）</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24.</w:t>
      </w:r>
      <w:r>
        <w:rPr>
          <w:rFonts w:hint="eastAsia" w:ascii="Arial" w:hAnsi="Arial" w:eastAsia="仿宋_GB2312"/>
          <w:bCs/>
          <w:sz w:val="28"/>
          <w:highlight w:val="none"/>
        </w:rPr>
        <w:t>《北京市实施</w:t>
      </w:r>
      <w:r>
        <w:rPr>
          <w:rFonts w:hint="eastAsia" w:ascii="Arial" w:hAnsi="Arial" w:eastAsia="仿宋_GB2312"/>
          <w:sz w:val="28"/>
          <w:highlight w:val="none"/>
        </w:rPr>
        <w:t>&lt;</w:t>
      </w:r>
      <w:r>
        <w:rPr>
          <w:rFonts w:hint="eastAsia" w:ascii="Arial" w:hAnsi="Arial" w:eastAsia="仿宋_GB2312"/>
          <w:bCs/>
          <w:sz w:val="28"/>
          <w:highlight w:val="none"/>
        </w:rPr>
        <w:t>中华人民共和国城镇土地使用税暂行条例</w:t>
      </w:r>
      <w:r>
        <w:rPr>
          <w:rFonts w:hint="eastAsia" w:ascii="Arial" w:hAnsi="Arial" w:eastAsia="仿宋_GB2312"/>
          <w:sz w:val="28"/>
          <w:highlight w:val="none"/>
        </w:rPr>
        <w:t>&gt;</w:t>
      </w:r>
      <w:r>
        <w:rPr>
          <w:rFonts w:hint="eastAsia" w:ascii="Arial" w:hAnsi="Arial" w:eastAsia="仿宋_GB2312"/>
          <w:bCs/>
          <w:sz w:val="28"/>
          <w:highlight w:val="none"/>
        </w:rPr>
        <w:t>办法》（</w:t>
      </w:r>
      <w:r>
        <w:rPr>
          <w:rFonts w:hint="eastAsia" w:ascii="Arial" w:hAnsi="Arial" w:eastAsia="仿宋_GB2312"/>
          <w:sz w:val="28"/>
          <w:highlight w:val="none"/>
        </w:rPr>
        <w:t>1988年12月30日北京市人民政府京政发〔1988〕115号文件发布；根据1998年6月12日北京市人民政府第6号令第一次修改；根据2007年4月27日北京市人民政府第188号令第二次修改</w:t>
      </w:r>
      <w:r>
        <w:rPr>
          <w:rFonts w:hint="eastAsia" w:ascii="Arial" w:hAnsi="Arial" w:eastAsia="仿宋_GB2312"/>
          <w:bCs/>
          <w:sz w:val="28"/>
          <w:highlight w:val="none"/>
        </w:rPr>
        <w:t>）</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25.《北京市人民政府关于印发北京市国有建设用地供应办法（试行）的通知》（京政发（2005）6号）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26.《北京市人民政府关于修订〈北京市国有建设用地供应办法（试行）〉的决定》（京政发〔2021〕12号）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27.《关于印发北京市出让国有土地使用权招标拍卖挂牌办法的通知》（京国土市（2005）302号）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28.《北京市国土资源局、北京市发展和改革委员会、北京市财政局、北京市规划委、北京市住房和城乡建设委员会关于印发北京市国有建设用地使用权出让地价评审暂行规定的通知》（京国土用（2015）87号）</w:t>
      </w:r>
    </w:p>
    <w:p>
      <w:pPr>
        <w:spacing w:line="300" w:lineRule="auto"/>
        <w:ind w:firstLine="560"/>
        <w:jc w:val="both"/>
        <w:rPr>
          <w:rFonts w:ascii="Arial" w:hAnsi="Arial" w:eastAsia="仿宋_GB2312"/>
          <w:sz w:val="28"/>
          <w:highlight w:val="none"/>
        </w:rPr>
      </w:pPr>
      <w:r>
        <w:rPr>
          <w:rFonts w:hint="eastAsia" w:ascii="Arial" w:hAnsi="Arial" w:eastAsia="仿宋_GB2312"/>
          <w:sz w:val="28"/>
          <w:highlight w:val="none"/>
        </w:rPr>
        <w:t>29.《</w:t>
      </w:r>
      <w:r>
        <w:rPr>
          <w:rFonts w:ascii="Arial" w:hAnsi="Arial" w:eastAsia="仿宋_GB2312"/>
          <w:sz w:val="28"/>
          <w:highlight w:val="none"/>
        </w:rPr>
        <w:t>北京市国土资源局、北京市发展和改革委员会关于印发北京市国有土地使用权招标拍卖挂牌出让底价确定办法（试行）的通知</w:t>
      </w:r>
      <w:r>
        <w:rPr>
          <w:rFonts w:hint="eastAsia" w:ascii="Arial" w:hAnsi="Arial" w:eastAsia="仿宋_GB2312"/>
          <w:sz w:val="28"/>
          <w:highlight w:val="none"/>
        </w:rPr>
        <w:t>》（ 京国土用〔2005〕533号）</w:t>
      </w:r>
    </w:p>
    <w:p>
      <w:pPr>
        <w:spacing w:line="300" w:lineRule="auto"/>
        <w:ind w:firstLine="560"/>
        <w:jc w:val="both"/>
        <w:rPr>
          <w:rFonts w:ascii="Arial" w:hAnsi="Arial" w:eastAsia="仿宋_GB2312" w:cs="Arial"/>
          <w:sz w:val="28"/>
          <w:szCs w:val="28"/>
          <w:highlight w:val="none"/>
        </w:rPr>
      </w:pPr>
      <w:r>
        <w:rPr>
          <w:rFonts w:hint="eastAsia" w:ascii="Arial" w:hAnsi="Arial" w:eastAsia="仿宋_GB2312" w:cs="Arial"/>
          <w:sz w:val="28"/>
          <w:szCs w:val="28"/>
          <w:highlight w:val="none"/>
        </w:rPr>
        <w:t>30.</w:t>
      </w:r>
      <w:r>
        <w:rPr>
          <w:rFonts w:ascii="Arial" w:hAnsi="Arial" w:eastAsia="仿宋" w:cs="Arial"/>
          <w:sz w:val="28"/>
          <w:szCs w:val="28"/>
          <w:highlight w:val="none"/>
        </w:rPr>
        <w:t>《</w:t>
      </w:r>
      <w:r>
        <w:rPr>
          <w:rFonts w:hint="eastAsia" w:ascii="Arial" w:hAnsi="Arial" w:eastAsia="仿宋" w:cs="Arial"/>
          <w:sz w:val="28"/>
          <w:szCs w:val="28"/>
          <w:highlight w:val="none"/>
        </w:rPr>
        <w:t>北京市密云区人民政府关于印发征收城市基础设施建设费暂行办法的通知</w:t>
      </w:r>
      <w:r>
        <w:rPr>
          <w:rFonts w:ascii="Arial" w:hAnsi="Arial" w:eastAsia="仿宋" w:cs="Arial"/>
          <w:sz w:val="28"/>
          <w:szCs w:val="28"/>
          <w:highlight w:val="none"/>
        </w:rPr>
        <w:t>》</w:t>
      </w:r>
      <w:r>
        <w:rPr>
          <w:rFonts w:hint="eastAsia" w:ascii="Arial" w:hAnsi="Arial" w:eastAsia="仿宋" w:cs="Arial"/>
          <w:sz w:val="28"/>
          <w:szCs w:val="28"/>
          <w:highlight w:val="none"/>
        </w:rPr>
        <w:t>（密政发〔2016〕47号）</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（二）采用的技术标准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1.《城镇土地估价规程》[GB/T 18508-2014]</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2.《城镇土地分等定级规程》</w:t>
      </w:r>
      <w:r>
        <w:rPr>
          <w:highlight w:val="none"/>
        </w:rPr>
        <w:fldChar w:fldCharType="begin"/>
      </w:r>
      <w:r>
        <w:rPr>
          <w:highlight w:val="none"/>
        </w:rPr>
        <w:instrText xml:space="preserve"> HYPERLINK "http://www.baidu.com/link?url=WR4ik0HfoP3GU1rlTYIFq3n2WBRxMHa-d8GcgMgJUtKKn1Pe8laCRZpZkd9wT3bWx0Da0HhCv5MAzf-34H8xnjpEjz3Kk8n4fMGDiYPYgW3" \t "_blank" </w:instrText>
      </w:r>
      <w:r>
        <w:rPr>
          <w:highlight w:val="none"/>
        </w:rPr>
        <w:fldChar w:fldCharType="separate"/>
      </w:r>
      <w:r>
        <w:rPr>
          <w:rFonts w:ascii="Arial" w:hAnsi="Arial" w:eastAsia="仿宋" w:cs="Arial"/>
          <w:sz w:val="28"/>
          <w:szCs w:val="28"/>
          <w:highlight w:val="none"/>
        </w:rPr>
        <w:t>[GB/T 18507-2014]</w:t>
      </w:r>
      <w:r>
        <w:rPr>
          <w:rFonts w:ascii="Arial" w:hAnsi="Arial" w:eastAsia="仿宋" w:cs="Arial"/>
          <w:sz w:val="28"/>
          <w:szCs w:val="28"/>
          <w:highlight w:val="none"/>
        </w:rPr>
        <w:fldChar w:fldCharType="end"/>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3.《土地利用现状分类》[ GB/T 21010-2017]</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4.《城市用地分类与规划建设用地标准》[GB50137-2011]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w:t>
      </w:r>
      <w:r>
        <w:rPr>
          <w:rFonts w:hint="eastAsia" w:ascii="Arial" w:hAnsi="Arial" w:eastAsia="仿宋_GB2312" w:cs="Arial"/>
          <w:sz w:val="28"/>
          <w:highlight w:val="none"/>
        </w:rPr>
        <w:t>《自然资源分等定级通则》（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60</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w:t>
      </w:r>
      <w:r>
        <w:rPr>
          <w:rFonts w:hint="eastAsia" w:ascii="Arial" w:hAnsi="Arial" w:eastAsia="仿宋_GB2312" w:cs="Arial"/>
          <w:sz w:val="28"/>
          <w:highlight w:val="none"/>
        </w:rPr>
        <w:t>《自然资源价格评估通则》（</w:t>
      </w:r>
      <w:r>
        <w:rPr>
          <w:rFonts w:ascii="Arial" w:hAnsi="Arial" w:eastAsia="仿宋_GB2312" w:cs="Arial"/>
          <w:sz w:val="28"/>
          <w:highlight w:val="none"/>
        </w:rPr>
        <w:t>TD/T</w:t>
      </w:r>
      <w:r>
        <w:rPr>
          <w:rFonts w:hint="eastAsia" w:ascii="Arial" w:hAnsi="Arial" w:eastAsia="仿宋_GB2312" w:cs="Arial"/>
          <w:sz w:val="28"/>
          <w:highlight w:val="none"/>
        </w:rPr>
        <w:t xml:space="preserve"> </w:t>
      </w:r>
      <w:r>
        <w:rPr>
          <w:rFonts w:ascii="Arial" w:hAnsi="Arial" w:eastAsia="仿宋_GB2312" w:cs="Arial"/>
          <w:sz w:val="28"/>
          <w:highlight w:val="none"/>
        </w:rPr>
        <w:t>10</w:t>
      </w:r>
      <w:r>
        <w:rPr>
          <w:rFonts w:hint="eastAsia" w:ascii="Arial" w:hAnsi="Arial" w:eastAsia="仿宋_GB2312" w:cs="Arial"/>
          <w:sz w:val="28"/>
          <w:highlight w:val="none"/>
        </w:rPr>
        <w:t>61</w:t>
      </w:r>
      <w:r>
        <w:rPr>
          <w:rFonts w:ascii="Arial" w:hAnsi="Arial" w:eastAsia="仿宋_GB2312" w:cs="Arial"/>
          <w:sz w:val="28"/>
          <w:highlight w:val="none"/>
        </w:rPr>
        <w:t>-20</w:t>
      </w:r>
      <w:r>
        <w:rPr>
          <w:rFonts w:hint="eastAsia" w:ascii="Arial" w:hAnsi="Arial" w:eastAsia="仿宋_GB2312" w:cs="Arial"/>
          <w:sz w:val="28"/>
          <w:highlight w:val="none"/>
        </w:rPr>
        <w:t>21）</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7.《国土资源部办公厅关于印发〈国有建设用地使用权出让地价评估技术规范〉的通知》[国土资厅发（2018）4号]</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8.《城市地价动态监测技术规范》[TD/T1009-2007]</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9.《自然资源部办公厅关于印发《国土空间调查、规划、用途管制用地用海分类指南（试行）》的通知》[自然资办发〔2020〕51号]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10.《北京市人民政府关于更新出让国有建设用地使用权基准地价的通知》[京政发[2022]12号]</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11.《北京市国土空间调查、规划、用途管制用地分类指南（试行）》</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12.《北京市国有建设用地使用权出让地价评估技术导则（试行）》[北估秘[2023]001]</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13.《自然资源部办公厅关于印发&lt;划拨国有建设用地使用权地 价评估指导意见(试行) &gt;的通知》[自然资办函〔2019〕922号]</w:t>
      </w:r>
    </w:p>
    <w:p>
      <w:pPr>
        <w:spacing w:line="300" w:lineRule="auto"/>
        <w:ind w:firstLine="560" w:firstLineChars="200"/>
        <w:jc w:val="both"/>
        <w:rPr>
          <w:rFonts w:ascii="Arial" w:hAnsi="Arial" w:eastAsia="仿宋" w:cs="Arial"/>
          <w:sz w:val="28"/>
          <w:szCs w:val="28"/>
          <w:highlight w:val="none"/>
        </w:rPr>
      </w:pPr>
      <w:r>
        <w:rPr>
          <w:rFonts w:hint="eastAsia" w:ascii="Arial" w:hAnsi="Arial" w:eastAsia="仿宋" w:cs="Arial"/>
          <w:sz w:val="28"/>
          <w:szCs w:val="28"/>
          <w:highlight w:val="none"/>
        </w:rPr>
        <w:t>14.《北京市协议出让涉及的划拨地价评估技术指引</w:t>
      </w:r>
      <w:r>
        <w:rPr>
          <w:rFonts w:ascii="Arial" w:hAnsi="Arial" w:eastAsia="仿宋" w:cs="Arial"/>
          <w:sz w:val="28"/>
          <w:szCs w:val="28"/>
          <w:highlight w:val="none"/>
        </w:rPr>
        <w:t>（试行）</w:t>
      </w:r>
      <w:r>
        <w:rPr>
          <w:rFonts w:hint="eastAsia" w:ascii="Arial" w:hAnsi="Arial" w:eastAsia="仿宋" w:cs="Arial"/>
          <w:sz w:val="28"/>
          <w:szCs w:val="28"/>
          <w:highlight w:val="none"/>
        </w:rPr>
        <w:t>》</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5</w:t>
      </w:r>
      <w:r>
        <w:rPr>
          <w:rFonts w:ascii="Arial" w:hAnsi="Arial" w:eastAsia="仿宋" w:cs="Arial"/>
          <w:sz w:val="28"/>
          <w:szCs w:val="28"/>
          <w:highlight w:val="none"/>
        </w:rPr>
        <w:t>.《北京市建设工程计价依据-预算定额》（2012）及动态调整</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6</w:t>
      </w:r>
      <w:r>
        <w:rPr>
          <w:rFonts w:ascii="Arial" w:hAnsi="Arial" w:eastAsia="仿宋" w:cs="Arial"/>
          <w:sz w:val="28"/>
          <w:szCs w:val="28"/>
          <w:highlight w:val="none"/>
        </w:rPr>
        <w:t>.《北京工程造价信息》〔北京市建设工程造价管理处定期发布〕</w:t>
      </w:r>
    </w:p>
    <w:p>
      <w:pPr>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1</w:t>
      </w:r>
      <w:r>
        <w:rPr>
          <w:rFonts w:hint="eastAsia" w:ascii="Arial" w:hAnsi="Arial" w:eastAsia="仿宋" w:cs="Arial"/>
          <w:sz w:val="28"/>
          <w:szCs w:val="28"/>
          <w:highlight w:val="none"/>
        </w:rPr>
        <w:t>7</w:t>
      </w:r>
      <w:r>
        <w:rPr>
          <w:rFonts w:ascii="Arial" w:hAnsi="Arial" w:eastAsia="仿宋" w:cs="Arial"/>
          <w:sz w:val="28"/>
          <w:szCs w:val="28"/>
          <w:highlight w:val="none"/>
        </w:rPr>
        <w:t>.《北京市统计年鉴》</w:t>
      </w:r>
    </w:p>
    <w:p>
      <w:pPr>
        <w:spacing w:line="300" w:lineRule="auto"/>
        <w:jc w:val="both"/>
        <w:rPr>
          <w:rFonts w:ascii="Arial" w:hAnsi="Arial" w:eastAsia="仿宋_GB2312" w:cs="Arial"/>
          <w:sz w:val="28"/>
          <w:szCs w:val="18"/>
          <w:highlight w:val="none"/>
        </w:rPr>
      </w:pPr>
      <w:r>
        <w:rPr>
          <w:rFonts w:ascii="Arial" w:hAnsi="Arial" w:eastAsia="仿宋_GB2312" w:cs="Arial"/>
          <w:sz w:val="28"/>
          <w:szCs w:val="18"/>
          <w:highlight w:val="none"/>
        </w:rPr>
        <w:t>（三） 委托估价方提供的资料</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复印件</w:t>
      </w:r>
    </w:p>
    <w:p>
      <w:pPr>
        <w:spacing w:line="300" w:lineRule="auto"/>
        <w:jc w:val="both"/>
        <w:rPr>
          <w:rFonts w:ascii="Arial" w:hAnsi="Arial" w:eastAsia="仿宋_GB2312" w:cs="Arial"/>
          <w:sz w:val="28"/>
          <w:highlight w:val="none"/>
        </w:rPr>
      </w:pPr>
      <w:r>
        <w:rPr>
          <w:rFonts w:ascii="Arial" w:hAnsi="Arial" w:eastAsia="仿宋_GB2312" w:cs="Arial"/>
          <w:sz w:val="28"/>
          <w:szCs w:val="18"/>
          <w:highlight w:val="none"/>
        </w:rPr>
        <w:t>（四）受托估价方掌握的有关资料和评估专业人员实地勘察、调查所获取的资料实地勘查</w:t>
      </w:r>
      <w:r>
        <w:rPr>
          <w:rFonts w:ascii="Arial" w:hAnsi="Arial" w:eastAsia="仿宋_GB2312" w:cs="Arial"/>
          <w:sz w:val="28"/>
          <w:highlight w:val="none"/>
        </w:rPr>
        <w:t>的有关资料</w:t>
      </w:r>
      <w:r>
        <w:rPr>
          <w:rFonts w:hint="eastAsia" w:ascii="Arial" w:hAnsi="Arial" w:eastAsia="仿宋_GB2312" w:cs="Arial"/>
          <w:sz w:val="28"/>
          <w:highlight w:val="none"/>
        </w:rPr>
        <w:t>。</w:t>
      </w:r>
    </w:p>
    <w:p>
      <w:pPr>
        <w:spacing w:line="300" w:lineRule="auto"/>
        <w:jc w:val="both"/>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09" w:name="_Toc66929517"/>
      <w:bookmarkStart w:id="210" w:name="_Toc524335090"/>
      <w:bookmarkStart w:id="211" w:name="_Toc515457807"/>
      <w:bookmarkStart w:id="212" w:name="_Toc469066155"/>
      <w:bookmarkStart w:id="213" w:name="_Toc69393392"/>
      <w:bookmarkStart w:id="214" w:name="_Toc516488185"/>
      <w:bookmarkStart w:id="215" w:name="_Toc416783670"/>
      <w:bookmarkStart w:id="216" w:name="_Toc416783574"/>
      <w:r>
        <w:rPr>
          <w:rFonts w:ascii="Arial" w:hAnsi="Arial" w:eastAsia="仿宋_GB2312" w:cs="Arial"/>
          <w:b/>
          <w:sz w:val="28"/>
          <w:highlight w:val="none"/>
        </w:rPr>
        <w:t>六、估价期日</w:t>
      </w:r>
      <w:bookmarkEnd w:id="209"/>
      <w:bookmarkEnd w:id="210"/>
      <w:bookmarkEnd w:id="211"/>
      <w:bookmarkEnd w:id="212"/>
      <w:bookmarkEnd w:id="213"/>
      <w:bookmarkEnd w:id="214"/>
    </w:p>
    <w:bookmarkEnd w:id="215"/>
    <w:bookmarkEnd w:id="216"/>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2023年6月5日</w:t>
      </w:r>
      <w:r>
        <w:rPr>
          <w:rFonts w:ascii="Arial" w:hAnsi="Arial" w:eastAsia="仿宋_GB2312" w:cs="Arial"/>
          <w:sz w:val="28"/>
          <w:highlight w:val="none"/>
        </w:rPr>
        <w:t>（</w:t>
      </w:r>
      <w:r>
        <w:rPr>
          <w:rFonts w:ascii="Arial" w:hAnsi="Arial" w:eastAsia="仿宋_GB2312" w:cs="Arial"/>
          <w:sz w:val="28"/>
          <w:szCs w:val="28"/>
          <w:highlight w:val="none"/>
        </w:rPr>
        <w:t>根据《国有建设用地使用权出让地价评估委托书》确定</w:t>
      </w:r>
      <w:r>
        <w:rPr>
          <w:rFonts w:ascii="Arial" w:hAnsi="Arial" w:eastAsia="仿宋_GB2312" w:cs="Arial"/>
          <w:sz w:val="28"/>
          <w:highlight w:val="none"/>
        </w:rPr>
        <w:t>）</w:t>
      </w:r>
    </w:p>
    <w:p>
      <w:pPr>
        <w:spacing w:line="300" w:lineRule="auto"/>
        <w:rPr>
          <w:rFonts w:ascii="Arial" w:hAnsi="Arial" w:eastAsia="仿宋_GB2312" w:cs="Arial"/>
          <w:b/>
          <w:bCs/>
          <w:sz w:val="28"/>
          <w:highlight w:val="none"/>
        </w:rPr>
      </w:pPr>
    </w:p>
    <w:p>
      <w:pPr>
        <w:spacing w:line="300" w:lineRule="auto"/>
        <w:outlineLvl w:val="1"/>
        <w:rPr>
          <w:rFonts w:ascii="Arial" w:hAnsi="Arial" w:eastAsia="仿宋_GB2312" w:cs="Arial"/>
          <w:b/>
          <w:bCs/>
          <w:sz w:val="28"/>
          <w:highlight w:val="none"/>
        </w:rPr>
      </w:pPr>
      <w:bookmarkStart w:id="217" w:name="_Toc66929518"/>
      <w:bookmarkStart w:id="218" w:name="_Toc69393393"/>
      <w:bookmarkStart w:id="219" w:name="_Toc515457808"/>
      <w:bookmarkStart w:id="220" w:name="_Toc516488186"/>
      <w:bookmarkStart w:id="221" w:name="_Toc469066156"/>
      <w:bookmarkStart w:id="222" w:name="_Toc524335091"/>
      <w:bookmarkStart w:id="223" w:name="_Toc416783671"/>
      <w:bookmarkStart w:id="224" w:name="_Toc416783575"/>
      <w:r>
        <w:rPr>
          <w:rFonts w:ascii="Arial" w:hAnsi="Arial" w:eastAsia="仿宋_GB2312" w:cs="Arial"/>
          <w:b/>
          <w:bCs/>
          <w:sz w:val="28"/>
          <w:highlight w:val="none"/>
        </w:rPr>
        <w:t>七、估价日期</w:t>
      </w:r>
      <w:bookmarkEnd w:id="217"/>
      <w:bookmarkEnd w:id="218"/>
      <w:bookmarkEnd w:id="219"/>
      <w:bookmarkEnd w:id="220"/>
      <w:bookmarkEnd w:id="221"/>
      <w:bookmarkEnd w:id="222"/>
    </w:p>
    <w:bookmarkEnd w:id="223"/>
    <w:bookmarkEnd w:id="224"/>
    <w:p>
      <w:pPr>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2023年6月2日</w:t>
      </w:r>
      <w:r>
        <w:rPr>
          <w:rFonts w:ascii="Arial" w:hAnsi="Arial" w:eastAsia="仿宋_GB2312" w:cs="Arial"/>
          <w:sz w:val="28"/>
          <w:highlight w:val="none"/>
        </w:rPr>
        <w:t>至</w:t>
      </w:r>
      <w:r>
        <w:rPr>
          <w:rFonts w:hint="eastAsia" w:ascii="Arial" w:hAnsi="Arial" w:eastAsia="仿宋_GB2312" w:cs="Arial"/>
          <w:sz w:val="28"/>
          <w:highlight w:val="none"/>
        </w:rPr>
        <w:t>2023年6月9日</w:t>
      </w:r>
    </w:p>
    <w:p>
      <w:pPr>
        <w:pStyle w:val="10"/>
        <w:spacing w:line="300" w:lineRule="auto"/>
        <w:ind w:left="1405" w:hanging="1405" w:hangingChars="500"/>
        <w:jc w:val="left"/>
        <w:rPr>
          <w:rFonts w:ascii="Arial" w:eastAsia="仿宋_GB2312" w:cs="Arial"/>
          <w:b/>
          <w:bCs/>
          <w:sz w:val="28"/>
          <w:highlight w:val="none"/>
        </w:rPr>
      </w:pPr>
    </w:p>
    <w:p>
      <w:pPr>
        <w:pStyle w:val="10"/>
        <w:spacing w:line="300" w:lineRule="auto"/>
        <w:ind w:left="1405" w:hanging="1405" w:hangingChars="500"/>
        <w:jc w:val="left"/>
        <w:outlineLvl w:val="1"/>
        <w:rPr>
          <w:rFonts w:ascii="Arial" w:eastAsia="仿宋_GB2312" w:cs="Arial"/>
          <w:b/>
          <w:bCs/>
          <w:sz w:val="28"/>
          <w:highlight w:val="none"/>
        </w:rPr>
      </w:pPr>
      <w:bookmarkStart w:id="225" w:name="_Toc515457809"/>
      <w:bookmarkStart w:id="226" w:name="_Toc66929519"/>
      <w:bookmarkStart w:id="227" w:name="_Toc516488187"/>
      <w:bookmarkStart w:id="228" w:name="_Toc69393394"/>
      <w:bookmarkStart w:id="229" w:name="_Toc524335092"/>
      <w:bookmarkStart w:id="230" w:name="_Toc469066157"/>
      <w:r>
        <w:rPr>
          <w:rFonts w:ascii="Arial" w:eastAsia="仿宋_GB2312" w:cs="Arial"/>
          <w:b/>
          <w:bCs/>
          <w:sz w:val="28"/>
          <w:highlight w:val="none"/>
        </w:rPr>
        <w:t>八、地价定义</w:t>
      </w:r>
      <w:bookmarkEnd w:id="225"/>
      <w:bookmarkEnd w:id="226"/>
      <w:bookmarkEnd w:id="227"/>
      <w:bookmarkEnd w:id="228"/>
      <w:bookmarkEnd w:id="229"/>
      <w:bookmarkEnd w:id="230"/>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根据《国土资源部办公厅关于印发&lt;国有建设用地使用权出让地价评估技术规范&gt;的通知》[国土资厅发 [2018]4号]，使用权人申请以协议出让方式办理出让，出让时不改变土地及建筑物、构筑物现状的，应按本规范评估在现状使用条件下的出让土地使用权正常市场价格，减去划拨土地使用权价格，作为评估结果，并提出底价建议。故本次需同时评估估价对象的出让国有建设用地使用权正常市场价格、划拨国有建设用地土地使用权价格、政府土地出让收益。</w:t>
      </w:r>
    </w:p>
    <w:p>
      <w:pPr>
        <w:adjustRightInd/>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w:t>
      </w:r>
      <w:r>
        <w:rPr>
          <w:rFonts w:ascii="Arial" w:hAnsi="Arial" w:eastAsia="仿宋" w:cs="Arial"/>
          <w:sz w:val="28"/>
          <w:highlight w:val="none"/>
        </w:rPr>
        <w:t>一</w:t>
      </w:r>
      <w:r>
        <w:rPr>
          <w:rFonts w:hint="eastAsia" w:ascii="Arial" w:hAnsi="Arial" w:eastAsia="仿宋" w:cs="Arial"/>
          <w:sz w:val="28"/>
          <w:highlight w:val="none"/>
        </w:rPr>
        <w:t>）</w:t>
      </w:r>
      <w:r>
        <w:rPr>
          <w:rFonts w:ascii="Arial" w:hAnsi="Arial" w:eastAsia="仿宋_GB2312" w:cs="Arial"/>
          <w:sz w:val="28"/>
          <w:highlight w:val="none"/>
        </w:rPr>
        <w:t>出让国有建设用地使用权地价定义</w:t>
      </w:r>
      <w:r>
        <w:rPr>
          <w:rFonts w:hint="eastAsia" w:ascii="Arial" w:hAnsi="Arial" w:eastAsia="仿宋_GB2312" w:cs="Arial"/>
          <w:sz w:val="28"/>
          <w:highlight w:val="none"/>
        </w:rPr>
        <w:t>：</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adjustRightInd/>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adjustRightInd/>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，根据估价目的，设定估价对象土地使用权类型为出让。</w:t>
      </w:r>
    </w:p>
    <w:p>
      <w:pPr>
        <w:pStyle w:val="51"/>
        <w:adjustRightInd/>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adjustRightInd/>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w:t>
      </w:r>
      <w:r>
        <w:rPr>
          <w:rFonts w:ascii="Arial" w:hAnsi="Arial" w:eastAsia="仿宋_GB2312" w:cs="Arial"/>
          <w:sz w:val="28"/>
          <w:szCs w:val="28"/>
          <w:highlight w:val="none"/>
        </w:rPr>
        <w:t>现状</w:t>
      </w:r>
      <w:r>
        <w:rPr>
          <w:rFonts w:ascii="Arial" w:hAnsi="Arial" w:eastAsia="仿宋" w:cs="Arial"/>
          <w:sz w:val="28"/>
          <w:szCs w:val="28"/>
          <w:highlight w:val="none"/>
        </w:rPr>
        <w:t>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 xml:space="preserve"> </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p>
    <w:p>
      <w:pPr>
        <w:pStyle w:val="51"/>
        <w:adjustRightInd/>
        <w:snapToGrid w:val="0"/>
        <w:spacing w:line="300" w:lineRule="auto"/>
        <w:ind w:left="560" w:firstLine="0" w:firstLineChars="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pStyle w:val="51"/>
        <w:adjustRightInd/>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故本次评估设定价格类型为出让国有建设用地使用权市场价格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估价对象的出让国有建设用地使用权价格定义为：在公开市场条件下，估价对象在估价期日2023年6月5日；</w:t>
      </w:r>
      <w:r>
        <w:rPr>
          <w:rFonts w:ascii="Arial" w:hAnsi="Arial" w:eastAsia="仿宋_GB2312" w:cs="Arial"/>
          <w:sz w:val="28"/>
          <w:szCs w:val="28"/>
          <w:highlight w:val="none"/>
        </w:rPr>
        <w:t>评估设定土地使用权类型为出让；设定开发程度为宗地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土地剩余使用年限为40年，</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平方米的出让</w:t>
      </w:r>
      <w:r>
        <w:rPr>
          <w:rFonts w:ascii="Arial" w:hAnsi="Arial" w:eastAsia="仿宋_GB2312" w:cs="Arial"/>
          <w:sz w:val="28"/>
          <w:szCs w:val="28"/>
          <w:highlight w:val="none"/>
        </w:rPr>
        <w:t>国有建设用地使用权价格。</w:t>
      </w:r>
    </w:p>
    <w:p>
      <w:pPr>
        <w:snapToGrid w:val="0"/>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（二） 划拨国有建设用地使用权地价定义：</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1、</w:t>
      </w:r>
      <w:r>
        <w:rPr>
          <w:rFonts w:ascii="Arial" w:hAnsi="Arial" w:eastAsia="仿宋_GB2312" w:cs="Arial"/>
          <w:sz w:val="28"/>
          <w:szCs w:val="28"/>
          <w:highlight w:val="none"/>
        </w:rPr>
        <w:t>土地用途设定：</w:t>
      </w:r>
    </w:p>
    <w:p>
      <w:pPr>
        <w:snapToGrid w:val="0"/>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土地用途为</w:t>
      </w:r>
      <w:r>
        <w:rPr>
          <w:rFonts w:hint="eastAsia" w:ascii="Arial" w:hAnsi="Arial" w:eastAsia="仿宋_GB2312" w:cs="Arial"/>
          <w:sz w:val="28"/>
          <w:szCs w:val="28"/>
          <w:highlight w:val="none"/>
        </w:rPr>
        <w:t>商业服务业；根据《北京市房屋土地登记表》[宗地号：110228002001GB00135]估价对象房屋用途未标注；根据《国有建设用地使用权出让地价评估委托书》，估价对象用地规划用途为商业。本次评估根据《国有建设用地使用权出让地价评估委托书》，设定估价对象土地用途为商业。</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2、</w:t>
      </w:r>
      <w:r>
        <w:rPr>
          <w:rFonts w:ascii="Arial" w:hAnsi="Arial" w:eastAsia="仿宋_GB2312" w:cs="Arial"/>
          <w:sz w:val="28"/>
          <w:szCs w:val="28"/>
          <w:highlight w:val="none"/>
        </w:rPr>
        <w:t>土地使用权类型：</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估价对象为北京市密云区西门外大街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hint="eastAsia" w:ascii="Arial" w:hAnsi="Arial" w:eastAsia="仿宋_GB2312" w:cs="Arial"/>
          <w:sz w:val="28"/>
          <w:highlight w:val="none"/>
          <w:lang w:eastAsia="zh-CN"/>
        </w:rPr>
        <w:t>王蕴华</w:t>
      </w:r>
      <w:r>
        <w:rPr>
          <w:rFonts w:ascii="Arial" w:hAnsi="Arial" w:eastAsia="仿宋_GB2312" w:cs="Arial"/>
          <w:sz w:val="28"/>
          <w:highlight w:val="none"/>
        </w:rPr>
        <w:t>向北京市规划和自然资源委员会申请办理</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现状商业用地国有建设用地使用权出让价格协议</w:t>
      </w:r>
      <w:r>
        <w:rPr>
          <w:rFonts w:ascii="Arial" w:hAnsi="Arial" w:eastAsia="仿宋_GB2312" w:cs="Arial"/>
          <w:sz w:val="28"/>
          <w:highlight w:val="none"/>
        </w:rPr>
        <w:t>手续</w:t>
      </w:r>
      <w:r>
        <w:rPr>
          <w:rFonts w:hint="eastAsia" w:ascii="Arial" w:hAnsi="Arial" w:eastAsia="仿宋_GB2312" w:cs="Arial"/>
          <w:sz w:val="28"/>
          <w:szCs w:val="28"/>
          <w:highlight w:val="none"/>
        </w:rPr>
        <w:t>，根据估价目的，设定估价对象土地使用权类型为划拨。</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3、</w:t>
      </w:r>
      <w:r>
        <w:rPr>
          <w:rFonts w:ascii="Arial" w:hAnsi="Arial" w:eastAsia="仿宋_GB2312" w:cs="Arial"/>
          <w:sz w:val="28"/>
          <w:szCs w:val="28"/>
          <w:highlight w:val="none"/>
        </w:rPr>
        <w:t>土地开发程度设定：</w:t>
      </w:r>
    </w:p>
    <w:p>
      <w:pPr>
        <w:pStyle w:val="51"/>
        <w:snapToGrid w:val="0"/>
        <w:spacing w:line="300" w:lineRule="auto"/>
        <w:ind w:firstLine="560"/>
        <w:jc w:val="both"/>
        <w:textAlignment w:val="auto"/>
        <w:rPr>
          <w:rFonts w:ascii="Arial" w:hAnsi="Arial" w:eastAsia="仿宋" w:cs="Arial"/>
          <w:sz w:val="28"/>
          <w:szCs w:val="28"/>
          <w:highlight w:val="none"/>
        </w:rPr>
      </w:pPr>
      <w:r>
        <w:rPr>
          <w:rFonts w:ascii="Arial" w:hAnsi="Arial" w:eastAsia="仿宋" w:cs="Arial"/>
          <w:sz w:val="28"/>
          <w:szCs w:val="28"/>
          <w:highlight w:val="none"/>
        </w:rPr>
        <w:t>根据</w:t>
      </w:r>
      <w:r>
        <w:rPr>
          <w:rFonts w:ascii="Arial" w:hAnsi="Arial" w:eastAsia="仿宋" w:cs="Arial"/>
          <w:sz w:val="28"/>
          <w:highlight w:val="none"/>
        </w:rPr>
        <w:t>委托估价方介绍</w:t>
      </w:r>
      <w:r>
        <w:rPr>
          <w:rFonts w:ascii="Arial" w:hAnsi="Arial" w:eastAsia="仿宋" w:cs="Arial"/>
          <w:sz w:val="28"/>
          <w:szCs w:val="28"/>
          <w:highlight w:val="none"/>
        </w:rPr>
        <w:t>及</w:t>
      </w:r>
      <w:r>
        <w:rPr>
          <w:rFonts w:ascii="Arial" w:hAnsi="Arial" w:eastAsia="仿宋" w:cs="Arial"/>
          <w:sz w:val="28"/>
          <w:highlight w:val="none"/>
        </w:rPr>
        <w:t>土地估价专业评估师实地查勘</w:t>
      </w:r>
      <w:r>
        <w:rPr>
          <w:rFonts w:ascii="Arial" w:hAnsi="Arial" w:eastAsia="仿宋" w:cs="Arial"/>
          <w:sz w:val="28"/>
          <w:szCs w:val="28"/>
          <w:highlight w:val="none"/>
        </w:rPr>
        <w:t>，估价对象地上建筑物已建成并投入使用，宗地实际土地开发程度达到宗地红线外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w:t>
      </w:r>
      <w:r>
        <w:rPr>
          <w:rFonts w:hint="eastAsia" w:ascii="Arial" w:hAnsi="Arial" w:eastAsia="仿宋" w:cs="Arial"/>
          <w:sz w:val="28"/>
          <w:szCs w:val="28"/>
          <w:highlight w:val="none"/>
        </w:rPr>
        <w:t>“</w:t>
      </w:r>
      <w:r>
        <w:rPr>
          <w:rFonts w:ascii="Arial" w:hAnsi="Arial" w:eastAsia="仿宋" w:cs="Arial"/>
          <w:sz w:val="28"/>
          <w:szCs w:val="28"/>
          <w:highlight w:val="none"/>
        </w:rPr>
        <w:t>六通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w:t>
      </w:r>
      <w:r>
        <w:rPr>
          <w:rFonts w:hint="eastAsia" w:ascii="Arial" w:hAnsi="Arial" w:eastAsia="仿宋" w:cs="Arial"/>
          <w:sz w:val="28"/>
          <w:szCs w:val="28"/>
          <w:highlight w:val="none"/>
        </w:rPr>
        <w:t>）</w:t>
      </w:r>
      <w:r>
        <w:rPr>
          <w:rFonts w:ascii="Arial" w:hAnsi="Arial" w:eastAsia="仿宋" w:cs="Arial"/>
          <w:sz w:val="28"/>
          <w:szCs w:val="28"/>
          <w:highlight w:val="none"/>
        </w:rPr>
        <w:t>。本次评估结合土地利用特点及估价目的，设定估价对象的开发程度为宗地红线外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及宗地红线内场地平整。</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4、</w:t>
      </w:r>
      <w:r>
        <w:rPr>
          <w:rFonts w:ascii="Arial" w:hAnsi="Arial" w:eastAsia="仿宋_GB2312" w:cs="Arial"/>
          <w:sz w:val="28"/>
          <w:szCs w:val="28"/>
          <w:highlight w:val="none"/>
        </w:rPr>
        <w:t>土地使用权年限设定：</w:t>
      </w:r>
    </w:p>
    <w:p>
      <w:pPr>
        <w:pStyle w:val="51"/>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估价对象项目用地设定为以划拨方式取得的划拨用地，无使用年期限制。</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highlight w:val="none"/>
        </w:rPr>
        <w:t>5、</w:t>
      </w:r>
      <w:r>
        <w:rPr>
          <w:rFonts w:hint="eastAsia" w:ascii="Arial" w:hAnsi="Arial" w:eastAsia="仿宋_GB2312" w:cs="Arial"/>
          <w:sz w:val="28"/>
          <w:szCs w:val="28"/>
          <w:highlight w:val="none"/>
        </w:rPr>
        <w:t>土地利用条件</w:t>
      </w:r>
      <w:r>
        <w:rPr>
          <w:rFonts w:ascii="Arial" w:hAnsi="Arial" w:eastAsia="仿宋_GB2312" w:cs="Arial"/>
          <w:sz w:val="28"/>
          <w:szCs w:val="28"/>
          <w:highlight w:val="none"/>
        </w:rPr>
        <w:t>设定：</w:t>
      </w:r>
    </w:p>
    <w:p>
      <w:pPr>
        <w:snapToGrid w:val="0"/>
        <w:spacing w:line="300" w:lineRule="auto"/>
        <w:ind w:firstLine="560" w:firstLineChars="200"/>
        <w:jc w:val="both"/>
        <w:rPr>
          <w:rFonts w:hint="eastAsia"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p>
      <w:pPr>
        <w:snapToGrid w:val="0"/>
        <w:spacing w:line="300" w:lineRule="auto"/>
        <w:ind w:firstLine="560" w:firstLineChars="200"/>
        <w:jc w:val="both"/>
        <w:rPr>
          <w:rFonts w:hint="eastAsia" w:ascii="Arial" w:hAnsi="Arial" w:eastAsia="仿宋_GB2312" w:cs="Arial"/>
          <w:sz w:val="28"/>
          <w:szCs w:val="28"/>
          <w:highlight w:val="none"/>
        </w:rPr>
      </w:pPr>
    </w:p>
    <w:p>
      <w:pPr>
        <w:snapToGrid w:val="0"/>
        <w:spacing w:line="300" w:lineRule="auto"/>
        <w:ind w:firstLine="560" w:firstLineChars="200"/>
        <w:jc w:val="both"/>
        <w:rPr>
          <w:rFonts w:hint="eastAsia" w:ascii="Arial" w:hAnsi="Arial" w:eastAsia="仿宋_GB2312" w:cs="Arial"/>
          <w:sz w:val="28"/>
          <w:szCs w:val="28"/>
          <w:highlight w:val="none"/>
        </w:rPr>
      </w:pP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6、价格类型：</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 及《国有建设用地使用权出让地价评估委托书》，估价对象规划用途为商业用地，土地所有权归国家所有，</w:t>
      </w:r>
      <w:r>
        <w:rPr>
          <w:rFonts w:hint="eastAsia" w:ascii="Arial" w:hAnsi="Arial" w:eastAsia="仿宋_GB2312" w:cs="Arial"/>
          <w:sz w:val="28"/>
          <w:highlight w:val="none"/>
          <w:lang w:eastAsia="zh-CN"/>
        </w:rPr>
        <w:t>王蕴华</w:t>
      </w:r>
      <w:r>
        <w:rPr>
          <w:rFonts w:hint="eastAsia" w:ascii="Arial" w:hAnsi="Arial" w:eastAsia="仿宋_GB2312" w:cs="Arial"/>
          <w:sz w:val="28"/>
          <w:szCs w:val="28"/>
          <w:highlight w:val="none"/>
        </w:rPr>
        <w:t>为土地使用权人（承受人）。现该宗地拟办理国有土地使用权协议出让手续， 故本次评估设定价格类型为划拨国用建设用地使用权价格</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7、估价期日</w:t>
      </w:r>
      <w:r>
        <w:rPr>
          <w:rFonts w:ascii="Arial" w:hAnsi="Arial" w:eastAsia="仿宋_GB2312" w:cs="Arial"/>
          <w:sz w:val="28"/>
          <w:szCs w:val="28"/>
          <w:highlight w:val="none"/>
        </w:rPr>
        <w:t>：</w:t>
      </w:r>
    </w:p>
    <w:p>
      <w:pPr>
        <w:pStyle w:val="51"/>
        <w:snapToGrid w:val="0"/>
        <w:spacing w:line="300" w:lineRule="auto"/>
        <w:ind w:firstLine="560"/>
        <w:jc w:val="both"/>
        <w:textAlignment w:val="auto"/>
        <w:rPr>
          <w:rFonts w:ascii="Arial" w:hAnsi="Arial" w:eastAsia="仿宋_GB2312" w:cs="Arial"/>
          <w:sz w:val="28"/>
          <w:szCs w:val="28"/>
          <w:highlight w:val="none"/>
        </w:rPr>
      </w:pPr>
      <w:r>
        <w:rPr>
          <w:rFonts w:hint="eastAsia" w:ascii="Arial" w:hAnsi="Arial" w:eastAsia="仿宋_GB2312" w:cs="Arial"/>
          <w:sz w:val="28"/>
          <w:szCs w:val="28"/>
          <w:highlight w:val="none"/>
        </w:rPr>
        <w:t>根据委托估价方提供的《国有建设用地使用权出让地价评估委托书》，本次评估估价期日为2023年6月5日。</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8、地价定义：</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估价对象的划拨国有建设用地使用权价格定义为：在特定市场条件下，估价对象在估价期日2023年6月5日；</w:t>
      </w:r>
      <w:r>
        <w:rPr>
          <w:rFonts w:ascii="Arial" w:hAnsi="Arial" w:eastAsia="仿宋_GB2312" w:cs="Arial"/>
          <w:sz w:val="28"/>
          <w:szCs w:val="28"/>
          <w:highlight w:val="none"/>
        </w:rPr>
        <w:t>评估设定土地使用权类型为</w:t>
      </w:r>
      <w:r>
        <w:rPr>
          <w:rFonts w:hint="eastAsia" w:ascii="Arial" w:hAnsi="Arial" w:eastAsia="仿宋_GB2312" w:cs="Arial"/>
          <w:sz w:val="28"/>
          <w:szCs w:val="28"/>
          <w:highlight w:val="none"/>
        </w:rPr>
        <w:t>划拨</w:t>
      </w:r>
      <w:r>
        <w:rPr>
          <w:rFonts w:ascii="Arial" w:hAnsi="Arial" w:eastAsia="仿宋_GB2312" w:cs="Arial"/>
          <w:sz w:val="28"/>
          <w:szCs w:val="28"/>
          <w:highlight w:val="none"/>
        </w:rPr>
        <w:t>；设定开发程度为宗地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外</w:t>
      </w:r>
      <w:r>
        <w:rPr>
          <w:rFonts w:hint="eastAsia" w:ascii="Arial" w:hAnsi="Arial" w:eastAsia="仿宋_GB2312" w:cs="Arial"/>
          <w:sz w:val="28"/>
          <w:szCs w:val="28"/>
          <w:highlight w:val="none"/>
        </w:rPr>
        <w:t>“</w:t>
      </w:r>
      <w:r>
        <w:rPr>
          <w:rFonts w:ascii="Arial" w:hAnsi="Arial" w:eastAsia="仿宋_GB2312" w:cs="Arial"/>
          <w:sz w:val="28"/>
          <w:szCs w:val="28"/>
          <w:highlight w:val="none"/>
        </w:rPr>
        <w:t>七通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（即通路、通上水、通下水、通电、通讯、通暖、通燃气），宗地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；设定土地用途为商业（</w:t>
      </w:r>
      <w:r>
        <w:rPr>
          <w:rFonts w:hint="eastAsia" w:ascii="Arial" w:hAnsi="Arial" w:eastAsia="仿宋_GB2312" w:cs="Arial"/>
          <w:sz w:val="28"/>
          <w:highlight w:val="none"/>
          <w:lang w:eastAsia="zh-CN"/>
        </w:rPr>
        <w:t>零售商业用地</w:t>
      </w:r>
      <w:r>
        <w:rPr>
          <w:rFonts w:ascii="Arial" w:hAnsi="Arial" w:eastAsia="仿宋_GB2312" w:cs="Arial"/>
          <w:sz w:val="28"/>
          <w:szCs w:val="28"/>
          <w:highlight w:val="none"/>
        </w:rPr>
        <w:t>）；</w:t>
      </w:r>
      <w:r>
        <w:rPr>
          <w:rFonts w:ascii="Arial" w:hAnsi="Arial" w:eastAsia="仿宋_GB2312" w:cs="Arial"/>
          <w:sz w:val="28"/>
          <w:highlight w:val="none"/>
        </w:rPr>
        <w:t>在现状利用条件下</w:t>
      </w:r>
      <w:r>
        <w:rPr>
          <w:rFonts w:ascii="Arial" w:hAnsi="Arial" w:eastAsia="仿宋_GB2312" w:cs="Arial"/>
          <w:sz w:val="28"/>
          <w:szCs w:val="28"/>
          <w:highlight w:val="none"/>
        </w:rPr>
        <w:t>，地上容积率为</w:t>
      </w:r>
      <w:r>
        <w:rPr>
          <w:rFonts w:hint="eastAsia" w:ascii="Arial" w:hAnsi="Arial" w:eastAsia="仿宋_GB2312" w:cs="Arial"/>
          <w:sz w:val="28"/>
          <w:szCs w:val="28"/>
          <w:highlight w:val="none"/>
        </w:rPr>
        <w:t>2.04</w:t>
      </w:r>
      <w:r>
        <w:rPr>
          <w:rFonts w:ascii="Arial" w:hAnsi="Arial" w:eastAsia="仿宋_GB2312" w:cs="Arial"/>
          <w:sz w:val="28"/>
          <w:szCs w:val="28"/>
          <w:highlight w:val="none"/>
        </w:rPr>
        <w:t>，</w:t>
      </w:r>
      <w:r>
        <w:rPr>
          <w:rFonts w:hint="eastAsia" w:ascii="Arial" w:hAnsi="Arial" w:eastAsia="仿宋_GB2312" w:cs="Arial"/>
          <w:sz w:val="28"/>
          <w:szCs w:val="28"/>
          <w:highlight w:val="none"/>
        </w:rPr>
        <w:t>土地使用年期为无年期限制</w:t>
      </w:r>
      <w:r>
        <w:rPr>
          <w:rFonts w:ascii="Arial" w:hAnsi="Arial" w:eastAsia="仿宋_GB2312" w:cs="Arial"/>
          <w:sz w:val="28"/>
          <w:highlight w:val="none"/>
        </w:rPr>
        <w:t>，</w:t>
      </w:r>
      <w:r>
        <w:rPr>
          <w:rFonts w:hint="eastAsia" w:ascii="Arial" w:hAnsi="Arial" w:eastAsia="仿宋_GB2312" w:cs="Arial"/>
          <w:sz w:val="28"/>
          <w:highlight w:val="none"/>
        </w:rPr>
        <w:t>土地分摊面积为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平方米的划拨</w:t>
      </w:r>
      <w:r>
        <w:rPr>
          <w:rFonts w:ascii="Arial" w:hAnsi="Arial" w:eastAsia="仿宋_GB2312" w:cs="Arial"/>
          <w:sz w:val="28"/>
          <w:szCs w:val="28"/>
          <w:highlight w:val="none"/>
        </w:rPr>
        <w:t>国有建设用地使用权价格</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（三）政府土地出让收益内涵如下</w:t>
      </w:r>
      <w:r>
        <w:rPr>
          <w:rFonts w:hint="eastAsia" w:ascii="Arial" w:hAnsi="Arial" w:eastAsia="仿宋_GB2312" w:cs="Arial"/>
          <w:sz w:val="28"/>
          <w:szCs w:val="28"/>
          <w:highlight w:val="none"/>
        </w:rPr>
        <w:t>：</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ascii="Arial" w:hAnsi="Arial" w:eastAsia="仿宋_GB2312" w:cs="Arial"/>
          <w:sz w:val="28"/>
          <w:szCs w:val="28"/>
          <w:highlight w:val="none"/>
        </w:rPr>
        <w:t>根据《国土资源部办公厅关于印发&lt;国有建设用地使用权出让地价评估技术规范&gt;的通知》</w:t>
      </w:r>
      <w:r>
        <w:rPr>
          <w:rFonts w:hint="eastAsia" w:ascii="Arial" w:hAnsi="Arial" w:eastAsia="仿宋_GB2312" w:cs="Arial"/>
          <w:sz w:val="28"/>
          <w:szCs w:val="28"/>
          <w:highlight w:val="none"/>
        </w:rPr>
        <w:t>[</w:t>
      </w:r>
      <w:r>
        <w:rPr>
          <w:rFonts w:ascii="Arial" w:hAnsi="Arial" w:eastAsia="仿宋_GB2312" w:cs="Arial"/>
          <w:sz w:val="28"/>
          <w:szCs w:val="28"/>
          <w:highlight w:val="none"/>
        </w:rPr>
        <w:t>国土资厅发 [2018]4号</w:t>
      </w:r>
      <w:r>
        <w:rPr>
          <w:rFonts w:hint="eastAsia" w:ascii="Arial" w:hAnsi="Arial" w:eastAsia="仿宋_GB2312" w:cs="Arial"/>
          <w:sz w:val="28"/>
          <w:szCs w:val="28"/>
          <w:highlight w:val="none"/>
        </w:rPr>
        <w:t>]</w:t>
      </w:r>
      <w:r>
        <w:rPr>
          <w:rFonts w:ascii="Arial" w:hAnsi="Arial" w:eastAsia="仿宋_GB2312" w:cs="Arial"/>
          <w:sz w:val="28"/>
          <w:szCs w:val="28"/>
          <w:highlight w:val="none"/>
        </w:rPr>
        <w:t>，使用权人申请以协议出让方式办理出让，出让时不改变土地及建筑物、构筑物现状的，应按本规范评估在现状使用条件下的出让土地使用权正常市场价格，减去划拨土地使用权价格， 作为评估结果</w:t>
      </w:r>
      <w:r>
        <w:rPr>
          <w:rFonts w:hint="eastAsia" w:ascii="Arial" w:hAnsi="Arial" w:eastAsia="仿宋_GB2312" w:cs="Arial"/>
          <w:sz w:val="28"/>
          <w:szCs w:val="28"/>
          <w:highlight w:val="none"/>
        </w:rPr>
        <w:t>，</w:t>
      </w:r>
      <w:r>
        <w:rPr>
          <w:rFonts w:hint="eastAsia" w:ascii="Arial" w:hAnsi="Arial" w:eastAsia="仿宋_GB2312" w:cs="Arial"/>
          <w:sz w:val="28"/>
          <w:highlight w:val="none"/>
        </w:rPr>
        <w:t>并提出底价建议。</w:t>
      </w:r>
      <w:r>
        <w:rPr>
          <w:rFonts w:ascii="Arial" w:hAnsi="Arial" w:eastAsia="仿宋_GB2312" w:cs="Arial"/>
          <w:sz w:val="28"/>
          <w:szCs w:val="28"/>
          <w:highlight w:val="none"/>
        </w:rPr>
        <w:t>同时，估价结果应与政府土地出让收益金额进行对比，按照孰高原则确定应当缴纳的地价款金额。</w:t>
      </w:r>
    </w:p>
    <w:p>
      <w:pPr>
        <w:autoSpaceDE w:val="0"/>
        <w:autoSpaceDN w:val="0"/>
        <w:snapToGrid w:val="0"/>
        <w:spacing w:line="300" w:lineRule="auto"/>
        <w:ind w:firstLine="560" w:firstLineChars="200"/>
        <w:jc w:val="both"/>
        <w:textAlignment w:val="bottom"/>
        <w:rPr>
          <w:rFonts w:ascii="Arial" w:hAnsi="Arial" w:eastAsia="仿宋_GB2312" w:cs="Arial"/>
          <w:sz w:val="28"/>
          <w:szCs w:val="28"/>
          <w:highlight w:val="none"/>
        </w:rPr>
      </w:pPr>
      <w:r>
        <w:rPr>
          <w:rFonts w:hint="eastAsia" w:ascii="Arial" w:hAnsi="Arial" w:eastAsia="仿宋_GB2312" w:cs="Arial"/>
          <w:sz w:val="28"/>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w:t>
      </w:r>
      <w:r>
        <w:rPr>
          <w:rFonts w:ascii="Arial" w:hAnsi="Arial" w:eastAsia="仿宋_GB2312" w:cs="Arial"/>
          <w:sz w:val="28"/>
          <w:szCs w:val="28"/>
          <w:highlight w:val="none"/>
        </w:rPr>
        <w:t>。</w:t>
      </w:r>
    </w:p>
    <w:p>
      <w:pPr>
        <w:spacing w:line="300" w:lineRule="auto"/>
        <w:jc w:val="both"/>
        <w:outlineLvl w:val="1"/>
        <w:rPr>
          <w:rFonts w:ascii="Arial" w:hAnsi="Arial" w:eastAsia="仿宋_GB2312" w:cs="Arial"/>
          <w:b/>
          <w:sz w:val="28"/>
          <w:highlight w:val="none"/>
        </w:rPr>
      </w:pPr>
      <w:bookmarkStart w:id="231" w:name="_Toc516488188"/>
      <w:bookmarkStart w:id="232" w:name="_Toc515457810"/>
      <w:bookmarkStart w:id="233" w:name="_Toc416783576"/>
      <w:bookmarkStart w:id="234" w:name="_Toc469066158"/>
      <w:bookmarkStart w:id="235" w:name="_Toc66929520"/>
      <w:bookmarkStart w:id="236" w:name="_Toc524335093"/>
      <w:bookmarkStart w:id="237" w:name="_Toc69393395"/>
      <w:bookmarkStart w:id="238" w:name="_Toc416783672"/>
    </w:p>
    <w:p>
      <w:pPr>
        <w:spacing w:line="300" w:lineRule="auto"/>
        <w:jc w:val="both"/>
        <w:outlineLvl w:val="1"/>
        <w:rPr>
          <w:rFonts w:ascii="Arial" w:hAnsi="Arial" w:eastAsia="仿宋_GB2312" w:cs="Arial"/>
          <w:sz w:val="28"/>
          <w:highlight w:val="none"/>
        </w:rPr>
      </w:pPr>
      <w:r>
        <w:rPr>
          <w:rFonts w:ascii="Arial" w:hAnsi="Arial" w:eastAsia="仿宋_GB2312" w:cs="Arial"/>
          <w:b/>
          <w:sz w:val="28"/>
          <w:highlight w:val="none"/>
        </w:rPr>
        <w:t>九、估价结果</w:t>
      </w:r>
      <w:bookmarkEnd w:id="231"/>
      <w:bookmarkEnd w:id="232"/>
      <w:bookmarkEnd w:id="233"/>
      <w:bookmarkEnd w:id="234"/>
      <w:bookmarkEnd w:id="235"/>
      <w:bookmarkEnd w:id="236"/>
      <w:bookmarkEnd w:id="237"/>
      <w:bookmarkEnd w:id="238"/>
    </w:p>
    <w:p>
      <w:pPr>
        <w:spacing w:line="300" w:lineRule="auto"/>
        <w:ind w:firstLine="560" w:firstLineChars="200"/>
        <w:jc w:val="both"/>
        <w:rPr>
          <w:rFonts w:ascii="Arial" w:hAnsi="Arial" w:eastAsia="仿宋_GB2312" w:cs="Arial"/>
          <w:sz w:val="28"/>
          <w:highlight w:val="none"/>
        </w:rPr>
      </w:pPr>
      <w:bookmarkStart w:id="239" w:name="_Toc416783676"/>
      <w:bookmarkStart w:id="240" w:name="_Toc416783580"/>
      <w:r>
        <w:rPr>
          <w:rFonts w:ascii="Arial" w:hAnsi="Arial" w:eastAsia="仿宋_GB2312" w:cs="Arial"/>
          <w:kern w:val="2"/>
          <w:sz w:val="28"/>
          <w:highlight w:val="none"/>
        </w:rPr>
        <w:t>评估专业人员根据估价的目的，按照估价的程序，采用科学的估价方法，在认真分析现有资料的基础上，通过仔细测算和认真分析各种影响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168.4739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壹佰陆拾捌万肆仟柒佰叁拾玖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6486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13231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122.3942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壹佰贰拾贰万叁仟玖佰肆拾贰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4712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46.0797</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肆拾陆万零柒佰玖拾柒</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1774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6486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168.4739</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4712</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122.3942</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1774</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46.0797</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6486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168.4739</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4712</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122.3942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6486</w:t>
      </w:r>
      <w:r>
        <w:rPr>
          <w:rFonts w:hint="eastAsia" w:ascii="Arial" w:hAnsi="Arial" w:cs="Arial"/>
          <w:szCs w:val="28"/>
          <w:highlight w:val="none"/>
        </w:rPr>
        <w:t>－</w:t>
      </w:r>
      <w:r>
        <w:rPr>
          <w:rFonts w:hint="eastAsia" w:ascii="Arial" w:hAnsi="Arial" w:cs="Arial"/>
          <w:szCs w:val="28"/>
          <w:highlight w:val="none"/>
          <w:lang w:val="en-US" w:eastAsia="zh-CN"/>
        </w:rPr>
        <w:t>4712</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46.0797</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6486</w:t>
      </w:r>
      <w:r>
        <w:rPr>
          <w:rFonts w:hint="eastAsia" w:ascii="Arial" w:hAnsi="Arial" w:cs="Arial"/>
          <w:szCs w:val="28"/>
          <w:highlight w:val="none"/>
        </w:rPr>
        <w:t>×25%＝</w:t>
      </w:r>
      <w:r>
        <w:rPr>
          <w:rFonts w:hint="eastAsia" w:ascii="Arial" w:hAnsi="Arial" w:eastAsia="仿宋" w:cs="Arial"/>
          <w:highlight w:val="none"/>
          <w:lang w:val="en-US" w:eastAsia="zh-CN"/>
        </w:rPr>
        <w:t>1622</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42.1315</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eastAsia="zh-CN"/>
        </w:rPr>
        <w:t>1774</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eastAsia="zh-CN"/>
        </w:rPr>
        <w:t>46.0797</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footerReference r:id="rId33" w:type="first"/>
          <w:headerReference r:id="rId31" w:type="default"/>
          <w:footerReference r:id="rId32"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6486</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168.4739</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4712</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122.3942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1774</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rPr>
          <w:rFonts w:ascii="Arial" w:hAnsi="Arial" w:eastAsia="仿宋_GB2312" w:cs="Arial"/>
          <w:sz w:val="28"/>
          <w:szCs w:val="28"/>
          <w:highlight w:val="none"/>
        </w:rPr>
        <w:sectPr>
          <w:headerReference r:id="rId34" w:type="first"/>
          <w:footerReference r:id="rId36" w:type="first"/>
          <w:footerReference r:id="rId35" w:type="default"/>
          <w:pgSz w:w="16840" w:h="11907" w:orient="landscape"/>
          <w:pgMar w:top="1508" w:right="1134" w:bottom="1134" w:left="1134" w:header="1134" w:footer="907" w:gutter="340"/>
          <w:cols w:space="720" w:num="1"/>
          <w:titlePg/>
          <w:docGrid w:linePitch="326" w:charSpace="0"/>
        </w:sectPr>
      </w:pPr>
    </w:p>
    <w:p>
      <w:pPr>
        <w:spacing w:line="300" w:lineRule="auto"/>
        <w:outlineLvl w:val="1"/>
        <w:rPr>
          <w:rFonts w:ascii="Arial" w:hAnsi="Arial" w:eastAsia="仿宋_GB2312" w:cs="Arial"/>
          <w:b/>
          <w:sz w:val="28"/>
          <w:highlight w:val="none"/>
        </w:rPr>
      </w:pPr>
      <w:bookmarkStart w:id="241" w:name="_Toc69393396"/>
      <w:bookmarkStart w:id="242" w:name="_Toc66929521"/>
      <w:bookmarkStart w:id="243" w:name="_Toc524335095"/>
      <w:bookmarkStart w:id="244" w:name="_Toc515457812"/>
      <w:bookmarkStart w:id="245" w:name="_Toc469066160"/>
      <w:bookmarkStart w:id="246" w:name="_Toc516488190"/>
      <w:r>
        <w:rPr>
          <w:rFonts w:ascii="Arial" w:hAnsi="Arial" w:eastAsia="仿宋_GB2312" w:cs="Arial"/>
          <w:b/>
          <w:sz w:val="28"/>
          <w:highlight w:val="none"/>
        </w:rPr>
        <w:t>十、需要特殊说明的事项</w:t>
      </w:r>
      <w:bookmarkEnd w:id="239"/>
      <w:bookmarkEnd w:id="240"/>
      <w:bookmarkEnd w:id="241"/>
      <w:bookmarkEnd w:id="242"/>
      <w:bookmarkEnd w:id="243"/>
      <w:bookmarkEnd w:id="244"/>
      <w:bookmarkEnd w:id="245"/>
      <w:bookmarkEnd w:id="246"/>
    </w:p>
    <w:p>
      <w:pPr>
        <w:spacing w:line="300" w:lineRule="auto"/>
        <w:ind w:firstLine="560" w:firstLineChars="200"/>
        <w:rPr>
          <w:rFonts w:ascii="Arial" w:hAnsi="Arial" w:eastAsia="仿宋_GB2312" w:cs="Arial"/>
          <w:sz w:val="28"/>
          <w:szCs w:val="28"/>
          <w:highlight w:val="none"/>
        </w:rPr>
      </w:pPr>
      <w:bookmarkStart w:id="247" w:name="_Toc416783581"/>
      <w:bookmarkStart w:id="248" w:name="_Toc469066161"/>
      <w:bookmarkStart w:id="249" w:name="_Toc416783677"/>
      <w:r>
        <w:rPr>
          <w:rFonts w:ascii="Arial" w:hAnsi="Arial" w:eastAsia="仿宋_GB2312" w:cs="Arial"/>
          <w:sz w:val="28"/>
          <w:szCs w:val="28"/>
          <w:highlight w:val="none"/>
        </w:rPr>
        <w:t>（一）估价的前提条件和假设条件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1.估价的前提条件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（1）委托估价方提供的资料属实，没有保留及隐瞒。</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（2）在估价期日的房地产市场为公开、平等、自愿的交易市场。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（3）任何有关估价对象的运作方式、程序符合国家、地方的有关法律、法规。</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（4）估价对象规划用途和周边环境维持不变，且估价对象得到最有效利用，并产生相应的土地收益。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委托估价方对所提供的资料负完全的法律责任，对所提供资料（含陈述）的完整性、合法性和真实性负责。关于估价对象的权属状况等均根据委托估价方提供的有关资料复印件得出，本估价机构未向有关部门进行核实、考证。如因委托估价方提供的资料不实，引起评估结论有误，评估机构不承担相应的法律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2.估价的假设条件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（1）土地权利限制：无他项权利。</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（2）土地用途设定：按规划用途设定本次评估的使用用途。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（3）土地使用年期设定：</w:t>
      </w:r>
    </w:p>
    <w:p>
      <w:pPr>
        <w:spacing w:line="300" w:lineRule="auto"/>
        <w:ind w:firstLine="560" w:firstLineChars="200"/>
        <w:rPr>
          <w:rStyle w:val="41"/>
          <w:highlight w:val="none"/>
        </w:rPr>
      </w:pPr>
      <w:r>
        <w:rPr>
          <w:rFonts w:hint="eastAsia" w:ascii="Arial" w:hAnsi="Arial" w:eastAsia="仿宋_GB2312" w:cs="Arial"/>
          <w:sz w:val="28"/>
          <w:szCs w:val="28"/>
          <w:highlight w:val="none"/>
        </w:rPr>
        <w:t>1）出让国有建设用地使用权：</w:t>
      </w:r>
      <w:r>
        <w:rPr>
          <w:rFonts w:ascii="Arial" w:hAnsi="Arial" w:eastAsia="仿宋_GB2312" w:cs="Arial"/>
          <w:sz w:val="28"/>
          <w:szCs w:val="28"/>
          <w:highlight w:val="none"/>
        </w:rPr>
        <w:t>法定最高出让年限</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2）划拨国有建设用地使用权：无年期限制。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（4）评估设定土地开发程度为宗地红线外</w:t>
      </w:r>
      <w:r>
        <w:rPr>
          <w:rFonts w:hint="eastAsia" w:ascii="Arial" w:hAnsi="Arial" w:eastAsia="仿宋_GB2312" w:cs="Arial"/>
          <w:sz w:val="28"/>
          <w:szCs w:val="28"/>
          <w:highlight w:val="none"/>
        </w:rPr>
        <w:t>”七</w:t>
      </w:r>
      <w:r>
        <w:rPr>
          <w:rFonts w:ascii="Arial" w:hAnsi="Arial" w:eastAsia="仿宋_GB2312" w:cs="Arial"/>
          <w:sz w:val="28"/>
          <w:szCs w:val="28"/>
          <w:highlight w:val="none"/>
        </w:rPr>
        <w:t>通</w:t>
      </w:r>
      <w:r>
        <w:rPr>
          <w:rFonts w:hint="eastAsia" w:ascii="Arial" w:hAnsi="Arial" w:eastAsia="仿宋_GB2312" w:cs="Arial"/>
          <w:sz w:val="28"/>
          <w:szCs w:val="28"/>
          <w:highlight w:val="none"/>
        </w:rPr>
        <w:t>”</w:t>
      </w:r>
      <w:r>
        <w:rPr>
          <w:rFonts w:ascii="Arial" w:hAnsi="Arial" w:eastAsia="仿宋_GB2312" w:cs="Arial"/>
          <w:sz w:val="28"/>
          <w:szCs w:val="28"/>
          <w:highlight w:val="none"/>
        </w:rPr>
        <w:t>（即通路、通上水、通下水、通电、通讯、通燃气</w:t>
      </w:r>
      <w:r>
        <w:rPr>
          <w:rFonts w:hint="eastAsia" w:ascii="Arial" w:hAnsi="Arial" w:eastAsia="仿宋_GB2312" w:cs="Arial"/>
          <w:sz w:val="28"/>
          <w:szCs w:val="28"/>
          <w:highlight w:val="none"/>
        </w:rPr>
        <w:t>、通热</w:t>
      </w:r>
      <w:r>
        <w:rPr>
          <w:rFonts w:ascii="Arial" w:hAnsi="Arial" w:eastAsia="仿宋_GB2312" w:cs="Arial"/>
          <w:sz w:val="28"/>
          <w:szCs w:val="28"/>
          <w:highlight w:val="none"/>
        </w:rPr>
        <w:t>），宗地</w:t>
      </w:r>
      <w:r>
        <w:rPr>
          <w:rFonts w:hint="eastAsia" w:ascii="Arial" w:hAnsi="Arial" w:eastAsia="仿宋_GB2312" w:cs="Arial"/>
          <w:sz w:val="28"/>
          <w:szCs w:val="28"/>
          <w:highlight w:val="none"/>
        </w:rPr>
        <w:t>红线</w:t>
      </w:r>
      <w:r>
        <w:rPr>
          <w:rFonts w:ascii="Arial" w:hAnsi="Arial" w:eastAsia="仿宋_GB2312" w:cs="Arial"/>
          <w:sz w:val="28"/>
          <w:szCs w:val="28"/>
          <w:highlight w:val="none"/>
        </w:rPr>
        <w:t>内</w:t>
      </w:r>
      <w:r>
        <w:rPr>
          <w:rFonts w:hint="eastAsia" w:ascii="Arial" w:hAnsi="Arial" w:eastAsia="仿宋_GB2312" w:cs="Arial"/>
          <w:sz w:val="28"/>
          <w:szCs w:val="28"/>
          <w:highlight w:val="none"/>
        </w:rPr>
        <w:t>“</w:t>
      </w:r>
      <w:r>
        <w:rPr>
          <w:rFonts w:ascii="Arial" w:hAnsi="Arial" w:eastAsia="仿宋_GB2312" w:cs="Arial"/>
          <w:sz w:val="28"/>
          <w:szCs w:val="28"/>
          <w:highlight w:val="none"/>
        </w:rPr>
        <w:t>场地平整</w:t>
      </w:r>
      <w:r>
        <w:rPr>
          <w:rFonts w:hint="eastAsia" w:ascii="Arial" w:hAnsi="Arial" w:eastAsia="仿宋_GB2312" w:cs="Arial"/>
          <w:sz w:val="28"/>
          <w:szCs w:val="28"/>
          <w:highlight w:val="none"/>
        </w:rPr>
        <w:t>”</w:t>
      </w:r>
      <w:r>
        <w:rPr>
          <w:rFonts w:ascii="Arial" w:hAnsi="Arial" w:eastAsia="仿宋_GB2312" w:cs="Arial"/>
          <w:sz w:val="28"/>
          <w:szCs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（5）估价期日设定：按委托估价方要求的地价时点设定。</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（二）估价结果和估价报告的使用</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1.本估价报告的依据为国务院、</w:t>
      </w:r>
      <w:r>
        <w:rPr>
          <w:rFonts w:hint="eastAsia" w:ascii="Arial" w:hAnsi="Arial" w:eastAsia="仿宋_GB2312" w:cs="Arial"/>
          <w:sz w:val="28"/>
          <w:szCs w:val="28"/>
          <w:highlight w:val="none"/>
        </w:rPr>
        <w:t>自然资源</w:t>
      </w:r>
      <w:r>
        <w:rPr>
          <w:rFonts w:ascii="Arial" w:hAnsi="Arial" w:eastAsia="仿宋_GB2312" w:cs="Arial"/>
          <w:sz w:val="28"/>
          <w:szCs w:val="28"/>
          <w:highlight w:val="none"/>
        </w:rPr>
        <w:t>部、住建部、北京市人民政府及有关部门颁布的有关法律、法规、政策文件、委托估价方提供的资料、受托估价方掌握的有关资料以及土地估价专业评估师实地勘察所获取的资料。</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2.委托估价方应对其提供的权属证明以及其他资料的真实性、完整性和合法性负责。如因资料失实或资料提供人有所隐匿而导致估价结果失真，估价机构不承担相应的责任。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3.本报告估价结果为估价期日下的正常市场价格，随着时间的推移，该价格需要做相应的调整直至重新评估。</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4.本估价报告在估价机构盖章和土地估价师签字的条件下有效。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5.本次评估估价报告分为</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和</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两部分，</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土地估价报告</w:t>
      </w:r>
      <w:r>
        <w:rPr>
          <w:rFonts w:hint="eastAsia" w:ascii="Arial" w:hAnsi="Arial" w:eastAsia="仿宋_GB2312" w:cs="Arial"/>
          <w:sz w:val="28"/>
          <w:szCs w:val="28"/>
          <w:highlight w:val="none"/>
        </w:rPr>
        <w:t>”</w:t>
      </w:r>
      <w:r>
        <w:rPr>
          <w:rFonts w:ascii="Arial" w:hAnsi="Arial" w:eastAsia="仿宋_GB2312" w:cs="Arial"/>
          <w:sz w:val="28"/>
          <w:szCs w:val="28"/>
          <w:highlight w:val="none"/>
        </w:rPr>
        <w:t>供委托估价方使用，</w:t>
      </w:r>
      <w:r>
        <w:rPr>
          <w:rFonts w:hint="eastAsia" w:ascii="Arial" w:hAnsi="Arial" w:eastAsia="仿宋_GB2312" w:cs="Arial"/>
          <w:sz w:val="28"/>
          <w:szCs w:val="28"/>
          <w:highlight w:val="none"/>
        </w:rPr>
        <w:t>“</w:t>
      </w:r>
      <w:r>
        <w:rPr>
          <w:rFonts w:ascii="Arial" w:hAnsi="Arial" w:eastAsia="仿宋_GB2312" w:cs="Arial"/>
          <w:sz w:val="28"/>
          <w:szCs w:val="28"/>
          <w:highlight w:val="none"/>
        </w:rPr>
        <w:t>土地估价技术报告</w:t>
      </w:r>
      <w:r>
        <w:rPr>
          <w:rFonts w:hint="eastAsia" w:ascii="Arial" w:hAnsi="Arial" w:eastAsia="仿宋_GB2312" w:cs="Arial"/>
          <w:sz w:val="28"/>
          <w:szCs w:val="28"/>
          <w:highlight w:val="none"/>
        </w:rPr>
        <w:t>”</w:t>
      </w:r>
      <w:r>
        <w:rPr>
          <w:rFonts w:ascii="Arial" w:hAnsi="Arial" w:eastAsia="仿宋_GB2312" w:cs="Arial"/>
          <w:sz w:val="28"/>
          <w:szCs w:val="28"/>
          <w:highlight w:val="none"/>
        </w:rPr>
        <w:t>仅供估价机构存档和作为估价结果提交房屋土地管理部门确认或备案时的附件。</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6.本估价报告只能由估价报告载明的报告使用者使用，且只能用于本报告载明的唯一估价目的和用途。</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7.委托估价方或者本估价报告使用人应按照法律规定和估价报告载明的使用范围使用本估价报告。委托估价方或者估价报告使用人违反前述规定使用本估价报告的，估价机构和土地估价专业评估师不承担责任。</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8.除委托估价方、估价委托合同中约定的其他估价报告使用人和法律、行政法规规定的估价报告使用人之外，其他任何机构和个人不能成为估价报告的使用人。</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9.估价报告使用人应当正确理解估价结论。估价结论不等同于估价对象可实现价格，估价结论不应当被认为是对估价对象可实现价格的保证。</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10.本估价报告自报告出具日起计算，从</w:t>
      </w:r>
      <w:r>
        <w:rPr>
          <w:rFonts w:hint="eastAsia" w:ascii="Arial" w:hAnsi="Arial" w:eastAsia="仿宋_GB2312" w:cs="Arial"/>
          <w:sz w:val="28"/>
          <w:szCs w:val="28"/>
          <w:highlight w:val="none"/>
        </w:rPr>
        <w:t>2023年6月9日</w:t>
      </w:r>
      <w:r>
        <w:rPr>
          <w:rFonts w:ascii="Arial" w:hAnsi="Arial" w:eastAsia="仿宋_GB2312" w:cs="Arial"/>
          <w:sz w:val="28"/>
          <w:szCs w:val="28"/>
          <w:highlight w:val="none"/>
        </w:rPr>
        <w:t>至2024年6月</w:t>
      </w:r>
      <w:r>
        <w:rPr>
          <w:rFonts w:hint="eastAsia" w:ascii="Arial" w:hAnsi="Arial" w:eastAsia="仿宋_GB2312" w:cs="Arial"/>
          <w:sz w:val="28"/>
          <w:szCs w:val="28"/>
          <w:highlight w:val="none"/>
        </w:rPr>
        <w:t>8</w:t>
      </w:r>
      <w:r>
        <w:rPr>
          <w:rFonts w:ascii="Arial" w:hAnsi="Arial" w:eastAsia="仿宋_GB2312" w:cs="Arial"/>
          <w:sz w:val="28"/>
          <w:szCs w:val="28"/>
          <w:highlight w:val="none"/>
        </w:rPr>
        <w:t>日有效。</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11.本次土地估价报告的使用权归</w:t>
      </w:r>
      <w:r>
        <w:rPr>
          <w:rFonts w:hint="eastAsia" w:ascii="Arial" w:hAnsi="Arial" w:eastAsia="仿宋_GB2312" w:cs="Arial"/>
          <w:sz w:val="28"/>
          <w:szCs w:val="28"/>
          <w:highlight w:val="none"/>
        </w:rPr>
        <w:t>委托估价方</w:t>
      </w:r>
      <w:r>
        <w:rPr>
          <w:rFonts w:ascii="Arial" w:hAnsi="Arial" w:eastAsia="仿宋_GB2312" w:cs="Arial"/>
          <w:sz w:val="28"/>
          <w:szCs w:val="28"/>
          <w:highlight w:val="none"/>
        </w:rPr>
        <w:t>，土地估价报告由北京康正宏基房地产评估有限公司负责解释。</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（三）需要特殊说明的事项</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1.资料来源说明</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（1）估价对象的土地、房屋权属资料、土地利用状况、评估项目相关资料由委托估价方提供。</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（2）土地区位条件、地产市场交易资料、土地利用现状照片等相关资料由土地估价专业评估师实地调查取得。</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（3）区域经济发展状况、统计数据、城市规划资料、基准地价资料等由土地估价专业评估师通过政府相关部门获取。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（4）估价中的相关参数资料由土地估价专业评估师通过政府部门相关文件规定、公开媒体等多种途径获取。</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5）土地估价专业评估师结合执业经验，对上述相关评估资料的真实性、合法性、有效性、适用性进行了尽职核实、专业判断。委托估价方对所提供资料的真实性负责，估价机构对所收集资料的真实性、准确性负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2.有关参数确定及使用说明</w:t>
      </w:r>
    </w:p>
    <w:p>
      <w:pPr>
        <w:snapToGrid w:val="0"/>
        <w:spacing w:line="300" w:lineRule="auto"/>
        <w:ind w:firstLine="556"/>
        <w:jc w:val="both"/>
        <w:rPr>
          <w:rFonts w:ascii="Arial" w:hAnsi="Arial" w:eastAsia="仿宋_GB2312" w:cs="Arial"/>
          <w:sz w:val="28"/>
          <w:szCs w:val="28"/>
          <w:highlight w:val="none"/>
        </w:rPr>
      </w:pPr>
      <w:r>
        <w:rPr>
          <w:rFonts w:ascii="Arial" w:hAnsi="Arial" w:eastAsia="仿宋_GB2312" w:cs="Arial"/>
          <w:sz w:val="28"/>
          <w:szCs w:val="28"/>
          <w:highlight w:val="none"/>
        </w:rPr>
        <w:t>（1）</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w:t>
      </w:r>
      <w:r>
        <w:rPr>
          <w:rFonts w:ascii="Arial" w:hAnsi="Arial" w:eastAsia="仿宋_GB2312" w:cs="Arial"/>
          <w:sz w:val="28"/>
          <w:highlight w:val="none"/>
        </w:rPr>
        <w:t>根据《北京市人民政府关于更新出让国有建设用地使用权基准地价的通知》（京政发（2022）12号）的要求，评估专业人员以北京市地价动态监测成果公布的地价增长率为准，对基准地价中的熟地价进行期日修正。</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3</w:t>
      </w:r>
      <w:r>
        <w:rPr>
          <w:rFonts w:ascii="Arial" w:hAnsi="Arial" w:eastAsia="仿宋_GB2312" w:cs="Arial"/>
          <w:sz w:val="28"/>
          <w:szCs w:val="28"/>
          <w:highlight w:val="none"/>
        </w:rPr>
        <w:t>）</w:t>
      </w:r>
      <w:r>
        <w:rPr>
          <w:rFonts w:hint="eastAsia" w:ascii="Arial" w:hAnsi="Arial" w:eastAsia="仿宋" w:cs="Arial"/>
          <w:sz w:val="28"/>
          <w:highlight w:val="none"/>
        </w:rPr>
        <w:t>依据现行的《关于全面推开营业税改征增值税试点的通知》，剩余法中房地产开发销售过程中的增值税，暂按</w:t>
      </w:r>
      <w:r>
        <w:rPr>
          <w:rFonts w:ascii="Arial" w:hAnsi="Arial" w:eastAsia="仿宋" w:cs="Arial"/>
          <w:sz w:val="28"/>
          <w:highlight w:val="none"/>
        </w:rPr>
        <w:t>5.5%</w:t>
      </w:r>
      <w:r>
        <w:rPr>
          <w:rFonts w:hint="eastAsia" w:ascii="Arial" w:hAnsi="Arial" w:eastAsia="仿宋" w:cs="Arial"/>
          <w:sz w:val="28"/>
          <w:highlight w:val="none"/>
        </w:rPr>
        <w:t>的征收率计税</w:t>
      </w:r>
      <w:r>
        <w:rPr>
          <w:rFonts w:ascii="Arial" w:hAnsi="Arial" w:eastAsia="仿宋_GB2312" w:cs="Arial"/>
          <w:sz w:val="28"/>
          <w:highlight w:val="none"/>
        </w:rPr>
        <w:t>。</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w:t>
      </w:r>
      <w:r>
        <w:rPr>
          <w:rFonts w:hint="eastAsia" w:ascii="Arial" w:hAnsi="Arial" w:eastAsia="仿宋_GB2312" w:cs="Arial"/>
          <w:sz w:val="28"/>
          <w:szCs w:val="28"/>
          <w:highlight w:val="none"/>
        </w:rPr>
        <w:t>4</w:t>
      </w:r>
      <w:r>
        <w:rPr>
          <w:rFonts w:ascii="Arial" w:hAnsi="Arial" w:eastAsia="仿宋_GB2312" w:cs="Arial"/>
          <w:sz w:val="28"/>
          <w:szCs w:val="28"/>
          <w:highlight w:val="none"/>
        </w:rPr>
        <w:t>）关于土地还原率的确定</w:t>
      </w:r>
      <w:r>
        <w:rPr>
          <w:rFonts w:hint="eastAsia" w:ascii="Arial" w:hAnsi="Arial" w:eastAsia="仿宋_GB2312" w:cs="Arial"/>
          <w:sz w:val="28"/>
          <w:szCs w:val="28"/>
          <w:highlight w:val="none"/>
        </w:rPr>
        <w:t>：</w:t>
      </w:r>
    </w:p>
    <w:p>
      <w:pPr>
        <w:spacing w:line="300" w:lineRule="auto"/>
        <w:ind w:firstLine="560" w:firstLineChars="200"/>
        <w:rPr>
          <w:rFonts w:ascii="Arial" w:hAnsi="Arial" w:eastAsia="仿宋_GB2312" w:cs="Arial"/>
          <w:sz w:val="28"/>
          <w:highlight w:val="none"/>
        </w:rPr>
      </w:pPr>
      <w:r>
        <w:rPr>
          <w:rFonts w:ascii="Arial" w:hAnsi="Arial" w:eastAsia="仿宋_GB2312" w:cs="Arial"/>
          <w:kern w:val="2"/>
          <w:sz w:val="28"/>
          <w:highlight w:val="none"/>
        </w:rPr>
        <w:t>根据《北京市人民政府关于更新出让国有建设用地使用权基准地价的通知》（京政发（2022）12号）的规定确定，商业、办公、</w:t>
      </w:r>
      <w:r>
        <w:rPr>
          <w:rFonts w:hint="eastAsia" w:ascii="Arial" w:hAnsi="Arial" w:eastAsia="仿宋_GB2312" w:cs="Arial"/>
          <w:kern w:val="2"/>
          <w:sz w:val="28"/>
          <w:highlight w:val="none"/>
        </w:rPr>
        <w:t>住宅、工业、公共服务</w:t>
      </w:r>
      <w:r>
        <w:rPr>
          <w:rFonts w:ascii="Arial" w:hAnsi="Arial" w:eastAsia="仿宋_GB2312" w:cs="Arial"/>
          <w:kern w:val="2"/>
          <w:sz w:val="28"/>
          <w:highlight w:val="none"/>
        </w:rPr>
        <w:t>用途的土地还原利率原则上按同期中国人民银行公布的一年期贷款利率分别上浮</w:t>
      </w:r>
      <w:r>
        <w:rPr>
          <w:rFonts w:ascii="Arial" w:hAnsi="Arial" w:cs="Arial"/>
          <w:kern w:val="2"/>
          <w:sz w:val="28"/>
          <w:highlight w:val="none"/>
        </w:rPr>
        <w:t>25％、20％、15％、10％、15%</w:t>
      </w:r>
      <w:r>
        <w:rPr>
          <w:rFonts w:ascii="Arial" w:hAnsi="Arial" w:eastAsia="仿宋_GB2312" w:cs="Arial"/>
          <w:kern w:val="2"/>
          <w:sz w:val="28"/>
          <w:highlight w:val="none"/>
        </w:rPr>
        <w:t>确定</w:t>
      </w:r>
      <w:r>
        <w:rPr>
          <w:rFonts w:hint="eastAsia" w:ascii="Arial" w:hAnsi="Arial" w:eastAsia="仿宋_GB2312" w:cs="Arial"/>
          <w:kern w:val="2"/>
          <w:sz w:val="28"/>
          <w:highlight w:val="none"/>
        </w:rPr>
        <w:t>，且须分别不低于5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.5%</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、5</w:t>
      </w:r>
      <w:r>
        <w:rPr>
          <w:rFonts w:ascii="Arial" w:hAnsi="Arial" w:eastAsia="仿宋_GB2312" w:cs="Arial"/>
          <w:kern w:val="2"/>
          <w:sz w:val="28"/>
          <w:highlight w:val="none"/>
        </w:rPr>
        <w:t>%</w:t>
      </w:r>
      <w:r>
        <w:rPr>
          <w:rFonts w:hint="eastAsia" w:ascii="Arial" w:hAnsi="Arial" w:eastAsia="仿宋_GB2312" w:cs="Arial"/>
          <w:kern w:val="2"/>
          <w:sz w:val="28"/>
          <w:highlight w:val="none"/>
        </w:rPr>
        <w:t>，不高于6</w:t>
      </w:r>
      <w:r>
        <w:rPr>
          <w:rFonts w:ascii="Arial" w:hAnsi="Arial" w:eastAsia="仿宋_GB2312" w:cs="Arial"/>
          <w:kern w:val="2"/>
          <w:sz w:val="28"/>
          <w:highlight w:val="none"/>
        </w:rPr>
        <w:t>.5%</w:t>
      </w:r>
      <w:r>
        <w:rPr>
          <w:rFonts w:hint="eastAsia" w:ascii="Arial" w:hAnsi="Arial" w:eastAsia="仿宋_GB2312" w:cs="Arial"/>
          <w:kern w:val="2"/>
          <w:sz w:val="28"/>
          <w:highlight w:val="none"/>
        </w:rPr>
        <w:t>、6</w:t>
      </w:r>
      <w:r>
        <w:rPr>
          <w:rFonts w:ascii="Arial" w:hAnsi="Arial" w:eastAsia="仿宋_GB2312" w:cs="Arial"/>
          <w:kern w:val="2"/>
          <w:sz w:val="28"/>
          <w:highlight w:val="none"/>
        </w:rPr>
        <w:t>.5%</w:t>
      </w:r>
      <w:r>
        <w:rPr>
          <w:rFonts w:hint="eastAsia" w:ascii="Arial" w:hAnsi="Arial" w:eastAsia="仿宋_GB2312" w:cs="Arial"/>
          <w:kern w:val="2"/>
          <w:sz w:val="28"/>
          <w:highlight w:val="none"/>
        </w:rPr>
        <w:t>、</w:t>
      </w:r>
      <w:r>
        <w:rPr>
          <w:rFonts w:ascii="Arial" w:hAnsi="Arial" w:eastAsia="仿宋_GB2312" w:cs="Arial"/>
          <w:kern w:val="2"/>
          <w:sz w:val="28"/>
          <w:highlight w:val="none"/>
        </w:rPr>
        <w:t>6%</w:t>
      </w:r>
      <w:r>
        <w:rPr>
          <w:rFonts w:hint="eastAsia" w:ascii="Arial" w:hAnsi="Arial" w:eastAsia="仿宋_GB2312" w:cs="Arial"/>
          <w:kern w:val="2"/>
          <w:sz w:val="28"/>
          <w:highlight w:val="none"/>
        </w:rPr>
        <w:t>、6</w:t>
      </w:r>
      <w:r>
        <w:rPr>
          <w:rFonts w:ascii="Arial" w:hAnsi="Arial" w:eastAsia="仿宋_GB2312" w:cs="Arial"/>
          <w:kern w:val="2"/>
          <w:sz w:val="28"/>
          <w:highlight w:val="none"/>
        </w:rPr>
        <w:t>%</w:t>
      </w:r>
      <w:r>
        <w:rPr>
          <w:rFonts w:hint="eastAsia" w:ascii="Arial" w:hAnsi="Arial" w:eastAsia="仿宋_GB2312" w:cs="Arial"/>
          <w:kern w:val="2"/>
          <w:sz w:val="28"/>
          <w:highlight w:val="none"/>
        </w:rPr>
        <w:t>、6</w:t>
      </w:r>
      <w:r>
        <w:rPr>
          <w:rFonts w:ascii="Arial" w:hAnsi="Arial" w:eastAsia="仿宋_GB2312" w:cs="Arial"/>
          <w:kern w:val="2"/>
          <w:sz w:val="28"/>
          <w:highlight w:val="none"/>
        </w:rPr>
        <w:t>%。估价对象所属项目地上用途为</w:t>
      </w:r>
      <w:r>
        <w:rPr>
          <w:rFonts w:hint="eastAsia" w:ascii="Arial" w:hAnsi="Arial" w:eastAsia="仿宋_GB2312" w:cs="Arial"/>
          <w:sz w:val="28"/>
          <w:szCs w:val="28"/>
          <w:highlight w:val="none"/>
        </w:rPr>
        <w:t>商业</w:t>
      </w:r>
      <w:r>
        <w:rPr>
          <w:rFonts w:ascii="Arial" w:hAnsi="Arial" w:eastAsia="仿宋_GB2312" w:cs="Arial"/>
          <w:kern w:val="2"/>
          <w:sz w:val="28"/>
          <w:highlight w:val="none"/>
        </w:rPr>
        <w:t>，现行一年期贷款利率（2015年10月24日公布）为4.35%</w:t>
      </w:r>
      <w:r>
        <w:rPr>
          <w:rFonts w:hint="eastAsia" w:ascii="Arial" w:hAnsi="Arial" w:eastAsia="仿宋_GB2312" w:cs="Arial"/>
          <w:kern w:val="2"/>
          <w:sz w:val="28"/>
          <w:highlight w:val="none"/>
        </w:rPr>
        <w:t>，</w:t>
      </w:r>
      <w:r>
        <w:rPr>
          <w:rFonts w:hint="eastAsia" w:ascii="Arial" w:hAnsi="Arial" w:eastAsia="仿宋" w:cs="Arial"/>
          <w:sz w:val="28"/>
          <w:szCs w:val="28"/>
          <w:highlight w:val="none"/>
        </w:rPr>
        <w:t>按照上述利率计算得出的土地还原率为商业用途5.5%</w:t>
      </w:r>
      <w:r>
        <w:rPr>
          <w:rFonts w:ascii="Arial" w:hAnsi="Arial" w:eastAsia="仿宋_GB2312" w:cs="Arial"/>
          <w:kern w:val="2"/>
          <w:sz w:val="28"/>
          <w:highlight w:val="none"/>
        </w:rPr>
        <w:t>。本次评估确定土地还原利率为</w:t>
      </w:r>
      <w:r>
        <w:rPr>
          <w:rFonts w:hint="eastAsia" w:ascii="Arial" w:hAnsi="Arial" w:eastAsia="仿宋" w:cs="Arial"/>
          <w:sz w:val="28"/>
          <w:szCs w:val="28"/>
          <w:highlight w:val="none"/>
        </w:rPr>
        <w:t>商业用途5.5%</w:t>
      </w:r>
      <w:r>
        <w:rPr>
          <w:rFonts w:ascii="Arial" w:hAnsi="Arial" w:eastAsia="仿宋_GB2312" w:cs="Arial"/>
          <w:kern w:val="2"/>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rPr>
        <w:t>5</w:t>
      </w:r>
      <w:r>
        <w:rPr>
          <w:rFonts w:ascii="Arial" w:hAnsi="Arial" w:eastAsia="仿宋_GB2312" w:cs="Arial"/>
          <w:sz w:val="28"/>
          <w:highlight w:val="none"/>
        </w:rPr>
        <w:t>）本估价报告中数据全部采用电算化连续计算得出，由于在报告中计算的数据均按四舍五入保留四位小数或取整，故可能出现个别等式左右不完全相等的情况，但不影响计算结果及最终评估结论的准确性。</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3.其他说明</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（1）估价对象房屋坐落根据</w:t>
      </w:r>
      <w:r>
        <w:rPr>
          <w:rFonts w:ascii="Arial" w:hAnsi="Arial" w:eastAsia="仿宋_GB2312" w:cs="Arial"/>
          <w:sz w:val="28"/>
          <w:szCs w:val="28"/>
          <w:highlight w:val="none"/>
        </w:rPr>
        <w:t>《国有建设用地使用权出让地价评估委托书》</w:t>
      </w:r>
      <w:r>
        <w:rPr>
          <w:rFonts w:ascii="Arial" w:hAnsi="Arial" w:eastAsia="仿宋_GB2312" w:cs="Arial"/>
          <w:sz w:val="28"/>
          <w:highlight w:val="none"/>
        </w:rPr>
        <w:t>描述确定，项目坐落确定为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（2）《国有建设用地使用权出让地价评估委托书》中估价目的为：对估价对象土地使用权出让价格进行评估，为北京市规划和自然资源委员会办理该项目</w:t>
      </w:r>
      <w:r>
        <w:rPr>
          <w:rFonts w:hint="eastAsia" w:ascii="Arial" w:hAnsi="Arial" w:eastAsia="仿宋_GB2312" w:cs="Arial"/>
          <w:sz w:val="28"/>
          <w:highlight w:val="none"/>
        </w:rPr>
        <w:t>土地协议手续</w:t>
      </w:r>
      <w:r>
        <w:rPr>
          <w:rFonts w:ascii="Arial" w:hAnsi="Arial" w:eastAsia="仿宋_GB2312" w:cs="Arial"/>
          <w:sz w:val="28"/>
          <w:highlight w:val="none"/>
        </w:rPr>
        <w:t>提供参考依据。</w:t>
      </w:r>
    </w:p>
    <w:p>
      <w:pPr>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（3）委托估价方于2023年</w:t>
      </w:r>
      <w:r>
        <w:rPr>
          <w:rFonts w:hint="eastAsia" w:ascii="Arial" w:hAnsi="Arial" w:eastAsia="仿宋_GB2312" w:cs="Arial"/>
          <w:sz w:val="28"/>
          <w:highlight w:val="none"/>
        </w:rPr>
        <w:t>6</w:t>
      </w:r>
      <w:r>
        <w:rPr>
          <w:rFonts w:ascii="Arial" w:hAnsi="Arial" w:eastAsia="仿宋_GB2312" w:cs="Arial"/>
          <w:sz w:val="28"/>
          <w:highlight w:val="none"/>
        </w:rPr>
        <w:t>月2日正式委托进行评估，确定估价期日为</w:t>
      </w:r>
      <w:r>
        <w:rPr>
          <w:rFonts w:hint="eastAsia" w:ascii="Arial" w:hAnsi="Arial" w:eastAsia="仿宋_GB2312" w:cs="Arial"/>
          <w:sz w:val="28"/>
          <w:highlight w:val="none"/>
        </w:rPr>
        <w:t>2023年6月5日</w:t>
      </w:r>
      <w:r>
        <w:rPr>
          <w:rFonts w:ascii="Arial" w:hAnsi="Arial" w:eastAsia="仿宋_GB2312" w:cs="Arial"/>
          <w:sz w:val="28"/>
          <w:highlight w:val="none"/>
        </w:rPr>
        <w:t>。评估专业人员于2023年</w:t>
      </w:r>
      <w:r>
        <w:rPr>
          <w:rFonts w:hint="eastAsia" w:ascii="Arial" w:hAnsi="Arial" w:eastAsia="仿宋_GB2312" w:cs="Arial"/>
          <w:sz w:val="28"/>
          <w:highlight w:val="none"/>
        </w:rPr>
        <w:t>6</w:t>
      </w:r>
      <w:r>
        <w:rPr>
          <w:rFonts w:ascii="Arial" w:hAnsi="Arial" w:eastAsia="仿宋_GB2312" w:cs="Arial"/>
          <w:sz w:val="28"/>
          <w:highlight w:val="none"/>
        </w:rPr>
        <w:t>月</w:t>
      </w:r>
      <w:r>
        <w:rPr>
          <w:rFonts w:hint="eastAsia" w:ascii="Arial" w:hAnsi="Arial" w:eastAsia="仿宋_GB2312" w:cs="Arial"/>
          <w:sz w:val="28"/>
          <w:highlight w:val="none"/>
        </w:rPr>
        <w:t>5</w:t>
      </w:r>
      <w:r>
        <w:rPr>
          <w:rFonts w:ascii="Arial" w:hAnsi="Arial" w:eastAsia="仿宋_GB2312" w:cs="Arial"/>
          <w:sz w:val="28"/>
          <w:highlight w:val="none"/>
        </w:rPr>
        <w:t>日进行实地查勘，若上述条件发生变化，评估结果作相应调整。</w:t>
      </w:r>
    </w:p>
    <w:p>
      <w:pPr>
        <w:snapToGrid w:val="0"/>
        <w:spacing w:line="300" w:lineRule="auto"/>
        <w:ind w:firstLine="560" w:firstLineChars="200"/>
        <w:jc w:val="both"/>
        <w:textAlignment w:val="bottom"/>
        <w:rPr>
          <w:rFonts w:ascii="Arial" w:hAnsi="Arial" w:eastAsia="仿宋_GB2312" w:cs="Arial"/>
          <w:sz w:val="28"/>
          <w:highlight w:val="none"/>
        </w:rPr>
        <w:sectPr>
          <w:footerReference r:id="rId38" w:type="first"/>
          <w:headerReference r:id="rId37" w:type="default"/>
          <w:pgSz w:w="11907" w:h="16840"/>
          <w:pgMar w:top="1843" w:right="1134" w:bottom="1134" w:left="1134" w:header="1134" w:footer="907" w:gutter="340"/>
          <w:cols w:space="425" w:num="1"/>
          <w:docGrid w:linePitch="326" w:charSpace="0"/>
        </w:sectPr>
      </w:pPr>
      <w:r>
        <w:rPr>
          <w:rFonts w:ascii="Arial" w:hAnsi="Arial" w:eastAsia="仿宋_GB2312" w:cs="Arial"/>
          <w:sz w:val="28"/>
          <w:highlight w:val="none"/>
        </w:rPr>
        <w:t>（4）根据估价目的，此次评估在符合《城镇土地估价规程》[GB/T 18508-2014]和《国土资源部办公厅关于印发〈国有建设用地使用权出让地价评估技术规范〉的通知》[国土资厅发（2018）4号]原则性要求的基础上，还需满足《北京市人民政府关于更新出让国有建设用地使用权基准地价的通知》（京政发（2022）12号）、《关于印发北京市国有建设用地使用权出让地价评审暂行规定的通知》[京国土用[2015]87号]和《北京市国土资源局关于出让国有建设用地使用权基准地价应用有关问题的公告》和</w:t>
      </w:r>
      <w:r>
        <w:rPr>
          <w:rFonts w:hint="eastAsia" w:ascii="Arial" w:hAnsi="Arial" w:eastAsia="仿宋" w:cs="Arial"/>
          <w:sz w:val="28"/>
          <w:szCs w:val="28"/>
          <w:highlight w:val="none"/>
        </w:rPr>
        <w:t>《北京市国有建设用地使用权出让地价评估技术导则（试行）》</w:t>
      </w:r>
      <w:r>
        <w:rPr>
          <w:rFonts w:ascii="Arial" w:hAnsi="Arial" w:eastAsia="仿宋" w:cs="Arial"/>
          <w:sz w:val="28"/>
          <w:szCs w:val="28"/>
          <w:highlight w:val="none"/>
        </w:rPr>
        <w:t>[</w:t>
      </w:r>
      <w:r>
        <w:rPr>
          <w:rFonts w:hint="eastAsia" w:ascii="Arial" w:hAnsi="Arial" w:eastAsia="仿宋" w:cs="Arial"/>
          <w:sz w:val="28"/>
          <w:szCs w:val="28"/>
          <w:highlight w:val="none"/>
        </w:rPr>
        <w:t>北估秘</w:t>
      </w:r>
      <w:r>
        <w:rPr>
          <w:rFonts w:ascii="Arial" w:hAnsi="Arial" w:eastAsia="仿宋" w:cs="Arial"/>
          <w:sz w:val="28"/>
          <w:szCs w:val="28"/>
          <w:highlight w:val="none"/>
        </w:rPr>
        <w:t>[2023]001]</w:t>
      </w:r>
      <w:r>
        <w:rPr>
          <w:rFonts w:ascii="Arial" w:hAnsi="Arial" w:eastAsia="仿宋_GB2312" w:cs="Arial"/>
          <w:sz w:val="28"/>
          <w:highlight w:val="none"/>
        </w:rPr>
        <w:t>的要求，故报告格式和具体表述在《城镇土地估价规程》[GB/T 18508-2014]规范格式基础上，有所拓展和补充。</w:t>
      </w:r>
    </w:p>
    <w:p>
      <w:pPr>
        <w:spacing w:line="300" w:lineRule="auto"/>
        <w:outlineLvl w:val="1"/>
        <w:rPr>
          <w:rFonts w:ascii="Arial" w:hAnsi="Arial" w:eastAsia="仿宋_GB2312" w:cs="Arial"/>
          <w:sz w:val="28"/>
          <w:highlight w:val="none"/>
        </w:rPr>
      </w:pPr>
      <w:bookmarkStart w:id="250" w:name="_Toc515457814"/>
      <w:bookmarkStart w:id="251" w:name="_Toc69393397"/>
      <w:bookmarkStart w:id="252" w:name="_Toc524335096"/>
      <w:bookmarkStart w:id="253" w:name="_Toc66929522"/>
      <w:bookmarkStart w:id="254" w:name="_Toc516488192"/>
      <w:r>
        <w:rPr>
          <w:rFonts w:ascii="Arial" w:hAnsi="Arial" w:eastAsia="仿宋_GB2312" w:cs="Arial"/>
          <w:b/>
          <w:sz w:val="28"/>
          <w:highlight w:val="none"/>
        </w:rPr>
        <w:t>十一、</w:t>
      </w:r>
      <w:bookmarkEnd w:id="247"/>
      <w:bookmarkEnd w:id="248"/>
      <w:bookmarkEnd w:id="249"/>
      <w:bookmarkEnd w:id="250"/>
      <w:bookmarkEnd w:id="251"/>
      <w:bookmarkEnd w:id="252"/>
      <w:bookmarkEnd w:id="253"/>
      <w:bookmarkEnd w:id="254"/>
      <w:r>
        <w:rPr>
          <w:rFonts w:hint="eastAsia" w:ascii="Arial" w:hAnsi="Arial" w:eastAsia="仿宋_GB2312" w:cs="Arial"/>
          <w:b/>
          <w:bCs/>
          <w:sz w:val="28"/>
          <w:highlight w:val="none"/>
        </w:rPr>
        <w:t>土地估价</w:t>
      </w:r>
      <w:r>
        <w:rPr>
          <w:rFonts w:ascii="Arial" w:hAnsi="Arial" w:eastAsia="仿宋_GB2312" w:cs="Arial"/>
          <w:b/>
          <w:bCs/>
          <w:sz w:val="28"/>
          <w:highlight w:val="none"/>
        </w:rPr>
        <w:t>专业评估师签字</w:t>
      </w:r>
    </w:p>
    <w:tbl>
      <w:tblPr>
        <w:tblStyle w:val="35"/>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85" w:type="dxa"/>
          <w:bottom w:w="28" w:type="dxa"/>
          <w:right w:w="85" w:type="dxa"/>
        </w:tblCellMar>
      </w:tblPr>
      <w:tblGrid>
        <w:gridCol w:w="2540"/>
        <w:gridCol w:w="3931"/>
        <w:gridCol w:w="2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70"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color w:val="000000"/>
                <w:sz w:val="28"/>
                <w:szCs w:val="28"/>
                <w:highlight w:val="none"/>
              </w:rPr>
            </w:pPr>
            <w:r>
              <w:rPr>
                <w:rFonts w:ascii="Arial" w:hAnsi="Arial" w:eastAsia="仿宋_GB2312" w:cs="Arial"/>
                <w:b/>
                <w:bCs/>
                <w:color w:val="000000"/>
                <w:sz w:val="28"/>
                <w:szCs w:val="28"/>
                <w:highlight w:val="none"/>
              </w:rPr>
              <w:t>土地</w:t>
            </w:r>
            <w:r>
              <w:rPr>
                <w:rFonts w:hint="eastAsia" w:ascii="Arial" w:hAnsi="Arial" w:eastAsia="仿宋_GB2312" w:cs="Arial"/>
                <w:b/>
                <w:bCs/>
                <w:sz w:val="28"/>
                <w:highlight w:val="none"/>
              </w:rPr>
              <w:t>估价</w:t>
            </w:r>
            <w:r>
              <w:rPr>
                <w:rFonts w:ascii="Arial" w:hAnsi="Arial" w:eastAsia="仿宋_GB2312" w:cs="Arial"/>
                <w:b/>
                <w:bCs/>
                <w:sz w:val="28"/>
                <w:highlight w:val="none"/>
              </w:rPr>
              <w:t>专业评估</w:t>
            </w:r>
            <w:r>
              <w:rPr>
                <w:rFonts w:hint="eastAsia" w:ascii="Arial" w:hAnsi="Arial" w:eastAsia="仿宋_GB2312" w:cs="Arial"/>
                <w:b/>
                <w:bCs/>
                <w:sz w:val="28"/>
                <w:highlight w:val="none"/>
              </w:rPr>
              <w:t>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370"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资格证号</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陈  颖</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2004110096</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叶  凌</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94010078</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仿宋" w:hAnsi="仿宋" w:eastAsia="仿宋" w:cs="Arial"/>
                <w:sz w:val="28"/>
                <w:szCs w:val="28"/>
                <w:highlight w:val="none"/>
              </w:rPr>
            </w:pPr>
            <w:r>
              <w:rPr>
                <w:rFonts w:hint="eastAsia" w:ascii="仿宋" w:hAnsi="仿宋" w:eastAsia="仿宋" w:cs="Arial"/>
                <w:sz w:val="28"/>
                <w:szCs w:val="28"/>
                <w:highlight w:val="none"/>
              </w:rPr>
              <w:t>魏伯欣</w:t>
            </w:r>
          </w:p>
        </w:tc>
        <w:tc>
          <w:tcPr>
            <w:tcW w:w="3931" w:type="dxa"/>
            <w:shd w:val="clear" w:color="auto" w:fill="auto"/>
            <w:vAlign w:val="center"/>
          </w:tcPr>
          <w:p>
            <w:pPr>
              <w:widowControl/>
              <w:adjustRightInd/>
              <w:spacing w:line="300" w:lineRule="auto"/>
              <w:jc w:val="both"/>
              <w:textAlignment w:val="auto"/>
              <w:rPr>
                <w:rFonts w:ascii="Arial" w:hAnsi="Arial" w:eastAsia="仿宋" w:cs="Arial"/>
                <w:sz w:val="28"/>
                <w:szCs w:val="28"/>
                <w:highlight w:val="none"/>
              </w:rPr>
            </w:pPr>
            <w:r>
              <w:rPr>
                <w:rFonts w:ascii="Arial" w:hAnsi="Arial" w:eastAsia="仿宋" w:cs="Arial"/>
                <w:sz w:val="28"/>
                <w:szCs w:val="28"/>
                <w:highlight w:val="none"/>
              </w:rPr>
              <w:t>2000110133</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94" w:hRule="atLeast"/>
          <w:jc w:val="center"/>
        </w:trPr>
        <w:tc>
          <w:tcPr>
            <w:tcW w:w="9072" w:type="dxa"/>
            <w:gridSpan w:val="3"/>
            <w:shd w:val="clear" w:color="auto" w:fill="auto"/>
            <w:vAlign w:val="center"/>
          </w:tcPr>
          <w:p>
            <w:pPr>
              <w:widowControl/>
              <w:adjustRightInd/>
              <w:spacing w:line="300" w:lineRule="auto"/>
              <w:jc w:val="both"/>
              <w:textAlignment w:val="auto"/>
              <w:rPr>
                <w:rFonts w:ascii="Arial" w:hAnsi="Arial" w:eastAsia="仿宋_GB2312" w:cs="Arial"/>
                <w:b/>
                <w:bCs/>
                <w:sz w:val="28"/>
                <w:szCs w:val="28"/>
                <w:highlight w:val="none"/>
              </w:rPr>
            </w:pPr>
            <w:r>
              <w:rPr>
                <w:rFonts w:ascii="Arial" w:hAnsi="Arial" w:eastAsia="仿宋_GB2312" w:cs="Arial"/>
                <w:b/>
                <w:bCs/>
                <w:sz w:val="28"/>
                <w:szCs w:val="28"/>
                <w:highlight w:val="none"/>
              </w:rPr>
              <w:t>其他</w:t>
            </w:r>
            <w:r>
              <w:rPr>
                <w:rFonts w:hint="eastAsia" w:ascii="Arial" w:hAnsi="Arial" w:eastAsia="仿宋_GB2312" w:cs="Arial"/>
                <w:b/>
                <w:bCs/>
                <w:sz w:val="28"/>
                <w:szCs w:val="28"/>
                <w:highlight w:val="none"/>
              </w:rPr>
              <w:t>评估</w:t>
            </w:r>
            <w:r>
              <w:rPr>
                <w:rFonts w:ascii="Arial" w:hAnsi="Arial" w:eastAsia="仿宋_GB2312" w:cs="Arial"/>
                <w:b/>
                <w:bCs/>
                <w:sz w:val="28"/>
                <w:szCs w:val="28"/>
                <w:highlight w:val="none"/>
              </w:rPr>
              <w:t xml:space="preserve">专业人员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9" w:hRule="atLeas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姓名</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相关资格或职称</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color w:val="000000"/>
                <w:sz w:val="28"/>
                <w:szCs w:val="28"/>
                <w:highlight w:val="none"/>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85" w:type="dxa"/>
            <w:bottom w:w="28" w:type="dxa"/>
            <w:right w:w="85" w:type="dxa"/>
          </w:tblCellMar>
        </w:tblPrEx>
        <w:trPr>
          <w:trHeight w:val="1134" w:hRule="exact"/>
          <w:jc w:val="center"/>
        </w:trPr>
        <w:tc>
          <w:tcPr>
            <w:tcW w:w="2540"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3931" w:type="dxa"/>
            <w:shd w:val="clear" w:color="auto" w:fill="auto"/>
            <w:vAlign w:val="center"/>
          </w:tcPr>
          <w:p>
            <w:pPr>
              <w:widowControl/>
              <w:adjustRightInd/>
              <w:spacing w:line="300" w:lineRule="auto"/>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w:t>
            </w:r>
          </w:p>
        </w:tc>
        <w:tc>
          <w:tcPr>
            <w:tcW w:w="2601" w:type="dxa"/>
            <w:shd w:val="clear" w:color="auto" w:fill="auto"/>
            <w:vAlign w:val="center"/>
          </w:tcPr>
          <w:p>
            <w:pPr>
              <w:widowControl/>
              <w:adjustRightInd/>
              <w:spacing w:line="300" w:lineRule="auto"/>
              <w:jc w:val="both"/>
              <w:textAlignment w:val="auto"/>
              <w:rPr>
                <w:rFonts w:ascii="Arial" w:hAnsi="Arial" w:eastAsia="仿宋_GB2312" w:cs="Arial"/>
                <w:color w:val="000000"/>
                <w:sz w:val="28"/>
                <w:szCs w:val="28"/>
                <w:highlight w:val="none"/>
              </w:rPr>
            </w:pPr>
            <w:r>
              <w:rPr>
                <w:rFonts w:ascii="Arial" w:hAnsi="Arial" w:eastAsia="仿宋_GB2312" w:cs="Arial"/>
                <w:sz w:val="28"/>
                <w:szCs w:val="28"/>
                <w:highlight w:val="none"/>
              </w:rPr>
              <w:t>——</w:t>
            </w:r>
          </w:p>
        </w:tc>
      </w:tr>
    </w:tbl>
    <w:p>
      <w:pPr>
        <w:spacing w:line="300" w:lineRule="auto"/>
        <w:rPr>
          <w:rFonts w:ascii="Arial" w:hAnsi="Arial" w:eastAsia="仿宋_GB2312" w:cs="Arial"/>
          <w:sz w:val="28"/>
          <w:highlight w:val="none"/>
        </w:rPr>
      </w:pPr>
    </w:p>
    <w:p>
      <w:pPr>
        <w:spacing w:line="300" w:lineRule="auto"/>
        <w:outlineLvl w:val="1"/>
        <w:rPr>
          <w:rFonts w:ascii="Arial" w:hAnsi="Arial" w:eastAsia="仿宋_GB2312" w:cs="Arial"/>
          <w:b/>
          <w:sz w:val="28"/>
          <w:highlight w:val="none"/>
        </w:rPr>
      </w:pPr>
      <w:bookmarkStart w:id="255" w:name="_Toc524335097"/>
      <w:bookmarkStart w:id="256" w:name="_Toc66929523"/>
      <w:bookmarkStart w:id="257" w:name="_Toc516488193"/>
      <w:bookmarkStart w:id="258" w:name="_Toc69393398"/>
      <w:bookmarkStart w:id="259" w:name="_Toc515457815"/>
      <w:r>
        <w:rPr>
          <w:rFonts w:ascii="Arial" w:hAnsi="Arial" w:eastAsia="仿宋_GB2312" w:cs="Arial"/>
          <w:b/>
          <w:sz w:val="28"/>
          <w:highlight w:val="none"/>
        </w:rPr>
        <w:t>十二、土地估价机构</w:t>
      </w:r>
      <w:bookmarkEnd w:id="255"/>
      <w:bookmarkEnd w:id="256"/>
      <w:bookmarkEnd w:id="257"/>
      <w:bookmarkEnd w:id="258"/>
      <w:bookmarkEnd w:id="259"/>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p>
      <w:pPr>
        <w:spacing w:line="300" w:lineRule="auto"/>
        <w:rPr>
          <w:rFonts w:ascii="Arial" w:hAnsi="Arial" w:eastAsia="仿宋_GB2312" w:cs="Arial"/>
          <w:sz w:val="28"/>
          <w:highlight w:val="none"/>
        </w:rPr>
      </w:pPr>
      <w:r>
        <w:rPr>
          <w:rFonts w:ascii="Arial" w:hAnsi="Arial" w:eastAsia="仿宋_GB2312" w:cs="Arial"/>
          <w:sz w:val="28"/>
          <w:highlight w:val="none"/>
        </w:rPr>
        <w:t xml:space="preserve">                              </w:t>
      </w:r>
    </w:p>
    <w:tbl>
      <w:tblPr>
        <w:tblStyle w:val="35"/>
        <w:tblW w:w="4445" w:type="dxa"/>
        <w:jc w:val="right"/>
        <w:tblLayout w:type="fixed"/>
        <w:tblCellMar>
          <w:top w:w="28" w:type="dxa"/>
          <w:left w:w="85" w:type="dxa"/>
          <w:bottom w:w="28" w:type="dxa"/>
          <w:right w:w="85" w:type="dxa"/>
        </w:tblCellMar>
      </w:tblPr>
      <w:tblGrid>
        <w:gridCol w:w="4445"/>
      </w:tblGrid>
      <w:tr>
        <w:tblPrEx>
          <w:tblCellMar>
            <w:top w:w="28" w:type="dxa"/>
            <w:left w:w="85" w:type="dxa"/>
            <w:bottom w:w="28" w:type="dxa"/>
            <w:right w:w="85" w:type="dxa"/>
          </w:tblCellMar>
        </w:tblPrEx>
        <w:trPr>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北京康正宏基房地产评估有限公司</w:t>
            </w:r>
          </w:p>
        </w:tc>
      </w:tr>
      <w:tr>
        <w:tblPrEx>
          <w:tblCellMar>
            <w:top w:w="28" w:type="dxa"/>
            <w:left w:w="85" w:type="dxa"/>
            <w:bottom w:w="28" w:type="dxa"/>
            <w:right w:w="85" w:type="dxa"/>
          </w:tblCellMar>
        </w:tblPrEx>
        <w:trPr>
          <w:trHeight w:val="1431" w:hRule="atLeast"/>
          <w:jc w:val="right"/>
        </w:trPr>
        <w:tc>
          <w:tcPr>
            <w:tcW w:w="4445" w:type="dxa"/>
            <w:shd w:val="clear" w:color="auto" w:fill="auto"/>
          </w:tcPr>
          <w:p>
            <w:pPr>
              <w:spacing w:line="300" w:lineRule="auto"/>
              <w:rPr>
                <w:rFonts w:ascii="Arial" w:hAnsi="Arial" w:eastAsia="仿宋_GB2312" w:cs="Arial"/>
                <w:sz w:val="28"/>
                <w:szCs w:val="21"/>
                <w:highlight w:val="none"/>
              </w:rPr>
            </w:pPr>
            <w:r>
              <w:rPr>
                <w:rFonts w:ascii="Arial" w:hAnsi="Arial" w:eastAsia="仿宋_GB2312" w:cs="Arial"/>
                <w:sz w:val="28"/>
                <w:szCs w:val="21"/>
                <w:highlight w:val="none"/>
              </w:rPr>
              <w:t>法定代表人：</w:t>
            </w:r>
          </w:p>
        </w:tc>
      </w:tr>
      <w:tr>
        <w:tblPrEx>
          <w:tblCellMar>
            <w:top w:w="28" w:type="dxa"/>
            <w:left w:w="85" w:type="dxa"/>
            <w:bottom w:w="28" w:type="dxa"/>
            <w:right w:w="85" w:type="dxa"/>
          </w:tblCellMar>
        </w:tblPrEx>
        <w:trPr>
          <w:cantSplit/>
          <w:jc w:val="right"/>
        </w:trPr>
        <w:tc>
          <w:tcPr>
            <w:tcW w:w="4445" w:type="dxa"/>
            <w:shd w:val="clear" w:color="auto" w:fill="auto"/>
          </w:tcPr>
          <w:p>
            <w:pPr>
              <w:spacing w:line="300" w:lineRule="auto"/>
              <w:jc w:val="right"/>
              <w:rPr>
                <w:rFonts w:ascii="Arial" w:hAnsi="Arial" w:eastAsia="仿宋_GB2312" w:cs="Arial"/>
                <w:sz w:val="28"/>
                <w:szCs w:val="21"/>
                <w:highlight w:val="none"/>
              </w:rPr>
            </w:pPr>
            <w:r>
              <w:rPr>
                <w:rFonts w:ascii="Arial" w:hAnsi="Arial" w:eastAsia="仿宋_GB2312" w:cs="Arial"/>
                <w:sz w:val="28"/>
                <w:szCs w:val="21"/>
                <w:highlight w:val="none"/>
              </w:rPr>
              <w:t>二</w:t>
            </w:r>
            <w:r>
              <w:rPr>
                <w:rFonts w:hint="eastAsia" w:ascii="微软雅黑" w:hAnsi="微软雅黑" w:eastAsia="微软雅黑" w:cs="微软雅黑"/>
                <w:sz w:val="28"/>
                <w:szCs w:val="21"/>
                <w:highlight w:val="none"/>
              </w:rPr>
              <w:t>〇</w:t>
            </w:r>
            <w:r>
              <w:rPr>
                <w:rFonts w:hint="eastAsia" w:ascii="仿宋_GB2312" w:hAnsi="仿宋_GB2312" w:eastAsia="仿宋_GB2312" w:cs="仿宋_GB2312"/>
                <w:sz w:val="28"/>
                <w:szCs w:val="21"/>
                <w:highlight w:val="none"/>
              </w:rPr>
              <w:t>二三年六月九日</w:t>
            </w:r>
          </w:p>
        </w:tc>
      </w:tr>
    </w:tbl>
    <w:p>
      <w:pPr>
        <w:spacing w:line="300" w:lineRule="auto"/>
        <w:jc w:val="center"/>
        <w:outlineLvl w:val="0"/>
        <w:rPr>
          <w:rFonts w:ascii="Arial" w:hAnsi="Arial" w:cs="Arial"/>
          <w:b/>
          <w:sz w:val="32"/>
          <w:highlight w:val="none"/>
        </w:rPr>
      </w:pPr>
      <w:r>
        <w:rPr>
          <w:rFonts w:ascii="Arial" w:hAnsi="Arial" w:eastAsia="仿宋_GB2312" w:cs="Arial"/>
          <w:sz w:val="28"/>
          <w:highlight w:val="none"/>
        </w:rPr>
        <w:br w:type="page"/>
      </w:r>
      <w:bookmarkStart w:id="260" w:name="_Toc69393399"/>
      <w:bookmarkStart w:id="261" w:name="_Toc416783586"/>
      <w:bookmarkStart w:id="262" w:name="_Toc469066164"/>
      <w:bookmarkStart w:id="263" w:name="_Toc416783682"/>
      <w:bookmarkStart w:id="264" w:name="_Toc66929524"/>
      <w:bookmarkStart w:id="265" w:name="_Toc524335098"/>
      <w:bookmarkStart w:id="266" w:name="_Toc516488194"/>
      <w:bookmarkStart w:id="267" w:name="_Toc515457816"/>
      <w:r>
        <w:rPr>
          <w:rFonts w:ascii="Arial" w:hAnsi="Arial" w:cs="Arial"/>
          <w:b/>
          <w:sz w:val="32"/>
          <w:highlight w:val="none"/>
        </w:rPr>
        <w:t>第二部分</w:t>
      </w:r>
      <w:r>
        <w:rPr>
          <w:rFonts w:ascii="Arial" w:hAnsi="Arial" w:eastAsia="仿宋_GB2312" w:cs="Arial"/>
          <w:b/>
          <w:sz w:val="32"/>
          <w:highlight w:val="none"/>
        </w:rPr>
        <w:t xml:space="preserve">  </w:t>
      </w:r>
      <w:r>
        <w:rPr>
          <w:rFonts w:ascii="Arial" w:hAnsi="Arial" w:cs="Arial"/>
          <w:b/>
          <w:sz w:val="32"/>
          <w:highlight w:val="none"/>
        </w:rPr>
        <w:t>估价对象描述及土地价格影响因素分析</w:t>
      </w:r>
      <w:bookmarkEnd w:id="260"/>
      <w:bookmarkEnd w:id="261"/>
      <w:bookmarkEnd w:id="262"/>
      <w:bookmarkEnd w:id="263"/>
      <w:bookmarkEnd w:id="264"/>
      <w:bookmarkEnd w:id="265"/>
      <w:bookmarkEnd w:id="266"/>
      <w:bookmarkEnd w:id="267"/>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b/>
          <w:sz w:val="28"/>
          <w:highlight w:val="none"/>
        </w:rPr>
      </w:pPr>
      <w:bookmarkStart w:id="268" w:name="_Toc416783587"/>
      <w:bookmarkStart w:id="269" w:name="_Toc516488195"/>
      <w:bookmarkStart w:id="270" w:name="_Toc515457817"/>
      <w:bookmarkStart w:id="271" w:name="_Toc524335099"/>
      <w:bookmarkStart w:id="272" w:name="_Toc69393400"/>
      <w:bookmarkStart w:id="273" w:name="_Toc66929525"/>
      <w:bookmarkStart w:id="274" w:name="_Toc469066165"/>
      <w:bookmarkStart w:id="275" w:name="_Toc416783683"/>
      <w:r>
        <w:rPr>
          <w:rFonts w:ascii="Arial" w:hAnsi="Arial" w:eastAsia="仿宋_GB2312" w:cs="Arial"/>
          <w:b/>
          <w:sz w:val="28"/>
          <w:highlight w:val="none"/>
        </w:rPr>
        <w:t>一、估价对象描述</w:t>
      </w:r>
      <w:bookmarkEnd w:id="268"/>
      <w:bookmarkEnd w:id="269"/>
      <w:bookmarkEnd w:id="270"/>
      <w:bookmarkEnd w:id="271"/>
      <w:bookmarkEnd w:id="272"/>
      <w:bookmarkEnd w:id="273"/>
      <w:bookmarkEnd w:id="274"/>
      <w:bookmarkEnd w:id="275"/>
    </w:p>
    <w:p>
      <w:pPr>
        <w:spacing w:line="300" w:lineRule="auto"/>
        <w:jc w:val="both"/>
        <w:rPr>
          <w:rFonts w:ascii="Arial" w:hAnsi="Arial" w:eastAsia="仿宋_GB2312" w:cs="Arial"/>
          <w:sz w:val="28"/>
          <w:highlight w:val="none"/>
        </w:rPr>
      </w:pPr>
      <w:bookmarkStart w:id="276" w:name="_Toc416783690"/>
      <w:bookmarkStart w:id="277" w:name="_Toc469066166"/>
      <w:bookmarkStart w:id="278" w:name="_Toc416783594"/>
      <w:r>
        <w:rPr>
          <w:rFonts w:ascii="Arial" w:hAnsi="Arial" w:eastAsia="仿宋_GB2312" w:cs="Arial"/>
          <w:sz w:val="28"/>
          <w:highlight w:val="none"/>
        </w:rPr>
        <w:t>（一）土地登记状况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土地来源：</w:t>
      </w:r>
      <w:r>
        <w:rPr>
          <w:rFonts w:hint="eastAsia" w:ascii="Arial" w:hAnsi="Arial" w:eastAsia="仿宋_GB2312" w:cs="Arial"/>
          <w:bCs/>
          <w:sz w:val="28"/>
          <w:highlight w:val="none"/>
        </w:rPr>
        <w:t>估价对象为北京市密云区西门外大街</w:t>
      </w:r>
      <w:r>
        <w:rPr>
          <w:rFonts w:hint="eastAsia" w:ascii="Arial" w:hAnsi="Arial" w:eastAsia="仿宋_GB2312" w:cs="Arial"/>
          <w:bCs/>
          <w:sz w:val="28"/>
          <w:highlight w:val="none"/>
          <w:lang w:eastAsia="zh-CN"/>
        </w:rPr>
        <w:t>8号楼601-605号</w:t>
      </w:r>
      <w:r>
        <w:rPr>
          <w:rFonts w:hint="eastAsia" w:ascii="Arial" w:hAnsi="Arial" w:eastAsia="仿宋_GB2312" w:cs="Arial"/>
          <w:bCs/>
          <w:sz w:val="28"/>
          <w:highlight w:val="none"/>
        </w:rPr>
        <w:t>现状商业用地，</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highlight w:val="none"/>
        </w:rPr>
        <w:t>，现登记情况如下</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土地使用权性质：国有土地使用权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bCs/>
          <w:sz w:val="28"/>
          <w:highlight w:val="none"/>
        </w:rPr>
        <w:t>所属宗地面积</w:t>
      </w:r>
      <w:r>
        <w:rPr>
          <w:rFonts w:ascii="Arial" w:hAnsi="Arial" w:eastAsia="仿宋_GB2312" w:cs="Arial"/>
          <w:bCs/>
          <w:sz w:val="28"/>
          <w:highlight w:val="none"/>
        </w:rPr>
        <w:t>：</w:t>
      </w:r>
      <w:r>
        <w:rPr>
          <w:rFonts w:hint="eastAsia" w:ascii="Arial" w:hAnsi="Arial" w:eastAsia="仿宋_GB2312" w:cs="Arial"/>
          <w:sz w:val="28"/>
          <w:highlight w:val="none"/>
        </w:rPr>
        <w:t>2542.96平方米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宗地性质：独用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宗地位置：密云县密云镇花园街</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登记土地使用权人：密云县住宅合作社</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土地证号：京密国用（2003划）字第01570号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取得方式：划拨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土地用途：商业服务业</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使用权面积：2542.96平方米</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现状土地使用权人（承受人）：</w:t>
      </w:r>
      <w:r>
        <w:rPr>
          <w:rFonts w:hint="eastAsia" w:ascii="Arial" w:hAnsi="Arial" w:eastAsia="仿宋_GB2312" w:cs="Arial"/>
          <w:sz w:val="28"/>
          <w:highlight w:val="none"/>
          <w:lang w:eastAsia="zh-CN"/>
        </w:rPr>
        <w:t>王蕴华</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分摊使用权面积：</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四至：东至：北京云峰绿洲草业有限公司；南至：密云县住宅合作社；西至：密云县住宅合作社；北至：现使用人：密云县住宅合作社；</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现状四至：东至</w:t>
      </w:r>
      <w:r>
        <w:rPr>
          <w:rFonts w:hint="eastAsia" w:ascii="Arial" w:hAnsi="Arial" w:eastAsia="仿宋_GB2312" w:cs="Arial"/>
          <w:sz w:val="28"/>
          <w:highlight w:val="none"/>
        </w:rPr>
        <w:t>云光商场家具城</w:t>
      </w:r>
      <w:r>
        <w:rPr>
          <w:rFonts w:ascii="Arial" w:hAnsi="Arial" w:eastAsia="仿宋_GB2312" w:cs="Arial"/>
          <w:sz w:val="28"/>
          <w:highlight w:val="none"/>
        </w:rPr>
        <w:t>，南至</w:t>
      </w:r>
      <w:r>
        <w:rPr>
          <w:rFonts w:hint="eastAsia" w:ascii="Arial" w:hAnsi="Arial" w:eastAsia="仿宋_GB2312" w:cs="Arial"/>
          <w:sz w:val="28"/>
          <w:highlight w:val="none"/>
        </w:rPr>
        <w:t>果园新里住宅区</w:t>
      </w:r>
      <w:r>
        <w:rPr>
          <w:rFonts w:ascii="Arial" w:hAnsi="Arial" w:eastAsia="仿宋_GB2312" w:cs="Arial"/>
          <w:sz w:val="28"/>
          <w:highlight w:val="none"/>
        </w:rPr>
        <w:t>，西至</w:t>
      </w:r>
      <w:r>
        <w:rPr>
          <w:rFonts w:hint="eastAsia" w:ascii="Arial" w:hAnsi="Arial" w:eastAsia="仿宋_GB2312" w:cs="Arial"/>
          <w:sz w:val="28"/>
          <w:highlight w:val="none"/>
        </w:rPr>
        <w:t>果园新里住宅区</w:t>
      </w:r>
      <w:r>
        <w:rPr>
          <w:rFonts w:ascii="Arial" w:hAnsi="Arial" w:eastAsia="仿宋_GB2312" w:cs="Arial"/>
          <w:sz w:val="28"/>
          <w:highlight w:val="none"/>
        </w:rPr>
        <w:t>，北至</w:t>
      </w:r>
      <w:r>
        <w:rPr>
          <w:rFonts w:hint="eastAsia" w:ascii="Arial" w:hAnsi="Arial" w:eastAsia="仿宋_GB2312" w:cs="Arial"/>
          <w:sz w:val="28"/>
          <w:highlight w:val="none"/>
        </w:rPr>
        <w:t>西门外大街</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土地级别：根据《北京市人民政府关于更新出让国有建设用地使用权基准地价的通知》（京政发（2022）12号）的规定，估价对象属于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（二）土地权利状况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估价对象为国有土地，土地所有权为国家所有，</w:t>
      </w:r>
      <w:r>
        <w:rPr>
          <w:rFonts w:hint="eastAsia" w:ascii="Arial" w:hAnsi="Arial" w:eastAsia="仿宋_GB2312" w:cs="Arial"/>
          <w:sz w:val="28"/>
          <w:highlight w:val="none"/>
        </w:rPr>
        <w:t>土地使用权人（承受人）</w:t>
      </w:r>
      <w:r>
        <w:rPr>
          <w:rFonts w:ascii="Arial" w:hAnsi="Arial" w:eastAsia="仿宋_GB2312" w:cs="Arial"/>
          <w:sz w:val="28"/>
          <w:highlight w:val="none"/>
        </w:rPr>
        <w:t>为</w:t>
      </w:r>
      <w:r>
        <w:rPr>
          <w:rFonts w:hint="eastAsia" w:ascii="Arial" w:hAnsi="Arial" w:eastAsia="仿宋_GB2312" w:cs="Arial"/>
          <w:sz w:val="28"/>
          <w:highlight w:val="none"/>
          <w:lang w:eastAsia="zh-CN"/>
        </w:rPr>
        <w:t>王蕴华</w:t>
      </w:r>
      <w:r>
        <w:rPr>
          <w:rFonts w:ascii="Arial" w:hAnsi="Arial" w:eastAsia="仿宋_GB2312" w:cs="Arial"/>
          <w:sz w:val="28"/>
          <w:highlight w:val="none"/>
        </w:rPr>
        <w:t>。根据</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及</w:t>
      </w:r>
      <w:r>
        <w:rPr>
          <w:rFonts w:hint="eastAsia" w:ascii="Arial" w:hAnsi="Arial" w:eastAsia="仿宋_GB2312" w:cs="Arial"/>
          <w:sz w:val="28"/>
          <w:szCs w:val="28"/>
          <w:highlight w:val="none"/>
        </w:rPr>
        <w:t>《国有建设用地使用权出让地价评估委托书》</w:t>
      </w:r>
      <w:r>
        <w:rPr>
          <w:rFonts w:ascii="Arial" w:hAnsi="Arial" w:eastAsia="仿宋_GB2312" w:cs="Arial"/>
          <w:sz w:val="28"/>
          <w:highlight w:val="none"/>
        </w:rPr>
        <w:t>，</w:t>
      </w:r>
      <w:r>
        <w:rPr>
          <w:rFonts w:hint="eastAsia" w:ascii="Arial" w:hAnsi="Arial" w:eastAsia="仿宋_GB2312" w:cs="Arial"/>
          <w:sz w:val="28"/>
          <w:highlight w:val="none"/>
        </w:rPr>
        <w:t>估价对象分摊土地面积为</w:t>
      </w:r>
      <w:r>
        <w:rPr>
          <w:rFonts w:hint="eastAsia" w:ascii="Arial" w:hAnsi="Arial" w:eastAsia="仿宋_GB2312" w:cs="Arial"/>
          <w:sz w:val="28"/>
          <w:highlight w:val="none"/>
          <w:lang w:eastAsia="zh-CN"/>
        </w:rPr>
        <w:t>127.326</w:t>
      </w:r>
      <w:r>
        <w:rPr>
          <w:rFonts w:hint="eastAsia" w:ascii="Arial" w:hAnsi="Arial" w:eastAsia="仿宋_GB2312" w:cs="Arial"/>
          <w:sz w:val="28"/>
          <w:highlight w:val="none"/>
        </w:rPr>
        <w:t>平方米，规划用途为商业。</w:t>
      </w:r>
    </w:p>
    <w:p>
      <w:pPr>
        <w:pStyle w:val="51"/>
        <w:adjustRightInd/>
        <w:snapToGrid w:val="0"/>
        <w:spacing w:line="300" w:lineRule="auto"/>
        <w:ind w:firstLine="560"/>
        <w:jc w:val="both"/>
        <w:textAlignment w:val="auto"/>
        <w:rPr>
          <w:rFonts w:ascii="Arial" w:hAnsi="Arial" w:eastAsia="仿宋_GB2312" w:cs="Arial"/>
          <w:sz w:val="28"/>
          <w:highlight w:val="none"/>
        </w:rPr>
      </w:pPr>
      <w:r>
        <w:rPr>
          <w:rFonts w:hint="eastAsia" w:ascii="Arial" w:hAnsi="Arial" w:eastAsia="仿宋_GB2312" w:cs="Arial"/>
          <w:sz w:val="28"/>
          <w:highlight w:val="none"/>
        </w:rPr>
        <w:t>按照《中华人民共和国城镇国有土地使用权出让和转让暂行条例》（国务院令第55号）的有关规定，国有土地使用权出让最高年限为商业用地40年。因本次估价对象尚未办理国有建设用地出让手续，故本次评估设定估价对象国有建设用地使用年限为法定最高出让年期，即商业（</w:t>
      </w:r>
      <w:r>
        <w:rPr>
          <w:rFonts w:hint="eastAsia" w:ascii="Arial" w:hAnsi="Arial" w:eastAsia="仿宋_GB2312" w:cs="Arial"/>
          <w:sz w:val="28"/>
          <w:highlight w:val="none"/>
          <w:lang w:eastAsia="zh-CN"/>
        </w:rPr>
        <w:t>零售商业用地</w:t>
      </w:r>
      <w:r>
        <w:rPr>
          <w:rFonts w:hint="eastAsia" w:ascii="Arial" w:hAnsi="Arial" w:eastAsia="仿宋_GB2312" w:cs="Arial"/>
          <w:sz w:val="28"/>
          <w:highlight w:val="none"/>
        </w:rPr>
        <w:t>）40年。</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根据委托估价方提供</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估价对象无权属争议、抵押登记、地役权登记、异议登记、预告登记等修改情况，结合本次估价目的</w:t>
      </w:r>
      <w:r>
        <w:rPr>
          <w:rFonts w:ascii="Arial" w:hAnsi="Arial" w:eastAsia="仿宋_GB2312" w:cs="Arial"/>
          <w:sz w:val="28"/>
          <w:szCs w:val="28"/>
          <w:highlight w:val="none"/>
        </w:rPr>
        <w:t>，本次评估设定估价对象不存在抵押、租赁</w:t>
      </w:r>
      <w:r>
        <w:rPr>
          <w:rFonts w:hint="eastAsia" w:ascii="Arial" w:hAnsi="Arial" w:eastAsia="仿宋_GB2312" w:cs="Arial"/>
          <w:sz w:val="28"/>
          <w:szCs w:val="28"/>
          <w:highlight w:val="none"/>
        </w:rPr>
        <w:t>、地役权</w:t>
      </w:r>
      <w:r>
        <w:rPr>
          <w:rFonts w:ascii="Arial" w:hAnsi="Arial" w:eastAsia="仿宋_GB2312" w:cs="Arial"/>
          <w:sz w:val="28"/>
          <w:szCs w:val="28"/>
          <w:highlight w:val="none"/>
        </w:rPr>
        <w:t>等他项权利。</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（三）土地利用状况</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1.土地规划设计条件</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pacing w:line="300" w:lineRule="auto"/>
        <w:ind w:firstLine="512" w:firstLineChars="200"/>
        <w:jc w:val="both"/>
        <w:rPr>
          <w:rFonts w:ascii="Arial" w:hAnsi="Arial" w:eastAsia="仿宋_GB2312" w:cs="Arial"/>
          <w:spacing w:val="-12"/>
          <w:sz w:val="28"/>
          <w:highlight w:val="none"/>
        </w:rPr>
      </w:pPr>
      <w:r>
        <w:rPr>
          <w:rFonts w:ascii="Arial" w:hAnsi="Arial" w:eastAsia="仿宋_GB2312" w:cs="Arial"/>
          <w:spacing w:val="-12"/>
          <w:sz w:val="28"/>
          <w:highlight w:val="none"/>
        </w:rPr>
        <w:t>2.土地利用现状</w:t>
      </w:r>
    </w:p>
    <w:p>
      <w:pPr>
        <w:snapToGrid w:val="0"/>
        <w:spacing w:line="300" w:lineRule="auto"/>
        <w:ind w:firstLine="560" w:firstLineChars="200"/>
        <w:jc w:val="both"/>
        <w:rPr>
          <w:rFonts w:ascii="Arial" w:hAnsi="Arial" w:eastAsia="仿宋_GB2312" w:cs="Arial"/>
          <w:sz w:val="28"/>
          <w:szCs w:val="28"/>
          <w:highlight w:val="none"/>
        </w:rPr>
      </w:pPr>
      <w:r>
        <w:rPr>
          <w:rFonts w:hint="eastAsia" w:ascii="Arial" w:hAnsi="Arial" w:eastAsia="仿宋_GB2312" w:cs="Arial"/>
          <w:sz w:val="28"/>
          <w:szCs w:val="28"/>
          <w:highlight w:val="none"/>
        </w:rPr>
        <w:t>2023年6月5日</w:t>
      </w:r>
      <w:r>
        <w:rPr>
          <w:rFonts w:ascii="Arial" w:hAnsi="Arial" w:eastAsia="仿宋_GB2312" w:cs="Arial"/>
          <w:sz w:val="28"/>
          <w:szCs w:val="28"/>
          <w:highlight w:val="none"/>
        </w:rPr>
        <w:t>评估专业人员对</w:t>
      </w:r>
      <w:r>
        <w:rPr>
          <w:rFonts w:hint="eastAsia" w:ascii="Arial" w:hAnsi="Arial" w:eastAsia="仿宋_GB2312" w:cs="Arial"/>
          <w:sz w:val="28"/>
          <w:szCs w:val="28"/>
          <w:highlight w:val="none"/>
        </w:rPr>
        <w:t>估价对象实地查勘</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估价对象所属楼宇已竣工并投入使用</w:t>
      </w:r>
      <w:r>
        <w:rPr>
          <w:rFonts w:ascii="Arial" w:hAnsi="Arial" w:eastAsia="仿宋_GB2312" w:cs="Arial"/>
          <w:sz w:val="28"/>
          <w:szCs w:val="28"/>
          <w:highlight w:val="none"/>
        </w:rPr>
        <w:t>。</w:t>
      </w:r>
      <w:r>
        <w:rPr>
          <w:rFonts w:hint="eastAsia" w:ascii="Arial" w:hAnsi="Arial" w:eastAsia="仿宋_GB2312" w:cs="Arial"/>
          <w:sz w:val="28"/>
          <w:szCs w:val="28"/>
          <w:highlight w:val="none"/>
        </w:rPr>
        <w:t>估价对象所属楼宇为地上总楼层为6层，估价对象位于其</w:t>
      </w:r>
      <w:r>
        <w:rPr>
          <w:rFonts w:hint="eastAsia" w:ascii="Arial" w:hAnsi="Arial" w:eastAsia="仿宋_GB2312" w:cs="Arial"/>
          <w:sz w:val="28"/>
          <w:szCs w:val="28"/>
          <w:highlight w:val="none"/>
          <w:lang w:val="en-US" w:eastAsia="zh-CN"/>
        </w:rPr>
        <w:t>6</w:t>
      </w:r>
      <w:r>
        <w:rPr>
          <w:rFonts w:hint="eastAsia" w:ascii="Arial" w:hAnsi="Arial" w:eastAsia="仿宋_GB2312" w:cs="Arial"/>
          <w:sz w:val="28"/>
          <w:szCs w:val="28"/>
          <w:highlight w:val="none"/>
        </w:rPr>
        <w:t>层；</w:t>
      </w:r>
      <w:r>
        <w:rPr>
          <w:rFonts w:ascii="Arial" w:hAnsi="Arial" w:eastAsia="仿宋_GB2312" w:cs="Arial"/>
          <w:sz w:val="28"/>
          <w:szCs w:val="28"/>
          <w:highlight w:val="none"/>
        </w:rPr>
        <w:t>现状</w:t>
      </w:r>
      <w:r>
        <w:rPr>
          <w:rFonts w:hint="eastAsia" w:ascii="Arial" w:hAnsi="Arial" w:eastAsia="仿宋_GB2312" w:cs="Arial"/>
          <w:sz w:val="28"/>
          <w:szCs w:val="28"/>
          <w:highlight w:val="none"/>
        </w:rPr>
        <w:t>土地开发程度达到宗地红线外“七通”（即通路、通上水、通下水、通电、通讯、通热、通燃气）、宗地红线内“六通”（即通路、通上水、通下水、通电、通讯、通热）</w:t>
      </w:r>
      <w:r>
        <w:rPr>
          <w:rFonts w:ascii="Arial" w:hAnsi="Arial" w:eastAsia="仿宋_GB2312" w:cs="Arial"/>
          <w:sz w:val="28"/>
          <w:szCs w:val="28"/>
          <w:highlight w:val="none"/>
        </w:rPr>
        <w:t>。</w:t>
      </w:r>
      <w:r>
        <w:rPr>
          <w:rFonts w:hint="eastAsia" w:ascii="Arial" w:hAnsi="Arial" w:eastAsia="仿宋" w:cs="Arial"/>
          <w:sz w:val="28"/>
          <w:szCs w:val="28"/>
          <w:highlight w:val="none"/>
        </w:rPr>
        <w:t>根据本次</w:t>
      </w:r>
      <w:r>
        <w:rPr>
          <w:rFonts w:ascii="Arial" w:hAnsi="Arial" w:eastAsia="仿宋" w:cs="Arial"/>
          <w:sz w:val="28"/>
          <w:szCs w:val="28"/>
          <w:highlight w:val="none"/>
        </w:rPr>
        <w:t>估价目的，设定估价对象的开发程度为宗地红线外</w:t>
      </w:r>
      <w:r>
        <w:rPr>
          <w:rFonts w:hint="eastAsia" w:ascii="Arial" w:hAnsi="Arial" w:eastAsia="仿宋" w:cs="Arial"/>
          <w:sz w:val="28"/>
          <w:szCs w:val="28"/>
          <w:highlight w:val="none"/>
        </w:rPr>
        <w:t>“</w:t>
      </w:r>
      <w:r>
        <w:rPr>
          <w:rFonts w:ascii="Arial" w:hAnsi="Arial" w:eastAsia="仿宋" w:cs="Arial"/>
          <w:sz w:val="28"/>
          <w:szCs w:val="28"/>
          <w:highlight w:val="none"/>
        </w:rPr>
        <w:t>七通</w:t>
      </w:r>
      <w:r>
        <w:rPr>
          <w:rFonts w:hint="eastAsia" w:ascii="Arial" w:hAnsi="Arial" w:eastAsia="仿宋" w:cs="Arial"/>
          <w:sz w:val="28"/>
          <w:szCs w:val="28"/>
          <w:highlight w:val="none"/>
        </w:rPr>
        <w:t>”（</w:t>
      </w:r>
      <w:r>
        <w:rPr>
          <w:rFonts w:ascii="Arial" w:hAnsi="Arial" w:eastAsia="仿宋" w:cs="Arial"/>
          <w:sz w:val="28"/>
          <w:szCs w:val="28"/>
          <w:highlight w:val="none"/>
        </w:rPr>
        <w:t>即通路、通上水、通下水、通电、通讯、通热、通燃气</w:t>
      </w:r>
      <w:r>
        <w:rPr>
          <w:rFonts w:hint="eastAsia" w:ascii="Arial" w:hAnsi="Arial" w:eastAsia="仿宋" w:cs="Arial"/>
          <w:sz w:val="28"/>
          <w:szCs w:val="28"/>
          <w:highlight w:val="none"/>
        </w:rPr>
        <w:t>），</w:t>
      </w:r>
      <w:r>
        <w:rPr>
          <w:rFonts w:ascii="Arial" w:hAnsi="Arial" w:eastAsia="仿宋" w:cs="Arial"/>
          <w:sz w:val="28"/>
          <w:szCs w:val="28"/>
          <w:highlight w:val="none"/>
        </w:rPr>
        <w:t>宗地红线内场地平整。</w:t>
      </w: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w:t>
      </w:r>
      <w:r>
        <w:rPr>
          <w:rFonts w:ascii="Arial" w:hAnsi="Arial" w:eastAsia="仿宋_GB2312" w:cs="Arial"/>
          <w:sz w:val="28"/>
          <w:szCs w:val="28"/>
          <w:highlight w:val="none"/>
        </w:rPr>
        <w:t>。</w:t>
      </w:r>
    </w:p>
    <w:p>
      <w:pPr>
        <w:snapToGrid w:val="0"/>
        <w:spacing w:line="300" w:lineRule="auto"/>
        <w:ind w:firstLine="560" w:firstLineChars="200"/>
        <w:jc w:val="both"/>
        <w:rPr>
          <w:rFonts w:ascii="Arial" w:hAnsi="Arial" w:eastAsia="仿宋_GB2312" w:cs="Arial"/>
          <w:sz w:val="28"/>
          <w:szCs w:val="28"/>
          <w:highlight w:val="none"/>
        </w:rPr>
      </w:pPr>
    </w:p>
    <w:p>
      <w:pPr>
        <w:spacing w:line="300" w:lineRule="auto"/>
        <w:outlineLvl w:val="1"/>
        <w:rPr>
          <w:rFonts w:ascii="Arial" w:hAnsi="Arial" w:eastAsia="仿宋_GB2312" w:cs="Arial"/>
          <w:b/>
          <w:sz w:val="28"/>
          <w:highlight w:val="none"/>
        </w:rPr>
      </w:pPr>
      <w:bookmarkStart w:id="279" w:name="_Toc66929526"/>
      <w:bookmarkStart w:id="280" w:name="_Toc515457818"/>
      <w:bookmarkStart w:id="281" w:name="_Toc524335100"/>
      <w:bookmarkStart w:id="282" w:name="_Toc69393401"/>
      <w:bookmarkStart w:id="283" w:name="_Toc516488196"/>
      <w:r>
        <w:rPr>
          <w:rFonts w:ascii="Arial" w:hAnsi="Arial" w:eastAsia="仿宋_GB2312" w:cs="Arial"/>
          <w:b/>
          <w:sz w:val="28"/>
          <w:highlight w:val="none"/>
        </w:rPr>
        <w:t>二、地价影响因素分析</w:t>
      </w:r>
      <w:bookmarkEnd w:id="276"/>
      <w:bookmarkEnd w:id="277"/>
      <w:bookmarkEnd w:id="278"/>
      <w:bookmarkEnd w:id="279"/>
      <w:bookmarkEnd w:id="280"/>
      <w:bookmarkEnd w:id="281"/>
      <w:bookmarkEnd w:id="282"/>
      <w:bookmarkEnd w:id="283"/>
    </w:p>
    <w:p>
      <w:pPr>
        <w:spacing w:line="300" w:lineRule="auto"/>
        <w:jc w:val="both"/>
        <w:rPr>
          <w:rFonts w:ascii="Arial" w:hAnsi="Arial" w:eastAsia="仿宋_GB2312"/>
          <w:sz w:val="28"/>
          <w:highlight w:val="none"/>
        </w:rPr>
      </w:pPr>
      <w:bookmarkStart w:id="284" w:name="_Toc416783599"/>
      <w:bookmarkStart w:id="285" w:name="_Toc515457822"/>
      <w:bookmarkStart w:id="286" w:name="_Toc69393402"/>
      <w:bookmarkStart w:id="287" w:name="_Toc416783695"/>
      <w:bookmarkStart w:id="288" w:name="_Toc469066168"/>
      <w:bookmarkStart w:id="289" w:name="_Toc524335110"/>
      <w:bookmarkStart w:id="290" w:name="_Toc66929527"/>
      <w:bookmarkStart w:id="291" w:name="_Toc516488204"/>
      <w:r>
        <w:rPr>
          <w:rFonts w:hint="eastAsia" w:ascii="Arial" w:hAnsi="Arial" w:eastAsia="仿宋_GB2312"/>
          <w:sz w:val="28"/>
          <w:highlight w:val="none"/>
        </w:rPr>
        <w:t>（一）</w:t>
      </w:r>
      <w:r>
        <w:rPr>
          <w:rFonts w:ascii="Arial" w:hAnsi="Arial" w:eastAsia="仿宋_GB2312"/>
          <w:sz w:val="28"/>
          <w:highlight w:val="none"/>
        </w:rPr>
        <w:t xml:space="preserve"> </w:t>
      </w:r>
      <w:r>
        <w:rPr>
          <w:rFonts w:hint="eastAsia" w:ascii="Arial" w:hAnsi="Arial" w:eastAsia="仿宋_GB2312"/>
          <w:sz w:val="28"/>
          <w:highlight w:val="none"/>
        </w:rPr>
        <w:t>一般因素</w:t>
      </w:r>
    </w:p>
    <w:p>
      <w:pPr>
        <w:spacing w:line="300" w:lineRule="auto"/>
        <w:ind w:right="205" w:firstLine="560" w:firstLineChars="200"/>
        <w:jc w:val="both"/>
        <w:outlineLvl w:val="0"/>
        <w:rPr>
          <w:rFonts w:ascii="Arial" w:hAnsi="Arial" w:eastAsia="仿宋_GB2312"/>
          <w:bCs/>
          <w:i/>
          <w:sz w:val="28"/>
          <w:szCs w:val="28"/>
          <w:highlight w:val="none"/>
        </w:rPr>
      </w:pPr>
      <w:r>
        <w:rPr>
          <w:rFonts w:hint="eastAsia" w:ascii="Arial" w:hAnsi="Arial" w:eastAsia="仿宋_GB2312"/>
          <w:bCs/>
          <w:sz w:val="28"/>
          <w:szCs w:val="28"/>
          <w:highlight w:val="none"/>
        </w:rPr>
        <w:t>1.城市资源状况</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截至</w:t>
      </w:r>
      <w:r>
        <w:rPr>
          <w:rFonts w:ascii="Arial" w:hAnsi="Arial" w:eastAsia="仿宋_GB2312" w:cs="Arial"/>
          <w:bCs/>
          <w:color w:val="000000"/>
          <w:sz w:val="28"/>
          <w:szCs w:val="28"/>
          <w:highlight w:val="none"/>
        </w:rPr>
        <w:t>2022</w:t>
      </w:r>
      <w:r>
        <w:rPr>
          <w:rFonts w:hint="eastAsia" w:ascii="Arial" w:hAnsi="Arial" w:eastAsia="仿宋_GB2312" w:cs="Arial"/>
          <w:bCs/>
          <w:color w:val="000000"/>
          <w:sz w:val="28"/>
          <w:szCs w:val="28"/>
          <w:highlight w:val="none"/>
        </w:rPr>
        <w:t>年年末，北京市常住人口为</w:t>
      </w:r>
      <w:r>
        <w:rPr>
          <w:rFonts w:ascii="Arial" w:hAnsi="Arial" w:eastAsia="仿宋_GB2312" w:cs="Arial"/>
          <w:bCs/>
          <w:color w:val="000000"/>
          <w:sz w:val="28"/>
          <w:szCs w:val="28"/>
          <w:highlight w:val="none"/>
        </w:rPr>
        <w:t>2184.3</w:t>
      </w:r>
      <w:r>
        <w:rPr>
          <w:rFonts w:hint="eastAsia" w:ascii="Arial" w:hAnsi="Arial" w:eastAsia="仿宋_GB2312" w:cs="Arial"/>
          <w:bCs/>
          <w:color w:val="000000"/>
          <w:sz w:val="28"/>
          <w:szCs w:val="28"/>
          <w:highlight w:val="none"/>
        </w:rPr>
        <w:t>万人，从年龄构成看，</w:t>
      </w:r>
      <w:r>
        <w:rPr>
          <w:rFonts w:ascii="Arial" w:hAnsi="Arial" w:eastAsia="仿宋_GB2312" w:cs="Arial"/>
          <w:bCs/>
          <w:color w:val="000000"/>
          <w:sz w:val="28"/>
          <w:szCs w:val="28"/>
          <w:highlight w:val="none"/>
        </w:rPr>
        <w:t>0-14</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264</w:t>
      </w:r>
      <w:r>
        <w:rPr>
          <w:rFonts w:hint="eastAsia" w:ascii="Arial" w:hAnsi="Arial" w:eastAsia="仿宋_GB2312" w:cs="Arial"/>
          <w:bCs/>
          <w:color w:val="000000"/>
          <w:sz w:val="28"/>
          <w:szCs w:val="28"/>
          <w:highlight w:val="none"/>
        </w:rPr>
        <w:t>万人，占全市常住人口的比重为</w:t>
      </w:r>
      <w:r>
        <w:rPr>
          <w:rFonts w:ascii="Arial" w:hAnsi="Arial" w:eastAsia="仿宋_GB2312" w:cs="Arial"/>
          <w:bCs/>
          <w:color w:val="000000"/>
          <w:sz w:val="28"/>
          <w:szCs w:val="28"/>
          <w:highlight w:val="none"/>
        </w:rPr>
        <w:t>12.1%</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15-59</w:t>
      </w:r>
      <w:r>
        <w:rPr>
          <w:rFonts w:hint="eastAsia" w:ascii="Arial" w:hAnsi="Arial" w:eastAsia="仿宋_GB2312" w:cs="Arial"/>
          <w:bCs/>
          <w:color w:val="000000"/>
          <w:sz w:val="28"/>
          <w:szCs w:val="28"/>
          <w:highlight w:val="none"/>
        </w:rPr>
        <w:t>岁常住人口</w:t>
      </w:r>
      <w:r>
        <w:rPr>
          <w:rFonts w:ascii="Arial" w:hAnsi="Arial" w:eastAsia="仿宋_GB2312" w:cs="Arial"/>
          <w:bCs/>
          <w:color w:val="000000"/>
          <w:sz w:val="28"/>
          <w:szCs w:val="28"/>
          <w:highlight w:val="none"/>
        </w:rPr>
        <w:t>1455.2</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66.6%</w:t>
      </w:r>
      <w:r>
        <w:rPr>
          <w:rFonts w:hint="eastAsia" w:ascii="Arial" w:hAnsi="Arial" w:eastAsia="仿宋_GB2312" w:cs="Arial"/>
          <w:bCs/>
          <w:color w:val="000000"/>
          <w:sz w:val="28"/>
          <w:szCs w:val="28"/>
          <w:highlight w:val="none"/>
        </w:rPr>
        <w:t>；</w:t>
      </w:r>
      <w:r>
        <w:rPr>
          <w:rFonts w:ascii="Arial" w:hAnsi="Arial" w:eastAsia="仿宋_GB2312" w:cs="Arial"/>
          <w:bCs/>
          <w:color w:val="000000"/>
          <w:sz w:val="28"/>
          <w:szCs w:val="28"/>
          <w:highlight w:val="none"/>
        </w:rPr>
        <w:t>60</w:t>
      </w:r>
      <w:r>
        <w:rPr>
          <w:rFonts w:hint="eastAsia" w:ascii="Arial" w:hAnsi="Arial" w:eastAsia="仿宋_GB2312" w:cs="Arial"/>
          <w:bCs/>
          <w:color w:val="000000"/>
          <w:sz w:val="28"/>
          <w:szCs w:val="28"/>
          <w:highlight w:val="none"/>
        </w:rPr>
        <w:t>岁及以上常住人口</w:t>
      </w:r>
      <w:r>
        <w:rPr>
          <w:rFonts w:ascii="Arial" w:hAnsi="Arial" w:eastAsia="仿宋_GB2312" w:cs="Arial"/>
          <w:bCs/>
          <w:color w:val="000000"/>
          <w:sz w:val="28"/>
          <w:szCs w:val="28"/>
          <w:highlight w:val="none"/>
        </w:rPr>
        <w:t>465.1</w:t>
      </w:r>
      <w:r>
        <w:rPr>
          <w:rFonts w:hint="eastAsia" w:ascii="Arial" w:hAnsi="Arial" w:eastAsia="仿宋_GB2312" w:cs="Arial"/>
          <w:bCs/>
          <w:color w:val="000000"/>
          <w:sz w:val="28"/>
          <w:szCs w:val="28"/>
          <w:highlight w:val="none"/>
        </w:rPr>
        <w:t>万人，占</w:t>
      </w:r>
      <w:r>
        <w:rPr>
          <w:rFonts w:ascii="Arial" w:hAnsi="Arial" w:eastAsia="仿宋_GB2312" w:cs="Arial"/>
          <w:bCs/>
          <w:color w:val="000000"/>
          <w:sz w:val="28"/>
          <w:szCs w:val="28"/>
          <w:highlight w:val="none"/>
        </w:rPr>
        <w:t>21.3%</w:t>
      </w:r>
      <w:r>
        <w:rPr>
          <w:rFonts w:hint="eastAsia" w:ascii="Arial" w:hAnsi="Arial" w:eastAsia="仿宋_GB2312" w:cs="Arial"/>
          <w:bCs/>
          <w:color w:val="000000"/>
          <w:sz w:val="28"/>
          <w:szCs w:val="28"/>
          <w:highlight w:val="none"/>
        </w:rPr>
        <w:t>。</w:t>
      </w:r>
    </w:p>
    <w:p>
      <w:pPr>
        <w:overflowPunct w:val="0"/>
        <w:spacing w:line="300" w:lineRule="auto"/>
        <w:jc w:val="center"/>
        <w:rPr>
          <w:rFonts w:ascii="Arial" w:hAnsi="Arial" w:eastAsia="仿宋_GB2312"/>
          <w:b/>
          <w:bCs/>
          <w:color w:val="000000"/>
          <w:szCs w:val="24"/>
          <w:highlight w:val="none"/>
        </w:rPr>
      </w:pPr>
      <w:r>
        <w:rPr>
          <w:rFonts w:ascii="Arial" w:hAnsi="Arial" w:eastAsia="仿宋_GB2312"/>
          <w:b/>
          <w:bCs/>
          <w:color w:val="000000"/>
          <w:szCs w:val="24"/>
          <w:highlight w:val="none"/>
        </w:rPr>
        <w:t>2018-2022</w:t>
      </w:r>
      <w:r>
        <w:rPr>
          <w:rFonts w:hint="eastAsia" w:ascii="Arial" w:hAnsi="Arial" w:eastAsia="仿宋_GB2312"/>
          <w:b/>
          <w:bCs/>
          <w:color w:val="000000"/>
          <w:szCs w:val="24"/>
          <w:highlight w:val="none"/>
        </w:rPr>
        <w:t>年常住人口增量及增长速度</w:t>
      </w:r>
    </w:p>
    <w:p>
      <w:pPr>
        <w:widowControl/>
        <w:overflowPunct w:val="0"/>
        <w:spacing w:line="300" w:lineRule="auto"/>
        <w:jc w:val="center"/>
        <w:textAlignment w:val="auto"/>
        <w:rPr>
          <w:rFonts w:ascii="仿宋_GB2312" w:hAnsi="Arial" w:eastAsia="仿宋_GB2312" w:cs="宋体"/>
          <w:sz w:val="28"/>
          <w:szCs w:val="28"/>
          <w:highlight w:val="none"/>
        </w:rPr>
      </w:pPr>
      <w:r>
        <w:rPr>
          <w:highlight w:val="none"/>
        </w:rPr>
        <w:drawing>
          <wp:inline distT="0" distB="0" distL="0" distR="0">
            <wp:extent cx="5887720" cy="2527300"/>
            <wp:effectExtent l="4445" t="4445" r="13335" b="2095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line="300" w:lineRule="auto"/>
        <w:ind w:right="205" w:firstLine="560" w:firstLineChars="200"/>
        <w:jc w:val="both"/>
        <w:rPr>
          <w:rFonts w:ascii="Arial" w:hAnsi="Arial" w:eastAsia="仿宋_GB2312"/>
          <w:bCs/>
          <w:sz w:val="28"/>
          <w:szCs w:val="28"/>
          <w:highlight w:val="none"/>
        </w:rPr>
      </w:pP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2.房地产市场状况（办公及商业）</w:t>
      </w:r>
    </w:p>
    <w:p>
      <w:pPr>
        <w:widowControl/>
        <w:adjustRightInd/>
        <w:spacing w:line="300" w:lineRule="auto"/>
        <w:ind w:left="42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（1）土地市场</w:t>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2023年一季度北京累计推出2宗商办用地，推出规划建面29.09万㎡，同比增长96%；累计成交4宗商办用地，成交规划建面55.81万㎡，同比增长104%；从区域分布来看，朝阳、平谷、大兴、通州各成交1宗，其中华润置地以63.58亿竞得朝阳站交通枢纽南侧项目，该地块未来将打造北京首个万象城项目。</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965700" cy="3030220"/>
            <wp:effectExtent l="0" t="0" r="6350"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4965700" cy="303022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color w:val="000000"/>
          <w:sz w:val="28"/>
          <w:highlight w:val="none"/>
        </w:rPr>
      </w:pPr>
      <w:r>
        <w:rPr>
          <w:rFonts w:hint="eastAsia" w:ascii="Arial" w:hAnsi="Arial" w:eastAsia="仿宋_GB2312" w:cs="Arial"/>
          <w:color w:val="000000"/>
          <w:sz w:val="28"/>
          <w:highlight w:val="none"/>
        </w:rPr>
        <w:t>溢价率方面，自2018年以来北京商办用地多以底价成交，溢价率降至冰点。2023年一季度北京4宗商办地块均以底价成交，市场热度持续低位运行。受朝阳站交通枢纽南侧项目地块成交带动，一季度商办用地成交楼面价15169元/㎡，同比结构性增长39%。</w:t>
      </w:r>
    </w:p>
    <w:p>
      <w:pPr>
        <w:widowControl/>
        <w:spacing w:line="300" w:lineRule="auto"/>
        <w:jc w:val="center"/>
        <w:rPr>
          <w:rFonts w:ascii="Arial" w:hAnsi="Arial" w:eastAsia="仿宋_GB2312" w:cs="Arial"/>
          <w:color w:val="000000"/>
          <w:sz w:val="28"/>
          <w:highlight w:val="none"/>
        </w:rPr>
      </w:pPr>
      <w:r>
        <w:rPr>
          <w:highlight w:val="none"/>
        </w:rPr>
        <w:drawing>
          <wp:inline distT="0" distB="0" distL="0" distR="0">
            <wp:extent cx="4838065" cy="2891790"/>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838065" cy="2891790"/>
                    </a:xfrm>
                    <a:prstGeom prst="rect">
                      <a:avLst/>
                    </a:prstGeom>
                    <a:noFill/>
                    <a:ln>
                      <a:noFill/>
                    </a:ln>
                  </pic:spPr>
                </pic:pic>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2023年一季度商办用地具体成交信息如下：</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2135"/>
        <w:gridCol w:w="1066"/>
        <w:gridCol w:w="1067"/>
        <w:gridCol w:w="1068"/>
        <w:gridCol w:w="914"/>
        <w:gridCol w:w="1067"/>
        <w:gridCol w:w="1068"/>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blHeader/>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地块名称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详细规划</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建设用地面积（㎡）</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规划建筑面积（㎡）</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容积率</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成交日期</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成交价</w:t>
            </w:r>
          </w:p>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（万元）</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成交楼面价（元</w:t>
            </w:r>
            <w:r>
              <w:rPr>
                <w:rFonts w:ascii="Arial" w:hAnsi="Arial" w:eastAsia="仿宋" w:cs="Arial"/>
                <w:sz w:val="18"/>
                <w:szCs w:val="18"/>
                <w:highlight w:val="none"/>
              </w:rPr>
              <w:t>/</w:t>
            </w:r>
            <w:r>
              <w:rPr>
                <w:rFonts w:hint="eastAsia" w:ascii="Arial" w:hAnsi="Arial" w:eastAsia="仿宋" w:cs="Arial"/>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北京市朝阳区朝阳站交通枢纽南侧建设用地一体化项目0313-5597、5598、5599地块B4综合性商业金融服务业用地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B4综合性商业金融服务业用地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62796.8</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275500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4.39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2023-2-23</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635800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23078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北京大兴国际机场临空经济区DX12-0105-6103地块S5加油加气站（加氢站）用地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S5加油加气站（加氢站）用地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4800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2023-1-19</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5800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30208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北京市平谷区兴谷新消费综合体项目商业地块PG00-0106-0106地块B1商业用地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B1商业用地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46654.62</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88643.78</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2023-1-10</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28000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1986"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北京市石景山区中关村科技园石景山园北Ⅱ区西井地块土地一级开发项目1606-605地块B23研发设计用地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B23研发设计用地</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64012.4</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192037.19</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3</w:t>
            </w:r>
          </w:p>
        </w:tc>
        <w:tc>
          <w:tcPr>
            <w:tcW w:w="992"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2023-1-5</w:t>
            </w:r>
          </w:p>
        </w:tc>
        <w:tc>
          <w:tcPr>
            <w:tcW w:w="993"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177000</w:t>
            </w:r>
          </w:p>
        </w:tc>
        <w:tc>
          <w:tcPr>
            <w:tcW w:w="850" w:type="dxa"/>
            <w:tcBorders>
              <w:top w:val="single" w:color="auto" w:sz="4" w:space="0"/>
              <w:left w:val="single" w:color="auto" w:sz="4" w:space="0"/>
              <w:bottom w:val="single" w:color="auto" w:sz="4" w:space="0"/>
              <w:right w:val="single" w:color="auto" w:sz="4" w:space="0"/>
            </w:tcBorders>
            <w:noWrap/>
            <w:vAlign w:val="center"/>
          </w:tcPr>
          <w:p>
            <w:pPr>
              <w:widowControl/>
              <w:kinsoku w:val="0"/>
              <w:overflowPunct w:val="0"/>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9217</w:t>
            </w:r>
          </w:p>
        </w:tc>
      </w:tr>
    </w:tbl>
    <w:p>
      <w:pPr>
        <w:widowControl/>
        <w:adjustRightInd/>
        <w:spacing w:line="300" w:lineRule="auto"/>
        <w:rPr>
          <w:rFonts w:ascii="Arial" w:hAnsi="Arial" w:eastAsia="仿宋" w:cs="Arial"/>
          <w:color w:val="C00000"/>
          <w:sz w:val="18"/>
          <w:szCs w:val="18"/>
          <w:highlight w:val="none"/>
        </w:rPr>
      </w:pP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根据2023年1季度城市地价监测结果显示，北京市监测地价整体表现为上涨的趋势，增幅较去年4季度扩大。</w:t>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21年1季度至</w:t>
      </w:r>
      <w:r>
        <w:rPr>
          <w:rFonts w:ascii="Arial" w:hAnsi="Arial" w:eastAsia="仿宋"/>
          <w:b/>
          <w:bCs/>
          <w:szCs w:val="24"/>
          <w:highlight w:val="none"/>
        </w:rPr>
        <w:t>20</w:t>
      </w:r>
      <w:r>
        <w:rPr>
          <w:rFonts w:hint="eastAsia" w:ascii="Arial" w:hAnsi="Arial" w:eastAsia="仿宋"/>
          <w:b/>
          <w:bCs/>
          <w:szCs w:val="24"/>
          <w:highlight w:val="none"/>
        </w:rPr>
        <w:t>23年1季度北京市商办用地地价增长率走势图</w:t>
      </w:r>
    </w:p>
    <w:p>
      <w:pPr>
        <w:widowControl/>
        <w:spacing w:line="300" w:lineRule="auto"/>
        <w:jc w:val="center"/>
        <w:rPr>
          <w:highlight w:val="none"/>
        </w:rPr>
      </w:pPr>
      <w:r>
        <w:rPr>
          <w:highlight w:val="none"/>
        </w:rPr>
        <w:drawing>
          <wp:inline distT="0" distB="0" distL="0" distR="0">
            <wp:extent cx="5453380" cy="2717800"/>
            <wp:effectExtent l="4445" t="4445" r="9525" b="2095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widowControl/>
        <w:spacing w:line="300" w:lineRule="auto"/>
        <w:jc w:val="center"/>
        <w:rPr>
          <w:highlight w:val="none"/>
        </w:rPr>
      </w:pPr>
      <w:r>
        <w:rPr>
          <w:highlight w:val="none"/>
        </w:rPr>
        <w:drawing>
          <wp:inline distT="0" distB="0" distL="0" distR="0">
            <wp:extent cx="5454650" cy="2677160"/>
            <wp:effectExtent l="4445" t="4445" r="8255" b="23495"/>
            <wp:docPr id="14" name="图表 14" descr="标题: 北京"/>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（2）房地产开发</w:t>
      </w:r>
    </w:p>
    <w:p>
      <w:pPr>
        <w:widowControl/>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北京市统计局公布的数据，一季度北京市房地产开发企业房屋新开工面积为325.3万平方米，同比增长29.6%。其中，办公楼为17.7万平方米，下降22%；商业营业用房为11.1万平方米，下降37.2%。房屋竣工面积为178万平方米，同比增长12.6%。其中，办公楼为30.6万平方米，下降28%；商业营业用房为5.6万平方米，下降60.2%。新建商品房销售面积为218.6万平方米，同比增长13.5%。其中，办公楼为18.7万平方米，增长56.1%；商业营业用房为23.6万平方米，增长69.4%。</w:t>
      </w:r>
    </w:p>
    <w:p>
      <w:pPr>
        <w:widowControl/>
        <w:adjustRightInd/>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（3）房地产市场供需情况</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2023年一季度北京商办类市场累计成交50.11万㎡，同比增长153%，月均成交约16.7万㎡，成交规模创近五年同期新高。价格方面，一季度商办产品整体成交均价为15786元/㎡，同比结构性下降27%。供应方面，受季节性因素的影响，一季度北京商办市场供应量同比腰斩，商办类产品累计供应规模仅1.98万㎡，同比缩减72%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具体来看，一季度北京商业和办公市场成交均呈现出量升价跌的态势。其中，商业累计成交规模为28.24万㎡，同比增加152%，成交均价为15064元/㎡，同比结构性下跌35%；办公类产品共成交21.87万㎡，同比增加153%，成交均价20466元/㎡，同比下跌11%。</w:t>
      </w:r>
    </w:p>
    <w:p>
      <w:pPr>
        <w:widowControl/>
        <w:spacing w:line="300" w:lineRule="auto"/>
        <w:jc w:val="both"/>
        <w:rPr>
          <w:rFonts w:ascii="Arial" w:hAnsi="Arial" w:eastAsia="仿宋_GB2312" w:cs="Arial"/>
          <w:bCs/>
          <w:sz w:val="28"/>
          <w:szCs w:val="28"/>
          <w:highlight w:val="none"/>
        </w:rPr>
      </w:pPr>
      <w:r>
        <w:rPr>
          <w:highlight w:val="none"/>
        </w:rPr>
        <w:drawing>
          <wp:inline distT="0" distB="0" distL="0" distR="0">
            <wp:extent cx="5901055" cy="1722755"/>
            <wp:effectExtent l="0" t="0" r="4445" b="1079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901055" cy="1722755"/>
                    </a:xfrm>
                    <a:prstGeom prst="rect">
                      <a:avLst/>
                    </a:prstGeom>
                    <a:noFill/>
                    <a:ln>
                      <a:noFill/>
                    </a:ln>
                  </pic:spPr>
                </pic:pic>
              </a:graphicData>
            </a:graphic>
          </wp:inline>
        </w:drawing>
      </w:r>
    </w:p>
    <w:p>
      <w:pPr>
        <w:widowControl/>
        <w:adjustRightInd/>
        <w:spacing w:line="300" w:lineRule="auto"/>
        <w:rPr>
          <w:rFonts w:ascii="Arial" w:hAnsi="Arial" w:eastAsia="仿宋" w:cs="宋体"/>
          <w:sz w:val="18"/>
          <w:highlight w:val="none"/>
        </w:rPr>
      </w:pP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区域来看，2023年一季度石景山区商办类产品成交量相对较大，成交面积超15万㎡，占比达30%；门头沟、大兴和房山区成交规模均在5-10万㎡之间，占比均超10%，其他各区域成交规模占比均不足10%。从成交量变化来看，一季度昌平、丰台和大兴区商办类产品成交量同比不同程度的减少，其他各区域均有所增加。其中，怀柔、朝阳、房山、东城和石景山区受去年同期基数较低影响，成交同比涨幅显著。</w:t>
      </w:r>
    </w:p>
    <w:p>
      <w:pPr>
        <w:widowControl/>
        <w:spacing w:line="300" w:lineRule="auto"/>
        <w:jc w:val="both"/>
        <w:rPr>
          <w:rFonts w:ascii="Arial" w:hAnsi="Arial" w:eastAsia="仿宋_GB2312" w:cs="Arial"/>
          <w:bCs/>
          <w:color w:val="000000"/>
          <w:sz w:val="28"/>
          <w:szCs w:val="28"/>
          <w:highlight w:val="none"/>
        </w:rPr>
      </w:pPr>
      <w:r>
        <w:rPr>
          <w:highlight w:val="none"/>
        </w:rPr>
        <w:drawing>
          <wp:inline distT="0" distB="0" distL="0" distR="0">
            <wp:extent cx="5904865" cy="2601595"/>
            <wp:effectExtent l="0" t="0" r="63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904865" cy="2601595"/>
                    </a:xfrm>
                    <a:prstGeom prst="rect">
                      <a:avLst/>
                    </a:prstGeom>
                    <a:noFill/>
                    <a:ln>
                      <a:noFill/>
                    </a:ln>
                  </pic:spPr>
                </pic:pic>
              </a:graphicData>
            </a:graphic>
          </wp:inline>
        </w:drawing>
      </w: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23年1季度办公用房销售排名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844"/>
        <w:gridCol w:w="851"/>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北京丰台金茂广场</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45261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36115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41053</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运通博远阁</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39215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29612</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25797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首开龙湖天琅</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38351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29065</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17386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36342</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28621</w:t>
            </w:r>
          </w:p>
        </w:tc>
        <w:tc>
          <w:tcPr>
            <w:tcW w:w="1275" w:type="dxa"/>
            <w:tcBorders>
              <w:top w:val="single" w:color="404040" w:sz="2" w:space="0"/>
              <w:left w:val="double" w:color="auto" w:sz="4"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12479</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兴创国际中心</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34254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20817</w:t>
            </w:r>
          </w:p>
        </w:tc>
        <w:tc>
          <w:tcPr>
            <w:tcW w:w="2636" w:type="dxa"/>
            <w:gridSpan w:val="2"/>
            <w:vMerge w:val="restart"/>
            <w:tcBorders>
              <w:top w:val="single" w:color="404040" w:sz="2" w:space="0"/>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紫御长安</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34068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19059</w:t>
            </w:r>
          </w:p>
        </w:tc>
        <w:tc>
          <w:tcPr>
            <w:tcW w:w="2636" w:type="dxa"/>
            <w:gridSpan w:val="2"/>
            <w:vMerge w:val="continue"/>
            <w:tcBorders>
              <w:left w:val="double" w:color="auto" w:sz="4" w:space="0"/>
              <w:right w:val="single" w:color="404040" w:sz="2" w:space="0"/>
            </w:tcBorders>
            <w:noWrap/>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阳光城·檀悦</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32066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17612</w:t>
            </w:r>
          </w:p>
        </w:tc>
        <w:tc>
          <w:tcPr>
            <w:tcW w:w="2636" w:type="dxa"/>
            <w:gridSpan w:val="2"/>
            <w:vMerge w:val="continue"/>
            <w:tcBorders>
              <w:left w:val="double" w:color="auto" w:sz="4"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苹果园6号</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30390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17518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百嘉城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29863</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16978</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844"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门头沟新城</w:t>
            </w:r>
          </w:p>
        </w:tc>
        <w:tc>
          <w:tcPr>
            <w:tcW w:w="85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29795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平谷区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14037</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11511</w:t>
            </w:r>
          </w:p>
        </w:tc>
        <w:tc>
          <w:tcPr>
            <w:tcW w:w="2636" w:type="dxa"/>
            <w:gridSpan w:val="2"/>
            <w:vMerge w:val="continue"/>
            <w:tcBorders>
              <w:left w:val="double" w:color="auto" w:sz="4"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auto" w:sz="4" w:space="0"/>
            </w:tcBorders>
            <w:noWrap/>
            <w:vAlign w:val="center"/>
          </w:tcPr>
          <w:p>
            <w:pPr>
              <w:spacing w:line="300" w:lineRule="auto"/>
              <w:rPr>
                <w:rFonts w:ascii="Arial" w:hAnsi="Arial" w:eastAsia="仿宋" w:cs="宋体"/>
                <w:sz w:val="18"/>
                <w:highlight w:val="none"/>
              </w:rPr>
            </w:pPr>
            <w:r>
              <w:rPr>
                <w:rFonts w:hint="eastAsia" w:ascii="Arial" w:hAnsi="Arial" w:eastAsia="仿宋" w:cs="宋体"/>
                <w:sz w:val="18"/>
                <w:highlight w:val="none"/>
              </w:rPr>
              <w:t>4212</w:t>
            </w:r>
          </w:p>
        </w:tc>
        <w:tc>
          <w:tcPr>
            <w:tcW w:w="2636" w:type="dxa"/>
            <w:gridSpan w:val="2"/>
            <w:vMerge w:val="continue"/>
            <w:tcBorders>
              <w:left w:val="doub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overflowPunct w:val="0"/>
        <w:spacing w:line="300" w:lineRule="auto"/>
        <w:jc w:val="center"/>
        <w:rPr>
          <w:rFonts w:ascii="Arial" w:hAnsi="Arial" w:eastAsia="仿宋"/>
          <w:b/>
          <w:bCs/>
          <w:szCs w:val="24"/>
          <w:highlight w:val="none"/>
        </w:rPr>
      </w:pPr>
      <w:r>
        <w:rPr>
          <w:rFonts w:ascii="Arial" w:hAnsi="Arial" w:eastAsia="仿宋"/>
          <w:b/>
          <w:bCs/>
          <w:szCs w:val="24"/>
          <w:highlight w:val="none"/>
        </w:rPr>
        <w:t>20</w:t>
      </w:r>
      <w:r>
        <w:rPr>
          <w:rFonts w:hint="eastAsia" w:ascii="Arial" w:hAnsi="Arial" w:eastAsia="仿宋"/>
          <w:b/>
          <w:bCs/>
          <w:szCs w:val="24"/>
          <w:highlight w:val="none"/>
        </w:rPr>
        <w:t>23年1季度商业用房销售排名</w:t>
      </w:r>
    </w:p>
    <w:tbl>
      <w:tblPr>
        <w:tblStyle w:val="35"/>
        <w:tblW w:w="9300"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1702"/>
        <w:gridCol w:w="993"/>
        <w:gridCol w:w="1417"/>
        <w:gridCol w:w="1134"/>
        <w:gridCol w:w="1418"/>
        <w:gridCol w:w="1275"/>
        <w:gridCol w:w="136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4112" w:type="dxa"/>
            <w:gridSpan w:val="3"/>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项目排名（前十名）</w:t>
            </w:r>
          </w:p>
        </w:tc>
        <w:tc>
          <w:tcPr>
            <w:tcW w:w="2552" w:type="dxa"/>
            <w:gridSpan w:val="2"/>
            <w:tcBorders>
              <w:top w:val="single" w:color="404040" w:sz="2" w:space="0"/>
              <w:left w:val="doub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区域排名</w:t>
            </w:r>
          </w:p>
        </w:tc>
        <w:tc>
          <w:tcPr>
            <w:tcW w:w="2636" w:type="dxa"/>
            <w:gridSpan w:val="2"/>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b/>
                <w:sz w:val="18"/>
                <w:highlight w:val="none"/>
              </w:rPr>
            </w:pPr>
            <w:r>
              <w:rPr>
                <w:rFonts w:hint="eastAsia" w:ascii="Arial" w:hAnsi="Arial" w:eastAsia="仿宋" w:cs="宋体"/>
                <w:b/>
                <w:sz w:val="18"/>
                <w:highlight w:val="none"/>
              </w:rPr>
              <w:t>环线排名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blHeader/>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项目名称</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区县</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highlight w:val="none"/>
              </w:rPr>
              <w:fldChar w:fldCharType="begin"/>
            </w:r>
            <w:r>
              <w:rPr>
                <w:highlight w:val="none"/>
              </w:rPr>
              <w:instrText xml:space="preserve"> HYPERLINK "javascript:" </w:instrText>
            </w:r>
            <w:r>
              <w:rPr>
                <w:highlight w:val="none"/>
              </w:rPr>
              <w:fldChar w:fldCharType="separate"/>
            </w: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r>
              <w:rPr>
                <w:rFonts w:hint="eastAsia" w:ascii="Arial" w:hAnsi="Arial" w:eastAsia="仿宋" w:cs="宋体"/>
                <w:sz w:val="18"/>
                <w:highlight w:val="none"/>
              </w:rPr>
              <w:fldChar w:fldCharType="end"/>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区域名称</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环线名称</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成交均价（元</w:t>
            </w:r>
            <w:r>
              <w:rPr>
                <w:rFonts w:ascii="Arial" w:hAnsi="Arial" w:eastAsia="仿宋" w:cs="宋体"/>
                <w:sz w:val="18"/>
                <w:highlight w:val="none"/>
              </w:rPr>
              <w:t>/</w:t>
            </w:r>
            <w:r>
              <w:rPr>
                <w:rFonts w:hint="eastAsia" w:ascii="Arial" w:hAnsi="Arial" w:eastAsia="仿宋" w:cs="宋体"/>
                <w:sz w:val="18"/>
                <w:highlight w:val="none"/>
              </w:rPr>
              <w:t>㎡）</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长安太和</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119639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二环内</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133980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富力城</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东城区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46990</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二至三环间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80354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首开保利锦都家园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60661</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38521</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三至四环间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40766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鸿坤·花语墅</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51925</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顺义区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35449</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四至五环间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32565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中冶·德贤公馆</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50864</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西城区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30115</w:t>
            </w:r>
          </w:p>
        </w:tc>
        <w:tc>
          <w:tcPr>
            <w:tcW w:w="1275"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五至六环间</w:t>
            </w:r>
          </w:p>
        </w:tc>
        <w:tc>
          <w:tcPr>
            <w:tcW w:w="1361"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24796</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丽都壹号</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朝阳区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丰台区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26946</w:t>
            </w:r>
          </w:p>
        </w:tc>
        <w:tc>
          <w:tcPr>
            <w:tcW w:w="1275" w:type="dxa"/>
            <w:tcBorders>
              <w:top w:val="single" w:color="404040" w:sz="2" w:space="0"/>
              <w:left w:val="double" w:color="404040" w:sz="2" w:space="0"/>
              <w:bottom w:val="single" w:color="404040" w:sz="2" w:space="0"/>
              <w:right w:val="single" w:color="auto" w:sz="4"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六环外</w:t>
            </w:r>
          </w:p>
        </w:tc>
        <w:tc>
          <w:tcPr>
            <w:tcW w:w="1361" w:type="dxa"/>
            <w:tcBorders>
              <w:top w:val="single" w:color="404040" w:sz="2" w:space="0"/>
              <w:left w:val="single" w:color="auto" w:sz="4"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17270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华远·西山雅园</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50000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20080</w:t>
            </w:r>
          </w:p>
        </w:tc>
        <w:tc>
          <w:tcPr>
            <w:tcW w:w="2636" w:type="dxa"/>
            <w:gridSpan w:val="2"/>
            <w:vMerge w:val="restart"/>
            <w:tcBorders>
              <w:top w:val="single" w:color="404040" w:sz="2" w:space="0"/>
              <w:left w:val="doub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首开国风美唐</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48918</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海淀区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18100</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华远商业中心</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石景山区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45776</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门头沟区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17563</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1702"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中国铁建·花语金郡</w:t>
            </w:r>
          </w:p>
        </w:tc>
        <w:tc>
          <w:tcPr>
            <w:tcW w:w="993" w:type="dxa"/>
            <w:tcBorders>
              <w:top w:val="single" w:color="404040" w:sz="2" w:space="0"/>
              <w:left w:val="sing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大兴区</w:t>
            </w:r>
          </w:p>
        </w:tc>
        <w:tc>
          <w:tcPr>
            <w:tcW w:w="1417"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44710</w:t>
            </w: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怀柔区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14945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restart"/>
            <w:tcBorders>
              <w:top w:val="single" w:color="404040" w:sz="2" w:space="0"/>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昌平区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14886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通州区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12796</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房山区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11905</w:t>
            </w:r>
          </w:p>
        </w:tc>
        <w:tc>
          <w:tcPr>
            <w:tcW w:w="2636" w:type="dxa"/>
            <w:gridSpan w:val="2"/>
            <w:vMerge w:val="continue"/>
            <w:tcBorders>
              <w:left w:val="doub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jc w:val="center"/>
        </w:trPr>
        <w:tc>
          <w:tcPr>
            <w:tcW w:w="4112" w:type="dxa"/>
            <w:gridSpan w:val="3"/>
            <w:vMerge w:val="continue"/>
            <w:tcBorders>
              <w:left w:val="single" w:color="404040" w:sz="2" w:space="0"/>
              <w:right w:val="double" w:color="404040" w:sz="2" w:space="0"/>
            </w:tcBorders>
            <w:noWrap/>
            <w:vAlign w:val="bottom"/>
          </w:tcPr>
          <w:p>
            <w:pPr>
              <w:widowControl/>
              <w:adjustRightInd/>
              <w:spacing w:line="300" w:lineRule="auto"/>
              <w:rPr>
                <w:rFonts w:ascii="Arial" w:hAnsi="Arial" w:eastAsia="仿宋" w:cs="宋体"/>
                <w:sz w:val="18"/>
                <w:highlight w:val="none"/>
              </w:rPr>
            </w:pPr>
          </w:p>
        </w:tc>
        <w:tc>
          <w:tcPr>
            <w:tcW w:w="1134" w:type="dxa"/>
            <w:tcBorders>
              <w:top w:val="single" w:color="404040" w:sz="2" w:space="0"/>
              <w:left w:val="double" w:color="404040" w:sz="2" w:space="0"/>
              <w:bottom w:val="single" w:color="404040" w:sz="2" w:space="0"/>
              <w:right w:val="sing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密云区</w:t>
            </w:r>
          </w:p>
        </w:tc>
        <w:tc>
          <w:tcPr>
            <w:tcW w:w="1418" w:type="dxa"/>
            <w:tcBorders>
              <w:top w:val="single" w:color="404040" w:sz="2" w:space="0"/>
              <w:left w:val="single" w:color="404040" w:sz="2" w:space="0"/>
              <w:bottom w:val="single" w:color="404040" w:sz="2" w:space="0"/>
              <w:right w:val="double" w:color="404040" w:sz="2" w:space="0"/>
            </w:tcBorders>
            <w:noWrap/>
            <w:vAlign w:val="center"/>
          </w:tcPr>
          <w:p>
            <w:pPr>
              <w:widowControl/>
              <w:adjustRightInd/>
              <w:spacing w:line="300" w:lineRule="auto"/>
              <w:rPr>
                <w:rFonts w:ascii="Arial" w:hAnsi="Arial" w:eastAsia="仿宋" w:cs="宋体"/>
                <w:sz w:val="18"/>
                <w:highlight w:val="none"/>
              </w:rPr>
            </w:pPr>
            <w:r>
              <w:rPr>
                <w:rFonts w:hint="eastAsia" w:ascii="Arial" w:hAnsi="Arial" w:eastAsia="仿宋" w:cs="宋体"/>
                <w:sz w:val="18"/>
                <w:highlight w:val="none"/>
              </w:rPr>
              <w:t>9260</w:t>
            </w:r>
          </w:p>
        </w:tc>
        <w:tc>
          <w:tcPr>
            <w:tcW w:w="2636" w:type="dxa"/>
            <w:gridSpan w:val="2"/>
            <w:vMerge w:val="continue"/>
            <w:tcBorders>
              <w:left w:val="double" w:color="404040" w:sz="2" w:space="0"/>
              <w:bottom w:val="single" w:color="404040" w:sz="2" w:space="0"/>
              <w:right w:val="single" w:color="404040" w:sz="2" w:space="0"/>
            </w:tcBorders>
            <w:vAlign w:val="center"/>
          </w:tcPr>
          <w:p>
            <w:pPr>
              <w:widowControl/>
              <w:adjustRightInd/>
              <w:spacing w:line="300" w:lineRule="auto"/>
              <w:rPr>
                <w:rFonts w:ascii="Arial" w:hAnsi="Arial" w:eastAsia="仿宋" w:cs="宋体"/>
                <w:sz w:val="18"/>
                <w:highlight w:val="none"/>
              </w:rPr>
            </w:pPr>
          </w:p>
        </w:tc>
      </w:tr>
    </w:tbl>
    <w:p>
      <w:pPr>
        <w:widowControl/>
        <w:adjustRightInd/>
        <w:spacing w:line="300" w:lineRule="auto"/>
        <w:rPr>
          <w:rFonts w:ascii="Arial" w:hAnsi="Arial" w:eastAsia="仿宋" w:cs="宋体"/>
          <w:color w:val="C00000"/>
          <w:sz w:val="18"/>
          <w:highlight w:val="none"/>
        </w:rPr>
      </w:pP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租赁市场方面</w:t>
      </w:r>
      <w:r>
        <w:rPr>
          <w:rFonts w:hint="eastAsia" w:ascii="Arial" w:hAnsi="Arial" w:eastAsia="仿宋_GB2312" w:cs="Arial"/>
          <w:bCs/>
          <w:color w:val="000000"/>
          <w:sz w:val="28"/>
          <w:szCs w:val="28"/>
          <w:highlight w:val="none"/>
        </w:rPr>
        <w:t>，随着疫情全面放开，一季度北京写字楼市场活跃度明显上升，但租户选择仍较为谨慎，新租及搬迁、扩张需求未完全释放，虽带看量提升，但整体需求表现较为疲软，全市空置率环比微升。全市及五大核心商圈甲级写字楼租金水平分别环比微降，整体租金降幅较上季度明显收窄。金融业、高科技行业及专业服务业仍是北京甲级写字楼市场租赁成交的主力。北京作为全国的科技创新中心，同时又是全国数字经济发展的先导区和示范区，将持续吸引高科技企业落户，从而为写字楼租赁市场带来更多的租赁需求。</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各大购物中心的客流明显反弹，北京市政府也在多个平台发放多类性消费券，以刺激线下实体消费需求。得益于零售消费的明显增长，品牌租赁需求回升。但在疫情长尾效应影响下，全市优质购物中心平均空置率微升，平均租金水平也出现略微下滑。</w:t>
      </w:r>
    </w:p>
    <w:p>
      <w:pPr>
        <w:widowControl/>
        <w:spacing w:line="300" w:lineRule="auto"/>
        <w:ind w:firstLine="562" w:firstLineChars="200"/>
        <w:jc w:val="both"/>
        <w:rPr>
          <w:rFonts w:ascii="Arial" w:hAnsi="Arial" w:eastAsia="仿宋_GB2312" w:cs="Arial"/>
          <w:bCs/>
          <w:color w:val="000000"/>
          <w:sz w:val="28"/>
          <w:szCs w:val="28"/>
          <w:highlight w:val="none"/>
        </w:rPr>
      </w:pPr>
      <w:r>
        <w:rPr>
          <w:rFonts w:hint="eastAsia" w:ascii="Arial" w:hAnsi="Arial" w:eastAsia="仿宋_GB2312" w:cs="Arial"/>
          <w:b/>
          <w:bCs/>
          <w:color w:val="000000"/>
          <w:sz w:val="28"/>
          <w:szCs w:val="28"/>
          <w:highlight w:val="none"/>
          <w:u w:val="single"/>
        </w:rPr>
        <w:t>大宗交易市场</w:t>
      </w:r>
      <w:r>
        <w:rPr>
          <w:rFonts w:hint="eastAsia" w:ascii="Arial" w:hAnsi="Arial" w:eastAsia="仿宋_GB2312" w:cs="Arial"/>
          <w:bCs/>
          <w:color w:val="000000"/>
          <w:sz w:val="28"/>
          <w:szCs w:val="28"/>
          <w:highlight w:val="none"/>
        </w:rPr>
        <w:t xml:space="preserve">，第一季度北京大宗交易市场活跃度上升。从成交物业来看，境外投资人并未因短期市场波动而影响其对北京核心资产的长期看好，险资对于不动产资产配置的关注日益凸显，而自用型买家则持续锁定非核心区域写字楼或商务园区的物业。结合去年北京市大宗物业市场的表现，写字楼及产业园仍旧是是较为活跃的资产类别。3月24日，国家发改委公布文件，进一步拓宽了REITs发行的资产范围，将百货商场、购物中心纳入可发行范畴。同时，因具备长期稳定的现金流以及价值增值的潜力，活跃于市场中的投资人持续看好具有现金流的商业地产投资机会，如商办、长租公寓、产业园区等物业。 </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（4）可预见未来</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本季度北京写字楼市场活跃度明显上升，预计2023年北京写字楼市场将迎来一波供应的小高峰，高科技行业需求有望回升。但从需求端来看，整体市场的回暖仍需时间。由于消费者的消费意愿和信心还在缓慢恢复中，2023年下半年预计会出现较为明显的消费回暖成效。随着消费市场的逐渐回暖，北京零售市场提质升级的速度也将逐渐加快。</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3.产业政策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（1）全国政策</w:t>
      </w:r>
    </w:p>
    <w:p>
      <w:pPr>
        <w:overflowPunct w:val="0"/>
        <w:spacing w:line="300" w:lineRule="auto"/>
        <w:ind w:firstLine="700" w:firstLineChars="250"/>
        <w:jc w:val="both"/>
        <w:textAlignment w:val="auto"/>
        <w:rPr>
          <w:rFonts w:ascii="Arial" w:hAnsi="Arial" w:eastAsia="仿宋_GB2312"/>
          <w:bCs/>
          <w:sz w:val="28"/>
          <w:szCs w:val="28"/>
          <w:highlight w:val="none"/>
        </w:rPr>
      </w:pPr>
      <w:r>
        <w:rPr>
          <w:rFonts w:hint="eastAsia" w:ascii="Arial" w:hAnsi="Arial" w:eastAsia="仿宋_GB2312"/>
          <w:bCs/>
          <w:sz w:val="28"/>
          <w:szCs w:val="28"/>
          <w:highlight w:val="none"/>
        </w:rPr>
        <w:t>2021年3月26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3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房抵经营贷等金融产品的咨询和服务，不得诱导购房人违规使用经营用途资金。</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2022年1月20日，全国住房和城乡建设工作会议在北京以视频形式召开。会议强调，2022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2023年3月24日，为贯彻落实党中央、国务院决策部署，按照《国务院办公厅关于进一步盘活存量资产扩大有效投资的意见》（国办发〔2022〕19号）、《中国证监会、国家发展改革委关于推进基础设施领域不动产投资信托基金（REITs）试点相关工作的通知》（证监发〔2020〕40号）等要求，进一步提升基础设施REITs项目申报推荐的质量和效率，国家发展改革委印发了《关于规范高效做好基础设施领域不动产投资信托基金（REITs）项目申报推荐工作的通知》（发改投资〔2023〕236号，以下简称《通知》）。为规范高效做好基础设施REITs申报推荐工作，《通知》从六方面提出了具体工作要求。一是认真做好项目前期培育。二是合理把握项目发行条件。三是切实提高申报推荐效率。四是充分发挥专家和专业机构作用。五是用好回收资金促进有效投资。六是切实加强运营管理。《通知》对贯彻落实国家“十四五”规划《纲要》和国办发〔2022〕19号文精神，促进基础设施REITs市场平稳健康发展，更好盘活存量资产、扩大有效投资具有重要意义。</w:t>
      </w:r>
    </w:p>
    <w:p>
      <w:pPr>
        <w:widowControl/>
        <w:spacing w:line="300" w:lineRule="auto"/>
        <w:ind w:firstLine="560" w:firstLineChars="200"/>
        <w:jc w:val="both"/>
        <w:rPr>
          <w:rFonts w:ascii="Arial" w:hAnsi="Arial" w:eastAsia="仿宋_GB2312"/>
          <w:bCs/>
          <w:color w:val="000000"/>
          <w:sz w:val="28"/>
          <w:szCs w:val="28"/>
          <w:highlight w:val="none"/>
        </w:rPr>
      </w:pPr>
      <w:r>
        <w:rPr>
          <w:rFonts w:hint="eastAsia" w:ascii="Arial" w:hAnsi="Arial" w:eastAsia="仿宋_GB2312"/>
          <w:bCs/>
          <w:color w:val="000000"/>
          <w:sz w:val="28"/>
          <w:szCs w:val="28"/>
          <w:highlight w:val="none"/>
        </w:rPr>
        <w:t>（2）地方政策</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2021年2月10日，北京银保监局、人行营业管理部发布《关于加强个人经营性贷款管理 防范信贷资金违规流入房地产市场的通知》。要求严格实施贷前调查，加强客户资质和信用状况审核，关注客户获得经营性贷款借款人资格的时间，审慎发放仅以企业实际控制人身份申请的个人经营性贷款，审慎向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2021年9月8日，北京市人民政府关于印发《北京市“十四五”时期优化营商环境规划》，《规划》提出了“十四五”时期北京市优化营商环境“1+4+5”的目标体系：“1”是全面建成与首都功能发展需求相一致的国际一流营商环境高地；“4”是打造“北京效率”“北京服务”“北京标准”“北京诚信”四大品牌；“5”是实施市场、法治、投资贸易、政务服务、人文五大环境领跑战略。《规划》是北京市首次编制5年营商环境专项规划，在各省、自治区和直辖市中也是首例，充分展现了北京市全力以赴打造一流营商环境的决心和行动。</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6月4日，北京市人民政府印发《北京市统筹疫情防控和稳定经济增长的实施方案》，要求出台存量国有建设用地盘活利用、功能混合等规划土地激励政策。要求危旧楼房成套化改造项目增加规模须符合建筑规模管控。推动企业将存量商办用房转换为配套重点功能区和产业园区的人才租赁房、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2022年9月30日，北京市人民政府印发《关于存量国有建设用地盘活利用的指导意见（试行）》，创新提出8项支持政策，明确在重点功能区及现状轨道站点周边，鼓励利用现状建筑改建保障性租赁住房。</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2022年11月30日，《北京市商业消费空间布局专项规划（2022年-2035年）》正式发布，北京市将构建四级商业消费空间结构，服务市民公众多层次消费需求。在构建以国内大循环为主体、国内国际双循环相互促进新发展格局下，北京将在2025年和2035年分批次全面建成国际消费中心城市，让北京成为“中国潮”“国际范”“烟火气”共融共生的国际消费中心示范城市、国际一流的和谐宜居之都。</w:t>
      </w:r>
    </w:p>
    <w:p>
      <w:pPr>
        <w:widowControl/>
        <w:spacing w:line="300" w:lineRule="auto"/>
        <w:ind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4.</w:t>
      </w:r>
      <w:r>
        <w:rPr>
          <w:rFonts w:hint="eastAsia" w:ascii="Arial" w:hAnsi="Arial" w:eastAsia="仿宋_GB2312"/>
          <w:bCs/>
          <w:color w:val="000000"/>
          <w:sz w:val="28"/>
          <w:szCs w:val="28"/>
          <w:highlight w:val="none"/>
        </w:rPr>
        <w:t>城市规划与发展目标</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1）2021年1月27日，北京市第十五届人民代表大会第四次会议批准了《北京市国民经济和社会发展第十四个五年规划和二〇三五年远景目标纲要》（以下简称《纲要》）。《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疏解非首都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《纲要》提出，建设高品质宜居城市，优化城市空间功能布局，加快推进城市更新。</w:t>
      </w:r>
      <w:r>
        <w:rPr>
          <w:rFonts w:ascii="Arial" w:hAnsi="Arial" w:eastAsia="仿宋_GB2312"/>
          <w:bCs/>
          <w:sz w:val="28"/>
          <w:szCs w:val="28"/>
          <w:highlight w:val="none"/>
        </w:rPr>
        <w:t>大力推进老旧小区改造</w:t>
      </w:r>
      <w:r>
        <w:rPr>
          <w:rFonts w:hint="eastAsia" w:ascii="Arial" w:hAnsi="Arial" w:eastAsia="仿宋_GB2312"/>
          <w:bCs/>
          <w:sz w:val="28"/>
          <w:szCs w:val="28"/>
          <w:highlight w:val="none"/>
        </w:rPr>
        <w:t>，</w:t>
      </w:r>
      <w:r>
        <w:rPr>
          <w:rFonts w:ascii="Arial" w:hAnsi="Arial" w:eastAsia="仿宋_GB2312"/>
          <w:bCs/>
          <w:sz w:val="28"/>
          <w:szCs w:val="28"/>
          <w:highlight w:val="none"/>
        </w:rPr>
        <w:t>促进存量产业空间活力复兴。研究推进区域整体转型开发、节余土地分割转让等机制，鼓励市场主体利用老旧厂房发展科技研发、商务服务、文化创意等产业</w:t>
      </w:r>
      <w:r>
        <w:rPr>
          <w:rFonts w:hint="eastAsia" w:ascii="Arial" w:hAnsi="Arial" w:eastAsia="仿宋_GB2312"/>
          <w:bCs/>
          <w:sz w:val="28"/>
          <w:szCs w:val="28"/>
          <w:highlight w:val="none"/>
        </w:rPr>
        <w:t xml:space="preserve"> </w:t>
      </w:r>
    </w:p>
    <w:p>
      <w:pPr>
        <w:spacing w:line="300" w:lineRule="auto"/>
        <w:ind w:right="205" w:firstLine="560" w:firstLineChars="200"/>
        <w:jc w:val="both"/>
        <w:rPr>
          <w:rFonts w:ascii="Arial" w:hAnsi="Arial" w:eastAsia="仿宋_GB2312"/>
          <w:bCs/>
          <w:sz w:val="28"/>
          <w:szCs w:val="28"/>
          <w:highlight w:val="none"/>
        </w:rPr>
      </w:pPr>
      <w:r>
        <w:rPr>
          <w:rFonts w:hint="eastAsia" w:ascii="Arial" w:hAnsi="Arial" w:eastAsia="仿宋_GB2312"/>
          <w:bCs/>
          <w:sz w:val="28"/>
          <w:szCs w:val="28"/>
          <w:highlight w:val="none"/>
        </w:rPr>
        <w:t>完善多层次住房保障体系，加大住房有效供给，优化房地产市场管理和服务。</w:t>
      </w:r>
      <w:r>
        <w:rPr>
          <w:rFonts w:ascii="Arial" w:hAnsi="Arial" w:eastAsia="仿宋_GB2312"/>
          <w:bCs/>
          <w:sz w:val="28"/>
          <w:szCs w:val="28"/>
          <w:highlight w:val="none"/>
        </w:rPr>
        <w:t>坚持</w:t>
      </w:r>
      <w:r>
        <w:rPr>
          <w:rFonts w:hint="eastAsia" w:ascii="Arial" w:hAnsi="Arial" w:eastAsia="仿宋_GB2312"/>
          <w:bCs/>
          <w:sz w:val="28"/>
          <w:szCs w:val="28"/>
          <w:highlight w:val="none"/>
        </w:rPr>
        <w:t>“</w:t>
      </w:r>
      <w:r>
        <w:rPr>
          <w:rFonts w:ascii="Arial" w:hAnsi="Arial" w:eastAsia="仿宋_GB2312"/>
          <w:bCs/>
          <w:sz w:val="28"/>
          <w:szCs w:val="28"/>
          <w:highlight w:val="none"/>
        </w:rPr>
        <w:t>房住不炒</w:t>
      </w:r>
      <w:r>
        <w:rPr>
          <w:rFonts w:hint="eastAsia" w:ascii="Arial" w:hAnsi="Arial" w:eastAsia="仿宋_GB2312"/>
          <w:bCs/>
          <w:sz w:val="28"/>
          <w:szCs w:val="28"/>
          <w:highlight w:val="none"/>
        </w:rPr>
        <w:t>”</w:t>
      </w:r>
      <w:r>
        <w:rPr>
          <w:rFonts w:ascii="Arial" w:hAnsi="Arial" w:eastAsia="仿宋_GB2312"/>
          <w:bCs/>
          <w:sz w:val="28"/>
          <w:szCs w:val="28"/>
          <w:highlight w:val="none"/>
        </w:rPr>
        <w:t>，完善房地产市场平稳健康发展长效机制，构建与城市功能定位和发展需求相适应的住房体系，努力实现住有所居、居有所安。加大住房有效供给</w:t>
      </w:r>
      <w:r>
        <w:rPr>
          <w:rFonts w:hint="eastAsia" w:ascii="Arial" w:hAnsi="Arial" w:eastAsia="仿宋_GB2312"/>
          <w:bCs/>
          <w:sz w:val="28"/>
          <w:szCs w:val="28"/>
          <w:highlight w:val="none"/>
        </w:rPr>
        <w:t>，</w:t>
      </w:r>
      <w:r>
        <w:rPr>
          <w:rFonts w:ascii="Arial" w:hAnsi="Arial" w:eastAsia="仿宋_GB2312"/>
          <w:bCs/>
          <w:sz w:val="28"/>
          <w:szCs w:val="28"/>
          <w:highlight w:val="none"/>
        </w:rPr>
        <w:t>统筹住房保障、职住平衡和区域协调发展，提升住房供给体系的适配性。坚持保障和改善民生优先导向，增加住房供应，规划期内新增各类居住用地5000公顷、供应各类住房100 万套左右，基本实现总体供需平衡。加大多层次保障性租赁住房供给， 针对中低收入家庭自住需求，大力筹集建设各类租赁型住房，提高公共租赁住房备案家庭保障率，新增供应套数占比不低于 40%。新增集体土地租赁住房等政策性租赁住房供地占比不低于供应总量的 15%，鼓励存量低效商业、办公、厂房等建筑改造为租赁型职工集体宿舍或公寓。加快高层次人才公租房和国际人才公寓建设。确保住房交易市场平稳有序，规范发展住房租赁市场</w:t>
      </w:r>
      <w:r>
        <w:rPr>
          <w:rFonts w:hint="eastAsia" w:ascii="Arial" w:hAnsi="Arial" w:eastAsia="仿宋_GB2312"/>
          <w:bCs/>
          <w:sz w:val="28"/>
          <w:szCs w:val="28"/>
          <w:highlight w:val="none"/>
        </w:rPr>
        <w:t>，</w:t>
      </w:r>
      <w:r>
        <w:rPr>
          <w:rFonts w:ascii="Arial" w:hAnsi="Arial" w:eastAsia="仿宋_GB2312"/>
          <w:bCs/>
          <w:sz w:val="28"/>
          <w:szCs w:val="28"/>
          <w:highlight w:val="none"/>
        </w:rPr>
        <w:t>保持调控政策连 续性稳定性，坚决遏制投机炒房，按照</w:t>
      </w:r>
      <w:r>
        <w:rPr>
          <w:rFonts w:hint="eastAsia" w:ascii="Arial" w:hAnsi="Arial" w:eastAsia="仿宋_GB2312"/>
          <w:bCs/>
          <w:sz w:val="28"/>
          <w:szCs w:val="28"/>
          <w:highlight w:val="none"/>
        </w:rPr>
        <w:t>“</w:t>
      </w:r>
      <w:r>
        <w:rPr>
          <w:rFonts w:ascii="Arial" w:hAnsi="Arial" w:eastAsia="仿宋_GB2312"/>
          <w:bCs/>
          <w:sz w:val="28"/>
          <w:szCs w:val="28"/>
          <w:highlight w:val="none"/>
        </w:rPr>
        <w:t>全市统筹、因区施策</w:t>
      </w:r>
      <w:r>
        <w:rPr>
          <w:rFonts w:hint="eastAsia" w:ascii="Arial" w:hAnsi="Arial" w:eastAsia="仿宋_GB2312"/>
          <w:bCs/>
          <w:sz w:val="28"/>
          <w:szCs w:val="28"/>
          <w:highlight w:val="none"/>
        </w:rPr>
        <w:t>”</w:t>
      </w:r>
      <w:r>
        <w:rPr>
          <w:rFonts w:ascii="Arial" w:hAnsi="Arial" w:eastAsia="仿宋_GB2312"/>
          <w:bCs/>
          <w:sz w:val="28"/>
          <w:szCs w:val="28"/>
          <w:highlight w:val="none"/>
        </w:rPr>
        <w:t>原则，逐步完善各区域调控长效机制，合理设定调控目标，全面落实稳地价、稳房价、稳预期。</w:t>
      </w:r>
    </w:p>
    <w:p>
      <w:pPr>
        <w:spacing w:line="300" w:lineRule="auto"/>
        <w:ind w:right="205" w:firstLine="560" w:firstLineChars="200"/>
        <w:jc w:val="both"/>
        <w:rPr>
          <w:rFonts w:ascii="Arial" w:hAnsi="Arial" w:eastAsia="仿宋_GB2312"/>
          <w:bCs/>
          <w:color w:val="000000"/>
          <w:sz w:val="28"/>
          <w:szCs w:val="28"/>
          <w:highlight w:val="none"/>
        </w:rPr>
      </w:pPr>
      <w:r>
        <w:rPr>
          <w:rFonts w:hint="eastAsia" w:ascii="Arial" w:hAnsi="Arial" w:eastAsia="仿宋_GB2312"/>
          <w:bCs/>
          <w:sz w:val="28"/>
          <w:szCs w:val="28"/>
          <w:highlight w:val="none"/>
        </w:rPr>
        <w:t>（2）2022年5月18日，北京市印发《北京市城市更新专项规划（“十四五”时期）》（以下简称‘《专项规划》’），严控大拆大建，采取小规模、渐进式、可持续的更新，依托新版《北京城市总规》确定的“一核一主一副、两轴多点一区”的城市空间结构，分圈层差异化明确更新方向，将首都功能核心区和城市副中心作为更新重点；划定近期178个城市更新重点街区，到2025年，将完成全市2000年底前建成需改造的1.6亿平方米老旧小区改造任务。</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bCs/>
          <w:color w:val="000000"/>
          <w:sz w:val="28"/>
          <w:szCs w:val="28"/>
          <w:highlight w:val="none"/>
        </w:rPr>
        <w:t>《专项规划》要求健全完善多主体供给、多渠道保障、租购并举的住房制度和住房体系，增加保障性住房与共有产权住房供给；明确城市更新应坚持“留改拆”并举、以保留利用提升为主；要全面推进老旧小区更新改造；将老旧楼宇纳入城市更新范围；要塑造“两轴”沿线公共空间。</w:t>
      </w:r>
    </w:p>
    <w:p>
      <w:pPr>
        <w:widowControl/>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5.城市经济发展运行状况</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根据北京市统计局地区生产总值统一核算结果，2023年1季度北京市实现地区生产总值9947.7亿元，按不变价格计算，同比增长3.1%，高于上年全年增速2.4个百分点。分产业看，第一产业实现增加值14.7亿元，增长2.3%；第二产业实现增加值1228.1亿元，下降6.0%；第三产业实现增加值8705.0亿元，增长4.6%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（1）农业生产保持增势，休闲农业和乡村旅游回暖</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实现农林牧渔业总产值37.8亿元，按可比价格计算，同比增长2.1%。其中，实现农业（种植业）产值14.5亿元，增长5.7%，瓜果类产量增长5.9%；在造林管护带动下，实现林业产值12.3亿元，增长13.6%。休闲农业和乡村旅游回暖，接待游客335.6万人次，同比增长4.4%，实现收入7.0亿元，增长11.9%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（2）工业生产降幅收窄，部分高端领域增势较好</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规模以上工业增加值按可比价格计算，同比下降7.4%（剔除新冠疫苗生产因素增长1.8%），降幅较上年全年收窄9.3个百分点。重点行业中，电力、热力生产和供应业增长11.5%，汽车制造业增长2.0%，计算机、通信和其他电子设备制造业下降8.9%，医药制造业下降43.7%（剔除新冠疫苗生产因素下降3.0%）。装备制造领域中，专用设备制造业，铁路、船舶、航空航天和其他运输设备制造业，电气机械和器材制造业，仪器仪表制造业分别增长25.7%、21.1%、10.3%和5.4%。部分高端或新兴领域产品生产较好，新能源汽车、环境污染防治专用设备、风力发电机组、工业自动调节仪表与控制系统产量分别增长1.2倍、44.0%、36.4%和19.0%。</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（3）服务业总体向好，优势行业、接触性服务业共同带动</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第三产业增加值按不变价格计算，同比增长4.6%，比上年全年提高1.2个百分点。其中，信息传输、软件和信息技术服务业实现增加值2134.7亿元，增长12.0%；金融业实现增加值2070.2亿元，增长6.1%；交通运输、仓储和邮政业实现增加值204.7亿元，增长6.9%；文化、体育和娱乐业实现增加值196.6亿元，增长3.6%；住宿和餐饮业实现增加值101.7亿元，增长11.6%。</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（4）固定资产投资较快增长，高技术产业投资显现活力</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固定资产投资（不含农户）同比增长9.6%，比上年全年提高6.0个百分点。分领域看，基础设施投资下降1.1%，制造业投资增长26.0%，房地产开发投资增长9.8%。分产业看，第一产业投资增长0.3%，第二产业投资增长13.0%，第三产业投资增长9.2%。高技术产业投资显现活力，高技术制造业投资增长22.0%，其中，汽车制造业，计算机、通信和其他电子设备制造业，医药制造业分别增长62.7%、21.8%和12.1%；高技术服务业投资增长42.6%，其中，科学研究和技术服务业、租赁和商务服务业分别增长1.6倍和18.8%。</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一季度，北京市房屋施工面积</w:t>
      </w:r>
      <w:r>
        <w:rPr>
          <w:rFonts w:hint="eastAsia" w:ascii="Arial" w:hAnsi="Arial" w:eastAsia="仿宋_GB2312" w:cs="Arial"/>
          <w:bCs/>
          <w:color w:val="000000"/>
          <w:sz w:val="28"/>
          <w:szCs w:val="28"/>
          <w:highlight w:val="none"/>
          <w:lang w:eastAsia="zh-CN"/>
        </w:rPr>
        <w:t>13231</w:t>
      </w:r>
      <w:r>
        <w:rPr>
          <w:rFonts w:hint="eastAsia" w:ascii="Arial" w:hAnsi="Arial" w:eastAsia="仿宋_GB2312" w:cs="Arial"/>
          <w:bCs/>
          <w:color w:val="000000"/>
          <w:sz w:val="28"/>
          <w:szCs w:val="28"/>
          <w:highlight w:val="none"/>
        </w:rPr>
        <w:t>.1万平方米，同比下降1.1%，其中住宅施工面积5758.3万平方米，下降0.4%。全市商品房销售面积218.6万平方米，同比增长13.5%，其中住宅销售面积147.3万平方米，增长7.1%。</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（5）市场消费持续恢复，升级类商品增长较快</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市场总消费额同比增长2.8%。其中，服务性消费额增长5.7%；实现社会消费品零售总额3558.0亿元，下降0.7%，其中3月份增长7.5%。社会消费品零售总额中，按消费形态分，商品零售3246.4亿元，下降1.9%，餐饮收入311.6亿元，增长13.5%。按商品类别分，限额以上批发和零售业中，与升级类消费相关的金银珠宝类、体育娱乐用品类、化妆品类商品零售额分别增长26.9%、21.1%和8.1%，汽车类商品零售额下降1.0%，其中新能源汽车增长36.9%。</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（6）居民消费价格温和上涨，工业生产者出厂价格同比下降</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消费价格同比上涨1.3%。其中，消费品价格上涨1.6%，服务价格上涨1.0%。八大类商品和服务项目中，食品烟酒类价格上涨3.1%，生活用品及服务类价格上涨2.9%，其他用品及服务类价格上涨2.4%，教育文化娱乐类价格上涨0.8%，交通通信类价格上涨0.7%，居住类、医疗保健类价格均上涨0.5%，衣着类价格下降0.2%。</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一季度，北京市工业生产者出厂价格同比下降0.6%，购进价格同比上涨0.4%。3月份，工业生产者出厂价格同比下降0.8%，环比上涨0.1%；购进价格同比下降0.1%，环比下降0.5%。</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（7）就业形势总体稳定，居民收入稳步增加</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一季度，北京市城镇调查失业率均值为4.6%；3月份，全市城镇调查失业率为4.5%，环比回落0.3个百分点。</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可支配收入21367元，同比增长3.6%，比上年全年提高0.4个百分点。其中，工资性收入增长5.0%，经营净收入增长3.8%，转移净收入增长3.2%，财产净收入下降1.9%。城镇居民人均可支配收入23047元，增长3.5%；农村居民人均可支配收入10551元，增长5.3%。</w:t>
      </w:r>
    </w:p>
    <w:p>
      <w:pPr>
        <w:overflowPunct w:val="0"/>
        <w:spacing w:line="300" w:lineRule="auto"/>
        <w:ind w:firstLine="560" w:firstLineChars="200"/>
        <w:jc w:val="both"/>
        <w:rPr>
          <w:rFonts w:ascii="Arial" w:hAnsi="Arial" w:eastAsia="仿宋_GB2312" w:cs="Arial"/>
          <w:bCs/>
          <w:color w:val="000000"/>
          <w:sz w:val="28"/>
          <w:szCs w:val="28"/>
          <w:highlight w:val="none"/>
        </w:rPr>
      </w:pPr>
      <w:r>
        <w:rPr>
          <w:rFonts w:hint="eastAsia" w:ascii="Arial" w:hAnsi="Arial" w:eastAsia="仿宋_GB2312" w:cs="Arial"/>
          <w:bCs/>
          <w:color w:val="000000"/>
          <w:sz w:val="28"/>
          <w:szCs w:val="28"/>
          <w:highlight w:val="none"/>
        </w:rPr>
        <w:t>一季度，北京市居民人均消费支出12045元，同比增长6.3%,其中，城镇居民人均消费支出12875元，增长6.4%；农村居民人均消费支出6706元，增长5.2%。</w:t>
      </w:r>
    </w:p>
    <w:p>
      <w:pPr>
        <w:widowControl/>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color w:val="000000"/>
          <w:sz w:val="28"/>
          <w:szCs w:val="28"/>
          <w:highlight w:val="none"/>
        </w:rPr>
        <w:t>总的来看，一季度北京市经济呈现回升向好态势，社会民生保障有力，发展质量继续提升。</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（二）区域因素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1.区域概况</w:t>
      </w:r>
    </w:p>
    <w:p>
      <w:pPr>
        <w:spacing w:line="300" w:lineRule="auto"/>
        <w:ind w:firstLine="560" w:firstLineChars="200"/>
        <w:jc w:val="both"/>
        <w:rPr>
          <w:rFonts w:ascii="Arial" w:hAnsi="Arial" w:eastAsia="仿宋_GB2312" w:cs="Arial"/>
          <w:bCs/>
          <w:sz w:val="28"/>
          <w:szCs w:val="28"/>
          <w:highlight w:val="none"/>
        </w:rPr>
      </w:pPr>
      <w:r>
        <w:rPr>
          <w:rFonts w:ascii="Arial" w:hAnsi="Arial" w:eastAsia="仿宋_GB2312" w:cs="Arial"/>
          <w:bCs/>
          <w:sz w:val="28"/>
          <w:szCs w:val="28"/>
          <w:highlight w:val="none"/>
        </w:rPr>
        <w:t>估价对象位于北京市密云区西门外大街，密云区位于北京市东北部，是首都重要饮用水源基地和生态涵养区。密云区西起东经116°39 ′33"，东至117°30 ′25 "，东西长69公里；南起北纬40°13 ′ 7"，北至北纬40°47 ′57"，南北宽约64公里。东、北部分别与河北省承德市的兴隆县、承德县、滦平县交界，西、南部与怀柔区、顺义区、平谷区接壤。</w:t>
      </w:r>
      <w:r>
        <w:rPr>
          <w:rFonts w:hint="eastAsia" w:ascii="Arial" w:hAnsi="Arial" w:eastAsia="仿宋_GB2312" w:cs="Arial"/>
          <w:bCs/>
          <w:sz w:val="28"/>
          <w:szCs w:val="28"/>
          <w:highlight w:val="none"/>
        </w:rPr>
        <w:t>密云</w:t>
      </w:r>
      <w:r>
        <w:rPr>
          <w:rFonts w:ascii="Arial" w:hAnsi="Arial" w:eastAsia="仿宋_GB2312" w:cs="Arial"/>
          <w:bCs/>
          <w:sz w:val="28"/>
          <w:szCs w:val="28"/>
          <w:highlight w:val="none"/>
        </w:rPr>
        <w:t>区总面积2229.45平方公里，是北京市面积最大的区</w:t>
      </w:r>
      <w:r>
        <w:rPr>
          <w:rFonts w:hint="eastAsia" w:ascii="Arial" w:hAnsi="Arial" w:eastAsia="仿宋_GB2312" w:cs="Arial"/>
          <w:bCs/>
          <w:sz w:val="28"/>
          <w:szCs w:val="28"/>
          <w:highlight w:val="none"/>
        </w:rPr>
        <w:t>。密云区距北京市核心区约60公里，距首都国际机场35公里，距天津塘沽港160公里，主要交通线路有大广（京承）高速、京沈路、顺密路、密关路、密兴路等公路及市郊铁路S5线和通密线。</w:t>
      </w:r>
    </w:p>
    <w:p>
      <w:pPr>
        <w:spacing w:line="300" w:lineRule="auto"/>
        <w:ind w:firstLine="560" w:firstLineChars="200"/>
        <w:jc w:val="both"/>
        <w:rPr>
          <w:rFonts w:ascii="Arial" w:hAnsi="Arial" w:eastAsia="仿宋_GB2312" w:cs="Arial"/>
          <w:bCs/>
          <w:sz w:val="28"/>
          <w:szCs w:val="28"/>
          <w:highlight w:val="none"/>
        </w:rPr>
      </w:pPr>
      <w:r>
        <w:rPr>
          <w:rFonts w:hint="eastAsia" w:ascii="Arial" w:hAnsi="Arial" w:eastAsia="仿宋_GB2312" w:cs="Arial"/>
          <w:bCs/>
          <w:sz w:val="28"/>
          <w:szCs w:val="28"/>
          <w:highlight w:val="none"/>
        </w:rPr>
        <w:t>2022年密云区常住人口为52.7万人，比上年减少0.1万人。其中，城镇人口35.0万人，占常住人口的比重为66.4%；常住外来人口11.1万人，占常住人口的比重为21.1%。初步核算，2022年密云区实现地区生产总值 360.3亿元，按可比价格计算，比上年增长7.5%。其中，第一产业增加值14.0亿元，增长10.8%；第二产业增加值93.4亿元，增长2.8%；第三产业增加值252.9亿元，增长9.1%。三次产业构成为3.9:25.9:70.2。按常住人口计算，密云区人均地区生产总值为68306元。</w:t>
      </w:r>
    </w:p>
    <w:p>
      <w:pPr>
        <w:spacing w:line="300" w:lineRule="auto"/>
        <w:ind w:firstLine="560" w:firstLineChars="200"/>
        <w:jc w:val="both"/>
        <w:rPr>
          <w:rFonts w:ascii="Arial" w:hAnsi="Arial" w:eastAsia="仿宋_GB2312" w:cs="Arial"/>
          <w:i/>
          <w:sz w:val="28"/>
          <w:highlight w:val="none"/>
        </w:rPr>
      </w:pPr>
      <w:r>
        <w:rPr>
          <w:rFonts w:ascii="Arial" w:hAnsi="Arial" w:eastAsia="仿宋_GB2312" w:cs="Arial"/>
          <w:bCs/>
          <w:sz w:val="28"/>
          <w:szCs w:val="28"/>
          <w:highlight w:val="none"/>
        </w:rPr>
        <w:t>估价对象位于北京市密云区西门外大街</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估价对象所在区域有购物场所（</w:t>
      </w:r>
      <w:r>
        <w:rPr>
          <w:rFonts w:hint="eastAsia" w:ascii="Arial" w:hAnsi="Arial" w:eastAsia="仿宋_GB2312" w:cs="Arial"/>
          <w:bCs/>
          <w:sz w:val="28"/>
          <w:szCs w:val="28"/>
          <w:highlight w:val="none"/>
        </w:rPr>
        <w:t>物美超市等</w:t>
      </w:r>
      <w:r>
        <w:rPr>
          <w:rFonts w:ascii="Arial" w:hAnsi="Arial" w:eastAsia="仿宋_GB2312" w:cs="Arial"/>
          <w:bCs/>
          <w:sz w:val="28"/>
          <w:szCs w:val="28"/>
          <w:highlight w:val="none"/>
        </w:rPr>
        <w:t>）</w:t>
      </w:r>
      <w:r>
        <w:rPr>
          <w:rFonts w:hint="eastAsia" w:ascii="Arial" w:hAnsi="Arial" w:eastAsia="仿宋_GB2312" w:cs="Arial"/>
          <w:bCs/>
          <w:sz w:val="28"/>
          <w:szCs w:val="28"/>
          <w:highlight w:val="none"/>
        </w:rPr>
        <w:t>、</w:t>
      </w:r>
      <w:r>
        <w:rPr>
          <w:rFonts w:ascii="Arial" w:hAnsi="Arial" w:eastAsia="仿宋_GB2312" w:cs="Arial"/>
          <w:bCs/>
          <w:sz w:val="28"/>
          <w:szCs w:val="28"/>
          <w:highlight w:val="none"/>
        </w:rPr>
        <w:t>学校（</w:t>
      </w:r>
      <w:r>
        <w:rPr>
          <w:rFonts w:hint="eastAsia" w:ascii="Arial" w:hAnsi="Arial" w:eastAsia="仿宋_GB2312" w:cs="Arial"/>
          <w:bCs/>
          <w:sz w:val="28"/>
          <w:szCs w:val="28"/>
          <w:highlight w:val="none"/>
        </w:rPr>
        <w:t>密云区季庄小学、密云区果园小学等</w:t>
      </w:r>
      <w:r>
        <w:rPr>
          <w:rFonts w:ascii="Arial" w:hAnsi="Arial" w:eastAsia="仿宋_GB2312" w:cs="Arial"/>
          <w:bCs/>
          <w:sz w:val="28"/>
          <w:szCs w:val="28"/>
          <w:highlight w:val="none"/>
        </w:rPr>
        <w:t>），医院（</w:t>
      </w:r>
      <w:r>
        <w:rPr>
          <w:rFonts w:hint="eastAsia" w:ascii="Arial" w:hAnsi="Arial" w:eastAsia="仿宋_GB2312" w:cs="Arial"/>
          <w:bCs/>
          <w:sz w:val="28"/>
          <w:szCs w:val="28"/>
          <w:highlight w:val="none"/>
        </w:rPr>
        <w:t>密云区疾病预防控制中心、密云区果园社区卫生服务中心等</w:t>
      </w:r>
      <w:r>
        <w:rPr>
          <w:rFonts w:ascii="Arial" w:hAnsi="Arial" w:eastAsia="仿宋_GB2312" w:cs="Arial"/>
          <w:bCs/>
          <w:sz w:val="28"/>
          <w:szCs w:val="28"/>
          <w:highlight w:val="none"/>
        </w:rPr>
        <w:t>），银行（</w:t>
      </w:r>
      <w:r>
        <w:rPr>
          <w:rFonts w:hint="eastAsia" w:ascii="Arial" w:hAnsi="Arial" w:eastAsia="仿宋_GB2312" w:cs="Arial"/>
          <w:bCs/>
          <w:sz w:val="28"/>
          <w:szCs w:val="28"/>
          <w:highlight w:val="none"/>
        </w:rPr>
        <w:t>中国建设银行、中国工商银行、中国农业银行等</w:t>
      </w:r>
      <w:r>
        <w:rPr>
          <w:rFonts w:ascii="Arial" w:hAnsi="Arial" w:eastAsia="仿宋_GB2312" w:cs="Arial"/>
          <w:bCs/>
          <w:sz w:val="28"/>
          <w:szCs w:val="28"/>
          <w:highlight w:val="none"/>
        </w:rPr>
        <w:t>），</w:t>
      </w:r>
      <w:r>
        <w:rPr>
          <w:rFonts w:ascii="Arial" w:hAnsi="Arial" w:eastAsia="仿宋_GB2312" w:cs="Arial"/>
          <w:sz w:val="28"/>
          <w:szCs w:val="28"/>
          <w:highlight w:val="none"/>
        </w:rPr>
        <w:t>综合分析，公共配套设施齐备程度</w:t>
      </w:r>
      <w:r>
        <w:rPr>
          <w:rFonts w:hint="eastAsia" w:ascii="Arial" w:hAnsi="Arial" w:eastAsia="仿宋_GB2312" w:cs="Arial"/>
          <w:sz w:val="28"/>
          <w:szCs w:val="28"/>
          <w:highlight w:val="none"/>
        </w:rPr>
        <w:t>较好</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2.交通条件</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szCs w:val="28"/>
          <w:highlight w:val="none"/>
        </w:rPr>
        <w:t>估价对象紧邻</w:t>
      </w:r>
      <w:r>
        <w:rPr>
          <w:rFonts w:hint="eastAsia" w:ascii="Arial" w:hAnsi="Arial" w:eastAsia="仿宋_GB2312" w:cs="Arial"/>
          <w:sz w:val="28"/>
          <w:szCs w:val="28"/>
          <w:highlight w:val="none"/>
        </w:rPr>
        <w:t>城市次干道</w:t>
      </w:r>
      <w:r>
        <w:rPr>
          <w:rFonts w:ascii="Arial" w:hAnsi="Arial" w:eastAsia="仿宋_GB2312" w:cs="Arial"/>
          <w:sz w:val="28"/>
          <w:szCs w:val="28"/>
          <w:highlight w:val="none"/>
        </w:rPr>
        <w:t>—</w:t>
      </w:r>
      <w:r>
        <w:rPr>
          <w:rFonts w:hint="eastAsia" w:ascii="Arial" w:hAnsi="Arial" w:eastAsia="仿宋_GB2312" w:cs="Arial"/>
          <w:sz w:val="28"/>
          <w:szCs w:val="28"/>
          <w:highlight w:val="none"/>
        </w:rPr>
        <w:t>西门外大街</w:t>
      </w:r>
      <w:r>
        <w:rPr>
          <w:rFonts w:ascii="Arial" w:hAnsi="Arial" w:eastAsia="仿宋_GB2312" w:cs="Arial"/>
          <w:sz w:val="28"/>
          <w:szCs w:val="28"/>
          <w:highlight w:val="none"/>
        </w:rPr>
        <w:t>，距</w:t>
      </w:r>
      <w:r>
        <w:rPr>
          <w:rFonts w:hint="eastAsia" w:ascii="Arial" w:hAnsi="Arial" w:eastAsia="仿宋_GB2312" w:cs="Arial"/>
          <w:sz w:val="28"/>
          <w:szCs w:val="28"/>
          <w:highlight w:val="none"/>
        </w:rPr>
        <w:t>京密路</w:t>
      </w:r>
      <w:r>
        <w:rPr>
          <w:rFonts w:ascii="Arial" w:hAnsi="Arial" w:eastAsia="仿宋_GB2312" w:cs="Arial"/>
          <w:sz w:val="28"/>
          <w:szCs w:val="28"/>
          <w:highlight w:val="none"/>
        </w:rPr>
        <w:t>约</w:t>
      </w:r>
      <w:r>
        <w:rPr>
          <w:rFonts w:hint="eastAsia" w:ascii="Arial" w:hAnsi="Arial" w:eastAsia="仿宋_GB2312" w:cs="Arial"/>
          <w:sz w:val="28"/>
          <w:szCs w:val="28"/>
          <w:highlight w:val="none"/>
        </w:rPr>
        <w:t>1.2公里</w:t>
      </w:r>
      <w:r>
        <w:rPr>
          <w:rFonts w:ascii="Arial" w:hAnsi="Arial" w:eastAsia="仿宋_GB2312" w:cs="Arial"/>
          <w:sz w:val="28"/>
          <w:szCs w:val="28"/>
          <w:highlight w:val="none"/>
        </w:rPr>
        <w:t>，</w:t>
      </w:r>
      <w:r>
        <w:rPr>
          <w:rFonts w:hint="eastAsia" w:ascii="Arial" w:hAnsi="Arial" w:eastAsia="仿宋_GB2312" w:cs="Arial"/>
          <w:sz w:val="28"/>
          <w:szCs w:val="28"/>
          <w:highlight w:val="none"/>
        </w:rPr>
        <w:t>距大广高速密云收费站约4.7公里</w:t>
      </w:r>
      <w:r>
        <w:rPr>
          <w:rFonts w:ascii="Arial" w:hAnsi="Arial" w:eastAsia="仿宋_GB2312" w:cs="Arial"/>
          <w:sz w:val="28"/>
          <w:szCs w:val="28"/>
          <w:highlight w:val="none"/>
        </w:rPr>
        <w:t>，</w:t>
      </w:r>
      <w:r>
        <w:rPr>
          <w:rFonts w:hint="eastAsia" w:ascii="Arial" w:hAnsi="Arial" w:eastAsia="仿宋_GB2312" w:cs="Arial"/>
          <w:sz w:val="28"/>
          <w:szCs w:val="28"/>
          <w:highlight w:val="none"/>
        </w:rPr>
        <w:t>周边无地铁线路</w:t>
      </w:r>
      <w:r>
        <w:rPr>
          <w:rFonts w:ascii="Arial" w:hAnsi="Arial" w:eastAsia="仿宋_GB2312" w:cs="Arial"/>
          <w:sz w:val="28"/>
          <w:szCs w:val="28"/>
          <w:highlight w:val="none"/>
        </w:rPr>
        <w:t>，周边有</w:t>
      </w:r>
      <w:r>
        <w:rPr>
          <w:rFonts w:hint="eastAsia" w:ascii="Arial" w:hAnsi="Arial" w:eastAsia="仿宋_GB2312" w:cs="Arial"/>
          <w:sz w:val="28"/>
          <w:szCs w:val="28"/>
          <w:highlight w:val="none"/>
        </w:rPr>
        <w:t>密5路、密9路、密12路、密13路</w:t>
      </w:r>
      <w:r>
        <w:rPr>
          <w:rFonts w:ascii="Arial" w:hAnsi="Arial" w:eastAsia="仿宋_GB2312" w:cs="Arial"/>
          <w:sz w:val="28"/>
          <w:szCs w:val="28"/>
          <w:highlight w:val="none"/>
        </w:rPr>
        <w:t>等多条公交线路通过</w:t>
      </w:r>
      <w:r>
        <w:rPr>
          <w:rFonts w:hint="eastAsia" w:ascii="Arial" w:hAnsi="Arial" w:eastAsia="仿宋_GB2312" w:cs="Arial"/>
          <w:sz w:val="28"/>
          <w:szCs w:val="28"/>
          <w:highlight w:val="none"/>
        </w:rPr>
        <w:t>并设有站点</w:t>
      </w:r>
      <w:r>
        <w:rPr>
          <w:rFonts w:ascii="Arial" w:hAnsi="Arial" w:eastAsia="仿宋_GB2312" w:cs="Arial"/>
          <w:sz w:val="28"/>
          <w:szCs w:val="28"/>
          <w:highlight w:val="none"/>
        </w:rPr>
        <w:t>，综合评价交通便捷度</w:t>
      </w:r>
      <w:r>
        <w:rPr>
          <w:rFonts w:hint="eastAsia" w:ascii="Arial" w:hAnsi="Arial" w:eastAsia="仿宋_GB2312" w:cs="Arial"/>
          <w:sz w:val="28"/>
          <w:szCs w:val="28"/>
          <w:highlight w:val="none"/>
        </w:rPr>
        <w:t>一般</w:t>
      </w:r>
      <w:r>
        <w:rPr>
          <w:rFonts w:ascii="Arial" w:hAnsi="Arial" w:eastAsia="仿宋_GB2312" w:cs="Arial"/>
          <w:sz w:val="28"/>
          <w:szCs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3.环境条件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是国家生态区、国际最佳休闲宜居名区，是首批全国生态文明建设试点地区。华北地区最大的人工湖——密云水库坐落于密云区中央，最大水面面积188平方公里、最大库容43.75亿立方米，水体质量始终稳定保持在国家二类饮用水标准</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szCs w:val="28"/>
          <w:highlight w:val="none"/>
        </w:rPr>
      </w:pPr>
      <w:r>
        <w:rPr>
          <w:rFonts w:ascii="Arial" w:hAnsi="Arial" w:eastAsia="仿宋_GB2312" w:cs="Arial"/>
          <w:sz w:val="28"/>
          <w:highlight w:val="none"/>
        </w:rPr>
        <w:t>估价对象</w:t>
      </w:r>
      <w:r>
        <w:rPr>
          <w:rFonts w:hint="eastAsia" w:ascii="Arial" w:hAnsi="Arial" w:eastAsia="仿宋_GB2312" w:cs="Arial"/>
          <w:sz w:val="28"/>
          <w:highlight w:val="none"/>
        </w:rPr>
        <w:t>位于密云区西门外大街，</w:t>
      </w:r>
      <w:r>
        <w:rPr>
          <w:rFonts w:ascii="Arial" w:hAnsi="Arial" w:eastAsia="仿宋_GB2312" w:cs="Arial"/>
          <w:sz w:val="28"/>
          <w:highlight w:val="none"/>
        </w:rPr>
        <w:t>周边绿化条件较好，周边2公里</w:t>
      </w:r>
      <w:r>
        <w:rPr>
          <w:rFonts w:hint="eastAsia" w:ascii="Arial" w:hAnsi="Arial" w:eastAsia="仿宋_GB2312" w:cs="Arial"/>
          <w:sz w:val="28"/>
          <w:highlight w:val="none"/>
        </w:rPr>
        <w:t>范围</w:t>
      </w:r>
      <w:r>
        <w:rPr>
          <w:rFonts w:ascii="Arial" w:hAnsi="Arial" w:eastAsia="仿宋_GB2312" w:cs="Arial"/>
          <w:sz w:val="28"/>
          <w:highlight w:val="none"/>
        </w:rPr>
        <w:t>内</w:t>
      </w:r>
      <w:r>
        <w:rPr>
          <w:rFonts w:hint="eastAsia" w:ascii="Arial" w:hAnsi="Arial" w:eastAsia="仿宋_GB2312" w:cs="Arial"/>
          <w:sz w:val="28"/>
          <w:highlight w:val="none"/>
        </w:rPr>
        <w:t>有水系—白河，密虹公园等绿化景观</w:t>
      </w:r>
      <w:r>
        <w:rPr>
          <w:rFonts w:ascii="Arial" w:hAnsi="Arial" w:eastAsia="仿宋_GB2312" w:cs="Arial"/>
          <w:sz w:val="28"/>
          <w:highlight w:val="none"/>
        </w:rPr>
        <w:t>，绿化条件较好</w:t>
      </w:r>
      <w:r>
        <w:rPr>
          <w:rFonts w:hint="eastAsia" w:ascii="Arial" w:hAnsi="Arial" w:eastAsia="仿宋_GB2312" w:cs="Arial"/>
          <w:sz w:val="28"/>
          <w:highlight w:val="none"/>
        </w:rPr>
        <w:t>；有密云区博物馆等人文设施，</w:t>
      </w:r>
      <w:r>
        <w:rPr>
          <w:rFonts w:ascii="Arial" w:hAnsi="Arial" w:eastAsia="仿宋_GB2312" w:cs="Arial"/>
          <w:sz w:val="28"/>
          <w:highlight w:val="none"/>
        </w:rPr>
        <w:t>综合考虑自然环境</w:t>
      </w:r>
      <w:r>
        <w:rPr>
          <w:rFonts w:ascii="Arial" w:hAnsi="Arial" w:eastAsia="仿宋_GB2312" w:cs="Arial"/>
          <w:sz w:val="28"/>
          <w:szCs w:val="28"/>
          <w:highlight w:val="none"/>
        </w:rPr>
        <w:t>与人文环境较好。</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4.基础设施设施条件</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密云区</w:t>
      </w:r>
      <w:r>
        <w:rPr>
          <w:rFonts w:ascii="Arial" w:hAnsi="Arial" w:eastAsia="仿宋_GB2312" w:cs="Arial"/>
          <w:sz w:val="28"/>
          <w:highlight w:val="none"/>
        </w:rPr>
        <w:t>目前已拥有完善的基础设施配套保障，区内大部分区域基础设施配套目前可达到</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r>
        <w:rPr>
          <w:rFonts w:ascii="Arial" w:hAnsi="Arial" w:eastAsia="仿宋_GB2312" w:cs="Arial"/>
          <w:sz w:val="28"/>
          <w:highlight w:val="none"/>
        </w:rPr>
        <w:t>条件。</w:t>
      </w:r>
      <w:r>
        <w:rPr>
          <w:rFonts w:hint="eastAsia" w:ascii="Arial" w:hAnsi="Arial" w:eastAsia="仿宋_GB2312" w:cs="Arial"/>
          <w:sz w:val="28"/>
          <w:szCs w:val="28"/>
          <w:highlight w:val="none"/>
        </w:rPr>
        <w:t>估价对象</w:t>
      </w:r>
      <w:r>
        <w:rPr>
          <w:rFonts w:ascii="Arial" w:hAnsi="Arial" w:eastAsia="仿宋_GB2312" w:cs="Arial"/>
          <w:sz w:val="28"/>
          <w:szCs w:val="28"/>
          <w:highlight w:val="none"/>
        </w:rPr>
        <w:t>现状开发程度为宗地外</w:t>
      </w:r>
      <w:r>
        <w:rPr>
          <w:rFonts w:hint="eastAsia" w:ascii="Arial" w:hAnsi="Arial" w:eastAsia="仿宋_GB2312" w:cs="Arial"/>
          <w:sz w:val="28"/>
          <w:highlight w:val="none"/>
        </w:rPr>
        <w:t>“</w:t>
      </w:r>
      <w:r>
        <w:rPr>
          <w:rFonts w:ascii="Arial" w:hAnsi="Arial" w:eastAsia="仿宋_GB2312" w:cs="Arial"/>
          <w:sz w:val="28"/>
          <w:highlight w:val="none"/>
        </w:rPr>
        <w:t>七</w:t>
      </w:r>
      <w:r>
        <w:rPr>
          <w:rFonts w:hint="eastAsia" w:ascii="Arial" w:hAnsi="Arial" w:eastAsia="仿宋_GB2312" w:cs="Arial"/>
          <w:sz w:val="28"/>
          <w:highlight w:val="none"/>
        </w:rPr>
        <w:t>通”（即通路、通上水、通下水、通电、通讯、通热、通燃气）</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highlight w:val="none"/>
        </w:rPr>
        <w:t>商业繁华度</w:t>
      </w:r>
    </w:p>
    <w:p>
      <w:pPr>
        <w:pStyle w:val="54"/>
        <w:widowControl w:val="0"/>
        <w:autoSpaceDE w:val="0"/>
        <w:autoSpaceDN w:val="0"/>
        <w:adjustRightInd w:val="0"/>
        <w:spacing w:before="0" w:after="0" w:line="300" w:lineRule="auto"/>
        <w:ind w:firstLine="560" w:firstLineChars="200"/>
        <w:rPr>
          <w:rFonts w:ascii="Arial" w:hAnsi="Arial" w:eastAsia="仿宋_GB2312" w:cs="Arial"/>
          <w:sz w:val="28"/>
          <w:szCs w:val="28"/>
          <w:highlight w:val="none"/>
          <w:lang w:val="en-US" w:eastAsia="zh-CN"/>
        </w:rPr>
      </w:pPr>
      <w:r>
        <w:rPr>
          <w:rFonts w:ascii="Arial" w:hAnsi="Arial" w:eastAsia="仿宋_GB2312" w:cs="Arial"/>
          <w:sz w:val="28"/>
          <w:szCs w:val="28"/>
          <w:highlight w:val="none"/>
          <w:lang w:val="en-US" w:eastAsia="zh-CN"/>
        </w:rPr>
        <w:t>估价对象位于</w:t>
      </w:r>
      <w:r>
        <w:rPr>
          <w:rFonts w:hint="eastAsia" w:ascii="Arial" w:hAnsi="Arial" w:eastAsia="仿宋_GB2312" w:cs="Arial"/>
          <w:sz w:val="28"/>
          <w:highlight w:val="none"/>
          <w:lang w:eastAsia="zh-CN"/>
        </w:rPr>
        <w:t>密云区西门外大街</w:t>
      </w:r>
      <w:r>
        <w:rPr>
          <w:rFonts w:ascii="Arial" w:hAnsi="Arial" w:eastAsia="仿宋_GB2312" w:cs="Arial"/>
          <w:sz w:val="28"/>
          <w:szCs w:val="28"/>
          <w:highlight w:val="none"/>
          <w:lang w:val="en-US" w:eastAsia="zh-CN"/>
        </w:rPr>
        <w:t>，估价对象周边</w:t>
      </w:r>
      <w:r>
        <w:rPr>
          <w:rFonts w:hint="eastAsia" w:ascii="Arial" w:hAnsi="Arial" w:eastAsia="仿宋_GB2312" w:cs="Arial"/>
          <w:sz w:val="28"/>
          <w:szCs w:val="28"/>
          <w:highlight w:val="none"/>
          <w:lang w:val="en-US" w:eastAsia="zh-CN"/>
        </w:rPr>
        <w:t>主要以住宅社区底商及配套商业为主，周边有物美大卖场、云光商场家具城等商业场所</w:t>
      </w:r>
      <w:r>
        <w:rPr>
          <w:rFonts w:ascii="Arial" w:hAnsi="Arial" w:eastAsia="仿宋_GB2312" w:cs="Arial"/>
          <w:sz w:val="28"/>
          <w:szCs w:val="28"/>
          <w:highlight w:val="none"/>
          <w:lang w:val="en-US" w:eastAsia="zh-CN"/>
        </w:rPr>
        <w:t>，综合考虑</w:t>
      </w:r>
      <w:r>
        <w:rPr>
          <w:rFonts w:hint="eastAsia" w:ascii="Arial" w:hAnsi="Arial" w:eastAsia="仿宋_GB2312" w:cs="Arial"/>
          <w:sz w:val="28"/>
          <w:highlight w:val="none"/>
          <w:lang w:eastAsia="zh-CN"/>
        </w:rPr>
        <w:t>商业繁华度一般。</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6.规划限制</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估价对象所处区域位于</w:t>
      </w:r>
      <w:r>
        <w:rPr>
          <w:rFonts w:hint="eastAsia" w:ascii="Arial" w:hAnsi="Arial" w:eastAsia="仿宋_GB2312" w:cs="Arial"/>
          <w:sz w:val="28"/>
          <w:highlight w:val="none"/>
        </w:rPr>
        <w:t>密云区西门外大街</w:t>
      </w:r>
      <w:r>
        <w:rPr>
          <w:rFonts w:ascii="Arial" w:hAnsi="Arial" w:eastAsia="仿宋_GB2312" w:cs="Arial"/>
          <w:sz w:val="28"/>
          <w:highlight w:val="none"/>
        </w:rPr>
        <w:t>。根据</w:t>
      </w:r>
      <w:r>
        <w:rPr>
          <w:rFonts w:hint="eastAsia" w:ascii="Arial" w:hAnsi="Arial" w:eastAsia="仿宋_GB2312" w:cs="Arial"/>
          <w:sz w:val="28"/>
          <w:highlight w:val="none"/>
        </w:rPr>
        <w:t>密云区“</w:t>
      </w:r>
      <w:r>
        <w:rPr>
          <w:rFonts w:ascii="Arial" w:hAnsi="Arial" w:eastAsia="仿宋_GB2312" w:cs="Arial"/>
          <w:sz w:val="28"/>
          <w:highlight w:val="none"/>
        </w:rPr>
        <w:t>十四五</w:t>
      </w:r>
      <w:r>
        <w:rPr>
          <w:rFonts w:hint="eastAsia" w:ascii="Arial" w:hAnsi="Arial" w:eastAsia="仿宋_GB2312" w:cs="Arial"/>
          <w:sz w:val="28"/>
          <w:highlight w:val="none"/>
        </w:rPr>
        <w:t>”</w:t>
      </w:r>
      <w:r>
        <w:rPr>
          <w:rFonts w:ascii="Arial" w:hAnsi="Arial" w:eastAsia="仿宋_GB2312" w:cs="Arial"/>
          <w:sz w:val="28"/>
          <w:highlight w:val="none"/>
        </w:rPr>
        <w:t>规划的要求，无特别规划限制，对估价对象土地发展利用无不利影响。</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综上所述，估价对象所处区域地理位置条件</w:t>
      </w:r>
      <w:r>
        <w:rPr>
          <w:rFonts w:hint="eastAsia" w:ascii="Arial" w:hAnsi="Arial" w:eastAsia="仿宋_GB2312" w:cs="Arial"/>
          <w:sz w:val="28"/>
          <w:highlight w:val="none"/>
        </w:rPr>
        <w:t>一般</w:t>
      </w:r>
      <w:r>
        <w:rPr>
          <w:rFonts w:ascii="Arial" w:hAnsi="Arial" w:eastAsia="仿宋_GB2312" w:cs="Arial"/>
          <w:sz w:val="28"/>
          <w:highlight w:val="none"/>
        </w:rPr>
        <w:t>，</w:t>
      </w:r>
      <w:r>
        <w:rPr>
          <w:rFonts w:hint="eastAsia" w:ascii="Arial" w:hAnsi="Arial" w:eastAsia="仿宋_GB2312" w:cs="Arial"/>
          <w:sz w:val="28"/>
          <w:highlight w:val="none"/>
        </w:rPr>
        <w:t>商业繁华度</w:t>
      </w:r>
      <w:r>
        <w:rPr>
          <w:rFonts w:hint="eastAsia" w:ascii="Arial" w:hAnsi="Arial" w:eastAsia="仿宋_GB2312" w:cs="Arial"/>
          <w:sz w:val="28"/>
          <w:szCs w:val="28"/>
          <w:highlight w:val="none"/>
        </w:rPr>
        <w:t>一般</w:t>
      </w:r>
      <w:r>
        <w:rPr>
          <w:rFonts w:ascii="Arial" w:hAnsi="Arial" w:eastAsia="仿宋_GB2312" w:cs="Arial"/>
          <w:sz w:val="28"/>
          <w:highlight w:val="none"/>
        </w:rPr>
        <w:t>，交通便捷度</w:t>
      </w:r>
      <w:r>
        <w:rPr>
          <w:rFonts w:hint="eastAsia" w:ascii="Arial" w:hAnsi="Arial" w:eastAsia="仿宋_GB2312" w:cs="Arial"/>
          <w:sz w:val="28"/>
          <w:highlight w:val="none"/>
        </w:rPr>
        <w:t>一般</w:t>
      </w:r>
      <w:r>
        <w:rPr>
          <w:rFonts w:ascii="Arial" w:hAnsi="Arial" w:eastAsia="仿宋_GB2312" w:cs="Arial"/>
          <w:sz w:val="28"/>
          <w:highlight w:val="none"/>
        </w:rPr>
        <w:t>，公共配套设施</w:t>
      </w:r>
      <w:r>
        <w:rPr>
          <w:rFonts w:hint="eastAsia" w:ascii="Arial" w:hAnsi="Arial" w:eastAsia="仿宋_GB2312" w:cs="Arial"/>
          <w:sz w:val="28"/>
          <w:highlight w:val="none"/>
        </w:rPr>
        <w:t>较好</w:t>
      </w:r>
      <w:r>
        <w:rPr>
          <w:rFonts w:ascii="Arial" w:hAnsi="Arial" w:eastAsia="仿宋_GB2312" w:cs="Arial"/>
          <w:sz w:val="28"/>
          <w:highlight w:val="none"/>
        </w:rPr>
        <w:t>，基础设施水平为</w:t>
      </w:r>
      <w:r>
        <w:rPr>
          <w:rFonts w:hint="eastAsia" w:ascii="Arial" w:hAnsi="Arial" w:eastAsia="仿宋_GB2312" w:cs="Arial"/>
          <w:sz w:val="28"/>
          <w:highlight w:val="none"/>
        </w:rPr>
        <w:t>七</w:t>
      </w:r>
      <w:r>
        <w:rPr>
          <w:rFonts w:ascii="Arial" w:hAnsi="Arial" w:eastAsia="仿宋_GB2312" w:cs="Arial"/>
          <w:sz w:val="28"/>
          <w:highlight w:val="none"/>
        </w:rPr>
        <w:t>通，自然和人文环境条件</w:t>
      </w:r>
      <w:r>
        <w:rPr>
          <w:rFonts w:hint="eastAsia" w:ascii="Arial" w:hAnsi="Arial" w:eastAsia="仿宋_GB2312" w:cs="Arial"/>
          <w:sz w:val="28"/>
          <w:highlight w:val="none"/>
        </w:rPr>
        <w:t>较好</w:t>
      </w:r>
      <w:r>
        <w:rPr>
          <w:rFonts w:ascii="Arial" w:hAnsi="Arial" w:eastAsia="仿宋_GB2312" w:cs="Arial"/>
          <w:sz w:val="28"/>
          <w:highlight w:val="none"/>
        </w:rPr>
        <w:t>。综合区域发展空间进行综合评价，总体评价影响估价对象的区域因素</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（三）个别因素</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1.估价对象位置：估价对象位于</w:t>
      </w:r>
      <w:r>
        <w:rPr>
          <w:rFonts w:hint="eastAsia" w:ascii="Arial" w:hAnsi="Arial" w:eastAsia="仿宋_GB2312" w:cs="Arial"/>
          <w:sz w:val="28"/>
          <w:szCs w:val="28"/>
          <w:highlight w:val="none"/>
        </w:rPr>
        <w:t>北京市密云区西门外大街</w:t>
      </w:r>
      <w:r>
        <w:rPr>
          <w:rFonts w:hint="eastAsia" w:ascii="Arial" w:hAnsi="Arial" w:eastAsia="仿宋_GB2312" w:cs="Arial"/>
          <w:sz w:val="28"/>
          <w:szCs w:val="28"/>
          <w:highlight w:val="none"/>
          <w:lang w:eastAsia="zh-CN"/>
        </w:rPr>
        <w:t>8号楼601-605号</w:t>
      </w:r>
      <w:r>
        <w:rPr>
          <w:rFonts w:hint="eastAsia" w:ascii="Arial" w:hAnsi="Arial" w:eastAsia="仿宋_GB2312" w:cs="Arial"/>
          <w:sz w:val="28"/>
          <w:szCs w:val="28"/>
          <w:highlight w:val="none"/>
        </w:rPr>
        <w:t>现状商业用地</w:t>
      </w:r>
      <w:r>
        <w:rPr>
          <w:rFonts w:ascii="Arial" w:hAnsi="Arial" w:eastAsia="仿宋_GB2312" w:cs="Arial"/>
          <w:sz w:val="28"/>
          <w:highlight w:val="none"/>
        </w:rPr>
        <w:t>。根据《北京市人民政府关于更新出让国有建设用地使用权基准地价的通知》（京政发（2022）12号）的规定，估价对象属于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2.宗地规划用途、面积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szCs w:val="28"/>
          <w:highlight w:val="none"/>
        </w:rPr>
        <w:t>根据《土地权属审查告知书》[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]及《国有建设用地使用权出让地价评估委托书》，估价对象分摊土地使用权面积为</w:t>
      </w:r>
      <w:r>
        <w:rPr>
          <w:rFonts w:hint="eastAsia" w:ascii="Arial" w:hAnsi="Arial" w:eastAsia="仿宋_GB2312" w:cs="Arial"/>
          <w:sz w:val="28"/>
          <w:szCs w:val="28"/>
          <w:highlight w:val="none"/>
          <w:lang w:eastAsia="zh-CN"/>
        </w:rPr>
        <w:t>127.326</w:t>
      </w:r>
      <w:r>
        <w:rPr>
          <w:rFonts w:hint="eastAsia" w:ascii="Arial" w:hAnsi="Arial" w:eastAsia="仿宋_GB2312" w:cs="Arial"/>
          <w:sz w:val="28"/>
          <w:szCs w:val="28"/>
          <w:highlight w:val="none"/>
        </w:rPr>
        <w:t>平方米，用途为商业</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3.宗地容积率及可利用情况</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 xml:space="preserve">4.宗地基础设施 </w:t>
      </w:r>
    </w:p>
    <w:p>
      <w:pPr>
        <w:spacing w:line="300" w:lineRule="auto"/>
        <w:ind w:firstLine="528" w:firstLineChars="200"/>
        <w:jc w:val="both"/>
        <w:rPr>
          <w:rFonts w:ascii="Arial" w:hAnsi="Arial" w:eastAsia="仿宋_GB2312" w:cs="Arial"/>
          <w:sz w:val="28"/>
          <w:highlight w:val="none"/>
        </w:rPr>
      </w:pPr>
      <w:r>
        <w:rPr>
          <w:rFonts w:hint="eastAsia" w:ascii="Arial" w:hAnsi="Arial" w:eastAsia="仿宋_GB2312" w:cs="Arial"/>
          <w:spacing w:val="-8"/>
          <w:sz w:val="28"/>
          <w:highlight w:val="none"/>
        </w:rPr>
        <w:t>估价对象现状土地开发程度达到宗地红线外“七通”（即通路、通上水、通下水、通电、通讯、通热、通燃气）、宗地红线内“六通”（即通路、通上水、通下水、通电、通讯、通热）。根据本次估价目的，设定估价对象的开发程度为宗地红线外“七通”（即通路、通上水、通下水、通电、通讯、通热、通燃气） ，宗地红线内场地平整</w:t>
      </w:r>
      <w:r>
        <w:rPr>
          <w:rFonts w:ascii="Arial" w:hAnsi="Arial" w:eastAsia="仿宋_GB2312" w:cs="Arial"/>
          <w:sz w:val="28"/>
          <w:szCs w:val="28"/>
          <w:highlight w:val="none"/>
        </w:rPr>
        <w:t>。</w:t>
      </w:r>
    </w:p>
    <w:p>
      <w:pPr>
        <w:widowControl/>
        <w:adjustRightInd/>
        <w:spacing w:line="300" w:lineRule="auto"/>
        <w:textAlignment w:val="auto"/>
        <w:rPr>
          <w:rFonts w:ascii="Arial" w:hAnsi="Arial" w:eastAsia="仿宋_GB2312" w:cs="Arial"/>
          <w:sz w:val="28"/>
          <w:szCs w:val="28"/>
          <w:highlight w:val="none"/>
        </w:rPr>
      </w:pPr>
      <w:r>
        <w:rPr>
          <w:rFonts w:ascii="Arial" w:hAnsi="Arial" w:eastAsia="仿宋_GB2312" w:cs="Arial"/>
          <w:sz w:val="28"/>
          <w:szCs w:val="28"/>
          <w:highlight w:val="none"/>
        </w:rPr>
        <w:br w:type="page"/>
      </w:r>
    </w:p>
    <w:p>
      <w:pPr>
        <w:spacing w:line="300" w:lineRule="auto"/>
        <w:jc w:val="center"/>
        <w:outlineLvl w:val="0"/>
        <w:rPr>
          <w:rFonts w:ascii="Arial" w:hAnsi="Arial" w:cs="Arial"/>
          <w:sz w:val="32"/>
          <w:highlight w:val="none"/>
        </w:rPr>
      </w:pPr>
      <w:r>
        <w:rPr>
          <w:rFonts w:ascii="Arial" w:hAnsi="Arial" w:cs="Arial"/>
          <w:b/>
          <w:sz w:val="32"/>
          <w:highlight w:val="none"/>
        </w:rPr>
        <w:t>第三部分</w:t>
      </w:r>
      <w:r>
        <w:rPr>
          <w:rFonts w:ascii="Arial" w:hAnsi="Arial" w:eastAsia="仿宋_GB2312" w:cs="Arial"/>
          <w:b/>
          <w:sz w:val="32"/>
          <w:highlight w:val="none"/>
        </w:rPr>
        <w:t xml:space="preserve">  </w:t>
      </w:r>
      <w:r>
        <w:rPr>
          <w:rFonts w:ascii="Arial" w:hAnsi="Arial" w:cs="Arial"/>
          <w:b/>
          <w:sz w:val="32"/>
          <w:highlight w:val="none"/>
        </w:rPr>
        <w:t>土地估价</w:t>
      </w:r>
      <w:bookmarkEnd w:id="284"/>
      <w:bookmarkEnd w:id="285"/>
      <w:bookmarkEnd w:id="286"/>
      <w:bookmarkEnd w:id="287"/>
      <w:bookmarkEnd w:id="288"/>
      <w:bookmarkEnd w:id="289"/>
      <w:bookmarkEnd w:id="290"/>
      <w:bookmarkEnd w:id="291"/>
    </w:p>
    <w:p>
      <w:pPr>
        <w:spacing w:line="300" w:lineRule="auto"/>
        <w:rPr>
          <w:rFonts w:ascii="Arial" w:hAnsi="Arial" w:eastAsia="仿宋_GB2312" w:cs="Arial"/>
          <w:b/>
          <w:sz w:val="28"/>
          <w:highlight w:val="none"/>
        </w:rPr>
      </w:pPr>
    </w:p>
    <w:p>
      <w:pPr>
        <w:spacing w:line="300" w:lineRule="auto"/>
        <w:outlineLvl w:val="1"/>
        <w:rPr>
          <w:rFonts w:ascii="Arial" w:hAnsi="Arial" w:eastAsia="仿宋_GB2312" w:cs="Arial"/>
          <w:sz w:val="28"/>
          <w:highlight w:val="none"/>
        </w:rPr>
      </w:pPr>
      <w:bookmarkStart w:id="292" w:name="_Toc66929528"/>
      <w:bookmarkStart w:id="293" w:name="_Toc69393403"/>
      <w:bookmarkStart w:id="294" w:name="_Toc416783696"/>
      <w:bookmarkStart w:id="295" w:name="_Toc469066169"/>
      <w:bookmarkStart w:id="296" w:name="_Toc524335111"/>
      <w:bookmarkStart w:id="297" w:name="_Toc416783600"/>
      <w:bookmarkStart w:id="298" w:name="_Toc515457823"/>
      <w:bookmarkStart w:id="299" w:name="_Toc516488205"/>
      <w:r>
        <w:rPr>
          <w:rFonts w:ascii="Arial" w:hAnsi="Arial" w:eastAsia="仿宋_GB2312" w:cs="Arial"/>
          <w:b/>
          <w:sz w:val="28"/>
          <w:highlight w:val="none"/>
        </w:rPr>
        <w:t>一、估价原则</w:t>
      </w:r>
      <w:bookmarkEnd w:id="292"/>
      <w:bookmarkEnd w:id="293"/>
      <w:bookmarkEnd w:id="294"/>
      <w:bookmarkEnd w:id="295"/>
      <w:bookmarkEnd w:id="296"/>
      <w:bookmarkEnd w:id="297"/>
      <w:bookmarkEnd w:id="298"/>
      <w:bookmarkEnd w:id="299"/>
    </w:p>
    <w:p>
      <w:pPr>
        <w:spacing w:line="300" w:lineRule="auto"/>
        <w:ind w:firstLine="560" w:firstLineChars="200"/>
        <w:jc w:val="both"/>
        <w:rPr>
          <w:rFonts w:ascii="Arial" w:hAnsi="Arial" w:eastAsia="仿宋" w:cs="Arial"/>
          <w:sz w:val="28"/>
          <w:szCs w:val="28"/>
          <w:highlight w:val="none"/>
        </w:rPr>
      </w:pPr>
      <w:bookmarkStart w:id="300" w:name="_Toc515457824"/>
      <w:bookmarkStart w:id="301" w:name="_Toc524335112"/>
      <w:bookmarkStart w:id="302" w:name="_Toc516488206"/>
      <w:bookmarkStart w:id="303" w:name="_Toc416783697"/>
      <w:bookmarkStart w:id="304" w:name="_Toc416783601"/>
      <w:bookmarkStart w:id="305" w:name="_Toc469066170"/>
      <w:bookmarkStart w:id="306" w:name="_Toc69393404"/>
      <w:bookmarkStart w:id="307" w:name="_Toc66929529"/>
      <w:r>
        <w:rPr>
          <w:rFonts w:ascii="Arial" w:hAnsi="Arial" w:eastAsia="仿宋" w:cs="Arial"/>
          <w:sz w:val="28"/>
          <w:szCs w:val="28"/>
          <w:highlight w:val="none"/>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Pr>
          <w:rFonts w:hint="eastAsia" w:ascii="Arial" w:hAnsi="Arial" w:eastAsia="仿宋" w:cs="Arial"/>
          <w:sz w:val="28"/>
          <w:szCs w:val="28"/>
          <w:highlight w:val="none"/>
        </w:rPr>
        <w:t>：</w:t>
      </w:r>
      <w:r>
        <w:rPr>
          <w:rFonts w:ascii="Arial" w:hAnsi="Arial" w:eastAsia="仿宋" w:cs="Arial"/>
          <w:sz w:val="28"/>
          <w:szCs w:val="28"/>
          <w:highlight w:val="none"/>
        </w:rPr>
        <w:t>替代原则、最有效利用原则、预期收益原则、供需原则、贡献原则、价值主导原则、审慎原则、公开市场原则等。</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1.替代原则</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替代原则是指土地估价应以相邻地区或类似地区功能相同、条件相似的土地市场交易价格为依据，估价结果不得明显偏离具有替代性质的土地正常价格。</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pPr>
        <w:kinsoku w:val="0"/>
        <w:overflowPunct w:val="0"/>
        <w:autoSpaceDE w:val="0"/>
        <w:autoSpaceDN w:val="0"/>
        <w:snapToGrid w:val="0"/>
        <w:spacing w:line="300" w:lineRule="auto"/>
        <w:ind w:firstLine="560" w:firstLineChars="200"/>
        <w:rPr>
          <w:rFonts w:ascii="Arial" w:hAnsi="Arial" w:eastAsia="仿宋" w:cs="Arial"/>
          <w:sz w:val="28"/>
          <w:szCs w:val="28"/>
          <w:highlight w:val="none"/>
        </w:rPr>
      </w:pPr>
      <w:r>
        <w:rPr>
          <w:rFonts w:ascii="Arial" w:hAnsi="Arial" w:eastAsia="仿宋" w:cs="Arial"/>
          <w:sz w:val="28"/>
          <w:szCs w:val="28"/>
          <w:highlight w:val="none"/>
        </w:rPr>
        <w:t>替代原则可以概括为三点：（1）土地价格水平由具有相同性质的替代性土地的价格所决定；（2）土地价格水平是由最了解行情的买卖者按市场交易实例相互比较后决定；（3）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替代原则的适用范围广，是本次估价基准地价系数修正法、</w:t>
      </w:r>
      <w:r>
        <w:rPr>
          <w:rFonts w:ascii="Arial" w:hAnsi="Arial" w:eastAsia="仿宋_GB2312" w:cs="Arial"/>
          <w:sz w:val="28"/>
          <w:szCs w:val="28"/>
          <w:highlight w:val="none"/>
        </w:rPr>
        <w:t>剩余法中嵌套的市场比较法</w:t>
      </w:r>
      <w:r>
        <w:rPr>
          <w:rFonts w:hint="eastAsia" w:ascii="Arial" w:hAnsi="Arial" w:eastAsia="仿宋" w:cs="Arial"/>
          <w:sz w:val="28"/>
          <w:szCs w:val="28"/>
          <w:highlight w:val="none"/>
        </w:rPr>
        <w:t>求取商业用房售价水平</w:t>
      </w:r>
      <w:r>
        <w:rPr>
          <w:rFonts w:ascii="Arial" w:hAnsi="Arial" w:eastAsia="仿宋" w:cs="Arial"/>
          <w:sz w:val="28"/>
          <w:szCs w:val="28"/>
          <w:highlight w:val="none"/>
        </w:rPr>
        <w:t>的理论基础。</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2.最有效利用原则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3.预期收益原则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4.供需原则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，土地用途为</w:t>
      </w:r>
      <w:r>
        <w:rPr>
          <w:rFonts w:hint="eastAsia" w:ascii="Arial" w:hAnsi="Arial" w:eastAsia="仿宋" w:cs="Arial"/>
          <w:sz w:val="28"/>
          <w:szCs w:val="28"/>
          <w:highlight w:val="none"/>
        </w:rPr>
        <w:t>商业</w:t>
      </w:r>
      <w:r>
        <w:rPr>
          <w:rFonts w:ascii="Arial" w:hAnsi="Arial" w:eastAsia="仿宋" w:cs="Arial"/>
          <w:sz w:val="28"/>
          <w:szCs w:val="28"/>
          <w:highlight w:val="none"/>
        </w:rPr>
        <w:t>，土地性质为出让国有建设用地使用权。估价对象所处区域内土地资产存在较大增值潜力。评估中剩余法的运用主要考虑此项原则。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5.贡献原则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6.价值主导原则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价值主导原则是指土地综合质量优劣是对土地价格产生影响的主要因素。</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城镇土地分等定级就是根据土地的经济和自然两个方面的属性及其在城镇社会经济中的地位和作用，综合评定土地质量，划分城镇土地等级的过程。</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估价对象位于北京市</w:t>
      </w:r>
      <w:r>
        <w:rPr>
          <w:rFonts w:hint="eastAsia" w:ascii="Arial" w:hAnsi="Arial" w:eastAsia="仿宋_GB2312" w:cs="Arial"/>
          <w:sz w:val="28"/>
          <w:szCs w:val="28"/>
          <w:highlight w:val="none"/>
        </w:rPr>
        <w:t>密云区西门外大街</w:t>
      </w:r>
      <w:r>
        <w:rPr>
          <w:rFonts w:ascii="Arial" w:hAnsi="Arial" w:eastAsia="仿宋" w:cs="Arial"/>
          <w:sz w:val="28"/>
          <w:szCs w:val="28"/>
          <w:highlight w:val="none"/>
        </w:rPr>
        <w:t>，属于</w:t>
      </w:r>
      <w:r>
        <w:rPr>
          <w:rFonts w:hint="eastAsia" w:ascii="Arial" w:hAnsi="Arial" w:eastAsia="仿宋" w:cs="Arial"/>
          <w:sz w:val="28"/>
          <w:szCs w:val="28"/>
          <w:highlight w:val="none"/>
        </w:rPr>
        <w:t>商业</w:t>
      </w:r>
      <w:r>
        <w:rPr>
          <w:rFonts w:ascii="Arial" w:hAnsi="Arial" w:eastAsia="仿宋" w:cs="Arial"/>
          <w:sz w:val="28"/>
          <w:szCs w:val="28"/>
          <w:highlight w:val="none"/>
        </w:rPr>
        <w:t>类</w:t>
      </w:r>
      <w:r>
        <w:rPr>
          <w:rFonts w:hint="eastAsia" w:ascii="Arial" w:hAnsi="Arial" w:eastAsia="仿宋" w:cs="Arial"/>
          <w:sz w:val="28"/>
          <w:szCs w:val="28"/>
          <w:highlight w:val="none"/>
        </w:rPr>
        <w:t>八</w:t>
      </w:r>
      <w:r>
        <w:rPr>
          <w:rFonts w:ascii="Arial" w:hAnsi="Arial" w:eastAsia="仿宋" w:cs="Arial"/>
          <w:sz w:val="28"/>
          <w:szCs w:val="28"/>
          <w:highlight w:val="none"/>
        </w:rPr>
        <w:t>级地区，估价中土地估价专业评估师是根据现场查勘，并依据《城镇土地分等定级规程》对估价对象进行综合判断。</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 xml:space="preserve">7.审慎原则 </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审慎原则是指在评估中确定相关参数和结果时，应分析并充分考虑土地市场运行状况、有关行业发展状况，以及存在的风险。在不确定性条件下做出估计和判断时要保持一定程度的谨慎，以便不高估也不低估估价对象的价值。</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本次估价考虑估价对象的具体情况，结合估价目的，在估价过程中确定相关参数和结果时，仔细分析并充分考虑土地市场运行状况、有关行业发展状况、存在的风险，严格遵循着审慎原则。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8.公开市场原则</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公开市场原则是指评估结果在公平、公正、公开的土地市场上可实现。</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szCs w:val="28"/>
          <w:highlight w:val="none"/>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pPr>
        <w:spacing w:line="300" w:lineRule="auto"/>
        <w:jc w:val="both"/>
        <w:outlineLvl w:val="1"/>
        <w:rPr>
          <w:rFonts w:ascii="Arial" w:hAnsi="Arial" w:eastAsia="仿宋" w:cs="Arial"/>
          <w:sz w:val="28"/>
          <w:szCs w:val="28"/>
          <w:highlight w:val="none"/>
        </w:rPr>
      </w:pPr>
    </w:p>
    <w:p>
      <w:pPr>
        <w:spacing w:line="300" w:lineRule="auto"/>
        <w:jc w:val="both"/>
        <w:outlineLvl w:val="1"/>
        <w:rPr>
          <w:rFonts w:ascii="Arial" w:hAnsi="Arial" w:eastAsia="仿宋_GB2312" w:cs="Arial"/>
          <w:b/>
          <w:sz w:val="28"/>
          <w:highlight w:val="none"/>
        </w:rPr>
      </w:pPr>
      <w:r>
        <w:rPr>
          <w:rFonts w:ascii="Arial" w:hAnsi="Arial" w:eastAsia="仿宋_GB2312" w:cs="Arial"/>
          <w:b/>
          <w:sz w:val="28"/>
          <w:highlight w:val="none"/>
        </w:rPr>
        <w:t>二、估价方法与估价过程</w:t>
      </w:r>
      <w:bookmarkEnd w:id="300"/>
      <w:bookmarkEnd w:id="301"/>
      <w:bookmarkEnd w:id="302"/>
      <w:bookmarkEnd w:id="303"/>
      <w:bookmarkEnd w:id="304"/>
      <w:bookmarkEnd w:id="305"/>
      <w:bookmarkEnd w:id="306"/>
      <w:bookmarkEnd w:id="307"/>
    </w:p>
    <w:p>
      <w:pPr>
        <w:spacing w:line="300" w:lineRule="auto"/>
        <w:ind w:firstLine="560" w:firstLineChars="200"/>
        <w:jc w:val="both"/>
        <w:rPr>
          <w:rFonts w:ascii="Arial" w:hAnsi="Arial" w:eastAsia="仿宋" w:cs="Arial"/>
          <w:sz w:val="28"/>
          <w:szCs w:val="28"/>
          <w:highlight w:val="none"/>
        </w:rPr>
      </w:pPr>
      <w:bookmarkStart w:id="308" w:name="_Toc416783698"/>
      <w:bookmarkStart w:id="309" w:name="_Toc416783602"/>
      <w:r>
        <w:rPr>
          <w:rFonts w:ascii="Arial" w:hAnsi="Arial" w:eastAsia="仿宋" w:cs="Arial"/>
          <w:sz w:val="28"/>
          <w:szCs w:val="28"/>
          <w:highlight w:val="none"/>
        </w:rPr>
        <w:t>1.估价技术思路</w:t>
      </w:r>
    </w:p>
    <w:p>
      <w:pPr>
        <w:spacing w:line="300" w:lineRule="auto"/>
        <w:ind w:firstLine="560" w:firstLineChars="200"/>
        <w:jc w:val="both"/>
        <w:rPr>
          <w:rFonts w:ascii="Arial" w:hAnsi="Arial" w:eastAsia="仿宋_GB2312" w:cs="Arial"/>
          <w:sz w:val="28"/>
          <w:szCs w:val="28"/>
          <w:highlight w:val="none"/>
        </w:rPr>
      </w:pPr>
      <w:r>
        <w:rPr>
          <w:rFonts w:ascii="Arial" w:hAnsi="Arial" w:eastAsia="仿宋" w:cs="Arial"/>
          <w:sz w:val="28"/>
          <w:szCs w:val="28"/>
          <w:highlight w:val="none"/>
        </w:rPr>
        <w:t>本次地价评估是指土地估价师按照规定的程序和方法，参照北京市正常土地市场价格水平，</w:t>
      </w:r>
      <w:r>
        <w:rPr>
          <w:rFonts w:hint="eastAsia" w:ascii="Arial" w:hAnsi="Arial" w:eastAsia="仿宋_GB2312" w:cs="Arial"/>
          <w:sz w:val="28"/>
          <w:highlight w:val="none"/>
        </w:rPr>
        <w:t>在现状使用条件下的分别评估出让土地使用权正常市场价格及划拨土地使用权价格，用出让土地使用权正常市场价格，减去划拨土地使用权价格，作为评估结果。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2.方法选择</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根据原国土资源部办公厅《关于印发&lt;国有建设用地使用权出让地价评估技术规范&gt;的通知》[国土资厅发〔2018〕4号]、《自然资源部 办公厅关于印发&lt;划拨国有建设用地使用权地价评估指导意见（试行）&gt;的通知》[自然资办函〔2019〕922号]，地价评估应至少采用两种评估方法，包括收益还原法、市场比较法、剩余法或剩余（增值收益扣减）法、成本逼近法、公示地价系数修正法。</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出让地价评估应在收益还原法、市场比较法、剩余法中选择一种，成本逼近法、公示地价系数修正法中选择一种。</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根据</w:t>
      </w:r>
      <w:r>
        <w:rPr>
          <w:rFonts w:ascii="Arial" w:hAnsi="Arial" w:eastAsia="仿宋" w:cs="Arial"/>
          <w:sz w:val="28"/>
          <w:szCs w:val="28"/>
          <w:highlight w:val="none"/>
        </w:rPr>
        <w:t>《北京市国有建设用地使用权出让地价评估技术导则（试行）》[北估秘[2023]001]</w:t>
      </w:r>
      <w:r>
        <w:rPr>
          <w:rFonts w:hint="eastAsia" w:ascii="Arial" w:hAnsi="Arial" w:eastAsia="仿宋" w:cs="Arial"/>
          <w:sz w:val="28"/>
          <w:szCs w:val="28"/>
          <w:highlight w:val="none"/>
        </w:rPr>
        <w:t>，划拨地价评估，宜遵循谨慎原则，优先选用成本逼近法和剩余(增值收益扣减)法。目前北京市尚无划拨基准地价，选用公示地价系数修正法评估划拨地价暂时不具备条件。</w:t>
      </w:r>
    </w:p>
    <w:p>
      <w:pPr>
        <w:pStyle w:val="55"/>
        <w:autoSpaceDE w:val="0"/>
        <w:autoSpaceDN w:val="0"/>
        <w:spacing w:line="300" w:lineRule="auto"/>
        <w:ind w:right="31" w:rightChars="13" w:firstLine="560" w:firstLineChars="200"/>
        <w:jc w:val="both"/>
        <w:textAlignment w:val="bottom"/>
        <w:rPr>
          <w:rFonts w:ascii="Arial" w:hAnsi="Arial" w:eastAsia="仿宋" w:cs="Arial"/>
          <w:sz w:val="28"/>
          <w:szCs w:val="28"/>
          <w:highlight w:val="none"/>
        </w:rPr>
      </w:pPr>
      <w:r>
        <w:rPr>
          <w:rFonts w:hint="eastAsia" w:ascii="Arial" w:hAnsi="Arial" w:eastAsia="仿宋" w:cs="Arial"/>
          <w:sz w:val="28"/>
          <w:szCs w:val="28"/>
          <w:highlight w:val="none"/>
        </w:rPr>
        <w:t>本次评估根据相关技术标准，结合估价目的及估价对象的特点，选取了基准地价系数修正法和剩余法作为本次出让地价估价的基本方法。选取了成本逼近法和剩余（增值收益扣减）法作为本次划拨地价估价的基本方法。</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3.本次评估所采用的估价方法简述如下：</w:t>
      </w:r>
    </w:p>
    <w:p>
      <w:pPr>
        <w:pStyle w:val="55"/>
        <w:autoSpaceDE w:val="0"/>
        <w:autoSpaceDN w:val="0"/>
        <w:spacing w:line="300" w:lineRule="auto"/>
        <w:ind w:right="31" w:rightChars="13" w:firstLine="560" w:firstLineChars="200"/>
        <w:jc w:val="both"/>
        <w:textAlignment w:val="bottom"/>
        <w:rPr>
          <w:rFonts w:ascii="Arial" w:hAnsi="Arial" w:eastAsia="仿宋_GB2312" w:cs="Arial"/>
          <w:sz w:val="28"/>
          <w:highlight w:val="none"/>
        </w:rPr>
      </w:pPr>
      <w:r>
        <w:rPr>
          <w:rFonts w:hint="eastAsia" w:ascii="Arial" w:hAnsi="Arial" w:eastAsia="仿宋_GB2312" w:cs="Arial"/>
          <w:sz w:val="28"/>
          <w:highlight w:val="none"/>
        </w:rPr>
        <w:t>（1）出让土地使用权</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1）基准地价系数修正法。</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 xml:space="preserve">基准地价系数修正法是通过对待估宗地地价影响因素的分析，利用宗地地价修正系数，对各级政府已公布的同类用途级别或区域基准地价进行修正，估算待估宗地客观价格的方法。依据《北京市人民政府关于更新出让国有建设用地使用权基准地价的通知》（京政发[2022]12号），其计算公式为： </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地上部分：</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楼面熟地价=适用的基准地价×用途修正系数×期日修正系数×年期修正系数×容积率修正系数（或楼层修正系数）×因素修正系数</w:t>
      </w:r>
    </w:p>
    <w:p>
      <w:pPr>
        <w:spacing w:line="300" w:lineRule="auto"/>
        <w:ind w:firstLine="560" w:firstLineChars="200"/>
        <w:rPr>
          <w:rFonts w:ascii="Arial" w:hAnsi="Arial" w:eastAsia="仿宋_GB2312" w:cs="Arial"/>
          <w:sz w:val="28"/>
          <w:szCs w:val="28"/>
          <w:highlight w:val="none"/>
        </w:rPr>
      </w:pPr>
      <w:r>
        <w:rPr>
          <w:rFonts w:hint="eastAsia" w:ascii="Arial" w:hAnsi="Arial" w:eastAsia="仿宋_GB2312" w:cs="Arial"/>
          <w:sz w:val="28"/>
          <w:szCs w:val="28"/>
          <w:highlight w:val="none"/>
        </w:rPr>
        <w:t>政府土地出让收益=楼面熟地价×政府土地出让收益比例</w:t>
      </w:r>
    </w:p>
    <w:p>
      <w:pPr>
        <w:spacing w:line="300" w:lineRule="auto"/>
        <w:ind w:firstLine="560" w:firstLineChars="200"/>
        <w:rPr>
          <w:rFonts w:ascii="Arial" w:hAnsi="Arial" w:eastAsia="仿宋_GB2312" w:cs="Arial"/>
          <w:sz w:val="28"/>
          <w:szCs w:val="28"/>
          <w:highlight w:val="none"/>
        </w:rPr>
      </w:pPr>
      <w:r>
        <w:rPr>
          <w:rFonts w:ascii="Arial" w:hAnsi="Arial" w:eastAsia="仿宋_GB2312" w:cs="Arial"/>
          <w:sz w:val="28"/>
          <w:szCs w:val="28"/>
          <w:highlight w:val="none"/>
        </w:rPr>
        <w:t>2）剩余法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剩余法是在测算现有不动产正常交易价格的基础上，扣除正常建造成本以及有关专业费用、利息、利润和税费等，以价格余额来估算待估宗地价格的方法。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 = Pr－Ph－T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P——待估宗地价格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Pr——不动产交易价格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Ph——房屋现值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 ——交易税费</w:t>
      </w:r>
      <w:r>
        <w:rPr>
          <w:rFonts w:ascii="Arial" w:hAnsi="Arial" w:eastAsia="仿宋_GB2312" w:cs="Arial"/>
          <w:sz w:val="28"/>
          <w:highlight w:val="none"/>
        </w:rPr>
        <w:t>。</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w:t>
      </w:r>
      <w:r>
        <w:rPr>
          <w:rFonts w:hint="eastAsia" w:ascii="Arial" w:hAnsi="Arial" w:eastAsia="仿宋" w:cs="Arial"/>
          <w:sz w:val="28"/>
          <w:szCs w:val="28"/>
          <w:highlight w:val="none"/>
        </w:rPr>
        <w:t>划拨</w:t>
      </w:r>
      <w:r>
        <w:rPr>
          <w:rFonts w:hint="eastAsia" w:ascii="Arial" w:hAnsi="Arial" w:eastAsia="仿宋_GB2312" w:cs="Arial"/>
          <w:sz w:val="28"/>
          <w:highlight w:val="none"/>
        </w:rPr>
        <w:t>土地使用权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1）成本逼近法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成本逼近法以取得和开发土地所耗费的各项客观费用之合为主要依据，加上客观的利润、利息、应缴纳的税金和土地增值收益等确定宗地价格的方法。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其基本计算公式为：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P=（E</w:t>
      </w:r>
      <w:r>
        <w:rPr>
          <w:rFonts w:hint="eastAsia" w:ascii="Arial" w:hAnsi="Arial" w:eastAsia="仿宋_GB2312" w:cs="Arial"/>
          <w:sz w:val="28"/>
          <w:highlight w:val="none"/>
          <w:vertAlign w:val="subscript"/>
        </w:rPr>
        <w:t>a</w:t>
      </w:r>
      <w:r>
        <w:rPr>
          <w:rFonts w:hint="eastAsia" w:ascii="Arial" w:hAnsi="Arial" w:eastAsia="仿宋_GB2312" w:cs="Arial"/>
          <w:sz w:val="28"/>
          <w:highlight w:val="none"/>
        </w:rPr>
        <w:t>+E</w:t>
      </w:r>
      <w:r>
        <w:rPr>
          <w:rFonts w:hint="eastAsia" w:ascii="Arial" w:hAnsi="Arial" w:eastAsia="仿宋_GB2312" w:cs="Arial"/>
          <w:sz w:val="28"/>
          <w:highlight w:val="none"/>
          <w:vertAlign w:val="subscript"/>
        </w:rPr>
        <w:t>d</w:t>
      </w:r>
      <w:r>
        <w:rPr>
          <w:rFonts w:hint="eastAsia" w:ascii="Arial" w:hAnsi="Arial" w:eastAsia="仿宋_GB2312" w:cs="Arial"/>
          <w:sz w:val="28"/>
          <w:highlight w:val="none"/>
        </w:rPr>
        <w:t>+T+R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P—估价对象价格；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Ea—土地取得成本；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Ed—土地开发成本；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T—税费；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R</w:t>
      </w:r>
      <w:r>
        <w:rPr>
          <w:rFonts w:hint="eastAsia" w:ascii="Arial" w:hAnsi="Arial" w:eastAsia="仿宋_GB2312" w:cs="Arial"/>
          <w:sz w:val="28"/>
          <w:highlight w:val="none"/>
          <w:vertAlign w:val="subscript"/>
        </w:rPr>
        <w:t>3</w:t>
      </w:r>
      <w:r>
        <w:rPr>
          <w:rFonts w:hint="eastAsia" w:ascii="Arial" w:hAnsi="Arial" w:eastAsia="仿宋_GB2312" w:cs="Arial"/>
          <w:sz w:val="28"/>
          <w:highlight w:val="none"/>
        </w:rPr>
        <w:t>—土地增值，划拨地价评估时，不计土地增值；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1</w:t>
      </w:r>
      <w:r>
        <w:rPr>
          <w:rFonts w:hint="eastAsia" w:ascii="Arial" w:hAnsi="Arial" w:eastAsia="仿宋_GB2312" w:cs="Arial"/>
          <w:sz w:val="28"/>
          <w:highlight w:val="none"/>
        </w:rPr>
        <w:t>—区域及个别因素修正系数；</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K</w:t>
      </w:r>
      <w:r>
        <w:rPr>
          <w:rFonts w:hint="eastAsia" w:ascii="Arial" w:hAnsi="Arial" w:eastAsia="仿宋_GB2312" w:cs="Arial"/>
          <w:sz w:val="28"/>
          <w:highlight w:val="none"/>
          <w:vertAlign w:val="subscript"/>
        </w:rPr>
        <w:t>2</w:t>
      </w:r>
      <w:r>
        <w:rPr>
          <w:rFonts w:hint="eastAsia" w:ascii="Arial" w:hAnsi="Arial" w:eastAsia="仿宋_GB2312" w:cs="Arial"/>
          <w:sz w:val="28"/>
          <w:highlight w:val="none"/>
        </w:rPr>
        <w:t>—年期修正系数。</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划拨地价评估时，当土地使用年期设定为无年期限制时，不进行年期修正；当土地使用年期设定为不高于法定最高出让年期时，还应进行年期修正。</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2）剩余（增值收益扣减）法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剩余法是在测算开发完成后的不动产正常交易价格的基础上，扣除预计的正常开发成本及有关专业费用、利息、利润和税费等，以价格余额来估算待估宗地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划拨地价=出让地价×（ 1-土地增值收益率）</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其中，土地增值收益率＝（土地成交总价－土地一级开发补偿费总额）÷土地成交总价。</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4</w:t>
      </w:r>
      <w:r>
        <w:rPr>
          <w:rFonts w:ascii="Arial" w:hAnsi="Arial" w:eastAsia="仿宋_GB2312" w:cs="Arial"/>
          <w:sz w:val="28"/>
          <w:highlight w:val="none"/>
        </w:rPr>
        <w:t>.</w:t>
      </w:r>
      <w:r>
        <w:rPr>
          <w:rFonts w:hint="eastAsia" w:ascii="Arial" w:hAnsi="Arial" w:eastAsia="仿宋_GB2312" w:cs="Arial"/>
          <w:sz w:val="28"/>
          <w:highlight w:val="none"/>
        </w:rPr>
        <w:t>未选取的估价方法以及理由如下：</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市场比较法是以在估价期日近期有过交易的类似土地成交价格为基础，选取适当的因素，并根据因素条件对成交价格进行相应修正以求取估价对象房地产客观价格或价值的一种估价方法。但由于每个项目配建的情况不一致，难以统一价格基础，故不选用市场比较法。</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由于估价对象</w:t>
      </w:r>
      <w:r>
        <w:rPr>
          <w:rFonts w:hint="eastAsia" w:ascii="Arial" w:hAnsi="Arial" w:eastAsia="仿宋_GB2312" w:cs="Arial"/>
          <w:sz w:val="28"/>
          <w:highlight w:val="none"/>
          <w:lang w:eastAsia="zh-CN"/>
        </w:rPr>
        <w:t>设定</w:t>
      </w:r>
      <w:r>
        <w:rPr>
          <w:rFonts w:hint="eastAsia" w:ascii="Arial" w:hAnsi="Arial" w:eastAsia="仿宋_GB2312" w:cs="Arial"/>
          <w:sz w:val="28"/>
          <w:highlight w:val="none"/>
        </w:rPr>
        <w:t>为空地，难以找到土地租赁案例，故未采用收益还原法。</w:t>
      </w:r>
    </w:p>
    <w:p>
      <w:pPr>
        <w:spacing w:line="300" w:lineRule="auto"/>
        <w:jc w:val="both"/>
        <w:rPr>
          <w:rFonts w:ascii="Arial" w:hAnsi="Arial" w:eastAsia="仿宋_GB2312" w:cs="Arial"/>
          <w:sz w:val="28"/>
          <w:highlight w:val="none"/>
        </w:rPr>
      </w:pPr>
      <w:r>
        <w:rPr>
          <w:rFonts w:ascii="Arial" w:hAnsi="Arial" w:eastAsia="仿宋_GB2312" w:cs="Arial"/>
          <w:sz w:val="28"/>
          <w:highlight w:val="none"/>
        </w:rPr>
        <w:br w:type="page"/>
      </w:r>
    </w:p>
    <w:p>
      <w:pPr>
        <w:spacing w:line="300" w:lineRule="auto"/>
        <w:jc w:val="both"/>
        <w:rPr>
          <w:rFonts w:ascii="Arial" w:hAnsi="Arial" w:eastAsia="仿宋_GB2312" w:cs="Arial"/>
          <w:sz w:val="28"/>
          <w:highlight w:val="none"/>
        </w:rPr>
      </w:pPr>
      <w:r>
        <w:rPr>
          <w:rFonts w:ascii="Arial" w:hAnsi="Arial" w:eastAsia="仿宋_GB2312" w:cs="Arial"/>
          <w:sz w:val="28"/>
          <w:highlight w:val="none"/>
        </w:rPr>
        <w:t>（二）估价过程</w:t>
      </w:r>
      <w:bookmarkEnd w:id="308"/>
      <w:bookmarkEnd w:id="309"/>
    </w:p>
    <w:p>
      <w:pPr>
        <w:pStyle w:val="55"/>
        <w:autoSpaceDE w:val="0"/>
        <w:autoSpaceDN w:val="0"/>
        <w:spacing w:line="300" w:lineRule="auto"/>
        <w:ind w:right="140" w:firstLine="562" w:firstLineChars="200"/>
        <w:jc w:val="both"/>
        <w:textAlignment w:val="bottom"/>
        <w:rPr>
          <w:rFonts w:ascii="Arial" w:hAnsi="Arial" w:eastAsia="仿宋_GB2312" w:cs="Arial"/>
          <w:b/>
          <w:sz w:val="28"/>
          <w:highlight w:val="none"/>
        </w:rPr>
      </w:pPr>
      <w:r>
        <w:rPr>
          <w:rFonts w:ascii="Arial" w:hAnsi="Arial" w:eastAsia="仿宋_GB2312" w:cs="Arial"/>
          <w:b/>
          <w:sz w:val="28"/>
          <w:highlight w:val="none"/>
        </w:rPr>
        <w:t>相关参数</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1.估价对象土地经济技术指标</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（1）土地面积</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bCs/>
          <w:sz w:val="28"/>
          <w:highlight w:val="none"/>
        </w:rPr>
        <w:t>估价对象为</w:t>
      </w:r>
      <w:r>
        <w:rPr>
          <w:rFonts w:hint="eastAsia" w:ascii="Arial" w:hAnsi="Arial" w:eastAsia="仿宋_GB2312" w:cs="Arial"/>
          <w:sz w:val="28"/>
          <w:highlight w:val="none"/>
        </w:rPr>
        <w:t>北京市密云区西门外大街</w:t>
      </w:r>
      <w:r>
        <w:rPr>
          <w:rFonts w:hint="eastAsia" w:ascii="Arial" w:hAnsi="Arial" w:eastAsia="仿宋_GB2312" w:cs="Arial"/>
          <w:sz w:val="28"/>
          <w:highlight w:val="none"/>
          <w:lang w:eastAsia="zh-CN"/>
        </w:rPr>
        <w:t>8号楼601-605号</w:t>
      </w:r>
      <w:r>
        <w:rPr>
          <w:rFonts w:hint="eastAsia" w:ascii="Arial" w:hAnsi="Arial" w:eastAsia="仿宋_GB2312" w:cs="Arial"/>
          <w:sz w:val="28"/>
          <w:highlight w:val="none"/>
        </w:rPr>
        <w:t>现状商业用地</w:t>
      </w:r>
      <w:r>
        <w:rPr>
          <w:rFonts w:ascii="Arial" w:hAnsi="Arial" w:eastAsia="仿宋_GB2312" w:cs="Arial"/>
          <w:sz w:val="28"/>
          <w:highlight w:val="none"/>
        </w:rPr>
        <w:t>。</w:t>
      </w:r>
      <w:r>
        <w:rPr>
          <w:rFonts w:hint="eastAsia" w:ascii="Arial" w:hAnsi="Arial" w:eastAsia="仿宋_GB2312" w:cs="Arial"/>
          <w:spacing w:val="-12"/>
          <w:sz w:val="28"/>
          <w:highlight w:val="none"/>
        </w:rPr>
        <w:t>根据《土地权属审查告知书》[</w:t>
      </w:r>
      <w:r>
        <w:rPr>
          <w:rFonts w:hint="eastAsia" w:ascii="Arial" w:hAnsi="Arial" w:eastAsia="仿宋_GB2312" w:cs="Arial"/>
          <w:spacing w:val="-12"/>
          <w:sz w:val="28"/>
          <w:highlight w:val="none"/>
          <w:lang w:eastAsia="zh-CN"/>
        </w:rPr>
        <w:t>密权属审〔2023〕字第019号</w:t>
      </w:r>
      <w:r>
        <w:rPr>
          <w:rFonts w:hint="eastAsia" w:ascii="Arial" w:hAnsi="Arial" w:eastAsia="仿宋_GB2312" w:cs="Arial"/>
          <w:spacing w:val="-12"/>
          <w:sz w:val="28"/>
          <w:highlight w:val="none"/>
        </w:rPr>
        <w:t>]及《国有建设用地使用权出让地价评估委托书》，估价对象分摊土地使用权面积为</w:t>
      </w:r>
      <w:r>
        <w:rPr>
          <w:rFonts w:hint="eastAsia" w:ascii="Arial" w:hAnsi="Arial" w:eastAsia="仿宋_GB2312" w:cs="Arial"/>
          <w:spacing w:val="-12"/>
          <w:sz w:val="28"/>
          <w:highlight w:val="none"/>
          <w:lang w:eastAsia="zh-CN"/>
        </w:rPr>
        <w:t>127.326</w:t>
      </w:r>
      <w:r>
        <w:rPr>
          <w:rFonts w:hint="eastAsia" w:ascii="Arial" w:hAnsi="Arial" w:eastAsia="仿宋_GB2312" w:cs="Arial"/>
          <w:spacing w:val="-12"/>
          <w:sz w:val="28"/>
          <w:highlight w:val="none"/>
        </w:rPr>
        <w:t>平方米，用途为商业。</w:t>
      </w:r>
    </w:p>
    <w:p>
      <w:pPr>
        <w:pStyle w:val="55"/>
        <w:autoSpaceDE w:val="0"/>
        <w:autoSpaceDN w:val="0"/>
        <w:spacing w:line="300" w:lineRule="auto"/>
        <w:ind w:right="140"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（2）规划建筑面积</w:t>
      </w: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snapToGrid w:val="0"/>
        <w:spacing w:line="300" w:lineRule="auto"/>
        <w:jc w:val="both"/>
        <w:rPr>
          <w:rFonts w:ascii="Arial" w:hAnsi="Arial" w:eastAsia="仿宋" w:cs="Arial"/>
          <w:sz w:val="18"/>
          <w:szCs w:val="18"/>
          <w:highlight w:val="none"/>
        </w:rPr>
      </w:pPr>
      <w:r>
        <w:rPr>
          <w:rFonts w:ascii="Arial" w:hAnsi="Arial" w:eastAsia="仿宋" w:cs="Arial"/>
          <w:sz w:val="18"/>
          <w:szCs w:val="18"/>
          <w:highlight w:val="none"/>
        </w:rPr>
        <w:t>备注：容积率=建筑面积÷分摊土地使用权面积=</w:t>
      </w:r>
      <w:r>
        <w:rPr>
          <w:rFonts w:hint="eastAsia" w:ascii="Arial" w:hAnsi="Arial" w:eastAsia="仿宋" w:cs="Arial"/>
          <w:sz w:val="18"/>
          <w:szCs w:val="18"/>
          <w:highlight w:val="none"/>
          <w:lang w:eastAsia="zh-CN"/>
        </w:rPr>
        <w:t>259.75</w:t>
      </w:r>
      <w:r>
        <w:rPr>
          <w:rFonts w:ascii="Arial" w:hAnsi="Arial" w:eastAsia="仿宋" w:cs="Arial"/>
          <w:sz w:val="18"/>
          <w:szCs w:val="18"/>
          <w:highlight w:val="none"/>
        </w:rPr>
        <w:t>÷</w:t>
      </w:r>
      <w:r>
        <w:rPr>
          <w:rFonts w:hint="eastAsia" w:ascii="Arial" w:hAnsi="Arial" w:eastAsia="仿宋" w:cs="Arial"/>
          <w:sz w:val="18"/>
          <w:szCs w:val="18"/>
          <w:highlight w:val="none"/>
          <w:lang w:eastAsia="zh-CN"/>
        </w:rPr>
        <w:t>127.326</w:t>
      </w:r>
      <w:r>
        <w:rPr>
          <w:rFonts w:ascii="Arial" w:hAnsi="Arial" w:eastAsia="仿宋" w:cs="Arial"/>
          <w:sz w:val="18"/>
          <w:szCs w:val="18"/>
          <w:highlight w:val="none"/>
        </w:rPr>
        <w:t>=2.04</w:t>
      </w:r>
    </w:p>
    <w:p>
      <w:pPr>
        <w:snapToGrid w:val="0"/>
        <w:spacing w:line="300" w:lineRule="auto"/>
        <w:ind w:firstLine="560" w:firstLineChars="200"/>
        <w:jc w:val="both"/>
        <w:rPr>
          <w:rFonts w:ascii="Arial" w:hAnsi="Arial" w:eastAsia="仿宋_GB2312" w:cs="Arial"/>
          <w:spacing w:val="-12"/>
          <w:sz w:val="28"/>
          <w:highlight w:val="none"/>
        </w:rPr>
      </w:pPr>
      <w:r>
        <w:rPr>
          <w:rFonts w:ascii="Arial" w:hAnsi="Arial" w:eastAsia="仿宋_GB2312" w:cs="Arial"/>
          <w:sz w:val="28"/>
          <w:highlight w:val="none"/>
        </w:rPr>
        <w:t>估价对象属于</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区片地价区内</w:t>
      </w:r>
      <w:r>
        <w:rPr>
          <w:rFonts w:ascii="Arial" w:hAnsi="Arial" w:eastAsia="仿宋_GB2312" w:cs="Arial"/>
          <w:sz w:val="28"/>
          <w:highlight w:val="none"/>
        </w:rPr>
        <w:t>，</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ascii="Arial" w:hAnsi="Arial" w:eastAsia="仿宋_GB2312" w:cs="Arial"/>
          <w:sz w:val="28"/>
          <w:highlight w:val="none"/>
        </w:rPr>
        <w:t>用途该级别平均容积率均为2.00。估价对象宗地形状较</w:t>
      </w:r>
      <w:r>
        <w:rPr>
          <w:rFonts w:hint="eastAsia" w:ascii="Arial" w:hAnsi="Arial" w:eastAsia="仿宋_GB2312" w:cs="Arial"/>
          <w:sz w:val="28"/>
          <w:highlight w:val="none"/>
        </w:rPr>
        <w:t>不</w:t>
      </w:r>
      <w:r>
        <w:rPr>
          <w:rFonts w:ascii="Arial" w:hAnsi="Arial" w:eastAsia="仿宋_GB2312" w:cs="Arial"/>
          <w:sz w:val="28"/>
          <w:highlight w:val="none"/>
        </w:rPr>
        <w:t>规则、地形平坦、地质良好。综合评价估价对象土地利用程度</w:t>
      </w:r>
      <w:r>
        <w:rPr>
          <w:rFonts w:hint="eastAsia" w:ascii="Arial" w:hAnsi="Arial" w:eastAsia="仿宋_GB2312" w:cs="Arial"/>
          <w:sz w:val="28"/>
          <w:highlight w:val="none"/>
        </w:rPr>
        <w:t>一般</w:t>
      </w:r>
      <w:r>
        <w:rPr>
          <w:rFonts w:ascii="Arial" w:hAnsi="Arial" w:eastAsia="仿宋_GB2312" w:cs="Arial"/>
          <w:sz w:val="28"/>
          <w:highlight w:val="none"/>
        </w:rPr>
        <w:t>。</w:t>
      </w:r>
    </w:p>
    <w:p>
      <w:pPr>
        <w:pStyle w:val="55"/>
        <w:autoSpaceDE w:val="0"/>
        <w:autoSpaceDN w:val="0"/>
        <w:snapToGrid w:val="0"/>
        <w:spacing w:line="300" w:lineRule="auto"/>
        <w:ind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（3）利润率</w:t>
      </w:r>
    </w:p>
    <w:p>
      <w:pPr>
        <w:pStyle w:val="55"/>
        <w:autoSpaceDE w:val="0"/>
        <w:autoSpaceDN w:val="0"/>
        <w:spacing w:line="300" w:lineRule="auto"/>
        <w:ind w:right="142" w:firstLine="568" w:firstLineChars="203"/>
        <w:jc w:val="both"/>
        <w:textAlignment w:val="bottom"/>
        <w:rPr>
          <w:rFonts w:ascii="Arial" w:hAnsi="Arial" w:eastAsia="仿宋_GB2312" w:cs="Arial"/>
          <w:sz w:val="28"/>
          <w:highlight w:val="none"/>
        </w:rPr>
      </w:pPr>
      <w:r>
        <w:rPr>
          <w:rFonts w:ascii="Arial" w:hAnsi="Arial" w:eastAsia="仿宋_GB2312" w:cs="Arial"/>
          <w:sz w:val="28"/>
          <w:highlight w:val="none"/>
        </w:rPr>
        <w:t>本次利润率的计取中，</w:t>
      </w:r>
      <w:r>
        <w:rPr>
          <w:rFonts w:hint="eastAsia" w:ascii="Arial" w:hAnsi="Arial" w:eastAsia="仿宋_GB2312" w:cs="Arial"/>
          <w:sz w:val="28"/>
          <w:highlight w:val="none"/>
        </w:rPr>
        <w:t>商业</w:t>
      </w:r>
      <w:r>
        <w:rPr>
          <w:rFonts w:ascii="Arial" w:hAnsi="Arial" w:eastAsia="仿宋_GB2312" w:cs="Arial"/>
          <w:sz w:val="28"/>
          <w:highlight w:val="none"/>
        </w:rPr>
        <w:t>用房取</w:t>
      </w:r>
      <w:r>
        <w:rPr>
          <w:rFonts w:hint="eastAsia" w:ascii="Arial" w:hAnsi="Arial" w:eastAsia="仿宋_GB2312" w:cs="Arial"/>
          <w:sz w:val="28"/>
          <w:highlight w:val="none"/>
        </w:rPr>
        <w:t>2</w:t>
      </w:r>
      <w:r>
        <w:rPr>
          <w:rFonts w:ascii="Arial" w:hAnsi="Arial" w:eastAsia="仿宋_GB2312" w:cs="Arial"/>
          <w:sz w:val="28"/>
          <w:highlight w:val="none"/>
        </w:rPr>
        <w:t xml:space="preserve">0%。 </w:t>
      </w:r>
    </w:p>
    <w:p>
      <w:pPr>
        <w:pStyle w:val="55"/>
        <w:autoSpaceDE w:val="0"/>
        <w:autoSpaceDN w:val="0"/>
        <w:spacing w:line="300" w:lineRule="auto"/>
        <w:ind w:right="140" w:firstLine="560" w:firstLineChars="200"/>
        <w:jc w:val="both"/>
        <w:textAlignment w:val="bottom"/>
        <w:rPr>
          <w:rFonts w:ascii="Arial" w:hAnsi="Arial" w:eastAsia="仿宋_GB2312" w:cs="Arial"/>
          <w:sz w:val="28"/>
          <w:highlight w:val="none"/>
        </w:rPr>
      </w:pPr>
      <w:r>
        <w:rPr>
          <w:rFonts w:ascii="Arial" w:hAnsi="Arial" w:eastAsia="仿宋_GB2312" w:cs="Arial"/>
          <w:sz w:val="28"/>
          <w:highlight w:val="none"/>
        </w:rPr>
        <w:t>2.工期情况说明：</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土地开发期：</w:t>
      </w:r>
      <w:r>
        <w:rPr>
          <w:rFonts w:hint="eastAsia" w:ascii="Arial" w:hAnsi="Arial" w:eastAsia="仿宋_GB2312" w:cs="Arial"/>
          <w:sz w:val="28"/>
          <w:highlight w:val="none"/>
        </w:rPr>
        <w:t>1</w:t>
      </w:r>
      <w:r>
        <w:rPr>
          <w:rFonts w:ascii="Arial" w:hAnsi="Arial" w:eastAsia="仿宋_GB2312" w:cs="Arial"/>
          <w:sz w:val="28"/>
          <w:highlight w:val="none"/>
        </w:rPr>
        <w:t>年</w:t>
      </w:r>
    </w:p>
    <w:p>
      <w:pPr>
        <w:pStyle w:val="55"/>
        <w:autoSpaceDE w:val="0"/>
        <w:autoSpaceDN w:val="0"/>
        <w:spacing w:line="300" w:lineRule="auto"/>
        <w:ind w:right="140" w:firstLine="570"/>
        <w:jc w:val="both"/>
        <w:textAlignment w:val="bottom"/>
        <w:rPr>
          <w:rFonts w:ascii="Arial" w:hAnsi="Arial" w:eastAsia="仿宋_GB2312" w:cs="Arial"/>
          <w:sz w:val="28"/>
          <w:highlight w:val="none"/>
        </w:rPr>
      </w:pPr>
      <w:r>
        <w:rPr>
          <w:rFonts w:ascii="Arial" w:hAnsi="Arial" w:eastAsia="仿宋_GB2312" w:cs="Arial"/>
          <w:sz w:val="28"/>
          <w:highlight w:val="none"/>
        </w:rPr>
        <w:t>建筑物建设期：</w:t>
      </w:r>
      <w:r>
        <w:rPr>
          <w:rFonts w:hint="eastAsia" w:ascii="Arial" w:hAnsi="Arial" w:eastAsia="仿宋_GB2312" w:cs="Arial"/>
          <w:sz w:val="28"/>
          <w:highlight w:val="none"/>
        </w:rPr>
        <w:t>1</w:t>
      </w:r>
      <w:r>
        <w:rPr>
          <w:rFonts w:ascii="Arial" w:hAnsi="Arial" w:eastAsia="仿宋_GB2312" w:cs="Arial"/>
          <w:sz w:val="28"/>
          <w:highlight w:val="none"/>
        </w:rPr>
        <w:t>年</w:t>
      </w:r>
    </w:p>
    <w:p>
      <w:pPr>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br w:type="page"/>
      </w:r>
    </w:p>
    <w:p>
      <w:pPr>
        <w:snapToGrid w:val="0"/>
        <w:spacing w:line="300" w:lineRule="auto"/>
        <w:ind w:firstLine="562" w:firstLineChars="200"/>
        <w:jc w:val="both"/>
        <w:rPr>
          <w:rFonts w:ascii="Arial" w:hAnsi="Arial" w:eastAsia="仿宋_GB2312" w:cs="Arial"/>
          <w:b/>
          <w:sz w:val="28"/>
          <w:highlight w:val="none"/>
        </w:rPr>
      </w:pPr>
      <w:r>
        <w:rPr>
          <w:rFonts w:ascii="Arial" w:hAnsi="Arial" w:eastAsia="仿宋_GB2312" w:cs="Arial"/>
          <w:b/>
          <w:sz w:val="28"/>
          <w:highlight w:val="none"/>
        </w:rPr>
        <w:t>测算过程：</w:t>
      </w:r>
    </w:p>
    <w:p>
      <w:pPr>
        <w:snapToGrid w:val="0"/>
        <w:spacing w:line="300" w:lineRule="auto"/>
        <w:ind w:firstLine="562" w:firstLineChars="200"/>
        <w:jc w:val="both"/>
        <w:rPr>
          <w:rFonts w:ascii="Arial" w:hAnsi="Arial" w:eastAsia="仿宋_GB2312" w:cs="Arial"/>
          <w:b/>
          <w:sz w:val="28"/>
          <w:highlight w:val="none"/>
        </w:rPr>
      </w:pPr>
      <w:r>
        <w:rPr>
          <w:rFonts w:hint="eastAsia" w:ascii="Arial" w:hAnsi="Arial" w:eastAsia="仿宋_GB2312" w:cs="Arial"/>
          <w:b/>
          <w:sz w:val="28"/>
          <w:highlight w:val="none"/>
        </w:rPr>
        <w:t>一、出让国有建设用地使用权价格</w:t>
      </w:r>
    </w:p>
    <w:p>
      <w:pPr>
        <w:spacing w:line="300" w:lineRule="auto"/>
        <w:ind w:left="420"/>
        <w:jc w:val="both"/>
        <w:rPr>
          <w:rFonts w:ascii="Arial" w:hAnsi="Arial" w:eastAsia="仿宋_GB2312" w:cs="Arial"/>
          <w:b/>
          <w:bCs/>
          <w:sz w:val="28"/>
          <w:highlight w:val="none"/>
        </w:rPr>
      </w:pPr>
      <w:bookmarkStart w:id="310" w:name="_Toc469066172"/>
      <w:bookmarkStart w:id="311" w:name="_Toc416783610"/>
      <w:bookmarkStart w:id="312" w:name="_Toc416783706"/>
      <w:r>
        <w:rPr>
          <w:rFonts w:ascii="Arial" w:hAnsi="Arial" w:eastAsia="仿宋_GB2312" w:cs="Arial"/>
          <w:b/>
          <w:sz w:val="28"/>
          <w:highlight w:val="none"/>
        </w:rPr>
        <w:t>方法一：</w:t>
      </w:r>
      <w:r>
        <w:rPr>
          <w:rFonts w:ascii="Arial" w:hAnsi="Arial" w:eastAsia="仿宋_GB2312" w:cs="Arial"/>
          <w:b/>
          <w:bCs/>
          <w:sz w:val="28"/>
          <w:highlight w:val="none"/>
        </w:rPr>
        <w:t>基准地价系数修正法</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人民政府于2002年12月4日发布了《北京市人民政府关于调整本市出让国有土地使用权基准地价的通知》[京政发（2002）32号]，对1993年北京市出让国有土地使用权基准地价《北京市人民政府发布北京市出让国有土地使用权基准地价的通知》[京政发（1993）34号]进行了更新调整，从2002年12月10日起施行新的出让国有土地使用权基准地价。2014年8月28日，北京市人民政府发布了《北京市人民政府关于更新出让国有建设用地使用权基准地价的通知》[京政发（2014）26号]，再次对北京市国有建设用地使用权基准地价（以下简称基准地价）进行了更新。2022年3月14日，北京市人民政府印发了《北京市人民政府关于更新出让国有建设用地使用权基准地价的通知》（京政发</w:t>
      </w:r>
      <w:r>
        <w:rPr>
          <w:rFonts w:hint="eastAsia" w:ascii="Arial" w:hAnsi="Arial" w:eastAsia="仿宋" w:cs="Arial"/>
          <w:sz w:val="28"/>
          <w:highlight w:val="none"/>
        </w:rPr>
        <w:t>[</w:t>
      </w:r>
      <w:r>
        <w:rPr>
          <w:rFonts w:ascii="Arial" w:hAnsi="Arial" w:eastAsia="仿宋" w:cs="Arial"/>
          <w:sz w:val="28"/>
          <w:highlight w:val="none"/>
        </w:rPr>
        <w:t>2022</w:t>
      </w:r>
      <w:r>
        <w:rPr>
          <w:rFonts w:hint="eastAsia" w:ascii="Arial" w:hAnsi="Arial" w:eastAsia="仿宋" w:cs="Arial"/>
          <w:sz w:val="28"/>
          <w:highlight w:val="none"/>
        </w:rPr>
        <w:t>]</w:t>
      </w:r>
      <w:r>
        <w:rPr>
          <w:rFonts w:ascii="Arial" w:hAnsi="Arial" w:eastAsia="仿宋" w:cs="Arial"/>
          <w:sz w:val="28"/>
          <w:highlight w:val="none"/>
        </w:rPr>
        <w:t>12号），根据《中华人民共和国城市房地产管理法》和《中共中央国务院关于构建更加完善的要素市场化配置体制机制的意见》精神，为进一步加强自然资源管理，完善地价管理体系，规范土地市场秩序，发挥政府的指导调控作用，对北京市出让国有建设用地使用权基准地价进行了更新，自印发之日起施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基准地价成果属于政府公示地价，作为确定国有建设用地使用权出让价格审定、国有建设用地租赁租金审定、企业改制土地资产价格处置等依据之一。其他情形参照执行。</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《北京市出让国有建设用地使用权基准地价更新成果》包括基准地价基本内容、基准地价表、基准地价级别（区片）范围说明、基准地价应用说明等。</w:t>
      </w: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在《北京市出让国有建设用地使用权基准地价更新成果》中，级别（区片）基准地价是在正常市场条件下各土地级别（区片）内，土地开发程度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）或宗地外通路、通电、通讯、通上水、通下水及宗地内平整（简称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），在平均容积率条件下，各土地用途的法定最高出让年限条件下国有建设用地使用权的平均价格。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基准地价的基准期日为2021年1月1日；土地用途划分为商业、办公、住宅、工业、公共服务五类；级别基准地价土地开发程度一至七级为宗地外通路、通电、通讯、通上水、通下水、通燃气、通热及宗地内平整（简称</w:t>
      </w:r>
      <w:r>
        <w:rPr>
          <w:rFonts w:hint="eastAsia" w:ascii="Arial" w:hAnsi="Arial" w:eastAsia="仿宋" w:cs="Arial"/>
          <w:sz w:val="28"/>
          <w:highlight w:val="none"/>
        </w:rPr>
        <w:t>“</w:t>
      </w:r>
      <w:r>
        <w:rPr>
          <w:rFonts w:ascii="Arial" w:hAnsi="Arial" w:eastAsia="仿宋" w:cs="Arial"/>
          <w:sz w:val="28"/>
          <w:highlight w:val="none"/>
        </w:rPr>
        <w:t>七通一平</w:t>
      </w:r>
      <w:r>
        <w:rPr>
          <w:rFonts w:hint="eastAsia" w:ascii="Arial" w:hAnsi="Arial" w:eastAsia="仿宋" w:cs="Arial"/>
          <w:sz w:val="28"/>
          <w:highlight w:val="none"/>
        </w:rPr>
        <w:t>”</w:t>
      </w:r>
      <w:r>
        <w:rPr>
          <w:rFonts w:ascii="Arial" w:hAnsi="Arial" w:eastAsia="仿宋" w:cs="Arial"/>
          <w:sz w:val="28"/>
          <w:highlight w:val="none"/>
        </w:rPr>
        <w:t>），八至十二级为宗地外通路、通电、通讯、通上水、通下水及宗地内平整（简称</w:t>
      </w:r>
      <w:r>
        <w:rPr>
          <w:rFonts w:hint="eastAsia" w:ascii="Arial" w:hAnsi="Arial" w:eastAsia="仿宋" w:cs="Arial"/>
          <w:sz w:val="28"/>
          <w:highlight w:val="none"/>
        </w:rPr>
        <w:t>“</w:t>
      </w:r>
      <w:r>
        <w:rPr>
          <w:rFonts w:ascii="Arial" w:hAnsi="Arial" w:eastAsia="仿宋" w:cs="Arial"/>
          <w:sz w:val="28"/>
          <w:highlight w:val="none"/>
        </w:rPr>
        <w:t>五通一平</w:t>
      </w:r>
      <w:r>
        <w:rPr>
          <w:rFonts w:hint="eastAsia" w:ascii="Arial" w:hAnsi="Arial" w:eastAsia="仿宋" w:cs="Arial"/>
          <w:sz w:val="28"/>
          <w:highlight w:val="none"/>
        </w:rPr>
        <w:t>”</w:t>
      </w:r>
      <w:r>
        <w:rPr>
          <w:rFonts w:ascii="Arial" w:hAnsi="Arial" w:eastAsia="仿宋" w:cs="Arial"/>
          <w:sz w:val="28"/>
          <w:highlight w:val="none"/>
        </w:rPr>
        <w:t>）；级别平均容积率详见下表：</w:t>
      </w:r>
    </w:p>
    <w:tbl>
      <w:tblPr>
        <w:tblStyle w:val="35"/>
        <w:tblW w:w="9299" w:type="dxa"/>
        <w:jc w:val="center"/>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Layout w:type="fixed"/>
        <w:tblCellMar>
          <w:top w:w="57" w:type="dxa"/>
          <w:left w:w="57" w:type="dxa"/>
          <w:bottom w:w="57" w:type="dxa"/>
          <w:right w:w="57" w:type="dxa"/>
        </w:tblCellMar>
      </w:tblPr>
      <w:tblGrid>
        <w:gridCol w:w="1049"/>
        <w:gridCol w:w="1049"/>
        <w:gridCol w:w="1731"/>
        <w:gridCol w:w="1842"/>
        <w:gridCol w:w="1865"/>
        <w:gridCol w:w="1763"/>
      </w:tblGrid>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300" w:lineRule="auto"/>
              <w:ind w:firstLine="900" w:firstLineChars="500"/>
              <w:jc w:val="right"/>
              <w:textAlignment w:val="auto"/>
              <w:rPr>
                <w:rFonts w:ascii="Arial" w:hAnsi="Arial" w:eastAsia="仿宋" w:cs="Arial"/>
                <w:sz w:val="18"/>
                <w:szCs w:val="22"/>
                <w:highlight w:val="none"/>
              </w:rPr>
            </w:pPr>
            <w:r>
              <w:rPr>
                <w:rFonts w:ascii="Arial" w:hAnsi="Arial" w:eastAsia="仿宋" w:cs="Arial"/>
                <w:sz w:val="18"/>
                <w:szCs w:val="22"/>
                <w:highlight w:val="none"/>
              </w:rPr>
              <w:t>土地级别</w:t>
            </w:r>
          </w:p>
          <w:p>
            <w:pPr>
              <w:spacing w:line="300" w:lineRule="auto"/>
              <w:rPr>
                <w:rFonts w:ascii="Arial" w:hAnsi="Arial" w:eastAsia="仿宋" w:cs="Arial"/>
                <w:sz w:val="18"/>
                <w:szCs w:val="22"/>
                <w:highlight w:val="none"/>
              </w:rPr>
            </w:pPr>
            <w:r>
              <w:rPr>
                <w:rFonts w:ascii="Arial" w:hAnsi="Arial" w:eastAsia="仿宋" w:cs="Arial"/>
                <w:sz w:val="18"/>
                <w:szCs w:val="22"/>
                <w:highlight w:val="none"/>
              </w:rPr>
              <w:t>土地用途</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一级至二级</w:t>
            </w:r>
          </w:p>
        </w:tc>
        <w:tc>
          <w:tcPr>
            <w:tcW w:w="184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三级至五级</w:t>
            </w:r>
          </w:p>
        </w:tc>
        <w:tc>
          <w:tcPr>
            <w:tcW w:w="186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六级至七级</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八级至十二级</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商业类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办公类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3.5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住宅类</w:t>
            </w:r>
          </w:p>
        </w:tc>
        <w:tc>
          <w:tcPr>
            <w:tcW w:w="543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工业类</w:t>
            </w: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M4</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2.5</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1049"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p>
        </w:tc>
        <w:tc>
          <w:tcPr>
            <w:tcW w:w="10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一般类</w:t>
            </w:r>
          </w:p>
        </w:tc>
        <w:tc>
          <w:tcPr>
            <w:tcW w:w="357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1.5</w:t>
            </w:r>
          </w:p>
        </w:tc>
        <w:tc>
          <w:tcPr>
            <w:tcW w:w="186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1.2</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1.0</w:t>
            </w:r>
          </w:p>
        </w:tc>
      </w:tr>
      <w:tr>
        <w:tblPrEx>
          <w:tblBorders>
            <w:top w:val="single" w:color="404040" w:sz="2" w:space="0"/>
            <w:left w:val="single" w:color="404040" w:sz="2" w:space="0"/>
            <w:bottom w:val="single" w:color="404040" w:sz="2" w:space="0"/>
            <w:right w:val="single" w:color="404040" w:sz="2" w:space="0"/>
            <w:insideH w:val="none" w:color="auto" w:sz="0" w:space="0"/>
            <w:insideV w:val="single" w:color="404040" w:sz="2" w:space="0"/>
          </w:tblBorders>
          <w:tblCellMar>
            <w:top w:w="57" w:type="dxa"/>
            <w:left w:w="57" w:type="dxa"/>
            <w:bottom w:w="57" w:type="dxa"/>
            <w:right w:w="57" w:type="dxa"/>
          </w:tblCellMar>
        </w:tblPrEx>
        <w:trPr>
          <w:cantSplit/>
          <w:jc w:val="center"/>
        </w:trPr>
        <w:tc>
          <w:tcPr>
            <w:tcW w:w="209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公共服务类</w:t>
            </w:r>
          </w:p>
        </w:tc>
        <w:tc>
          <w:tcPr>
            <w:tcW w:w="17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2.5 </w:t>
            </w:r>
          </w:p>
        </w:tc>
        <w:tc>
          <w:tcPr>
            <w:tcW w:w="370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2.0</w:t>
            </w:r>
          </w:p>
        </w:tc>
        <w:tc>
          <w:tcPr>
            <w:tcW w:w="176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textAlignment w:val="auto"/>
              <w:rPr>
                <w:rFonts w:ascii="Arial" w:hAnsi="Arial" w:eastAsia="仿宋" w:cs="Arial"/>
                <w:sz w:val="18"/>
                <w:szCs w:val="22"/>
                <w:highlight w:val="none"/>
              </w:rPr>
            </w:pPr>
            <w:r>
              <w:rPr>
                <w:rFonts w:ascii="Arial" w:hAnsi="Arial" w:eastAsia="仿宋" w:cs="Arial"/>
                <w:sz w:val="18"/>
                <w:szCs w:val="22"/>
                <w:highlight w:val="none"/>
              </w:rPr>
              <w:t xml:space="preserve">1.5 </w:t>
            </w:r>
          </w:p>
        </w:tc>
      </w:tr>
    </w:tbl>
    <w:p>
      <w:pPr>
        <w:pStyle w:val="11"/>
        <w:adjustRightInd w:val="0"/>
        <w:snapToGrid w:val="0"/>
        <w:spacing w:line="240" w:lineRule="exact"/>
        <w:ind w:firstLine="360" w:firstLineChars="200"/>
        <w:rPr>
          <w:rFonts w:ascii="Arial" w:hAnsi="Arial" w:eastAsia="仿宋" w:cs="Arial"/>
          <w:sz w:val="18"/>
          <w:szCs w:val="18"/>
          <w:highlight w:val="none"/>
        </w:rPr>
      </w:pPr>
    </w:p>
    <w:p>
      <w:pPr>
        <w:pStyle w:val="11"/>
        <w:spacing w:line="300" w:lineRule="auto"/>
        <w:ind w:firstLine="560" w:firstLineChars="200"/>
        <w:rPr>
          <w:rFonts w:ascii="Arial" w:hAnsi="Arial" w:eastAsia="仿宋" w:cs="Arial"/>
          <w:sz w:val="28"/>
          <w:highlight w:val="none"/>
        </w:rPr>
      </w:pPr>
      <w:r>
        <w:rPr>
          <w:rFonts w:ascii="Arial" w:hAnsi="Arial" w:eastAsia="仿宋" w:cs="Arial"/>
          <w:sz w:val="28"/>
          <w:highlight w:val="none"/>
        </w:rPr>
        <w:t>基准地价的表示形式为楼面熟地价。楼面熟地价是指各土地级别（区片）内，在设定土地开发程度和平均容积率条件下，每建筑面积分摊的国有建设用地使用权的平均价格。</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 w:cs="Arial"/>
          <w:sz w:val="28"/>
          <w:highlight w:val="none"/>
        </w:rPr>
        <w:t>国有建设用地使用权出让政府土地收益按照楼面熟地价及各土地用途的政府土地收益比例确定。同一宗地包括多种土地用途或建筑功能的，按细分后的用途或功能的建筑面积或分摊用地面积分别计算求和。参照商业、办公、住宅、公共服务类基准地价的，政府土地出让收益按照政府审定楼面熟地价的25%确定，参照工业类基准地价的，政府土地出让收益按照政府审定楼面熟地价的15%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2.计算公式如下：</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地上部分</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楼面熟地价＝适用的基准地价×用途修正系数×期日修正系数×年期修正系数×容积率修正系数（或楼层修正系数）×因素修正系数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政府土地出让收益＝楼面熟地价×政府土地出让收益比例</w:t>
      </w:r>
    </w:p>
    <w:p>
      <w:pPr>
        <w:pStyle w:val="51"/>
        <w:numPr>
          <w:ilvl w:val="0"/>
          <w:numId w:val="6"/>
        </w:numPr>
        <w:overflowPunct w:val="0"/>
        <w:spacing w:line="300" w:lineRule="auto"/>
        <w:ind w:firstLineChars="0"/>
        <w:jc w:val="both"/>
        <w:textAlignment w:val="auto"/>
        <w:rPr>
          <w:rFonts w:ascii="Arial" w:hAnsi="Arial" w:eastAsia="仿宋_GB2312" w:cs="Arial"/>
          <w:sz w:val="28"/>
          <w:highlight w:val="none"/>
        </w:rPr>
      </w:pPr>
      <w:r>
        <w:rPr>
          <w:rFonts w:ascii="Arial" w:hAnsi="Arial" w:eastAsia="仿宋_GB2312" w:cs="Arial"/>
          <w:sz w:val="28"/>
          <w:highlight w:val="none"/>
        </w:rPr>
        <w:t>测算过程</w:t>
      </w:r>
    </w:p>
    <w:p>
      <w:pPr>
        <w:spacing w:line="300" w:lineRule="auto"/>
        <w:ind w:left="142" w:firstLine="424" w:firstLineChars="151"/>
        <w:jc w:val="both"/>
        <w:rPr>
          <w:rFonts w:ascii="Arial" w:hAnsi="Arial" w:eastAsia="仿宋_GB2312" w:cs="Arial"/>
          <w:b/>
          <w:sz w:val="28"/>
          <w:highlight w:val="none"/>
        </w:rPr>
      </w:pPr>
      <w:r>
        <w:rPr>
          <w:rFonts w:ascii="Arial" w:hAnsi="Arial" w:eastAsia="仿宋_GB2312" w:cs="Arial"/>
          <w:b/>
          <w:sz w:val="28"/>
          <w:highlight w:val="none"/>
        </w:rPr>
        <w:t>（1）求取估价对象</w:t>
      </w:r>
      <w:r>
        <w:rPr>
          <w:rFonts w:hint="eastAsia" w:ascii="Arial" w:hAnsi="Arial" w:eastAsia="仿宋_GB2312" w:cs="Arial"/>
          <w:b/>
          <w:sz w:val="28"/>
          <w:highlight w:val="none"/>
        </w:rPr>
        <w:t>商业</w:t>
      </w:r>
      <w:r>
        <w:rPr>
          <w:rFonts w:ascii="Arial" w:hAnsi="Arial" w:eastAsia="仿宋_GB2312" w:cs="Arial"/>
          <w:b/>
          <w:sz w:val="28"/>
          <w:highlight w:val="none"/>
        </w:rPr>
        <w:t>用房楼面熟地价</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1）宗地适用基准地价水平的确定</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highlight w:val="none"/>
        </w:rPr>
        <w:t>（A）</w:t>
      </w:r>
      <w:r>
        <w:rPr>
          <w:rFonts w:hint="eastAsia" w:ascii="Arial" w:hAnsi="Arial" w:eastAsia="仿宋_GB2312" w:cs="Arial"/>
          <w:sz w:val="28"/>
          <w:highlight w:val="none"/>
        </w:rPr>
        <w:t>估价对象用途为商业，位于北京市密云区西门外大街，参照《北京市基准地价级别（区片）图》及《北京市基准地价级别（区片）范围文字说明》，估价对象地处</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hint="eastAsia" w:ascii="Arial" w:hAnsi="Arial" w:eastAsia="仿宋_GB2312" w:cs="Arial"/>
          <w:sz w:val="28"/>
          <w:highlight w:val="none"/>
        </w:rPr>
        <w:t>级地价区，属</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hint="eastAsia" w:ascii="Arial" w:hAnsi="Arial" w:eastAsia="仿宋_GB2312" w:cs="Arial"/>
          <w:sz w:val="28"/>
          <w:highlight w:val="none"/>
        </w:rPr>
        <w:t>片。</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_GB2312" w:cs="Arial"/>
          <w:sz w:val="28"/>
          <w:highlight w:val="none"/>
        </w:rPr>
        <w:t>北京市区片基准地价详见下表：</w:t>
      </w:r>
    </w:p>
    <w:p>
      <w:pPr>
        <w:pStyle w:val="12"/>
        <w:spacing w:line="300" w:lineRule="auto"/>
        <w:ind w:firstLine="0"/>
        <w:jc w:val="center"/>
        <w:rPr>
          <w:rFonts w:ascii="Arial" w:hAnsi="Arial" w:eastAsia="方正黑体简体"/>
          <w:sz w:val="24"/>
          <w:highlight w:val="none"/>
        </w:rPr>
      </w:pPr>
      <w:r>
        <w:rPr>
          <w:rFonts w:hint="eastAsia" w:ascii="Arial" w:hAnsi="Arial" w:eastAsia="方正黑体简体"/>
          <w:sz w:val="24"/>
          <w:highlight w:val="none"/>
        </w:rPr>
        <w:t>北京市区片基准地价表（楼面地价）</w:t>
      </w:r>
    </w:p>
    <w:p>
      <w:pPr>
        <w:pStyle w:val="12"/>
        <w:spacing w:line="300" w:lineRule="auto"/>
        <w:ind w:firstLine="0"/>
        <w:rPr>
          <w:rFonts w:ascii="Arial" w:hAnsi="Arial" w:eastAsia="方正黑体简体"/>
          <w:b/>
          <w:sz w:val="24"/>
          <w:highlight w:val="none"/>
        </w:rPr>
      </w:pPr>
      <w:r>
        <w:rPr>
          <w:rFonts w:hint="eastAsia" w:ascii="Arial" w:hAnsi="Arial" w:eastAsia="华文细黑"/>
          <w:sz w:val="18"/>
          <w:szCs w:val="24"/>
          <w:highlight w:val="none"/>
        </w:rPr>
        <w:t>基准日期：2021年1月1日                                                             单位：元/平方米</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15"/>
        <w:gridCol w:w="1803"/>
        <w:gridCol w:w="1222"/>
        <w:gridCol w:w="1222"/>
        <w:gridCol w:w="1222"/>
        <w:gridCol w:w="1223"/>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restar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用途</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90" w:hRule="atLeast"/>
          <w:jc w:val="center"/>
        </w:trPr>
        <w:tc>
          <w:tcPr>
            <w:tcW w:w="1512" w:type="dxa"/>
            <w:vMerge w:val="continue"/>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p>
        </w:tc>
        <w:tc>
          <w:tcPr>
            <w:tcW w:w="180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220"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c>
          <w:tcPr>
            <w:tcW w:w="1088" w:type="dxa"/>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8720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6750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8440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5970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6000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7300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6450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8010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1240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7140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8900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8550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7200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b/>
                <w:bCs/>
                <w:sz w:val="18"/>
                <w:szCs w:val="18"/>
                <w:highlight w:val="none"/>
              </w:rPr>
            </w:pPr>
            <w:r>
              <w:rPr>
                <w:rFonts w:ascii="Arial" w:hAnsi="Arial" w:eastAsia="仿宋" w:cs="Arial"/>
                <w:color w:val="000000"/>
                <w:sz w:val="18"/>
                <w:szCs w:val="18"/>
                <w:highlight w:val="none"/>
                <w:lang w:bidi="ar"/>
              </w:rPr>
              <w:t>9040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1320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8650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1210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9240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6230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7740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1170</w:t>
            </w:r>
          </w:p>
        </w:tc>
        <w:tc>
          <w:tcPr>
            <w:tcW w:w="1088"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7570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9350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1350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6920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8380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6810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8290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1130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5820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7270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6190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6150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7660</w:t>
            </w: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1160</w:t>
            </w:r>
          </w:p>
        </w:tc>
        <w:tc>
          <w:tcPr>
            <w:tcW w:w="1088"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1290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1150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1220</w:t>
            </w:r>
          </w:p>
        </w:tc>
        <w:tc>
          <w:tcPr>
            <w:tcW w:w="1088" w:type="dxa"/>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1512"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80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1220" w:type="dxa"/>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1088" w:type="dxa"/>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overflowPunct w:val="0"/>
        <w:spacing w:before="240" w:beforeLines="100" w:line="300" w:lineRule="auto"/>
        <w:ind w:firstLine="560" w:firstLineChars="200"/>
        <w:jc w:val="both"/>
        <w:textAlignment w:val="auto"/>
        <w:rPr>
          <w:rFonts w:ascii="Arial" w:hAnsi="Arial" w:eastAsia="仿宋_GB2312" w:cs="Arial"/>
          <w:sz w:val="28"/>
          <w:szCs w:val="21"/>
          <w:highlight w:val="none"/>
        </w:rPr>
      </w:pPr>
      <w:r>
        <w:rPr>
          <w:rFonts w:ascii="Arial" w:hAnsi="Arial" w:eastAsia="仿宋_GB2312" w:cs="Arial"/>
          <w:sz w:val="28"/>
          <w:highlight w:val="none"/>
        </w:rPr>
        <w:t>则</w:t>
      </w:r>
      <w:r>
        <w:rPr>
          <w:rFonts w:ascii="Arial" w:hAnsi="Arial" w:eastAsia="仿宋_GB2312" w:cs="Arial"/>
          <w:sz w:val="28"/>
          <w:szCs w:val="21"/>
          <w:highlight w:val="none"/>
        </w:rPr>
        <w:t>估价对象所在</w:t>
      </w:r>
      <w:r>
        <w:rPr>
          <w:rFonts w:hint="eastAsia" w:ascii="Arial" w:hAnsi="Arial" w:eastAsia="仿宋_GB2312" w:cs="Arial"/>
          <w:sz w:val="28"/>
          <w:szCs w:val="28"/>
          <w:highlight w:val="none"/>
        </w:rPr>
        <w:t>商业</w:t>
      </w:r>
      <w:r>
        <w:rPr>
          <w:rFonts w:ascii="Arial" w:hAnsi="Arial" w:eastAsia="仿宋_GB2312" w:cs="Arial"/>
          <w:sz w:val="28"/>
          <w:szCs w:val="28"/>
          <w:highlight w:val="none"/>
        </w:rPr>
        <w:t>类</w:t>
      </w:r>
      <w:r>
        <w:rPr>
          <w:rFonts w:hint="eastAsia" w:ascii="Arial" w:hAnsi="Arial" w:eastAsia="仿宋_GB2312" w:cs="Arial"/>
          <w:sz w:val="28"/>
          <w:szCs w:val="28"/>
          <w:highlight w:val="none"/>
        </w:rPr>
        <w:t>八</w:t>
      </w:r>
      <w:r>
        <w:rPr>
          <w:rFonts w:ascii="Arial" w:hAnsi="Arial" w:eastAsia="仿宋_GB2312" w:cs="Arial"/>
          <w:sz w:val="28"/>
          <w:szCs w:val="28"/>
          <w:highlight w:val="none"/>
        </w:rPr>
        <w:t>级VII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区片</w:t>
      </w:r>
      <w:r>
        <w:rPr>
          <w:rFonts w:ascii="Arial" w:hAnsi="Arial" w:eastAsia="仿宋_GB2312" w:cs="Arial"/>
          <w:sz w:val="28"/>
          <w:szCs w:val="21"/>
          <w:highlight w:val="none"/>
        </w:rPr>
        <w:t>的区片基准地价为</w:t>
      </w:r>
      <w:r>
        <w:rPr>
          <w:rFonts w:hint="eastAsia" w:ascii="Arial" w:hAnsi="Arial" w:eastAsia="仿宋_GB2312" w:cs="Arial"/>
          <w:sz w:val="28"/>
          <w:szCs w:val="21"/>
          <w:highlight w:val="none"/>
        </w:rPr>
        <w:t>6850</w:t>
      </w:r>
      <w:r>
        <w:rPr>
          <w:rFonts w:ascii="Arial" w:hAnsi="Arial" w:eastAsia="仿宋_GB2312" w:cs="Arial"/>
          <w:sz w:val="28"/>
          <w:szCs w:val="21"/>
          <w:highlight w:val="none"/>
        </w:rPr>
        <w:t>元/平方米。</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（B）特殊情况修正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a.商业路线价修正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估价对象位于北京市密云区西门外大街，不临《北京市出让国有建设用地使用权基准地价更新成果》中所列65条商业街。故此项不做修正。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b.土地开发程度修正</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估价对象设定宗地土地开发程度为宗地红线外“七通一平”（</w:t>
      </w:r>
      <w:r>
        <w:rPr>
          <w:rFonts w:ascii="Arial" w:hAnsi="Arial" w:eastAsia="仿宋" w:cs="Arial"/>
          <w:sz w:val="28"/>
          <w:szCs w:val="28"/>
          <w:highlight w:val="none"/>
        </w:rPr>
        <w:t>即通路、通上水、通下水、通电、通讯、通热、通燃气</w:t>
      </w:r>
      <w:r>
        <w:rPr>
          <w:rFonts w:hint="eastAsia" w:ascii="Arial" w:hAnsi="Arial" w:eastAsia="仿宋_GB2312" w:cs="Arial"/>
          <w:sz w:val="28"/>
          <w:szCs w:val="21"/>
          <w:highlight w:val="none"/>
        </w:rPr>
        <w:t>），估价对象所在区域为八级地价区，级别基准地价土地开发程度为“五通一平”（即通路、通电、通讯、通上水、通下水），相应用途级别平均容积率为2。估价对象设定状况与级别开发程度不一致，需进行修正。修正表如下：</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p>
    <w:p>
      <w:pPr>
        <w:spacing w:line="300" w:lineRule="exact"/>
        <w:jc w:val="center"/>
        <w:rPr>
          <w:rFonts w:ascii="Arial" w:hAnsi="Arial" w:eastAsia="方正黑体简体" w:cs="宋体"/>
          <w:bCs/>
          <w:color w:val="000000"/>
          <w:szCs w:val="24"/>
          <w:highlight w:val="none"/>
        </w:rPr>
      </w:pPr>
      <w:r>
        <w:rPr>
          <w:rFonts w:hint="eastAsia" w:ascii="Arial" w:hAnsi="Arial" w:eastAsia="方正黑体简体" w:cs="宋体"/>
          <w:bCs/>
          <w:color w:val="000000"/>
          <w:szCs w:val="24"/>
          <w:highlight w:val="none"/>
        </w:rPr>
        <w:t>基础设施建设费（土地开发费）</w:t>
      </w:r>
    </w:p>
    <w:p>
      <w:pPr>
        <w:spacing w:before="120" w:beforeLines="50" w:line="240" w:lineRule="auto"/>
        <w:ind w:right="-23"/>
        <w:jc w:val="right"/>
        <w:rPr>
          <w:rFonts w:ascii="Arial" w:hAnsi="Arial"/>
          <w:sz w:val="21"/>
          <w:highlight w:val="none"/>
        </w:rPr>
      </w:pPr>
      <w:r>
        <w:rPr>
          <w:rFonts w:hint="eastAsia" w:ascii="Arial" w:hAnsi="Arial" w:eastAsia="华文细黑" w:cs="宋体"/>
          <w:color w:val="000000"/>
          <w:sz w:val="18"/>
          <w:szCs w:val="24"/>
          <w:highlight w:val="none"/>
        </w:rPr>
        <w:t>单位：元/土地平方米</w:t>
      </w:r>
    </w:p>
    <w:tbl>
      <w:tblPr>
        <w:tblStyle w:val="35"/>
        <w:tblW w:w="9299" w:type="dxa"/>
        <w:jc w:val="center"/>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602"/>
        <w:gridCol w:w="856"/>
        <w:gridCol w:w="856"/>
        <w:gridCol w:w="855"/>
        <w:gridCol w:w="855"/>
        <w:gridCol w:w="855"/>
        <w:gridCol w:w="855"/>
        <w:gridCol w:w="855"/>
        <w:gridCol w:w="855"/>
        <w:gridCol w:w="855"/>
      </w:tblGrid>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l2br w:val="single" w:color="auto" w:sz="4" w:space="0"/>
            </w:tcBorders>
            <w:shd w:val="clear" w:color="auto" w:fill="auto"/>
            <w:noWrap/>
            <w:vAlign w:val="center"/>
          </w:tcPr>
          <w:p>
            <w:pPr>
              <w:widowControl/>
              <w:adjustRightInd/>
              <w:spacing w:line="240" w:lineRule="exact"/>
              <w:ind w:firstLine="810" w:firstLineChars="450"/>
              <w:jc w:val="righ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费用</w:t>
            </w:r>
          </w:p>
          <w:p>
            <w:pPr>
              <w:spacing w:line="240" w:lineRule="exact"/>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类别</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通路</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通电</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通讯</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通上水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通下水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通热</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通燃气</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平整</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合计</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80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375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70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315</w:t>
            </w:r>
          </w:p>
        </w:tc>
      </w:tr>
      <w:tr>
        <w:tblPrEx>
          <w:tblBorders>
            <w:top w:val="single" w:color="404040" w:sz="2" w:space="0"/>
            <w:left w:val="single" w:color="404040" w:sz="2" w:space="0"/>
            <w:bottom w:val="none" w:color="auto" w:sz="0"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60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60</w:t>
            </w:r>
          </w:p>
        </w:tc>
        <w:tc>
          <w:tcPr>
            <w:tcW w:w="85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50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35</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40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30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10</w:t>
            </w:r>
          </w:p>
        </w:tc>
        <w:tc>
          <w:tcPr>
            <w:tcW w:w="855"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255</w:t>
            </w:r>
          </w:p>
        </w:tc>
      </w:tr>
    </w:tbl>
    <w:p>
      <w:pPr>
        <w:widowControl/>
        <w:adjustRightInd/>
        <w:spacing w:line="240" w:lineRule="exact"/>
        <w:textAlignment w:val="auto"/>
        <w:rPr>
          <w:rFonts w:ascii="Arial" w:hAnsi="Arial" w:eastAsia="华文细黑" w:cs="宋体"/>
          <w:color w:val="000000"/>
          <w:sz w:val="18"/>
          <w:szCs w:val="24"/>
          <w:highlight w:val="none"/>
        </w:rPr>
      </w:pP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开发程度差异修正后的基准地价</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＝适用的基准地价＋（上表中的开发费用÷级别平均容积率）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＝区片基准地价＋（上表中的开发费用÷级别平均容积率）</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＝6850＋（（40+30）÷2）</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＝6885（元/平方米）</w:t>
      </w:r>
    </w:p>
    <w:p>
      <w:pPr>
        <w:overflowPunct w:val="0"/>
        <w:snapToGrid w:val="0"/>
        <w:spacing w:line="300" w:lineRule="auto"/>
        <w:ind w:firstLine="560" w:firstLineChars="200"/>
        <w:jc w:val="both"/>
        <w:textAlignment w:val="auto"/>
        <w:rPr>
          <w:rFonts w:ascii="Arial" w:hAnsi="Arial" w:eastAsia="仿宋_GB2312" w:cs="Arial"/>
          <w:sz w:val="28"/>
          <w:szCs w:val="21"/>
          <w:highlight w:val="none"/>
        </w:rPr>
      </w:pPr>
      <w:r>
        <w:rPr>
          <w:rFonts w:hint="eastAsia" w:ascii="Arial" w:hAnsi="Arial" w:eastAsia="仿宋_GB2312" w:cs="Arial"/>
          <w:sz w:val="28"/>
          <w:szCs w:val="21"/>
          <w:highlight w:val="none"/>
        </w:rPr>
        <w:t>综上，本次评估估价对象适用的基准地价为：6885（元/平方米）</w:t>
      </w:r>
    </w:p>
    <w:p>
      <w:pPr>
        <w:adjustRightInd/>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2</w:t>
      </w:r>
      <w:r>
        <w:rPr>
          <w:rFonts w:hint="eastAsia" w:ascii="Arial" w:hAnsi="Arial" w:eastAsia="仿宋" w:cs="Arial"/>
          <w:sz w:val="28"/>
          <w:highlight w:val="none"/>
        </w:rPr>
        <w:t>）用途修正系数的确定</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《北京市出让国有建设用地使用权基准地价更新成果》根据</w:t>
      </w:r>
      <w:r>
        <w:rPr>
          <w:rFonts w:ascii="Arial" w:hAnsi="Arial" w:eastAsia="仿宋" w:cs="Arial"/>
          <w:sz w:val="28"/>
          <w:szCs w:val="28"/>
          <w:highlight w:val="none"/>
        </w:rPr>
        <w:t>《土地利用现状分类》（GB/T21010-2017）</w:t>
      </w:r>
      <w:r>
        <w:rPr>
          <w:rFonts w:hint="eastAsia" w:ascii="Arial" w:hAnsi="Arial" w:eastAsia="仿宋" w:cs="Arial"/>
          <w:sz w:val="28"/>
          <w:highlight w:val="none"/>
        </w:rPr>
        <w:t>，对现有用地按照一级分类进行归类，分为商业、办公、住宅、工业和公共服务五类用途基准地价，并按照二级分类建立了地上用途修正系数。地下部分包括地下商业、地下办公、地下仓储（及其他）、地下车库等用途，并建立了地下空间修正系数。</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地上部分：</w:t>
      </w:r>
    </w:p>
    <w:p>
      <w:pPr>
        <w:adjustRightInd/>
        <w:spacing w:line="300" w:lineRule="auto"/>
        <w:ind w:firstLine="560" w:firstLineChars="200"/>
        <w:jc w:val="both"/>
        <w:rPr>
          <w:rFonts w:ascii="Arial" w:hAnsi="Arial" w:eastAsia="仿宋" w:cs="Arial"/>
          <w:sz w:val="28"/>
          <w:highlight w:val="none"/>
        </w:rPr>
      </w:pPr>
      <w:r>
        <w:rPr>
          <w:rFonts w:hint="eastAsia" w:ascii="Arial" w:hAnsi="Arial" w:eastAsia="仿宋" w:cs="Arial"/>
          <w:sz w:val="28"/>
          <w:highlight w:val="none"/>
        </w:rPr>
        <w:t>估价对象地上用途为商业——</w:t>
      </w:r>
      <w:r>
        <w:rPr>
          <w:rFonts w:hint="eastAsia" w:ascii="Arial" w:hAnsi="Arial" w:eastAsia="仿宋" w:cs="Arial"/>
          <w:sz w:val="28"/>
          <w:highlight w:val="none"/>
          <w:lang w:eastAsia="zh-CN"/>
        </w:rPr>
        <w:t>零售商业用地</w:t>
      </w:r>
      <w:r>
        <w:rPr>
          <w:rFonts w:hint="eastAsia" w:ascii="Arial" w:hAnsi="Arial" w:eastAsia="仿宋" w:cs="Arial"/>
          <w:sz w:val="28"/>
          <w:highlight w:val="none"/>
        </w:rPr>
        <w:t>，需依据《北京市基准地价土地用</w:t>
      </w:r>
      <w:r>
        <w:rPr>
          <w:rFonts w:ascii="Arial" w:hAnsi="Arial" w:eastAsia="仿宋" w:cs="Arial"/>
          <w:sz w:val="28"/>
          <w:highlight w:val="none"/>
        </w:rPr>
        <w:t>途二级分类用地修正系数表》进行用途修正。</w:t>
      </w:r>
    </w:p>
    <w:p>
      <w:pPr>
        <w:overflowPunct w:val="0"/>
        <w:spacing w:line="300" w:lineRule="auto"/>
        <w:jc w:val="center"/>
        <w:textAlignment w:val="auto"/>
        <w:rPr>
          <w:rFonts w:ascii="Arial" w:hAnsi="Arial" w:eastAsia="仿宋_GB2312" w:cs="Arial"/>
          <w:bCs/>
          <w:szCs w:val="24"/>
          <w:highlight w:val="none"/>
        </w:rPr>
      </w:pPr>
      <w:r>
        <w:rPr>
          <w:rFonts w:ascii="Arial" w:hAnsi="Arial" w:eastAsia="仿宋_GB2312" w:cs="Arial"/>
          <w:bCs/>
          <w:szCs w:val="24"/>
          <w:highlight w:val="none"/>
        </w:rPr>
        <w:t>北京市基准地价土地用途二级分类用地修正系数表</w:t>
      </w:r>
    </w:p>
    <w:tbl>
      <w:tblPr>
        <w:tblStyle w:val="35"/>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994"/>
        <w:gridCol w:w="1842"/>
        <w:gridCol w:w="4536"/>
        <w:gridCol w:w="1134"/>
        <w:gridCol w:w="7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一级类</w:t>
            </w:r>
          </w:p>
        </w:tc>
        <w:tc>
          <w:tcPr>
            <w:tcW w:w="1842"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二级类</w:t>
            </w:r>
          </w:p>
        </w:tc>
        <w:tc>
          <w:tcPr>
            <w:tcW w:w="4536"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含义</w:t>
            </w:r>
          </w:p>
        </w:tc>
        <w:tc>
          <w:tcPr>
            <w:tcW w:w="1134"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参照基准</w:t>
            </w:r>
          </w:p>
        </w:tc>
        <w:tc>
          <w:tcPr>
            <w:tcW w:w="793" w:type="dxa"/>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用途修正系数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商服用地</w:t>
            </w: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零售商业用地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指以零售功能为主的商铺、商场、超市、市场和加油、加气、充换电站等的用地。</w:t>
            </w:r>
          </w:p>
        </w:tc>
        <w:tc>
          <w:tcPr>
            <w:tcW w:w="1134" w:type="dxa"/>
            <w:vMerge w:val="restart"/>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w:t>
            </w: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批发市场用地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指以批发功能为主的市场用地。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餐饮用地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指饭店、餐厅、酒吧等用地。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trHeight w:val="90" w:hRule="atLeas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旅馆用地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指宾馆、旅馆、招待所、服务型公寓、度假村等用地。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娱乐用地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指剧院、音乐厅、电影院、歌舞厅、网吧、影视城、仿古城以及绿地率小于65% 的大型游乐等设施用地。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hint="eastAsia" w:ascii="Arial" w:hAnsi="Arial" w:eastAsia="仿宋" w:cs="Arial"/>
                <w:sz w:val="18"/>
                <w:szCs w:val="18"/>
                <w:highlight w:val="none"/>
                <w:lang w:eastAsia="zh-CN"/>
              </w:rPr>
            </w:pPr>
            <w:r>
              <w:rPr>
                <w:rFonts w:hint="eastAsia" w:ascii="Arial" w:hAnsi="Arial" w:eastAsia="仿宋" w:cs="Arial"/>
                <w:color w:val="000000"/>
                <w:sz w:val="18"/>
                <w:szCs w:val="18"/>
                <w:highlight w:val="none"/>
                <w:lang w:eastAsia="zh-CN" w:bidi="ar"/>
              </w:rPr>
              <w:t>其他商服用地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指上述用地以外的其他商业、服务业用地。</w:t>
            </w:r>
          </w:p>
        </w:tc>
        <w:tc>
          <w:tcPr>
            <w:tcW w:w="113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cantSplit/>
          <w:jc w:val="center"/>
        </w:trPr>
        <w:tc>
          <w:tcPr>
            <w:tcW w:w="994" w:type="dxa"/>
            <w:vMerge w:val="continue"/>
            <w:shd w:val="clear" w:color="auto" w:fill="auto"/>
            <w:vAlign w:val="center"/>
          </w:tcPr>
          <w:p>
            <w:pPr>
              <w:widowControl/>
              <w:snapToGrid w:val="0"/>
              <w:spacing w:line="240" w:lineRule="exact"/>
              <w:textAlignment w:val="auto"/>
              <w:rPr>
                <w:rFonts w:ascii="Arial" w:hAnsi="Arial" w:eastAsia="仿宋" w:cs="Arial"/>
                <w:sz w:val="18"/>
                <w:szCs w:val="18"/>
                <w:highlight w:val="none"/>
              </w:rPr>
            </w:pPr>
          </w:p>
        </w:tc>
        <w:tc>
          <w:tcPr>
            <w:tcW w:w="1842"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商务金融用地</w:t>
            </w:r>
          </w:p>
        </w:tc>
        <w:tc>
          <w:tcPr>
            <w:tcW w:w="4536" w:type="dxa"/>
            <w:shd w:val="clear" w:color="auto" w:fill="auto"/>
            <w:noWrap/>
            <w:vAlign w:val="center"/>
          </w:tcPr>
          <w:p>
            <w:pPr>
              <w:widowControl/>
              <w:snapToGrid w:val="0"/>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指商务服务用地,以及经营性的办公场所用地,包括写字楼、商业性办公场所、金融活动场所和企业厂区外独立的办公场所;信息网络服务、信息技术服务、电子商务服务、广告传媒等用地。</w:t>
            </w:r>
          </w:p>
        </w:tc>
        <w:tc>
          <w:tcPr>
            <w:tcW w:w="1134" w:type="dxa"/>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w:t>
            </w:r>
          </w:p>
        </w:tc>
        <w:tc>
          <w:tcPr>
            <w:tcW w:w="793" w:type="dxa"/>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r>
    </w:tbl>
    <w:p>
      <w:pPr>
        <w:overflowPunct w:val="0"/>
        <w:snapToGrid w:val="0"/>
        <w:spacing w:line="240" w:lineRule="exact"/>
        <w:ind w:firstLine="360" w:firstLineChars="200"/>
        <w:jc w:val="both"/>
        <w:textAlignment w:val="auto"/>
        <w:rPr>
          <w:rFonts w:ascii="Arial" w:hAnsi="Arial" w:eastAsia="仿宋" w:cs="Arial"/>
          <w:sz w:val="18"/>
          <w:szCs w:val="18"/>
          <w:highlight w:val="none"/>
        </w:rPr>
      </w:pPr>
    </w:p>
    <w:p>
      <w:pPr>
        <w:overflowPunct w:val="0"/>
        <w:spacing w:line="300" w:lineRule="auto"/>
        <w:ind w:firstLine="560" w:firstLineChars="200"/>
        <w:jc w:val="both"/>
        <w:textAlignment w:val="auto"/>
        <w:rPr>
          <w:rFonts w:ascii="Arial" w:hAnsi="Arial" w:eastAsia="仿宋" w:cs="仿宋_GB2312"/>
          <w:sz w:val="28"/>
          <w:szCs w:val="29"/>
          <w:highlight w:val="none"/>
        </w:rPr>
      </w:pPr>
      <w:r>
        <w:rPr>
          <w:rFonts w:ascii="Arial" w:hAnsi="Arial" w:eastAsia="仿宋" w:cs="Arial"/>
          <w:sz w:val="28"/>
          <w:highlight w:val="none"/>
        </w:rPr>
        <w:t>依据上表，估价对象</w:t>
      </w:r>
      <w:r>
        <w:rPr>
          <w:rFonts w:hint="eastAsia" w:ascii="Arial" w:hAnsi="Arial" w:eastAsia="仿宋" w:cs="Arial"/>
          <w:sz w:val="28"/>
          <w:highlight w:val="none"/>
          <w:lang w:eastAsia="zh-CN"/>
        </w:rPr>
        <w:t>零售商业用地</w:t>
      </w:r>
      <w:r>
        <w:rPr>
          <w:rFonts w:ascii="Arial" w:hAnsi="Arial" w:eastAsia="仿宋" w:cs="Arial"/>
          <w:sz w:val="28"/>
          <w:highlight w:val="none"/>
        </w:rPr>
        <w:t>修正系数为</w:t>
      </w:r>
      <w:r>
        <w:rPr>
          <w:rFonts w:hint="eastAsia" w:ascii="Arial" w:hAnsi="Arial" w:eastAsia="仿宋" w:cs="Arial"/>
          <w:sz w:val="28"/>
          <w:highlight w:val="none"/>
          <w:lang w:val="en-US" w:eastAsia="zh-CN"/>
        </w:rPr>
        <w:t>1</w:t>
      </w:r>
      <w:r>
        <w:rPr>
          <w:rFonts w:ascii="Arial" w:hAnsi="Arial" w:eastAsia="仿宋" w:cs="Arial"/>
          <w:sz w:val="28"/>
          <w:highlight w:val="none"/>
        </w:rPr>
        <w:t>。</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highlight w:val="none"/>
        </w:rPr>
        <w:t>3）</w:t>
      </w:r>
      <w:r>
        <w:rPr>
          <w:rFonts w:ascii="Arial" w:hAnsi="Arial" w:eastAsia="仿宋_GB2312" w:cs="Arial"/>
          <w:sz w:val="28"/>
          <w:szCs w:val="28"/>
          <w:highlight w:val="none"/>
        </w:rPr>
        <w:t>期日修正系数的确定</w:t>
      </w:r>
    </w:p>
    <w:p>
      <w:pPr>
        <w:spacing w:line="300" w:lineRule="auto"/>
        <w:ind w:firstLine="560" w:firstLineChars="200"/>
        <w:jc w:val="both"/>
        <w:rPr>
          <w:rFonts w:ascii="Arial" w:hAnsi="Arial" w:eastAsia="仿宋" w:cs="Arial"/>
          <w:sz w:val="28"/>
          <w:highlight w:val="none"/>
        </w:rPr>
      </w:pPr>
      <w:r>
        <w:rPr>
          <w:rFonts w:ascii="Arial" w:hAnsi="Arial" w:eastAsia="仿宋" w:cs="Arial"/>
          <w:sz w:val="28"/>
          <w:highlight w:val="none"/>
        </w:rPr>
        <w:t>《北京市出让国有建设用地使用权基准地价更新成果（二〇二一年）》规定，基准地价期日修正系数必须以北京市地价动态监测成果公布的地价增值率为准。</w:t>
      </w:r>
    </w:p>
    <w:p>
      <w:pPr>
        <w:spacing w:line="300" w:lineRule="auto"/>
        <w:ind w:firstLine="560" w:firstLineChars="200"/>
        <w:jc w:val="both"/>
        <w:rPr>
          <w:rFonts w:ascii="Arial" w:hAnsi="Arial" w:eastAsia="仿宋" w:cs="Arial"/>
          <w:sz w:val="28"/>
          <w:szCs w:val="28"/>
          <w:highlight w:val="none"/>
        </w:rPr>
      </w:pPr>
      <w:r>
        <w:rPr>
          <w:rFonts w:ascii="Arial" w:hAnsi="Arial" w:eastAsia="仿宋" w:cs="Arial"/>
          <w:sz w:val="28"/>
          <w:highlight w:val="none"/>
        </w:rPr>
        <w:t>北京市基准地价更新成果的基准日为2021年1月1日，本次评估的估价期日为</w:t>
      </w:r>
      <w:r>
        <w:rPr>
          <w:rFonts w:hint="eastAsia" w:ascii="Arial" w:hAnsi="Arial" w:eastAsia="仿宋" w:cs="Arial"/>
          <w:sz w:val="28"/>
          <w:highlight w:val="none"/>
        </w:rPr>
        <w:t>2023年6月5日</w:t>
      </w:r>
      <w:r>
        <w:rPr>
          <w:rFonts w:hint="eastAsia" w:ascii="Arial" w:hAnsi="Arial" w:eastAsia="仿宋" w:cs="Arial"/>
          <w:sz w:val="28"/>
          <w:szCs w:val="28"/>
          <w:highlight w:val="none"/>
        </w:rPr>
        <w:t>，</w:t>
      </w:r>
      <w:r>
        <w:rPr>
          <w:rFonts w:ascii="Arial" w:hAnsi="Arial" w:eastAsia="仿宋" w:cs="Arial"/>
          <w:sz w:val="28"/>
          <w:szCs w:val="28"/>
          <w:highlight w:val="none"/>
        </w:rPr>
        <w:t>以北京市地价动态监测成果公布的地价增长率为准：</w:t>
      </w:r>
    </w:p>
    <w:p>
      <w:pPr>
        <w:spacing w:line="300" w:lineRule="auto"/>
        <w:ind w:firstLine="480" w:firstLineChars="200"/>
        <w:jc w:val="center"/>
        <w:rPr>
          <w:rFonts w:ascii="Arial" w:hAnsi="Arial" w:eastAsia="方正黑体简体" w:cs="宋体"/>
          <w:bCs/>
          <w:szCs w:val="24"/>
          <w:highlight w:val="none"/>
        </w:rPr>
      </w:pPr>
      <w:r>
        <w:rPr>
          <w:rFonts w:hint="eastAsia" w:ascii="Arial" w:hAnsi="Arial" w:eastAsia="方正黑体简体" w:cs="宋体"/>
          <w:bCs/>
          <w:szCs w:val="24"/>
          <w:highlight w:val="none"/>
        </w:rPr>
        <w:t>北京市地价增长率（商业类）</w:t>
      </w:r>
    </w:p>
    <w:p>
      <w:pPr>
        <w:adjustRightInd/>
        <w:spacing w:line="300" w:lineRule="auto"/>
        <w:jc w:val="right"/>
        <w:rPr>
          <w:rFonts w:ascii="Arial" w:hAnsi="Arial" w:eastAsia="华文细黑" w:cs="宋体"/>
          <w:sz w:val="18"/>
          <w:szCs w:val="24"/>
          <w:highlight w:val="none"/>
        </w:rPr>
      </w:pPr>
      <w:r>
        <w:rPr>
          <w:rFonts w:hint="eastAsia" w:ascii="Arial" w:hAnsi="Arial" w:eastAsia="华文细黑" w:cs="宋体"/>
          <w:sz w:val="18"/>
          <w:szCs w:val="24"/>
          <w:highlight w:val="none"/>
        </w:rPr>
        <w:t xml:space="preserve"> 单位%</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1859"/>
        <w:gridCol w:w="1860"/>
        <w:gridCol w:w="1860"/>
        <w:gridCol w:w="1860"/>
        <w:gridCol w:w="186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tcBorders>
              <w:tl2br w:val="single" w:color="auto" w:sz="4" w:space="0"/>
            </w:tcBorders>
            <w:shd w:val="clear" w:color="auto" w:fill="auto"/>
            <w:vAlign w:val="center"/>
          </w:tcPr>
          <w:p>
            <w:pPr>
              <w:tabs>
                <w:tab w:val="left" w:pos="2160"/>
              </w:tabs>
              <w:spacing w:line="300" w:lineRule="auto"/>
              <w:ind w:firstLine="810" w:firstLineChars="450"/>
              <w:jc w:val="right"/>
              <w:rPr>
                <w:rFonts w:ascii="Arial" w:hAnsi="Arial" w:eastAsia="仿宋" w:cs="Arial"/>
                <w:sz w:val="18"/>
                <w:szCs w:val="18"/>
                <w:highlight w:val="none"/>
              </w:rPr>
            </w:pPr>
            <w:r>
              <w:rPr>
                <w:rFonts w:ascii="Arial" w:hAnsi="Arial" w:eastAsia="仿宋" w:cs="Arial"/>
                <w:sz w:val="18"/>
                <w:szCs w:val="18"/>
                <w:highlight w:val="none"/>
              </w:rPr>
              <w:t>季度</w:t>
            </w:r>
          </w:p>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年度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1季度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3季度</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4季度</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0.47</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0.58</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ascii="Arial" w:hAnsi="Arial" w:eastAsia="仿宋" w:cs="Arial"/>
                <w:sz w:val="18"/>
                <w:szCs w:val="18"/>
                <w:highlight w:val="none"/>
              </w:rPr>
              <w:t>2022</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0.6</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-0.11</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0.45</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1859"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2</w:t>
            </w:r>
            <w:r>
              <w:rPr>
                <w:rFonts w:ascii="Arial" w:hAnsi="Arial" w:eastAsia="仿宋" w:cs="Arial"/>
                <w:sz w:val="18"/>
                <w:szCs w:val="18"/>
                <w:highlight w:val="none"/>
              </w:rPr>
              <w:t>023</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0.55</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c>
          <w:tcPr>
            <w:tcW w:w="1860" w:type="dxa"/>
            <w:shd w:val="clear" w:color="auto" w:fill="auto"/>
            <w:vAlign w:val="center"/>
          </w:tcPr>
          <w:p>
            <w:pPr>
              <w:tabs>
                <w:tab w:val="left" w:pos="2160"/>
              </w:tabs>
              <w:spacing w:line="300" w:lineRule="auto"/>
              <w:rPr>
                <w:rFonts w:ascii="Arial" w:hAnsi="Arial" w:eastAsia="仿宋" w:cs="Arial"/>
                <w:sz w:val="18"/>
                <w:szCs w:val="18"/>
                <w:highlight w:val="none"/>
              </w:rPr>
            </w:pPr>
            <w:r>
              <w:rPr>
                <w:rFonts w:hint="eastAsia" w:ascii="Arial" w:hAnsi="Arial" w:eastAsia="仿宋" w:cs="Arial"/>
                <w:sz w:val="18"/>
                <w:szCs w:val="18"/>
                <w:highlight w:val="none"/>
              </w:rPr>
              <w:t>——</w:t>
            </w:r>
          </w:p>
        </w:tc>
      </w:tr>
    </w:tbl>
    <w:p>
      <w:pPr>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则：</w:t>
      </w:r>
    </w:p>
    <w:p>
      <w:pPr>
        <w:spacing w:line="300" w:lineRule="auto"/>
        <w:ind w:firstLine="560" w:firstLineChars="200"/>
        <w:rPr>
          <w:rFonts w:ascii="Arial" w:hAnsi="Arial" w:eastAsia="仿宋" w:cs="Arial"/>
          <w:sz w:val="28"/>
          <w:highlight w:val="none"/>
        </w:rPr>
      </w:pPr>
      <w:r>
        <w:rPr>
          <w:rFonts w:ascii="Arial" w:hAnsi="Arial" w:eastAsia="仿宋" w:cs="Arial"/>
          <w:sz w:val="28"/>
          <w:highlight w:val="none"/>
        </w:rPr>
        <w:t>期日修正系数＝（1</w:t>
      </w:r>
      <w:r>
        <w:rPr>
          <w:rFonts w:hint="eastAsia" w:ascii="Arial" w:hAnsi="Arial" w:eastAsia="仿宋" w:cs="Arial"/>
          <w:sz w:val="28"/>
          <w:highlight w:val="none"/>
        </w:rPr>
        <w:t>+0.35</w:t>
      </w:r>
      <w:r>
        <w:rPr>
          <w:rFonts w:ascii="Arial" w:hAnsi="Arial" w:eastAsia="仿宋" w:cs="Arial"/>
          <w:sz w:val="28"/>
          <w:highlight w:val="none"/>
        </w:rPr>
        <w:t>%）×（1</w:t>
      </w:r>
      <w:r>
        <w:rPr>
          <w:rFonts w:hint="eastAsia" w:ascii="Arial" w:hAnsi="Arial" w:eastAsia="仿宋" w:cs="Arial"/>
          <w:sz w:val="28"/>
          <w:highlight w:val="none"/>
        </w:rPr>
        <w:t>+0.55</w:t>
      </w:r>
      <w:r>
        <w:rPr>
          <w:rFonts w:ascii="Arial" w:hAnsi="Arial" w:eastAsia="仿宋" w:cs="Arial"/>
          <w:sz w:val="28"/>
          <w:highlight w:val="none"/>
        </w:rPr>
        <w:t>%）×（1+</w:t>
      </w:r>
      <w:r>
        <w:rPr>
          <w:rFonts w:hint="eastAsia" w:ascii="Arial" w:hAnsi="Arial" w:eastAsia="仿宋" w:cs="Arial"/>
          <w:sz w:val="28"/>
          <w:highlight w:val="none"/>
        </w:rPr>
        <w:t>0.47</w:t>
      </w:r>
      <w:r>
        <w:rPr>
          <w:rFonts w:ascii="Arial" w:hAnsi="Arial" w:eastAsia="仿宋" w:cs="Arial"/>
          <w:sz w:val="28"/>
          <w:highlight w:val="none"/>
        </w:rPr>
        <w:t>%）×（1+0.</w:t>
      </w:r>
      <w:r>
        <w:rPr>
          <w:rFonts w:hint="eastAsia" w:ascii="Arial" w:hAnsi="Arial" w:eastAsia="仿宋" w:cs="Arial"/>
          <w:sz w:val="28"/>
          <w:highlight w:val="none"/>
        </w:rPr>
        <w:t>58</w:t>
      </w:r>
      <w:r>
        <w:rPr>
          <w:rFonts w:ascii="Arial" w:hAnsi="Arial" w:eastAsia="仿宋" w:cs="Arial"/>
          <w:sz w:val="28"/>
          <w:highlight w:val="none"/>
        </w:rPr>
        <w:t>%）×（1+</w:t>
      </w:r>
      <w:r>
        <w:rPr>
          <w:rFonts w:hint="eastAsia" w:ascii="Arial" w:hAnsi="Arial" w:eastAsia="仿宋" w:cs="Arial"/>
          <w:sz w:val="28"/>
          <w:highlight w:val="none"/>
        </w:rPr>
        <w:t>0.6</w:t>
      </w:r>
      <w:r>
        <w:rPr>
          <w:rFonts w:ascii="Arial" w:hAnsi="Arial" w:eastAsia="仿宋" w:cs="Arial"/>
          <w:sz w:val="28"/>
          <w:highlight w:val="none"/>
        </w:rPr>
        <w:t>%）×（1</w:t>
      </w:r>
      <w:r>
        <w:rPr>
          <w:rFonts w:hint="eastAsia" w:ascii="Arial" w:hAnsi="Arial" w:eastAsia="仿宋" w:cs="Arial"/>
          <w:sz w:val="28"/>
          <w:highlight w:val="none"/>
        </w:rPr>
        <w:t>-</w:t>
      </w:r>
      <w:r>
        <w:rPr>
          <w:rFonts w:ascii="Arial" w:hAnsi="Arial" w:eastAsia="仿宋" w:cs="Arial"/>
          <w:sz w:val="28"/>
          <w:highlight w:val="none"/>
        </w:rPr>
        <w:t>0.</w:t>
      </w:r>
      <w:r>
        <w:rPr>
          <w:rFonts w:hint="eastAsia" w:ascii="Arial" w:hAnsi="Arial" w:eastAsia="仿宋" w:cs="Arial"/>
          <w:sz w:val="28"/>
          <w:highlight w:val="none"/>
        </w:rPr>
        <w:t>11</w:t>
      </w:r>
      <w:r>
        <w:rPr>
          <w:rFonts w:ascii="Arial" w:hAnsi="Arial" w:eastAsia="仿宋" w:cs="Arial"/>
          <w:sz w:val="28"/>
          <w:highlight w:val="none"/>
        </w:rPr>
        <w:t>%）×（1+0.</w:t>
      </w:r>
      <w:r>
        <w:rPr>
          <w:rFonts w:hint="eastAsia" w:ascii="Arial" w:hAnsi="Arial" w:eastAsia="仿宋" w:cs="Arial"/>
          <w:sz w:val="28"/>
          <w:highlight w:val="none"/>
        </w:rPr>
        <w:t>3</w:t>
      </w:r>
      <w:r>
        <w:rPr>
          <w:rFonts w:ascii="Arial" w:hAnsi="Arial" w:eastAsia="仿宋" w:cs="Arial"/>
          <w:sz w:val="28"/>
          <w:highlight w:val="none"/>
        </w:rPr>
        <w:t>%）×（1+0.</w:t>
      </w:r>
      <w:r>
        <w:rPr>
          <w:rFonts w:hint="eastAsia" w:ascii="Arial" w:hAnsi="Arial" w:eastAsia="仿宋" w:cs="Arial"/>
          <w:sz w:val="28"/>
          <w:highlight w:val="none"/>
        </w:rPr>
        <w:t>45</w:t>
      </w:r>
      <w:r>
        <w:rPr>
          <w:rFonts w:ascii="Arial" w:hAnsi="Arial" w:eastAsia="仿宋" w:cs="Arial"/>
          <w:sz w:val="28"/>
          <w:highlight w:val="none"/>
        </w:rPr>
        <w:t>%）×（1+0.5</w:t>
      </w:r>
      <w:r>
        <w:rPr>
          <w:rFonts w:hint="eastAsia" w:ascii="Arial" w:hAnsi="Arial" w:eastAsia="仿宋" w:cs="Arial"/>
          <w:sz w:val="28"/>
          <w:highlight w:val="none"/>
        </w:rPr>
        <w:t>5</w:t>
      </w:r>
      <w:r>
        <w:rPr>
          <w:rFonts w:ascii="Arial" w:hAnsi="Arial" w:eastAsia="仿宋" w:cs="Arial"/>
          <w:sz w:val="28"/>
          <w:highlight w:val="none"/>
        </w:rPr>
        <w:t>%）=1.0</w:t>
      </w:r>
      <w:r>
        <w:rPr>
          <w:rFonts w:hint="eastAsia" w:ascii="Arial" w:hAnsi="Arial" w:eastAsia="仿宋" w:cs="Arial"/>
          <w:sz w:val="28"/>
          <w:highlight w:val="none"/>
        </w:rPr>
        <w:t>380</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4）年期修正系数的确定</w:t>
      </w:r>
    </w:p>
    <w:p>
      <w:pPr>
        <w:overflowPunct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年期修正系数＝（1－1÷（1＋r）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）÷（1－1÷（1＋r）</w:t>
      </w:r>
      <w:r>
        <w:rPr>
          <w:rFonts w:ascii="Arial" w:hAnsi="Arial" w:eastAsia="仿宋_GB2312" w:cs="Arial"/>
          <w:sz w:val="28"/>
          <w:szCs w:val="28"/>
          <w:highlight w:val="none"/>
          <w:vertAlign w:val="superscript"/>
        </w:rPr>
        <w:t>N</w:t>
      </w:r>
      <w:r>
        <w:rPr>
          <w:rFonts w:ascii="Arial" w:hAnsi="Arial" w:eastAsia="仿宋_GB2312" w:cs="Arial"/>
          <w:sz w:val="28"/>
          <w:szCs w:val="28"/>
          <w:highlight w:val="none"/>
        </w:rPr>
        <w:t>）</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其中：</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r----土地还原率</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n----宗地剩余土地使用年限</w:t>
      </w:r>
    </w:p>
    <w:p>
      <w:pPr>
        <w:overflowPunct w:val="0"/>
        <w:autoSpaceDE w:val="0"/>
        <w:autoSpaceDN w:val="0"/>
        <w:spacing w:line="300" w:lineRule="auto"/>
        <w:ind w:firstLine="560" w:firstLineChars="200"/>
        <w:jc w:val="both"/>
        <w:textAlignment w:val="auto"/>
        <w:rPr>
          <w:rFonts w:ascii="Arial" w:hAnsi="Arial" w:eastAsia="仿宋_GB2312" w:cs="Arial"/>
          <w:sz w:val="28"/>
          <w:szCs w:val="28"/>
          <w:highlight w:val="none"/>
        </w:rPr>
      </w:pPr>
      <w:r>
        <w:rPr>
          <w:rFonts w:ascii="Arial" w:hAnsi="Arial" w:eastAsia="仿宋_GB2312" w:cs="Arial"/>
          <w:sz w:val="28"/>
          <w:szCs w:val="28"/>
          <w:highlight w:val="none"/>
        </w:rPr>
        <w:t>N----基准地价规定的相应用途土地使用年限</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商业、办公、居住、工业、公共服务用途的土地还原率原则上按同期中国人民银行公布的一年期贷款利率分别上浮25％、20％、15％、10％、15％确定，且须分别不低于5.5％、5.5％、5％、5％、5％，不高于6.5％、6.5％、6％、6％、6％。估价对象用途为商业，现行一年期贷款利率（</w:t>
      </w:r>
      <w:r>
        <w:rPr>
          <w:rFonts w:ascii="Arial" w:hAnsi="Arial" w:eastAsia="仿宋" w:cs="Arial"/>
          <w:sz w:val="28"/>
          <w:highlight w:val="none"/>
        </w:rPr>
        <w:t>2015年10月24日公布</w:t>
      </w:r>
      <w:r>
        <w:rPr>
          <w:rFonts w:hint="eastAsia" w:ascii="Arial" w:hAnsi="Arial" w:eastAsia="仿宋" w:cs="Arial"/>
          <w:sz w:val="28"/>
          <w:highlight w:val="none"/>
        </w:rPr>
        <w:t>）为</w:t>
      </w:r>
      <w:r>
        <w:rPr>
          <w:rFonts w:ascii="Arial" w:hAnsi="Arial" w:eastAsia="仿宋" w:cs="Arial"/>
          <w:sz w:val="28"/>
          <w:highlight w:val="none"/>
        </w:rPr>
        <w:t>4.35</w:t>
      </w:r>
      <w:r>
        <w:rPr>
          <w:rFonts w:hint="eastAsia" w:ascii="Arial" w:hAnsi="Arial" w:eastAsia="仿宋" w:cs="Arial"/>
          <w:sz w:val="28"/>
          <w:highlight w:val="none"/>
        </w:rPr>
        <w:t>%，按照上述利率计算得出的土地还原率为5.44%，低于所要求的的最低值。故土地还原率取商业用途最低值5.5%。</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估价对象剩余土地使用年限为40年，商业用途法定用途最高出让年限为40年，</w:t>
      </w:r>
      <w:r>
        <w:rPr>
          <w:rFonts w:ascii="Arial" w:hAnsi="Arial" w:eastAsia="仿宋" w:cs="Arial"/>
          <w:sz w:val="28"/>
          <w:highlight w:val="none"/>
        </w:rPr>
        <w:t>故不做修正。</w:t>
      </w:r>
    </w:p>
    <w:p>
      <w:pPr>
        <w:overflowPunct w:val="0"/>
        <w:spacing w:line="300" w:lineRule="auto"/>
        <w:ind w:firstLine="560" w:firstLineChars="200"/>
        <w:jc w:val="both"/>
        <w:textAlignment w:val="auto"/>
        <w:rPr>
          <w:rFonts w:ascii="Arial" w:hAnsi="Arial" w:eastAsia="仿宋" w:cs="Arial"/>
          <w:sz w:val="28"/>
          <w:highlight w:val="none"/>
        </w:rPr>
      </w:pPr>
      <w:r>
        <w:rPr>
          <w:rFonts w:ascii="Arial" w:hAnsi="Arial" w:eastAsia="仿宋" w:cs="Arial"/>
          <w:sz w:val="28"/>
          <w:highlight w:val="none"/>
        </w:rPr>
        <w:t>5</w:t>
      </w:r>
      <w:r>
        <w:rPr>
          <w:rFonts w:hint="eastAsia" w:ascii="Arial" w:hAnsi="Arial" w:eastAsia="仿宋" w:cs="Arial"/>
          <w:sz w:val="28"/>
          <w:highlight w:val="none"/>
        </w:rPr>
        <w:t>）楼层修正系数的确定</w:t>
      </w:r>
    </w:p>
    <w:p>
      <w:pPr>
        <w:overflowPunct w:val="0"/>
        <w:spacing w:line="300" w:lineRule="auto"/>
        <w:ind w:firstLine="560" w:firstLineChars="200"/>
        <w:jc w:val="both"/>
        <w:textAlignment w:val="auto"/>
        <w:rPr>
          <w:rFonts w:ascii="Arial" w:hAnsi="Arial" w:eastAsia="仿宋" w:cs="Arial"/>
          <w:sz w:val="28"/>
          <w:highlight w:val="none"/>
        </w:rPr>
      </w:pPr>
      <w:r>
        <w:rPr>
          <w:rFonts w:hint="eastAsia" w:ascii="Arial" w:hAnsi="Arial" w:eastAsia="仿宋" w:cs="Arial"/>
          <w:sz w:val="28"/>
          <w:highlight w:val="none"/>
        </w:rPr>
        <w:t>估价对象用途为商业，商业用途应选用楼层修正系数进行修正，查相应的《商业用途楼层修正系数表》确定楼层修正系数，不具备条件时可选用容积率修正系数。《商业用途楼层修正系数表》如下：</w:t>
      </w:r>
    </w:p>
    <w:p>
      <w:pPr>
        <w:overflowPunct w:val="0"/>
        <w:spacing w:line="240" w:lineRule="auto"/>
        <w:jc w:val="center"/>
        <w:textAlignment w:val="auto"/>
        <w:rPr>
          <w:rFonts w:ascii="Arial" w:hAnsi="Arial" w:eastAsia="方正黑体简体"/>
          <w:color w:val="E36C0A"/>
          <w:highlight w:val="none"/>
        </w:rPr>
      </w:pPr>
      <w:r>
        <w:rPr>
          <w:rFonts w:hint="eastAsia" w:ascii="Arial" w:hAnsi="Arial" w:eastAsia="方正黑体简体" w:cs="宋体"/>
          <w:bCs/>
          <w:color w:val="000000"/>
          <w:szCs w:val="24"/>
          <w:highlight w:val="none"/>
        </w:rPr>
        <w:t>北京市基准地价商业类楼层修正系数表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961"/>
        <w:gridCol w:w="1285"/>
        <w:gridCol w:w="2223"/>
        <w:gridCol w:w="2339"/>
        <w:gridCol w:w="2491"/>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用途</w:t>
            </w:r>
          </w:p>
        </w:tc>
        <w:tc>
          <w:tcPr>
            <w:tcW w:w="1285"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所在楼层</w:t>
            </w:r>
          </w:p>
        </w:tc>
        <w:tc>
          <w:tcPr>
            <w:tcW w:w="7053" w:type="dxa"/>
            <w:gridSpan w:val="3"/>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楼层修正系数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tblHeader/>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2223"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一至二级</w:t>
            </w:r>
          </w:p>
        </w:tc>
        <w:tc>
          <w:tcPr>
            <w:tcW w:w="2339"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三至七级</w:t>
            </w:r>
          </w:p>
        </w:tc>
        <w:tc>
          <w:tcPr>
            <w:tcW w:w="2491"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八至十二级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restart"/>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商业</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R≥1</w:t>
            </w: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地上第1层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1.5206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1.5019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1.5418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地上第2层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1.2072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1.1838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1.1884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地上第3层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1.0431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1.0005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0.9694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地上第4层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0.9439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0.8824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0.8230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noWrap/>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地上第5层</w:t>
            </w:r>
          </w:p>
        </w:tc>
        <w:tc>
          <w:tcPr>
            <w:tcW w:w="2223"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0.8996 </w:t>
            </w:r>
          </w:p>
        </w:tc>
        <w:tc>
          <w:tcPr>
            <w:tcW w:w="2339"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0.8480 </w:t>
            </w:r>
          </w:p>
        </w:tc>
        <w:tc>
          <w:tcPr>
            <w:tcW w:w="2491" w:type="dxa"/>
            <w:shd w:val="clear" w:color="auto" w:fill="auto"/>
            <w:noWrap/>
          </w:tcPr>
          <w:p>
            <w:pPr>
              <w:widowControl/>
              <w:adjustRightInd/>
              <w:spacing w:line="240" w:lineRule="exact"/>
              <w:textAlignment w:val="auto"/>
              <w:rPr>
                <w:rFonts w:ascii="Arial" w:hAnsi="Arial" w:eastAsia="华文细黑" w:cs="宋体"/>
                <w:color w:val="000000"/>
                <w:sz w:val="18"/>
                <w:szCs w:val="24"/>
                <w:highlight w:val="none"/>
              </w:rPr>
            </w:pPr>
            <w:r>
              <w:rPr>
                <w:rFonts w:ascii="Arial" w:hAnsi="Arial" w:eastAsia="华文细黑" w:cs="宋体"/>
                <w:color w:val="000000"/>
                <w:sz w:val="18"/>
                <w:szCs w:val="24"/>
                <w:highlight w:val="none"/>
              </w:rPr>
              <w:t xml:space="preserve">0.7498 </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961" w:type="dxa"/>
            <w:vMerge w:val="continue"/>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p>
        </w:tc>
        <w:tc>
          <w:tcPr>
            <w:tcW w:w="1285"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地上第6层及以上各层</w:t>
            </w:r>
          </w:p>
        </w:tc>
        <w:tc>
          <w:tcPr>
            <w:tcW w:w="2223"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=(-0.5556F²-0.2719F+8944)×10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339"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=(-0.7912F²-11.3794F+8482)×10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c>
          <w:tcPr>
            <w:tcW w:w="2491" w:type="dxa"/>
            <w:shd w:val="clear" w:color="auto" w:fill="auto"/>
            <w:vAlign w:val="center"/>
          </w:tcPr>
          <w:p>
            <w:pPr>
              <w:widowControl/>
              <w:adjustRightInd/>
              <w:spacing w:line="240" w:lineRule="exact"/>
              <w:textAlignment w:val="auto"/>
              <w:rPr>
                <w:rFonts w:ascii="Arial" w:hAnsi="Arial" w:eastAsia="华文细黑" w:cs="宋体"/>
                <w:color w:val="000000"/>
                <w:sz w:val="18"/>
                <w:szCs w:val="24"/>
                <w:highlight w:val="none"/>
                <w:vertAlign w:val="superscript"/>
              </w:rPr>
            </w:pPr>
            <w:r>
              <w:rPr>
                <w:rFonts w:hint="eastAsia" w:ascii="Arial" w:hAnsi="Arial" w:eastAsia="华文细黑" w:cs="宋体"/>
                <w:color w:val="000000"/>
                <w:sz w:val="18"/>
                <w:szCs w:val="24"/>
                <w:highlight w:val="none"/>
              </w:rPr>
              <w:t>X</w:t>
            </w:r>
            <w:r>
              <w:rPr>
                <w:rFonts w:hint="eastAsia" w:ascii="Arial" w:hAnsi="Arial" w:eastAsia="华文细黑" w:cs="宋体"/>
                <w:color w:val="000000"/>
                <w:sz w:val="18"/>
                <w:szCs w:val="24"/>
                <w:highlight w:val="none"/>
                <w:vertAlign w:val="subscript"/>
              </w:rPr>
              <w:t>F</w:t>
            </w:r>
            <w:r>
              <w:rPr>
                <w:rFonts w:hint="eastAsia" w:ascii="Arial" w:hAnsi="Arial" w:eastAsia="华文细黑" w:cs="宋体"/>
                <w:color w:val="000000"/>
                <w:sz w:val="18"/>
                <w:szCs w:val="24"/>
                <w:highlight w:val="none"/>
              </w:rPr>
              <w:t>=(-0.989F²-63.78F+7771)×10</w:t>
            </w:r>
            <w:r>
              <w:rPr>
                <w:rFonts w:hint="eastAsia" w:ascii="Arial" w:hAnsi="Arial" w:eastAsia="华文细黑" w:cs="宋体"/>
                <w:color w:val="000000"/>
                <w:sz w:val="18"/>
                <w:szCs w:val="24"/>
                <w:highlight w:val="none"/>
                <w:vertAlign w:val="superscript"/>
              </w:rPr>
              <w:t xml:space="preserve">-4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 xml:space="preserve">XF:楼层修正系数     </w:t>
            </w:r>
          </w:p>
          <w:p>
            <w:pPr>
              <w:widowControl/>
              <w:adjustRightInd/>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F：所在楼层</w:t>
            </w:r>
          </w:p>
        </w:tc>
      </w:tr>
    </w:tbl>
    <w:p>
      <w:pPr>
        <w:widowControl/>
        <w:snapToGrid w:val="0"/>
        <w:spacing w:line="240" w:lineRule="exact"/>
        <w:textAlignment w:val="auto"/>
        <w:rPr>
          <w:rFonts w:ascii="Arial" w:hAnsi="Arial" w:eastAsia="华文细黑" w:cs="宋体"/>
          <w:color w:val="000000"/>
          <w:sz w:val="18"/>
          <w:szCs w:val="24"/>
          <w:highlight w:val="none"/>
        </w:rPr>
      </w:pPr>
      <w:r>
        <w:rPr>
          <w:rFonts w:hint="eastAsia" w:ascii="Arial" w:hAnsi="Arial" w:eastAsia="华文细黑" w:cs="宋体"/>
          <w:color w:val="000000"/>
          <w:sz w:val="18"/>
          <w:szCs w:val="24"/>
          <w:highlight w:val="none"/>
        </w:rPr>
        <w:t>说明：R为宗地地上容积率</w:t>
      </w:r>
    </w:p>
    <w:p>
      <w:pPr>
        <w:tabs>
          <w:tab w:val="left" w:pos="2160"/>
        </w:tabs>
        <w:overflowPunct w:val="0"/>
        <w:snapToGrid w:val="0"/>
        <w:spacing w:line="240" w:lineRule="exact"/>
        <w:ind w:firstLine="360" w:firstLineChars="200"/>
        <w:jc w:val="both"/>
        <w:textAlignment w:val="auto"/>
        <w:rPr>
          <w:rFonts w:ascii="Arial" w:hAnsi="Arial"/>
          <w:sz w:val="18"/>
          <w:szCs w:val="18"/>
          <w:highlight w:val="none"/>
        </w:rPr>
      </w:pPr>
    </w:p>
    <w:p>
      <w:pPr>
        <w:spacing w:line="300" w:lineRule="auto"/>
        <w:ind w:firstLine="560" w:firstLineChars="200"/>
        <w:jc w:val="both"/>
        <w:rPr>
          <w:rFonts w:ascii="Arial" w:hAnsi="Arial" w:eastAsia="仿宋_GB2312" w:cs="Arial"/>
          <w:sz w:val="28"/>
          <w:highlight w:val="none"/>
        </w:rPr>
      </w:pPr>
      <w:r>
        <w:rPr>
          <w:rFonts w:hint="eastAsia" w:ascii="Arial" w:hAnsi="Arial" w:eastAsia="仿宋" w:cs="Arial"/>
          <w:sz w:val="28"/>
          <w:highlight w:val="none"/>
        </w:rPr>
        <w:t>估价对象土地级别为八级，地上容积率为2.04，位于</w:t>
      </w:r>
      <w:r>
        <w:rPr>
          <w:rFonts w:hint="eastAsia" w:ascii="Arial" w:hAnsi="Arial" w:eastAsia="仿宋" w:cs="Arial"/>
          <w:sz w:val="28"/>
          <w:highlight w:val="none"/>
          <w:lang w:eastAsia="zh-CN"/>
        </w:rPr>
        <w:t>地上6层</w:t>
      </w:r>
      <w:r>
        <w:rPr>
          <w:rFonts w:hint="eastAsia" w:ascii="Arial" w:hAnsi="Arial" w:eastAsia="仿宋" w:cs="Arial"/>
          <w:sz w:val="28"/>
          <w:highlight w:val="none"/>
        </w:rPr>
        <w:t>，</w:t>
      </w:r>
      <w:r>
        <w:rPr>
          <w:rFonts w:hint="eastAsia" w:ascii="Arial" w:hAnsi="Arial" w:eastAsia="仿宋_GB2312" w:cs="Arial"/>
          <w:sz w:val="28"/>
          <w:highlight w:val="none"/>
        </w:rPr>
        <w:t>其计算公式为：</w:t>
      </w:r>
    </w:p>
    <w:p>
      <w:pPr>
        <w:spacing w:line="300" w:lineRule="auto"/>
        <w:ind w:firstLine="560" w:firstLineChars="200"/>
        <w:jc w:val="both"/>
        <w:rPr>
          <w:rFonts w:ascii="Arial" w:hAnsi="Arial" w:eastAsia="仿宋_GB2312" w:cs="Arial"/>
          <w:sz w:val="28"/>
          <w:highlight w:val="none"/>
          <w:vertAlign w:val="superscript"/>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vertAlign w:val="baseline"/>
          <w:lang w:eastAsia="zh-CN"/>
        </w:rPr>
        <w:t>＝</w:t>
      </w:r>
      <w:r>
        <w:rPr>
          <w:rFonts w:hint="eastAsia" w:ascii="Arial" w:hAnsi="Arial" w:eastAsia="仿宋_GB2312" w:cs="Arial"/>
          <w:sz w:val="28"/>
          <w:highlight w:val="none"/>
        </w:rPr>
        <w:t>(-0.989F²-63.78F+7771)×10</w:t>
      </w:r>
      <w:r>
        <w:rPr>
          <w:rFonts w:hint="eastAsia" w:ascii="Arial" w:hAnsi="Arial" w:eastAsia="仿宋_GB2312" w:cs="Arial"/>
          <w:sz w:val="28"/>
          <w:highlight w:val="none"/>
          <w:vertAlign w:val="superscript"/>
        </w:rPr>
        <w:t xml:space="preserve">-4  </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式中：</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rPr>
        <w:t>——楼层修正系数</w:t>
      </w:r>
      <w:r>
        <w:rPr>
          <w:rFonts w:hint="eastAsia" w:ascii="Arial" w:hAnsi="Arial" w:eastAsia="仿宋_GB2312" w:cs="Arial"/>
          <w:sz w:val="28"/>
          <w:highlight w:val="none"/>
          <w:lang w:eastAsia="zh-CN"/>
        </w:rPr>
        <w:t>；</w:t>
      </w:r>
    </w:p>
    <w:p>
      <w:pPr>
        <w:spacing w:line="300" w:lineRule="auto"/>
        <w:ind w:firstLine="560" w:firstLineChars="200"/>
        <w:jc w:val="both"/>
        <w:rPr>
          <w:rFonts w:hint="eastAsia" w:ascii="Arial" w:hAnsi="Arial" w:eastAsia="仿宋_GB2312" w:cs="Arial"/>
          <w:sz w:val="28"/>
          <w:highlight w:val="none"/>
          <w:lang w:eastAsia="zh-CN"/>
        </w:rPr>
      </w:pPr>
      <w:r>
        <w:rPr>
          <w:rFonts w:hint="eastAsia" w:ascii="Arial" w:hAnsi="Arial" w:eastAsia="仿宋_GB2312" w:cs="Arial"/>
          <w:sz w:val="28"/>
          <w:highlight w:val="none"/>
        </w:rPr>
        <w:t>F——所在楼层</w:t>
      </w:r>
      <w:r>
        <w:rPr>
          <w:rFonts w:hint="eastAsia" w:ascii="Arial" w:hAnsi="Arial" w:eastAsia="仿宋_GB2312" w:cs="Arial"/>
          <w:sz w:val="28"/>
          <w:highlight w:val="none"/>
          <w:lang w:eastAsia="zh-CN"/>
        </w:rPr>
        <w:t>。</w:t>
      </w:r>
    </w:p>
    <w:p>
      <w:pPr>
        <w:overflowPunct w:val="0"/>
        <w:spacing w:line="300" w:lineRule="auto"/>
        <w:ind w:firstLine="560" w:firstLineChars="200"/>
        <w:jc w:val="both"/>
        <w:textAlignment w:val="auto"/>
        <w:rPr>
          <w:rFonts w:hint="eastAsia" w:ascii="Arial" w:hAnsi="Arial" w:eastAsia="仿宋" w:cs="Arial"/>
          <w:sz w:val="28"/>
          <w:highlight w:val="none"/>
          <w:lang w:eastAsia="zh-CN"/>
        </w:rPr>
      </w:pPr>
      <w:r>
        <w:rPr>
          <w:rFonts w:hint="eastAsia" w:ascii="Arial" w:hAnsi="Arial" w:eastAsia="仿宋" w:cs="Arial"/>
          <w:sz w:val="28"/>
          <w:highlight w:val="none"/>
          <w:lang w:eastAsia="zh-CN"/>
        </w:rPr>
        <w:t>则：</w:t>
      </w:r>
    </w:p>
    <w:p>
      <w:pPr>
        <w:spacing w:line="300" w:lineRule="auto"/>
        <w:ind w:firstLine="560" w:firstLineChars="200"/>
        <w:jc w:val="both"/>
        <w:rPr>
          <w:rFonts w:hint="eastAsia" w:ascii="Arial" w:hAnsi="Arial" w:eastAsia="仿宋_GB2312" w:cs="Arial"/>
          <w:sz w:val="28"/>
          <w:highlight w:val="none"/>
          <w:vertAlign w:val="superscript"/>
          <w:lang w:eastAsia="zh-CN"/>
        </w:rPr>
      </w:pPr>
      <w:r>
        <w:rPr>
          <w:rFonts w:hint="eastAsia" w:ascii="Arial" w:hAnsi="Arial" w:eastAsia="仿宋_GB2312" w:cs="Arial"/>
          <w:sz w:val="28"/>
          <w:highlight w:val="none"/>
        </w:rPr>
        <w:t>X</w:t>
      </w:r>
      <w:r>
        <w:rPr>
          <w:rFonts w:hint="eastAsia" w:ascii="Arial" w:hAnsi="Arial" w:eastAsia="仿宋_GB2312" w:cs="Arial"/>
          <w:sz w:val="28"/>
          <w:highlight w:val="none"/>
          <w:vertAlign w:val="subscript"/>
        </w:rPr>
        <w:t>F</w:t>
      </w:r>
      <w:r>
        <w:rPr>
          <w:rFonts w:hint="eastAsia" w:ascii="Arial" w:hAnsi="Arial" w:eastAsia="仿宋_GB2312" w:cs="Arial"/>
          <w:sz w:val="28"/>
          <w:highlight w:val="none"/>
          <w:vertAlign w:val="baseline"/>
          <w:lang w:eastAsia="zh-CN"/>
        </w:rPr>
        <w:t>＝</w:t>
      </w:r>
      <w:r>
        <w:rPr>
          <w:rFonts w:hint="eastAsia" w:ascii="Arial" w:hAnsi="Arial" w:eastAsia="仿宋_GB2312" w:cs="Arial"/>
          <w:sz w:val="28"/>
          <w:highlight w:val="none"/>
        </w:rPr>
        <w:t>(-0.989</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²-63.78</w:t>
      </w:r>
      <w:r>
        <w:rPr>
          <w:rFonts w:hint="eastAsia" w:ascii="Arial" w:hAnsi="Arial" w:eastAsia="仿宋_GB2312" w:cs="Arial"/>
          <w:sz w:val="28"/>
          <w:highlight w:val="none"/>
          <w:lang w:val="en-US" w:eastAsia="zh-CN"/>
        </w:rPr>
        <w:t>×6</w:t>
      </w:r>
      <w:r>
        <w:rPr>
          <w:rFonts w:hint="eastAsia" w:ascii="Arial" w:hAnsi="Arial" w:eastAsia="仿宋_GB2312" w:cs="Arial"/>
          <w:sz w:val="28"/>
          <w:highlight w:val="none"/>
        </w:rPr>
        <w:t>+7771)×10</w:t>
      </w:r>
      <w:r>
        <w:rPr>
          <w:rFonts w:hint="eastAsia" w:ascii="Arial" w:hAnsi="Arial" w:eastAsia="仿宋_GB2312" w:cs="Arial"/>
          <w:sz w:val="28"/>
          <w:highlight w:val="none"/>
          <w:vertAlign w:val="superscript"/>
        </w:rPr>
        <w:t>-4</w:t>
      </w:r>
      <w:r>
        <w:rPr>
          <w:rFonts w:hint="eastAsia" w:ascii="Arial" w:hAnsi="Arial" w:eastAsia="仿宋_GB2312" w:cs="Arial"/>
          <w:sz w:val="28"/>
          <w:highlight w:val="none"/>
          <w:vertAlign w:val="baseline"/>
          <w:lang w:eastAsia="zh-CN"/>
        </w:rPr>
        <w:t>＝0.7353</w:t>
      </w:r>
    </w:p>
    <w:p>
      <w:pPr>
        <w:overflowPunct w:val="0"/>
        <w:spacing w:line="300" w:lineRule="auto"/>
        <w:ind w:firstLine="560" w:firstLineChars="200"/>
        <w:jc w:val="both"/>
        <w:textAlignment w:val="auto"/>
        <w:rPr>
          <w:rFonts w:ascii="Arial" w:hAnsi="Arial" w:eastAsia="仿宋_GB2312" w:cs="Arial"/>
          <w:sz w:val="28"/>
          <w:highlight w:val="none"/>
        </w:rPr>
      </w:pPr>
      <w:r>
        <w:rPr>
          <w:rFonts w:ascii="Arial" w:hAnsi="Arial" w:eastAsia="仿宋_GB2312" w:cs="Arial"/>
          <w:sz w:val="28"/>
          <w:szCs w:val="28"/>
          <w:highlight w:val="none"/>
        </w:rPr>
        <w:t>6</w:t>
      </w:r>
      <w:r>
        <w:rPr>
          <w:rFonts w:ascii="Arial" w:hAnsi="Arial" w:eastAsia="仿宋_GB2312" w:cs="Arial"/>
          <w:sz w:val="28"/>
          <w:highlight w:val="none"/>
        </w:rPr>
        <w:t>）因素修正系数的确定</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是指除容积率（楼层）、期日、年期、用途之外的其它地价影响因素的综合修正系数。参照《北京市基准地价因素修正系数说明表》（详见下表），根据估价对象用途对应的宗地各种因素情况确定每种因素的修正系数，应用以下公式测算宗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因素修正系数=1＋</w:t>
      </w:r>
      <w:r>
        <w:rPr>
          <w:rFonts w:ascii="Arial" w:hAnsi="Arial" w:eastAsia="仿宋" w:cs="Arial"/>
          <w:sz w:val="28"/>
          <w:highlight w:val="none"/>
        </w:rPr>
        <w:fldChar w:fldCharType="begin"/>
      </w:r>
      <w:r>
        <w:rPr>
          <w:rFonts w:ascii="Arial" w:hAnsi="Arial" w:eastAsia="仿宋" w:cs="Arial"/>
          <w:sz w:val="28"/>
          <w:highlight w:val="none"/>
        </w:rPr>
        <w:instrText xml:space="preserve"> QUOTE </w:instrText>
      </w:r>
      <w:r>
        <w:rPr>
          <w:rFonts w:ascii="Arial" w:hAnsi="Arial" w:eastAsia="仿宋" w:cs="Arial"/>
          <w:sz w:val="28"/>
          <w:highlight w:val="none"/>
        </w:rPr>
        <w:pict>
          <v:shape id="_x0000_i1025"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9" chromakey="#FFFFFF" o:title=""/>
            <o:lock v:ext="edit" aspectratio="t"/>
            <w10:wrap type="none"/>
            <w10:anchorlock/>
          </v:shape>
        </w:pict>
      </w:r>
      <w:r>
        <w:rPr>
          <w:rFonts w:ascii="Arial" w:hAnsi="Arial" w:eastAsia="仿宋" w:cs="Arial"/>
          <w:sz w:val="28"/>
          <w:highlight w:val="none"/>
        </w:rPr>
        <w:instrText xml:space="preserve"> </w:instrText>
      </w:r>
      <w:r>
        <w:rPr>
          <w:rFonts w:ascii="Arial" w:hAnsi="Arial" w:eastAsia="仿宋" w:cs="Arial"/>
          <w:sz w:val="28"/>
          <w:highlight w:val="none"/>
        </w:rPr>
        <w:fldChar w:fldCharType="separate"/>
      </w:r>
      <w:r>
        <w:rPr>
          <w:rFonts w:ascii="Arial" w:hAnsi="Arial" w:eastAsia="仿宋" w:cs="Arial"/>
          <w:sz w:val="28"/>
          <w:highlight w:val="none"/>
        </w:rPr>
        <w:pict>
          <v:shape id="_x0000_i1026" o:spt="75" type="#_x0000_t75" style="height:18.7pt;width:30.85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80&quot;/&gt;&lt;w:doNotEmbedSystemFonts/&gt;&lt;w:bordersDontSurroundHeader/&gt;&lt;w:bordersDontSurroundFooter/&gt;&lt;w:defaultTabStop w:val=&quot;420&quot;/&gt;&lt;w:drawingGridHorizontalSpacing w:val=&quot;120&quot;/&gt;&lt;w:drawingGridVerticalSpacing w:val=&quot;163&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06111&quot;/&gt;&lt;wsp:rsid wsp:val=&quot;000178EB&quot;/&gt;&lt;wsp:rsid wsp:val=&quot;00032366&quot;/&gt;&lt;wsp:rsid wsp:val=&quot;00032528&quot;/&gt;&lt;wsp:rsid wsp:val=&quot;0005644A&quot;/&gt;&lt;wsp:rsid wsp:val=&quot;000870BF&quot;/&gt;&lt;wsp:rsid wsp:val=&quot;000A2CE2&quot;/&gt;&lt;wsp:rsid wsp:val=&quot;000A35BB&quot;/&gt;&lt;wsp:rsid wsp:val=&quot;000C479B&quot;/&gt;&lt;wsp:rsid wsp:val=&quot;000F7E94&quot;/&gt;&lt;wsp:rsid wsp:val=&quot;00100E36&quot;/&gt;&lt;wsp:rsid wsp:val=&quot;0010754D&quot;/&gt;&lt;wsp:rsid wsp:val=&quot;0011058E&quot;/&gt;&lt;wsp:rsid wsp:val=&quot;00115E7E&quot;/&gt;&lt;wsp:rsid wsp:val=&quot;00115F67&quot;/&gt;&lt;wsp:rsid wsp:val=&quot;00136655&quot;/&gt;&lt;wsp:rsid wsp:val=&quot;001709EB&quot;/&gt;&lt;wsp:rsid wsp:val=&quot;00175821&quot;/&gt;&lt;wsp:rsid wsp:val=&quot;00180DC9&quot;/&gt;&lt;wsp:rsid wsp:val=&quot;001A4628&quot;/&gt;&lt;wsp:rsid wsp:val=&quot;001A66E5&quot;/&gt;&lt;wsp:rsid wsp:val=&quot;001C2E50&quot;/&gt;&lt;wsp:rsid wsp:val=&quot;001D78E4&quot;/&gt;&lt;wsp:rsid wsp:val=&quot;001E3E70&quot;/&gt;&lt;wsp:rsid wsp:val=&quot;001F4C0A&quot;/&gt;&lt;wsp:rsid wsp:val=&quot;00251D66&quot;/&gt;&lt;wsp:rsid wsp:val=&quot;0025382F&quot;/&gt;&lt;wsp:rsid wsp:val=&quot;00263EFC&quot;/&gt;&lt;wsp:rsid wsp:val=&quot;00283C27&quot;/&gt;&lt;wsp:rsid wsp:val=&quot;002A32A6&quot;/&gt;&lt;wsp:rsid wsp:val=&quot;002D1E84&quot;/&gt;&lt;wsp:rsid wsp:val=&quot;002E011B&quot;/&gt;&lt;wsp:rsid wsp:val=&quot;00315E7C&quot;/&gt;&lt;wsp:rsid wsp:val=&quot;003451F1&quot;/&gt;&lt;wsp:rsid wsp:val=&quot;00350A39&quot;/&gt;&lt;wsp:rsid wsp:val=&quot;00366E0F&quot;/&gt;&lt;wsp:rsid wsp:val=&quot;00374477&quot;/&gt;&lt;wsp:rsid wsp:val=&quot;003860EA&quot;/&gt;&lt;wsp:rsid wsp:val=&quot;00386735&quot;/&gt;&lt;wsp:rsid wsp:val=&quot;003972C2&quot;/&gt;&lt;wsp:rsid wsp:val=&quot;003B064A&quot;/&gt;&lt;wsp:rsid wsp:val=&quot;003F0E81&quot;/&gt;&lt;wsp:rsid wsp:val=&quot;003F732B&quot;/&gt;&lt;wsp:rsid wsp:val=&quot;003F7CA6&quot;/&gt;&lt;wsp:rsid wsp:val=&quot;0040135C&quot;/&gt;&lt;wsp:rsid wsp:val=&quot;00402AED&quot;/&gt;&lt;wsp:rsid wsp:val=&quot;00407162&quot;/&gt;&lt;wsp:rsid wsp:val=&quot;00415EB6&quot;/&gt;&lt;wsp:rsid wsp:val=&quot;0043011E&quot;/&gt;&lt;wsp:rsid wsp:val=&quot;004763B8&quot;/&gt;&lt;wsp:rsid wsp:val=&quot;00476BC3&quot;/&gt;&lt;wsp:rsid wsp:val=&quot;00484DC2&quot;/&gt;&lt;wsp:rsid wsp:val=&quot;00494499&quot;/&gt;&lt;wsp:rsid wsp:val=&quot;004B0921&quot;/&gt;&lt;wsp:rsid wsp:val=&quot;004C41B7&quot;/&gt;&lt;wsp:rsid wsp:val=&quot;004D09B2&quot;/&gt;&lt;wsp:rsid wsp:val=&quot;004D62F4&quot;/&gt;&lt;wsp:rsid wsp:val=&quot;004F047C&quot;/&gt;&lt;wsp:rsid wsp:val=&quot;004F7667&quot;/&gt;&lt;wsp:rsid wsp:val=&quot;00520321&quot;/&gt;&lt;wsp:rsid wsp:val=&quot;0052196E&quot;/&gt;&lt;wsp:rsid wsp:val=&quot;00527117&quot;/&gt;&lt;wsp:rsid wsp:val=&quot;00540322&quot;/&gt;&lt;wsp:rsid wsp:val=&quot;0054126B&quot;/&gt;&lt;wsp:rsid wsp:val=&quot;00544B04&quot;/&gt;&lt;wsp:rsid wsp:val=&quot;005461A4&quot;/&gt;&lt;wsp:rsid wsp:val=&quot;005463D8&quot;/&gt;&lt;wsp:rsid wsp:val=&quot;00555428&quot;/&gt;&lt;wsp:rsid wsp:val=&quot;005720BD&quot;/&gt;&lt;wsp:rsid wsp:val=&quot;00573ADF&quot;/&gt;&lt;wsp:rsid wsp:val=&quot;0059084C&quot;/&gt;&lt;wsp:rsid wsp:val=&quot;00595FD5&quot;/&gt;&lt;wsp:rsid wsp:val=&quot;005C4E0A&quot;/&gt;&lt;wsp:rsid wsp:val=&quot;005E4003&quot;/&gt;&lt;wsp:rsid wsp:val=&quot;005E6723&quot;/&gt;&lt;wsp:rsid wsp:val=&quot;005F50F1&quot;/&gt;&lt;wsp:rsid wsp:val=&quot;005F62DB&quot;/&gt;&lt;wsp:rsid wsp:val=&quot;00606EB6&quot;/&gt;&lt;wsp:rsid wsp:val=&quot;0066211E&quot;/&gt;&lt;wsp:rsid wsp:val=&quot;00674429&quot;/&gt;&lt;wsp:rsid wsp:val=&quot;00693C97&quot;/&gt;&lt;wsp:rsid wsp:val=&quot;006A2172&quot;/&gt;&lt;wsp:rsid wsp:val=&quot;006B115C&quot;/&gt;&lt;wsp:rsid wsp:val=&quot;006C10A9&quot;/&gt;&lt;wsp:rsid wsp:val=&quot;006C4B16&quot;/&gt;&lt;wsp:rsid wsp:val=&quot;006C6FD5&quot;/&gt;&lt;wsp:rsid wsp:val=&quot;006D6A01&quot;/&gt;&lt;wsp:rsid wsp:val=&quot;006E085F&quot;/&gt;&lt;wsp:rsid wsp:val=&quot;0070342C&quot;/&gt;&lt;wsp:rsid wsp:val=&quot;007110DA&quot;/&gt;&lt;wsp:rsid wsp:val=&quot;00717B83&quot;/&gt;&lt;wsp:rsid wsp:val=&quot;0072188B&quot;/&gt;&lt;wsp:rsid wsp:val=&quot;00737685&quot;/&gt;&lt;wsp:rsid wsp:val=&quot;00745264&quot;/&gt;&lt;wsp:rsid wsp:val=&quot;0075544E&quot;/&gt;&lt;wsp:rsid wsp:val=&quot;00770CC2&quot;/&gt;&lt;wsp:rsid wsp:val=&quot;007814F0&quot;/&gt;&lt;wsp:rsid wsp:val=&quot;007B0B09&quot;/&gt;&lt;wsp:rsid wsp:val=&quot;007D5727&quot;/&gt;&lt;wsp:rsid wsp:val=&quot;007E4BAE&quot;/&gt;&lt;wsp:rsid wsp:val=&quot;007F20BD&quot;/&gt;&lt;wsp:rsid wsp:val=&quot;007F50E3&quot;/&gt;&lt;wsp:rsid wsp:val=&quot;00801168&quot;/&gt;&lt;wsp:rsid wsp:val=&quot;0080787A&quot;/&gt;&lt;wsp:rsid wsp:val=&quot;0081738E&quot;/&gt;&lt;wsp:rsid wsp:val=&quot;00842756&quot;/&gt;&lt;wsp:rsid wsp:val=&quot;008460C7&quot;/&gt;&lt;wsp:rsid wsp:val=&quot;00853369&quot;/&gt;&lt;wsp:rsid wsp:val=&quot;0086014E&quot;/&gt;&lt;wsp:rsid wsp:val=&quot;008748FA&quot;/&gt;&lt;wsp:rsid wsp:val=&quot;00876DB8&quot;/&gt;&lt;wsp:rsid wsp:val=&quot;00885618&quot;/&gt;&lt;wsp:rsid wsp:val=&quot;008912CE&quot;/&gt;&lt;wsp:rsid wsp:val=&quot;00892CA1&quot;/&gt;&lt;wsp:rsid wsp:val=&quot;008964F9&quot;/&gt;&lt;wsp:rsid wsp:val=&quot;008C05F0&quot;/&gt;&lt;wsp:rsid wsp:val=&quot;008C5FB1&quot;/&gt;&lt;wsp:rsid wsp:val=&quot;00903EA0&quot;/&gt;&lt;wsp:rsid wsp:val=&quot;00904D7B&quot;/&gt;&lt;wsp:rsid wsp:val=&quot;009114BC&quot;/&gt;&lt;wsp:rsid wsp:val=&quot;00925B66&quot;/&gt;&lt;wsp:rsid wsp:val=&quot;00991AA7&quot;/&gt;&lt;wsp:rsid wsp:val=&quot;009B77EB&quot;/&gt;&lt;wsp:rsid wsp:val=&quot;009C0C04&quot;/&gt;&lt;wsp:rsid wsp:val=&quot;009D4318&quot;/&gt;&lt;wsp:rsid wsp:val=&quot;009E40CF&quot;/&gt;&lt;wsp:rsid wsp:val=&quot;009E7A21&quot;/&gt;&lt;wsp:rsid wsp:val=&quot;009F0002&quot;/&gt;&lt;wsp:rsid wsp:val=&quot;009F19B4&quot;/&gt;&lt;wsp:rsid wsp:val=&quot;009F3D1B&quot;/&gt;&lt;wsp:rsid wsp:val=&quot;009F5784&quot;/&gt;&lt;wsp:rsid wsp:val=&quot;00A000A5&quot;/&gt;&lt;wsp:rsid wsp:val=&quot;00A30125&quot;/&gt;&lt;wsp:rsid wsp:val=&quot;00A4446F&quot;/&gt;&lt;wsp:rsid wsp:val=&quot;00A9245E&quot;/&gt;&lt;wsp:rsid wsp:val=&quot;00AB2EB5&quot;/&gt;&lt;wsp:rsid wsp:val=&quot;00AB732E&quot;/&gt;&lt;wsp:rsid wsp:val=&quot;00B37A59&quot;/&gt;&lt;wsp:rsid wsp:val=&quot;00B4144C&quot;/&gt;&lt;wsp:rsid wsp:val=&quot;00B710BE&quot;/&gt;&lt;wsp:rsid wsp:val=&quot;00B71F8D&quot;/&gt;&lt;wsp:rsid wsp:val=&quot;00B77F8C&quot;/&gt;&lt;wsp:rsid wsp:val=&quot;00B80305&quot;/&gt;&lt;wsp:rsid wsp:val=&quot;00BB3E24&quot;/&gt;&lt;wsp:rsid wsp:val=&quot;00BD5A39&quot;/&gt;&lt;wsp:rsid wsp:val=&quot;00BE455C&quot;/&gt;&lt;wsp:rsid wsp:val=&quot;00C00443&quot;/&gt;&lt;wsp:rsid wsp:val=&quot;00C06111&quot;/&gt;&lt;wsp:rsid wsp:val=&quot;00C30BDE&quot;/&gt;&lt;wsp:rsid wsp:val=&quot;00C318EE&quot;/&gt;&lt;wsp:rsid wsp:val=&quot;00C34759&quot;/&gt;&lt;wsp:rsid wsp:val=&quot;00C63F54&quot;/&gt;&lt;wsp:rsid wsp:val=&quot;00C6608D&quot;/&gt;&lt;wsp:rsid wsp:val=&quot;00C67050&quot;/&gt;&lt;wsp:rsid wsp:val=&quot;00C67B4C&quot;/&gt;&lt;wsp:rsid wsp:val=&quot;00CB1FDF&quot;/&gt;&lt;wsp:rsid wsp:val=&quot;00CB2087&quot;/&gt;&lt;wsp:rsid wsp:val=&quot;00CB462D&quot;/&gt;&lt;wsp:rsid wsp:val=&quot;00CC0C2B&quot;/&gt;&lt;wsp:rsid wsp:val=&quot;00CF570A&quot;/&gt;&lt;wsp:rsid wsp:val=&quot;00D0526F&quot;/&gt;&lt;wsp:rsid wsp:val=&quot;00D05315&quot;/&gt;&lt;wsp:rsid wsp:val=&quot;00D12154&quot;/&gt;&lt;wsp:rsid wsp:val=&quot;00D3073A&quot;/&gt;&lt;wsp:rsid wsp:val=&quot;00D55D42&quot;/&gt;&lt;wsp:rsid wsp:val=&quot;00D57F54&quot;/&gt;&lt;wsp:rsid wsp:val=&quot;00D6621D&quot;/&gt;&lt;wsp:rsid wsp:val=&quot;00D67934&quot;/&gt;&lt;wsp:rsid wsp:val=&quot;00D72ABD&quot;/&gt;&lt;wsp:rsid wsp:val=&quot;00D85F94&quot;/&gt;&lt;wsp:rsid wsp:val=&quot;00D87ECA&quot;/&gt;&lt;wsp:rsid wsp:val=&quot;00D93266&quot;/&gt;&lt;wsp:rsid wsp:val=&quot;00DA647C&quot;/&gt;&lt;wsp:rsid wsp:val=&quot;00DC1B1F&quot;/&gt;&lt;wsp:rsid wsp:val=&quot;00DC4EEA&quot;/&gt;&lt;wsp:rsid wsp:val=&quot;00DD4129&quot;/&gt;&lt;wsp:rsid wsp:val=&quot;00E03316&quot;/&gt;&lt;wsp:rsid wsp:val=&quot;00E1325A&quot;/&gt;&lt;wsp:rsid wsp:val=&quot;00E153AD&quot;/&gt;&lt;wsp:rsid wsp:val=&quot;00E23EBA&quot;/&gt;&lt;wsp:rsid wsp:val=&quot;00E3382F&quot;/&gt;&lt;wsp:rsid wsp:val=&quot;00E465CC&quot;/&gt;&lt;wsp:rsid wsp:val=&quot;00E570A0&quot;/&gt;&lt;wsp:rsid wsp:val=&quot;00E673F4&quot;/&gt;&lt;wsp:rsid wsp:val=&quot;00E71617&quot;/&gt;&lt;wsp:rsid wsp:val=&quot;00E75437&quot;/&gt;&lt;wsp:rsid wsp:val=&quot;00E834C5&quot;/&gt;&lt;wsp:rsid wsp:val=&quot;00E84EDF&quot;/&gt;&lt;wsp:rsid wsp:val=&quot;00E851C3&quot;/&gt;&lt;wsp:rsid wsp:val=&quot;00E93297&quot;/&gt;&lt;wsp:rsid wsp:val=&quot;00EB0014&quot;/&gt;&lt;wsp:rsid wsp:val=&quot;00EB48BC&quot;/&gt;&lt;wsp:rsid wsp:val=&quot;00EC022A&quot;/&gt;&lt;wsp:rsid wsp:val=&quot;00EC3E5E&quot;/&gt;&lt;wsp:rsid wsp:val=&quot;00EE0575&quot;/&gt;&lt;wsp:rsid wsp:val=&quot;00EF2DBB&quot;/&gt;&lt;wsp:rsid wsp:val=&quot;00F257B5&quot;/&gt;&lt;wsp:rsid wsp:val=&quot;00F579DB&quot;/&gt;&lt;wsp:rsid wsp:val=&quot;00F710E8&quot;/&gt;&lt;wsp:rsid wsp:val=&quot;00F75CD4&quot;/&gt;&lt;wsp:rsid wsp:val=&quot;00F76DFB&quot;/&gt;&lt;wsp:rsid wsp:val=&quot;00FA00ED&quot;/&gt;&lt;wsp:rsid wsp:val=&quot;00FD146F&quot;/&gt;&lt;wsp:rsid wsp:val=&quot;00FD3BB6&quot;/&gt;&lt;wsp:rsid wsp:val=&quot;00FE695F&quot;/&gt;&lt;/wsp:rsids&gt;&lt;/w:docPr&gt;&lt;w:body&gt;&lt;wx:sect&gt;&lt;w:p wsp:rsidR=&quot;00000000&quot; wsp:rsidRDefault=&quot;00573ADF&quot; wsp:rsidP=&quot;00573ADF&quot;&gt;&lt;m:oMathPara&gt;&lt;m:oMath&gt;&lt;m:nary&gt;&lt;m:naryPr&gt;&lt;m:chr m:val=&quot;∑&quot;/&gt;&lt;m:limLoc m:val=&quot;undO///////vr&lt;&quot;/&gt;&lt;m:ctrlPr&gt;&lt;w:rPr&gt;&lt;w:rFonts w:ascii=&quot;Cambria Math&quot; w:h-ansi=&quot;Cambria Math&quot; w:cs=&quot;仿宋_GB2312&quot;/&gt;&lt;wx:font wx:val=&quot;Cambria Math&quot;/&gt;&lt;w:sz w:val=&quot;21&quot;/&gt;&lt;w:sz-cs w:val=&quot;29&quot;/&gt;&lt;/w:rPr&gt;&lt;/m:ctrlPr&gt;&lt;/m:naryPr&gt;&lt;m:sub&gt;&lt;m:r&gt;&lt;w:rPr&gt;&lt;w:rFonts w:ascii=&quot;Cambria MaO/tO/hO/&quot;O/ O/wO/:O/h-ar&lt;nsi=&quot;Cambria Math&quot; w:cs=&quot;仿宋_GB2312&quot;/&gt;&lt;wx:font wx:val=&quot;Cambria Math&quot;/&gt;&lt;w:i/&gt;&lt;w:sz w:val=&quot;21&quot;/&gt;&lt;w:sz-cs w:val=&quot;29&quot;/&gt;&lt;/w:rPr&gt;&lt;m:t&gt;i=1&lt;/m:t&gt;&lt;/m:r&gt;&lt;/m:sub&gt;&lt;m:sup&gt;&lt;m:r&gt;&lt;w:rPr&gt;&lt;w:rFonts w:ascii=&quot;Cambria Math&quot; w:h-ansi=&quot;Cambria Math&quot; w:csO/=&quot;?O/滤蝨hO/_GBh&quot;O/231&quot; O/2&quot;/ wO/&gt;&lt;ww:O/x:fon-ar&lt;t wx:val=&quot;Cambria Math&quot;/&gt;&lt;w:i/&gt;&lt;w:sz w:val=&quot;21&quot;/&gt;&lt;w:sz-cs w:val=&quot;29&quot;/&gt;&lt;/w:rPr&gt;&lt;m:t&gt;n&lt;/m:t&gt;&lt;/m:r&gt;&lt;/m:sup&gt;&lt;m:e&gt;&lt;m:r&gt;&lt;w:rPr&gt;&lt;w:rFonts w:ascii=&quot;Cambria Math&quot; w:h-ansi=&quot;Cambria Math&quot; w:cs=&quot;仿宋_GB2312&quot;/&gt;&lt;wx:fontcsO/ wx:v&quot;?O/al=&quot;CamO/bria MaO/th&quot;/&gt;&lt;wO/:i/&gt;&lt;w:O/sz w:vaO/l=&quot;21&quot;/&gt;&lt;r&lt;w:sz-cs w:val=&quot;29&quot;/&gt;&lt;/w:rPr&gt;&lt;m:t&gt;ki&lt;/m:t&gt;&lt;/m:r&gt;&lt;/m:e&gt;&lt;/m:nary&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59" chromakey="#FFFFFF" o:title=""/>
            <o:lock v:ext="edit" aspectratio="t"/>
            <w10:wrap type="none"/>
            <w10:anchorlock/>
          </v:shape>
        </w:pict>
      </w:r>
      <w:r>
        <w:rPr>
          <w:rFonts w:ascii="Arial" w:hAnsi="Arial" w:eastAsia="仿宋" w:cs="Arial"/>
          <w:sz w:val="28"/>
          <w:highlight w:val="none"/>
        </w:rPr>
        <w:fldChar w:fldCharType="end"/>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其中ki：第i种因素的修正系数</w:t>
      </w:r>
    </w:p>
    <w:p>
      <w:pPr>
        <w:overflowPunct w:val="0"/>
        <w:spacing w:line="300" w:lineRule="auto"/>
        <w:ind w:firstLine="560" w:firstLineChars="200"/>
        <w:jc w:val="both"/>
        <w:textAlignment w:val="auto"/>
        <w:rPr>
          <w:rFonts w:ascii="Arial" w:hAnsi="Arial" w:eastAsia="仿宋_GB2312" w:cs="Arial"/>
          <w:sz w:val="28"/>
          <w:highlight w:val="none"/>
        </w:rPr>
      </w:pPr>
      <w:r>
        <w:rPr>
          <w:rFonts w:hint="eastAsia" w:ascii="Arial" w:hAnsi="Arial" w:eastAsia="仿宋" w:cs="Arial"/>
          <w:sz w:val="28"/>
          <w:highlight w:val="none"/>
        </w:rPr>
        <w:t>各因素的修正系数根据影响地价的因素权重和因素总修正幅度确定。</w:t>
      </w:r>
    </w:p>
    <w:p>
      <w:pPr>
        <w:spacing w:line="300" w:lineRule="auto"/>
        <w:jc w:val="center"/>
        <w:rPr>
          <w:rFonts w:ascii="方正黑体简体" w:hAnsi="Arial" w:eastAsia="方正黑体简体"/>
          <w:szCs w:val="24"/>
          <w:highlight w:val="none"/>
        </w:rPr>
      </w:pPr>
      <w:r>
        <w:rPr>
          <w:rFonts w:hint="eastAsia" w:ascii="方正黑体简体" w:hAnsi="Arial" w:eastAsia="方正黑体简体" w:cs="宋体"/>
          <w:bCs/>
          <w:szCs w:val="24"/>
          <w:highlight w:val="none"/>
        </w:rPr>
        <w:t>北京市基准地价因素权重表</w:t>
      </w:r>
    </w:p>
    <w:tbl>
      <w:tblPr>
        <w:tblStyle w:val="35"/>
        <w:tblW w:w="9299" w:type="dxa"/>
        <w:jc w:val="center"/>
        <w:tblLayout w:type="fixed"/>
        <w:tblCellMar>
          <w:top w:w="57" w:type="dxa"/>
          <w:left w:w="57" w:type="dxa"/>
          <w:bottom w:w="57" w:type="dxa"/>
          <w:right w:w="57" w:type="dxa"/>
        </w:tblCellMar>
      </w:tblPr>
      <w:tblGrid>
        <w:gridCol w:w="1400"/>
        <w:gridCol w:w="498"/>
        <w:gridCol w:w="1382"/>
        <w:gridCol w:w="497"/>
        <w:gridCol w:w="1363"/>
        <w:gridCol w:w="497"/>
        <w:gridCol w:w="1343"/>
        <w:gridCol w:w="497"/>
        <w:gridCol w:w="1325"/>
        <w:gridCol w:w="497"/>
      </w:tblGrid>
      <w:tr>
        <w:tblPrEx>
          <w:tblCellMar>
            <w:top w:w="57" w:type="dxa"/>
            <w:left w:w="57" w:type="dxa"/>
            <w:bottom w:w="57" w:type="dxa"/>
            <w:right w:w="57" w:type="dxa"/>
          </w:tblCellMar>
        </w:tblPrEx>
        <w:trPr>
          <w:cantSplit/>
          <w:jc w:val="center"/>
        </w:trPr>
        <w:tc>
          <w:tcPr>
            <w:tcW w:w="454" w:type="dxa"/>
            <w:gridSpan w:val="2"/>
            <w:tcBorders>
              <w:top w:val="single" w:color="404040" w:sz="8" w:space="0"/>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工业类</w:t>
            </w:r>
          </w:p>
        </w:tc>
        <w:tc>
          <w:tcPr>
            <w:tcW w:w="454" w:type="dxa"/>
            <w:gridSpan w:val="2"/>
            <w:tcBorders>
              <w:top w:val="single" w:color="404040" w:sz="8" w:space="0"/>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公共服务类</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61"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4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26"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c>
          <w:tcPr>
            <w:tcW w:w="1209"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454" w:type="dxa"/>
            <w:tcBorders>
              <w:top w:val="nil"/>
              <w:left w:val="nil"/>
              <w:bottom w:val="single" w:color="404040" w:sz="8" w:space="0"/>
              <w:right w:val="single" w:color="404040" w:sz="8" w:space="0"/>
            </w:tcBorders>
            <w:shd w:val="clear" w:color="auto" w:fill="auto"/>
            <w:noWrap/>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权重</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商业繁华程度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办公集聚程度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住宅社区成熟度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物业聚集程度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物业集聚程度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26%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10%</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11%</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6%</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8%</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12%</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9%</w:t>
            </w:r>
          </w:p>
        </w:tc>
      </w:tr>
      <w:tr>
        <w:tblPrEx>
          <w:tblCellMar>
            <w:top w:w="57" w:type="dxa"/>
            <w:left w:w="57" w:type="dxa"/>
            <w:bottom w:w="57" w:type="dxa"/>
            <w:right w:w="57" w:type="dxa"/>
          </w:tblCellMar>
        </w:tblPrEx>
        <w:trPr>
          <w:cantSplit/>
          <w:jc w:val="center"/>
        </w:trPr>
        <w:tc>
          <w:tcPr>
            <w:tcW w:w="1277" w:type="dxa"/>
            <w:tcBorders>
              <w:top w:val="nil"/>
              <w:left w:val="single" w:color="404040" w:sz="8" w:space="0"/>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61"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c>
          <w:tcPr>
            <w:tcW w:w="124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与区域中心的接近程度</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5%</w:t>
            </w:r>
          </w:p>
        </w:tc>
        <w:tc>
          <w:tcPr>
            <w:tcW w:w="1226"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　</w:t>
            </w:r>
          </w:p>
        </w:tc>
        <w:tc>
          <w:tcPr>
            <w:tcW w:w="1209"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454" w:type="dxa"/>
            <w:tcBorders>
              <w:top w:val="nil"/>
              <w:left w:val="nil"/>
              <w:bottom w:val="single" w:color="404040" w:sz="8" w:space="0"/>
              <w:right w:val="single" w:color="404040" w:sz="8" w:space="0"/>
            </w:tcBorders>
            <w:shd w:val="clear" w:color="auto" w:fill="auto"/>
            <w:vAlign w:val="center"/>
          </w:tcPr>
          <w:p>
            <w:pPr>
              <w:widowControl/>
              <w:snapToGrid w:val="0"/>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7%</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估价对象位于商业类八级地价区，该级别《区片基准地价因素总修正幅度表》如下：</w:t>
      </w: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078"/>
        <w:gridCol w:w="1965"/>
        <w:gridCol w:w="1250"/>
        <w:gridCol w:w="1250"/>
        <w:gridCol w:w="1250"/>
        <w:gridCol w:w="125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00" w:hRule="atLeast"/>
          <w:tblHeader/>
          <w:jc w:val="center"/>
        </w:trPr>
        <w:tc>
          <w:tcPr>
            <w:tcW w:w="579" w:type="pct"/>
            <w:shd w:val="clear" w:color="auto" w:fill="auto"/>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级别</w:t>
            </w:r>
          </w:p>
        </w:tc>
        <w:tc>
          <w:tcPr>
            <w:tcW w:w="1056"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区片编号</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商业</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办公</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住宅</w:t>
            </w:r>
          </w:p>
        </w:tc>
        <w:tc>
          <w:tcPr>
            <w:tcW w:w="672"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工业</w:t>
            </w:r>
          </w:p>
        </w:tc>
        <w:tc>
          <w:tcPr>
            <w:tcW w:w="675" w:type="pct"/>
            <w:shd w:val="clear" w:color="auto" w:fill="auto"/>
            <w:noWrap/>
            <w:vAlign w:val="center"/>
          </w:tcPr>
          <w:p>
            <w:pPr>
              <w:widowControl/>
              <w:snapToGrid w:val="0"/>
              <w:spacing w:line="240" w:lineRule="exact"/>
              <w:jc w:val="both"/>
              <w:textAlignment w:val="auto"/>
              <w:rPr>
                <w:rFonts w:ascii="Arial" w:hAnsi="Arial" w:eastAsia="仿宋" w:cs="Arial"/>
                <w:b/>
                <w:bCs/>
                <w:sz w:val="18"/>
                <w:szCs w:val="18"/>
                <w:highlight w:val="none"/>
              </w:rPr>
            </w:pPr>
            <w:r>
              <w:rPr>
                <w:rFonts w:ascii="Arial" w:hAnsi="Arial" w:eastAsia="仿宋" w:cs="Arial"/>
                <w:b/>
                <w:bCs/>
                <w:sz w:val="18"/>
                <w:szCs w:val="18"/>
                <w:highlight w:val="none"/>
              </w:rPr>
              <w:t>公共服务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Ⅷ-05</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Ⅷ-门军</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Ⅷ-房3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Ⅷ-顺5</w:t>
            </w: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Ⅷ-昌4</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Ⅷ-兴2</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14.20%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Ⅷ-兴3</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Ⅷ-怀1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14.40%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Ⅷ-平1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10.90%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13.10%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12.60%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Ⅷ-密1</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11.80%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10.80%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Ⅷ-延1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14.10%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Ⅷ-亦1</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14.80%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14.70%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Ⅷ-亦2</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14.30%</w:t>
            </w:r>
          </w:p>
        </w:tc>
        <w:tc>
          <w:tcPr>
            <w:tcW w:w="672" w:type="pct"/>
            <w:shd w:val="clear" w:color="auto" w:fill="auto"/>
            <w:noWrap/>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15.00%</w:t>
            </w: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14.90%</w:t>
            </w:r>
          </w:p>
        </w:tc>
        <w:tc>
          <w:tcPr>
            <w:tcW w:w="675"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Ⅷ-文化教育基地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Ⅷ-苏家坨科技Ⅱ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Ⅷ-通州环保园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Ⅷ-通州开发区东</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Ⅷ-空港北区B</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Ⅷ-昌平园北Ⅲ</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Ⅷ-昌平园南Ⅱ</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Ⅷ-小汤山工业园</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85" w:hRule="atLeast"/>
          <w:jc w:val="center"/>
        </w:trPr>
        <w:tc>
          <w:tcPr>
            <w:tcW w:w="579"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八级</w:t>
            </w:r>
          </w:p>
        </w:tc>
        <w:tc>
          <w:tcPr>
            <w:tcW w:w="1056"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Ⅷ-生物医药基地</w:t>
            </w: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noWrap/>
            <w:vAlign w:val="center"/>
          </w:tcPr>
          <w:p>
            <w:pPr>
              <w:widowControl/>
              <w:snapToGrid w:val="0"/>
              <w:spacing w:line="240" w:lineRule="exact"/>
              <w:jc w:val="both"/>
              <w:rPr>
                <w:rFonts w:ascii="Arial" w:hAnsi="Arial" w:eastAsia="仿宋" w:cs="Arial"/>
                <w:sz w:val="18"/>
                <w:szCs w:val="18"/>
                <w:highlight w:val="none"/>
              </w:rPr>
            </w:pPr>
          </w:p>
        </w:tc>
        <w:tc>
          <w:tcPr>
            <w:tcW w:w="672" w:type="pct"/>
            <w:shd w:val="clear" w:color="auto" w:fill="auto"/>
            <w:vAlign w:val="center"/>
          </w:tcPr>
          <w:p>
            <w:pPr>
              <w:widowControl/>
              <w:snapToGrid w:val="0"/>
              <w:spacing w:line="240" w:lineRule="exact"/>
              <w:jc w:val="both"/>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5.00%</w:t>
            </w:r>
          </w:p>
        </w:tc>
        <w:tc>
          <w:tcPr>
            <w:tcW w:w="675" w:type="pct"/>
            <w:shd w:val="clear" w:color="auto" w:fill="auto"/>
            <w:vAlign w:val="center"/>
          </w:tcPr>
          <w:p>
            <w:pPr>
              <w:widowControl/>
              <w:snapToGrid w:val="0"/>
              <w:spacing w:line="240" w:lineRule="exact"/>
              <w:jc w:val="both"/>
              <w:rPr>
                <w:rFonts w:ascii="Arial" w:hAnsi="Arial" w:eastAsia="仿宋" w:cs="Arial"/>
                <w:sz w:val="18"/>
                <w:szCs w:val="18"/>
                <w:highlight w:val="none"/>
              </w:rPr>
            </w:pPr>
          </w:p>
        </w:tc>
      </w:tr>
    </w:tbl>
    <w:p>
      <w:pPr>
        <w:spacing w:line="300" w:lineRule="auto"/>
        <w:jc w:val="center"/>
        <w:rPr>
          <w:rFonts w:ascii="方正黑体简体" w:hAnsi="Arial" w:eastAsia="方正黑体简体" w:cs="宋体"/>
          <w:bCs/>
          <w:szCs w:val="24"/>
          <w:highlight w:val="none"/>
        </w:rPr>
      </w:pPr>
    </w:p>
    <w:p>
      <w:pPr>
        <w:spacing w:line="300" w:lineRule="auto"/>
        <w:jc w:val="center"/>
        <w:rPr>
          <w:rFonts w:ascii="方正黑体简体" w:hAnsi="Arial" w:eastAsia="方正黑体简体" w:cs="宋体"/>
          <w:bCs/>
          <w:szCs w:val="24"/>
          <w:highlight w:val="none"/>
        </w:rPr>
      </w:pPr>
      <w:r>
        <w:rPr>
          <w:rFonts w:hint="eastAsia" w:ascii="方正黑体简体" w:hAnsi="Arial" w:eastAsia="方正黑体简体" w:cs="宋体"/>
          <w:bCs/>
          <w:szCs w:val="24"/>
          <w:highlight w:val="none"/>
        </w:rPr>
        <w:t>因素等级说明表</w:t>
      </w:r>
    </w:p>
    <w:tbl>
      <w:tblPr>
        <w:tblStyle w:val="35"/>
        <w:tblW w:w="9298"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28" w:type="dxa"/>
          <w:bottom w:w="57" w:type="dxa"/>
          <w:right w:w="28" w:type="dxa"/>
        </w:tblCellMar>
      </w:tblPr>
      <w:tblGrid>
        <w:gridCol w:w="2209"/>
        <w:gridCol w:w="1417"/>
        <w:gridCol w:w="1418"/>
        <w:gridCol w:w="1418"/>
        <w:gridCol w:w="1418"/>
        <w:gridCol w:w="1418"/>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529" w:hRule="atLeast"/>
          <w:jc w:val="center"/>
        </w:trPr>
        <w:tc>
          <w:tcPr>
            <w:tcW w:w="2152" w:type="dxa"/>
            <w:tcBorders>
              <w:top w:val="single" w:color="404040" w:sz="2" w:space="0"/>
              <w:left w:val="single" w:color="404040" w:sz="2" w:space="0"/>
              <w:bottom w:val="single" w:color="404040" w:sz="2" w:space="0"/>
              <w:right w:val="single" w:color="404040" w:sz="2" w:space="0"/>
              <w:tl2br w:val="single" w:color="auto" w:sz="4" w:space="0"/>
            </w:tcBorders>
            <w:vAlign w:val="center"/>
          </w:tcPr>
          <w:p>
            <w:pPr>
              <w:widowControl/>
              <w:adjustRightInd/>
              <w:spacing w:line="300" w:lineRule="auto"/>
              <w:ind w:firstLine="1170" w:firstLineChars="650"/>
              <w:jc w:val="right"/>
              <w:rPr>
                <w:rFonts w:ascii="仿宋_GB2312" w:hAnsi="Arial" w:eastAsia="仿宋_GB2312" w:cs="宋体"/>
                <w:sz w:val="18"/>
                <w:szCs w:val="24"/>
                <w:highlight w:val="none"/>
              </w:rPr>
            </w:pPr>
            <w:r>
              <w:rPr>
                <w:rFonts w:hint="eastAsia" w:ascii="仿宋_GB2312" w:hAnsi="Arial" w:eastAsia="仿宋_GB2312" w:cs="宋体"/>
                <w:sz w:val="18"/>
                <w:szCs w:val="24"/>
                <w:highlight w:val="none"/>
              </w:rPr>
              <w:t>等级</w:t>
            </w:r>
          </w:p>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影响因素</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商业聚集度</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周边商业设施分别密集，商业聚集度好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周边商业设施分别较密集，商业聚集度较好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周边有一定数量的商业设施，商业聚集度一般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周边商业设施分布较分散，商业聚集度较差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周边暂无商业设施分布，商业聚集度度差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交通便捷度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较不便捷</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不便捷</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城市规划及区域土地利用方向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估价对象用途与周边土地利用方向一致</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零星有其他用地，基本不影响本宗地</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有部分有其他用地，对本宗地略有影响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其他用地较多，对本宗地影响较大</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全部为不同用地，对本宗地有大的影响</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临街宽度和深度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比例较适宜</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临街道路状况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临高速公路或城市快速路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临城市主干道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临城市次干道</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临城市支路</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临街坊路</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1076"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宗地形状及可利用程度</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宗地形状规则，可利用程度好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宗地形状较规则，可利用程度较好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宗地形状较不规则，但对宗地利用影响较小</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宗地形状较不规则，对宗地利用有影响</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宗地形状极其不规则，对宗地利用影响很大</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728"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公共服务设施状况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配套较完善</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配套基本满足需要</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配套少</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配套极少</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47"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基础设施完备状况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七通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六通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五通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四通</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三通</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28" w:type="dxa"/>
            <w:bottom w:w="57" w:type="dxa"/>
            <w:right w:w="28" w:type="dxa"/>
          </w:tblCellMar>
        </w:tblPrEx>
        <w:trPr>
          <w:cantSplit/>
          <w:trHeight w:val="363" w:hRule="atLeast"/>
          <w:jc w:val="center"/>
        </w:trPr>
        <w:tc>
          <w:tcPr>
            <w:tcW w:w="2152"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自然和人文环境状况</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较好</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一般</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较差</w:t>
            </w:r>
          </w:p>
        </w:tc>
        <w:tc>
          <w:tcPr>
            <w:tcW w:w="1380" w:type="dxa"/>
            <w:tcBorders>
              <w:top w:val="single" w:color="404040" w:sz="2" w:space="0"/>
              <w:left w:val="single" w:color="404040" w:sz="2" w:space="0"/>
              <w:bottom w:val="single" w:color="404040" w:sz="2" w:space="0"/>
              <w:right w:val="single" w:color="404040" w:sz="2" w:space="0"/>
            </w:tcBorders>
            <w:vAlign w:val="center"/>
          </w:tcPr>
          <w:p>
            <w:pPr>
              <w:widowControl/>
              <w:adjustRightInd/>
              <w:spacing w:line="300" w:lineRule="auto"/>
              <w:rPr>
                <w:rFonts w:ascii="仿宋_GB2312" w:hAnsi="Arial" w:eastAsia="仿宋_GB2312" w:cs="宋体"/>
                <w:sz w:val="18"/>
                <w:szCs w:val="24"/>
                <w:highlight w:val="none"/>
              </w:rPr>
            </w:pPr>
            <w:r>
              <w:rPr>
                <w:rFonts w:hint="eastAsia" w:ascii="仿宋_GB2312" w:hAnsi="Arial" w:eastAsia="仿宋_GB2312" w:cs="宋体"/>
                <w:sz w:val="18"/>
                <w:szCs w:val="24"/>
                <w:highlight w:val="none"/>
              </w:rPr>
              <w:t>差</w:t>
            </w:r>
          </w:p>
        </w:tc>
      </w:tr>
    </w:tbl>
    <w:p>
      <w:pPr>
        <w:snapToGrid w:val="0"/>
        <w:spacing w:line="240" w:lineRule="exact"/>
        <w:ind w:firstLine="360" w:firstLineChars="200"/>
        <w:rPr>
          <w:rFonts w:ascii="Arial" w:hAnsi="Arial" w:eastAsia="仿宋" w:cs="Arial"/>
          <w:sz w:val="18"/>
          <w:szCs w:val="18"/>
          <w:highlight w:val="none"/>
        </w:rPr>
      </w:pPr>
    </w:p>
    <w:p>
      <w:pPr>
        <w:adjustRightInd/>
        <w:spacing w:line="300" w:lineRule="auto"/>
        <w:ind w:firstLine="560" w:firstLineChars="200"/>
        <w:rPr>
          <w:rFonts w:ascii="Arial" w:hAnsi="Arial" w:eastAsia="仿宋" w:cs="Arial"/>
          <w:sz w:val="28"/>
          <w:highlight w:val="none"/>
        </w:rPr>
      </w:pPr>
      <w:r>
        <w:rPr>
          <w:rFonts w:ascii="Arial" w:hAnsi="Arial" w:eastAsia="仿宋" w:cs="Arial"/>
          <w:sz w:val="28"/>
          <w:highlight w:val="none"/>
        </w:rPr>
        <w:t>估价对象处</w:t>
      </w:r>
      <w:r>
        <w:rPr>
          <w:rFonts w:hint="eastAsia" w:ascii="Arial" w:hAnsi="Arial" w:eastAsia="仿宋" w:cs="Arial"/>
          <w:sz w:val="28"/>
          <w:highlight w:val="none"/>
        </w:rPr>
        <w:t>于商业</w:t>
      </w:r>
      <w:r>
        <w:rPr>
          <w:rFonts w:ascii="Arial" w:hAnsi="Arial" w:eastAsia="仿宋" w:cs="Arial"/>
          <w:sz w:val="28"/>
          <w:highlight w:val="none"/>
        </w:rPr>
        <w:t>类</w:t>
      </w:r>
      <w:r>
        <w:rPr>
          <w:rFonts w:hint="eastAsia" w:ascii="Arial" w:hAnsi="Arial" w:eastAsia="仿宋" w:cs="Arial"/>
          <w:sz w:val="28"/>
          <w:highlight w:val="none"/>
        </w:rPr>
        <w:t>八</w:t>
      </w:r>
      <w:r>
        <w:rPr>
          <w:rFonts w:ascii="Arial" w:hAnsi="Arial" w:eastAsia="仿宋" w:cs="Arial"/>
          <w:sz w:val="28"/>
          <w:highlight w:val="none"/>
        </w:rPr>
        <w:t>级</w:t>
      </w:r>
      <w:r>
        <w:rPr>
          <w:rFonts w:ascii="Arial" w:hAnsi="Arial" w:eastAsia="仿宋_GB2312" w:cs="Arial"/>
          <w:sz w:val="28"/>
          <w:szCs w:val="28"/>
          <w:highlight w:val="none"/>
        </w:rPr>
        <w:t>VII</w:t>
      </w:r>
      <w:r>
        <w:rPr>
          <w:rFonts w:hint="eastAsia" w:ascii="Arial" w:hAnsi="Arial" w:eastAsia="仿宋_GB2312" w:cs="Arial"/>
          <w:sz w:val="28"/>
          <w:szCs w:val="28"/>
          <w:highlight w:val="none"/>
        </w:rPr>
        <w:t>I</w:t>
      </w:r>
      <w:r>
        <w:rPr>
          <w:rFonts w:ascii="Arial" w:hAnsi="Arial" w:eastAsia="仿宋_GB2312" w:cs="Arial"/>
          <w:sz w:val="28"/>
          <w:szCs w:val="28"/>
          <w:highlight w:val="none"/>
        </w:rPr>
        <w:t>-</w:t>
      </w:r>
      <w:r>
        <w:rPr>
          <w:rFonts w:hint="eastAsia" w:ascii="Arial" w:hAnsi="Arial" w:eastAsia="仿宋_GB2312" w:cs="Arial"/>
          <w:sz w:val="28"/>
          <w:szCs w:val="28"/>
          <w:highlight w:val="none"/>
        </w:rPr>
        <w:t>密1</w:t>
      </w:r>
      <w:r>
        <w:rPr>
          <w:rFonts w:ascii="Arial" w:hAnsi="Arial" w:eastAsia="仿宋_GB2312" w:cs="Arial"/>
          <w:sz w:val="28"/>
          <w:szCs w:val="28"/>
          <w:highlight w:val="none"/>
        </w:rPr>
        <w:t>区</w:t>
      </w:r>
      <w:r>
        <w:rPr>
          <w:rFonts w:ascii="Arial" w:hAnsi="Arial" w:eastAsia="仿宋" w:cs="Arial"/>
          <w:sz w:val="28"/>
          <w:highlight w:val="none"/>
        </w:rPr>
        <w:t>片，依据前述《区片基准地价因素总修正幅度表》、《北京市基准地价因素权重表》及《因素等级说明表》，整理出《等级系数表》如下：</w:t>
      </w:r>
    </w:p>
    <w:p>
      <w:pPr>
        <w:spacing w:line="300" w:lineRule="auto"/>
        <w:jc w:val="center"/>
        <w:rPr>
          <w:rFonts w:hint="eastAsia" w:ascii="Arial" w:hAnsi="Arial" w:eastAsia="方正黑体简体"/>
          <w:highlight w:val="none"/>
        </w:rPr>
      </w:pPr>
    </w:p>
    <w:p>
      <w:pPr>
        <w:spacing w:line="300" w:lineRule="auto"/>
        <w:jc w:val="center"/>
        <w:rPr>
          <w:rFonts w:hint="eastAsia" w:ascii="Arial" w:hAnsi="Arial" w:eastAsia="方正黑体简体"/>
          <w:highlight w:val="none"/>
        </w:rPr>
      </w:pPr>
    </w:p>
    <w:p>
      <w:pPr>
        <w:spacing w:line="300" w:lineRule="auto"/>
        <w:jc w:val="center"/>
        <w:rPr>
          <w:rFonts w:hint="eastAsia" w:ascii="Arial" w:hAnsi="Arial" w:eastAsia="方正黑体简体"/>
          <w:highlight w:val="none"/>
        </w:rPr>
      </w:pPr>
    </w:p>
    <w:p>
      <w:pPr>
        <w:spacing w:line="300" w:lineRule="auto"/>
        <w:jc w:val="center"/>
        <w:rPr>
          <w:rFonts w:hint="eastAsia" w:ascii="Arial" w:hAnsi="Arial" w:eastAsia="方正黑体简体"/>
          <w:highlight w:val="none"/>
        </w:rPr>
      </w:pPr>
    </w:p>
    <w:p>
      <w:pPr>
        <w:spacing w:line="300" w:lineRule="auto"/>
        <w:jc w:val="center"/>
        <w:rPr>
          <w:rFonts w:ascii="Arial" w:hAnsi="Arial" w:eastAsia="方正黑体简体"/>
          <w:highlight w:val="none"/>
        </w:rPr>
      </w:pPr>
      <w:r>
        <w:rPr>
          <w:rFonts w:hint="eastAsia" w:ascii="Arial" w:hAnsi="Arial" w:eastAsia="方正黑体简体"/>
          <w:highlight w:val="none"/>
        </w:rPr>
        <w:t>等级系数表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2164"/>
        <w:gridCol w:w="1491"/>
        <w:gridCol w:w="1356"/>
        <w:gridCol w:w="1457"/>
        <w:gridCol w:w="1391"/>
        <w:gridCol w:w="1440"/>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tcBorders>
              <w:tl2br w:val="single" w:color="auto" w:sz="4" w:space="0"/>
            </w:tcBorders>
            <w:shd w:val="clear" w:color="auto" w:fill="auto"/>
            <w:vAlign w:val="center"/>
          </w:tcPr>
          <w:p>
            <w:pPr>
              <w:widowControl/>
              <w:spacing w:line="240" w:lineRule="exact"/>
              <w:ind w:firstLine="1620" w:firstLineChars="900"/>
              <w:textAlignment w:val="auto"/>
              <w:rPr>
                <w:rFonts w:ascii="Arial" w:hAnsi="Arial" w:eastAsia="仿宋" w:cs="Arial"/>
                <w:sz w:val="18"/>
                <w:szCs w:val="18"/>
                <w:highlight w:val="none"/>
              </w:rPr>
            </w:pPr>
            <w:r>
              <w:rPr>
                <w:rFonts w:ascii="Arial" w:hAnsi="Arial" w:eastAsia="仿宋" w:cs="Arial"/>
                <w:sz w:val="18"/>
                <w:szCs w:val="18"/>
                <w:highlight w:val="none"/>
              </w:rPr>
              <w:t>等级</w:t>
            </w:r>
          </w:p>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影响因素</w:t>
            </w:r>
          </w:p>
        </w:tc>
        <w:tc>
          <w:tcPr>
            <w:tcW w:w="14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好</w:t>
            </w:r>
          </w:p>
        </w:tc>
        <w:tc>
          <w:tcPr>
            <w:tcW w:w="1356"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较好</w:t>
            </w:r>
          </w:p>
        </w:tc>
        <w:tc>
          <w:tcPr>
            <w:tcW w:w="1457"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一般</w:t>
            </w:r>
          </w:p>
        </w:tc>
        <w:tc>
          <w:tcPr>
            <w:tcW w:w="1391"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较差</w:t>
            </w:r>
          </w:p>
        </w:tc>
        <w:tc>
          <w:tcPr>
            <w:tcW w:w="1440" w:type="dxa"/>
            <w:shd w:val="clear" w:color="auto" w:fill="auto"/>
            <w:vAlign w:val="center"/>
          </w:tcPr>
          <w:p>
            <w:pPr>
              <w:widowControl/>
              <w:spacing w:line="240" w:lineRule="exact"/>
              <w:textAlignment w:val="auto"/>
              <w:rPr>
                <w:rFonts w:ascii="Arial" w:hAnsi="Arial" w:eastAsia="仿宋" w:cs="Arial"/>
                <w:sz w:val="18"/>
                <w:szCs w:val="18"/>
                <w:highlight w:val="none"/>
              </w:rPr>
            </w:pPr>
            <w:r>
              <w:rPr>
                <w:rFonts w:ascii="Arial" w:hAnsi="Arial" w:eastAsia="仿宋" w:cs="Arial"/>
                <w:sz w:val="18"/>
                <w:szCs w:val="18"/>
                <w:highlight w:val="none"/>
              </w:rPr>
              <w:t>差</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商业繁华度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-2.25%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-4.50%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交通便捷度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-1.65%</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城市规划及区域土地利用方向</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-0.90%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-1.80%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-0.60%</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2164" w:type="dxa"/>
            <w:shd w:val="clear" w:color="auto" w:fill="auto"/>
          </w:tcPr>
          <w:p>
            <w:pPr>
              <w:spacing w:line="240" w:lineRule="exact"/>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14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c>
          <w:tcPr>
            <w:tcW w:w="1356"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57"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0.00%</w:t>
            </w:r>
          </w:p>
        </w:tc>
        <w:tc>
          <w:tcPr>
            <w:tcW w:w="1391"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-0.37%</w:t>
            </w:r>
          </w:p>
        </w:tc>
        <w:tc>
          <w:tcPr>
            <w:tcW w:w="1440" w:type="dxa"/>
            <w:shd w:val="clear" w:color="auto" w:fill="auto"/>
            <w:vAlign w:val="center"/>
          </w:tcPr>
          <w:p>
            <w:pPr>
              <w:widowControl/>
              <w:spacing w:line="240" w:lineRule="exact"/>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-0.74%</w:t>
            </w:r>
          </w:p>
        </w:tc>
      </w:tr>
    </w:tbl>
    <w:p>
      <w:pPr>
        <w:autoSpaceDE w:val="0"/>
        <w:autoSpaceDN w:val="0"/>
        <w:spacing w:line="300" w:lineRule="auto"/>
        <w:rPr>
          <w:rFonts w:ascii="Arial" w:hAnsi="Arial" w:eastAsia="华文细黑" w:cs="宋体"/>
          <w:sz w:val="18"/>
          <w:szCs w:val="24"/>
          <w:highlight w:val="none"/>
        </w:rPr>
      </w:pPr>
      <w:r>
        <w:rPr>
          <w:rFonts w:hint="eastAsia" w:ascii="Arial" w:hAnsi="Arial" w:eastAsia="华文细黑" w:cs="宋体"/>
          <w:sz w:val="18"/>
          <w:szCs w:val="24"/>
          <w:highlight w:val="none"/>
        </w:rPr>
        <w:t>单位：%</w:t>
      </w:r>
    </w:p>
    <w:p>
      <w:pPr>
        <w:spacing w:line="300" w:lineRule="auto"/>
        <w:jc w:val="center"/>
        <w:rPr>
          <w:rFonts w:ascii="Arial" w:hAnsi="Arial" w:eastAsia="方正黑体简体"/>
          <w:highlight w:val="none"/>
        </w:rPr>
      </w:pPr>
      <w:r>
        <w:rPr>
          <w:rFonts w:hint="eastAsia" w:ascii="Arial" w:hAnsi="Arial" w:eastAsia="方正黑体简体"/>
          <w:highlight w:val="none"/>
        </w:rPr>
        <w:t>估价对象因素修正系数表</w:t>
      </w:r>
    </w:p>
    <w:tbl>
      <w:tblPr>
        <w:tblStyle w:val="35"/>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57" w:type="dxa"/>
          <w:left w:w="57" w:type="dxa"/>
          <w:bottom w:w="57" w:type="dxa"/>
          <w:right w:w="57" w:type="dxa"/>
        </w:tblCellMar>
      </w:tblPr>
      <w:tblGrid>
        <w:gridCol w:w="701"/>
        <w:gridCol w:w="1709"/>
        <w:gridCol w:w="4821"/>
        <w:gridCol w:w="991"/>
        <w:gridCol w:w="1077"/>
      </w:tblGrid>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序号</w:t>
            </w:r>
          </w:p>
        </w:tc>
        <w:tc>
          <w:tcPr>
            <w:tcW w:w="91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影响因素</w:t>
            </w:r>
          </w:p>
        </w:tc>
        <w:tc>
          <w:tcPr>
            <w:tcW w:w="2592"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估价对象情况</w:t>
            </w:r>
          </w:p>
        </w:tc>
        <w:tc>
          <w:tcPr>
            <w:tcW w:w="533"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等级</w:t>
            </w:r>
          </w:p>
        </w:tc>
        <w:tc>
          <w:tcPr>
            <w:tcW w:w="579"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修正系数</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a</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商业繁华度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仿宋_GB2312" w:hAnsi="Arial" w:eastAsia="仿宋_GB2312" w:cs="宋体"/>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b</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交通便捷度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c</w:t>
            </w:r>
          </w:p>
        </w:tc>
        <w:tc>
          <w:tcPr>
            <w:tcW w:w="919" w:type="pct"/>
            <w:vAlign w:val="center"/>
          </w:tcPr>
          <w:p>
            <w:pPr>
              <w:adjustRightInd/>
              <w:spacing w:line="300" w:lineRule="auto"/>
              <w:rPr>
                <w:rFonts w:ascii="Arial" w:hAnsi="Arial" w:eastAsia="仿宋" w:cs="Arial"/>
                <w:sz w:val="18"/>
                <w:szCs w:val="18"/>
                <w:highlight w:val="none"/>
              </w:rPr>
            </w:pPr>
            <w:r>
              <w:rPr>
                <w:rFonts w:hint="eastAsia" w:ascii="Arial" w:hAnsi="Arial" w:eastAsia="仿宋" w:cs="Arial"/>
                <w:sz w:val="18"/>
                <w:szCs w:val="18"/>
                <w:highlight w:val="none"/>
              </w:rPr>
              <w:t>城市规划及</w:t>
            </w:r>
            <w:r>
              <w:rPr>
                <w:rFonts w:ascii="Arial" w:hAnsi="Arial" w:eastAsia="仿宋" w:cs="Arial"/>
                <w:sz w:val="18"/>
                <w:szCs w:val="18"/>
                <w:highlight w:val="none"/>
              </w:rPr>
              <w:t>区域土地利用方向</w:t>
            </w:r>
          </w:p>
        </w:tc>
        <w:tc>
          <w:tcPr>
            <w:tcW w:w="2592" w:type="pct"/>
            <w:vAlign w:val="center"/>
          </w:tcPr>
          <w:p>
            <w:pPr>
              <w:widowControl/>
              <w:adjustRightInd/>
              <w:spacing w:line="300" w:lineRule="auto"/>
              <w:textAlignment w:val="auto"/>
              <w:rPr>
                <w:rFonts w:ascii="仿宋" w:hAnsi="仿宋" w:eastAsia="仿宋" w:cs="仿宋"/>
                <w:sz w:val="18"/>
                <w:szCs w:val="18"/>
                <w:highlight w:val="none"/>
              </w:rPr>
            </w:pPr>
            <w:r>
              <w:rPr>
                <w:rFonts w:hint="eastAsia" w:ascii="Arial" w:hAnsi="Arial" w:eastAsia="仿宋" w:cs="Arial"/>
                <w:sz w:val="18"/>
                <w:szCs w:val="18"/>
                <w:highlight w:val="none"/>
                <w:lang w:bidi="ar"/>
              </w:rPr>
              <w:t>估价对象周边有部分有其他用地，对本宗地略有影响</w:t>
            </w:r>
            <w:r>
              <w:rPr>
                <w:rFonts w:hint="eastAsia" w:ascii="仿宋_GB2312" w:hAnsi="Arial" w:eastAsia="仿宋_GB2312" w:cs="宋体"/>
                <w:sz w:val="18"/>
                <w:szCs w:val="24"/>
                <w:highlight w:val="none"/>
              </w:rPr>
              <w:t>地</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d</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临街宽度和深度</w:t>
            </w:r>
          </w:p>
        </w:tc>
        <w:tc>
          <w:tcPr>
            <w:tcW w:w="2592" w:type="pct"/>
            <w:vAlign w:val="center"/>
          </w:tcPr>
          <w:p>
            <w:pPr>
              <w:adjustRightInd/>
              <w:spacing w:line="300" w:lineRule="auto"/>
              <w:rPr>
                <w:rFonts w:ascii="仿宋" w:hAnsi="仿宋" w:eastAsia="仿宋" w:cs="仿宋"/>
                <w:sz w:val="18"/>
                <w:szCs w:val="18"/>
                <w:highlight w:val="none"/>
              </w:rPr>
            </w:pPr>
            <w:r>
              <w:rPr>
                <w:rFonts w:hint="eastAsia" w:ascii="仿宋" w:hAnsi="仿宋" w:eastAsia="仿宋" w:cs="仿宋"/>
                <w:sz w:val="18"/>
                <w:szCs w:val="18"/>
                <w:highlight w:val="none"/>
              </w:rPr>
              <w:t>临街宽度及深度比例较适宜，对土地利用无不利影响。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e</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临街道路状况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估价对象紧邻城市次干道—西门外大街</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一般</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0.00%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f</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宗地形状及可利用程度</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宗地形状较不规则，对宗地利用有影响</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较差</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g</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公共服务设施状况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北京市密云区西门外大街，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h</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基础设施完备状况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估价对象所在区域基础设施水平达到</w:t>
            </w:r>
            <w:r>
              <w:rPr>
                <w:rFonts w:hint="eastAsia" w:ascii="Arial" w:hAnsi="Arial" w:eastAsia="仿宋" w:cs="Arial"/>
                <w:sz w:val="18"/>
                <w:szCs w:val="18"/>
                <w:highlight w:val="none"/>
                <w:lang w:bidi="ar"/>
              </w:rPr>
              <w:t>“</w:t>
            </w:r>
            <w:r>
              <w:rPr>
                <w:rFonts w:ascii="Arial" w:hAnsi="Arial" w:eastAsia="仿宋" w:cs="Arial"/>
                <w:sz w:val="18"/>
                <w:szCs w:val="18"/>
                <w:highlight w:val="none"/>
                <w:lang w:bidi="ar"/>
              </w:rPr>
              <w:t>七通</w:t>
            </w:r>
            <w:r>
              <w:rPr>
                <w:rFonts w:hint="eastAsia" w:ascii="Arial" w:hAnsi="Arial" w:eastAsia="仿宋" w:cs="Arial"/>
                <w:sz w:val="18"/>
                <w:szCs w:val="18"/>
                <w:highlight w:val="none"/>
                <w:lang w:bidi="ar"/>
              </w:rPr>
              <w:t>”</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ascii="Arial" w:hAnsi="Arial" w:eastAsia="仿宋" w:cs="Arial"/>
                <w:sz w:val="18"/>
                <w:szCs w:val="18"/>
                <w:highlight w:val="none"/>
                <w:lang w:bidi="ar"/>
              </w:rPr>
              <w:t>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1.20%</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377" w:type="pct"/>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i</w:t>
            </w:r>
          </w:p>
        </w:tc>
        <w:tc>
          <w:tcPr>
            <w:tcW w:w="919" w:type="pct"/>
            <w:vAlign w:val="center"/>
          </w:tcPr>
          <w:p>
            <w:pPr>
              <w:adjustRightInd/>
              <w:spacing w:line="300" w:lineRule="auto"/>
              <w:rPr>
                <w:rFonts w:ascii="Arial" w:hAnsi="Arial" w:eastAsia="仿宋" w:cs="Arial"/>
                <w:sz w:val="18"/>
                <w:szCs w:val="18"/>
                <w:highlight w:val="none"/>
              </w:rPr>
            </w:pPr>
            <w:r>
              <w:rPr>
                <w:rFonts w:ascii="Arial" w:hAnsi="Arial" w:eastAsia="仿宋" w:cs="Arial"/>
                <w:sz w:val="18"/>
                <w:szCs w:val="18"/>
                <w:highlight w:val="none"/>
              </w:rPr>
              <w:t>自然和人文环境状况</w:t>
            </w:r>
          </w:p>
        </w:tc>
        <w:tc>
          <w:tcPr>
            <w:tcW w:w="2592"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估价对象位于密云区西门外大街，周边绿化条件较好，周边2公里范围内有水系—白河，密虹公园等绿化景观，绿化条件较好；有密云区博物馆等人文设施，综合考虑自然环境与人文环境较好。</w:t>
            </w:r>
          </w:p>
        </w:tc>
        <w:tc>
          <w:tcPr>
            <w:tcW w:w="533" w:type="pct"/>
            <w:vAlign w:val="center"/>
          </w:tcPr>
          <w:p>
            <w:pPr>
              <w:widowControl/>
              <w:adjustRightInd/>
              <w:spacing w:line="300" w:lineRule="auto"/>
              <w:textAlignment w:val="center"/>
              <w:rPr>
                <w:rFonts w:ascii="Arial" w:hAnsi="Arial" w:eastAsia="仿宋" w:cs="Arial"/>
                <w:sz w:val="18"/>
                <w:szCs w:val="18"/>
                <w:highlight w:val="none"/>
                <w:lang w:bidi="ar"/>
              </w:rPr>
            </w:pPr>
            <w:r>
              <w:rPr>
                <w:rFonts w:hint="eastAsia" w:ascii="Arial" w:hAnsi="Arial" w:eastAsia="仿宋" w:cs="Arial"/>
                <w:sz w:val="18"/>
                <w:szCs w:val="18"/>
                <w:highlight w:val="none"/>
                <w:lang w:bidi="ar"/>
              </w:rPr>
              <w:t>较好</w:t>
            </w:r>
          </w:p>
        </w:tc>
        <w:tc>
          <w:tcPr>
            <w:tcW w:w="1077" w:type="dxa"/>
            <w:vAlign w:val="center"/>
          </w:tcPr>
          <w:p>
            <w:pPr>
              <w:spacing w:line="300" w:lineRule="auto"/>
              <w:rPr>
                <w:rFonts w:ascii="Arial" w:hAnsi="Arial" w:eastAsia="华文细黑"/>
                <w:sz w:val="18"/>
                <w:szCs w:val="24"/>
                <w:highlight w:val="none"/>
              </w:rPr>
            </w:pPr>
            <w:r>
              <w:rPr>
                <w:rFonts w:ascii="Arial" w:hAnsi="Arial" w:eastAsia="华文细黑"/>
                <w:sz w:val="18"/>
                <w:szCs w:val="24"/>
                <w:highlight w:val="none"/>
              </w:rPr>
              <w:t>0.37%</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合计（∑K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1.94%</w:t>
            </w:r>
          </w:p>
        </w:tc>
      </w:tr>
      <w:tr>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57" w:type="dxa"/>
            <w:left w:w="57" w:type="dxa"/>
            <w:bottom w:w="57" w:type="dxa"/>
            <w:right w:w="57" w:type="dxa"/>
          </w:tblCellMar>
        </w:tblPrEx>
        <w:trPr>
          <w:cantSplit/>
          <w:jc w:val="center"/>
        </w:trPr>
        <w:tc>
          <w:tcPr>
            <w:tcW w:w="4421" w:type="pct"/>
            <w:gridSpan w:val="4"/>
            <w:vAlign w:val="center"/>
          </w:tcPr>
          <w:p>
            <w:pPr>
              <w:spacing w:line="300" w:lineRule="auto"/>
              <w:rPr>
                <w:rFonts w:ascii="Arial" w:hAnsi="Arial" w:eastAsia="华文细黑"/>
                <w:sz w:val="18"/>
                <w:szCs w:val="24"/>
                <w:highlight w:val="none"/>
              </w:rPr>
            </w:pPr>
            <w:r>
              <w:rPr>
                <w:rFonts w:hint="eastAsia" w:ascii="Arial" w:hAnsi="Arial" w:eastAsia="华文细黑"/>
                <w:sz w:val="18"/>
                <w:szCs w:val="24"/>
                <w:highlight w:val="none"/>
              </w:rPr>
              <w:t>因素修正系数（1+∑K</w:t>
            </w:r>
            <w:r>
              <w:rPr>
                <w:rFonts w:hint="eastAsia" w:ascii="Arial" w:hAnsi="Arial" w:eastAsia="华文细黑"/>
                <w:sz w:val="18"/>
                <w:szCs w:val="24"/>
                <w:highlight w:val="none"/>
                <w:vertAlign w:val="subscript"/>
              </w:rPr>
              <w:t>i</w:t>
            </w:r>
            <w:r>
              <w:rPr>
                <w:rFonts w:hint="eastAsia" w:ascii="Arial" w:hAnsi="Arial" w:eastAsia="华文细黑"/>
                <w:sz w:val="18"/>
                <w:szCs w:val="24"/>
                <w:highlight w:val="none"/>
              </w:rPr>
              <w:t>）</w:t>
            </w:r>
          </w:p>
        </w:tc>
        <w:tc>
          <w:tcPr>
            <w:tcW w:w="579" w:type="pct"/>
          </w:tcPr>
          <w:p>
            <w:pPr>
              <w:spacing w:line="300" w:lineRule="auto"/>
              <w:rPr>
                <w:rFonts w:ascii="Arial" w:hAnsi="Arial" w:eastAsia="华文细黑"/>
                <w:sz w:val="18"/>
                <w:szCs w:val="24"/>
                <w:highlight w:val="none"/>
              </w:rPr>
            </w:pPr>
            <w:r>
              <w:rPr>
                <w:rFonts w:ascii="Arial" w:hAnsi="Arial" w:eastAsia="华文细黑"/>
                <w:sz w:val="18"/>
                <w:szCs w:val="24"/>
                <w:highlight w:val="none"/>
              </w:rPr>
              <w:t>1</w:t>
            </w:r>
            <w:r>
              <w:rPr>
                <w:rFonts w:hint="eastAsia" w:ascii="Arial" w:hAnsi="Arial" w:eastAsia="华文细黑"/>
                <w:sz w:val="18"/>
                <w:szCs w:val="24"/>
                <w:highlight w:val="none"/>
              </w:rPr>
              <w:t>.0194</w:t>
            </w:r>
          </w:p>
        </w:tc>
      </w:tr>
    </w:tbl>
    <w:p>
      <w:pPr>
        <w:snapToGrid w:val="0"/>
        <w:spacing w:line="240" w:lineRule="exact"/>
        <w:ind w:firstLine="361" w:firstLineChars="200"/>
        <w:jc w:val="both"/>
        <w:rPr>
          <w:rFonts w:ascii="Arial" w:hAnsi="Arial" w:eastAsia="仿宋_GB2312" w:cs="Arial"/>
          <w:b/>
          <w:sz w:val="18"/>
          <w:szCs w:val="18"/>
          <w:highlight w:val="none"/>
        </w:rPr>
      </w:pPr>
    </w:p>
    <w:p>
      <w:pPr>
        <w:snapToGrid w:val="0"/>
        <w:spacing w:line="300" w:lineRule="auto"/>
        <w:ind w:firstLine="562" w:firstLineChars="200"/>
        <w:jc w:val="both"/>
        <w:rPr>
          <w:rFonts w:ascii="Arial" w:hAnsi="Arial" w:eastAsia="仿宋" w:cs="Arial"/>
          <w:b/>
          <w:sz w:val="28"/>
          <w:szCs w:val="28"/>
          <w:highlight w:val="none"/>
        </w:rPr>
      </w:pPr>
      <w:r>
        <w:rPr>
          <w:rFonts w:ascii="Arial" w:hAnsi="Arial" w:eastAsia="仿宋" w:cs="Arial"/>
          <w:b/>
          <w:sz w:val="28"/>
          <w:szCs w:val="28"/>
          <w:highlight w:val="none"/>
        </w:rPr>
        <w:t>7）估价对象楼面熟地价、政府土地出让收益</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楼面熟地价</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＝适用的基准地价×用途修正系数×期日修正系数×年期修正系数×楼层修正系数×因素修正系数</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＝6885×</w:t>
      </w:r>
      <w:r>
        <w:rPr>
          <w:rFonts w:hint="eastAsia" w:ascii="Arial" w:hAnsi="Arial" w:eastAsia="仿宋" w:cs="Arial"/>
          <w:sz w:val="28"/>
          <w:highlight w:val="none"/>
          <w:lang w:val="en-US" w:eastAsia="zh-CN"/>
        </w:rPr>
        <w:t>1</w:t>
      </w:r>
      <w:r>
        <w:rPr>
          <w:rFonts w:hint="eastAsia" w:ascii="Arial" w:hAnsi="Arial" w:eastAsia="仿宋" w:cs="Arial"/>
          <w:sz w:val="28"/>
          <w:highlight w:val="none"/>
        </w:rPr>
        <w:t>×1.0380×1×0.7</w:t>
      </w:r>
      <w:r>
        <w:rPr>
          <w:rFonts w:hint="eastAsia" w:ascii="Arial" w:hAnsi="Arial" w:eastAsia="仿宋" w:cs="Arial"/>
          <w:sz w:val="28"/>
          <w:highlight w:val="none"/>
          <w:lang w:val="en-US" w:eastAsia="zh-CN"/>
        </w:rPr>
        <w:t>353</w:t>
      </w:r>
      <w:r>
        <w:rPr>
          <w:rFonts w:hint="eastAsia" w:ascii="Arial" w:hAnsi="Arial" w:eastAsia="仿宋" w:cs="Arial"/>
          <w:sz w:val="28"/>
          <w:highlight w:val="none"/>
        </w:rPr>
        <w:t>×1.0194</w:t>
      </w:r>
    </w:p>
    <w:p>
      <w:pPr>
        <w:adjustRightInd/>
        <w:spacing w:line="300" w:lineRule="auto"/>
        <w:ind w:firstLine="560" w:firstLineChars="200"/>
        <w:rPr>
          <w:rFonts w:ascii="Arial" w:hAnsi="Arial" w:eastAsia="仿宋" w:cs="Arial"/>
          <w:sz w:val="28"/>
          <w:highlight w:val="none"/>
        </w:rPr>
      </w:pPr>
      <w:r>
        <w:rPr>
          <w:rFonts w:hint="eastAsia" w:ascii="Arial" w:hAnsi="Arial" w:eastAsia="仿宋" w:cs="Arial"/>
          <w:sz w:val="28"/>
          <w:highlight w:val="none"/>
        </w:rPr>
        <w:t>＝</w:t>
      </w:r>
      <w:r>
        <w:rPr>
          <w:rFonts w:hint="eastAsia" w:ascii="Arial" w:hAnsi="Arial" w:eastAsia="仿宋" w:cs="Arial"/>
          <w:sz w:val="28"/>
          <w:highlight w:val="none"/>
          <w:lang w:eastAsia="zh-CN"/>
        </w:rPr>
        <w:t>5357</w:t>
      </w:r>
      <w:r>
        <w:rPr>
          <w:rFonts w:hint="eastAsia" w:ascii="Arial" w:hAnsi="Arial" w:eastAsia="仿宋" w:cs="Arial"/>
          <w:sz w:val="28"/>
          <w:highlight w:val="none"/>
        </w:rPr>
        <w:t xml:space="preserve">（元/平方米） </w:t>
      </w:r>
    </w:p>
    <w:p>
      <w:pPr>
        <w:adjustRightInd/>
        <w:spacing w:line="300" w:lineRule="auto"/>
        <w:ind w:firstLine="562" w:firstLineChars="200"/>
        <w:rPr>
          <w:rFonts w:ascii="Arial" w:hAnsi="Arial" w:eastAsia="仿宋_GB2312" w:cs="Arial"/>
          <w:b/>
          <w:sz w:val="28"/>
          <w:highlight w:val="none"/>
        </w:rPr>
      </w:pPr>
    </w:p>
    <w:p>
      <w:pPr>
        <w:adjustRightInd/>
        <w:spacing w:line="300" w:lineRule="auto"/>
        <w:ind w:firstLine="562" w:firstLineChars="200"/>
        <w:rPr>
          <w:rFonts w:ascii="Arial" w:hAnsi="Arial" w:eastAsia="仿宋_GB2312" w:cs="Arial"/>
          <w:b/>
          <w:sz w:val="28"/>
          <w:highlight w:val="none"/>
        </w:rPr>
      </w:pPr>
      <w:r>
        <w:rPr>
          <w:rFonts w:ascii="Arial" w:hAnsi="Arial" w:eastAsia="仿宋_GB2312" w:cs="Arial"/>
          <w:b/>
          <w:sz w:val="28"/>
          <w:highlight w:val="none"/>
        </w:rPr>
        <w:t>方法二：剩余法</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bCs/>
          <w:sz w:val="28"/>
          <w:highlight w:val="none"/>
        </w:rPr>
        <w:t>1.土地最有效利用方式</w:t>
      </w:r>
    </w:p>
    <w:p>
      <w:pPr>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委托估价方在《国有建设用地使用权出让地价评估委托书》中明确土地用途为</w:t>
      </w:r>
      <w:r>
        <w:rPr>
          <w:rFonts w:hint="eastAsia" w:ascii="Arial" w:hAnsi="Arial" w:eastAsia="仿宋_GB2312" w:cs="Arial"/>
          <w:sz w:val="28"/>
          <w:highlight w:val="none"/>
        </w:rPr>
        <w:t>商业</w:t>
      </w:r>
      <w:r>
        <w:rPr>
          <w:rFonts w:ascii="Arial" w:hAnsi="Arial" w:eastAsia="仿宋_GB2312" w:cs="Arial"/>
          <w:sz w:val="28"/>
          <w:highlight w:val="none"/>
        </w:rPr>
        <w:t>。结合《土地利用现状分类》</w:t>
      </w:r>
      <w:r>
        <w:rPr>
          <w:rFonts w:hint="eastAsia" w:ascii="Arial" w:hAnsi="Arial" w:eastAsia="仿宋_GB2312" w:cs="Arial"/>
          <w:sz w:val="28"/>
          <w:szCs w:val="28"/>
          <w:highlight w:val="none"/>
        </w:rPr>
        <w:t>（</w:t>
      </w:r>
      <w:r>
        <w:rPr>
          <w:rFonts w:ascii="Arial" w:hAnsi="Arial" w:eastAsia="仿宋_GB2312" w:cs="Arial"/>
          <w:caps/>
          <w:sz w:val="28"/>
          <w:szCs w:val="28"/>
          <w:highlight w:val="none"/>
        </w:rPr>
        <w:t>GB/T21010-2017</w:t>
      </w:r>
      <w:r>
        <w:rPr>
          <w:rFonts w:hint="eastAsia" w:ascii="Arial" w:hAnsi="Arial" w:eastAsia="仿宋_GB2312" w:cs="Arial"/>
          <w:sz w:val="28"/>
          <w:szCs w:val="28"/>
          <w:highlight w:val="none"/>
        </w:rPr>
        <w:t>）</w:t>
      </w:r>
      <w:r>
        <w:rPr>
          <w:rFonts w:ascii="Arial" w:hAnsi="Arial" w:eastAsia="仿宋_GB2312" w:cs="Arial"/>
          <w:sz w:val="28"/>
          <w:highlight w:val="none"/>
        </w:rPr>
        <w:t>、</w:t>
      </w:r>
      <w:r>
        <w:rPr>
          <w:rFonts w:ascii="Arial" w:hAnsi="Arial" w:eastAsia="仿宋_GB2312" w:cs="Arial"/>
          <w:sz w:val="28"/>
          <w:szCs w:val="28"/>
          <w:highlight w:val="none"/>
        </w:rPr>
        <w:t>《北京市人民政府关于更新出让国有建设用地使用权基准地价的通知》</w:t>
      </w:r>
      <w:r>
        <w:rPr>
          <w:rFonts w:hint="eastAsia" w:ascii="Arial" w:hAnsi="Arial" w:eastAsia="仿宋_GB2312" w:cs="Arial"/>
          <w:sz w:val="28"/>
          <w:szCs w:val="28"/>
          <w:highlight w:val="none"/>
        </w:rPr>
        <w:t>[京政发（2022）12号]</w:t>
      </w:r>
      <w:r>
        <w:rPr>
          <w:rFonts w:ascii="Arial" w:hAnsi="Arial" w:eastAsia="仿宋_GB2312" w:cs="Arial"/>
          <w:sz w:val="28"/>
          <w:highlight w:val="none"/>
        </w:rPr>
        <w:t>，根据评估委托书，此次估价设定估价对象用途为</w:t>
      </w:r>
      <w:r>
        <w:rPr>
          <w:rFonts w:hint="eastAsia" w:ascii="Arial" w:hAnsi="Arial" w:eastAsia="仿宋_GB2312" w:cs="Arial"/>
          <w:sz w:val="28"/>
          <w:szCs w:val="28"/>
          <w:highlight w:val="none"/>
        </w:rPr>
        <w:t>商业</w:t>
      </w:r>
      <w:r>
        <w:rPr>
          <w:rFonts w:ascii="Arial" w:hAnsi="Arial" w:eastAsia="仿宋_GB2312" w:cs="Arial"/>
          <w:bCs/>
          <w:sz w:val="28"/>
          <w:highlight w:val="none"/>
        </w:rPr>
        <w:t>为其最有效利用方式。</w:t>
      </w:r>
    </w:p>
    <w:p>
      <w:pPr>
        <w:pStyle w:val="51"/>
        <w:spacing w:line="300" w:lineRule="auto"/>
        <w:ind w:left="987" w:hanging="420" w:firstLineChars="0"/>
        <w:jc w:val="both"/>
        <w:rPr>
          <w:rFonts w:ascii="Arial" w:hAnsi="Arial" w:eastAsia="仿宋_GB2312" w:cs="Arial"/>
          <w:bCs/>
          <w:sz w:val="28"/>
          <w:highlight w:val="none"/>
        </w:rPr>
      </w:pPr>
      <w:r>
        <w:rPr>
          <w:rFonts w:hint="eastAsia" w:ascii="Arial" w:hAnsi="Arial" w:eastAsia="仿宋_GB2312" w:cs="Arial"/>
          <w:bCs/>
          <w:sz w:val="28"/>
          <w:highlight w:val="none"/>
        </w:rPr>
        <w:t>2</w:t>
      </w:r>
      <w:r>
        <w:rPr>
          <w:rFonts w:ascii="Arial" w:hAnsi="Arial" w:eastAsia="仿宋_GB2312" w:cs="Arial"/>
          <w:bCs/>
          <w:sz w:val="28"/>
          <w:highlight w:val="none"/>
        </w:rPr>
        <w:t>.测算过程</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w:t>
      </w:r>
      <w:r>
        <w:rPr>
          <w:rFonts w:ascii="Arial" w:hAnsi="Arial" w:eastAsia="仿宋_GB2312" w:cs="Arial"/>
          <w:bCs/>
          <w:sz w:val="28"/>
          <w:highlight w:val="none"/>
        </w:rPr>
        <w:t>开发完成后的不动产总价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1）市场比较法求取估价对象开发完成后不动产总价</w:t>
      </w:r>
    </w:p>
    <w:p>
      <w:pPr>
        <w:spacing w:line="300" w:lineRule="auto"/>
        <w:ind w:firstLine="560" w:firstLineChars="200"/>
        <w:jc w:val="both"/>
        <w:rPr>
          <w:rFonts w:ascii="Arial" w:hAnsi="Arial" w:eastAsia="仿宋_GB2312" w:cs="Arial"/>
          <w:bCs/>
          <w:sz w:val="28"/>
          <w:highlight w:val="none"/>
        </w:rPr>
      </w:pPr>
      <w:r>
        <w:rPr>
          <w:rFonts w:hint="eastAsia" w:ascii="Arial" w:hAnsi="Arial" w:eastAsia="仿宋_GB2312" w:cs="Arial"/>
          <w:bCs/>
          <w:sz w:val="28"/>
          <w:highlight w:val="none"/>
        </w:rPr>
        <w:t>根据评估专业人员所掌握的市场资料，采用房地产交易中的替代原则，选取与估价对象类似用途的案例，并分别进行交易情况、交易时间、用途、土地使用年限、区域因素、个别因素的修正。</w:t>
      </w: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hint="eastAsia" w:ascii="Arial" w:hAnsi="Arial" w:eastAsia="仿宋_GB2312" w:cs="Arial"/>
          <w:b/>
          <w:bCs/>
          <w:highlight w:val="none"/>
        </w:r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表1：比较因素条件说明及指数表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368"/>
        <w:gridCol w:w="542"/>
        <w:gridCol w:w="1390"/>
        <w:gridCol w:w="520"/>
        <w:gridCol w:w="1373"/>
        <w:gridCol w:w="538"/>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北京市密云区西门外大街8号楼</w:t>
            </w:r>
            <w:r>
              <w:rPr>
                <w:rFonts w:hint="eastAsia" w:ascii="Arial" w:hAnsi="Arial" w:eastAsia="仿宋_GB2312" w:cs="宋体"/>
                <w:sz w:val="18"/>
                <w:szCs w:val="18"/>
                <w:highlight w:val="none"/>
                <w:lang w:eastAsia="zh-CN"/>
              </w:rPr>
              <w:t>设定</w:t>
            </w:r>
            <w:r>
              <w:rPr>
                <w:rFonts w:hint="eastAsia" w:ascii="Arial" w:hAnsi="Arial" w:eastAsia="仿宋_GB2312" w:cs="宋体"/>
                <w:sz w:val="18"/>
                <w:szCs w:val="18"/>
                <w:highlight w:val="none"/>
                <w:lang w:val="en-US" w:eastAsia="zh-CN"/>
              </w:rPr>
              <w:t>1层</w:t>
            </w:r>
            <w:r>
              <w:rPr>
                <w:rFonts w:hint="eastAsia" w:ascii="Arial" w:hAnsi="Arial" w:eastAsia="仿宋_GB2312" w:cs="宋体"/>
                <w:sz w:val="18"/>
                <w:szCs w:val="18"/>
                <w:highlight w:val="none"/>
              </w:rPr>
              <w:t>现状商业用地</w:t>
            </w:r>
          </w:p>
        </w:tc>
        <w:tc>
          <w:tcPr>
            <w:tcW w:w="429"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白檀小区</w:t>
            </w:r>
          </w:p>
        </w:tc>
        <w:tc>
          <w:tcPr>
            <w:tcW w:w="542"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开园小区</w:t>
            </w:r>
          </w:p>
        </w:tc>
        <w:tc>
          <w:tcPr>
            <w:tcW w:w="520"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阳光街</w:t>
            </w:r>
          </w:p>
        </w:tc>
        <w:tc>
          <w:tcPr>
            <w:tcW w:w="538" w:type="dxa"/>
            <w:vMerge w:val="restart"/>
            <w:tcBorders>
              <w:top w:val="nil"/>
              <w:left w:val="nil"/>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p>
        </w:tc>
        <w:tc>
          <w:tcPr>
            <w:tcW w:w="429"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密云区白檀小区</w:t>
            </w:r>
          </w:p>
        </w:tc>
        <w:tc>
          <w:tcPr>
            <w:tcW w:w="542"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密云区开园小区</w:t>
            </w:r>
          </w:p>
        </w:tc>
        <w:tc>
          <w:tcPr>
            <w:tcW w:w="520"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密云区阳光街</w:t>
            </w:r>
          </w:p>
        </w:tc>
        <w:tc>
          <w:tcPr>
            <w:tcW w:w="538" w:type="dxa"/>
            <w:vMerge w:val="continue"/>
            <w:tcBorders>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2023年6月5日</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2023年5月</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2023年6月</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53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用途</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案例A位于</w:t>
            </w:r>
            <w:r>
              <w:rPr>
                <w:rFonts w:ascii="Arial" w:hAnsi="Arial" w:eastAsia="仿宋_GB2312" w:cs="Arial"/>
                <w:sz w:val="18"/>
                <w:szCs w:val="18"/>
                <w:highlight w:val="none"/>
              </w:rPr>
              <w:t>密云区白檀小区</w:t>
            </w:r>
            <w:r>
              <w:rPr>
                <w:rFonts w:ascii="Arial" w:hAnsi="Arial" w:eastAsia="仿宋_GB2312" w:cs="Arial"/>
                <w:sz w:val="18"/>
                <w:szCs w:val="24"/>
                <w:highlight w:val="none"/>
              </w:rPr>
              <w:t>，周边综合性商业有燕赛奥特莱斯购物中心、瑞嘉商场，周边住宅区配有住宅底商，综合考虑商业繁华度较好。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Arial"/>
                <w:color w:val="000000"/>
                <w:sz w:val="18"/>
                <w:szCs w:val="18"/>
                <w:highlight w:val="none"/>
                <w:lang w:eastAsia="zh-CN"/>
              </w:rPr>
            </w:pPr>
            <w:r>
              <w:rPr>
                <w:rFonts w:ascii="Arial" w:hAnsi="Arial" w:eastAsia="仿宋_GB2312" w:cs="Arial"/>
                <w:color w:val="000000"/>
                <w:sz w:val="18"/>
                <w:szCs w:val="18"/>
                <w:highlight w:val="none"/>
              </w:rPr>
              <w:t>10</w:t>
            </w:r>
            <w:r>
              <w:rPr>
                <w:rFonts w:hint="eastAsia" w:ascii="Arial" w:hAnsi="Arial" w:eastAsia="仿宋_GB2312" w:cs="Arial"/>
                <w:color w:val="000000"/>
                <w:sz w:val="18"/>
                <w:szCs w:val="18"/>
                <w:highlight w:val="none"/>
                <w:lang w:val="en-US" w:eastAsia="zh-CN"/>
              </w:rPr>
              <w:t>2</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案例B位于</w:t>
            </w:r>
            <w:r>
              <w:rPr>
                <w:rFonts w:ascii="Arial" w:hAnsi="Arial" w:eastAsia="仿宋_GB2312" w:cs="Arial"/>
                <w:sz w:val="18"/>
                <w:szCs w:val="18"/>
                <w:highlight w:val="none"/>
              </w:rPr>
              <w:t>密云区开园小区</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案例C位于</w:t>
            </w:r>
            <w:r>
              <w:rPr>
                <w:rFonts w:ascii="Arial" w:hAnsi="Arial" w:eastAsia="仿宋_GB2312" w:cs="Arial"/>
                <w:sz w:val="18"/>
                <w:szCs w:val="18"/>
                <w:highlight w:val="none"/>
              </w:rPr>
              <w:t>密云区阳光街</w:t>
            </w:r>
            <w:r>
              <w:rPr>
                <w:rFonts w:ascii="Arial" w:hAnsi="Arial" w:eastAsia="仿宋_GB2312" w:cs="Arial"/>
                <w:sz w:val="18"/>
                <w:szCs w:val="24"/>
                <w:highlight w:val="none"/>
              </w:rPr>
              <w:t>，周边以住宅社区底商及配套商业为主，周边有密云华润万象汇等商业场所，综合考虑商业繁华度一般。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紧邻城市支路—通城胡同，</w:t>
            </w:r>
            <w:r>
              <w:rPr>
                <w:rFonts w:hint="eastAsia" w:ascii="Arial" w:hAnsi="Arial" w:eastAsia="仿宋_GB2312" w:cs="宋体"/>
                <w:color w:val="000000"/>
                <w:sz w:val="18"/>
                <w:szCs w:val="18"/>
                <w:highlight w:val="none"/>
              </w:rPr>
              <w:t>案例A</w:t>
            </w:r>
            <w:r>
              <w:rPr>
                <w:rFonts w:hint="eastAsia" w:ascii="Arial" w:hAnsi="Arial" w:eastAsia="仿宋" w:cs="Arial"/>
                <w:sz w:val="18"/>
                <w:szCs w:val="18"/>
                <w:highlight w:val="none"/>
                <w:lang w:bidi="ar"/>
              </w:rPr>
              <w:t>周边无地铁线路，周边有密12路、密13路、密16路、密17路、密21路、密23路等十余条公交线路通过并设有站点，综合评价交通便捷度一般。</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w:t>
            </w:r>
            <w:r>
              <w:rPr>
                <w:rFonts w:hint="eastAsia" w:ascii="Arial" w:hAnsi="Arial" w:eastAsia="仿宋" w:cs="Arial"/>
                <w:sz w:val="18"/>
                <w:szCs w:val="18"/>
                <w:highlight w:val="none"/>
                <w:lang w:bidi="ar"/>
              </w:rPr>
              <w:t>紧邻城市支路—阳光街，案例B周边无地铁线路，周边有980路快车、 H52路、郊89路、密10路、密13路等多条公交线路通过并设有站点，综合评价交通便捷度一般。</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w:t>
            </w:r>
            <w:r>
              <w:rPr>
                <w:rFonts w:hint="eastAsia" w:ascii="Arial" w:hAnsi="Arial" w:eastAsia="仿宋" w:cs="Arial"/>
                <w:sz w:val="18"/>
                <w:szCs w:val="18"/>
                <w:highlight w:val="none"/>
                <w:lang w:bidi="ar"/>
              </w:rPr>
              <w:t>紧邻城市支路—阳光街，案例C周边无地铁线路，周边有980路快车、 H52路、郊89路、密10路、密13路等多条公交线路通过并设有站点，综合评价交通便捷度一般。</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案例A所在区域有购物场所（</w:t>
            </w:r>
            <w:r>
              <w:rPr>
                <w:rFonts w:ascii="Arial" w:hAnsi="Arial" w:eastAsia="仿宋_GB2312" w:cs="Arial"/>
                <w:sz w:val="18"/>
                <w:szCs w:val="24"/>
                <w:highlight w:val="none"/>
              </w:rPr>
              <w:t>燕赛奥特莱斯购物中心、瑞嘉商场</w:t>
            </w:r>
            <w:r>
              <w:rPr>
                <w:rFonts w:hint="eastAsia" w:ascii="Arial" w:hAnsi="Arial" w:eastAsia="仿宋" w:cs="Arial"/>
                <w:sz w:val="18"/>
                <w:szCs w:val="18"/>
                <w:highlight w:val="none"/>
                <w:lang w:bidi="ar"/>
              </w:rPr>
              <w:t>等）、学校（密云区第二小学、密云区第七幼儿园等），医院（密云区健福医院、密云区鼓楼社区卫生服务中心等），银行（中国工商银行、中国银行、中国邮政储蓄银行等），综合分析，公共配套设施齐备程度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案例B所在区域有购物场所（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案例C所在区域有购物场所（</w:t>
            </w:r>
            <w:r>
              <w:rPr>
                <w:rFonts w:ascii="Arial" w:hAnsi="Arial" w:eastAsia="仿宋_GB2312" w:cs="Arial"/>
                <w:sz w:val="18"/>
                <w:szCs w:val="24"/>
                <w:highlight w:val="none"/>
              </w:rPr>
              <w:t>密云华润万象汇、密云建材批发市场</w:t>
            </w:r>
            <w:r>
              <w:rPr>
                <w:rFonts w:hint="eastAsia" w:ascii="Arial" w:hAnsi="Arial" w:eastAsia="仿宋" w:cs="Arial"/>
                <w:sz w:val="18"/>
                <w:szCs w:val="18"/>
                <w:highlight w:val="none"/>
                <w:lang w:bidi="ar"/>
              </w:rPr>
              <w:t>等）、学校（北方交通大学附属中学(密云分校)、密云区第六幼儿园等），医院（密云区健福医院、密云鼓楼街道太扬家园社区卫生服务站等），银行（中国农业银行、中国邮政储蓄银行等），综合分析，公共配套设施齐备程度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案例A所在区域基础设施水平达到“七通”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案例B所在区域基础设施水平达到“七通”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案例C所在区域基础设施水平达到“七通”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案例A周边2公里范围内有水系—白河，阳光公园等绿化景观，绿化条件较好；有密云图书馆等人文设施，综合考虑自然环境与人文环境较好。</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案例B周边2公里范围内有水系—白河，太扬公园等绿化景观，绿化条件较好；有首都经济贸易大学(密云分校)等人文设施，综合考虑自然环境与人文环境较好。</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案例C周边2公里范围内有水系—白河，太扬公园等绿化景观，绿化条件较好；有密首都经济贸易大学(密云分校)等人文设施，综合考虑自然环境与人文环境较好。</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临街状况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估价对象紧邻城市次干道</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案例A紧邻城市支路</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案例B紧邻城市支路</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案例C紧邻城市支路</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98</w:t>
            </w:r>
          </w:p>
        </w:tc>
      </w:tr>
      <w:tr>
        <w:tblPrEx>
          <w:tblCellMar>
            <w:top w:w="57" w:type="dxa"/>
            <w:left w:w="28" w:type="dxa"/>
            <w:bottom w:w="57" w:type="dxa"/>
            <w:right w:w="28" w:type="dxa"/>
          </w:tblCellMar>
        </w:tblPrEx>
        <w:trPr>
          <w:cantSplit/>
          <w:jc w:val="center"/>
        </w:trPr>
        <w:tc>
          <w:tcPr>
            <w:tcW w:w="427" w:type="dxa"/>
            <w:vMerge w:val="continue"/>
            <w:tcBorders>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1层</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1层</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个别因素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商业类型</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独栋商业楼</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96</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96</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住宅配套商业</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96</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建筑面积（㎡）</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51.95（单套）</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85.66</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rPr>
            </w:pPr>
            <w:r>
              <w:rPr>
                <w:rFonts w:hint="eastAsia" w:ascii="Arial" w:hAnsi="Arial" w:eastAsia="仿宋_GB2312" w:cs="宋体"/>
                <w:color w:val="000000"/>
                <w:sz w:val="18"/>
                <w:szCs w:val="18"/>
                <w:highlight w:val="none"/>
              </w:rPr>
              <w:t>1</w:t>
            </w:r>
            <w:r>
              <w:rPr>
                <w:rFonts w:hint="eastAsia" w:ascii="Arial" w:hAnsi="Arial" w:eastAsia="仿宋_GB2312" w:cs="宋体"/>
                <w:color w:val="000000"/>
                <w:sz w:val="18"/>
                <w:szCs w:val="18"/>
                <w:highlight w:val="none"/>
                <w:lang w:val="en-US" w:eastAsia="zh-CN"/>
              </w:rPr>
              <w:t>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248.04</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97</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259.72</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97</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建筑结构</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钢混</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公共部分装修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普通装修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层高</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标准层高</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内部装修</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精装修</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368"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简单装修</w:t>
            </w:r>
          </w:p>
        </w:tc>
        <w:tc>
          <w:tcPr>
            <w:tcW w:w="542"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98</w:t>
            </w:r>
          </w:p>
        </w:tc>
        <w:tc>
          <w:tcPr>
            <w:tcW w:w="139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20"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98</w:t>
            </w:r>
          </w:p>
        </w:tc>
        <w:tc>
          <w:tcPr>
            <w:tcW w:w="137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eastAsia="zh-CN"/>
              </w:rPr>
              <w:t>简单装修</w:t>
            </w:r>
          </w:p>
        </w:tc>
        <w:tc>
          <w:tcPr>
            <w:tcW w:w="538"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lang w:val="en-US" w:eastAsia="zh-CN"/>
              </w:rPr>
              <w:t>98</w:t>
            </w:r>
          </w:p>
        </w:tc>
      </w:tr>
    </w:tbl>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3099"/>
        <w:gridCol w:w="3100"/>
        <w:gridCol w:w="3100"/>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8897" w:type="dxa"/>
            <w:gridSpan w:val="3"/>
          </w:tcPr>
          <w:p>
            <w:pPr>
              <w:jc w:val="center"/>
              <w:rPr>
                <w:sz w:val="22"/>
                <w:highlight w:val="none"/>
              </w:rPr>
            </w:pPr>
            <w:r>
              <w:rPr>
                <w:highlight w:val="none"/>
              </w:rPr>
              <w:drawing>
                <wp:inline distT="0" distB="0" distL="114300" distR="114300">
                  <wp:extent cx="5316855" cy="4989195"/>
                  <wp:effectExtent l="0" t="0" r="17145" b="1905"/>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0"/>
                          <a:stretch>
                            <a:fillRect/>
                          </a:stretch>
                        </pic:blipFill>
                        <pic:spPr>
                          <a:xfrm>
                            <a:off x="0" y="0"/>
                            <a:ext cx="5316855" cy="4989195"/>
                          </a:xfrm>
                          <a:prstGeom prst="rect">
                            <a:avLst/>
                          </a:prstGeom>
                          <a:noFill/>
                          <a:ln>
                            <a:noFill/>
                          </a:ln>
                        </pic:spPr>
                      </pic:pic>
                    </a:graphicData>
                  </a:graphic>
                </wp:inline>
              </w:drawing>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8897" w:type="dxa"/>
            <w:gridSpan w:val="3"/>
          </w:tcPr>
          <w:p>
            <w:pPr>
              <w:jc w:val="center"/>
              <w:rPr>
                <w:rFonts w:ascii="华文细黑" w:hAnsi="华文细黑" w:eastAsia="华文细黑"/>
                <w:sz w:val="22"/>
                <w:highlight w:val="none"/>
              </w:rPr>
            </w:pPr>
            <w:r>
              <w:rPr>
                <w:rFonts w:hint="eastAsia" w:ascii="华文细黑" w:hAnsi="华文细黑" w:eastAsia="华文细黑"/>
                <w:sz w:val="22"/>
                <w:highlight w:val="none"/>
              </w:rPr>
              <w:t>案例照片</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425" w:hRule="atLeast"/>
          <w:jc w:val="center"/>
        </w:trPr>
        <w:tc>
          <w:tcPr>
            <w:tcW w:w="2965"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案例A</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案例B</w:t>
            </w:r>
          </w:p>
        </w:tc>
        <w:tc>
          <w:tcPr>
            <w:tcW w:w="2966" w:type="dxa"/>
            <w:tcBorders>
              <w:bottom w:val="dotted" w:color="404040" w:sz="2" w:space="0"/>
            </w:tcBorders>
          </w:tcPr>
          <w:p>
            <w:pPr>
              <w:jc w:val="center"/>
              <w:rPr>
                <w:rFonts w:ascii="华文细黑" w:hAnsi="华文细黑" w:eastAsia="华文细黑"/>
                <w:color w:val="E36C0A"/>
                <w:sz w:val="22"/>
                <w:highlight w:val="none"/>
              </w:rPr>
            </w:pPr>
            <w:r>
              <w:rPr>
                <w:rFonts w:hint="eastAsia" w:ascii="华文细黑" w:hAnsi="华文细黑" w:eastAsia="华文细黑"/>
                <w:color w:val="E36C0A"/>
                <w:sz w:val="22"/>
                <w:highlight w:val="none"/>
              </w:rPr>
              <w:t>案例C</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3877" w:hRule="exact"/>
          <w:jc w:val="center"/>
        </w:trPr>
        <w:tc>
          <w:tcPr>
            <w:tcW w:w="2965" w:type="dxa"/>
          </w:tcPr>
          <w:p>
            <w:pPr>
              <w:jc w:val="center"/>
              <w:rPr>
                <w:sz w:val="22"/>
                <w:highlight w:val="none"/>
              </w:rPr>
            </w:pPr>
            <w:r>
              <w:rPr>
                <w:highlight w:val="none"/>
              </w:rPr>
              <w:drawing>
                <wp:inline distT="0" distB="0" distL="114300" distR="114300">
                  <wp:extent cx="1718310" cy="2266315"/>
                  <wp:effectExtent l="0" t="0" r="15240" b="63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61"/>
                          <a:stretch>
                            <a:fillRect/>
                          </a:stretch>
                        </pic:blipFill>
                        <pic:spPr>
                          <a:xfrm>
                            <a:off x="0" y="0"/>
                            <a:ext cx="1718310" cy="2266315"/>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9740" cy="2268220"/>
                  <wp:effectExtent l="0" t="0" r="3810" b="1778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2"/>
                          <a:stretch>
                            <a:fillRect/>
                          </a:stretch>
                        </pic:blipFill>
                        <pic:spPr>
                          <a:xfrm>
                            <a:off x="0" y="0"/>
                            <a:ext cx="1729740" cy="2268220"/>
                          </a:xfrm>
                          <a:prstGeom prst="rect">
                            <a:avLst/>
                          </a:prstGeom>
                          <a:noFill/>
                          <a:ln>
                            <a:noFill/>
                          </a:ln>
                        </pic:spPr>
                      </pic:pic>
                    </a:graphicData>
                  </a:graphic>
                </wp:inline>
              </w:drawing>
            </w:r>
          </w:p>
        </w:tc>
        <w:tc>
          <w:tcPr>
            <w:tcW w:w="2966" w:type="dxa"/>
          </w:tcPr>
          <w:p>
            <w:pPr>
              <w:jc w:val="center"/>
              <w:rPr>
                <w:sz w:val="22"/>
                <w:highlight w:val="none"/>
              </w:rPr>
            </w:pPr>
            <w:r>
              <w:rPr>
                <w:highlight w:val="none"/>
              </w:rPr>
              <w:drawing>
                <wp:inline distT="0" distB="0" distL="114300" distR="114300">
                  <wp:extent cx="1724025" cy="2268220"/>
                  <wp:effectExtent l="0" t="0" r="9525" b="177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3"/>
                          <a:stretch>
                            <a:fillRect/>
                          </a:stretch>
                        </pic:blipFill>
                        <pic:spPr>
                          <a:xfrm>
                            <a:off x="0" y="0"/>
                            <a:ext cx="1724025" cy="2268220"/>
                          </a:xfrm>
                          <a:prstGeom prst="rect">
                            <a:avLst/>
                          </a:prstGeom>
                          <a:noFill/>
                          <a:ln>
                            <a:noFill/>
                          </a:ln>
                        </pic:spPr>
                      </pic:pic>
                    </a:graphicData>
                  </a:graphic>
                </wp:inline>
              </w:drawing>
            </w:r>
          </w:p>
        </w:tc>
      </w:tr>
    </w:tbl>
    <w:p>
      <w:pPr>
        <w:spacing w:line="360" w:lineRule="auto"/>
        <w:jc w:val="both"/>
        <w:rPr>
          <w:rFonts w:ascii="仿宋_GB2312" w:hAnsi="Arial" w:eastAsia="仿宋_GB2312" w:cs="Arial"/>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表2：因素修正和调整系数表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案例：A</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案例：B</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案例：C</w:t>
            </w:r>
          </w:p>
        </w:tc>
      </w:tr>
      <w:tr>
        <w:tblPrEx>
          <w:tblCellMar>
            <w:top w:w="57" w:type="dxa"/>
            <w:left w:w="28" w:type="dxa"/>
            <w:bottom w:w="57" w:type="dxa"/>
            <w:right w:w="28" w:type="dxa"/>
          </w:tblCellMar>
        </w:tblPrEx>
        <w:trPr>
          <w:cantSplit/>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白檀</w:t>
            </w:r>
            <w:r>
              <w:rPr>
                <w:rFonts w:hint="eastAsia" w:ascii="Arial" w:hAnsi="Arial" w:eastAsia="仿宋_GB2312" w:cs="宋体"/>
                <w:sz w:val="18"/>
                <w:szCs w:val="18"/>
                <w:highlight w:val="none"/>
              </w:rPr>
              <w:t>小区</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开园</w:t>
            </w:r>
            <w:r>
              <w:rPr>
                <w:rFonts w:hint="eastAsia" w:ascii="Arial" w:hAnsi="Arial" w:eastAsia="仿宋_GB2312" w:cs="宋体"/>
                <w:sz w:val="18"/>
                <w:szCs w:val="18"/>
                <w:highlight w:val="none"/>
              </w:rPr>
              <w:t>小区</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ascii="Arial" w:hAnsi="Arial" w:eastAsia="仿宋_GB2312" w:cs="宋体"/>
                <w:sz w:val="18"/>
                <w:szCs w:val="18"/>
                <w:highlight w:val="none"/>
              </w:rPr>
              <w:t>阳光街</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3262" w:type="dxa"/>
            <w:gridSpan w:val="2"/>
            <w:tcBorders>
              <w:top w:val="nil"/>
              <w:left w:val="single" w:color="auto" w:sz="4" w:space="0"/>
              <w:bottom w:val="single" w:color="auto" w:sz="4" w:space="0"/>
              <w:right w:val="single" w:color="auto" w:sz="4" w:space="0"/>
            </w:tcBorders>
            <w:shd w:val="clear" w:color="auto" w:fill="auto"/>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用途</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val="en-US"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2</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临街状况</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w:t>
            </w:r>
          </w:p>
        </w:tc>
      </w:tr>
      <w:tr>
        <w:tblPrEx>
          <w:tblCellMar>
            <w:top w:w="57" w:type="dxa"/>
            <w:left w:w="28" w:type="dxa"/>
            <w:bottom w:w="57" w:type="dxa"/>
            <w:right w:w="28" w:type="dxa"/>
          </w:tblCellMar>
        </w:tblPrEx>
        <w:trPr>
          <w:cantSplit/>
          <w:jc w:val="center"/>
        </w:trPr>
        <w:tc>
          <w:tcPr>
            <w:tcW w:w="901" w:type="dxa"/>
            <w:vMerge w:val="continue"/>
            <w:tcBorders>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楼层</w:t>
            </w:r>
          </w:p>
        </w:tc>
        <w:tc>
          <w:tcPr>
            <w:tcW w:w="567" w:type="dxa"/>
            <w:tcBorders>
              <w:top w:val="nil"/>
              <w:left w:val="nil"/>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hint="eastAsia"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个别因素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商业类型</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96</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建筑面积</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rPr>
              <w:t>10</w:t>
            </w:r>
            <w:r>
              <w:rPr>
                <w:rFonts w:hint="eastAsia" w:ascii="Arial" w:hAnsi="Arial" w:eastAsia="仿宋_GB2312" w:cs="宋体"/>
                <w:sz w:val="18"/>
                <w:szCs w:val="18"/>
                <w:highlight w:val="none"/>
                <w:lang w:val="en-US" w:eastAsia="zh-CN"/>
              </w:rPr>
              <w:t>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97</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97</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建筑结构</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公共部分装修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层高</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auto"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内部装修</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98</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98</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lang w:val="en-US" w:eastAsia="zh-CN"/>
              </w:rPr>
              <w:t>98</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22064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20965</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21177</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23462</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23442</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23679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eastAsia="zh-CN"/>
              </w:rPr>
              <w:t>23</w:t>
            </w:r>
            <w:r>
              <w:rPr>
                <w:rFonts w:hint="eastAsia" w:ascii="Arial" w:hAnsi="Arial" w:eastAsia="仿宋_GB2312" w:cs="宋体"/>
                <w:sz w:val="18"/>
                <w:szCs w:val="18"/>
                <w:highlight w:val="none"/>
                <w:lang w:val="en-US" w:eastAsia="zh-CN"/>
              </w:rPr>
              <w:t>528</w:t>
            </w:r>
          </w:p>
        </w:tc>
      </w:tr>
    </w:tbl>
    <w:p>
      <w:pPr>
        <w:snapToGrid w:val="0"/>
        <w:spacing w:line="240" w:lineRule="exact"/>
        <w:ind w:firstLine="360" w:firstLineChars="200"/>
        <w:rPr>
          <w:rFonts w:ascii="Arial" w:hAnsi="Arial" w:eastAsia="仿宋_GB2312" w:cs="Arial"/>
          <w:color w:val="E36C0A"/>
          <w:sz w:val="18"/>
          <w:szCs w:val="18"/>
          <w:highlight w:val="none"/>
        </w:rPr>
      </w:pPr>
    </w:p>
    <w:p>
      <w:pPr>
        <w:snapToGrid w:val="0"/>
        <w:spacing w:line="300" w:lineRule="auto"/>
        <w:ind w:firstLine="556"/>
        <w:jc w:val="both"/>
        <w:rPr>
          <w:rFonts w:ascii="Arial" w:hAnsi="Arial" w:eastAsia="仿宋_GB2312" w:cs="Arial"/>
          <w:sz w:val="28"/>
          <w:szCs w:val="28"/>
          <w:highlight w:val="none"/>
        </w:rPr>
      </w:pPr>
      <w:r>
        <w:rPr>
          <w:rFonts w:hint="eastAsia" w:ascii="Arial" w:hAnsi="Arial" w:eastAsia="仿宋_GB2312" w:cs="Arial"/>
          <w:sz w:val="28"/>
          <w:highlight w:val="none"/>
        </w:rPr>
        <w:t>本次评估所选取的各可比案例与估价对象</w:t>
      </w:r>
      <w:r>
        <w:rPr>
          <w:rFonts w:hint="eastAsia" w:ascii="Arial" w:hAnsi="Arial" w:eastAsia="仿宋_GB2312" w:cs="Arial"/>
          <w:sz w:val="28"/>
          <w:highlight w:val="none"/>
          <w:lang w:eastAsia="zh-CN"/>
        </w:rPr>
        <w:t>单套</w:t>
      </w:r>
      <w:r>
        <w:rPr>
          <w:rFonts w:hint="eastAsia" w:ascii="Arial" w:hAnsi="Arial" w:eastAsia="仿宋_GB2312" w:cs="Arial"/>
          <w:sz w:val="28"/>
          <w:highlight w:val="none"/>
        </w:rPr>
        <w:t>相似程度接近；通过前述各因素的修正，各可比案例修正后价格的差异程度较小。</w:t>
      </w:r>
      <w:r>
        <w:rPr>
          <w:rFonts w:hint="eastAsia" w:ascii="Arial" w:hAnsi="Arial" w:eastAsia="仿宋_GB2312" w:cs="Arial"/>
          <w:sz w:val="28"/>
          <w:highlight w:val="none"/>
          <w:lang w:eastAsia="zh-CN"/>
        </w:rPr>
        <w:t>根据委托估价方提供的</w:t>
      </w:r>
      <w:r>
        <w:rPr>
          <w:rFonts w:hint="eastAsia" w:ascii="Arial" w:hAnsi="Arial" w:eastAsia="仿宋_GB2312" w:cs="Arial"/>
          <w:sz w:val="28"/>
          <w:szCs w:val="28"/>
          <w:highlight w:val="none"/>
        </w:rPr>
        <w:t>根据《北京市房屋土地登记表》[宗地号：110228002001GB00135]，估价对象建筑面积如下：</w:t>
      </w:r>
    </w:p>
    <w:tbl>
      <w:tblPr>
        <w:tblStyle w:val="35"/>
        <w:tblW w:w="9298" w:type="dxa"/>
        <w:jc w:val="center"/>
        <w:tblLayout w:type="fixed"/>
        <w:tblCellMar>
          <w:top w:w="57" w:type="dxa"/>
          <w:left w:w="57" w:type="dxa"/>
          <w:bottom w:w="57" w:type="dxa"/>
          <w:right w:w="57" w:type="dxa"/>
        </w:tblCellMar>
      </w:tblPr>
      <w:tblGrid>
        <w:gridCol w:w="738"/>
        <w:gridCol w:w="985"/>
        <w:gridCol w:w="1258"/>
        <w:gridCol w:w="1020"/>
        <w:gridCol w:w="1698"/>
        <w:gridCol w:w="1599"/>
        <w:gridCol w:w="1000"/>
        <w:gridCol w:w="1000"/>
      </w:tblGrid>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序号</w:t>
            </w:r>
          </w:p>
        </w:tc>
        <w:tc>
          <w:tcPr>
            <w:tcW w:w="9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坐落</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楼号或幢号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部位房号</w:t>
            </w:r>
          </w:p>
        </w:tc>
        <w:tc>
          <w:tcPr>
            <w:tcW w:w="16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所在楼层/总楼层</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建筑面积</w:t>
            </w: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结构</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w:t>
            </w:r>
          </w:p>
        </w:tc>
        <w:tc>
          <w:tcPr>
            <w:tcW w:w="9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北京市密云区西门外大街8号楼</w:t>
            </w:r>
          </w:p>
        </w:tc>
        <w:tc>
          <w:tcPr>
            <w:tcW w:w="125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8号楼</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601</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restart"/>
            <w:tcBorders>
              <w:top w:val="single" w:color="000000" w:sz="4" w:space="0"/>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2.04</w:t>
            </w: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602</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603</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604</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w:t>
            </w:r>
          </w:p>
        </w:tc>
        <w:tc>
          <w:tcPr>
            <w:tcW w:w="9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p>
        </w:tc>
        <w:tc>
          <w:tcPr>
            <w:tcW w:w="125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605</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6/6</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51.95</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钢混</w:t>
            </w:r>
          </w:p>
        </w:tc>
        <w:tc>
          <w:tcPr>
            <w:tcW w:w="1000" w:type="dxa"/>
            <w:vMerge w:val="continue"/>
            <w:tcBorders>
              <w:left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p>
        </w:tc>
      </w:tr>
      <w:tr>
        <w:tblPrEx>
          <w:tblCellMar>
            <w:top w:w="57" w:type="dxa"/>
            <w:left w:w="57" w:type="dxa"/>
            <w:bottom w:w="57" w:type="dxa"/>
            <w:right w:w="57" w:type="dxa"/>
          </w:tblCellMar>
        </w:tblPrEx>
        <w:trPr>
          <w:trHeight w:val="272" w:hRule="atLeast"/>
          <w:jc w:val="center"/>
        </w:trPr>
        <w:tc>
          <w:tcPr>
            <w:tcW w:w="7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合计</w:t>
            </w:r>
          </w:p>
        </w:tc>
        <w:tc>
          <w:tcPr>
            <w:tcW w:w="98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25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69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259.75</w:t>
            </w:r>
            <w:r>
              <w:rPr>
                <w:rFonts w:ascii="Arial" w:hAnsi="Arial" w:eastAsia="仿宋" w:cs="Arial"/>
                <w:color w:val="000000"/>
                <w:sz w:val="18"/>
                <w:szCs w:val="18"/>
                <w:highlight w:val="none"/>
                <w:lang w:bidi="ar"/>
              </w:rPr>
              <w:t xml:space="preserve"> </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napToGrid w:val="0"/>
              <w:spacing w:line="240" w:lineRule="exact"/>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w:t>
            </w:r>
          </w:p>
        </w:tc>
      </w:tr>
    </w:tbl>
    <w:p>
      <w:pPr>
        <w:keepNext w:val="0"/>
        <w:keepLines w:val="0"/>
        <w:pageBreakBefore w:val="0"/>
        <w:widowControl w:val="0"/>
        <w:kinsoku/>
        <w:wordWrap/>
        <w:overflowPunct/>
        <w:topLinePunct w:val="0"/>
        <w:autoSpaceDE/>
        <w:autoSpaceDN/>
        <w:bidi w:val="0"/>
        <w:adjustRightInd w:val="0"/>
        <w:snapToGrid/>
        <w:spacing w:line="240" w:lineRule="atLeast"/>
        <w:ind w:firstLine="360" w:firstLineChars="200"/>
        <w:textAlignment w:val="baseline"/>
        <w:rPr>
          <w:rFonts w:hint="eastAsia" w:ascii="Arial" w:hAnsi="Arial" w:eastAsia="仿宋_GB2312" w:cs="Arial"/>
          <w:sz w:val="18"/>
          <w:szCs w:val="18"/>
          <w:highlight w:val="none"/>
        </w:rPr>
      </w:pPr>
    </w:p>
    <w:p>
      <w:pPr>
        <w:spacing w:line="36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lang w:eastAsia="zh-CN"/>
        </w:rPr>
        <w:t>估价对象各套面积相同。</w:t>
      </w:r>
      <w:r>
        <w:rPr>
          <w:rFonts w:hint="eastAsia" w:ascii="Arial" w:hAnsi="Arial" w:eastAsia="仿宋_GB2312" w:cs="Arial"/>
          <w:sz w:val="28"/>
          <w:highlight w:val="none"/>
        </w:rPr>
        <w:t>因此，本次评估取三个比较价格的简单算术平均值作为估价对象1层商业不动产楼面单价。</w:t>
      </w:r>
    </w:p>
    <w:p>
      <w:pPr>
        <w:spacing w:line="36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 xml:space="preserve">楼面单价 </w:t>
      </w:r>
    </w:p>
    <w:p>
      <w:pPr>
        <w:spacing w:line="360" w:lineRule="auto"/>
        <w:ind w:firstLine="560" w:firstLineChars="200"/>
        <w:rPr>
          <w:rFonts w:ascii="Arial" w:hAnsi="Arial" w:eastAsia="仿宋_GB2312"/>
          <w:sz w:val="28"/>
          <w:highlight w:val="none"/>
        </w:rPr>
      </w:pPr>
      <w:r>
        <w:rPr>
          <w:rFonts w:hint="eastAsia" w:ascii="Arial" w:hAnsi="Arial" w:eastAsia="仿宋_GB2312"/>
          <w:sz w:val="28"/>
          <w:highlight w:val="none"/>
        </w:rPr>
        <w:t>＝（2</w:t>
      </w:r>
      <w:r>
        <w:rPr>
          <w:rFonts w:hint="eastAsia" w:ascii="Arial" w:hAnsi="Arial" w:eastAsia="仿宋_GB2312"/>
          <w:sz w:val="28"/>
          <w:highlight w:val="none"/>
          <w:lang w:val="en-US" w:eastAsia="zh-CN"/>
        </w:rPr>
        <w:t>3462</w:t>
      </w:r>
      <w:r>
        <w:rPr>
          <w:rFonts w:hint="eastAsia" w:ascii="Arial" w:hAnsi="Arial" w:eastAsia="仿宋_GB2312"/>
          <w:sz w:val="28"/>
          <w:highlight w:val="none"/>
        </w:rPr>
        <w:t>＋2</w:t>
      </w:r>
      <w:r>
        <w:rPr>
          <w:rFonts w:hint="eastAsia" w:ascii="Arial" w:hAnsi="Arial" w:eastAsia="仿宋_GB2312"/>
          <w:sz w:val="28"/>
          <w:highlight w:val="none"/>
          <w:lang w:val="en-US" w:eastAsia="zh-CN"/>
        </w:rPr>
        <w:t>3442</w:t>
      </w:r>
      <w:r>
        <w:rPr>
          <w:rFonts w:hint="eastAsia" w:ascii="Arial" w:hAnsi="Arial" w:eastAsia="仿宋_GB2312"/>
          <w:sz w:val="28"/>
          <w:highlight w:val="none"/>
        </w:rPr>
        <w:t>＋2</w:t>
      </w:r>
      <w:r>
        <w:rPr>
          <w:rFonts w:hint="eastAsia" w:ascii="Arial" w:hAnsi="Arial" w:eastAsia="仿宋_GB2312"/>
          <w:sz w:val="28"/>
          <w:highlight w:val="none"/>
          <w:lang w:val="en-US" w:eastAsia="zh-CN"/>
        </w:rPr>
        <w:t>3679</w:t>
      </w:r>
      <w:r>
        <w:rPr>
          <w:rFonts w:hint="eastAsia" w:ascii="Arial" w:hAnsi="Arial" w:eastAsia="仿宋_GB2312"/>
          <w:sz w:val="28"/>
          <w:highlight w:val="none"/>
        </w:rPr>
        <w:t>）÷</w:t>
      </w:r>
      <w:r>
        <w:rPr>
          <w:rFonts w:ascii="Arial" w:hAnsi="Arial" w:eastAsia="仿宋_GB2312"/>
          <w:sz w:val="28"/>
          <w:highlight w:val="none"/>
        </w:rPr>
        <w:t>3</w:t>
      </w:r>
    </w:p>
    <w:p>
      <w:pPr>
        <w:spacing w:line="360" w:lineRule="auto"/>
        <w:ind w:right="205" w:firstLine="560" w:firstLineChars="20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bCs/>
          <w:sz w:val="28"/>
          <w:highlight w:val="none"/>
          <w:lang w:eastAsia="zh-CN"/>
        </w:rPr>
        <w:t>23528</w:t>
      </w:r>
      <w:r>
        <w:rPr>
          <w:rFonts w:hint="eastAsia" w:ascii="Arial" w:hAnsi="Arial" w:eastAsia="仿宋_GB2312"/>
          <w:sz w:val="28"/>
          <w:highlight w:val="none"/>
        </w:rPr>
        <w:t>（元</w:t>
      </w:r>
      <w:r>
        <w:rPr>
          <w:rFonts w:ascii="Arial" w:hAnsi="Arial" w:eastAsia="仿宋_GB2312"/>
          <w:sz w:val="28"/>
          <w:highlight w:val="none"/>
        </w:rPr>
        <w:t>/</w:t>
      </w:r>
      <w:r>
        <w:rPr>
          <w:rFonts w:hint="eastAsia" w:ascii="Arial" w:hAnsi="Arial" w:eastAsia="仿宋_GB2312"/>
          <w:sz w:val="28"/>
          <w:highlight w:val="none"/>
        </w:rPr>
        <w:t>平方米）</w:t>
      </w:r>
    </w:p>
    <w:p>
      <w:pPr>
        <w:spacing w:line="360" w:lineRule="auto"/>
        <w:ind w:right="205" w:firstLine="570"/>
        <w:rPr>
          <w:rFonts w:ascii="Arial" w:hAnsi="Arial" w:eastAsia="仿宋_GB2312"/>
          <w:sz w:val="28"/>
          <w:highlight w:val="none"/>
        </w:rPr>
      </w:pPr>
      <w:r>
        <w:rPr>
          <w:rFonts w:hint="eastAsia" w:ascii="Arial" w:hAnsi="Arial" w:eastAsia="仿宋_GB2312"/>
          <w:sz w:val="28"/>
          <w:highlight w:val="none"/>
        </w:rPr>
        <w:t>不动产总价</w:t>
      </w:r>
    </w:p>
    <w:p>
      <w:pPr>
        <w:spacing w:line="360" w:lineRule="auto"/>
        <w:ind w:right="205" w:firstLine="570"/>
        <w:rPr>
          <w:rFonts w:ascii="Arial" w:hAnsi="Arial" w:eastAsia="仿宋_GB2312"/>
          <w:sz w:val="28"/>
          <w:highlight w:val="none"/>
        </w:rPr>
      </w:pPr>
      <w:r>
        <w:rPr>
          <w:rFonts w:hint="eastAsia" w:ascii="Arial" w:hAnsi="Arial" w:eastAsia="仿宋_GB2312"/>
          <w:sz w:val="28"/>
          <w:highlight w:val="none"/>
        </w:rPr>
        <w:t>＝</w:t>
      </w:r>
      <w:r>
        <w:rPr>
          <w:rFonts w:hint="eastAsia" w:ascii="Arial" w:hAnsi="Arial" w:eastAsia="仿宋_GB2312"/>
          <w:sz w:val="28"/>
          <w:highlight w:val="none"/>
          <w:lang w:eastAsia="zh-CN"/>
        </w:rPr>
        <w:t>23528</w:t>
      </w:r>
      <w:r>
        <w:rPr>
          <w:rFonts w:hint="eastAsia" w:ascii="Arial" w:hAnsi="Arial" w:eastAsia="仿宋_GB2312"/>
          <w:sz w:val="28"/>
          <w:highlight w:val="none"/>
        </w:rPr>
        <w:t>×</w:t>
      </w:r>
      <w:r>
        <w:rPr>
          <w:rFonts w:hint="eastAsia" w:ascii="Arial" w:hAnsi="Arial" w:eastAsia="仿宋_GB2312"/>
          <w:sz w:val="28"/>
          <w:highlight w:val="none"/>
          <w:lang w:eastAsia="zh-CN"/>
        </w:rPr>
        <w:t>259.75</w:t>
      </w:r>
      <w:r>
        <w:rPr>
          <w:rFonts w:hint="eastAsia" w:ascii="Arial" w:hAnsi="Arial" w:eastAsia="仿宋_GB2312"/>
          <w:sz w:val="28"/>
          <w:highlight w:val="none"/>
        </w:rPr>
        <w:t>÷10000</w:t>
      </w:r>
    </w:p>
    <w:p>
      <w:pPr>
        <w:spacing w:line="360" w:lineRule="auto"/>
        <w:ind w:right="205" w:firstLine="570"/>
        <w:rPr>
          <w:rFonts w:ascii="Arial" w:hAnsi="Arial" w:eastAsia="仿宋_GB2312"/>
          <w:highlight w:val="none"/>
        </w:rPr>
      </w:pPr>
      <w:r>
        <w:rPr>
          <w:rFonts w:hint="eastAsia" w:ascii="Arial" w:hAnsi="Arial" w:eastAsia="仿宋_GB2312"/>
          <w:sz w:val="28"/>
          <w:highlight w:val="none"/>
        </w:rPr>
        <w:t>＝</w:t>
      </w:r>
      <w:r>
        <w:rPr>
          <w:rFonts w:hint="eastAsia" w:ascii="Arial" w:hAnsi="Arial" w:eastAsia="仿宋_GB2312"/>
          <w:sz w:val="28"/>
          <w:highlight w:val="none"/>
          <w:lang w:val="en-US" w:eastAsia="zh-CN"/>
        </w:rPr>
        <w:t>611.1398</w:t>
      </w:r>
      <w:r>
        <w:rPr>
          <w:rFonts w:hint="eastAsia" w:ascii="Arial" w:hAnsi="Arial" w:eastAsia="仿宋_GB2312"/>
          <w:sz w:val="28"/>
          <w:highlight w:val="none"/>
        </w:rPr>
        <w:t>（万元）</w:t>
      </w:r>
    </w:p>
    <w:p>
      <w:pPr>
        <w:numPr>
          <w:ilvl w:val="0"/>
          <w:numId w:val="7"/>
        </w:numPr>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开发成本</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A.建造成本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（A）建安费用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根据评估专业人员的调查，北京市商业类型建筑的建安水平一般在2800-4000元/平方米之间，估价对象</w:t>
      </w:r>
      <w:r>
        <w:rPr>
          <w:rFonts w:hint="eastAsia" w:ascii="Arial" w:hAnsi="Arial" w:eastAsia="仿宋_GB2312" w:cs="Arial"/>
          <w:sz w:val="28"/>
          <w:highlight w:val="none"/>
          <w:lang w:eastAsia="zh-CN"/>
        </w:rPr>
        <w:t>所属楼宇</w:t>
      </w:r>
      <w:r>
        <w:rPr>
          <w:rFonts w:hint="eastAsia" w:ascii="Arial" w:hAnsi="Arial" w:eastAsia="仿宋_GB2312" w:cs="Arial"/>
          <w:sz w:val="28"/>
          <w:highlight w:val="none"/>
        </w:rPr>
        <w:t>为一幢地上6层，钢筋混凝土结构的住宅配套商业楼，外立面为涂料</w:t>
      </w:r>
      <w:r>
        <w:rPr>
          <w:rFonts w:hint="eastAsia" w:ascii="Arial" w:hAnsi="Arial" w:eastAsia="仿宋_GB2312" w:cs="Arial"/>
          <w:sz w:val="28"/>
          <w:highlight w:val="none"/>
          <w:lang w:eastAsia="zh-CN"/>
        </w:rPr>
        <w:t>。估价对象位于其6层，</w:t>
      </w:r>
      <w:r>
        <w:rPr>
          <w:rFonts w:hint="eastAsia" w:ascii="Arial" w:hAnsi="Arial" w:eastAsia="仿宋_GB2312" w:cs="Arial"/>
          <w:sz w:val="28"/>
          <w:highlight w:val="none"/>
        </w:rPr>
        <w:t>室内公共部分装修为普通装修，室内装修为普通装修，楼内未设立电梯设备</w:t>
      </w:r>
      <w:r>
        <w:rPr>
          <w:rFonts w:hint="eastAsia" w:ascii="Arial" w:hAnsi="Arial" w:eastAsia="仿宋_GB2312" w:cs="Arial"/>
          <w:sz w:val="28"/>
          <w:highlight w:val="none"/>
          <w:lang w:eastAsia="zh-CN"/>
        </w:rPr>
        <w:t>，</w:t>
      </w:r>
      <w:r>
        <w:rPr>
          <w:rFonts w:hint="eastAsia" w:ascii="Arial" w:hAnsi="Arial" w:eastAsia="仿宋_GB2312" w:cs="Arial"/>
          <w:sz w:val="28"/>
          <w:highlight w:val="none"/>
        </w:rPr>
        <w:t>本次评估参考该地区现行工程概预算定额以及同类建筑的建安水平，同时考虑估价对象建筑结构、设备与装修标准等，综合确定建安费用为3500元/平方米，则有：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建安费用＝单方造价×建筑面积＝3500×</w:t>
      </w:r>
      <w:r>
        <w:rPr>
          <w:rFonts w:hint="eastAsia" w:ascii="Arial" w:hAnsi="Arial" w:eastAsia="仿宋_GB2312" w:cs="Arial"/>
          <w:sz w:val="28"/>
          <w:highlight w:val="none"/>
          <w:lang w:eastAsia="zh-CN"/>
        </w:rPr>
        <w:t>259.75</w:t>
      </w:r>
      <w:r>
        <w:rPr>
          <w:rFonts w:hint="eastAsia" w:ascii="Arial" w:hAnsi="Arial" w:eastAsia="仿宋_GB2312" w:cs="Arial"/>
          <w:sz w:val="28"/>
          <w:highlight w:val="none"/>
        </w:rPr>
        <w:t>÷10000＝</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（B）勘查设计和前期工程费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3%取费，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勘查设计和前期工程费＝建安费用×取费标准＝</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×3%＝</w:t>
      </w:r>
      <w:r>
        <w:rPr>
          <w:rFonts w:hint="eastAsia" w:ascii="Arial" w:hAnsi="Arial" w:eastAsia="仿宋_GB2312" w:cs="Arial"/>
          <w:sz w:val="28"/>
          <w:highlight w:val="none"/>
          <w:lang w:val="en-US" w:eastAsia="zh-CN"/>
        </w:rPr>
        <w:t>2.7274</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（C）公共配套设施费用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公共配套设施费用是指城市规划要求居住项目需配套建设的教育、医疗卫生、文化体育、社区服务、市政公用等非营利性设施的建设费用，根据估价对象所处区域的一般情况，并结合估价对象的实际情况，估价对象规划为非住宅用途，故本项费用不计取。</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（D）红线内市政基础设施费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是指包括城市规划要求配套的道路、给排水、电力、电信、燃气、热力等设施的建设费用；估价对象未来红线外基础设施建设将达到“七通”（即通路、通电、通讯、通上水、通下水、通热力、通燃气），结合估价对象所在区域实际情况确定红线内市政基础设施费为200元/平方米，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红线内市政基础设施费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＝建筑面积×取费标准</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259.75</w:t>
      </w:r>
      <w:r>
        <w:rPr>
          <w:rFonts w:hint="eastAsia" w:ascii="Arial" w:hAnsi="Arial" w:eastAsia="仿宋_GB2312" w:cs="Arial"/>
          <w:sz w:val="28"/>
          <w:highlight w:val="none"/>
        </w:rPr>
        <w:t>×200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5.1950</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（E）相关税费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主要包括有关税收和地方政府或其他有关部门收取的费用，如工程监理费、竣工验收费、绿化建设费、人防工程费等；根据估价对象所处区域的一般情况，并结合估价对象的实际情况，按建安费用的1.5%取费，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相关税费＝建安费用×取费标准＝</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×1.5%＝</w:t>
      </w:r>
      <w:r>
        <w:rPr>
          <w:rFonts w:hint="eastAsia" w:ascii="Arial" w:hAnsi="Arial" w:eastAsia="仿宋_GB2312" w:cs="Arial"/>
          <w:sz w:val="28"/>
          <w:highlight w:val="none"/>
          <w:lang w:val="en-US" w:eastAsia="zh-CN"/>
        </w:rPr>
        <w:t>1.3637</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（F）建造成本</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建造成本为上述5项之和，则有：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w:t>
      </w:r>
      <w:r>
        <w:rPr>
          <w:rFonts w:hint="eastAsia" w:ascii="Arial" w:hAnsi="Arial" w:eastAsia="仿宋_GB2312" w:cs="Arial"/>
          <w:sz w:val="28"/>
          <w:highlight w:val="none"/>
          <w:lang w:val="en-US" w:eastAsia="zh-CN"/>
        </w:rPr>
        <w:t>90.9125</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2.7274</w:t>
      </w:r>
      <w:r>
        <w:rPr>
          <w:rFonts w:hint="eastAsia" w:ascii="Arial" w:hAnsi="Arial" w:eastAsia="仿宋_GB2312" w:cs="Arial"/>
          <w:sz w:val="28"/>
          <w:highlight w:val="none"/>
        </w:rPr>
        <w:t>＋0＋</w:t>
      </w:r>
      <w:r>
        <w:rPr>
          <w:rFonts w:hint="eastAsia" w:ascii="Arial" w:hAnsi="Arial" w:eastAsia="仿宋_GB2312" w:cs="Arial"/>
          <w:sz w:val="28"/>
          <w:highlight w:val="none"/>
          <w:lang w:val="en-US" w:eastAsia="zh-CN"/>
        </w:rPr>
        <w:t>5.1950</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1.3637</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B.管理费用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是房地产开发商为组织和管理房地产开发经营活动的必要支出，主要包括人员工资、办公费、差旅费等，根据估价对象所处区域房地产开发市场的一般情况，并结合估价对象的实际情况，按照建造成本的1%计算，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管理费用</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＝建造成本×取费标准</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×1%</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C.贷款利息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估价对象建筑物建设期为1年。建造成本、管理费用于建设期内均匀投入，取0～1年期固定资产贷款年利息率4.35%，以单利计息。则有：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贷款利息</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)×4.35%×1/2</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2.2011</w:t>
      </w:r>
      <w:r>
        <w:rPr>
          <w:rFonts w:hint="eastAsia" w:ascii="Arial" w:hAnsi="Arial" w:eastAsia="仿宋_GB2312" w:cs="Arial"/>
          <w:sz w:val="28"/>
          <w:highlight w:val="none"/>
        </w:rPr>
        <w:t>（万元）</w:t>
      </w:r>
    </w:p>
    <w:p>
      <w:pPr>
        <w:spacing w:line="360" w:lineRule="auto"/>
        <w:ind w:firstLine="560" w:firstLineChars="200"/>
        <w:jc w:val="both"/>
        <w:rPr>
          <w:rFonts w:ascii="仿宋_GB2312" w:eastAsia="仿宋_GB2312"/>
          <w:sz w:val="28"/>
          <w:highlight w:val="none"/>
        </w:rPr>
      </w:pPr>
      <w:r>
        <w:rPr>
          <w:rFonts w:hint="eastAsia" w:ascii="Arial" w:hAnsi="Arial" w:eastAsia="仿宋_GB2312"/>
          <w:sz w:val="28"/>
          <w:highlight w:val="none"/>
        </w:rPr>
        <w:t>D.</w:t>
      </w:r>
      <w:r>
        <w:rPr>
          <w:rFonts w:hint="eastAsia" w:ascii="仿宋_GB2312" w:eastAsia="仿宋_GB2312"/>
          <w:sz w:val="28"/>
          <w:highlight w:val="none"/>
        </w:rPr>
        <w:t>开发利润（投资利润）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估价对象位于北京市密云区西门外大街，为住宅配套商业项目，周边同类、同体量项目的开发利润经调查可知，利润率一般在20%～25%之间，计算基数为建造成本及管理费用，依前述计算，本次评估取综合利润率为20%。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开发利润</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）×20%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20.2401</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E.房屋现值</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房屋现值为房屋重置成新价乘以成新率计算。房屋重置成新价为建造成本、管理费用、利息（不含地价及购地税费产生的利息）、利润（不含地价及购地税费产生的利润）之和。则有：</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房屋重置成新价＝</w:t>
      </w:r>
      <w:r>
        <w:rPr>
          <w:rFonts w:hint="eastAsia" w:ascii="Arial" w:hAnsi="Arial" w:eastAsia="仿宋_GB2312" w:cs="Arial"/>
          <w:sz w:val="28"/>
          <w:highlight w:val="none"/>
          <w:lang w:eastAsia="zh-CN"/>
        </w:rPr>
        <w:t>100.1986</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1.0020</w:t>
      </w:r>
      <w:r>
        <w:rPr>
          <w:rFonts w:hint="eastAsia" w:ascii="Arial" w:hAnsi="Arial" w:eastAsia="仿宋_GB2312" w:cs="Arial"/>
          <w:sz w:val="28"/>
          <w:highlight w:val="none"/>
        </w:rPr>
        <w:t>+</w:t>
      </w:r>
      <w:r>
        <w:rPr>
          <w:rFonts w:hint="eastAsia" w:ascii="Arial" w:hAnsi="Arial" w:eastAsia="仿宋_GB2312" w:cs="Arial"/>
          <w:sz w:val="28"/>
          <w:highlight w:val="none"/>
          <w:lang w:val="en-US" w:eastAsia="zh-CN"/>
        </w:rPr>
        <w:t>2.2011</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20.2401</w:t>
      </w:r>
      <w:r>
        <w:rPr>
          <w:rFonts w:hint="eastAsia" w:ascii="Arial" w:hAnsi="Arial" w:eastAsia="仿宋_GB2312" w:cs="Arial"/>
          <w:sz w:val="28"/>
          <w:highlight w:val="none"/>
        </w:rPr>
        <w:t>＝</w:t>
      </w:r>
      <w:r>
        <w:rPr>
          <w:rFonts w:hint="eastAsia" w:ascii="Arial" w:hAnsi="Arial" w:eastAsia="仿宋_GB2312" w:cs="Arial"/>
          <w:sz w:val="28"/>
          <w:highlight w:val="none"/>
          <w:lang w:eastAsia="zh-CN"/>
        </w:rPr>
        <w:t>123.6418</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评估专业人员实地查勘，估价对象围护墙完好；地面、墙面较平整；门窗开启关闭灵活；设备、管道通畅，水卫、电照设备完好，维护情况良好。结合估价对象的建成年代、建筑结构，采用直线折旧法计算估价对象的成新度为：</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成新度＝1-（1-残值率）×已经使用年限÷经济耐用年限＝1-（1-0%）×18÷60＝70%</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房屋现值＝房屋重置成新价×成新率＝</w:t>
      </w:r>
      <w:r>
        <w:rPr>
          <w:rFonts w:hint="eastAsia" w:ascii="Arial" w:hAnsi="Arial" w:eastAsia="仿宋_GB2312" w:cs="Arial"/>
          <w:sz w:val="28"/>
          <w:highlight w:val="none"/>
          <w:lang w:eastAsia="zh-CN"/>
        </w:rPr>
        <w:t>123.6418</w:t>
      </w:r>
      <w:r>
        <w:rPr>
          <w:rFonts w:hint="eastAsia" w:ascii="Arial" w:hAnsi="Arial" w:eastAsia="仿宋_GB2312" w:cs="Arial"/>
          <w:sz w:val="28"/>
          <w:highlight w:val="none"/>
        </w:rPr>
        <w:t>×70%＝</w:t>
      </w:r>
      <w:r>
        <w:rPr>
          <w:rFonts w:hint="eastAsia" w:ascii="Arial" w:hAnsi="Arial" w:eastAsia="仿宋_GB2312" w:cs="Arial"/>
          <w:sz w:val="28"/>
          <w:highlight w:val="none"/>
          <w:lang w:eastAsia="zh-CN"/>
        </w:rPr>
        <w:t>86.5493</w:t>
      </w:r>
      <w:r>
        <w:rPr>
          <w:rFonts w:hint="eastAsia" w:ascii="Arial" w:hAnsi="Arial" w:eastAsia="仿宋_GB2312" w:cs="Arial"/>
          <w:sz w:val="28"/>
          <w:highlight w:val="none"/>
        </w:rPr>
        <w:t>（万元）</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7.相关税费</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（1）增值税及附加</w:t>
      </w:r>
    </w:p>
    <w:p>
      <w:pPr>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根据国家及北京市相关规定，增值税及附加（城市维护建设税、教育费附加及地方教育附加）税率合计为5.5%（其中增值税征收率为5%，附加税费为0.5%）。由于增值税的计税销售额为不含税销售额，故以估价对象不动产总价扣除增值税税额为基数计缴。则有：</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销售税费＝</w:t>
      </w:r>
      <w:r>
        <w:rPr>
          <w:rFonts w:hint="eastAsia" w:ascii="Arial" w:hAnsi="Arial" w:eastAsia="仿宋_GB2312" w:cs="Arial"/>
          <w:sz w:val="28"/>
          <w:highlight w:val="none"/>
          <w:lang w:val="en-US" w:eastAsia="zh-CN"/>
        </w:rPr>
        <w:t>611.1398</w:t>
      </w:r>
      <w:r>
        <w:rPr>
          <w:rFonts w:hint="eastAsia" w:ascii="楷体_GB2312" w:hAnsi="楷体" w:eastAsia="楷体_GB2312"/>
          <w:sz w:val="28"/>
          <w:highlight w:val="none"/>
        </w:rPr>
        <w:t>÷（</w:t>
      </w:r>
      <w:r>
        <w:rPr>
          <w:rFonts w:hint="eastAsia" w:ascii="Arial" w:hAnsi="Arial" w:eastAsia="楷体_GB2312"/>
          <w:sz w:val="28"/>
          <w:highlight w:val="none"/>
        </w:rPr>
        <w:t>1</w:t>
      </w:r>
      <w:r>
        <w:rPr>
          <w:rFonts w:hint="eastAsia" w:ascii="楷体_GB2312" w:hAnsi="楷体" w:eastAsia="楷体_GB2312"/>
          <w:sz w:val="28"/>
          <w:highlight w:val="none"/>
        </w:rPr>
        <w:t>+</w:t>
      </w:r>
      <w:r>
        <w:rPr>
          <w:rFonts w:hint="eastAsia" w:ascii="Arial" w:hAnsi="Arial" w:eastAsia="楷体_GB2312"/>
          <w:sz w:val="28"/>
          <w:highlight w:val="none"/>
        </w:rPr>
        <w:t>5</w:t>
      </w:r>
      <w:r>
        <w:rPr>
          <w:rFonts w:hint="eastAsia" w:ascii="Arial" w:hAnsi="Arial" w:eastAsia="仿宋_GB2312" w:cs="Arial"/>
          <w:sz w:val="28"/>
          <w:highlight w:val="none"/>
        </w:rPr>
        <w:t>%</w:t>
      </w:r>
      <w:r>
        <w:rPr>
          <w:rFonts w:hint="eastAsia" w:ascii="楷体_GB2312" w:hAnsi="楷体" w:eastAsia="楷体_GB2312"/>
          <w:sz w:val="28"/>
          <w:highlight w:val="none"/>
        </w:rPr>
        <w:t>）</w:t>
      </w:r>
      <w:r>
        <w:rPr>
          <w:rFonts w:hint="eastAsia" w:ascii="Arial" w:hAnsi="Arial" w:eastAsia="仿宋_GB2312" w:cs="Arial"/>
          <w:sz w:val="28"/>
          <w:highlight w:val="none"/>
        </w:rPr>
        <w:t>×</w:t>
      </w:r>
      <w:r>
        <w:rPr>
          <w:rFonts w:ascii="Arial" w:hAnsi="Arial" w:eastAsia="仿宋_GB2312" w:cs="Arial"/>
          <w:sz w:val="28"/>
          <w:highlight w:val="none"/>
        </w:rPr>
        <w:t>5.</w:t>
      </w:r>
      <w:r>
        <w:rPr>
          <w:rFonts w:hint="eastAsia" w:ascii="Arial" w:hAnsi="Arial" w:eastAsia="仿宋_GB2312" w:cs="Arial"/>
          <w:sz w:val="28"/>
          <w:highlight w:val="none"/>
        </w:rPr>
        <w:t>5</w:t>
      </w:r>
      <w:r>
        <w:rPr>
          <w:rFonts w:ascii="Arial" w:hAnsi="Arial" w:eastAsia="仿宋_GB2312" w:cs="Arial"/>
          <w:sz w:val="28"/>
          <w:highlight w:val="none"/>
        </w:rPr>
        <w:t>%＝</w:t>
      </w:r>
      <w:r>
        <w:rPr>
          <w:rFonts w:hint="eastAsia" w:ascii="Arial" w:hAnsi="Arial" w:eastAsia="仿宋_GB2312" w:cs="Arial"/>
          <w:sz w:val="28"/>
          <w:highlight w:val="none"/>
          <w:lang w:eastAsia="zh-CN"/>
        </w:rPr>
        <w:t>32.0121</w:t>
      </w:r>
      <w:r>
        <w:rPr>
          <w:rFonts w:ascii="Arial" w:hAnsi="Arial" w:eastAsia="仿宋_GB2312" w:cs="Arial"/>
          <w:sz w:val="28"/>
          <w:highlight w:val="none"/>
        </w:rPr>
        <w:t>（万元）</w:t>
      </w:r>
    </w:p>
    <w:p>
      <w:pPr>
        <w:spacing w:line="360" w:lineRule="auto"/>
        <w:ind w:firstLine="562" w:firstLineChars="201"/>
        <w:jc w:val="both"/>
        <w:rPr>
          <w:rFonts w:ascii="仿宋_GB2312" w:hAnsi="Arial" w:eastAsia="仿宋_GB2312"/>
          <w:sz w:val="28"/>
          <w:highlight w:val="none"/>
        </w:rPr>
      </w:pPr>
      <w:r>
        <w:rPr>
          <w:rFonts w:hint="eastAsia" w:ascii="Arial" w:hAnsi="Arial" w:eastAsia="仿宋_GB2312"/>
          <w:sz w:val="28"/>
          <w:highlight w:val="none"/>
        </w:rPr>
        <w:t>（</w:t>
      </w:r>
      <w:r>
        <w:rPr>
          <w:rFonts w:hint="eastAsia" w:ascii="仿宋_GB2312" w:hAnsi="Arial" w:eastAsia="仿宋_GB2312"/>
          <w:sz w:val="28"/>
          <w:highlight w:val="none"/>
        </w:rPr>
        <w:t>2）销售费用</w:t>
      </w:r>
    </w:p>
    <w:p>
      <w:pPr>
        <w:spacing w:line="360" w:lineRule="auto"/>
        <w:ind w:firstLine="562" w:firstLineChars="201"/>
        <w:jc w:val="both"/>
        <w:rPr>
          <w:rFonts w:ascii="仿宋_GB2312" w:hAnsi="Arial" w:eastAsia="仿宋_GB2312"/>
          <w:sz w:val="28"/>
          <w:highlight w:val="none"/>
        </w:rPr>
      </w:pPr>
      <w:r>
        <w:rPr>
          <w:rFonts w:hint="eastAsia" w:ascii="仿宋_GB2312" w:hAnsi="Arial" w:eastAsia="仿宋_GB2312"/>
          <w:sz w:val="28"/>
          <w:highlight w:val="none"/>
        </w:rPr>
        <w:t>销售费用指预售或销售房地产的必要支出，包括广告费、销售资料制作费、样板房或样板间建设费、售楼处建设费、销售人员费或者销售代理费等。销售费用通常按照</w:t>
      </w:r>
      <w:r>
        <w:rPr>
          <w:rFonts w:hint="eastAsia" w:ascii="仿宋_GB2312" w:eastAsia="仿宋_GB2312"/>
          <w:sz w:val="28"/>
          <w:highlight w:val="none"/>
        </w:rPr>
        <w:t>售价（即不动产总价）</w:t>
      </w:r>
      <w:r>
        <w:rPr>
          <w:rFonts w:hint="eastAsia" w:ascii="仿宋_GB2312" w:hAnsi="Arial" w:eastAsia="仿宋_GB2312"/>
          <w:sz w:val="28"/>
          <w:highlight w:val="none"/>
        </w:rPr>
        <w:t>的一定比例来测算。</w:t>
      </w:r>
      <w:r>
        <w:rPr>
          <w:rFonts w:hint="eastAsia" w:ascii="仿宋_GB2312" w:eastAsia="仿宋_GB2312"/>
          <w:sz w:val="28"/>
          <w:highlight w:val="none"/>
        </w:rPr>
        <w:t>结合项目特点及市场客观水平</w:t>
      </w:r>
      <w:r>
        <w:rPr>
          <w:rFonts w:hint="eastAsia" w:ascii="仿宋_GB2312" w:hAnsi="Arial" w:eastAsia="仿宋_GB2312"/>
          <w:sz w:val="28"/>
          <w:highlight w:val="none"/>
        </w:rPr>
        <w:t>，确定销售费用按</w:t>
      </w:r>
      <w:r>
        <w:rPr>
          <w:rFonts w:hint="eastAsia" w:ascii="仿宋_GB2312" w:eastAsia="仿宋_GB2312"/>
          <w:sz w:val="28"/>
          <w:highlight w:val="none"/>
        </w:rPr>
        <w:t>不动产总价</w:t>
      </w:r>
      <w:r>
        <w:rPr>
          <w:rFonts w:hint="eastAsia" w:ascii="仿宋_GB2312" w:hAnsi="Arial" w:eastAsia="仿宋_GB2312"/>
          <w:sz w:val="28"/>
          <w:highlight w:val="none"/>
        </w:rPr>
        <w:t>的</w:t>
      </w:r>
      <w:r>
        <w:rPr>
          <w:rFonts w:hint="eastAsia" w:ascii="Arial" w:hAnsi="Arial" w:eastAsia="仿宋_GB2312"/>
          <w:sz w:val="28"/>
          <w:highlight w:val="none"/>
        </w:rPr>
        <w:t>1</w:t>
      </w:r>
      <w:r>
        <w:rPr>
          <w:rFonts w:ascii="Arial" w:hAnsi="Arial" w:eastAsia="仿宋_GB2312" w:cs="Arial"/>
          <w:sz w:val="28"/>
          <w:highlight w:val="none"/>
        </w:rPr>
        <w:t>%</w:t>
      </w:r>
      <w:r>
        <w:rPr>
          <w:rFonts w:hint="eastAsia" w:ascii="仿宋_GB2312" w:hAnsi="Arial" w:eastAsia="仿宋_GB2312"/>
          <w:sz w:val="28"/>
          <w:highlight w:val="none"/>
        </w:rPr>
        <w:t>计算。</w:t>
      </w:r>
    </w:p>
    <w:p>
      <w:pPr>
        <w:spacing w:line="360" w:lineRule="auto"/>
        <w:ind w:firstLine="562" w:firstLineChars="201"/>
        <w:jc w:val="both"/>
        <w:rPr>
          <w:rFonts w:ascii="Arial" w:hAnsi="Arial" w:eastAsia="仿宋_GB2312" w:cs="Arial"/>
          <w:sz w:val="28"/>
          <w:highlight w:val="none"/>
        </w:rPr>
      </w:pPr>
      <w:r>
        <w:rPr>
          <w:rFonts w:hint="eastAsia" w:ascii="Arial" w:hAnsi="Arial" w:eastAsia="仿宋_GB2312" w:cs="Arial"/>
          <w:sz w:val="28"/>
          <w:highlight w:val="none"/>
        </w:rPr>
        <w:t>销售费用</w:t>
      </w:r>
      <w:r>
        <w:rPr>
          <w:rFonts w:hint="eastAsia" w:ascii="仿宋_GB2312" w:eastAsia="仿宋_GB2312"/>
          <w:sz w:val="28"/>
          <w:highlight w:val="none"/>
        </w:rPr>
        <w:t>＝</w:t>
      </w:r>
      <w:r>
        <w:rPr>
          <w:rFonts w:hint="eastAsia" w:ascii="Arial" w:hAnsi="Arial" w:eastAsia="仿宋_GB2312" w:cs="Arial"/>
          <w:sz w:val="28"/>
          <w:highlight w:val="none"/>
          <w:lang w:val="en-US" w:eastAsia="zh-CN"/>
        </w:rPr>
        <w:t>611.1398</w:t>
      </w:r>
      <w:r>
        <w:rPr>
          <w:rFonts w:ascii="Arial" w:hAnsi="Arial" w:eastAsia="仿宋_GB2312" w:cs="Arial"/>
          <w:sz w:val="28"/>
          <w:highlight w:val="none"/>
        </w:rPr>
        <w:t>×</w:t>
      </w:r>
      <w:r>
        <w:rPr>
          <w:rFonts w:hint="eastAsia" w:ascii="Arial" w:hAnsi="Arial" w:eastAsia="仿宋_GB2312" w:cs="Arial"/>
          <w:sz w:val="28"/>
          <w:highlight w:val="none"/>
        </w:rPr>
        <w:t>1</w:t>
      </w:r>
      <w:r>
        <w:rPr>
          <w:rFonts w:ascii="Arial" w:hAnsi="Arial" w:eastAsia="仿宋_GB2312" w:cs="Arial"/>
          <w:sz w:val="28"/>
          <w:highlight w:val="none"/>
        </w:rPr>
        <w:t>%</w:t>
      </w:r>
      <w:r>
        <w:rPr>
          <w:rFonts w:hint="eastAsia" w:ascii="仿宋_GB2312" w:eastAsia="仿宋_GB2312"/>
          <w:sz w:val="28"/>
          <w:highlight w:val="none"/>
        </w:rPr>
        <w:t>＝</w:t>
      </w:r>
      <w:r>
        <w:rPr>
          <w:rFonts w:hint="eastAsia" w:ascii="Arial" w:hAnsi="Arial" w:eastAsia="仿宋_GB2312" w:cs="Arial"/>
          <w:sz w:val="28"/>
          <w:highlight w:val="none"/>
          <w:lang w:val="en-US" w:eastAsia="zh-CN"/>
        </w:rPr>
        <w:t>6.1114</w:t>
      </w:r>
      <w:r>
        <w:rPr>
          <w:rFonts w:hint="eastAsia" w:ascii="Arial" w:hAnsi="Arial" w:eastAsia="仿宋_GB2312" w:cs="Arial"/>
          <w:sz w:val="28"/>
          <w:highlight w:val="none"/>
        </w:rPr>
        <w:t>（万元）</w:t>
      </w:r>
    </w:p>
    <w:p>
      <w:pPr>
        <w:spacing w:line="360" w:lineRule="auto"/>
        <w:ind w:firstLine="560" w:firstLineChars="200"/>
        <w:jc w:val="both"/>
        <w:rPr>
          <w:rFonts w:ascii="Arial" w:hAnsi="Arial" w:eastAsia="仿宋_GB2312"/>
          <w:sz w:val="28"/>
          <w:highlight w:val="none"/>
        </w:rPr>
      </w:pPr>
      <w:r>
        <w:rPr>
          <w:rFonts w:hint="eastAsia" w:ascii="Arial" w:hAnsi="Arial" w:eastAsia="仿宋_GB2312"/>
          <w:sz w:val="28"/>
          <w:highlight w:val="none"/>
        </w:rPr>
        <w:t>（3）购地税费</w:t>
      </w:r>
    </w:p>
    <w:p>
      <w:pPr>
        <w:spacing w:line="360" w:lineRule="auto"/>
        <w:ind w:firstLine="560" w:firstLineChars="200"/>
        <w:jc w:val="both"/>
        <w:rPr>
          <w:rFonts w:ascii="Arial" w:hAnsi="Arial" w:eastAsia="仿宋_GB2312"/>
          <w:sz w:val="28"/>
          <w:highlight w:val="none"/>
        </w:rPr>
      </w:pPr>
      <w:r>
        <w:rPr>
          <w:rFonts w:hint="eastAsia" w:ascii="仿宋_GB2312" w:eastAsia="仿宋_GB2312"/>
          <w:color w:val="000000"/>
          <w:sz w:val="28"/>
          <w:highlight w:val="none"/>
        </w:rPr>
        <w:t>估价对象税费主要为契税及印花税，税率为</w:t>
      </w:r>
      <w:r>
        <w:rPr>
          <w:rFonts w:hint="eastAsia" w:ascii="Arial" w:hAnsi="Arial" w:eastAsia="仿宋_GB2312"/>
          <w:color w:val="000000"/>
          <w:sz w:val="28"/>
          <w:highlight w:val="none"/>
        </w:rPr>
        <w:t>3</w:t>
      </w:r>
      <w:r>
        <w:rPr>
          <w:rFonts w:hint="eastAsia" w:ascii="仿宋_GB2312" w:eastAsia="仿宋_GB2312"/>
          <w:color w:val="000000"/>
          <w:sz w:val="28"/>
          <w:highlight w:val="none"/>
        </w:rPr>
        <w:t>.</w:t>
      </w:r>
      <w:r>
        <w:rPr>
          <w:rFonts w:hint="eastAsia" w:ascii="Arial" w:hAnsi="Arial" w:eastAsia="仿宋_GB2312"/>
          <w:color w:val="000000"/>
          <w:sz w:val="28"/>
          <w:highlight w:val="none"/>
        </w:rPr>
        <w:t>05</w:t>
      </w:r>
      <w:r>
        <w:rPr>
          <w:rFonts w:hint="eastAsia" w:ascii="仿宋_GB2312" w:eastAsia="仿宋_GB2312"/>
          <w:color w:val="000000"/>
          <w:sz w:val="28"/>
          <w:highlight w:val="none"/>
        </w:rPr>
        <w:t>%。</w:t>
      </w:r>
    </w:p>
    <w:p>
      <w:pPr>
        <w:spacing w:line="360" w:lineRule="auto"/>
        <w:ind w:firstLine="560" w:firstLineChars="200"/>
        <w:jc w:val="both"/>
        <w:rPr>
          <w:rFonts w:ascii="仿宋_GB2312" w:eastAsia="仿宋_GB2312"/>
          <w:sz w:val="28"/>
          <w:highlight w:val="none"/>
        </w:rPr>
      </w:pPr>
      <w:r>
        <w:rPr>
          <w:rFonts w:hint="eastAsia" w:ascii="Arial" w:hAnsi="Arial" w:eastAsia="仿宋_GB2312"/>
          <w:sz w:val="28"/>
          <w:highlight w:val="none"/>
        </w:rPr>
        <w:t>8.</w:t>
      </w:r>
      <w:r>
        <w:rPr>
          <w:rFonts w:hint="eastAsia" w:ascii="仿宋_GB2312" w:eastAsia="仿宋_GB2312"/>
          <w:sz w:val="28"/>
          <w:highlight w:val="none"/>
        </w:rPr>
        <w:t>求取估价对象首层土地价格</w:t>
      </w:r>
    </w:p>
    <w:p>
      <w:pPr>
        <w:spacing w:line="360" w:lineRule="auto"/>
        <w:ind w:firstLine="600" w:firstLineChars="200"/>
        <w:jc w:val="both"/>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ascii="Arial" w:hAnsi="Arial" w:eastAsia="仿宋_GB2312" w:cs="Arial"/>
          <w:spacing w:val="10"/>
          <w:sz w:val="28"/>
          <w:highlight w:val="none"/>
        </w:rPr>
        <w:t>）</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＝(不动产交易价格-房屋现值-销售税费-销售费用)</w:t>
      </w:r>
      <w:r>
        <w:rPr>
          <w:rFonts w:hint="eastAsia" w:ascii="楷体_GB2312" w:hAnsi="楷体" w:eastAsia="楷体_GB2312"/>
          <w:sz w:val="28"/>
          <w:highlight w:val="none"/>
        </w:rPr>
        <w:t>÷</w:t>
      </w:r>
      <w:r>
        <w:rPr>
          <w:rFonts w:ascii="Arial" w:hAnsi="Arial" w:eastAsia="仿宋_GB2312" w:cs="Arial"/>
          <w:sz w:val="28"/>
          <w:highlight w:val="none"/>
        </w:rPr>
        <w:t>[(1+管理费率+投资利润率+利息率)×(1+契税及印花税率)]</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611.1398</w:t>
      </w:r>
      <w:r>
        <w:rPr>
          <w:rFonts w:ascii="Arial" w:hAnsi="Arial" w:eastAsia="仿宋_GB2312" w:cs="Arial"/>
          <w:sz w:val="28"/>
          <w:highlight w:val="none"/>
        </w:rPr>
        <w:t>-</w:t>
      </w:r>
      <w:r>
        <w:rPr>
          <w:rFonts w:hint="eastAsia" w:ascii="Arial" w:hAnsi="Arial" w:eastAsia="仿宋_GB2312" w:cs="Arial"/>
          <w:sz w:val="28"/>
          <w:highlight w:val="none"/>
          <w:lang w:eastAsia="zh-CN"/>
        </w:rPr>
        <w:t>86.5493</w:t>
      </w:r>
      <w:r>
        <w:rPr>
          <w:rFonts w:ascii="Arial" w:hAnsi="Arial" w:eastAsia="仿宋_GB2312" w:cs="Arial"/>
          <w:sz w:val="28"/>
          <w:highlight w:val="none"/>
        </w:rPr>
        <w:t>-</w:t>
      </w:r>
      <w:r>
        <w:rPr>
          <w:rFonts w:hint="eastAsia" w:ascii="Arial" w:hAnsi="Arial" w:eastAsia="仿宋_GB2312" w:cs="Arial"/>
          <w:sz w:val="28"/>
          <w:highlight w:val="none"/>
          <w:lang w:eastAsia="zh-CN"/>
        </w:rPr>
        <w:t>32.0121</w:t>
      </w:r>
      <w:r>
        <w:rPr>
          <w:rFonts w:ascii="Arial" w:hAnsi="Arial" w:eastAsia="仿宋_GB2312" w:cs="Arial"/>
          <w:sz w:val="28"/>
          <w:highlight w:val="none"/>
        </w:rPr>
        <w:t>-</w:t>
      </w:r>
      <w:r>
        <w:rPr>
          <w:rFonts w:hint="eastAsia" w:ascii="Arial" w:hAnsi="Arial" w:eastAsia="仿宋_GB2312" w:cs="Arial"/>
          <w:sz w:val="28"/>
          <w:highlight w:val="none"/>
          <w:lang w:val="en-US" w:eastAsia="zh-CN"/>
        </w:rPr>
        <w:t>6.1114</w:t>
      </w:r>
      <w:r>
        <w:rPr>
          <w:rFonts w:ascii="Arial" w:hAnsi="Arial" w:eastAsia="仿宋_GB2312" w:cs="Arial"/>
          <w:sz w:val="28"/>
          <w:highlight w:val="none"/>
        </w:rPr>
        <w:t>)</w:t>
      </w:r>
      <w:r>
        <w:rPr>
          <w:rFonts w:hint="eastAsia" w:ascii="楷体_GB2312" w:hAnsi="楷体" w:eastAsia="楷体_GB2312"/>
          <w:sz w:val="28"/>
          <w:highlight w:val="none"/>
        </w:rPr>
        <w:t>÷</w:t>
      </w:r>
      <w:r>
        <w:rPr>
          <w:rFonts w:ascii="Arial" w:hAnsi="Arial" w:eastAsia="仿宋_GB2312" w:cs="Arial"/>
          <w:sz w:val="28"/>
          <w:highlight w:val="none"/>
        </w:rPr>
        <w:t>[(1+0+20%+4.</w:t>
      </w:r>
      <w:r>
        <w:rPr>
          <w:rFonts w:hint="eastAsia" w:ascii="Arial" w:hAnsi="Arial" w:eastAsia="仿宋_GB2312" w:cs="Arial"/>
          <w:sz w:val="28"/>
          <w:highlight w:val="none"/>
        </w:rPr>
        <w:t>3</w:t>
      </w:r>
      <w:r>
        <w:rPr>
          <w:rFonts w:ascii="Arial" w:hAnsi="Arial" w:eastAsia="仿宋_GB2312" w:cs="Arial"/>
          <w:sz w:val="28"/>
          <w:highlight w:val="none"/>
        </w:rPr>
        <w:t>5%)</w:t>
      </w:r>
    </w:p>
    <w:p>
      <w:pPr>
        <w:spacing w:line="36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×(1+3.05%)]</w:t>
      </w:r>
    </w:p>
    <w:p>
      <w:pPr>
        <w:spacing w:line="36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w:t>
      </w:r>
      <w:r>
        <w:rPr>
          <w:rFonts w:hint="eastAsia" w:ascii="Arial" w:hAnsi="Arial" w:eastAsia="仿宋_GB2312" w:cs="Arial"/>
          <w:sz w:val="28"/>
          <w:highlight w:val="none"/>
          <w:lang w:eastAsia="zh-CN"/>
        </w:rPr>
        <w:t>379.6292</w:t>
      </w:r>
      <w:r>
        <w:rPr>
          <w:rFonts w:hint="eastAsia" w:ascii="Arial" w:hAnsi="Arial" w:eastAsia="仿宋_GB2312" w:cs="Arial"/>
          <w:sz w:val="28"/>
          <w:highlight w:val="none"/>
        </w:rPr>
        <w:t>（万元）</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9.求取估价对象土地价格</w:t>
      </w:r>
    </w:p>
    <w:p>
      <w:pPr>
        <w:autoSpaceDE w:val="0"/>
        <w:autoSpaceDN w:val="0"/>
        <w:snapToGrid w:val="0"/>
        <w:spacing w:line="300" w:lineRule="auto"/>
        <w:ind w:firstLine="540"/>
        <w:jc w:val="both"/>
        <w:textAlignment w:val="bottom"/>
        <w:rPr>
          <w:rFonts w:ascii="Arial" w:hAnsi="Arial" w:eastAsia="仿宋" w:cs="Arial"/>
          <w:sz w:val="28"/>
          <w:highlight w:val="none"/>
        </w:rPr>
      </w:pPr>
      <w:r>
        <w:rPr>
          <w:rFonts w:hint="eastAsia" w:ascii="Arial" w:hAnsi="Arial" w:eastAsia="仿宋_GB2312" w:cs="Arial"/>
          <w:spacing w:val="10"/>
          <w:sz w:val="28"/>
          <w:highlight w:val="none"/>
        </w:rPr>
        <w:t>根据</w:t>
      </w:r>
      <w:r>
        <w:rPr>
          <w:rFonts w:ascii="Arial" w:hAnsi="Arial" w:eastAsia="仿宋" w:cs="Arial"/>
          <w:sz w:val="28"/>
          <w:highlight w:val="none"/>
        </w:rPr>
        <w:t>《北京市人民政府关于调整本市出让国有土地使用权基准地价的通知》[京政发（2002）32号]</w:t>
      </w:r>
      <w:r>
        <w:rPr>
          <w:rFonts w:hint="eastAsia" w:ascii="Arial" w:hAnsi="Arial" w:eastAsia="仿宋" w:cs="Arial"/>
          <w:sz w:val="28"/>
          <w:highlight w:val="none"/>
        </w:rPr>
        <w:t>公布的《商业用途楼层修正系数表》，首层商业的楼层修正系数为1.5418，</w:t>
      </w:r>
      <w:r>
        <w:rPr>
          <w:rFonts w:hint="eastAsia" w:ascii="Arial" w:hAnsi="Arial" w:eastAsia="仿宋" w:cs="Arial"/>
          <w:sz w:val="28"/>
          <w:highlight w:val="none"/>
          <w:lang w:val="en-US" w:eastAsia="zh-CN"/>
        </w:rPr>
        <w:t>6</w:t>
      </w:r>
      <w:r>
        <w:rPr>
          <w:rFonts w:hint="eastAsia" w:ascii="Arial" w:hAnsi="Arial" w:eastAsia="仿宋" w:cs="Arial"/>
          <w:sz w:val="28"/>
          <w:highlight w:val="none"/>
        </w:rPr>
        <w:t>层商业的楼层修正系数为0.7353，故估价对象土地价格为：</w:t>
      </w:r>
    </w:p>
    <w:p>
      <w:pPr>
        <w:spacing w:line="360" w:lineRule="auto"/>
        <w:ind w:firstLine="600" w:firstLineChars="200"/>
        <w:jc w:val="both"/>
        <w:rPr>
          <w:rFonts w:ascii="Arial" w:hAnsi="Arial" w:eastAsia="仿宋_GB2312" w:cs="Arial"/>
          <w:spacing w:val="10"/>
          <w:sz w:val="28"/>
          <w:highlight w:val="none"/>
        </w:rPr>
      </w:pPr>
      <w:r>
        <w:rPr>
          <w:rFonts w:ascii="Arial" w:hAnsi="Arial" w:eastAsia="仿宋_GB2312" w:cs="Arial"/>
          <w:spacing w:val="10"/>
          <w:sz w:val="28"/>
          <w:highlight w:val="none"/>
        </w:rPr>
        <w:t>土地价格（</w:t>
      </w:r>
      <w:r>
        <w:rPr>
          <w:rFonts w:ascii="Arial" w:hAnsi="Arial" w:eastAsia="仿宋_GB2312" w:cs="Arial"/>
          <w:color w:val="000000"/>
          <w:sz w:val="28"/>
          <w:highlight w:val="none"/>
        </w:rPr>
        <w:t>P</w:t>
      </w:r>
      <w:r>
        <w:rPr>
          <w:rFonts w:hint="eastAsia" w:ascii="Arial" w:hAnsi="Arial" w:eastAsia="仿宋_GB2312" w:cs="Arial"/>
          <w:color w:val="000000"/>
          <w:sz w:val="28"/>
          <w:highlight w:val="none"/>
          <w:vertAlign w:val="subscript"/>
        </w:rPr>
        <w:t>土</w:t>
      </w:r>
      <w:r>
        <w:rPr>
          <w:rFonts w:ascii="Arial" w:hAnsi="Arial" w:eastAsia="仿宋_GB2312" w:cs="Arial"/>
          <w:spacing w:val="10"/>
          <w:sz w:val="28"/>
          <w:highlight w:val="none"/>
        </w:rPr>
        <w:t>）</w:t>
      </w: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eastAsia="zh-CN"/>
        </w:rPr>
        <w:t>379.6292</w:t>
      </w:r>
      <w:r>
        <w:rPr>
          <w:rFonts w:hint="eastAsia" w:ascii="Arial" w:hAnsi="Arial" w:eastAsia="仿宋_GB2312" w:cs="Arial"/>
          <w:spacing w:val="10"/>
          <w:sz w:val="28"/>
          <w:highlight w:val="none"/>
        </w:rPr>
        <w:t>×0</w:t>
      </w:r>
      <w:r>
        <w:rPr>
          <w:rFonts w:hint="eastAsia" w:ascii="Arial" w:hAnsi="Arial" w:eastAsia="仿宋" w:cs="Arial"/>
          <w:sz w:val="28"/>
          <w:highlight w:val="none"/>
        </w:rPr>
        <w:t>.7353</w:t>
      </w:r>
      <w:r>
        <w:rPr>
          <w:rFonts w:hint="eastAsia" w:ascii="Arial" w:hAnsi="Arial" w:eastAsia="仿宋_GB2312" w:cs="Arial"/>
          <w:spacing w:val="10"/>
          <w:sz w:val="28"/>
          <w:highlight w:val="none"/>
        </w:rPr>
        <w:t>÷1.5418</w:t>
      </w:r>
    </w:p>
    <w:p>
      <w:pPr>
        <w:autoSpaceDE w:val="0"/>
        <w:autoSpaceDN w:val="0"/>
        <w:snapToGrid w:val="0"/>
        <w:spacing w:line="300" w:lineRule="auto"/>
        <w:ind w:firstLine="2775" w:firstLineChars="925"/>
        <w:jc w:val="both"/>
        <w:textAlignment w:val="bottom"/>
        <w:rPr>
          <w:rFonts w:ascii="Arial" w:hAnsi="Arial" w:eastAsia="仿宋" w:cs="Arial"/>
          <w:sz w:val="28"/>
          <w:highlight w:val="none"/>
        </w:rPr>
      </w:pPr>
      <w:r>
        <w:rPr>
          <w:rFonts w:hint="eastAsia" w:ascii="Arial" w:hAnsi="Arial" w:eastAsia="仿宋_GB2312" w:cs="Arial"/>
          <w:spacing w:val="10"/>
          <w:sz w:val="28"/>
          <w:highlight w:val="none"/>
        </w:rPr>
        <w:t>＝</w:t>
      </w:r>
      <w:r>
        <w:rPr>
          <w:rFonts w:hint="eastAsia" w:ascii="Arial" w:hAnsi="Arial" w:eastAsia="仿宋_GB2312" w:cs="Arial"/>
          <w:spacing w:val="10"/>
          <w:sz w:val="28"/>
          <w:highlight w:val="none"/>
          <w:lang w:val="en-US" w:eastAsia="zh-CN"/>
        </w:rPr>
        <w:t>181.0490</w:t>
      </w:r>
      <w:r>
        <w:rPr>
          <w:rFonts w:hint="eastAsia" w:ascii="Arial" w:hAnsi="Arial" w:eastAsia="仿宋_GB2312" w:cs="Arial"/>
          <w:spacing w:val="10"/>
          <w:sz w:val="28"/>
          <w:highlight w:val="none"/>
        </w:rPr>
        <w:t>（万元）</w:t>
      </w:r>
    </w:p>
    <w:p>
      <w:pPr>
        <w:autoSpaceDE w:val="0"/>
        <w:autoSpaceDN w:val="0"/>
        <w:snapToGrid w:val="0"/>
        <w:spacing w:line="300" w:lineRule="auto"/>
        <w:ind w:firstLine="540"/>
        <w:jc w:val="both"/>
        <w:textAlignment w:val="bottom"/>
        <w:rPr>
          <w:rFonts w:hint="eastAsia" w:ascii="Arial" w:hAnsi="Arial" w:eastAsia="仿宋_GB2312" w:cs="Arial"/>
          <w:spacing w:val="10"/>
          <w:sz w:val="28"/>
          <w:highlight w:val="none"/>
          <w:lang w:eastAsia="zh-CN"/>
        </w:rPr>
      </w:pPr>
      <w:r>
        <w:rPr>
          <w:rFonts w:hint="eastAsia" w:ascii="Arial" w:hAnsi="Arial" w:eastAsia="仿宋_GB2312" w:cs="Arial"/>
          <w:spacing w:val="10"/>
          <w:sz w:val="28"/>
          <w:highlight w:val="none"/>
        </w:rPr>
        <w:t>楼面单价＝</w:t>
      </w:r>
      <w:r>
        <w:rPr>
          <w:rFonts w:hint="eastAsia" w:ascii="Arial" w:hAnsi="Arial" w:eastAsia="仿宋_GB2312" w:cs="Arial"/>
          <w:spacing w:val="10"/>
          <w:sz w:val="28"/>
          <w:highlight w:val="none"/>
          <w:lang w:val="en-US" w:eastAsia="zh-CN"/>
        </w:rPr>
        <w:t>181.0490</w:t>
      </w:r>
      <w:r>
        <w:rPr>
          <w:rFonts w:hint="eastAsia" w:ascii="Arial" w:hAnsi="Arial" w:eastAsia="仿宋_GB2312" w:cs="Arial"/>
          <w:spacing w:val="10"/>
          <w:sz w:val="28"/>
          <w:highlight w:val="none"/>
        </w:rPr>
        <w:t>×10000÷</w:t>
      </w:r>
      <w:r>
        <w:rPr>
          <w:rFonts w:hint="eastAsia" w:ascii="Arial" w:hAnsi="Arial" w:eastAsia="仿宋_GB2312" w:cs="Arial"/>
          <w:spacing w:val="10"/>
          <w:sz w:val="28"/>
          <w:highlight w:val="none"/>
          <w:lang w:eastAsia="zh-CN"/>
        </w:rPr>
        <w:t>259.75</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r>
        <w:rPr>
          <w:rFonts w:hint="eastAsia" w:ascii="Arial" w:hAnsi="Arial" w:eastAsia="仿宋_GB2312" w:cs="Arial"/>
          <w:spacing w:val="10"/>
          <w:sz w:val="28"/>
          <w:highlight w:val="none"/>
        </w:rPr>
        <w:t xml:space="preserve">        ＝</w:t>
      </w:r>
      <w:r>
        <w:rPr>
          <w:rFonts w:hint="eastAsia" w:ascii="Arial" w:hAnsi="Arial" w:eastAsia="仿宋_GB2312" w:cs="Arial"/>
          <w:spacing w:val="10"/>
          <w:sz w:val="28"/>
          <w:highlight w:val="none"/>
          <w:lang w:val="en-US" w:eastAsia="zh-CN"/>
        </w:rPr>
        <w:t>6970</w:t>
      </w:r>
      <w:r>
        <w:rPr>
          <w:rFonts w:hint="eastAsia" w:ascii="Arial" w:hAnsi="Arial" w:eastAsia="仿宋_GB2312" w:cs="Arial"/>
          <w:spacing w:val="10"/>
          <w:sz w:val="28"/>
          <w:highlight w:val="none"/>
        </w:rPr>
        <w:t>（元/平方米）</w:t>
      </w: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autoSpaceDE w:val="0"/>
        <w:autoSpaceDN w:val="0"/>
        <w:snapToGrid w:val="0"/>
        <w:spacing w:line="300" w:lineRule="auto"/>
        <w:ind w:firstLine="540"/>
        <w:jc w:val="both"/>
        <w:textAlignment w:val="bottom"/>
        <w:rPr>
          <w:rFonts w:ascii="Arial" w:hAnsi="Arial" w:eastAsia="仿宋_GB2312" w:cs="Arial"/>
          <w:spacing w:val="10"/>
          <w:sz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求取出让国有建设用地使用权价格</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根据区域土地市场情况，并结合估价对象的具体特点及估价目的等，此次评估采用了基准地价系数修正法和剩余法确定</w:t>
      </w:r>
      <w:r>
        <w:rPr>
          <w:rFonts w:hint="eastAsia" w:ascii="Arial" w:hAnsi="Arial" w:eastAsia="仿宋_GB2312" w:cs="Arial"/>
          <w:bCs/>
          <w:sz w:val="28"/>
          <w:highlight w:val="none"/>
        </w:rPr>
        <w:t>商业用途出让国有建设用地使用权</w:t>
      </w:r>
      <w:r>
        <w:rPr>
          <w:rFonts w:ascii="Arial" w:hAnsi="Arial" w:eastAsia="仿宋_GB2312" w:cs="Arial"/>
          <w:bCs/>
          <w:sz w:val="28"/>
          <w:highlight w:val="none"/>
        </w:rPr>
        <w:t>，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Pr>
          <w:rFonts w:hint="eastAsia" w:ascii="Arial" w:hAnsi="Arial" w:eastAsia="仿宋_GB2312" w:cs="Arial"/>
          <w:bCs/>
          <w:sz w:val="28"/>
          <w:highlight w:val="none"/>
        </w:rPr>
        <w:t>两种</w:t>
      </w:r>
      <w:r>
        <w:rPr>
          <w:rFonts w:ascii="Arial" w:hAnsi="Arial" w:eastAsia="仿宋_GB2312" w:cs="Arial"/>
          <w:bCs/>
          <w:sz w:val="28"/>
          <w:highlight w:val="none"/>
        </w:rPr>
        <w:t>评估方法各有其侧重，从不同的角度反映了估价对象的地价水平，定量分析如下：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681"/>
        <w:gridCol w:w="965"/>
        <w:gridCol w:w="4371"/>
        <w:gridCol w:w="1140"/>
        <w:gridCol w:w="1141"/>
      </w:tblGrid>
      <w:tr>
        <w:tblPrEx>
          <w:tblCellMar>
            <w:top w:w="0" w:type="dxa"/>
            <w:left w:w="108" w:type="dxa"/>
            <w:bottom w:w="0" w:type="dxa"/>
            <w:right w:w="108" w:type="dxa"/>
          </w:tblCellMar>
        </w:tblPrEx>
        <w:trPr>
          <w:trHeight w:val="270" w:hRule="atLeast"/>
          <w:jc w:val="center"/>
        </w:trPr>
        <w:tc>
          <w:tcPr>
            <w:tcW w:w="168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96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37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2281"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68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基准地价系数修正法</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剩余法</w:t>
            </w: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7</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14</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96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13</w:t>
            </w:r>
          </w:p>
        </w:tc>
      </w:tr>
      <w:tr>
        <w:tblPrEx>
          <w:tblCellMar>
            <w:top w:w="0" w:type="dxa"/>
            <w:left w:w="108" w:type="dxa"/>
            <w:bottom w:w="0" w:type="dxa"/>
            <w:right w:w="108" w:type="dxa"/>
          </w:tblCellMar>
        </w:tblPrEx>
        <w:trPr>
          <w:trHeight w:val="540"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96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114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11</w:t>
            </w:r>
          </w:p>
        </w:tc>
        <w:tc>
          <w:tcPr>
            <w:tcW w:w="1141"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28</w:t>
            </w: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68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96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371"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114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41"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40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cs="Arial"/>
                <w:sz w:val="18"/>
                <w:szCs w:val="18"/>
                <w:highlight w:val="none"/>
              </w:rPr>
              <w:t>93</w:t>
            </w:r>
          </w:p>
        </w:tc>
      </w:tr>
      <w:tr>
        <w:tblPrEx>
          <w:tblCellMar>
            <w:top w:w="0" w:type="dxa"/>
            <w:left w:w="108" w:type="dxa"/>
            <w:bottom w:w="0" w:type="dxa"/>
            <w:right w:w="108" w:type="dxa"/>
          </w:tblCellMar>
        </w:tblPrEx>
        <w:trPr>
          <w:trHeight w:val="270" w:hRule="atLeast"/>
          <w:jc w:val="center"/>
        </w:trPr>
        <w:tc>
          <w:tcPr>
            <w:tcW w:w="70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114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30%</w:t>
            </w:r>
          </w:p>
        </w:tc>
        <w:tc>
          <w:tcPr>
            <w:tcW w:w="1141"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cs="Arial"/>
                <w:sz w:val="18"/>
                <w:szCs w:val="18"/>
                <w:highlight w:val="none"/>
              </w:rPr>
              <w:t>70%</w:t>
            </w:r>
          </w:p>
        </w:tc>
      </w:tr>
    </w:tbl>
    <w:p>
      <w:pPr>
        <w:rPr>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35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3036"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2131"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875"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900"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基准地价系数修正法</w:t>
            </w:r>
          </w:p>
        </w:tc>
        <w:tc>
          <w:tcPr>
            <w:tcW w:w="2131"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eastAsia="zh-CN"/>
              </w:rPr>
              <w:t>5357</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0.3</w:t>
            </w:r>
          </w:p>
        </w:tc>
        <w:tc>
          <w:tcPr>
            <w:tcW w:w="1900" w:type="dxa"/>
            <w:vMerge w:val="restart"/>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eastAsia="zh-CN"/>
              </w:rPr>
              <w:t>6486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356"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3036"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ascii="Arial" w:hAnsi="Arial" w:eastAsia="仿宋" w:cs="Arial"/>
                <w:color w:val="000000"/>
                <w:sz w:val="18"/>
                <w:szCs w:val="18"/>
                <w:highlight w:val="none"/>
              </w:rPr>
              <w:t>剩余法</w:t>
            </w:r>
          </w:p>
        </w:tc>
        <w:tc>
          <w:tcPr>
            <w:tcW w:w="2131" w:type="dxa"/>
            <w:shd w:val="clear" w:color="auto" w:fill="auto"/>
            <w:vAlign w:val="center"/>
          </w:tcPr>
          <w:p>
            <w:pPr>
              <w:widowControl/>
              <w:snapToGrid w:val="0"/>
              <w:spacing w:line="240" w:lineRule="exact"/>
              <w:jc w:val="center"/>
              <w:textAlignment w:val="auto"/>
              <w:rPr>
                <w:rFonts w:hint="eastAsia"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eastAsia="zh-CN"/>
              </w:rPr>
              <w:t>6970</w:t>
            </w:r>
          </w:p>
        </w:tc>
        <w:tc>
          <w:tcPr>
            <w:tcW w:w="875"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0.7</w:t>
            </w:r>
          </w:p>
        </w:tc>
        <w:tc>
          <w:tcPr>
            <w:tcW w:w="1900"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bookmarkStart w:id="313" w:name="_Toc515457832"/>
      <w:bookmarkStart w:id="314" w:name="_Toc524335121"/>
      <w:bookmarkStart w:id="315" w:name="_Toc515458410"/>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eastAsia="zh-CN"/>
        </w:rPr>
        <w:t>6486</w:t>
      </w:r>
      <w:r>
        <w:rPr>
          <w:rFonts w:hint="eastAsia" w:ascii="Arial" w:hAnsi="Arial" w:cs="Arial"/>
          <w:highlight w:val="none"/>
        </w:rPr>
        <w:t>元/平方米，估价对象建筑面积为</w:t>
      </w:r>
      <w:r>
        <w:rPr>
          <w:rFonts w:hint="eastAsia" w:ascii="Arial" w:hAnsi="Arial" w:cs="Arial"/>
          <w:highlight w:val="none"/>
          <w:lang w:eastAsia="zh-CN"/>
        </w:rPr>
        <w:t>259.75</w:t>
      </w:r>
      <w:r>
        <w:rPr>
          <w:rFonts w:hint="eastAsia" w:ascii="Arial" w:hAnsi="Arial" w:cs="Arial"/>
          <w:highlight w:val="none"/>
        </w:rPr>
        <w:t>平方米，则估价对象出让国有建设用地使用权总价为：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eastAsia="zh-CN"/>
        </w:rPr>
        <w:t>6486</w:t>
      </w:r>
      <w:r>
        <w:rPr>
          <w:rFonts w:hint="eastAsia" w:ascii="Arial" w:hAnsi="Arial" w:cs="Arial"/>
          <w:highlight w:val="none"/>
        </w:rPr>
        <w:t>×</w:t>
      </w:r>
      <w:r>
        <w:rPr>
          <w:rFonts w:hint="eastAsia" w:ascii="Arial" w:hAnsi="Arial" w:cs="Arial"/>
          <w:highlight w:val="none"/>
          <w:lang w:eastAsia="zh-CN"/>
        </w:rPr>
        <w:t>259.75</w:t>
      </w:r>
      <w:r>
        <w:rPr>
          <w:rFonts w:hint="eastAsia" w:ascii="Arial" w:hAnsi="Arial" w:cs="Arial"/>
          <w:highlight w:val="none"/>
        </w:rPr>
        <w:t>÷10000＝</w:t>
      </w:r>
      <w:r>
        <w:rPr>
          <w:rFonts w:hint="eastAsia" w:ascii="Arial" w:hAnsi="Arial" w:cs="Arial"/>
          <w:highlight w:val="none"/>
          <w:lang w:val="en-US" w:eastAsia="zh-CN"/>
        </w:rPr>
        <w:t>168.4739</w:t>
      </w:r>
      <w:r>
        <w:rPr>
          <w:rFonts w:hint="eastAsia" w:ascii="Arial" w:hAnsi="Arial" w:cs="Arial"/>
          <w:highlight w:val="none"/>
        </w:rPr>
        <w:t>（万元）</w:t>
      </w:r>
    </w:p>
    <w:p>
      <w:pPr>
        <w:pStyle w:val="52"/>
        <w:spacing w:line="300" w:lineRule="auto"/>
        <w:rPr>
          <w:rFonts w:ascii="Arial" w:hAnsi="Arial" w:cs="Arial"/>
          <w:highlight w:val="none"/>
        </w:rPr>
      </w:pPr>
    </w:p>
    <w:p>
      <w:pPr>
        <w:pStyle w:val="52"/>
        <w:numPr>
          <w:ilvl w:val="0"/>
          <w:numId w:val="8"/>
        </w:numPr>
        <w:spacing w:line="300" w:lineRule="auto"/>
        <w:ind w:firstLine="562"/>
        <w:rPr>
          <w:rFonts w:ascii="Arial" w:hAnsi="Arial" w:cs="Arial"/>
          <w:b/>
          <w:highlight w:val="none"/>
        </w:rPr>
      </w:pPr>
      <w:r>
        <w:rPr>
          <w:rFonts w:hint="eastAsia" w:ascii="Arial" w:hAnsi="Arial" w:cs="Arial"/>
          <w:b/>
          <w:highlight w:val="none"/>
        </w:rPr>
        <w:t>划拨国有建设用地使用权价格</w:t>
      </w: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方法一：成本逼近法</w:t>
      </w:r>
    </w:p>
    <w:p>
      <w:pPr>
        <w:pStyle w:val="52"/>
        <w:adjustRightInd w:val="0"/>
        <w:spacing w:line="300" w:lineRule="auto"/>
        <w:rPr>
          <w:rFonts w:ascii="Arial" w:hAnsi="Arial" w:cs="Arial"/>
          <w:highlight w:val="none"/>
        </w:rPr>
      </w:pPr>
      <w:r>
        <w:rPr>
          <w:rFonts w:hint="eastAsia" w:ascii="Arial" w:hAnsi="Arial" w:cs="Arial"/>
          <w:highlight w:val="none"/>
        </w:rPr>
        <w:t>划拨地价=(土地取得费+土地开发费+相关税费+土地开发利息+土地开 发利润) ×( 1+个别因素修正系数)</w:t>
      </w:r>
    </w:p>
    <w:p>
      <w:pPr>
        <w:snapToGrid w:val="0"/>
        <w:spacing w:line="300" w:lineRule="auto"/>
        <w:ind w:firstLine="560" w:firstLineChars="200"/>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1.土地取得成本</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根据《北京市协议出让涉及的划拨地价评估技术指引(试行)》，估价对象位于城市建成区内的，按照低阶用地向高阶用地转化的原则，优先选择同一行政区或同一土地级别，至少三个土地收储、国有土地上房屋征收或集体建设用地拆迁等案例，经期日、区位等修正后，分析确定客观的土地取得费。若无法满足，可适当扩大到相邻行政区或低土地级别内选择，也可在同一圈层区域进行选择。有存量工业用地收储案例的，可优先选择使用。</w:t>
      </w:r>
    </w:p>
    <w:p>
      <w:pPr>
        <w:snapToGrid w:val="0"/>
        <w:spacing w:line="300" w:lineRule="auto"/>
        <w:ind w:firstLine="560" w:firstLineChars="200"/>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按照上述规则仍无法获得充足案例时，按照低阶用地向高阶用地转化的原则，可选择规划主用途与估价对象相同或相似，至少三个经审定的土地一级开发项目成本数据或至少三个招拍挂土地出让成交案例中经审定的土地一级开发补偿费数据，参照《北京市储备开发及棚改等土地开发类项目成本管理细则》[京规自发〔2021〕449号]规定，据实剥离前期费用、市政基础设施建设费用、财务费用、其他费用、利润或管理费、两税两费、审计费、清算费用等，将剥离剩余后的补偿费用作为土地取得费。在剥离上述项目时，需注意市政基础设施建设费用、财务费用、利润等与成本逼近法中相关内容取值标准的差异。当剥离上述项目存在客观困难时，可通过收集案例的征地拆迁费用比例，并与审定的土地一级开发补偿费总额相乘后，作为土地取得费的取值依据。</w:t>
      </w:r>
    </w:p>
    <w:p>
      <w:pPr>
        <w:tabs>
          <w:tab w:val="left" w:pos="557"/>
        </w:tabs>
        <w:snapToGrid w:val="0"/>
        <w:spacing w:line="300" w:lineRule="auto"/>
        <w:ind w:firstLine="561"/>
        <w:rPr>
          <w:rFonts w:ascii="仿宋" w:hAnsi="仿宋" w:eastAsia="仿宋" w:cs="仿宋"/>
          <w:sz w:val="27"/>
          <w:szCs w:val="27"/>
          <w:highlight w:val="none"/>
        </w:rPr>
      </w:pPr>
      <w:r>
        <w:rPr>
          <w:rFonts w:hint="eastAsia" w:ascii="Arial" w:hAnsi="Arial" w:eastAsia="仿宋_GB2312" w:cs="Arial"/>
          <w:kern w:val="2"/>
          <w:sz w:val="28"/>
          <w:szCs w:val="24"/>
          <w:highlight w:val="none"/>
        </w:rPr>
        <w:t>根据所获取的资料结合我公司信息储备及市场调查及信息查询，近期密云区土地收储、国有土地上房屋征收或集体建设用地拆迁等案例有2个，无法满足案例需求。根据《北京市协议出让涉及的划拨地价评估技术指引(试行)》的相关规定，选取了招拍挂土地出让成交案例中经审定的土地一级开发补偿费数据，因剥离前期费用、市政基础设施建设费用、财务费用、其他费用、利润或管理费、两税两费、审计费、清算费用存在客观困难，我们通过收集案例的征地拆迁费用比例，与审定的土地一级开发补偿费总额相乘后，作为土地取得费的取值依据。经收集案例统计测算，征地拆迁费用占土地一级开发补偿费总额的比例约为70%。案例具体情况如下。</w:t>
      </w:r>
    </w:p>
    <w:p>
      <w:pPr>
        <w:spacing w:line="224" w:lineRule="auto"/>
        <w:ind w:left="3790"/>
        <w:rPr>
          <w:rFonts w:ascii="仿宋" w:hAnsi="仿宋" w:eastAsia="仿宋" w:cs="仿宋"/>
          <w:sz w:val="27"/>
          <w:szCs w:val="27"/>
          <w:highlight w:val="none"/>
        </w:rPr>
      </w:pPr>
      <w:r>
        <w:rPr>
          <w:rFonts w:ascii="仿宋" w:hAnsi="仿宋" w:eastAsia="仿宋" w:cs="仿宋"/>
          <w:spacing w:val="12"/>
          <w:sz w:val="27"/>
          <w:szCs w:val="27"/>
          <w:highlight w:val="none"/>
        </w:rPr>
        <w:t>征</w:t>
      </w:r>
      <w:r>
        <w:rPr>
          <w:rFonts w:ascii="仿宋" w:hAnsi="仿宋" w:eastAsia="仿宋" w:cs="仿宋"/>
          <w:spacing w:val="9"/>
          <w:sz w:val="27"/>
          <w:szCs w:val="27"/>
          <w:highlight w:val="none"/>
        </w:rPr>
        <w:t>地拆迁费用比例统计</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9"/>
        <w:gridCol w:w="2130"/>
        <w:gridCol w:w="1276"/>
        <w:gridCol w:w="1804"/>
        <w:gridCol w:w="1590"/>
        <w:gridCol w:w="881"/>
        <w:gridCol w:w="111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4" w:hRule="atLeast"/>
          <w:jc w:val="center"/>
        </w:trPr>
        <w:tc>
          <w:tcPr>
            <w:tcW w:w="499" w:type="dxa"/>
            <w:tcBorders>
              <w:left w:val="single" w:color="000000" w:sz="6" w:space="0"/>
            </w:tcBorders>
            <w:textDirection w:val="tbRlV"/>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序</w:t>
            </w:r>
            <w:r>
              <w:rPr>
                <w:rFonts w:ascii="Arial" w:hAnsi="Arial" w:eastAsia="仿宋" w:cs="Arial"/>
                <w:spacing w:val="4"/>
                <w:sz w:val="18"/>
                <w:szCs w:val="18"/>
                <w:highlight w:val="none"/>
              </w:rPr>
              <w:t xml:space="preserve"> </w:t>
            </w: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号</w:t>
            </w:r>
          </w:p>
        </w:tc>
        <w:tc>
          <w:tcPr>
            <w:tcW w:w="213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项目名称</w:t>
            </w:r>
          </w:p>
        </w:tc>
        <w:tc>
          <w:tcPr>
            <w:tcW w:w="1276"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土地面积</w:t>
            </w:r>
          </w:p>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（公顷）</w:t>
            </w:r>
          </w:p>
        </w:tc>
        <w:tc>
          <w:tcPr>
            <w:tcW w:w="1804"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土地开发补偿费总价(万元)</w:t>
            </w:r>
          </w:p>
        </w:tc>
        <w:tc>
          <w:tcPr>
            <w:tcW w:w="1590"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征地拆迁费用总价(万元)</w:t>
            </w:r>
          </w:p>
        </w:tc>
        <w:tc>
          <w:tcPr>
            <w:tcW w:w="881" w:type="dxa"/>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hint="eastAsia"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审定时间</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pPr>
            <w:r>
              <w:rPr>
                <w:rFonts w:ascii="Arial" w:hAnsi="Arial" w:eastAsia="仿宋" w:cs="Arial"/>
                <w:spacing w:val="4"/>
                <w:sz w:val="18"/>
                <w:szCs w:val="18"/>
                <w:highlight w:val="none"/>
                <w14:textOutline w14:w="3632" w14:cap="flat" w14:cmpd="sng" w14:algn="ctr">
                  <w14:solidFill>
                    <w14:srgbClr w14:val="000000"/>
                  </w14:solidFill>
                  <w14:prstDash w14:val="solid"/>
                  <w14:miter w14:val="0"/>
                </w14:textOutline>
              </w:rPr>
              <w:t>征地拆迁费用占比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1</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密云区檀营乡6005地块R2二类居住用地</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5.84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442094.24</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330867.43</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74.84%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2</w:t>
            </w:r>
          </w:p>
        </w:tc>
        <w:tc>
          <w:tcPr>
            <w:tcW w:w="2130"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密云区水源路南侧土地一级开发项目MY00-0104-6016等9个地块</w:t>
            </w:r>
          </w:p>
        </w:tc>
        <w:tc>
          <w:tcPr>
            <w:tcW w:w="1276"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10.34</w:t>
            </w:r>
          </w:p>
        </w:tc>
        <w:tc>
          <w:tcPr>
            <w:tcW w:w="1804"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274776.8</w:t>
            </w:r>
          </w:p>
        </w:tc>
        <w:tc>
          <w:tcPr>
            <w:tcW w:w="1590" w:type="dxa"/>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199464.55</w:t>
            </w:r>
          </w:p>
        </w:tc>
        <w:tc>
          <w:tcPr>
            <w:tcW w:w="88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20</w:t>
            </w:r>
            <w:r>
              <w:rPr>
                <w:rFonts w:ascii="Arial" w:hAnsi="Arial" w:eastAsia="仿宋" w:cs="Arial"/>
                <w:spacing w:val="-2"/>
                <w:sz w:val="18"/>
                <w:szCs w:val="18"/>
                <w:highlight w:val="none"/>
              </w:rPr>
              <w:t>21</w:t>
            </w:r>
          </w:p>
        </w:tc>
        <w:tc>
          <w:tcPr>
            <w:tcW w:w="1118" w:type="dxa"/>
            <w:tcBorders>
              <w:right w:val="single" w:color="000000" w:sz="6" w:space="0"/>
            </w:tcBorders>
            <w:vAlign w:val="center"/>
          </w:tcPr>
          <w:p>
            <w:pPr>
              <w:widowControl/>
              <w:snapToGrid w:val="0"/>
              <w:spacing w:line="240" w:lineRule="exact"/>
              <w:jc w:val="center"/>
              <w:textAlignment w:val="center"/>
              <w:rPr>
                <w:rFonts w:ascii="Arial" w:hAnsi="Arial" w:eastAsia="仿宋" w:cs="Arial"/>
                <w:sz w:val="18"/>
                <w:szCs w:val="18"/>
                <w:highlight w:val="none"/>
              </w:rPr>
            </w:pPr>
            <w:r>
              <w:rPr>
                <w:rFonts w:ascii="Arial" w:hAnsi="Arial" w:eastAsia="仿宋" w:cs="Arial"/>
                <w:color w:val="000000"/>
                <w:sz w:val="18"/>
                <w:szCs w:val="18"/>
                <w:highlight w:val="none"/>
                <w:lang w:bidi="ar"/>
              </w:rPr>
              <w:t>72.59%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门头沟区S1线区域组团01-12地块土地一级开发项目01地块（剩余）、05（部分）、07（部分）地块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22.36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1921678.11</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1374980.85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71.55%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4</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门头沟区潭柘寺中心区A-F土地一级开发项目E地块MTG-06-0209-024等地块</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7.61</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527523.92</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380249.92</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72.08%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jc w:val="center"/>
        </w:trPr>
        <w:tc>
          <w:tcPr>
            <w:tcW w:w="499" w:type="dxa"/>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p>
          <w:p>
            <w:pPr>
              <w:snapToGrid w:val="0"/>
              <w:spacing w:line="240" w:lineRule="exact"/>
              <w:jc w:val="center"/>
              <w:rPr>
                <w:rFonts w:ascii="Arial" w:hAnsi="Arial" w:eastAsia="仿宋" w:cs="Arial"/>
                <w:sz w:val="18"/>
                <w:szCs w:val="18"/>
                <w:highlight w:val="none"/>
              </w:rPr>
            </w:pPr>
            <w:r>
              <w:rPr>
                <w:rFonts w:ascii="Arial" w:hAnsi="Arial" w:eastAsia="仿宋" w:cs="Arial"/>
                <w:sz w:val="18"/>
                <w:szCs w:val="18"/>
                <w:highlight w:val="none"/>
              </w:rPr>
              <w:t>5</w:t>
            </w:r>
          </w:p>
        </w:tc>
        <w:tc>
          <w:tcPr>
            <w:tcW w:w="213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房山区轨道交通房山线东羊庄站土地一级开发项目</w:t>
            </w:r>
          </w:p>
        </w:tc>
        <w:tc>
          <w:tcPr>
            <w:tcW w:w="1276"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16.16</w:t>
            </w:r>
          </w:p>
        </w:tc>
        <w:tc>
          <w:tcPr>
            <w:tcW w:w="1804"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179877.36</w:t>
            </w:r>
          </w:p>
        </w:tc>
        <w:tc>
          <w:tcPr>
            <w:tcW w:w="1590"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125582.25</w:t>
            </w:r>
          </w:p>
        </w:tc>
        <w:tc>
          <w:tcPr>
            <w:tcW w:w="881" w:type="dxa"/>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2021</w:t>
            </w:r>
          </w:p>
        </w:tc>
        <w:tc>
          <w:tcPr>
            <w:tcW w:w="1118" w:type="dxa"/>
            <w:tcBorders>
              <w:right w:val="single" w:color="000000" w:sz="6" w:space="0"/>
            </w:tcBorders>
            <w:vAlign w:val="center"/>
          </w:tcPr>
          <w:p>
            <w:pPr>
              <w:snapToGrid w:val="0"/>
              <w:spacing w:line="240" w:lineRule="exact"/>
              <w:jc w:val="center"/>
              <w:rPr>
                <w:rFonts w:ascii="Arial" w:hAnsi="Arial" w:eastAsia="仿宋" w:cs="Arial"/>
                <w:spacing w:val="-4"/>
                <w:sz w:val="18"/>
                <w:szCs w:val="18"/>
                <w:highlight w:val="none"/>
              </w:rPr>
            </w:pPr>
            <w:r>
              <w:rPr>
                <w:rFonts w:ascii="Arial" w:hAnsi="Arial" w:eastAsia="仿宋" w:cs="Arial"/>
                <w:spacing w:val="-4"/>
                <w:sz w:val="18"/>
                <w:szCs w:val="18"/>
                <w:highlight w:val="none"/>
              </w:rPr>
              <w:t>69.82%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jc w:val="center"/>
        </w:trPr>
        <w:tc>
          <w:tcPr>
            <w:tcW w:w="2629" w:type="dxa"/>
            <w:gridSpan w:val="2"/>
            <w:tcBorders>
              <w:lef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4"/>
                <w:sz w:val="18"/>
                <w:szCs w:val="18"/>
                <w:highlight w:val="none"/>
              </w:rPr>
              <w:t>平</w:t>
            </w:r>
            <w:r>
              <w:rPr>
                <w:rFonts w:ascii="Arial" w:hAnsi="Arial" w:eastAsia="仿宋" w:cs="Arial"/>
                <w:spacing w:val="-2"/>
                <w:sz w:val="18"/>
                <w:szCs w:val="18"/>
                <w:highlight w:val="none"/>
              </w:rPr>
              <w:t>均</w:t>
            </w:r>
          </w:p>
        </w:tc>
        <w:tc>
          <w:tcPr>
            <w:tcW w:w="1276"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804"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590"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881" w:type="dxa"/>
            <w:vAlign w:val="center"/>
          </w:tcPr>
          <w:p>
            <w:pPr>
              <w:snapToGrid w:val="0"/>
              <w:spacing w:line="240" w:lineRule="exact"/>
              <w:jc w:val="center"/>
              <w:rPr>
                <w:rFonts w:ascii="Arial" w:hAnsi="Arial" w:eastAsia="仿宋" w:cs="Arial"/>
                <w:sz w:val="18"/>
                <w:szCs w:val="18"/>
                <w:highlight w:val="none"/>
              </w:rPr>
            </w:pPr>
            <w:r>
              <w:rPr>
                <w:rFonts w:hint="eastAsia" w:ascii="Arial" w:hAnsi="Arial" w:eastAsia="仿宋" w:cs="Arial"/>
                <w:sz w:val="18"/>
                <w:szCs w:val="18"/>
                <w:highlight w:val="none"/>
              </w:rPr>
              <w:t>——</w:t>
            </w:r>
          </w:p>
        </w:tc>
        <w:tc>
          <w:tcPr>
            <w:tcW w:w="1118" w:type="dxa"/>
            <w:tcBorders>
              <w:right w:val="single" w:color="000000" w:sz="6"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2"/>
                <w:sz w:val="18"/>
                <w:szCs w:val="18"/>
                <w:highlight w:val="none"/>
              </w:rPr>
              <w:t>7</w:t>
            </w:r>
            <w:r>
              <w:rPr>
                <w:rFonts w:hint="eastAsia" w:ascii="Arial" w:hAnsi="Arial" w:eastAsia="仿宋" w:cs="Arial"/>
                <w:spacing w:val="-2"/>
                <w:sz w:val="18"/>
                <w:szCs w:val="18"/>
                <w:highlight w:val="none"/>
              </w:rPr>
              <w:t>2.18</w:t>
            </w:r>
            <w:r>
              <w:rPr>
                <w:rFonts w:ascii="Arial" w:hAnsi="Arial" w:eastAsia="仿宋" w:cs="Arial"/>
                <w:spacing w:val="-1"/>
                <w:sz w:val="18"/>
                <w:szCs w:val="18"/>
                <w:highlight w:val="none"/>
              </w:rPr>
              <w:t>%</w:t>
            </w:r>
          </w:p>
        </w:tc>
      </w:tr>
    </w:tbl>
    <w:p>
      <w:pPr>
        <w:spacing w:line="360" w:lineRule="auto"/>
        <w:ind w:firstLine="560" w:firstLineChars="200"/>
        <w:rPr>
          <w:rFonts w:ascii="仿宋_GB2312" w:hAnsi="Arial" w:eastAsia="仿宋_GB2312"/>
          <w:bCs/>
          <w:sz w:val="28"/>
          <w:highlight w:val="none"/>
        </w:rPr>
        <w:sectPr>
          <w:footerReference r:id="rId41" w:type="first"/>
          <w:headerReference r:id="rId39" w:type="default"/>
          <w:footerReference r:id="rId40" w:type="default"/>
          <w:pgSz w:w="11907" w:h="16840"/>
          <w:pgMar w:top="1843" w:right="1134" w:bottom="1134" w:left="1134" w:header="1134" w:footer="907" w:gutter="340"/>
          <w:cols w:space="720" w:num="1"/>
          <w:titlePg/>
          <w:docGrid w:linePitch="326" w:charSpace="0"/>
        </w:sectPr>
      </w:pPr>
    </w:p>
    <w:p>
      <w:pPr>
        <w:tabs>
          <w:tab w:val="left" w:pos="557"/>
        </w:tabs>
        <w:snapToGrid w:val="0"/>
        <w:spacing w:line="300" w:lineRule="auto"/>
        <w:ind w:firstLine="561"/>
        <w:jc w:val="both"/>
        <w:rPr>
          <w:rFonts w:ascii="Arial" w:hAnsi="Arial" w:eastAsia="仿宋_GB2312" w:cs="Arial"/>
          <w:kern w:val="2"/>
          <w:sz w:val="28"/>
          <w:szCs w:val="24"/>
          <w:highlight w:val="none"/>
        </w:rPr>
      </w:pPr>
      <w:r>
        <w:rPr>
          <w:rFonts w:hint="eastAsia" w:ascii="Arial" w:hAnsi="Arial" w:eastAsia="仿宋_GB2312" w:cs="Arial"/>
          <w:kern w:val="2"/>
          <w:sz w:val="28"/>
          <w:szCs w:val="24"/>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平谷区。收集近三年生态涵养区商业类项目招拍挂案例如下：</w:t>
      </w: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北京市平谷区兴谷新消费综合体项目商业地块PG00-0106-0106地块B1商业用地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46654.62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88643.78</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2023/1/10</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28000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13831.73</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1560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1676.22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753.4</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2021/1/28</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550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323.06</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4288</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5</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北京市延庆区张山营镇西大庄科村YQ06-0400-0016地块F3其他类多功能用地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26197.17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26500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2020/12/7</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20986.8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18955.35</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7153</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6</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7</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北京市怀柔区怀北镇雁柏山庄南侧地块B1商业用地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5352.65</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843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B1商业用地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1310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1031.61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12237</w:t>
            </w:r>
          </w:p>
        </w:tc>
      </w:tr>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8</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北京市怀柔区怀北镇栖湖组团F3其他类多功能用地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36823.82</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25187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2020/10/12</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29500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25653.97</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10185</w:t>
            </w:r>
          </w:p>
        </w:tc>
      </w:tr>
    </w:tbl>
    <w:p>
      <w:pPr>
        <w:spacing w:line="360" w:lineRule="auto"/>
        <w:ind w:firstLine="560" w:firstLineChars="200"/>
        <w:rPr>
          <w:rFonts w:ascii="仿宋_GB2312" w:hAnsi="Arial" w:eastAsia="仿宋_GB2312"/>
          <w:bCs/>
          <w:sz w:val="28"/>
          <w:highlight w:val="none"/>
        </w:rPr>
        <w:sectPr>
          <w:pgSz w:w="16840" w:h="11907" w:orient="landscape"/>
          <w:pgMar w:top="2041" w:right="1134" w:bottom="1134" w:left="1134" w:header="1134" w:footer="907" w:gutter="0"/>
          <w:cols w:space="0" w:num="1"/>
          <w:titlePg/>
          <w:docGrid w:linePitch="326" w:charSpace="0"/>
        </w:sectPr>
      </w:pPr>
    </w:p>
    <w:p>
      <w:pPr>
        <w:spacing w:line="360" w:lineRule="auto"/>
        <w:ind w:firstLine="560" w:firstLineChars="200"/>
        <w:jc w:val="both"/>
        <w:rPr>
          <w:rFonts w:ascii="仿宋_GB2312" w:hAnsi="Arial" w:eastAsia="仿宋_GB2312"/>
          <w:bCs/>
          <w:sz w:val="28"/>
          <w:highlight w:val="none"/>
        </w:rPr>
      </w:pPr>
      <w:r>
        <w:rPr>
          <w:rFonts w:hint="eastAsia" w:ascii="仿宋_GB2312" w:hAnsi="Arial" w:eastAsia="仿宋_GB2312"/>
          <w:bCs/>
          <w:sz w:val="28"/>
          <w:highlight w:val="none"/>
        </w:rPr>
        <w:t>综合分析上述案例，北京市平谷区兴谷新消费综合体项目商业地块PG00-0106-0106地块B1商业用地项目土地开发补偿费楼面单价明显低于相同或类似级别商业类项目，北京市怀柔区怀北镇雁柏山庄南侧地块B1商业用地、北京市怀柔区怀北镇栖湖组团F3其他类多功能用地2个项目土地开发补偿费楼面单价明显高于相同或类似级别商业类项目，故未选为可比实例。估价人员考虑估价对象与上述生态涵养区商业类项目位置及土地级别等，优先选取土地级别与估价对象土地级别相近的比较实例。本次评估选取以下三个比较实例：</w:t>
      </w:r>
    </w:p>
    <w:tbl>
      <w:tblPr>
        <w:tblStyle w:val="35"/>
        <w:tblW w:w="14570" w:type="dxa"/>
        <w:jc w:val="center"/>
        <w:tblLayout w:type="fixed"/>
        <w:tblCellMar>
          <w:top w:w="57" w:type="dxa"/>
          <w:left w:w="57" w:type="dxa"/>
          <w:bottom w:w="57" w:type="dxa"/>
          <w:right w:w="57" w:type="dxa"/>
        </w:tblCellMar>
      </w:tblPr>
      <w:tblGrid>
        <w:gridCol w:w="562"/>
        <w:gridCol w:w="3923"/>
        <w:gridCol w:w="1354"/>
        <w:gridCol w:w="1284"/>
        <w:gridCol w:w="1376"/>
        <w:gridCol w:w="1444"/>
        <w:gridCol w:w="1084"/>
        <w:gridCol w:w="1875"/>
        <w:gridCol w:w="1668"/>
      </w:tblGrid>
      <w:tr>
        <w:tblPrEx>
          <w:tblCellMar>
            <w:top w:w="57" w:type="dxa"/>
            <w:left w:w="57" w:type="dxa"/>
            <w:bottom w:w="57" w:type="dxa"/>
            <w:right w:w="57" w:type="dxa"/>
          </w:tblCellMar>
        </w:tblPrEx>
        <w:trPr>
          <w:trHeight w:val="57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土地开发补偿费楼面单价</w:t>
            </w:r>
          </w:p>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(元/m</w:t>
            </w:r>
            <w:r>
              <w:rPr>
                <w:rFonts w:ascii="Arial" w:hAnsi="Arial" w:eastAsia="仿宋" w:cs="Arial"/>
                <w:color w:val="000000"/>
                <w:sz w:val="18"/>
                <w:szCs w:val="18"/>
                <w:highlight w:val="none"/>
                <w:vertAlign w:val="superscript"/>
                <w:lang w:bidi="ar"/>
              </w:rPr>
              <w:t>2</w:t>
            </w:r>
            <w:r>
              <w:rPr>
                <w:rFonts w:ascii="Arial" w:hAnsi="Arial" w:eastAsia="仿宋" w:cs="Arial"/>
                <w:color w:val="000000"/>
                <w:sz w:val="18"/>
                <w:szCs w:val="18"/>
                <w:highlight w:val="none"/>
                <w:lang w:bidi="ar"/>
              </w:rPr>
              <w:t xml:space="preserve"> )</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北京市怀柔区怀北、雁栖镇HR00-0211-6031地块〔城市客厅B地块(北侧地块)〕F3其他类多功能用地(怀柔科学城核心区及周边土地一级开发项目)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19258.58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38517.17</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28400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23712</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6156</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北京市怀柔区北房镇、怀北镇HR00-0211-6027、6028、6029、6030地块(城市客厅C地块)F3其他类多功能用地(怀柔科学城核心区及周边土地一级开发项目)</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28547.88</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51828.53</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2022/1/19</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37700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31821</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6140</w:t>
            </w:r>
          </w:p>
        </w:tc>
      </w:tr>
      <w:tr>
        <w:tblPrEx>
          <w:tblCellMar>
            <w:top w:w="57" w:type="dxa"/>
            <w:left w:w="57" w:type="dxa"/>
            <w:bottom w:w="57" w:type="dxa"/>
            <w:right w:w="57" w:type="dxa"/>
          </w:tblCellMar>
        </w:tblPrEx>
        <w:trPr>
          <w:trHeight w:val="1140" w:hRule="atLeast"/>
          <w:jc w:val="center"/>
        </w:trPr>
        <w:tc>
          <w:tcPr>
            <w:tcW w:w="56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92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北京市怀柔科学城核心区及周边土地一级开发项目HR00-0211-6002、6009、6010、6011、6019地块(城市客厅A)F3其他类多功能用地</w:t>
            </w:r>
          </w:p>
        </w:tc>
        <w:tc>
          <w:tcPr>
            <w:tcW w:w="13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63225.37</w:t>
            </w:r>
          </w:p>
        </w:tc>
        <w:tc>
          <w:tcPr>
            <w:tcW w:w="12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120200</w:t>
            </w:r>
          </w:p>
        </w:tc>
        <w:tc>
          <w:tcPr>
            <w:tcW w:w="13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F3其他类多功能用地</w:t>
            </w:r>
          </w:p>
        </w:tc>
        <w:tc>
          <w:tcPr>
            <w:tcW w:w="144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2020/11/3</w:t>
            </w:r>
          </w:p>
        </w:tc>
        <w:tc>
          <w:tcPr>
            <w:tcW w:w="108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88100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73839</w:t>
            </w:r>
          </w:p>
        </w:tc>
        <w:tc>
          <w:tcPr>
            <w:tcW w:w="166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6143</w:t>
            </w:r>
          </w:p>
        </w:tc>
      </w:tr>
    </w:tbl>
    <w:p>
      <w:pPr>
        <w:spacing w:line="360" w:lineRule="auto"/>
        <w:ind w:firstLine="560" w:firstLineChars="200"/>
        <w:jc w:val="both"/>
        <w:rPr>
          <w:rFonts w:ascii="仿宋_GB2312" w:hAnsi="Arial" w:eastAsia="仿宋_GB2312"/>
          <w:bCs/>
          <w:sz w:val="28"/>
          <w:highlight w:val="none"/>
        </w:rPr>
        <w:sectPr>
          <w:pgSz w:w="16840" w:h="11907" w:orient="landscape"/>
          <w:pgMar w:top="2041" w:right="1134" w:bottom="1134" w:left="1134" w:header="1134" w:footer="907" w:gutter="0"/>
          <w:cols w:space="0" w:num="1"/>
          <w:titlePg/>
          <w:docGrid w:linePitch="326" w:charSpace="0"/>
        </w:sectPr>
      </w:pPr>
    </w:p>
    <w:p>
      <w:pPr>
        <w:spacing w:line="360" w:lineRule="auto"/>
        <w:ind w:right="31" w:rightChars="13" w:firstLine="560" w:firstLineChars="200"/>
        <w:jc w:val="both"/>
        <w:rPr>
          <w:rFonts w:ascii="仿宋_GB2312" w:eastAsia="仿宋_GB2312"/>
          <w:sz w:val="28"/>
          <w:szCs w:val="28"/>
          <w:highlight w:val="none"/>
        </w:rPr>
      </w:pPr>
      <w:r>
        <w:rPr>
          <w:rFonts w:hint="eastAsia" w:ascii="仿宋_GB2312" w:eastAsia="仿宋_GB2312"/>
          <w:sz w:val="28"/>
          <w:szCs w:val="28"/>
          <w:highlight w:val="none"/>
        </w:rPr>
        <w:t>估价对象及案例位置示意图：</w:t>
      </w:r>
    </w:p>
    <w:tbl>
      <w:tblPr>
        <w:tblStyle w:val="35"/>
        <w:tblW w:w="9299"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0" w:type="dxa"/>
          <w:left w:w="0" w:type="dxa"/>
          <w:bottom w:w="0" w:type="dxa"/>
          <w:right w:w="0" w:type="dxa"/>
        </w:tblCellMar>
      </w:tblPr>
      <w:tblGrid>
        <w:gridCol w:w="9299"/>
      </w:tblGrid>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jc w:val="center"/>
        </w:trPr>
        <w:tc>
          <w:tcPr>
            <w:tcW w:w="9299" w:type="dxa"/>
          </w:tcPr>
          <w:p>
            <w:pPr>
              <w:jc w:val="center"/>
              <w:rPr>
                <w:rFonts w:ascii="华文细黑" w:hAnsi="华文细黑" w:eastAsia="华文细黑"/>
                <w:sz w:val="22"/>
                <w:highlight w:val="none"/>
              </w:rPr>
            </w:pPr>
            <w:r>
              <w:rPr>
                <w:rFonts w:hint="eastAsia" w:ascii="华文细黑" w:hAnsi="华文细黑" w:eastAsia="华文细黑"/>
                <w:sz w:val="22"/>
                <w:highlight w:val="none"/>
              </w:rPr>
              <w:t>案例位置</w:t>
            </w:r>
          </w:p>
        </w:tc>
      </w:tr>
      <w:tr>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0" w:type="dxa"/>
            <w:left w:w="0" w:type="dxa"/>
            <w:bottom w:w="0" w:type="dxa"/>
            <w:right w:w="0" w:type="dxa"/>
          </w:tblCellMar>
        </w:tblPrEx>
        <w:trPr>
          <w:trHeight w:val="7518" w:hRule="exact"/>
          <w:jc w:val="center"/>
        </w:trPr>
        <w:tc>
          <w:tcPr>
            <w:tcW w:w="9299" w:type="dxa"/>
          </w:tcPr>
          <w:p>
            <w:pPr>
              <w:jc w:val="center"/>
              <w:rPr>
                <w:sz w:val="22"/>
                <w:highlight w:val="none"/>
              </w:rPr>
            </w:pPr>
            <w:r>
              <w:rPr>
                <w:highlight w:val="none"/>
              </w:rPr>
              <w:drawing>
                <wp:inline distT="0" distB="0" distL="114300" distR="114300">
                  <wp:extent cx="5324475" cy="5200650"/>
                  <wp:effectExtent l="0" t="0" r="9525" b="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64"/>
                          <a:stretch>
                            <a:fillRect/>
                          </a:stretch>
                        </pic:blipFill>
                        <pic:spPr>
                          <a:xfrm>
                            <a:off x="0" y="0"/>
                            <a:ext cx="5324475" cy="5200650"/>
                          </a:xfrm>
                          <a:prstGeom prst="rect">
                            <a:avLst/>
                          </a:prstGeom>
                          <a:noFill/>
                          <a:ln>
                            <a:noFill/>
                          </a:ln>
                        </pic:spPr>
                      </pic:pic>
                    </a:graphicData>
                  </a:graphic>
                </wp:inline>
              </w:drawing>
            </w:r>
          </w:p>
        </w:tc>
      </w:tr>
    </w:tbl>
    <w:p>
      <w:pPr>
        <w:spacing w:line="360" w:lineRule="auto"/>
        <w:ind w:firstLine="560" w:firstLineChars="200"/>
        <w:jc w:val="both"/>
        <w:rPr>
          <w:rFonts w:ascii="仿宋_GB2312" w:hAnsi="Arial" w:eastAsia="仿宋_GB2312"/>
          <w:bCs/>
          <w:sz w:val="28"/>
          <w:highlight w:val="none"/>
        </w:rPr>
        <w:sectPr>
          <w:pgSz w:w="11907" w:h="16840"/>
          <w:pgMar w:top="1843" w:right="1134" w:bottom="1134" w:left="1134" w:header="1134" w:footer="907" w:gutter="340"/>
          <w:cols w:space="720" w:num="1"/>
          <w:titlePg/>
          <w:docGrid w:linePitch="326" w:charSpace="0"/>
        </w:sectPr>
      </w:pPr>
    </w:p>
    <w:p>
      <w:pPr>
        <w:spacing w:line="360" w:lineRule="auto"/>
        <w:jc w:val="center"/>
        <w:rPr>
          <w:rFonts w:ascii="Arial" w:hAnsi="Arial" w:eastAsia="仿宋_GB2312" w:cs="Arial"/>
          <w:b/>
          <w:bCs/>
          <w:highlight w:val="none"/>
        </w:rPr>
      </w:pPr>
      <w:r>
        <w:rPr>
          <w:rFonts w:hint="eastAsia" w:ascii="Arial" w:hAnsi="Arial" w:eastAsia="仿宋_GB2312" w:cs="Arial"/>
          <w:b/>
          <w:bCs/>
          <w:highlight w:val="none"/>
        </w:rPr>
        <w:t>表3：比较因素条件说明及指数表</w:t>
      </w:r>
    </w:p>
    <w:tbl>
      <w:tblPr>
        <w:tblStyle w:val="35"/>
        <w:tblW w:w="9299" w:type="dxa"/>
        <w:jc w:val="center"/>
        <w:tblLayout w:type="fixed"/>
        <w:tblCellMar>
          <w:top w:w="57" w:type="dxa"/>
          <w:left w:w="28" w:type="dxa"/>
          <w:bottom w:w="57" w:type="dxa"/>
          <w:right w:w="28" w:type="dxa"/>
        </w:tblCellMar>
      </w:tblPr>
      <w:tblGrid>
        <w:gridCol w:w="427"/>
        <w:gridCol w:w="1231"/>
        <w:gridCol w:w="1481"/>
        <w:gridCol w:w="429"/>
        <w:gridCol w:w="1483"/>
        <w:gridCol w:w="427"/>
        <w:gridCol w:w="1486"/>
        <w:gridCol w:w="424"/>
        <w:gridCol w:w="1467"/>
        <w:gridCol w:w="444"/>
      </w:tblGrid>
      <w:tr>
        <w:tblPrEx>
          <w:tblCellMar>
            <w:top w:w="57" w:type="dxa"/>
            <w:left w:w="28" w:type="dxa"/>
            <w:bottom w:w="57" w:type="dxa"/>
            <w:right w:w="28" w:type="dxa"/>
          </w:tblCellMar>
        </w:tblPrEx>
        <w:trPr>
          <w:cantSplit/>
          <w:tblHeader/>
          <w:jc w:val="center"/>
        </w:trPr>
        <w:tc>
          <w:tcPr>
            <w:tcW w:w="1658" w:type="dxa"/>
            <w:gridSpan w:val="2"/>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比较因素</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w:t>
            </w:r>
          </w:p>
        </w:tc>
        <w:tc>
          <w:tcPr>
            <w:tcW w:w="1910"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w:t>
            </w:r>
          </w:p>
        </w:tc>
        <w:tc>
          <w:tcPr>
            <w:tcW w:w="1911" w:type="dxa"/>
            <w:gridSpan w:val="2"/>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w:t>
            </w:r>
          </w:p>
        </w:tc>
      </w:tr>
      <w:tr>
        <w:tblPrEx>
          <w:tblCellMar>
            <w:top w:w="57" w:type="dxa"/>
            <w:left w:w="28" w:type="dxa"/>
            <w:bottom w:w="57" w:type="dxa"/>
            <w:right w:w="28" w:type="dxa"/>
          </w:tblCellMar>
        </w:tblPrEx>
        <w:trPr>
          <w:cantSplit/>
          <w:tblHeader/>
          <w:jc w:val="center"/>
        </w:trPr>
        <w:tc>
          <w:tcPr>
            <w:tcW w:w="1658" w:type="dxa"/>
            <w:gridSpan w:val="2"/>
            <w:vMerge w:val="continue"/>
            <w:tcBorders>
              <w:left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p>
        </w:tc>
        <w:tc>
          <w:tcPr>
            <w:tcW w:w="148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北京市密云区西门外大街</w:t>
            </w:r>
            <w:r>
              <w:rPr>
                <w:rFonts w:hint="eastAsia" w:ascii="Arial" w:hAnsi="Arial" w:eastAsia="仿宋_GB2312" w:cs="宋体"/>
                <w:sz w:val="18"/>
                <w:szCs w:val="18"/>
                <w:highlight w:val="none"/>
                <w:lang w:eastAsia="zh-CN"/>
              </w:rPr>
              <w:t>8号楼</w:t>
            </w:r>
            <w:r>
              <w:rPr>
                <w:rFonts w:hint="eastAsia" w:ascii="Arial" w:hAnsi="Arial" w:eastAsia="仿宋_GB2312" w:cs="宋体"/>
                <w:sz w:val="18"/>
                <w:szCs w:val="18"/>
                <w:highlight w:val="none"/>
                <w:lang w:val="en-US" w:eastAsia="zh-CN"/>
              </w:rPr>
              <w:t>6</w:t>
            </w:r>
            <w:r>
              <w:rPr>
                <w:rFonts w:hint="eastAsia" w:ascii="Arial" w:hAnsi="Arial" w:eastAsia="仿宋_GB2312" w:cs="宋体"/>
                <w:sz w:val="18"/>
                <w:szCs w:val="18"/>
                <w:highlight w:val="none"/>
                <w:lang w:eastAsia="zh-CN"/>
              </w:rPr>
              <w:t>层</w:t>
            </w:r>
            <w:r>
              <w:rPr>
                <w:rFonts w:hint="eastAsia" w:ascii="Arial" w:hAnsi="Arial" w:eastAsia="仿宋_GB2312" w:cs="宋体"/>
                <w:sz w:val="18"/>
                <w:szCs w:val="18"/>
                <w:highlight w:val="none"/>
                <w:lang w:val="en-US" w:eastAsia="zh-CN"/>
              </w:rPr>
              <w:t>601-605</w:t>
            </w:r>
            <w:r>
              <w:rPr>
                <w:rFonts w:hint="eastAsia" w:ascii="Arial" w:hAnsi="Arial" w:eastAsia="仿宋_GB2312" w:cs="宋体"/>
                <w:sz w:val="18"/>
                <w:szCs w:val="18"/>
                <w:highlight w:val="none"/>
                <w:lang w:eastAsia="zh-CN"/>
              </w:rPr>
              <w:t>号</w:t>
            </w:r>
            <w:r>
              <w:rPr>
                <w:rFonts w:hint="eastAsia" w:ascii="Arial" w:hAnsi="Arial" w:eastAsia="仿宋_GB2312" w:cs="宋体"/>
                <w:sz w:val="18"/>
                <w:szCs w:val="18"/>
                <w:highlight w:val="none"/>
              </w:rPr>
              <w:t>现状商业用地</w:t>
            </w:r>
          </w:p>
        </w:tc>
        <w:tc>
          <w:tcPr>
            <w:tcW w:w="4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4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8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r>
              <w:rPr>
                <w:rFonts w:hint="eastAsia" w:ascii="Arial" w:hAnsi="Arial" w:eastAsia="仿宋_GB2312" w:cs="宋体"/>
                <w:sz w:val="18"/>
                <w:szCs w:val="18"/>
                <w:highlight w:val="none"/>
              </w:rPr>
              <w:tab/>
            </w:r>
          </w:p>
        </w:tc>
        <w:tc>
          <w:tcPr>
            <w:tcW w:w="42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c>
          <w:tcPr>
            <w:tcW w:w="146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c>
          <w:tcPr>
            <w:tcW w:w="4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sz w:val="18"/>
                <w:szCs w:val="18"/>
                <w:highlight w:val="none"/>
              </w:rPr>
              <w:t>系数</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交易时间</w:t>
            </w:r>
          </w:p>
        </w:tc>
        <w:tc>
          <w:tcPr>
            <w:tcW w:w="1481"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eastAsia" w:ascii="Arial" w:hAnsi="Arial" w:eastAsia="仿宋_GB2312" w:cs="宋体"/>
                <w:color w:val="000000"/>
                <w:sz w:val="18"/>
                <w:szCs w:val="18"/>
                <w:highlight w:val="none"/>
                <w:lang w:eastAsia="zh-CN"/>
              </w:rPr>
            </w:pPr>
            <w:r>
              <w:rPr>
                <w:rFonts w:hint="eastAsia" w:ascii="Arial" w:hAnsi="Arial" w:eastAsia="仿宋_GB2312" w:cs="宋体"/>
                <w:color w:val="000000"/>
                <w:sz w:val="18"/>
                <w:szCs w:val="18"/>
                <w:highlight w:val="none"/>
                <w:lang w:eastAsia="zh-CN"/>
              </w:rPr>
              <w:t>2023年6月7日</w:t>
            </w:r>
          </w:p>
        </w:tc>
        <w:tc>
          <w:tcPr>
            <w:tcW w:w="429"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86"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2022年1月19日</w:t>
            </w:r>
          </w:p>
        </w:tc>
        <w:tc>
          <w:tcPr>
            <w:tcW w:w="42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98.9</w:t>
            </w:r>
          </w:p>
        </w:tc>
        <w:tc>
          <w:tcPr>
            <w:tcW w:w="1467"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2020年11月3日</w:t>
            </w:r>
          </w:p>
        </w:tc>
        <w:tc>
          <w:tcPr>
            <w:tcW w:w="444" w:type="dxa"/>
            <w:tcBorders>
              <w:top w:val="single" w:color="auto" w:sz="4" w:space="0"/>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ascii="Arial" w:hAnsi="Arial" w:eastAsia="仿宋_GB2312" w:cs="宋体"/>
                <w:color w:val="000000"/>
                <w:sz w:val="18"/>
                <w:szCs w:val="18"/>
                <w:highlight w:val="none"/>
              </w:rPr>
              <w:t>96.4</w:t>
            </w:r>
          </w:p>
        </w:tc>
      </w:tr>
      <w:tr>
        <w:tblPrEx>
          <w:tblCellMar>
            <w:top w:w="57" w:type="dxa"/>
            <w:left w:w="28" w:type="dxa"/>
            <w:bottom w:w="57" w:type="dxa"/>
            <w:right w:w="28" w:type="dxa"/>
          </w:tblCellMar>
        </w:tblPrEx>
        <w:trPr>
          <w:cantSplit/>
          <w:jc w:val="center"/>
        </w:trPr>
        <w:tc>
          <w:tcPr>
            <w:tcW w:w="165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交易情况</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正常</w:t>
            </w:r>
          </w:p>
        </w:tc>
        <w:tc>
          <w:tcPr>
            <w:tcW w:w="44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区域因素</w:t>
            </w: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商业繁华度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估价对象位于密云区西门外大街，估价对象周边主要以住宅社区底商及配套商业为主，周边有物美大卖场、云光商场家具城等商业场所，综合考虑商业繁华度一般。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D</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怀柔区雁栖镇HR00-0211-6031地块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hint="eastAsia" w:ascii="Arial" w:hAnsi="Arial" w:eastAsia="仿宋_GB2312" w:cs="Arial"/>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E</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怀柔区北房镇、怀北镇HR00-0211-6027、6028、6029、6030地块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sz w:val="18"/>
                <w:szCs w:val="24"/>
                <w:highlight w:val="none"/>
              </w:rPr>
              <w:t>案例</w:t>
            </w:r>
            <w:r>
              <w:rPr>
                <w:rFonts w:hint="eastAsia" w:ascii="Arial" w:hAnsi="Arial" w:eastAsia="仿宋_GB2312" w:cs="Arial"/>
                <w:sz w:val="18"/>
                <w:szCs w:val="24"/>
                <w:highlight w:val="none"/>
              </w:rPr>
              <w:t>F</w:t>
            </w:r>
            <w:r>
              <w:rPr>
                <w:rFonts w:ascii="Arial" w:hAnsi="Arial" w:eastAsia="仿宋_GB2312" w:cs="Arial"/>
                <w:sz w:val="18"/>
                <w:szCs w:val="24"/>
                <w:highlight w:val="none"/>
              </w:rPr>
              <w:t>位于</w:t>
            </w:r>
            <w:r>
              <w:rPr>
                <w:rFonts w:hint="eastAsia" w:ascii="Arial" w:hAnsi="Arial" w:eastAsia="仿宋_GB2312" w:cs="宋体"/>
                <w:sz w:val="18"/>
                <w:szCs w:val="18"/>
                <w:highlight w:val="none"/>
              </w:rPr>
              <w:t>怀柔区HR00-0211-6002、6009、6010、6011、6019地块</w:t>
            </w:r>
            <w:r>
              <w:rPr>
                <w:rFonts w:ascii="Arial" w:hAnsi="Arial" w:eastAsia="仿宋_GB2312" w:cs="Arial"/>
                <w:sz w:val="18"/>
                <w:szCs w:val="24"/>
                <w:highlight w:val="none"/>
              </w:rPr>
              <w:t>，周边主要以</w:t>
            </w:r>
            <w:r>
              <w:rPr>
                <w:rFonts w:hint="eastAsia" w:ascii="Arial" w:hAnsi="Arial" w:eastAsia="仿宋_GB2312" w:cs="Arial"/>
                <w:sz w:val="18"/>
                <w:szCs w:val="24"/>
                <w:highlight w:val="none"/>
              </w:rPr>
              <w:t>办公配套商业</w:t>
            </w:r>
            <w:r>
              <w:rPr>
                <w:rFonts w:ascii="Arial" w:hAnsi="Arial" w:eastAsia="仿宋_GB2312" w:cs="Arial"/>
                <w:sz w:val="18"/>
                <w:szCs w:val="24"/>
                <w:highlight w:val="none"/>
              </w:rPr>
              <w:t>为主，周边有佳乐美超市</w:t>
            </w:r>
            <w:r>
              <w:rPr>
                <w:rFonts w:hint="eastAsia" w:ascii="Arial" w:hAnsi="Arial" w:eastAsia="仿宋_GB2312" w:cs="Arial"/>
                <w:sz w:val="18"/>
                <w:szCs w:val="24"/>
                <w:highlight w:val="none"/>
              </w:rPr>
              <w:t>、建新超市</w:t>
            </w:r>
            <w:r>
              <w:rPr>
                <w:rFonts w:ascii="Arial" w:hAnsi="Arial" w:eastAsia="仿宋_GB2312" w:cs="Arial"/>
                <w:sz w:val="18"/>
                <w:szCs w:val="24"/>
                <w:highlight w:val="none"/>
              </w:rPr>
              <w:t>等商业场所，综合考虑商业繁华度一般。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Arial"/>
                <w:color w:val="000000"/>
                <w:sz w:val="18"/>
                <w:szCs w:val="18"/>
                <w:highlight w:val="none"/>
              </w:rPr>
            </w:pPr>
            <w:r>
              <w:rPr>
                <w:rFonts w:ascii="Arial" w:hAnsi="Arial" w:eastAsia="仿宋_GB2312" w:cs="Arial"/>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交通便捷度</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估价对象紧邻城市次干道—西门外大街，距京密路约1.2公里，距大广高速密云收费站约4.7公里，周边无地铁线路，周边有密5路、密9路、密12路、密13路等多条公交线路通过并设有站点，综合评价交通便捷度一般。</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案例D距京加路约500米，</w:t>
            </w:r>
            <w:r>
              <w:rPr>
                <w:rFonts w:hint="eastAsia" w:ascii="Arial" w:hAnsi="Arial" w:eastAsia="仿宋" w:cs="Arial"/>
                <w:sz w:val="18"/>
                <w:szCs w:val="18"/>
                <w:highlight w:val="none"/>
                <w:lang w:bidi="ar"/>
              </w:rPr>
              <w:t>周边无地铁线路，周边有H11路、H18路、H33路、H41路、H58路、H59路等多条公交线路通过并设有站点，综合评价交通便捷度一般。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案例E距京加路约2.8米，</w:t>
            </w:r>
            <w:r>
              <w:rPr>
                <w:rFonts w:hint="eastAsia" w:ascii="Arial" w:hAnsi="Arial" w:eastAsia="仿宋" w:cs="Arial"/>
                <w:sz w:val="18"/>
                <w:szCs w:val="18"/>
                <w:highlight w:val="none"/>
                <w:lang w:bidi="ar"/>
              </w:rPr>
              <w:t>周边无地铁线路，周边有H20路、H59路、 H66路、H79路等多条公交线路通过并设有站点，综合评价交通便捷度一般。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案例F距京加路约1.2公里，</w:t>
            </w:r>
            <w:r>
              <w:rPr>
                <w:rFonts w:hint="eastAsia" w:ascii="Arial" w:hAnsi="Arial" w:eastAsia="仿宋" w:cs="Arial"/>
                <w:sz w:val="18"/>
                <w:szCs w:val="18"/>
                <w:highlight w:val="none"/>
                <w:lang w:bidi="ar"/>
              </w:rPr>
              <w:t>周边无地铁线路，周边有H42路、H42路区间、H66路、 H79路等多条公交线路通过并设有站点，综合评价交通便捷度一般。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公共配套设施</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估价对象所在区域有购物场所（物美超市等）、学校（密云区季庄小学、密云区果园小学等），医院（密云区疾病预防控制中心、密云区果园社区卫生服务中心等），银行（中国建设银行、中国工商银行、中国农业银行等），综合分析，公共配套设施齐备程度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案例D所在区域有购物场所（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案例E所在区域有购物场所（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 w:cs="Arial"/>
                <w:sz w:val="18"/>
                <w:szCs w:val="18"/>
                <w:highlight w:val="none"/>
                <w:lang w:bidi="ar"/>
              </w:rPr>
              <w:t>案例F所在区域有购物场所（</w:t>
            </w:r>
            <w:r>
              <w:rPr>
                <w:rFonts w:ascii="Arial" w:hAnsi="Arial" w:eastAsia="仿宋_GB2312" w:cs="Arial"/>
                <w:sz w:val="18"/>
                <w:szCs w:val="24"/>
                <w:highlight w:val="none"/>
              </w:rPr>
              <w:t>佳乐美超市</w:t>
            </w:r>
            <w:r>
              <w:rPr>
                <w:rFonts w:hint="eastAsia" w:ascii="Arial" w:hAnsi="Arial" w:eastAsia="仿宋_GB2312" w:cs="Arial"/>
                <w:sz w:val="18"/>
                <w:szCs w:val="24"/>
                <w:highlight w:val="none"/>
              </w:rPr>
              <w:t>、建新超市</w:t>
            </w:r>
            <w:r>
              <w:rPr>
                <w:rFonts w:hint="eastAsia" w:ascii="Arial" w:hAnsi="Arial" w:eastAsia="仿宋" w:cs="Arial"/>
                <w:sz w:val="18"/>
                <w:szCs w:val="18"/>
                <w:highlight w:val="none"/>
                <w:lang w:bidi="ar"/>
              </w:rPr>
              <w:t>等）、学校（一零一中学(怀柔校区)、商鲲高铁初中等），医院（北京市怀柔区怀北镇卫生院等），银行（北京农商银行、中国银行等），综合分析，公共配套设施齐备程度较好。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基础设施水平</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估价对象所在区域基础设施水平达到“七通”</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案例D所在区域基础设施水平达到“七通”</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案例E所在区域基础设施水平达到“七通”</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案例F所在区域基础设施水平达到“七通”</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自然及人文环境</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估价对象周边2公里范围内有水系—白河，密虹公园等绿化景观，绿化条件较好；有密云区博物馆等人文设施，综合考虑自然环境与人文环境较好。</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案例D周边2公里范围内有雁栖湖景区等自然景观，自然条件较好；有中国科学院空天信息创新研究院等人文设施，综合考虑自然环境与人文环境较好。</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案例E周边2公里范围内有雁栖湖景区等自然景观，自然条件较好；有中国科学院空天信息创新研究院等人文设施，综合考虑自然环境与人文环境较好</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案例F周边2公里范围内有雁栖湖景区等自然景观，自然条件较好；有中国科学院空天信息创新研究院等人文设施，综合考虑自然环境与人文环境较好</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八级</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九级</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99</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70-80公里</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56-60公里</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110</w:t>
            </w:r>
          </w:p>
        </w:tc>
      </w:tr>
      <w:tr>
        <w:tblPrEx>
          <w:tblCellMar>
            <w:top w:w="57" w:type="dxa"/>
            <w:left w:w="28" w:type="dxa"/>
            <w:bottom w:w="57" w:type="dxa"/>
            <w:right w:w="28" w:type="dxa"/>
          </w:tblCellMar>
        </w:tblPrEx>
        <w:trPr>
          <w:cantSplit/>
          <w:jc w:val="center"/>
        </w:trPr>
        <w:tc>
          <w:tcPr>
            <w:tcW w:w="4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exact"/>
              <w:rPr>
                <w:rFonts w:ascii="Arial" w:hAnsi="Arial" w:eastAsia="仿宋_GB2312" w:cs="宋体"/>
                <w:color w:val="000000"/>
                <w:sz w:val="18"/>
                <w:szCs w:val="18"/>
                <w:highlight w:val="none"/>
              </w:rPr>
            </w:pPr>
          </w:p>
        </w:tc>
        <w:tc>
          <w:tcPr>
            <w:tcW w:w="12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与区域中心的距离</w:t>
            </w:r>
          </w:p>
        </w:tc>
        <w:tc>
          <w:tcPr>
            <w:tcW w:w="1481"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近</w:t>
            </w:r>
          </w:p>
        </w:tc>
        <w:tc>
          <w:tcPr>
            <w:tcW w:w="429"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100</w:t>
            </w:r>
          </w:p>
        </w:tc>
        <w:tc>
          <w:tcPr>
            <w:tcW w:w="1483"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486"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24"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c>
          <w:tcPr>
            <w:tcW w:w="1467" w:type="dxa"/>
            <w:tcBorders>
              <w:top w:val="nil"/>
              <w:left w:val="nil"/>
              <w:bottom w:val="single" w:color="auto" w:sz="4" w:space="0"/>
              <w:right w:val="single" w:color="auto" w:sz="4" w:space="0"/>
            </w:tcBorders>
            <w:shd w:val="clear" w:color="auto" w:fill="auto"/>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一般</w:t>
            </w:r>
          </w:p>
        </w:tc>
        <w:tc>
          <w:tcPr>
            <w:tcW w:w="444"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hint="default" w:ascii="Arial" w:hAnsi="Arial" w:eastAsia="仿宋_GB2312" w:cs="宋体"/>
                <w:color w:val="000000"/>
                <w:sz w:val="18"/>
                <w:szCs w:val="18"/>
                <w:highlight w:val="none"/>
                <w:lang w:val="en-US" w:eastAsia="zh-CN"/>
              </w:rPr>
            </w:pPr>
            <w:r>
              <w:rPr>
                <w:rFonts w:hint="eastAsia" w:ascii="Arial" w:hAnsi="Arial" w:eastAsia="仿宋_GB2312" w:cs="宋体"/>
                <w:color w:val="000000"/>
                <w:sz w:val="18"/>
                <w:szCs w:val="18"/>
                <w:highlight w:val="none"/>
                <w:lang w:val="en-US" w:eastAsia="zh-CN"/>
              </w:rPr>
              <w:t>99</w:t>
            </w:r>
          </w:p>
        </w:tc>
      </w:tr>
    </w:tbl>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ind w:firstLine="560" w:firstLineChars="200"/>
        <w:rPr>
          <w:rFonts w:ascii="仿宋_GB2312" w:hAnsi="Arial" w:eastAsia="仿宋_GB2312"/>
          <w:bCs/>
          <w:sz w:val="28"/>
          <w:highlight w:val="none"/>
        </w:rPr>
      </w:pPr>
    </w:p>
    <w:p>
      <w:pPr>
        <w:spacing w:line="360" w:lineRule="auto"/>
        <w:jc w:val="center"/>
        <w:rPr>
          <w:rFonts w:ascii="Arial" w:hAnsi="Arial" w:eastAsia="仿宋_GB2312" w:cs="Arial"/>
          <w:szCs w:val="24"/>
          <w:highlight w:val="none"/>
        </w:rPr>
      </w:pPr>
      <w:r>
        <w:rPr>
          <w:rFonts w:hint="eastAsia" w:ascii="Arial" w:hAnsi="Arial" w:eastAsia="仿宋_GB2312" w:cs="Arial"/>
          <w:b/>
          <w:bCs/>
          <w:szCs w:val="24"/>
          <w:highlight w:val="none"/>
        </w:rPr>
        <w:t>表4：因素修正和调整系数表</w:t>
      </w:r>
    </w:p>
    <w:tbl>
      <w:tblPr>
        <w:tblStyle w:val="35"/>
        <w:tblW w:w="9299" w:type="dxa"/>
        <w:jc w:val="center"/>
        <w:tblLayout w:type="fixed"/>
        <w:tblCellMar>
          <w:top w:w="57" w:type="dxa"/>
          <w:left w:w="28" w:type="dxa"/>
          <w:bottom w:w="57" w:type="dxa"/>
          <w:right w:w="28" w:type="dxa"/>
        </w:tblCellMar>
      </w:tblPr>
      <w:tblGrid>
        <w:gridCol w:w="901"/>
        <w:gridCol w:w="2361"/>
        <w:gridCol w:w="567"/>
        <w:gridCol w:w="1412"/>
        <w:gridCol w:w="572"/>
        <w:gridCol w:w="1443"/>
        <w:gridCol w:w="542"/>
        <w:gridCol w:w="1501"/>
      </w:tblGrid>
      <w:tr>
        <w:tblPrEx>
          <w:tblCellMar>
            <w:top w:w="57" w:type="dxa"/>
            <w:left w:w="28" w:type="dxa"/>
            <w:bottom w:w="57" w:type="dxa"/>
            <w:right w:w="28" w:type="dxa"/>
          </w:tblCellMar>
        </w:tblPrEx>
        <w:trPr>
          <w:cantSplit/>
          <w:tblHeader/>
          <w:jc w:val="center"/>
        </w:trPr>
        <w:tc>
          <w:tcPr>
            <w:tcW w:w="3262" w:type="dxa"/>
            <w:gridSpan w:val="2"/>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比较因素</w:t>
            </w:r>
          </w:p>
        </w:tc>
        <w:tc>
          <w:tcPr>
            <w:tcW w:w="1979"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案例：D</w:t>
            </w:r>
          </w:p>
        </w:tc>
        <w:tc>
          <w:tcPr>
            <w:tcW w:w="2015" w:type="dxa"/>
            <w:gridSpan w:val="2"/>
            <w:tcBorders>
              <w:top w:val="single" w:color="auto" w:sz="4" w:space="0"/>
              <w:left w:val="single" w:color="auto" w:sz="4" w:space="0"/>
              <w:bottom w:val="single" w:color="000000"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案例：E</w:t>
            </w:r>
          </w:p>
        </w:tc>
        <w:tc>
          <w:tcPr>
            <w:tcW w:w="2043" w:type="dxa"/>
            <w:gridSpan w:val="2"/>
            <w:tcBorders>
              <w:top w:val="single" w:color="auto" w:sz="4" w:space="0"/>
              <w:left w:val="single" w:color="auto" w:sz="4" w:space="0"/>
              <w:bottom w:val="single" w:color="000000" w:sz="4" w:space="0"/>
              <w:right w:val="single" w:color="000000"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案例：F</w:t>
            </w:r>
          </w:p>
        </w:tc>
      </w:tr>
      <w:tr>
        <w:tblPrEx>
          <w:tblCellMar>
            <w:top w:w="57" w:type="dxa"/>
            <w:left w:w="28" w:type="dxa"/>
            <w:bottom w:w="57" w:type="dxa"/>
            <w:right w:w="28" w:type="dxa"/>
          </w:tblCellMar>
        </w:tblPrEx>
        <w:trPr>
          <w:cantSplit/>
          <w:tblHeader/>
          <w:jc w:val="center"/>
        </w:trPr>
        <w:tc>
          <w:tcPr>
            <w:tcW w:w="3262" w:type="dxa"/>
            <w:gridSpan w:val="2"/>
            <w:vMerge w:val="continue"/>
            <w:tcBorders>
              <w:top w:val="single" w:color="auto" w:sz="4" w:space="0"/>
              <w:left w:val="single" w:color="auto" w:sz="4" w:space="0"/>
              <w:bottom w:val="single" w:color="000000" w:sz="4" w:space="0"/>
              <w:right w:val="single" w:color="000000" w:sz="4" w:space="0"/>
            </w:tcBorders>
            <w:vAlign w:val="center"/>
          </w:tcPr>
          <w:p>
            <w:pPr>
              <w:widowControl/>
              <w:spacing w:line="240" w:lineRule="exact"/>
              <w:rPr>
                <w:rFonts w:ascii="Arial" w:hAnsi="Arial" w:eastAsia="仿宋_GB2312" w:cs="宋体"/>
                <w:sz w:val="18"/>
                <w:szCs w:val="18"/>
                <w:highlight w:val="none"/>
              </w:rPr>
            </w:pPr>
          </w:p>
        </w:tc>
        <w:tc>
          <w:tcPr>
            <w:tcW w:w="1979"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北京市怀柔区怀北、雁栖镇HR00-0211-6031地块〔城市客厅B地块(北侧地块)〕F3其他类多功能用地(怀柔科学城核心区及周边土地一级开发项目)</w:t>
            </w:r>
          </w:p>
        </w:tc>
        <w:tc>
          <w:tcPr>
            <w:tcW w:w="2015"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北京市怀柔区北房镇、怀北镇HR00-0211-6027、6028、6029、6030地块(城市客厅C地块)F3其他类多功能用地(怀柔科学城核心区及周边土地一级开发项目)</w:t>
            </w:r>
          </w:p>
        </w:tc>
        <w:tc>
          <w:tcPr>
            <w:tcW w:w="2043" w:type="dxa"/>
            <w:gridSpan w:val="2"/>
            <w:tcBorders>
              <w:top w:val="single" w:color="auto" w:sz="4" w:space="0"/>
              <w:left w:val="single" w:color="auto" w:sz="4" w:space="0"/>
              <w:bottom w:val="single" w:color="auto" w:sz="4" w:space="0"/>
              <w:right w:val="single" w:color="000000"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北京市怀柔科学城核心区及周边土地一级开发项目HR00-0211-6002、6009、6010、6011、6019地块(城市客厅A)F3其他类多功能用地</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交易时间</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98.9</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96.4</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交易情况</w:t>
            </w:r>
          </w:p>
        </w:tc>
        <w:tc>
          <w:tcPr>
            <w:tcW w:w="567"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single" w:color="auto" w:sz="4" w:space="0"/>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区域因素</w:t>
            </w: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商业繁华度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交通便捷度</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公共配套设施</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基础设施水平</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自然及人文环境</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土地级别</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99</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color w:val="000000"/>
                <w:sz w:val="18"/>
                <w:szCs w:val="18"/>
                <w:highlight w:val="none"/>
              </w:rPr>
            </w:pPr>
            <w:r>
              <w:rPr>
                <w:rFonts w:hint="eastAsia" w:ascii="Arial" w:hAnsi="Arial" w:eastAsia="仿宋_GB2312" w:cs="宋体"/>
                <w:color w:val="000000"/>
                <w:sz w:val="18"/>
                <w:szCs w:val="18"/>
                <w:highlight w:val="none"/>
              </w:rPr>
              <w:t>与中心城区的距离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110</w:t>
            </w:r>
          </w:p>
        </w:tc>
      </w:tr>
      <w:tr>
        <w:tblPrEx>
          <w:tblCellMar>
            <w:top w:w="57" w:type="dxa"/>
            <w:left w:w="28" w:type="dxa"/>
            <w:bottom w:w="57" w:type="dxa"/>
            <w:right w:w="28" w:type="dxa"/>
          </w:tblCellMar>
        </w:tblPrEx>
        <w:trPr>
          <w:cantSplit/>
          <w:jc w:val="center"/>
        </w:trPr>
        <w:tc>
          <w:tcPr>
            <w:tcW w:w="901" w:type="dxa"/>
            <w:vMerge w:val="continue"/>
            <w:tcBorders>
              <w:top w:val="nil"/>
              <w:left w:val="single" w:color="auto" w:sz="4" w:space="0"/>
              <w:bottom w:val="single" w:color="000000" w:sz="4" w:space="0"/>
              <w:right w:val="single" w:color="auto" w:sz="4" w:space="0"/>
            </w:tcBorders>
            <w:shd w:val="clear" w:color="auto" w:fill="auto"/>
            <w:vAlign w:val="center"/>
          </w:tcPr>
          <w:p>
            <w:pPr>
              <w:widowControl/>
              <w:spacing w:line="240" w:lineRule="exact"/>
              <w:rPr>
                <w:rFonts w:ascii="Arial" w:hAnsi="Arial" w:eastAsia="仿宋_GB2312" w:cs="宋体"/>
                <w:sz w:val="18"/>
                <w:szCs w:val="18"/>
                <w:highlight w:val="none"/>
              </w:rPr>
            </w:pPr>
          </w:p>
        </w:tc>
        <w:tc>
          <w:tcPr>
            <w:tcW w:w="2361" w:type="dxa"/>
            <w:tcBorders>
              <w:top w:val="nil"/>
              <w:left w:val="nil"/>
              <w:bottom w:val="single" w:color="auto" w:sz="4" w:space="0"/>
              <w:right w:val="single" w:color="auto" w:sz="4" w:space="0"/>
            </w:tcBorders>
            <w:shd w:val="clear" w:color="auto" w:fill="auto"/>
            <w:noWrap/>
            <w:vAlign w:val="center"/>
          </w:tcPr>
          <w:p>
            <w:pPr>
              <w:widowControl/>
              <w:adjustRightInd/>
              <w:spacing w:line="240" w:lineRule="exact"/>
              <w:textAlignment w:val="auto"/>
              <w:rPr>
                <w:rFonts w:ascii="Arial" w:hAnsi="Arial" w:eastAsia="仿宋_GB2312" w:cs="宋体"/>
                <w:sz w:val="18"/>
                <w:szCs w:val="18"/>
                <w:highlight w:val="none"/>
              </w:rPr>
            </w:pPr>
            <w:r>
              <w:rPr>
                <w:rFonts w:hint="eastAsia" w:ascii="Arial" w:hAnsi="Arial" w:eastAsia="仿宋_GB2312" w:cs="宋体"/>
                <w:color w:val="000000"/>
                <w:sz w:val="18"/>
                <w:szCs w:val="18"/>
                <w:highlight w:val="none"/>
              </w:rPr>
              <w:t>与区域中心的距离</w:t>
            </w:r>
          </w:p>
        </w:tc>
        <w:tc>
          <w:tcPr>
            <w:tcW w:w="567" w:type="dxa"/>
            <w:tcBorders>
              <w:top w:val="nil"/>
              <w:left w:val="nil"/>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12" w:type="dxa"/>
            <w:tcBorders>
              <w:top w:val="nil"/>
              <w:bottom w:val="single" w:color="auto" w:sz="4" w:space="0"/>
              <w:right w:val="single" w:color="auto" w:sz="4" w:space="0"/>
            </w:tcBorders>
          </w:tcPr>
          <w:p>
            <w:pPr>
              <w:widowControl/>
              <w:spacing w:line="240" w:lineRule="exact"/>
              <w:rPr>
                <w:rFonts w:hint="eastAsia" w:ascii="Arial" w:hAnsi="Arial" w:eastAsia="仿宋_GB2312" w:cs="宋体"/>
                <w:sz w:val="18"/>
                <w:szCs w:val="18"/>
                <w:highlight w:val="none"/>
                <w:lang w:eastAsia="zh-CN"/>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c>
          <w:tcPr>
            <w:tcW w:w="57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443"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c>
          <w:tcPr>
            <w:tcW w:w="542" w:type="dxa"/>
            <w:tcBorders>
              <w:top w:val="nil"/>
              <w:left w:val="single" w:color="auto" w:sz="4" w:space="0"/>
              <w:bottom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100/</w:t>
            </w:r>
          </w:p>
        </w:tc>
        <w:tc>
          <w:tcPr>
            <w:tcW w:w="1501" w:type="dxa"/>
            <w:tcBorders>
              <w:top w:val="nil"/>
              <w:bottom w:val="single" w:color="auto" w:sz="4" w:space="0"/>
              <w:right w:val="single" w:color="auto" w:sz="4" w:space="0"/>
            </w:tcBorders>
            <w:vAlign w:val="top"/>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9</w:t>
            </w:r>
            <w:r>
              <w:rPr>
                <w:rFonts w:hint="eastAsia" w:ascii="Arial" w:hAnsi="Arial" w:eastAsia="仿宋_GB2312" w:cs="宋体"/>
                <w:sz w:val="18"/>
                <w:szCs w:val="18"/>
                <w:highlight w:val="none"/>
                <w:lang w:val="en-US" w:eastAsia="zh-CN"/>
              </w:rPr>
              <w:t>9</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销售价格（元/平方米）</w:t>
            </w:r>
          </w:p>
        </w:tc>
        <w:tc>
          <w:tcPr>
            <w:tcW w:w="1979" w:type="dxa"/>
            <w:gridSpan w:val="2"/>
            <w:tcBorders>
              <w:top w:val="single" w:color="auto" w:sz="4" w:space="0"/>
              <w:left w:val="nil"/>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6156</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6140</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6143</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比较价值（元/平方米）</w:t>
            </w:r>
          </w:p>
        </w:tc>
        <w:tc>
          <w:tcPr>
            <w:tcW w:w="1979"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774</w:t>
            </w:r>
          </w:p>
        </w:tc>
        <w:tc>
          <w:tcPr>
            <w:tcW w:w="2015"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758</w:t>
            </w:r>
          </w:p>
        </w:tc>
        <w:tc>
          <w:tcPr>
            <w:tcW w:w="2043" w:type="dxa"/>
            <w:gridSpan w:val="2"/>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lang w:val="en-US" w:eastAsia="zh-CN"/>
              </w:rPr>
              <w:t>5911</w:t>
            </w:r>
          </w:p>
        </w:tc>
      </w:tr>
      <w:tr>
        <w:tblPrEx>
          <w:tblCellMar>
            <w:top w:w="57" w:type="dxa"/>
            <w:left w:w="28" w:type="dxa"/>
            <w:bottom w:w="57" w:type="dxa"/>
            <w:right w:w="28" w:type="dxa"/>
          </w:tblCellMar>
        </w:tblPrEx>
        <w:trPr>
          <w:cantSplit/>
          <w:jc w:val="center"/>
        </w:trPr>
        <w:tc>
          <w:tcPr>
            <w:tcW w:w="3262" w:type="dxa"/>
            <w:gridSpan w:val="2"/>
            <w:tcBorders>
              <w:top w:val="single" w:color="auto" w:sz="4" w:space="0"/>
              <w:left w:val="single" w:color="auto" w:sz="4" w:space="0"/>
              <w:bottom w:val="single" w:color="auto" w:sz="4" w:space="0"/>
              <w:right w:val="single" w:color="auto" w:sz="4" w:space="0"/>
            </w:tcBorders>
            <w:vAlign w:val="center"/>
          </w:tcPr>
          <w:p>
            <w:pPr>
              <w:widowControl/>
              <w:spacing w:line="240" w:lineRule="exact"/>
              <w:rPr>
                <w:rFonts w:ascii="Arial" w:hAnsi="Arial" w:eastAsia="仿宋_GB2312" w:cs="宋体"/>
                <w:sz w:val="18"/>
                <w:szCs w:val="18"/>
                <w:highlight w:val="none"/>
              </w:rPr>
            </w:pPr>
            <w:r>
              <w:rPr>
                <w:rFonts w:hint="eastAsia" w:ascii="Arial" w:hAnsi="Arial" w:eastAsia="仿宋_GB2312" w:cs="宋体"/>
                <w:sz w:val="18"/>
                <w:szCs w:val="18"/>
                <w:highlight w:val="none"/>
              </w:rPr>
              <w:t>楼面单价（元/平方米）</w:t>
            </w:r>
          </w:p>
        </w:tc>
        <w:tc>
          <w:tcPr>
            <w:tcW w:w="6037" w:type="dxa"/>
            <w:gridSpan w:val="6"/>
            <w:tcBorders>
              <w:top w:val="single" w:color="auto" w:sz="4" w:space="0"/>
              <w:left w:val="single" w:color="auto" w:sz="4" w:space="0"/>
              <w:bottom w:val="single" w:color="auto" w:sz="4" w:space="0"/>
              <w:right w:val="single" w:color="auto" w:sz="4" w:space="0"/>
            </w:tcBorders>
          </w:tcPr>
          <w:p>
            <w:pPr>
              <w:widowControl/>
              <w:spacing w:line="240" w:lineRule="exact"/>
              <w:rPr>
                <w:rFonts w:hint="default" w:ascii="Arial" w:hAnsi="Arial" w:eastAsia="仿宋_GB2312" w:cs="宋体"/>
                <w:sz w:val="18"/>
                <w:szCs w:val="18"/>
                <w:highlight w:val="none"/>
                <w:lang w:val="en-US" w:eastAsia="zh-CN"/>
              </w:rPr>
            </w:pPr>
            <w:r>
              <w:rPr>
                <w:rFonts w:hint="eastAsia" w:ascii="Arial" w:hAnsi="Arial" w:eastAsia="仿宋_GB2312" w:cs="宋体"/>
                <w:sz w:val="18"/>
                <w:szCs w:val="18"/>
                <w:highlight w:val="none"/>
              </w:rPr>
              <w:t>5</w:t>
            </w:r>
            <w:r>
              <w:rPr>
                <w:rFonts w:hint="eastAsia" w:ascii="Arial" w:hAnsi="Arial" w:eastAsia="仿宋_GB2312" w:cs="宋体"/>
                <w:sz w:val="18"/>
                <w:szCs w:val="18"/>
                <w:highlight w:val="none"/>
                <w:lang w:val="en-US" w:eastAsia="zh-CN"/>
              </w:rPr>
              <w:t>814</w:t>
            </w:r>
          </w:p>
        </w:tc>
      </w:tr>
    </w:tbl>
    <w:p>
      <w:pPr>
        <w:snapToGrid w:val="0"/>
        <w:spacing w:line="240" w:lineRule="exact"/>
        <w:ind w:firstLine="360" w:firstLineChars="200"/>
        <w:rPr>
          <w:rFonts w:ascii="仿宋_GB2312" w:hAnsi="Arial" w:eastAsia="仿宋_GB2312"/>
          <w:bCs/>
          <w:sz w:val="18"/>
          <w:szCs w:val="18"/>
          <w:highlight w:val="none"/>
        </w:rPr>
      </w:pPr>
    </w:p>
    <w:p>
      <w:pPr>
        <w:snapToGrid w:val="0"/>
        <w:spacing w:line="300" w:lineRule="auto"/>
        <w:ind w:firstLine="560" w:firstLineChars="200"/>
        <w:rPr>
          <w:rFonts w:ascii="Arial" w:hAnsi="Arial" w:eastAsia="仿宋_GB2312" w:cs="Arial"/>
          <w:sz w:val="28"/>
          <w:highlight w:val="none"/>
        </w:rPr>
      </w:pPr>
      <w:r>
        <w:rPr>
          <w:rFonts w:hint="eastAsia" w:ascii="Arial" w:hAnsi="Arial" w:eastAsia="仿宋_GB2312" w:cs="Arial"/>
          <w:sz w:val="28"/>
          <w:highlight w:val="none"/>
        </w:rPr>
        <w:t>依前述，</w:t>
      </w:r>
      <w:r>
        <w:rPr>
          <w:rFonts w:hint="eastAsia" w:ascii="Arial" w:hAnsi="Arial" w:eastAsia="仿宋_GB2312" w:cs="Arial"/>
          <w:kern w:val="2"/>
          <w:sz w:val="28"/>
          <w:szCs w:val="24"/>
          <w:highlight w:val="none"/>
        </w:rPr>
        <w:t>征地拆迁费用占土地一级开发补偿费总额的比例约为70%，</w:t>
      </w:r>
      <w:r>
        <w:rPr>
          <w:rFonts w:ascii="Arial" w:hAnsi="Arial" w:eastAsia="仿宋_GB2312" w:cs="Arial"/>
          <w:sz w:val="28"/>
          <w:highlight w:val="none"/>
        </w:rPr>
        <w:t>故</w:t>
      </w:r>
      <w:r>
        <w:rPr>
          <w:rFonts w:hint="eastAsia" w:ascii="Arial" w:hAnsi="Arial" w:eastAsia="仿宋_GB2312" w:cs="Arial"/>
          <w:sz w:val="28"/>
          <w:highlight w:val="none"/>
        </w:rPr>
        <w:t>：</w:t>
      </w:r>
    </w:p>
    <w:p>
      <w:pPr>
        <w:snapToGrid w:val="0"/>
        <w:spacing w:line="300" w:lineRule="auto"/>
        <w:ind w:firstLine="560" w:firstLineChars="200"/>
        <w:rPr>
          <w:rFonts w:hint="default" w:ascii="Arial" w:hAnsi="Arial" w:eastAsia="仿宋_GB2312" w:cs="Arial"/>
          <w:sz w:val="28"/>
          <w:highlight w:val="none"/>
          <w:lang w:val="en-US" w:eastAsia="zh-CN"/>
        </w:rPr>
      </w:pPr>
      <w:r>
        <w:rPr>
          <w:rFonts w:ascii="Arial" w:hAnsi="Arial" w:eastAsia="仿宋_GB2312" w:cs="Arial"/>
          <w:sz w:val="28"/>
          <w:highlight w:val="none"/>
        </w:rPr>
        <w:t>土地取得成本单价＝</w:t>
      </w:r>
      <w:r>
        <w:rPr>
          <w:rFonts w:hint="eastAsia" w:ascii="Arial" w:hAnsi="Arial" w:eastAsia="仿宋_GB2312" w:cs="Arial"/>
          <w:sz w:val="28"/>
          <w:highlight w:val="none"/>
        </w:rPr>
        <w:t>5</w:t>
      </w:r>
      <w:r>
        <w:rPr>
          <w:rFonts w:hint="eastAsia" w:ascii="Arial" w:hAnsi="Arial" w:eastAsia="仿宋_GB2312" w:cs="Arial"/>
          <w:sz w:val="28"/>
          <w:highlight w:val="none"/>
          <w:lang w:val="en-US" w:eastAsia="zh-CN"/>
        </w:rPr>
        <w:t>814</w:t>
      </w:r>
      <w:r>
        <w:rPr>
          <w:rFonts w:ascii="Arial" w:hAnsi="Arial" w:eastAsia="仿宋_GB2312" w:cs="Arial"/>
          <w:sz w:val="28"/>
          <w:highlight w:val="none"/>
        </w:rPr>
        <w:t>×70%＝</w:t>
      </w:r>
      <w:r>
        <w:rPr>
          <w:rFonts w:hint="eastAsia" w:ascii="Arial" w:hAnsi="Arial" w:eastAsia="仿宋_GB2312" w:cs="Arial"/>
          <w:sz w:val="28"/>
          <w:highlight w:val="none"/>
        </w:rPr>
        <w:t>4</w:t>
      </w:r>
      <w:r>
        <w:rPr>
          <w:rFonts w:hint="eastAsia" w:ascii="Arial" w:hAnsi="Arial" w:eastAsia="仿宋_GB2312" w:cs="Arial"/>
          <w:sz w:val="28"/>
          <w:highlight w:val="none"/>
          <w:lang w:val="en-US" w:eastAsia="zh-CN"/>
        </w:rPr>
        <w:t>070</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土地取得成本＝4</w:t>
      </w:r>
      <w:r>
        <w:rPr>
          <w:rFonts w:hint="eastAsia" w:ascii="Arial" w:hAnsi="Arial" w:eastAsia="仿宋_GB2312" w:cs="Arial"/>
          <w:sz w:val="28"/>
          <w:highlight w:val="none"/>
          <w:lang w:val="en-US" w:eastAsia="zh-CN"/>
        </w:rPr>
        <w:t>070</w:t>
      </w:r>
      <w:r>
        <w:rPr>
          <w:rFonts w:ascii="Arial" w:hAnsi="Arial" w:eastAsia="仿宋_GB2312" w:cs="Arial"/>
          <w:sz w:val="28"/>
          <w:highlight w:val="none"/>
        </w:rPr>
        <w:t>×</w:t>
      </w:r>
      <w:r>
        <w:rPr>
          <w:rFonts w:hint="eastAsia" w:ascii="Arial" w:hAnsi="Arial" w:eastAsia="仿宋_GB2312" w:cs="Arial"/>
          <w:sz w:val="28"/>
          <w:highlight w:val="none"/>
          <w:lang w:eastAsia="zh-CN"/>
        </w:rPr>
        <w:t>259.75</w:t>
      </w:r>
      <w:r>
        <w:rPr>
          <w:rFonts w:ascii="Arial" w:hAnsi="Arial" w:eastAsia="仿宋_GB2312" w:cs="Arial"/>
          <w:sz w:val="28"/>
          <w:highlight w:val="none"/>
        </w:rPr>
        <w:t>÷10000＝</w:t>
      </w:r>
      <w:r>
        <w:rPr>
          <w:rFonts w:hint="eastAsia" w:ascii="Arial" w:hAnsi="Arial" w:eastAsia="仿宋_GB2312" w:cs="Arial"/>
          <w:sz w:val="28"/>
          <w:highlight w:val="none"/>
          <w:lang w:val="en-US" w:eastAsia="zh-CN"/>
        </w:rPr>
        <w:t>105.7183</w:t>
      </w:r>
      <w:r>
        <w:rPr>
          <w:rFonts w:ascii="Arial" w:hAnsi="Arial" w:eastAsia="仿宋_GB2312" w:cs="Arial"/>
          <w:bCs/>
          <w:sz w:val="28"/>
          <w:highlight w:val="none"/>
        </w:rPr>
        <w:t>（万元）</w:t>
      </w:r>
      <w:r>
        <w:rPr>
          <w:rFonts w:ascii="Arial" w:hAnsi="Arial" w:eastAsia="仿宋_GB2312" w:cs="Arial"/>
          <w:sz w:val="28"/>
          <w:highlight w:val="none"/>
        </w:rPr>
        <w:t>。</w:t>
      </w:r>
    </w:p>
    <w:p>
      <w:pPr>
        <w:snapToGrid w:val="0"/>
        <w:spacing w:line="300" w:lineRule="auto"/>
        <w:ind w:firstLine="560" w:firstLineChars="200"/>
        <w:jc w:val="both"/>
        <w:rPr>
          <w:rFonts w:ascii="仿宋_GB2312" w:eastAsia="仿宋_GB2312"/>
          <w:sz w:val="28"/>
          <w:highlight w:val="none"/>
        </w:rPr>
      </w:pPr>
      <w:r>
        <w:rPr>
          <w:rFonts w:hint="eastAsia" w:ascii="Arial" w:hAnsi="Arial" w:eastAsia="仿宋_GB2312" w:cs="Arial"/>
          <w:sz w:val="28"/>
          <w:highlight w:val="none"/>
        </w:rPr>
        <w:t>2.</w:t>
      </w:r>
      <w:r>
        <w:rPr>
          <w:rFonts w:hint="eastAsia" w:ascii="仿宋_GB2312" w:eastAsia="仿宋_GB2312"/>
          <w:sz w:val="28"/>
          <w:highlight w:val="none"/>
        </w:rPr>
        <w:t>土地开发费</w:t>
      </w:r>
    </w:p>
    <w:p>
      <w:pPr>
        <w:snapToGrid w:val="0"/>
        <w:spacing w:line="300" w:lineRule="auto"/>
        <w:ind w:firstLine="560" w:firstLineChars="200"/>
        <w:jc w:val="both"/>
        <w:rPr>
          <w:rFonts w:ascii="Arial" w:hAnsi="Arial" w:eastAsia="仿宋_GB2312" w:cs="Arial"/>
          <w:bCs/>
          <w:sz w:val="28"/>
          <w:highlight w:val="none"/>
        </w:rPr>
      </w:pPr>
      <w:r>
        <w:rPr>
          <w:rFonts w:ascii="Arial" w:hAnsi="Arial" w:eastAsia="仿宋_GB2312" w:cs="Arial"/>
          <w:sz w:val="28"/>
          <w:highlight w:val="none"/>
        </w:rPr>
        <w:t>本次评估估价对象设定开发程度为宗地红线外“七通”（</w:t>
      </w:r>
      <w:r>
        <w:rPr>
          <w:rFonts w:ascii="Arial" w:hAnsi="Arial" w:eastAsia="仿宋" w:cs="Arial"/>
          <w:sz w:val="28"/>
          <w:szCs w:val="28"/>
          <w:highlight w:val="none"/>
        </w:rPr>
        <w:t>即通路、通上水、通下水、通电、通讯、通热、通燃气</w:t>
      </w:r>
      <w:r>
        <w:rPr>
          <w:rFonts w:ascii="Arial" w:hAnsi="Arial" w:eastAsia="仿宋_GB2312" w:cs="Arial"/>
          <w:sz w:val="28"/>
          <w:highlight w:val="none"/>
        </w:rPr>
        <w:t>）、红线内场地平整。根据</w:t>
      </w:r>
      <w:r>
        <w:rPr>
          <w:rFonts w:ascii="Arial" w:hAnsi="Arial" w:eastAsia="仿宋" w:cs="Arial"/>
          <w:spacing w:val="9"/>
          <w:sz w:val="27"/>
          <w:szCs w:val="27"/>
          <w:highlight w:val="none"/>
        </w:rPr>
        <w:t>《北京市人民政府关于更新出让国有建设用地使用权</w:t>
      </w:r>
      <w:r>
        <w:rPr>
          <w:rFonts w:ascii="Arial" w:hAnsi="Arial" w:eastAsia="仿宋" w:cs="Arial"/>
          <w:spacing w:val="13"/>
          <w:sz w:val="27"/>
          <w:szCs w:val="27"/>
          <w:highlight w:val="none"/>
        </w:rPr>
        <w:t>基准地价的通知》(京政发〔2022〕12号) ，估价对象位于商业类用途八级地价区，</w:t>
      </w:r>
      <w:r>
        <w:rPr>
          <w:rFonts w:ascii="Arial" w:hAnsi="Arial" w:eastAsia="仿宋_GB2312" w:cs="Arial"/>
          <w:bCs/>
          <w:sz w:val="28"/>
          <w:highlight w:val="none"/>
        </w:rPr>
        <w:t>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土地开发费＝</w:t>
      </w:r>
      <w:r>
        <w:rPr>
          <w:rFonts w:hint="eastAsia" w:ascii="Arial" w:hAnsi="Arial" w:eastAsia="仿宋_GB2312" w:cs="Arial"/>
          <w:sz w:val="28"/>
          <w:highlight w:val="none"/>
        </w:rPr>
        <w:t>土地面积</w:t>
      </w:r>
      <w:r>
        <w:rPr>
          <w:rFonts w:ascii="Arial" w:hAnsi="Arial" w:eastAsia="仿宋_GB2312" w:cs="Arial"/>
          <w:sz w:val="28"/>
          <w:highlight w:val="none"/>
        </w:rPr>
        <w:t>×取费标准＝</w:t>
      </w:r>
      <w:r>
        <w:rPr>
          <w:rFonts w:hint="eastAsia" w:ascii="Arial" w:hAnsi="Arial" w:eastAsia="仿宋_GB2312" w:cs="Arial"/>
          <w:sz w:val="28"/>
          <w:highlight w:val="none"/>
          <w:lang w:val="en-US" w:eastAsia="zh-CN"/>
        </w:rPr>
        <w:t>127.326</w:t>
      </w:r>
      <w:r>
        <w:rPr>
          <w:rFonts w:ascii="Arial" w:hAnsi="Arial" w:eastAsia="仿宋_GB2312" w:cs="Arial"/>
          <w:sz w:val="28"/>
          <w:highlight w:val="none"/>
        </w:rPr>
        <w:t>×2</w:t>
      </w:r>
      <w:r>
        <w:rPr>
          <w:rFonts w:hint="eastAsia" w:ascii="Arial" w:hAnsi="Arial" w:eastAsia="仿宋_GB2312" w:cs="Arial"/>
          <w:sz w:val="28"/>
          <w:highlight w:val="none"/>
        </w:rPr>
        <w:t>5</w:t>
      </w:r>
      <w:r>
        <w:rPr>
          <w:rFonts w:ascii="Arial" w:hAnsi="Arial" w:eastAsia="仿宋_GB2312" w:cs="Arial"/>
          <w:sz w:val="28"/>
          <w:highlight w:val="none"/>
        </w:rPr>
        <w:t>5÷10000＝</w:t>
      </w:r>
      <w:r>
        <w:rPr>
          <w:rFonts w:hint="eastAsia" w:ascii="Arial" w:hAnsi="Arial" w:eastAsia="仿宋_GB2312" w:cs="Arial"/>
          <w:sz w:val="28"/>
          <w:highlight w:val="none"/>
          <w:lang w:val="en-US" w:eastAsia="zh-CN"/>
        </w:rPr>
        <w:t>3.2468</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3.相关税费</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在土地开发过程中所涉及的税费一般包括征地过程中发生的税费，或房屋拆迁过程中所发生的税费，由于前述土地取得成本中已包含该部分税费，故在此不再单独计取。</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4.利息</w:t>
      </w:r>
    </w:p>
    <w:p>
      <w:pPr>
        <w:snapToGrid w:val="0"/>
        <w:spacing w:line="300" w:lineRule="auto"/>
        <w:ind w:firstLine="700" w:firstLineChars="250"/>
        <w:jc w:val="both"/>
        <w:rPr>
          <w:rFonts w:ascii="Arial" w:hAnsi="Arial" w:eastAsia="仿宋_GB2312" w:cs="Arial"/>
          <w:sz w:val="28"/>
          <w:highlight w:val="none"/>
        </w:rPr>
      </w:pPr>
      <w:r>
        <w:rPr>
          <w:rFonts w:ascii="Arial" w:hAnsi="Arial" w:eastAsia="仿宋_GB2312" w:cs="Arial"/>
          <w:sz w:val="28"/>
          <w:highlight w:val="none"/>
        </w:rPr>
        <w:t>根据估价对象的实际情况及未来规划情况的特点，调查确定该项目土地开发周期为1年，假设土地取得成本在土地开发周期开始时一次性投入，土地开发费在土地开发周期内为分期投入,这里土地开发费按平均投入计算，以单利计息，则有：</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利息＝((</w:t>
      </w:r>
      <w:r>
        <w:rPr>
          <w:rFonts w:hint="eastAsia" w:ascii="Arial" w:hAnsi="Arial" w:eastAsia="仿宋_GB2312" w:cs="Arial"/>
          <w:sz w:val="28"/>
          <w:highlight w:val="none"/>
          <w:lang w:val="en-US" w:eastAsia="zh-CN"/>
        </w:rPr>
        <w:t>105.7183</w:t>
      </w:r>
      <w:r>
        <w:rPr>
          <w:rFonts w:ascii="Arial" w:hAnsi="Arial" w:eastAsia="仿宋_GB2312" w:cs="Arial"/>
          <w:sz w:val="28"/>
          <w:highlight w:val="none"/>
        </w:rPr>
        <w:t>+0)×1＋</w:t>
      </w:r>
      <w:r>
        <w:rPr>
          <w:rFonts w:hint="eastAsia" w:ascii="Arial" w:hAnsi="Arial" w:eastAsia="仿宋_GB2312" w:cs="Arial"/>
          <w:sz w:val="28"/>
          <w:highlight w:val="none"/>
          <w:lang w:val="en-US" w:eastAsia="zh-CN"/>
        </w:rPr>
        <w:t>3.2468</w:t>
      </w:r>
      <w:r>
        <w:rPr>
          <w:rFonts w:ascii="Arial" w:hAnsi="Arial" w:eastAsia="仿宋_GB2312" w:cs="Arial"/>
          <w:sz w:val="28"/>
          <w:highlight w:val="none"/>
        </w:rPr>
        <w:t>×(1÷2))×4.35%＝</w:t>
      </w:r>
      <w:r>
        <w:rPr>
          <w:rFonts w:hint="eastAsia" w:ascii="Arial" w:hAnsi="Arial" w:eastAsia="仿宋_GB2312" w:cs="Arial"/>
          <w:sz w:val="28"/>
          <w:highlight w:val="none"/>
          <w:lang w:val="en-US" w:eastAsia="zh-CN"/>
        </w:rPr>
        <w:t>4.6694</w:t>
      </w:r>
      <w:r>
        <w:rPr>
          <w:rFonts w:ascii="Arial" w:hAnsi="Arial" w:eastAsia="仿宋_GB2312" w:cs="Arial"/>
          <w:sz w:val="28"/>
          <w:highlight w:val="none"/>
        </w:rPr>
        <w:t>（万元）</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开发利润是指房地产开发商投资房地产开发项目应取得的资金报酬及承担风险补偿。估价对象土地开发周期为1年，根据《关于进一步规范土地一级开发项目管理费和利润管理的通知》(京规自发〔2021〕303号)及《北京市协议出让涉及的划拨地价评估技术指引(试行)》，本次测算确定土地开发利润率按</w:t>
      </w:r>
      <w:r>
        <w:rPr>
          <w:rFonts w:hint="eastAsia" w:ascii="Arial" w:hAnsi="Arial" w:eastAsia="仿宋_GB2312" w:cs="Arial"/>
          <w:sz w:val="28"/>
          <w:highlight w:val="none"/>
          <w:lang w:val="en-US" w:eastAsia="zh-CN"/>
        </w:rPr>
        <w:t>10</w:t>
      </w:r>
      <w:r>
        <w:rPr>
          <w:rFonts w:ascii="Arial" w:hAnsi="Arial" w:eastAsia="仿宋_GB2312" w:cs="Arial"/>
          <w:sz w:val="28"/>
          <w:highlight w:val="none"/>
        </w:rPr>
        <w:t>%取值，则开发利润为：</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利润＝（</w:t>
      </w:r>
      <w:r>
        <w:rPr>
          <w:rFonts w:hint="eastAsia" w:ascii="Arial" w:hAnsi="Arial" w:eastAsia="仿宋_GB2312" w:cs="Arial"/>
          <w:sz w:val="28"/>
          <w:highlight w:val="none"/>
          <w:lang w:val="en-US" w:eastAsia="zh-CN"/>
        </w:rPr>
        <w:t>105.7183</w:t>
      </w:r>
      <w:r>
        <w:rPr>
          <w:rFonts w:ascii="Arial" w:hAnsi="Arial" w:eastAsia="仿宋_GB2312" w:cs="Arial"/>
          <w:sz w:val="28"/>
          <w:highlight w:val="none"/>
        </w:rPr>
        <w:t>+</w:t>
      </w:r>
      <w:r>
        <w:rPr>
          <w:rFonts w:hint="eastAsia" w:ascii="Arial" w:hAnsi="Arial" w:eastAsia="仿宋_GB2312" w:cs="Arial"/>
          <w:sz w:val="28"/>
          <w:highlight w:val="none"/>
          <w:lang w:val="en-US" w:eastAsia="zh-CN"/>
        </w:rPr>
        <w:t>3.2468</w:t>
      </w:r>
      <w:r>
        <w:rPr>
          <w:rFonts w:ascii="Arial" w:hAnsi="Arial" w:eastAsia="仿宋_GB2312" w:cs="Arial"/>
          <w:sz w:val="28"/>
          <w:highlight w:val="none"/>
        </w:rPr>
        <w:t>+0）×1</w:t>
      </w:r>
      <w:r>
        <w:rPr>
          <w:rFonts w:hint="eastAsia" w:ascii="Arial" w:hAnsi="Arial" w:eastAsia="仿宋_GB2312" w:cs="Arial"/>
          <w:sz w:val="28"/>
          <w:highlight w:val="none"/>
          <w:lang w:val="en-US" w:eastAsia="zh-CN"/>
        </w:rPr>
        <w:t>0</w:t>
      </w:r>
      <w:r>
        <w:rPr>
          <w:rFonts w:ascii="Arial" w:hAnsi="Arial" w:eastAsia="仿宋_GB2312" w:cs="Arial"/>
          <w:sz w:val="28"/>
          <w:highlight w:val="none"/>
        </w:rPr>
        <w:t>%＝</w:t>
      </w:r>
      <w:r>
        <w:rPr>
          <w:rFonts w:hint="eastAsia" w:ascii="Arial" w:hAnsi="Arial" w:eastAsia="仿宋_GB2312" w:cs="Arial"/>
          <w:sz w:val="28"/>
          <w:highlight w:val="none"/>
          <w:lang w:val="en-US" w:eastAsia="zh-CN"/>
        </w:rPr>
        <w:t>10.8965</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6.土地成本费用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土地成本费用</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＝土地取得费＋土地开发费＋税费＋投资利息＋开发利润</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w:t>
      </w:r>
      <w:r>
        <w:rPr>
          <w:rFonts w:hint="eastAsia" w:ascii="Arial" w:hAnsi="Arial" w:eastAsia="仿宋_GB2312" w:cs="Arial"/>
          <w:sz w:val="28"/>
          <w:highlight w:val="none"/>
          <w:lang w:val="en-US" w:eastAsia="zh-CN"/>
        </w:rPr>
        <w:t>124.5310</w:t>
      </w:r>
      <w:r>
        <w:rPr>
          <w:rFonts w:ascii="Arial" w:hAnsi="Arial" w:eastAsia="仿宋_GB2312" w:cs="Arial"/>
          <w:sz w:val="28"/>
          <w:highlight w:val="none"/>
        </w:rPr>
        <w:t>（万元）</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7.土地增值</w:t>
      </w:r>
    </w:p>
    <w:p>
      <w:pPr>
        <w:pStyle w:val="27"/>
        <w:snapToGrid w:val="0"/>
        <w:spacing w:line="300" w:lineRule="auto"/>
        <w:ind w:firstLine="560" w:firstLineChars="200"/>
        <w:rPr>
          <w:rFonts w:cs="Arial"/>
          <w:szCs w:val="24"/>
          <w:highlight w:val="none"/>
        </w:rPr>
      </w:pPr>
      <w:r>
        <w:rPr>
          <w:rFonts w:cs="Arial"/>
          <w:szCs w:val="24"/>
          <w:highlight w:val="none"/>
        </w:rPr>
        <w:t>土地增值是估价对象由于进行土地开发，达到建设用地的某种利用条件而发生的价值增加，是土地开发后市场价格与成本价格之间的差额。依据成本逼近法理论体系，土地的增值体现于土地被征收或拆迁后土地性质或用途的改变。</w:t>
      </w:r>
      <w:r>
        <w:rPr>
          <w:rFonts w:eastAsia="仿宋" w:cs="Arial"/>
          <w:spacing w:val="14"/>
          <w:sz w:val="27"/>
          <w:szCs w:val="27"/>
          <w:highlight w:val="none"/>
        </w:rPr>
        <w:t>根据《北京市协议出让涉及的划拨地价评估技术指引(试</w:t>
      </w:r>
      <w:r>
        <w:rPr>
          <w:rFonts w:eastAsia="仿宋" w:cs="Arial"/>
          <w:sz w:val="27"/>
          <w:szCs w:val="27"/>
          <w:highlight w:val="none"/>
        </w:rPr>
        <w:t xml:space="preserve"> </w:t>
      </w:r>
      <w:r>
        <w:rPr>
          <w:rFonts w:eastAsia="仿宋" w:cs="Arial"/>
          <w:spacing w:val="9"/>
          <w:sz w:val="27"/>
          <w:szCs w:val="27"/>
          <w:highlight w:val="none"/>
        </w:rPr>
        <w:t>行)》及国土资发〔2001〕44号文件规定：企业改制时，可依据划拨土</w:t>
      </w:r>
      <w:r>
        <w:rPr>
          <w:rFonts w:eastAsia="仿宋" w:cs="Arial"/>
          <w:spacing w:val="2"/>
          <w:sz w:val="27"/>
          <w:szCs w:val="27"/>
          <w:highlight w:val="none"/>
        </w:rPr>
        <w:t>地</w:t>
      </w:r>
      <w:r>
        <w:rPr>
          <w:rFonts w:eastAsia="仿宋" w:cs="Arial"/>
          <w:spacing w:val="10"/>
          <w:sz w:val="27"/>
          <w:szCs w:val="27"/>
          <w:highlight w:val="none"/>
        </w:rPr>
        <w:t>的平均取得和开发成本，评定划拨土地使用权价格，作为原土地使用者</w:t>
      </w:r>
      <w:r>
        <w:rPr>
          <w:rFonts w:eastAsia="仿宋" w:cs="Arial"/>
          <w:spacing w:val="3"/>
          <w:sz w:val="27"/>
          <w:szCs w:val="27"/>
          <w:highlight w:val="none"/>
        </w:rPr>
        <w:t>的</w:t>
      </w:r>
      <w:r>
        <w:rPr>
          <w:rFonts w:eastAsia="仿宋" w:cs="Arial"/>
          <w:spacing w:val="10"/>
          <w:sz w:val="27"/>
          <w:szCs w:val="27"/>
          <w:highlight w:val="none"/>
        </w:rPr>
        <w:t>权益。按照指导意见规定，划拨地价由土地取得费、土地开发费、相关</w:t>
      </w:r>
      <w:r>
        <w:rPr>
          <w:rFonts w:eastAsia="仿宋" w:cs="Arial"/>
          <w:spacing w:val="3"/>
          <w:sz w:val="27"/>
          <w:szCs w:val="27"/>
          <w:highlight w:val="none"/>
        </w:rPr>
        <w:t>税</w:t>
      </w:r>
      <w:r>
        <w:rPr>
          <w:rFonts w:eastAsia="仿宋" w:cs="Arial"/>
          <w:spacing w:val="12"/>
          <w:sz w:val="27"/>
          <w:szCs w:val="27"/>
          <w:highlight w:val="none"/>
        </w:rPr>
        <w:t>费</w:t>
      </w:r>
      <w:r>
        <w:rPr>
          <w:rFonts w:eastAsia="仿宋" w:cs="Arial"/>
          <w:spacing w:val="10"/>
          <w:sz w:val="27"/>
          <w:szCs w:val="27"/>
          <w:highlight w:val="none"/>
        </w:rPr>
        <w:t>、土地开发利息和土地开发利润等客观成本构成，不计土地增值。故本</w:t>
      </w:r>
      <w:r>
        <w:rPr>
          <w:rFonts w:eastAsia="仿宋" w:cs="Arial"/>
          <w:spacing w:val="5"/>
          <w:sz w:val="27"/>
          <w:szCs w:val="27"/>
          <w:highlight w:val="none"/>
        </w:rPr>
        <w:t>次</w:t>
      </w:r>
      <w:r>
        <w:rPr>
          <w:rFonts w:eastAsia="仿宋" w:cs="Arial"/>
          <w:spacing w:val="4"/>
          <w:sz w:val="27"/>
          <w:szCs w:val="27"/>
          <w:highlight w:val="none"/>
        </w:rPr>
        <w:t>土地增值收益不计取。</w:t>
      </w:r>
    </w:p>
    <w:p>
      <w:pPr>
        <w:snapToGrid w:val="0"/>
        <w:spacing w:line="300" w:lineRule="auto"/>
        <w:ind w:firstLine="560" w:firstLineChars="200"/>
        <w:rPr>
          <w:rFonts w:ascii="Arial" w:hAnsi="Arial" w:eastAsia="仿宋_GB2312" w:cs="Arial"/>
          <w:sz w:val="28"/>
          <w:highlight w:val="none"/>
        </w:rPr>
      </w:pPr>
      <w:r>
        <w:rPr>
          <w:rFonts w:ascii="Arial" w:hAnsi="Arial" w:eastAsia="仿宋_GB2312" w:cs="Arial"/>
          <w:sz w:val="28"/>
          <w:highlight w:val="none"/>
        </w:rPr>
        <w:t>8.</w:t>
      </w:r>
      <w:r>
        <w:rPr>
          <w:rFonts w:ascii="Arial" w:hAnsi="Arial" w:eastAsia="仿宋" w:cs="Arial"/>
          <w:spacing w:val="-3"/>
          <w:sz w:val="27"/>
          <w:szCs w:val="27"/>
          <w:highlight w:val="none"/>
        </w:rPr>
        <w:t>区域或个别因素修正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由于土地取得费、土地开发费、相关税费等均是以区域平均状况为依据测算，通过上述步骤测算的土地价格，还应当根据估价对象所在区域内的位置和宗地条件，进行个别因素修正。</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估价对象位于北京市密云区西门外大街，</w:t>
      </w:r>
      <w:r>
        <w:rPr>
          <w:rFonts w:ascii="Arial" w:hAnsi="Arial" w:eastAsia="仿宋_GB2312" w:cs="Arial"/>
          <w:sz w:val="28"/>
          <w:highlight w:val="none"/>
        </w:rPr>
        <w:t>属于</w:t>
      </w:r>
      <w:r>
        <w:rPr>
          <w:rFonts w:ascii="Arial" w:hAnsi="Arial" w:eastAsia="仿宋_GB2312" w:cs="Arial"/>
          <w:sz w:val="28"/>
          <w:szCs w:val="28"/>
          <w:highlight w:val="none"/>
        </w:rPr>
        <w:t>商业类八级VIII-密1区片地价区内</w:t>
      </w:r>
      <w:r>
        <w:rPr>
          <w:rFonts w:ascii="Arial" w:hAnsi="Arial" w:eastAsia="仿宋_GB2312" w:cs="Arial"/>
          <w:color w:val="000000"/>
          <w:sz w:val="28"/>
          <w:highlight w:val="none"/>
        </w:rPr>
        <w:t>。本次修正系数与基准地价系数修正法中因素修正系数保持一致，依基准地价系数修正法中因素修正系数取值(详细测算过程见基准地价系数修正法)， 估价对象商业用途基准地价系数修正法中测算的因素修正系数为1.0194，故本次个别因素修正系数取值1.0194。</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9.划拨国有建设用地使用权价格</w:t>
      </w:r>
    </w:p>
    <w:p>
      <w:pPr>
        <w:snapToGrid w:val="0"/>
        <w:spacing w:line="300" w:lineRule="auto"/>
        <w:ind w:firstLine="560" w:firstLineChars="200"/>
        <w:rPr>
          <w:rFonts w:ascii="Arial" w:hAnsi="Arial" w:eastAsia="仿宋_GB2312" w:cs="Arial"/>
          <w:color w:val="000000"/>
          <w:sz w:val="28"/>
          <w:highlight w:val="none"/>
        </w:rPr>
      </w:pPr>
      <w:r>
        <w:rPr>
          <w:rFonts w:ascii="Arial" w:hAnsi="Arial" w:eastAsia="仿宋_GB2312" w:cs="Arial"/>
          <w:color w:val="000000"/>
          <w:sz w:val="28"/>
          <w:highlight w:val="none"/>
        </w:rPr>
        <w:t>划拨国有建设用地使用权总值＝</w:t>
      </w:r>
      <w:r>
        <w:rPr>
          <w:rFonts w:hint="eastAsia" w:ascii="Arial" w:hAnsi="Arial" w:eastAsia="仿宋_GB2312" w:cs="Arial"/>
          <w:color w:val="000000"/>
          <w:sz w:val="28"/>
          <w:highlight w:val="none"/>
          <w:lang w:val="en-US" w:eastAsia="zh-CN"/>
        </w:rPr>
        <w:t>124.5310</w:t>
      </w:r>
      <w:r>
        <w:rPr>
          <w:rFonts w:ascii="Arial" w:hAnsi="Arial" w:eastAsia="仿宋_GB2312" w:cs="Arial"/>
          <w:color w:val="000000"/>
          <w:sz w:val="28"/>
          <w:highlight w:val="none"/>
        </w:rPr>
        <w:t>×1.0194＝</w:t>
      </w:r>
      <w:r>
        <w:rPr>
          <w:rFonts w:hint="eastAsia" w:ascii="Arial" w:hAnsi="Arial" w:eastAsia="仿宋_GB2312" w:cs="Arial"/>
          <w:color w:val="000000"/>
          <w:sz w:val="28"/>
          <w:highlight w:val="none"/>
          <w:lang w:val="en-US" w:eastAsia="zh-CN"/>
        </w:rPr>
        <w:t>126.9469</w:t>
      </w:r>
      <w:r>
        <w:rPr>
          <w:rFonts w:ascii="Arial" w:hAnsi="Arial" w:eastAsia="仿宋_GB2312" w:cs="Arial"/>
          <w:color w:val="000000"/>
          <w:sz w:val="28"/>
          <w:highlight w:val="none"/>
        </w:rPr>
        <w:t>（万元）</w:t>
      </w:r>
    </w:p>
    <w:p>
      <w:pPr>
        <w:pStyle w:val="52"/>
        <w:adjustRightInd w:val="0"/>
        <w:spacing w:line="300" w:lineRule="auto"/>
        <w:rPr>
          <w:rFonts w:ascii="Arial" w:hAnsi="Arial" w:cs="Arial"/>
          <w:color w:val="000000"/>
          <w:highlight w:val="none"/>
        </w:rPr>
      </w:pPr>
      <w:r>
        <w:rPr>
          <w:rFonts w:ascii="Arial" w:hAnsi="Arial" w:cs="Arial"/>
          <w:color w:val="000000"/>
          <w:highlight w:val="none"/>
        </w:rPr>
        <w:t>划拨国有建设用地使用权单价＝</w:t>
      </w:r>
      <w:r>
        <w:rPr>
          <w:rFonts w:hint="eastAsia" w:ascii="Arial" w:hAnsi="Arial" w:cs="Arial"/>
          <w:color w:val="000000"/>
          <w:highlight w:val="none"/>
          <w:lang w:val="en-US" w:eastAsia="zh-CN"/>
        </w:rPr>
        <w:t>126.9469</w:t>
      </w:r>
      <w:r>
        <w:rPr>
          <w:rFonts w:ascii="Arial" w:hAnsi="Arial" w:cs="Arial"/>
          <w:color w:val="000000"/>
          <w:highlight w:val="none"/>
        </w:rPr>
        <w:t>×10000÷</w:t>
      </w:r>
      <w:r>
        <w:rPr>
          <w:rFonts w:hint="eastAsia" w:ascii="Arial" w:hAnsi="Arial" w:cs="Arial"/>
          <w:color w:val="000000"/>
          <w:highlight w:val="none"/>
          <w:lang w:eastAsia="zh-CN"/>
        </w:rPr>
        <w:t>259.75</w:t>
      </w:r>
      <w:r>
        <w:rPr>
          <w:rFonts w:ascii="Arial" w:hAnsi="Arial" w:cs="Arial"/>
          <w:color w:val="000000"/>
          <w:highlight w:val="none"/>
        </w:rPr>
        <w:t>＝</w:t>
      </w:r>
      <w:r>
        <w:rPr>
          <w:rFonts w:hint="eastAsia" w:ascii="Arial" w:hAnsi="Arial" w:cs="Arial"/>
          <w:color w:val="000000"/>
          <w:highlight w:val="none"/>
          <w:lang w:val="en-US" w:eastAsia="zh-CN"/>
        </w:rPr>
        <w:t>4887</w:t>
      </w:r>
      <w:r>
        <w:rPr>
          <w:rFonts w:ascii="Arial" w:hAnsi="Arial" w:cs="Arial"/>
          <w:color w:val="000000"/>
          <w:highlight w:val="none"/>
        </w:rPr>
        <w:t>（元/平方米）</w:t>
      </w:r>
    </w:p>
    <w:p>
      <w:pPr>
        <w:pStyle w:val="52"/>
        <w:adjustRightInd w:val="0"/>
        <w:spacing w:line="300" w:lineRule="auto"/>
        <w:ind w:firstLine="562"/>
        <w:rPr>
          <w:rFonts w:ascii="Arial" w:hAnsi="Arial" w:cs="Arial"/>
          <w:b/>
          <w:kern w:val="0"/>
          <w:szCs w:val="20"/>
          <w:highlight w:val="none"/>
        </w:rPr>
      </w:pPr>
    </w:p>
    <w:p>
      <w:pPr>
        <w:pStyle w:val="52"/>
        <w:adjustRightInd w:val="0"/>
        <w:spacing w:line="300" w:lineRule="auto"/>
        <w:ind w:firstLine="562"/>
        <w:rPr>
          <w:rFonts w:ascii="Arial" w:hAnsi="Arial" w:cs="Arial"/>
          <w:b/>
          <w:kern w:val="0"/>
          <w:szCs w:val="20"/>
          <w:highlight w:val="none"/>
        </w:rPr>
      </w:pPr>
      <w:r>
        <w:rPr>
          <w:rFonts w:hint="eastAsia" w:ascii="Arial" w:hAnsi="Arial" w:cs="Arial"/>
          <w:b/>
          <w:kern w:val="0"/>
          <w:szCs w:val="20"/>
          <w:highlight w:val="none"/>
        </w:rPr>
        <w:t>方法二：剩余（增值收益扣减）法</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剩余（增值收益扣减）法是在《城镇土地估价规程》剩余法思路上衍生技术路线，通过出让土地使用权价格扣减土地增值收益的评估方法。其公式为：</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×（1-R）</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式中：P</w:t>
      </w:r>
      <w:r>
        <w:rPr>
          <w:rFonts w:hint="eastAsia" w:ascii="Arial" w:hAnsi="Arial" w:cs="Arial"/>
          <w:bCs/>
          <w:kern w:val="0"/>
          <w:szCs w:val="20"/>
          <w:highlight w:val="none"/>
          <w:vertAlign w:val="subscript"/>
        </w:rPr>
        <w:t>划</w:t>
      </w:r>
      <w:r>
        <w:rPr>
          <w:rFonts w:hint="eastAsia" w:ascii="Arial" w:hAnsi="Arial" w:cs="Arial"/>
          <w:bCs/>
          <w:kern w:val="0"/>
          <w:szCs w:val="20"/>
          <w:highlight w:val="none"/>
        </w:rPr>
        <w:t>为估价对象价格，无年期限制划拨地价；</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 xml:space="preserve">      P</w:t>
      </w:r>
      <w:r>
        <w:rPr>
          <w:rFonts w:hint="eastAsia" w:ascii="Arial" w:hAnsi="Arial" w:cs="Arial"/>
          <w:bCs/>
          <w:kern w:val="0"/>
          <w:szCs w:val="20"/>
          <w:highlight w:val="none"/>
          <w:vertAlign w:val="subscript"/>
        </w:rPr>
        <w:t>出</w:t>
      </w:r>
      <w:r>
        <w:rPr>
          <w:rFonts w:hint="eastAsia" w:ascii="Arial" w:hAnsi="Arial" w:cs="Arial"/>
          <w:bCs/>
          <w:kern w:val="0"/>
          <w:szCs w:val="20"/>
          <w:highlight w:val="none"/>
        </w:rPr>
        <w:t>为法定最高出让年期出让地价；</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 xml:space="preserve">      R为土地增值收益率。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1、求取土地增值收益率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土地增值收益比例或数额，应结合土地用途、区位、成本和收益等因素， 选取与估价对象位于同一供需圈或类似地区，近3年内规划主用途相同或相似的招拍挂土地出让成交案例，采用各案例的土地成交总价和土地开发建设补偿费总额，测算各案例的土地增值收益率，并分析确定估价对象的土地增值收益率。</w:t>
      </w:r>
    </w:p>
    <w:p>
      <w:pPr>
        <w:pStyle w:val="52"/>
        <w:adjustRightInd w:val="0"/>
        <w:spacing w:line="300" w:lineRule="auto"/>
        <w:jc w:val="both"/>
        <w:rPr>
          <w:rFonts w:ascii="Arial" w:hAnsi="Arial" w:cs="Arial"/>
          <w:bCs/>
          <w:kern w:val="0"/>
          <w:szCs w:val="20"/>
          <w:highlight w:val="none"/>
        </w:rPr>
      </w:pPr>
      <w:r>
        <w:rPr>
          <w:rFonts w:hint="eastAsia" w:ascii="Arial" w:hAnsi="Arial" w:cs="Arial"/>
          <w:bCs/>
          <w:kern w:val="0"/>
          <w:szCs w:val="20"/>
          <w:highlight w:val="none"/>
        </w:rPr>
        <w:t>土地增值收益率＝(土地成交总价－土地开发建设补偿费总额)÷土地成交总价</w:t>
      </w:r>
    </w:p>
    <w:p>
      <w:pPr>
        <w:pStyle w:val="52"/>
        <w:adjustRightInd w:val="0"/>
        <w:spacing w:line="300" w:lineRule="auto"/>
        <w:jc w:val="both"/>
        <w:rPr>
          <w:rFonts w:ascii="Arial" w:hAnsi="Arial" w:cs="Arial"/>
          <w:highlight w:val="none"/>
        </w:rPr>
        <w:sectPr>
          <w:pgSz w:w="11907" w:h="16840"/>
          <w:pgMar w:top="1843" w:right="1134" w:bottom="1134" w:left="1134" w:header="1134" w:footer="907" w:gutter="340"/>
          <w:cols w:space="720" w:num="1"/>
          <w:titlePg/>
          <w:docGrid w:linePitch="326" w:charSpace="0"/>
        </w:sectPr>
      </w:pPr>
      <w:r>
        <w:rPr>
          <w:rFonts w:hint="eastAsia" w:ascii="Arial" w:hAnsi="Arial" w:cs="Arial"/>
          <w:bCs/>
          <w:kern w:val="0"/>
          <w:szCs w:val="20"/>
          <w:highlight w:val="none"/>
        </w:rPr>
        <w:t>估价对象位于北京市密云区西门外大街，用途为商业。经评估专业人员对密云区同类型土地出让的市场调查，</w:t>
      </w:r>
      <w:r>
        <w:rPr>
          <w:rFonts w:hint="eastAsia" w:ascii="Arial" w:hAnsi="Arial" w:cs="Arial"/>
          <w:highlight w:val="none"/>
        </w:rPr>
        <w:t>密云区近三年无同类型的招拍挂案例。参照北京房地产估价师和土地估价师与不动产登记代理人协会《关于发布&lt;北京市企业国有建设用地使用权收购补偿价格评估技术指引&gt;的通知》(北估秘[2018]004号)、《关于&lt;北京市企业国有建设用地使用权收购补偿价格评估技术指引&gt;应用的有关说明》(北估秘[2021]001号)及《北京市协议出让涉及的划拨地价评估技术指引(试行)》，本次评估扩大范围，在同一圈层区域内进行选择，估价对象位于密云区，属于生态涵养区，适当扩大范围至怀柔区、延庆区、</w:t>
      </w:r>
      <w:r>
        <w:rPr>
          <w:rFonts w:hint="eastAsia" w:ascii="Arial" w:hAnsi="Arial" w:cs="Arial"/>
          <w:highlight w:val="none"/>
          <w:lang w:eastAsia="zh-CN"/>
        </w:rPr>
        <w:t>昌平</w:t>
      </w:r>
      <w:r>
        <w:rPr>
          <w:rFonts w:hint="eastAsia" w:ascii="Arial" w:hAnsi="Arial" w:cs="Arial"/>
          <w:highlight w:val="none"/>
        </w:rPr>
        <w:t>区。收集近三年生态涵养区商业类项目招拍挂案例如下：</w:t>
      </w:r>
    </w:p>
    <w:tbl>
      <w:tblPr>
        <w:tblStyle w:val="35"/>
        <w:tblW w:w="14570" w:type="dxa"/>
        <w:jc w:val="center"/>
        <w:tblLayout w:type="fixed"/>
        <w:tblCellMar>
          <w:top w:w="57" w:type="dxa"/>
          <w:left w:w="57" w:type="dxa"/>
          <w:bottom w:w="57" w:type="dxa"/>
          <w:right w:w="57" w:type="dxa"/>
        </w:tblCellMar>
      </w:tblPr>
      <w:tblGrid>
        <w:gridCol w:w="647"/>
        <w:gridCol w:w="3383"/>
        <w:gridCol w:w="1405"/>
        <w:gridCol w:w="1280"/>
        <w:gridCol w:w="1464"/>
        <w:gridCol w:w="1015"/>
        <w:gridCol w:w="1296"/>
        <w:gridCol w:w="1254"/>
        <w:gridCol w:w="1556"/>
        <w:gridCol w:w="1270"/>
      </w:tblGrid>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序号</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地块名称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建设用地面积(㎡)</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规划建筑面积(㎡)</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详细规划</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容积率</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成交日期</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成交价</w:t>
            </w:r>
          </w:p>
          <w:p>
            <w:pPr>
              <w:widowControl/>
              <w:snapToGrid w:val="0"/>
              <w:spacing w:line="240" w:lineRule="exact"/>
              <w:jc w:val="center"/>
              <w:textAlignment w:val="center"/>
              <w:rPr>
                <w:rFonts w:ascii="Arial" w:hAnsi="Arial" w:eastAsia="仿宋" w:cs="Arial"/>
                <w:color w:val="000000"/>
                <w:sz w:val="18"/>
                <w:szCs w:val="18"/>
                <w:highlight w:val="none"/>
              </w:rPr>
            </w:pPr>
            <w:r>
              <w:rPr>
                <w:rFonts w:ascii="Arial" w:hAnsi="Arial" w:eastAsia="仿宋" w:cs="Arial"/>
                <w:color w:val="000000"/>
                <w:sz w:val="18"/>
                <w:szCs w:val="18"/>
                <w:highlight w:val="none"/>
                <w:lang w:bidi="ar"/>
              </w:rPr>
              <w:t>(万元)</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土地开发补偿费总价(万元)</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ascii="Arial" w:hAnsi="Arial" w:eastAsia="仿宋" w:cs="Arial"/>
                <w:color w:val="000000"/>
                <w:sz w:val="18"/>
                <w:szCs w:val="18"/>
                <w:highlight w:val="none"/>
                <w:lang w:bidi="ar"/>
              </w:rPr>
              <w:t>土地增值收益率</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1</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北京市怀柔区怀北镇雁柏山庄北侧地块B1商业用地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1676.22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753.4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≤0.45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2021/1/28</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550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323.06</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41.26%</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2</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北京市怀柔区怀北镇雁柏山庄南侧地块B1商业用地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5352.65</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843</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B1商业用地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≤0.16</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2020/10/12</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1310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1031.61</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21.25%</w:t>
            </w:r>
          </w:p>
        </w:tc>
      </w:tr>
      <w:tr>
        <w:tblPrEx>
          <w:tblCellMar>
            <w:top w:w="57" w:type="dxa"/>
            <w:left w:w="57" w:type="dxa"/>
            <w:bottom w:w="57" w:type="dxa"/>
            <w:right w:w="57" w:type="dxa"/>
          </w:tblCellMar>
        </w:tblPrEx>
        <w:trPr>
          <w:trHeight w:val="114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3</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北京市昌平区沙河镇七里渠南北村土地一级开发项目QLQ-004地块B4综合性商业金融服务业用地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28622.32</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71556</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2018/11/26</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109508.13</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17.04%</w:t>
            </w:r>
          </w:p>
        </w:tc>
      </w:tr>
      <w:tr>
        <w:tblPrEx>
          <w:tblCellMar>
            <w:top w:w="57" w:type="dxa"/>
            <w:left w:w="57" w:type="dxa"/>
            <w:bottom w:w="57" w:type="dxa"/>
            <w:right w:w="57" w:type="dxa"/>
          </w:tblCellMar>
        </w:tblPrEx>
        <w:trPr>
          <w:trHeight w:val="570" w:hRule="atLeast"/>
          <w:jc w:val="center"/>
        </w:trPr>
        <w:tc>
          <w:tcPr>
            <w:tcW w:w="64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bidi="ar"/>
              </w:rPr>
              <w:t>4</w:t>
            </w:r>
          </w:p>
        </w:tc>
        <w:tc>
          <w:tcPr>
            <w:tcW w:w="338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北京市延庆区延庆新城03街区会展中心东侧地块土地一级开发项目(二期)YQ00-0003-0024地块B4综合性商业金融服务业用地</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28725.47</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71814</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 xml:space="preserve"> B4综合性商业金融服务业用地</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2.5</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2018/11/15</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32000</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18984.8159</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ascii="Arial" w:hAnsi="Arial" w:eastAsia="仿宋" w:cs="Arial"/>
                <w:color w:val="000000"/>
                <w:sz w:val="18"/>
                <w:szCs w:val="18"/>
                <w:highlight w:val="none"/>
                <w:lang w:bidi="ar"/>
              </w:rPr>
            </w:pPr>
            <w:r>
              <w:rPr>
                <w:rFonts w:hint="eastAsia" w:ascii="Arial" w:hAnsi="Arial" w:eastAsia="仿宋" w:cs="Arial"/>
                <w:color w:val="000000"/>
                <w:sz w:val="18"/>
                <w:szCs w:val="18"/>
                <w:highlight w:val="none"/>
                <w:lang w:val="en-US" w:eastAsia="zh-CN" w:bidi="ar"/>
              </w:rPr>
              <w:t>40.67%</w:t>
            </w:r>
          </w:p>
        </w:tc>
      </w:tr>
      <w:tr>
        <w:tblPrEx>
          <w:tblCellMar>
            <w:top w:w="57" w:type="dxa"/>
            <w:left w:w="57" w:type="dxa"/>
            <w:bottom w:w="57" w:type="dxa"/>
            <w:right w:w="57" w:type="dxa"/>
          </w:tblCellMar>
        </w:tblPrEx>
        <w:trPr>
          <w:trHeight w:val="570" w:hRule="atLeast"/>
          <w:jc w:val="center"/>
        </w:trPr>
        <w:tc>
          <w:tcPr>
            <w:tcW w:w="403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平均增值收益率</w:t>
            </w:r>
          </w:p>
        </w:tc>
        <w:tc>
          <w:tcPr>
            <w:tcW w:w="140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46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9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5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55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eastAsia"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w:t>
            </w:r>
          </w:p>
        </w:tc>
        <w:tc>
          <w:tcPr>
            <w:tcW w:w="127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napToGrid w:val="0"/>
              <w:spacing w:line="240" w:lineRule="exact"/>
              <w:jc w:val="center"/>
              <w:textAlignment w:val="center"/>
              <w:rPr>
                <w:rFonts w:hint="default" w:ascii="Arial" w:hAnsi="Arial" w:eastAsia="仿宋" w:cs="Arial"/>
                <w:color w:val="000000"/>
                <w:sz w:val="18"/>
                <w:szCs w:val="18"/>
                <w:highlight w:val="none"/>
                <w:lang w:val="en-US" w:eastAsia="zh-CN" w:bidi="ar"/>
              </w:rPr>
            </w:pPr>
            <w:r>
              <w:rPr>
                <w:rFonts w:hint="eastAsia" w:ascii="Arial" w:hAnsi="Arial" w:eastAsia="仿宋" w:cs="Arial"/>
                <w:color w:val="000000"/>
                <w:sz w:val="18"/>
                <w:szCs w:val="18"/>
                <w:highlight w:val="none"/>
                <w:lang w:val="en-US" w:eastAsia="zh-CN" w:bidi="ar"/>
              </w:rPr>
              <w:t>30.06%</w:t>
            </w:r>
          </w:p>
        </w:tc>
      </w:tr>
    </w:tbl>
    <w:p>
      <w:pPr>
        <w:pStyle w:val="52"/>
        <w:adjustRightInd w:val="0"/>
        <w:spacing w:line="300" w:lineRule="auto"/>
        <w:rPr>
          <w:rFonts w:ascii="Arial" w:hAnsi="Arial" w:cs="Arial"/>
          <w:highlight w:val="none"/>
        </w:rPr>
        <w:sectPr>
          <w:pgSz w:w="16840" w:h="11907" w:orient="landscape"/>
          <w:pgMar w:top="2041" w:right="1134" w:bottom="1134" w:left="1134" w:header="1134" w:footer="907" w:gutter="0"/>
          <w:cols w:space="0" w:num="1"/>
          <w:titlePg/>
          <w:docGrid w:linePitch="326" w:charSpace="0"/>
        </w:sectPr>
      </w:pPr>
    </w:p>
    <w:p>
      <w:pPr>
        <w:snapToGrid w:val="0"/>
        <w:spacing w:line="300" w:lineRule="auto"/>
        <w:ind w:firstLine="567"/>
        <w:jc w:val="both"/>
        <w:rPr>
          <w:rFonts w:ascii="Arial" w:hAnsi="Arial" w:eastAsia="仿宋" w:cs="Arial"/>
          <w:sz w:val="28"/>
          <w:szCs w:val="28"/>
          <w:highlight w:val="none"/>
        </w:rPr>
      </w:pPr>
      <w:r>
        <w:rPr>
          <w:rFonts w:ascii="Arial" w:hAnsi="Arial" w:eastAsia="仿宋" w:cs="Arial"/>
          <w:spacing w:val="8"/>
          <w:sz w:val="28"/>
          <w:szCs w:val="28"/>
          <w:highlight w:val="none"/>
        </w:rPr>
        <w:t>通过对北</w:t>
      </w:r>
      <w:r>
        <w:rPr>
          <w:rFonts w:ascii="Arial" w:hAnsi="Arial" w:eastAsia="仿宋" w:cs="Arial"/>
          <w:spacing w:val="4"/>
          <w:sz w:val="28"/>
          <w:szCs w:val="28"/>
          <w:highlight w:val="none"/>
        </w:rPr>
        <w:t>京市</w:t>
      </w:r>
      <w:r>
        <w:rPr>
          <w:rFonts w:hint="eastAsia" w:ascii="Arial" w:hAnsi="Arial" w:eastAsia="仿宋" w:cs="Arial"/>
          <w:spacing w:val="4"/>
          <w:sz w:val="28"/>
          <w:szCs w:val="28"/>
          <w:highlight w:val="none"/>
          <w:lang w:eastAsia="zh-CN"/>
        </w:rPr>
        <w:t>怀柔区、昌平区、延庆区，近</w:t>
      </w:r>
      <w:r>
        <w:rPr>
          <w:rFonts w:hint="eastAsia" w:ascii="Arial" w:hAnsi="Arial" w:eastAsia="仿宋" w:cs="Arial"/>
          <w:spacing w:val="4"/>
          <w:sz w:val="28"/>
          <w:szCs w:val="28"/>
          <w:highlight w:val="none"/>
          <w:lang w:val="en-US" w:eastAsia="zh-CN"/>
        </w:rPr>
        <w:t>5</w:t>
      </w:r>
      <w:r>
        <w:rPr>
          <w:rFonts w:ascii="Arial" w:hAnsi="Arial" w:eastAsia="仿宋" w:cs="Arial"/>
          <w:spacing w:val="4"/>
          <w:sz w:val="28"/>
          <w:szCs w:val="28"/>
          <w:highlight w:val="none"/>
        </w:rPr>
        <w:t>年商业类用地招拍挂成交案例的成</w:t>
      </w:r>
      <w:r>
        <w:rPr>
          <w:rFonts w:ascii="Arial" w:hAnsi="Arial" w:eastAsia="仿宋" w:cs="Arial"/>
          <w:spacing w:val="10"/>
          <w:sz w:val="28"/>
          <w:szCs w:val="28"/>
          <w:highlight w:val="none"/>
        </w:rPr>
        <w:t>交总价及土地一级开发补偿费的调查和查询，</w:t>
      </w:r>
      <w:r>
        <w:rPr>
          <w:rFonts w:hint="eastAsia" w:ascii="Arial" w:hAnsi="Arial" w:eastAsia="仿宋" w:cs="Arial"/>
          <w:spacing w:val="10"/>
          <w:sz w:val="28"/>
          <w:szCs w:val="28"/>
          <w:highlight w:val="none"/>
        </w:rPr>
        <w:t>与估价对象类似区域和用途的平均土地增值收益率为</w:t>
      </w:r>
      <w:r>
        <w:rPr>
          <w:rFonts w:hint="eastAsia" w:ascii="Arial" w:hAnsi="Arial" w:eastAsia="仿宋" w:cs="Arial"/>
          <w:spacing w:val="10"/>
          <w:sz w:val="28"/>
          <w:szCs w:val="28"/>
          <w:highlight w:val="none"/>
          <w:lang w:val="en-US" w:eastAsia="zh-CN"/>
        </w:rPr>
        <w:t>30.06</w:t>
      </w:r>
      <w:r>
        <w:rPr>
          <w:rFonts w:hint="eastAsia" w:ascii="Arial" w:hAnsi="Arial" w:eastAsia="仿宋" w:cs="Arial"/>
          <w:spacing w:val="10"/>
          <w:sz w:val="28"/>
          <w:szCs w:val="28"/>
          <w:highlight w:val="none"/>
        </w:rPr>
        <w:t>%</w:t>
      </w:r>
      <w:r>
        <w:rPr>
          <w:rFonts w:ascii="Arial" w:hAnsi="Arial" w:eastAsia="仿宋" w:cs="Arial"/>
          <w:spacing w:val="13"/>
          <w:sz w:val="28"/>
          <w:szCs w:val="28"/>
          <w:highlight w:val="none"/>
        </w:rPr>
        <w:t>，故本次在使用剩余(增值收益扣减)法测算</w:t>
      </w:r>
      <w:r>
        <w:rPr>
          <w:rFonts w:ascii="Arial" w:hAnsi="Arial" w:eastAsia="仿宋" w:cs="Arial"/>
          <w:spacing w:val="-4"/>
          <w:sz w:val="28"/>
          <w:szCs w:val="28"/>
          <w:highlight w:val="none"/>
        </w:rPr>
        <w:t>划拨地价时，将</w:t>
      </w:r>
      <w:r>
        <w:rPr>
          <w:rFonts w:hint="eastAsia" w:ascii="Arial" w:hAnsi="Arial" w:eastAsia="仿宋" w:cs="Arial"/>
          <w:spacing w:val="-2"/>
          <w:sz w:val="28"/>
          <w:szCs w:val="28"/>
          <w:highlight w:val="none"/>
          <w:lang w:val="en-US" w:eastAsia="zh-CN"/>
        </w:rPr>
        <w:t>30.06</w:t>
      </w:r>
      <w:r>
        <w:rPr>
          <w:rFonts w:ascii="Arial" w:hAnsi="Arial" w:eastAsia="仿宋" w:cs="Arial"/>
          <w:spacing w:val="-2"/>
          <w:sz w:val="28"/>
          <w:szCs w:val="28"/>
          <w:highlight w:val="none"/>
        </w:rPr>
        <w:t>%作为本次增值收益率进行测算，估价对象的出让国有建</w:t>
      </w:r>
      <w:r>
        <w:rPr>
          <w:rFonts w:ascii="Arial" w:hAnsi="Arial" w:eastAsia="仿宋" w:cs="Arial"/>
          <w:spacing w:val="9"/>
          <w:sz w:val="28"/>
          <w:szCs w:val="28"/>
          <w:highlight w:val="none"/>
        </w:rPr>
        <w:t>设用地使用权价格为</w:t>
      </w:r>
      <w:r>
        <w:rPr>
          <w:rFonts w:hint="eastAsia" w:ascii="Arial" w:hAnsi="Arial" w:eastAsia="仿宋" w:cs="Arial"/>
          <w:spacing w:val="9"/>
          <w:sz w:val="28"/>
          <w:szCs w:val="28"/>
          <w:highlight w:val="none"/>
          <w:lang w:eastAsia="zh-CN"/>
        </w:rPr>
        <w:t>6486</w:t>
      </w:r>
      <w:r>
        <w:rPr>
          <w:rFonts w:ascii="Arial" w:hAnsi="Arial" w:eastAsia="仿宋" w:cs="Arial"/>
          <w:spacing w:val="9"/>
          <w:sz w:val="28"/>
          <w:szCs w:val="28"/>
          <w:highlight w:val="none"/>
        </w:rPr>
        <w:t>元/平方米(测算过程详见出让国有建设用地使用权价格</w:t>
      </w:r>
      <w:r>
        <w:rPr>
          <w:rFonts w:ascii="Arial" w:hAnsi="Arial" w:eastAsia="仿宋" w:cs="Arial"/>
          <w:spacing w:val="4"/>
          <w:sz w:val="28"/>
          <w:szCs w:val="28"/>
          <w:highlight w:val="none"/>
        </w:rPr>
        <w:t>)，故：</w:t>
      </w:r>
    </w:p>
    <w:p>
      <w:pPr>
        <w:snapToGrid w:val="0"/>
        <w:spacing w:line="300" w:lineRule="auto"/>
        <w:ind w:firstLine="592" w:firstLineChars="200"/>
        <w:jc w:val="both"/>
        <w:rPr>
          <w:rFonts w:ascii="Arial" w:hAnsi="Arial" w:eastAsia="仿宋" w:cs="Arial"/>
          <w:sz w:val="28"/>
          <w:szCs w:val="28"/>
          <w:highlight w:val="none"/>
        </w:rPr>
      </w:pPr>
      <w:r>
        <w:rPr>
          <w:rFonts w:ascii="Arial" w:hAnsi="Arial" w:eastAsia="仿宋" w:cs="Arial"/>
          <w:spacing w:val="8"/>
          <w:sz w:val="28"/>
          <w:szCs w:val="28"/>
          <w:highlight w:val="none"/>
        </w:rPr>
        <w:t>划拨楼面单价</w:t>
      </w:r>
      <w:r>
        <w:rPr>
          <w:rFonts w:hint="eastAsia" w:ascii="Arial" w:hAnsi="Arial" w:eastAsia="仿宋" w:cs="Arial"/>
          <w:spacing w:val="8"/>
          <w:sz w:val="28"/>
          <w:szCs w:val="28"/>
          <w:highlight w:val="none"/>
        </w:rPr>
        <w:t>＝</w:t>
      </w:r>
      <w:r>
        <w:rPr>
          <w:rFonts w:ascii="Arial" w:hAnsi="Arial" w:eastAsia="仿宋" w:cs="Arial"/>
          <w:spacing w:val="8"/>
          <w:sz w:val="28"/>
          <w:szCs w:val="28"/>
          <w:highlight w:val="none"/>
        </w:rPr>
        <w:t>出让地价×( 1-土地增值收益率</w:t>
      </w:r>
      <w:r>
        <w:rPr>
          <w:rFonts w:ascii="Arial" w:hAnsi="Arial" w:eastAsia="仿宋" w:cs="Arial"/>
          <w:spacing w:val="4"/>
          <w:sz w:val="28"/>
          <w:szCs w:val="28"/>
          <w:highlight w:val="none"/>
        </w:rPr>
        <w:t>)</w:t>
      </w:r>
    </w:p>
    <w:p>
      <w:pPr>
        <w:snapToGrid w:val="0"/>
        <w:spacing w:line="300" w:lineRule="auto"/>
        <w:ind w:firstLine="2400" w:firstLineChars="800"/>
        <w:jc w:val="both"/>
        <w:rPr>
          <w:rFonts w:ascii="Arial" w:hAnsi="Arial" w:eastAsia="仿宋" w:cs="Arial"/>
          <w:sz w:val="28"/>
          <w:szCs w:val="28"/>
          <w:highlight w:val="none"/>
        </w:rPr>
      </w:pPr>
      <w:r>
        <w:rPr>
          <w:rFonts w:hint="eastAsia" w:ascii="Arial" w:hAnsi="Arial" w:eastAsia="仿宋" w:cs="Arial"/>
          <w:spacing w:val="10"/>
          <w:sz w:val="28"/>
          <w:szCs w:val="28"/>
          <w:highlight w:val="none"/>
        </w:rPr>
        <w:t>＝4</w:t>
      </w:r>
      <w:r>
        <w:rPr>
          <w:rFonts w:hint="eastAsia" w:ascii="Arial" w:hAnsi="Arial" w:eastAsia="仿宋" w:cs="Arial"/>
          <w:spacing w:val="10"/>
          <w:sz w:val="28"/>
          <w:szCs w:val="28"/>
          <w:highlight w:val="none"/>
          <w:lang w:val="en-US" w:eastAsia="zh-CN"/>
        </w:rPr>
        <w:t>536</w:t>
      </w:r>
      <w:r>
        <w:rPr>
          <w:rFonts w:ascii="Arial" w:hAnsi="Arial" w:eastAsia="仿宋" w:cs="Arial"/>
          <w:spacing w:val="5"/>
          <w:sz w:val="28"/>
          <w:szCs w:val="28"/>
          <w:highlight w:val="none"/>
        </w:rPr>
        <w:t>(元/平方米)</w:t>
      </w:r>
    </w:p>
    <w:p>
      <w:pPr>
        <w:pStyle w:val="52"/>
        <w:adjustRightInd w:val="0"/>
        <w:spacing w:line="300" w:lineRule="auto"/>
        <w:rPr>
          <w:rFonts w:ascii="Arial" w:hAnsi="Arial" w:cs="Arial"/>
          <w:szCs w:val="28"/>
          <w:highlight w:val="none"/>
        </w:rPr>
      </w:pPr>
    </w:p>
    <w:p>
      <w:pPr>
        <w:spacing w:line="300" w:lineRule="auto"/>
        <w:ind w:firstLine="556"/>
        <w:jc w:val="both"/>
        <w:rPr>
          <w:rFonts w:ascii="Arial" w:hAnsi="Arial" w:eastAsia="仿宋_GB2312" w:cs="Arial"/>
          <w:sz w:val="28"/>
          <w:szCs w:val="28"/>
          <w:highlight w:val="none"/>
        </w:rPr>
      </w:pPr>
      <w:r>
        <w:rPr>
          <w:rFonts w:hint="eastAsia" w:ascii="Arial" w:hAnsi="Arial" w:eastAsia="仿宋_GB2312" w:cs="Arial"/>
          <w:b/>
          <w:sz w:val="28"/>
          <w:highlight w:val="none"/>
        </w:rPr>
        <w:t>求取划拨国有建设用地使用权价格</w:t>
      </w:r>
    </w:p>
    <w:p>
      <w:pPr>
        <w:autoSpaceDE w:val="0"/>
        <w:autoSpaceDN w:val="0"/>
        <w:snapToGrid w:val="0"/>
        <w:spacing w:line="300" w:lineRule="auto"/>
        <w:ind w:firstLine="616" w:firstLineChars="200"/>
        <w:jc w:val="both"/>
        <w:textAlignment w:val="bottom"/>
        <w:rPr>
          <w:rFonts w:ascii="仿宋" w:hAnsi="仿宋" w:eastAsia="仿宋" w:cs="仿宋"/>
          <w:spacing w:val="6"/>
          <w:sz w:val="28"/>
          <w:szCs w:val="28"/>
          <w:highlight w:val="none"/>
        </w:rPr>
      </w:pPr>
      <w:r>
        <w:rPr>
          <w:rFonts w:ascii="仿宋" w:hAnsi="仿宋" w:eastAsia="仿宋" w:cs="仿宋"/>
          <w:spacing w:val="14"/>
          <w:sz w:val="28"/>
          <w:szCs w:val="28"/>
          <w:highlight w:val="none"/>
        </w:rPr>
        <w:t>划拨地价评估时，宜遵循谨慎原则，优先选用成本逼近法和剩余(</w:t>
      </w:r>
      <w:r>
        <w:rPr>
          <w:rFonts w:ascii="仿宋" w:hAnsi="仿宋" w:eastAsia="仿宋" w:cs="仿宋"/>
          <w:spacing w:val="13"/>
          <w:sz w:val="28"/>
          <w:szCs w:val="28"/>
          <w:highlight w:val="none"/>
        </w:rPr>
        <w:t>增</w:t>
      </w:r>
      <w:r>
        <w:rPr>
          <w:rFonts w:ascii="仿宋" w:hAnsi="仿宋" w:eastAsia="仿宋" w:cs="仿宋"/>
          <w:spacing w:val="18"/>
          <w:sz w:val="28"/>
          <w:szCs w:val="28"/>
          <w:highlight w:val="none"/>
        </w:rPr>
        <w:t>值收益扣减)法，故本次采用成本逼近法、剩余(增值收益扣减)法对</w:t>
      </w:r>
      <w:r>
        <w:rPr>
          <w:rFonts w:hint="eastAsia" w:ascii="仿宋" w:hAnsi="仿宋" w:eastAsia="仿宋" w:cs="仿宋"/>
          <w:spacing w:val="18"/>
          <w:sz w:val="28"/>
          <w:szCs w:val="28"/>
          <w:highlight w:val="none"/>
        </w:rPr>
        <w:t>估价对象</w:t>
      </w:r>
      <w:r>
        <w:rPr>
          <w:rFonts w:ascii="仿宋" w:hAnsi="仿宋" w:eastAsia="仿宋" w:cs="仿宋"/>
          <w:spacing w:val="6"/>
          <w:sz w:val="28"/>
          <w:szCs w:val="28"/>
          <w:highlight w:val="none"/>
        </w:rPr>
        <w:t>划拨国有建设用地使用权价格进行了评估。</w:t>
      </w:r>
    </w:p>
    <w:p>
      <w:pPr>
        <w:autoSpaceDE w:val="0"/>
        <w:autoSpaceDN w:val="0"/>
        <w:snapToGrid w:val="0"/>
        <w:spacing w:line="300" w:lineRule="auto"/>
        <w:ind w:firstLine="540"/>
        <w:jc w:val="both"/>
        <w:textAlignment w:val="bottom"/>
        <w:rPr>
          <w:rFonts w:ascii="Arial" w:hAnsi="Arial" w:eastAsia="仿宋_GB2312" w:cs="Arial"/>
          <w:bCs/>
          <w:sz w:val="28"/>
          <w:highlight w:val="none"/>
        </w:rPr>
      </w:pPr>
      <w:r>
        <w:rPr>
          <w:rFonts w:ascii="Arial" w:hAnsi="Arial" w:eastAsia="仿宋_GB2312" w:cs="Arial"/>
          <w:bCs/>
          <w:sz w:val="28"/>
          <w:highlight w:val="none"/>
        </w:rPr>
        <w:t>定量分析如下：</w:t>
      </w:r>
    </w:p>
    <w:p>
      <w:pPr>
        <w:spacing w:before="120" w:beforeLines="50" w:line="300" w:lineRule="auto"/>
        <w:jc w:val="center"/>
        <w:rPr>
          <w:rFonts w:ascii="Arial" w:hAnsi="Arial" w:eastAsia="仿宋_GB2312" w:cs="Arial"/>
          <w:sz w:val="28"/>
          <w:szCs w:val="28"/>
          <w:highlight w:val="none"/>
        </w:rPr>
      </w:pPr>
      <w:r>
        <w:rPr>
          <w:rFonts w:ascii="Arial" w:hAnsi="Arial" w:eastAsia="仿宋_GB2312" w:cs="Arial"/>
          <w:sz w:val="28"/>
          <w:szCs w:val="28"/>
          <w:highlight w:val="none"/>
        </w:rPr>
        <w:t>权重确定打分评价体系</w:t>
      </w:r>
    </w:p>
    <w:tbl>
      <w:tblPr>
        <w:tblStyle w:val="35"/>
        <w:tblW w:w="9298" w:type="dxa"/>
        <w:jc w:val="center"/>
        <w:tblLayout w:type="fixed"/>
        <w:tblCellMar>
          <w:top w:w="0" w:type="dxa"/>
          <w:left w:w="108" w:type="dxa"/>
          <w:bottom w:w="0" w:type="dxa"/>
          <w:right w:w="108" w:type="dxa"/>
        </w:tblCellMar>
      </w:tblPr>
      <w:tblGrid>
        <w:gridCol w:w="1736"/>
        <w:gridCol w:w="1125"/>
        <w:gridCol w:w="4697"/>
        <w:gridCol w:w="870"/>
        <w:gridCol w:w="870"/>
      </w:tblGrid>
      <w:tr>
        <w:tblPrEx>
          <w:tblCellMar>
            <w:top w:w="0" w:type="dxa"/>
            <w:left w:w="108" w:type="dxa"/>
            <w:bottom w:w="0" w:type="dxa"/>
            <w:right w:w="108" w:type="dxa"/>
          </w:tblCellMar>
        </w:tblPrEx>
        <w:trPr>
          <w:trHeight w:val="270" w:hRule="atLeast"/>
          <w:jc w:val="center"/>
        </w:trPr>
        <w:tc>
          <w:tcPr>
            <w:tcW w:w="173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评价因素</w:t>
            </w:r>
          </w:p>
        </w:tc>
        <w:tc>
          <w:tcPr>
            <w:tcW w:w="112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标准分值</w:t>
            </w:r>
          </w:p>
        </w:tc>
        <w:tc>
          <w:tcPr>
            <w:tcW w:w="469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打分考虑因素</w:t>
            </w:r>
          </w:p>
        </w:tc>
        <w:tc>
          <w:tcPr>
            <w:tcW w:w="1740" w:type="dxa"/>
            <w:gridSpan w:val="2"/>
            <w:tcBorders>
              <w:top w:val="single" w:color="auto" w:sz="4" w:space="0"/>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估价对象</w:t>
            </w:r>
          </w:p>
        </w:tc>
      </w:tr>
      <w:tr>
        <w:tblPrEx>
          <w:tblCellMar>
            <w:top w:w="0" w:type="dxa"/>
            <w:left w:w="108" w:type="dxa"/>
            <w:bottom w:w="0" w:type="dxa"/>
            <w:right w:w="108" w:type="dxa"/>
          </w:tblCellMar>
        </w:tblPrEx>
        <w:trPr>
          <w:trHeight w:val="270" w:hRule="atLeast"/>
          <w:jc w:val="center"/>
        </w:trPr>
        <w:tc>
          <w:tcPr>
            <w:tcW w:w="1736"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vMerge w:val="continue"/>
            <w:tcBorders>
              <w:top w:val="single" w:color="auto" w:sz="4" w:space="0"/>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hint="eastAsia" w:ascii="Arial" w:hAnsi="Arial" w:eastAsia="仿宋" w:cs="Arial"/>
                <w:sz w:val="18"/>
                <w:szCs w:val="18"/>
                <w:highlight w:val="none"/>
              </w:rPr>
              <w:t>成本逼近法</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剩余(增值收益扣减)法</w:t>
            </w: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估价方法的代表性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25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1.估价方法选取分析充分、合理，取20～25分；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20</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20</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2.估价方法选取分析较充分、合理，取10～19分；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3.估价方法选取分析较不充分，取0～9分；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540"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估价方法所要求的估价资料的完整性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1.估价资料完整，来源依据充分，取10～15分；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2.估价资料有欠缺，来源依据较不充分，取0～9分；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参数选取的客观性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1.参数从市场上获取，或从权威机构发布的信息上获取，取10～15分；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ascii="Arial" w:hAnsi="Arial" w:eastAsia="仿宋_GB2312" w:cs="Arial"/>
                <w:sz w:val="21"/>
                <w:szCs w:val="21"/>
                <w:highlight w:val="none"/>
              </w:rPr>
              <w:t>15</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4</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2.部分参数为自行分析取得，理由较充分，取0～9分；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参数确定的时效性</w:t>
            </w:r>
          </w:p>
        </w:tc>
        <w:tc>
          <w:tcPr>
            <w:tcW w:w="1125"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15</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1.参数在规定的时效范围内，且距估价期日未超过1年，取10～15分；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4</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1</w:t>
            </w:r>
            <w:r>
              <w:rPr>
                <w:rFonts w:hint="eastAsia" w:ascii="Arial" w:hAnsi="Arial" w:eastAsia="仿宋_GB2312" w:cs="Arial"/>
                <w:sz w:val="21"/>
                <w:szCs w:val="21"/>
                <w:highlight w:val="none"/>
              </w:rPr>
              <w:t>5</w:t>
            </w:r>
          </w:p>
        </w:tc>
      </w:tr>
      <w:tr>
        <w:tblPrEx>
          <w:tblCellMar>
            <w:top w:w="0" w:type="dxa"/>
            <w:left w:w="108" w:type="dxa"/>
            <w:bottom w:w="0" w:type="dxa"/>
            <w:right w:w="108" w:type="dxa"/>
          </w:tblCellMar>
        </w:tblPrEx>
        <w:trPr>
          <w:trHeight w:val="540"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2.参数在规定的时效范围内，但距估价期日超过1年，取0～9分；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restart"/>
            <w:tcBorders>
              <w:top w:val="nil"/>
              <w:left w:val="single" w:color="auto" w:sz="4" w:space="0"/>
              <w:bottom w:val="single" w:color="auto" w:sz="4" w:space="0"/>
              <w:right w:val="single" w:color="auto" w:sz="4" w:space="0"/>
            </w:tcBorders>
            <w:shd w:val="clear" w:color="auto" w:fill="auto"/>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估价结果的现势性</w:t>
            </w:r>
          </w:p>
        </w:tc>
        <w:tc>
          <w:tcPr>
            <w:tcW w:w="1125"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sz w:val="18"/>
                <w:szCs w:val="18"/>
                <w:highlight w:val="none"/>
              </w:rPr>
            </w:pPr>
            <w:r>
              <w:rPr>
                <w:rFonts w:ascii="Arial" w:hAnsi="Arial" w:eastAsia="仿宋" w:cs="Arial"/>
                <w:sz w:val="18"/>
                <w:szCs w:val="18"/>
                <w:highlight w:val="none"/>
              </w:rPr>
              <w:t>30</w:t>
            </w: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1.估价结果与同类用途房地产市场价格水平一致，且考虑了房地产市场发展趋势，取20～30分；</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_GB2312" w:cs="Arial"/>
                <w:sz w:val="18"/>
                <w:szCs w:val="18"/>
                <w:highlight w:val="none"/>
              </w:rPr>
            </w:pPr>
            <w:r>
              <w:rPr>
                <w:rFonts w:ascii="Arial" w:hAnsi="Arial" w:eastAsia="仿宋_GB2312" w:cs="Arial"/>
                <w:sz w:val="21"/>
                <w:szCs w:val="21"/>
                <w:highlight w:val="none"/>
              </w:rPr>
              <w:t>2</w:t>
            </w:r>
            <w:r>
              <w:rPr>
                <w:rFonts w:hint="eastAsia" w:ascii="Arial" w:hAnsi="Arial" w:eastAsia="仿宋_GB2312" w:cs="Arial"/>
                <w:sz w:val="21"/>
                <w:szCs w:val="21"/>
                <w:highlight w:val="none"/>
              </w:rPr>
              <w:t>3</w:t>
            </w:r>
          </w:p>
        </w:tc>
        <w:tc>
          <w:tcPr>
            <w:tcW w:w="87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23</w:t>
            </w: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2.估价结果与同类用途房地产价格水平基本一致，且适当考虑了房地产市场发展趋势，取10～19分；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795" w:hRule="atLeast"/>
          <w:jc w:val="center"/>
        </w:trPr>
        <w:tc>
          <w:tcPr>
            <w:tcW w:w="1736"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1125"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4697" w:type="dxa"/>
            <w:tcBorders>
              <w:top w:val="nil"/>
              <w:left w:val="nil"/>
              <w:bottom w:val="single" w:color="auto" w:sz="4" w:space="0"/>
              <w:right w:val="single" w:color="auto" w:sz="4" w:space="0"/>
            </w:tcBorders>
            <w:shd w:val="clear" w:color="auto" w:fill="auto"/>
            <w:vAlign w:val="center"/>
          </w:tcPr>
          <w:p>
            <w:pPr>
              <w:widowControl/>
              <w:adjustRightInd/>
              <w:spacing w:line="300" w:lineRule="auto"/>
              <w:textAlignment w:val="auto"/>
              <w:rPr>
                <w:rFonts w:ascii="Arial" w:hAnsi="Arial" w:eastAsia="仿宋" w:cs="Arial"/>
                <w:sz w:val="18"/>
                <w:szCs w:val="18"/>
                <w:highlight w:val="none"/>
              </w:rPr>
            </w:pPr>
            <w:r>
              <w:rPr>
                <w:rFonts w:ascii="Arial" w:hAnsi="Arial" w:eastAsia="仿宋" w:cs="Arial"/>
                <w:sz w:val="18"/>
                <w:szCs w:val="18"/>
                <w:highlight w:val="none"/>
              </w:rPr>
              <w:t>3.估价结果与同类用途房地产价格水平有一定差距，且适当考虑房地产市场发展趋势，取0～9分；</w:t>
            </w: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c>
          <w:tcPr>
            <w:tcW w:w="870" w:type="dxa"/>
            <w:vMerge w:val="continue"/>
            <w:tcBorders>
              <w:top w:val="nil"/>
              <w:left w:val="single" w:color="auto" w:sz="4" w:space="0"/>
              <w:bottom w:val="single" w:color="auto" w:sz="4" w:space="0"/>
              <w:right w:val="single" w:color="auto" w:sz="4" w:space="0"/>
            </w:tcBorders>
            <w:vAlign w:val="center"/>
          </w:tcPr>
          <w:p>
            <w:pPr>
              <w:widowControl/>
              <w:adjustRightInd/>
              <w:spacing w:line="300" w:lineRule="auto"/>
              <w:textAlignment w:val="auto"/>
              <w:rPr>
                <w:rFonts w:ascii="Arial" w:hAnsi="Arial" w:eastAsia="仿宋" w:cs="Arial"/>
                <w:sz w:val="18"/>
                <w:szCs w:val="18"/>
                <w:highlight w:val="none"/>
              </w:rPr>
            </w:pP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分值</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87</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87</w:t>
            </w:r>
          </w:p>
        </w:tc>
      </w:tr>
      <w:tr>
        <w:tblPrEx>
          <w:tblCellMar>
            <w:top w:w="0" w:type="dxa"/>
            <w:left w:w="108" w:type="dxa"/>
            <w:bottom w:w="0" w:type="dxa"/>
            <w:right w:w="108" w:type="dxa"/>
          </w:tblCellMar>
        </w:tblPrEx>
        <w:trPr>
          <w:trHeight w:val="270" w:hRule="atLeast"/>
          <w:jc w:val="center"/>
        </w:trPr>
        <w:tc>
          <w:tcPr>
            <w:tcW w:w="7558"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spacing w:line="300" w:lineRule="auto"/>
              <w:jc w:val="center"/>
              <w:textAlignment w:val="auto"/>
              <w:rPr>
                <w:rFonts w:ascii="Arial" w:hAnsi="Arial" w:eastAsia="仿宋" w:cs="Arial"/>
                <w:b/>
                <w:bCs/>
                <w:sz w:val="18"/>
                <w:szCs w:val="18"/>
                <w:highlight w:val="none"/>
              </w:rPr>
            </w:pPr>
            <w:r>
              <w:rPr>
                <w:rFonts w:ascii="Arial" w:hAnsi="Arial" w:eastAsia="仿宋" w:cs="Arial"/>
                <w:b/>
                <w:bCs/>
                <w:sz w:val="18"/>
                <w:szCs w:val="18"/>
                <w:highlight w:val="none"/>
              </w:rPr>
              <w:t>权重</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5</w:t>
            </w:r>
            <w:r>
              <w:rPr>
                <w:rFonts w:ascii="Arial" w:hAnsi="Arial" w:eastAsia="仿宋_GB2312" w:cs="Arial"/>
                <w:sz w:val="21"/>
                <w:szCs w:val="21"/>
                <w:highlight w:val="none"/>
              </w:rPr>
              <w:t>0%</w:t>
            </w:r>
          </w:p>
        </w:tc>
        <w:tc>
          <w:tcPr>
            <w:tcW w:w="870" w:type="dxa"/>
            <w:tcBorders>
              <w:top w:val="nil"/>
              <w:left w:val="nil"/>
              <w:bottom w:val="single" w:color="auto" w:sz="4" w:space="0"/>
              <w:right w:val="single" w:color="auto" w:sz="4" w:space="0"/>
            </w:tcBorders>
            <w:shd w:val="clear" w:color="auto" w:fill="auto"/>
            <w:noWrap/>
            <w:vAlign w:val="center"/>
          </w:tcPr>
          <w:p>
            <w:pPr>
              <w:widowControl/>
              <w:adjustRightInd/>
              <w:spacing w:line="240" w:lineRule="auto"/>
              <w:jc w:val="center"/>
              <w:textAlignment w:val="auto"/>
              <w:rPr>
                <w:rFonts w:ascii="Arial" w:hAnsi="Arial" w:eastAsia="仿宋" w:cs="Arial"/>
                <w:sz w:val="18"/>
                <w:szCs w:val="18"/>
                <w:highlight w:val="none"/>
              </w:rPr>
            </w:pPr>
            <w:r>
              <w:rPr>
                <w:rFonts w:hint="eastAsia" w:ascii="Arial" w:hAnsi="Arial" w:eastAsia="仿宋_GB2312" w:cs="Arial"/>
                <w:sz w:val="21"/>
                <w:szCs w:val="21"/>
                <w:highlight w:val="none"/>
              </w:rPr>
              <w:t>5</w:t>
            </w:r>
            <w:r>
              <w:rPr>
                <w:rFonts w:ascii="Arial" w:hAnsi="Arial" w:eastAsia="仿宋_GB2312" w:cs="Arial"/>
                <w:sz w:val="21"/>
                <w:szCs w:val="21"/>
                <w:highlight w:val="none"/>
              </w:rPr>
              <w:t>0%</w:t>
            </w:r>
          </w:p>
        </w:tc>
      </w:tr>
    </w:tbl>
    <w:p>
      <w:pPr>
        <w:widowControl/>
        <w:adjustRightInd/>
        <w:spacing w:line="300" w:lineRule="auto"/>
        <w:textAlignment w:val="auto"/>
        <w:rPr>
          <w:rFonts w:ascii="Arial" w:hAnsi="Arial" w:eastAsia="仿宋_GB2312" w:cs="Arial"/>
          <w:sz w:val="28"/>
          <w:highlight w:val="none"/>
        </w:rPr>
      </w:pPr>
    </w:p>
    <w:tbl>
      <w:tblPr>
        <w:tblStyle w:val="35"/>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356"/>
        <w:gridCol w:w="3036"/>
        <w:gridCol w:w="2131"/>
        <w:gridCol w:w="875"/>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20" w:hRule="atLeast"/>
          <w:jc w:val="center"/>
        </w:trPr>
        <w:tc>
          <w:tcPr>
            <w:tcW w:w="1112"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用途</w:t>
            </w:r>
          </w:p>
        </w:tc>
        <w:tc>
          <w:tcPr>
            <w:tcW w:w="2489"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方法</w:t>
            </w:r>
          </w:p>
        </w:tc>
        <w:tc>
          <w:tcPr>
            <w:tcW w:w="174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c>
          <w:tcPr>
            <w:tcW w:w="717"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ascii="Arial" w:hAnsi="Arial" w:eastAsia="仿宋" w:cs="Arial"/>
                <w:b/>
                <w:bCs/>
                <w:color w:val="000000"/>
                <w:sz w:val="18"/>
                <w:szCs w:val="18"/>
                <w:highlight w:val="none"/>
              </w:rPr>
              <w:t>权重</w:t>
            </w:r>
          </w:p>
        </w:tc>
        <w:tc>
          <w:tcPr>
            <w:tcW w:w="1558" w:type="dxa"/>
            <w:shd w:val="clear" w:color="auto" w:fill="auto"/>
            <w:vAlign w:val="center"/>
          </w:tcPr>
          <w:p>
            <w:pPr>
              <w:widowControl/>
              <w:adjustRightInd/>
              <w:spacing w:line="300" w:lineRule="auto"/>
              <w:jc w:val="center"/>
              <w:textAlignment w:val="auto"/>
              <w:rPr>
                <w:rFonts w:ascii="Arial" w:hAnsi="Arial" w:eastAsia="仿宋" w:cs="Arial"/>
                <w:b/>
                <w:bCs/>
                <w:color w:val="000000"/>
                <w:sz w:val="18"/>
                <w:szCs w:val="18"/>
                <w:highlight w:val="none"/>
              </w:rPr>
            </w:pPr>
            <w:r>
              <w:rPr>
                <w:rFonts w:hint="eastAsia" w:ascii="Arial" w:hAnsi="Arial" w:eastAsia="仿宋" w:cs="Arial"/>
                <w:b/>
                <w:bCs/>
                <w:color w:val="000000"/>
                <w:sz w:val="18"/>
                <w:szCs w:val="18"/>
                <w:highlight w:val="none"/>
              </w:rPr>
              <w:t>楼面单价</w:t>
            </w:r>
            <w:r>
              <w:rPr>
                <w:rFonts w:ascii="Arial" w:hAnsi="Arial" w:eastAsia="仿宋" w:cs="Arial"/>
                <w:b/>
                <w:bCs/>
                <w:color w:val="000000"/>
                <w:sz w:val="18"/>
                <w:szCs w:val="1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restart"/>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商业</w:t>
            </w: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成本逼近法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4887</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0.5</w:t>
            </w:r>
          </w:p>
        </w:tc>
        <w:tc>
          <w:tcPr>
            <w:tcW w:w="1558" w:type="dxa"/>
            <w:vMerge w:val="restart"/>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4712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55" w:hRule="atLeast"/>
          <w:jc w:val="center"/>
        </w:trPr>
        <w:tc>
          <w:tcPr>
            <w:tcW w:w="1112"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c>
          <w:tcPr>
            <w:tcW w:w="2489"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剩余(增值收益扣减)法</w:t>
            </w:r>
          </w:p>
        </w:tc>
        <w:tc>
          <w:tcPr>
            <w:tcW w:w="1747" w:type="dxa"/>
            <w:shd w:val="clear" w:color="auto" w:fill="auto"/>
            <w:vAlign w:val="center"/>
          </w:tcPr>
          <w:p>
            <w:pPr>
              <w:widowControl/>
              <w:snapToGrid w:val="0"/>
              <w:spacing w:line="240" w:lineRule="exact"/>
              <w:jc w:val="center"/>
              <w:textAlignment w:val="auto"/>
              <w:rPr>
                <w:rFonts w:hint="default" w:ascii="Arial" w:hAnsi="Arial" w:eastAsia="仿宋" w:cs="Arial"/>
                <w:color w:val="000000"/>
                <w:sz w:val="18"/>
                <w:szCs w:val="18"/>
                <w:highlight w:val="none"/>
                <w:lang w:val="en-US" w:eastAsia="zh-CN"/>
              </w:rPr>
            </w:pPr>
            <w:r>
              <w:rPr>
                <w:rFonts w:hint="eastAsia" w:ascii="Arial" w:hAnsi="Arial" w:eastAsia="仿宋" w:cs="Arial"/>
                <w:color w:val="000000"/>
                <w:sz w:val="18"/>
                <w:szCs w:val="18"/>
                <w:highlight w:val="none"/>
                <w:lang w:val="en-US" w:eastAsia="zh-CN"/>
              </w:rPr>
              <w:t>4536</w:t>
            </w:r>
          </w:p>
        </w:tc>
        <w:tc>
          <w:tcPr>
            <w:tcW w:w="717" w:type="dxa"/>
            <w:shd w:val="clear" w:color="auto" w:fill="auto"/>
            <w:vAlign w:val="center"/>
          </w:tcPr>
          <w:p>
            <w:pPr>
              <w:widowControl/>
              <w:snapToGrid w:val="0"/>
              <w:spacing w:line="240" w:lineRule="exact"/>
              <w:jc w:val="center"/>
              <w:textAlignment w:val="auto"/>
              <w:rPr>
                <w:rFonts w:ascii="Arial" w:hAnsi="Arial" w:eastAsia="仿宋" w:cs="Arial"/>
                <w:color w:val="000000"/>
                <w:sz w:val="18"/>
                <w:szCs w:val="18"/>
                <w:highlight w:val="none"/>
              </w:rPr>
            </w:pPr>
            <w:r>
              <w:rPr>
                <w:rFonts w:hint="eastAsia" w:ascii="Arial" w:hAnsi="Arial" w:eastAsia="仿宋" w:cs="Arial"/>
                <w:color w:val="000000"/>
                <w:sz w:val="18"/>
                <w:szCs w:val="18"/>
                <w:highlight w:val="none"/>
              </w:rPr>
              <w:t>0.5</w:t>
            </w:r>
          </w:p>
        </w:tc>
        <w:tc>
          <w:tcPr>
            <w:tcW w:w="1558" w:type="dxa"/>
            <w:vMerge w:val="continue"/>
            <w:shd w:val="clear" w:color="auto" w:fill="auto"/>
            <w:vAlign w:val="center"/>
          </w:tcPr>
          <w:p>
            <w:pPr>
              <w:widowControl/>
              <w:adjustRightInd/>
              <w:spacing w:line="300" w:lineRule="auto"/>
              <w:textAlignment w:val="auto"/>
              <w:rPr>
                <w:rFonts w:ascii="Arial" w:hAnsi="Arial" w:eastAsia="仿宋" w:cs="Arial"/>
                <w:color w:val="000000"/>
                <w:sz w:val="18"/>
                <w:szCs w:val="18"/>
                <w:highlight w:val="none"/>
              </w:rPr>
            </w:pPr>
          </w:p>
        </w:tc>
      </w:tr>
    </w:tbl>
    <w:p>
      <w:pPr>
        <w:pStyle w:val="52"/>
        <w:adjustRightInd w:val="0"/>
        <w:spacing w:line="240" w:lineRule="exact"/>
        <w:ind w:firstLine="360"/>
        <w:rPr>
          <w:rFonts w:ascii="Arial" w:hAnsi="Arial" w:cs="Arial"/>
          <w:sz w:val="18"/>
          <w:szCs w:val="18"/>
          <w:highlight w:val="none"/>
        </w:rPr>
      </w:pPr>
    </w:p>
    <w:p>
      <w:pPr>
        <w:pStyle w:val="52"/>
        <w:adjustRightInd w:val="0"/>
        <w:spacing w:line="300" w:lineRule="auto"/>
        <w:rPr>
          <w:rFonts w:ascii="Arial" w:hAnsi="Arial" w:cs="Arial"/>
          <w:highlight w:val="none"/>
        </w:rPr>
      </w:pPr>
      <w:r>
        <w:rPr>
          <w:rFonts w:hint="eastAsia" w:ascii="Arial" w:hAnsi="Arial" w:cs="Arial"/>
          <w:highlight w:val="none"/>
        </w:rPr>
        <w:t>综上，估价对象楼面单价为</w:t>
      </w:r>
      <w:r>
        <w:rPr>
          <w:rFonts w:hint="eastAsia" w:ascii="Arial" w:hAnsi="Arial" w:cs="Arial"/>
          <w:highlight w:val="none"/>
          <w:lang w:val="en-US" w:eastAsia="zh-CN"/>
        </w:rPr>
        <w:t>4712</w:t>
      </w:r>
      <w:r>
        <w:rPr>
          <w:rFonts w:hint="eastAsia" w:ascii="Arial" w:hAnsi="Arial" w:cs="Arial"/>
          <w:highlight w:val="none"/>
        </w:rPr>
        <w:t>元/平方米，估价对象建筑面积为</w:t>
      </w:r>
      <w:r>
        <w:rPr>
          <w:rFonts w:hint="eastAsia" w:ascii="Arial" w:hAnsi="Arial" w:cs="Arial"/>
          <w:highlight w:val="none"/>
          <w:lang w:eastAsia="zh-CN"/>
        </w:rPr>
        <w:t>259.75</w:t>
      </w:r>
      <w:r>
        <w:rPr>
          <w:rFonts w:hint="eastAsia" w:ascii="Arial" w:hAnsi="Arial" w:cs="Arial"/>
          <w:highlight w:val="none"/>
        </w:rPr>
        <w:t>平方米，则估价对象划拨国有建设用地使用权总价为：</w:t>
      </w:r>
    </w:p>
    <w:p>
      <w:pPr>
        <w:pStyle w:val="52"/>
        <w:adjustRightInd w:val="0"/>
        <w:spacing w:line="300" w:lineRule="auto"/>
        <w:rPr>
          <w:rFonts w:ascii="Arial" w:hAnsi="Arial" w:cs="Arial"/>
          <w:highlight w:val="none"/>
        </w:rPr>
      </w:pPr>
      <w:r>
        <w:rPr>
          <w:rFonts w:hint="eastAsia" w:ascii="Arial" w:hAnsi="Arial" w:cs="Arial"/>
          <w:highlight w:val="none"/>
        </w:rPr>
        <w:t>总价＝</w:t>
      </w:r>
      <w:r>
        <w:rPr>
          <w:rFonts w:hint="eastAsia" w:ascii="Arial" w:hAnsi="Arial" w:cs="Arial"/>
          <w:highlight w:val="none"/>
          <w:lang w:val="en-US" w:eastAsia="zh-CN"/>
        </w:rPr>
        <w:t>4712</w:t>
      </w:r>
      <w:r>
        <w:rPr>
          <w:rFonts w:hint="eastAsia" w:ascii="Arial" w:hAnsi="Arial" w:cs="Arial"/>
          <w:highlight w:val="none"/>
        </w:rPr>
        <w:t>×</w:t>
      </w:r>
      <w:r>
        <w:rPr>
          <w:rFonts w:hint="eastAsia" w:ascii="Arial" w:hAnsi="Arial" w:cs="Arial"/>
          <w:highlight w:val="none"/>
          <w:lang w:eastAsia="zh-CN"/>
        </w:rPr>
        <w:t>259.75</w:t>
      </w:r>
      <w:r>
        <w:rPr>
          <w:rFonts w:hint="eastAsia" w:ascii="Arial" w:hAnsi="Arial" w:cs="Arial"/>
          <w:highlight w:val="none"/>
        </w:rPr>
        <w:t>÷10000＝</w:t>
      </w:r>
      <w:r>
        <w:rPr>
          <w:rFonts w:hint="eastAsia" w:ascii="Arial" w:hAnsi="Arial" w:cs="Arial"/>
          <w:highlight w:val="none"/>
          <w:lang w:val="en-US" w:eastAsia="zh-CN"/>
        </w:rPr>
        <w:t>122.3942</w:t>
      </w:r>
      <w:r>
        <w:rPr>
          <w:rFonts w:hint="eastAsia" w:ascii="Arial" w:hAnsi="Arial" w:cs="Arial"/>
          <w:highlight w:val="none"/>
        </w:rPr>
        <w:t>（万元）</w:t>
      </w:r>
    </w:p>
    <w:p>
      <w:pPr>
        <w:pStyle w:val="52"/>
        <w:adjustRightInd w:val="0"/>
        <w:spacing w:line="300" w:lineRule="auto"/>
        <w:rPr>
          <w:rFonts w:ascii="Arial" w:hAnsi="Arial" w:cs="Arial"/>
          <w:szCs w:val="28"/>
          <w:highlight w:val="none"/>
        </w:rPr>
      </w:pPr>
    </w:p>
    <w:p>
      <w:pPr>
        <w:pStyle w:val="52"/>
        <w:numPr>
          <w:ilvl w:val="0"/>
          <w:numId w:val="9"/>
        </w:numPr>
        <w:spacing w:line="300" w:lineRule="auto"/>
        <w:rPr>
          <w:rFonts w:ascii="Arial" w:hAnsi="Arial" w:cs="Arial"/>
          <w:highlight w:val="none"/>
        </w:rPr>
      </w:pPr>
      <w:r>
        <w:rPr>
          <w:rFonts w:ascii="Arial" w:hAnsi="Arial" w:cs="Arial"/>
          <w:highlight w:val="none"/>
        </w:rPr>
        <w:t>估价结果</w:t>
      </w:r>
      <w:bookmarkEnd w:id="313"/>
      <w:bookmarkEnd w:id="314"/>
      <w:bookmarkEnd w:id="315"/>
    </w:p>
    <w:p>
      <w:pPr>
        <w:pStyle w:val="52"/>
        <w:adjustRightInd w:val="0"/>
        <w:spacing w:line="300" w:lineRule="auto"/>
        <w:rPr>
          <w:rFonts w:ascii="Arial" w:hAnsi="Arial" w:cs="Arial"/>
          <w:highlight w:val="none"/>
        </w:rPr>
      </w:pPr>
      <w:r>
        <w:rPr>
          <w:rFonts w:hint="eastAsia" w:ascii="Arial" w:hAnsi="Arial" w:cs="Arial"/>
          <w:highlight w:val="none"/>
        </w:rPr>
        <w:t>1、按出让地价与划拨地价的差额计算应缴纳的地价款</w:t>
      </w:r>
    </w:p>
    <w:p>
      <w:pPr>
        <w:pStyle w:val="52"/>
        <w:spacing w:line="300" w:lineRule="auto"/>
        <w:ind w:firstLineChars="0"/>
        <w:rPr>
          <w:rFonts w:ascii="Arial" w:hAnsi="Arial" w:eastAsia="仿宋" w:cs="Arial"/>
          <w:szCs w:val="28"/>
          <w:highlight w:val="none"/>
        </w:rPr>
      </w:pPr>
      <w:r>
        <w:rPr>
          <w:rFonts w:hint="eastAsia" w:ascii="Arial" w:hAnsi="Arial" w:cs="Arial"/>
          <w:highlight w:val="none"/>
        </w:rPr>
        <w:t>根据《国土资源部办公厅关于发布&lt;国有建设用地使用权出让地价评估技术规范&gt;的通知》[国土资厅发（2018）4号]及</w:t>
      </w:r>
      <w:r>
        <w:rPr>
          <w:rFonts w:ascii="Arial" w:hAnsi="Arial" w:eastAsia="仿宋" w:cs="Arial"/>
          <w:szCs w:val="28"/>
          <w:highlight w:val="none"/>
        </w:rPr>
        <w:t>《北京市国有建设用地使用权出让地价评估技术导则（试行）》</w:t>
      </w:r>
      <w:r>
        <w:rPr>
          <w:rFonts w:hint="eastAsia" w:ascii="Arial" w:hAnsi="Arial" w:eastAsia="仿宋" w:cs="Arial"/>
          <w:szCs w:val="28"/>
          <w:highlight w:val="none"/>
        </w:rPr>
        <w:t>[</w:t>
      </w:r>
      <w:r>
        <w:rPr>
          <w:rFonts w:ascii="Arial" w:hAnsi="Arial" w:eastAsia="仿宋" w:cs="Arial"/>
          <w:szCs w:val="28"/>
          <w:highlight w:val="none"/>
        </w:rPr>
        <w:t>北估秘（2023）001</w:t>
      </w:r>
      <w:r>
        <w:rPr>
          <w:rFonts w:hint="eastAsia" w:ascii="Arial" w:hAnsi="Arial" w:eastAsia="仿宋" w:cs="Arial"/>
          <w:szCs w:val="28"/>
          <w:highlight w:val="none"/>
        </w:rPr>
        <w:t>]，出让时不改变土地及建筑物、构筑物现状的，应评估在现状使用条件下的出让土地使用权正常市场价格，减去划拨土地使用权价格，作为估价结果。故：</w:t>
      </w:r>
    </w:p>
    <w:p>
      <w:pPr>
        <w:snapToGrid w:val="0"/>
        <w:spacing w:line="300" w:lineRule="auto"/>
        <w:ind w:left="3357" w:leftChars="232" w:hanging="2800" w:hangingChars="10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出让国有建设用地使用权楼面单价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划拨国有建 设用地使用权楼面单价</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6486</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val="en-US" w:eastAsia="zh-CN"/>
        </w:rPr>
        <w:t>4712</w:t>
      </w:r>
      <w:r>
        <w:rPr>
          <w:rFonts w:hint="eastAsia" w:ascii="Arial" w:hAnsi="Arial" w:eastAsia="仿宋" w:cs="Arial"/>
          <w:kern w:val="2"/>
          <w:sz w:val="28"/>
          <w:szCs w:val="28"/>
          <w:highlight w:val="none"/>
        </w:rPr>
        <w:t xml:space="preserve"> </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1774</w:t>
      </w:r>
      <w:r>
        <w:rPr>
          <w:rFonts w:hint="eastAsia" w:ascii="Arial" w:hAnsi="Arial" w:eastAsia="仿宋" w:cs="Arial"/>
          <w:kern w:val="2"/>
          <w:sz w:val="28"/>
          <w:szCs w:val="28"/>
          <w:highlight w:val="none"/>
        </w:rPr>
        <w:t xml:space="preserve"> </w:t>
      </w:r>
    </w:p>
    <w:p>
      <w:pPr>
        <w:snapToGrid w:val="0"/>
        <w:spacing w:line="300" w:lineRule="auto"/>
        <w:ind w:firstLine="560" w:firstLineChars="200"/>
        <w:rPr>
          <w:rFonts w:ascii="Arial" w:hAnsi="Arial" w:eastAsia="仿宋" w:cs="Arial"/>
          <w:kern w:val="2"/>
          <w:sz w:val="28"/>
          <w:szCs w:val="28"/>
          <w:highlight w:val="none"/>
        </w:rPr>
      </w:pPr>
      <w:r>
        <w:rPr>
          <w:rFonts w:ascii="Arial" w:hAnsi="Arial" w:eastAsia="仿宋" w:cs="Arial"/>
          <w:kern w:val="2"/>
          <w:sz w:val="28"/>
          <w:szCs w:val="28"/>
          <w:highlight w:val="none"/>
        </w:rPr>
        <w:t>应缴纳的地价款总价</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应缴纳的地价款单价×建筑面积</w:t>
      </w:r>
    </w:p>
    <w:p>
      <w:pPr>
        <w:snapToGrid w:val="0"/>
        <w:spacing w:line="300" w:lineRule="auto"/>
        <w:ind w:firstLine="3080" w:firstLineChars="1100"/>
        <w:rPr>
          <w:rFonts w:ascii="Arial" w:hAnsi="Arial" w:eastAsia="仿宋" w:cs="Arial"/>
          <w:kern w:val="2"/>
          <w:sz w:val="28"/>
          <w:szCs w:val="28"/>
          <w:highlight w:val="none"/>
        </w:rPr>
      </w:pP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1774</w:t>
      </w:r>
      <w:r>
        <w:rPr>
          <w:rFonts w:hint="eastAsia" w:ascii="Arial" w:hAnsi="Arial" w:eastAsia="仿宋" w:cs="Arial"/>
          <w:kern w:val="2"/>
          <w:sz w:val="28"/>
          <w:szCs w:val="28"/>
          <w:highlight w:val="none"/>
        </w:rPr>
        <w:t>×</w:t>
      </w:r>
      <w:r>
        <w:rPr>
          <w:rFonts w:hint="eastAsia" w:ascii="Arial" w:hAnsi="Arial" w:eastAsia="仿宋" w:cs="Arial"/>
          <w:kern w:val="2"/>
          <w:sz w:val="28"/>
          <w:szCs w:val="28"/>
          <w:highlight w:val="none"/>
          <w:lang w:eastAsia="zh-CN"/>
        </w:rPr>
        <w:t>259.75</w:t>
      </w:r>
      <w:r>
        <w:rPr>
          <w:rFonts w:hint="eastAsia" w:ascii="Arial" w:hAnsi="Arial" w:eastAsia="仿宋" w:cs="Arial"/>
          <w:kern w:val="2"/>
          <w:sz w:val="28"/>
          <w:szCs w:val="28"/>
          <w:highlight w:val="none"/>
        </w:rPr>
        <w:t>÷</w:t>
      </w:r>
      <w:r>
        <w:rPr>
          <w:rFonts w:ascii="Arial" w:hAnsi="Arial" w:eastAsia="仿宋" w:cs="Arial"/>
          <w:kern w:val="2"/>
          <w:sz w:val="28"/>
          <w:szCs w:val="28"/>
          <w:highlight w:val="none"/>
        </w:rPr>
        <w:t>10000</w:t>
      </w:r>
    </w:p>
    <w:p>
      <w:pPr>
        <w:pStyle w:val="52"/>
        <w:adjustRightInd w:val="0"/>
        <w:spacing w:line="300" w:lineRule="auto"/>
        <w:ind w:firstLine="3080" w:firstLineChars="1100"/>
        <w:rPr>
          <w:rFonts w:ascii="Arial" w:hAnsi="Arial" w:eastAsia="仿宋" w:cs="Arial"/>
          <w:szCs w:val="28"/>
          <w:highlight w:val="none"/>
        </w:rPr>
      </w:pPr>
      <w:r>
        <w:rPr>
          <w:rFonts w:hint="eastAsia" w:ascii="Arial" w:hAnsi="Arial" w:eastAsia="仿宋" w:cs="Arial"/>
          <w:szCs w:val="28"/>
          <w:highlight w:val="none"/>
        </w:rPr>
        <w:t>＝</w:t>
      </w:r>
      <w:r>
        <w:rPr>
          <w:rFonts w:hint="eastAsia" w:ascii="Arial" w:hAnsi="Arial" w:eastAsia="仿宋" w:cs="Arial"/>
          <w:szCs w:val="28"/>
          <w:highlight w:val="none"/>
          <w:lang w:val="en-US" w:eastAsia="zh-CN"/>
        </w:rPr>
        <w:t>46.0797</w:t>
      </w:r>
      <w:r>
        <w:rPr>
          <w:rFonts w:ascii="Arial" w:hAnsi="Arial" w:eastAsia="仿宋"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2.运用基准地价系数修正法中政府收益比例测算政府出让收益</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根据《北京市人民政府关于更新出让国有建设用地使用权基准地价的通知》</w:t>
      </w:r>
      <w:r>
        <w:rPr>
          <w:rFonts w:hint="eastAsia" w:ascii="Arial" w:hAnsi="Arial" w:cs="Arial"/>
          <w:szCs w:val="28"/>
          <w:highlight w:val="none"/>
        </w:rPr>
        <w:t>[京政发 [2022]12号]</w:t>
      </w:r>
      <w:r>
        <w:rPr>
          <w:rFonts w:ascii="Arial" w:hAnsi="Arial" w:eastAsia="仿宋" w:cs="Arial"/>
          <w:highlight w:val="none"/>
        </w:rPr>
        <w:t>，政府土地出让收益按照楼面熟地价及政府土地出让收益比例确定。商业用途政府土地出让收益按照政府审定楼面熟地价的25%确定，</w:t>
      </w:r>
      <w:r>
        <w:rPr>
          <w:rFonts w:hint="eastAsia" w:ascii="Arial" w:hAnsi="Arial" w:eastAsia="仿宋" w:cs="Arial"/>
          <w:highlight w:val="none"/>
        </w:rPr>
        <w:t>则：</w:t>
      </w:r>
    </w:p>
    <w:p>
      <w:pPr>
        <w:pStyle w:val="52"/>
        <w:adjustRightInd w:val="0"/>
        <w:spacing w:line="300" w:lineRule="auto"/>
        <w:jc w:val="both"/>
        <w:rPr>
          <w:rFonts w:ascii="Arial" w:hAnsi="Arial" w:eastAsia="仿宋" w:cs="Arial"/>
          <w:highlight w:val="none"/>
        </w:rPr>
      </w:pPr>
      <w:r>
        <w:rPr>
          <w:rFonts w:hint="eastAsia" w:ascii="Arial" w:hAnsi="Arial" w:eastAsia="仿宋" w:cs="Arial"/>
          <w:highlight w:val="none"/>
        </w:rPr>
        <w:t>政府出让收益＝楼面熟地价×政府土地出让收益比例</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6486</w:t>
      </w:r>
      <w:r>
        <w:rPr>
          <w:rFonts w:hint="eastAsia" w:ascii="Arial" w:hAnsi="Arial" w:eastAsia="仿宋" w:cs="Arial"/>
          <w:highlight w:val="none"/>
        </w:rPr>
        <w:t>×25%</w:t>
      </w:r>
    </w:p>
    <w:p>
      <w:pPr>
        <w:pStyle w:val="52"/>
        <w:adjustRightInd w:val="0"/>
        <w:spacing w:line="300" w:lineRule="auto"/>
        <w:ind w:firstLine="2240" w:firstLineChars="8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1622</w:t>
      </w:r>
      <w:r>
        <w:rPr>
          <w:rFonts w:hint="eastAsia" w:ascii="Arial" w:hAnsi="Arial" w:eastAsia="仿宋" w:cs="Arial"/>
          <w:highlight w:val="none"/>
        </w:rPr>
        <w:t>(元/平方米)</w:t>
      </w:r>
    </w:p>
    <w:p>
      <w:pPr>
        <w:pStyle w:val="52"/>
        <w:adjustRightInd w:val="0"/>
        <w:spacing w:line="300" w:lineRule="auto"/>
        <w:jc w:val="both"/>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ascii="Arial" w:hAnsi="Arial" w:eastAsia="仿宋" w:cs="Arial"/>
          <w:highlight w:val="none"/>
        </w:rPr>
        <w:t>政府土地出让收益单价×建筑面积</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w:t>
      </w:r>
      <w:r>
        <w:rPr>
          <w:rFonts w:ascii="Arial" w:hAnsi="Arial" w:eastAsia="仿宋" w:cs="Arial"/>
          <w:highlight w:val="none"/>
        </w:rPr>
        <w:t>10000</w:t>
      </w:r>
    </w:p>
    <w:p>
      <w:pPr>
        <w:pStyle w:val="52"/>
        <w:adjustRightInd w:val="0"/>
        <w:spacing w:line="300" w:lineRule="auto"/>
        <w:ind w:firstLine="3360" w:firstLineChars="1200"/>
        <w:jc w:val="both"/>
        <w:rPr>
          <w:rFonts w:ascii="Arial" w:hAnsi="Arial" w:eastAsia="仿宋" w:cs="Arial"/>
          <w:highlight w:val="none"/>
        </w:rPr>
      </w:pPr>
      <w:r>
        <w:rPr>
          <w:rFonts w:hint="eastAsia" w:ascii="Arial" w:hAnsi="Arial" w:eastAsia="仿宋" w:cs="Arial"/>
          <w:highlight w:val="none"/>
        </w:rPr>
        <w:t>＝</w:t>
      </w:r>
      <w:r>
        <w:rPr>
          <w:rFonts w:hint="eastAsia" w:ascii="Arial" w:hAnsi="Arial" w:eastAsia="仿宋" w:cs="Arial"/>
          <w:highlight w:val="none"/>
          <w:lang w:val="en-US" w:eastAsia="zh-CN"/>
        </w:rPr>
        <w:t>42.1315</w:t>
      </w:r>
      <w:r>
        <w:rPr>
          <w:rFonts w:ascii="Arial" w:hAnsi="Arial" w:eastAsia="仿宋" w:cs="Arial"/>
          <w:highlight w:val="none"/>
        </w:rPr>
        <w:t>(万元)</w:t>
      </w:r>
    </w:p>
    <w:p>
      <w:pPr>
        <w:pStyle w:val="52"/>
        <w:adjustRightInd w:val="0"/>
        <w:spacing w:line="300" w:lineRule="auto"/>
        <w:rPr>
          <w:rFonts w:ascii="Arial" w:hAnsi="Arial" w:cs="Arial"/>
          <w:highlight w:val="none"/>
        </w:rPr>
      </w:pPr>
      <w:r>
        <w:rPr>
          <w:rFonts w:hint="eastAsia" w:ascii="Arial" w:hAnsi="Arial" w:cs="Arial"/>
          <w:highlight w:val="none"/>
        </w:rPr>
        <w:t>3.估价结果</w:t>
      </w:r>
    </w:p>
    <w:p>
      <w:pPr>
        <w:spacing w:line="300" w:lineRule="auto"/>
        <w:ind w:firstLine="560" w:firstLineChars="200"/>
        <w:jc w:val="both"/>
        <w:rPr>
          <w:rFonts w:ascii="Arial" w:hAnsi="Arial" w:eastAsia="仿宋_GB2312" w:cs="Arial"/>
          <w:sz w:val="28"/>
          <w:highlight w:val="none"/>
        </w:rPr>
      </w:pPr>
      <w:r>
        <w:rPr>
          <w:rFonts w:ascii="Arial" w:hAnsi="Arial" w:eastAsia="仿宋_GB2312" w:cs="Arial"/>
          <w:kern w:val="2"/>
          <w:sz w:val="28"/>
          <w:highlight w:val="none"/>
        </w:rPr>
        <w:t>评估专业人员根据估价的目的，按照估价的</w:t>
      </w:r>
      <w:bookmarkStart w:id="321" w:name="_GoBack"/>
      <w:bookmarkEnd w:id="321"/>
      <w:r>
        <w:rPr>
          <w:rFonts w:ascii="Arial" w:hAnsi="Arial" w:eastAsia="仿宋_GB2312" w:cs="Arial"/>
          <w:kern w:val="2"/>
          <w:sz w:val="28"/>
          <w:highlight w:val="none"/>
        </w:rPr>
        <w:t>程序，采用科学的估价方法，在认真分析现有资料的基础上，通过仔细测算和认真分析各种影响</w:t>
      </w:r>
      <w:r>
        <w:rPr>
          <w:rFonts w:ascii="Arial" w:hAnsi="Arial" w:eastAsia="仿宋_GB2312" w:cs="Arial"/>
          <w:sz w:val="28"/>
          <w:highlight w:val="none"/>
        </w:rPr>
        <w:t>土地</w:t>
      </w:r>
      <w:r>
        <w:rPr>
          <w:rFonts w:ascii="Arial" w:hAnsi="Arial" w:eastAsia="仿宋_GB2312" w:cs="Arial"/>
          <w:kern w:val="2"/>
          <w:sz w:val="28"/>
          <w:highlight w:val="none"/>
        </w:rPr>
        <w:t>价格的因素，确定</w:t>
      </w:r>
      <w:r>
        <w:rPr>
          <w:rFonts w:ascii="Arial" w:hAnsi="Arial" w:eastAsia="仿宋_GB2312" w:cs="Arial"/>
          <w:sz w:val="28"/>
          <w:highlight w:val="none"/>
        </w:rPr>
        <w:t>估价对象于估价期日的出让国有建设用地使用权价格</w:t>
      </w:r>
      <w:r>
        <w:rPr>
          <w:rFonts w:hint="eastAsia" w:ascii="Arial" w:hAnsi="Arial" w:eastAsia="仿宋_GB2312" w:cs="Arial"/>
          <w:sz w:val="28"/>
          <w:highlight w:val="none"/>
        </w:rPr>
        <w:t>、划拨国有建设用地使用权价格及应缴纳地价款为：</w:t>
      </w:r>
      <w:r>
        <w:rPr>
          <w:rFonts w:ascii="Arial" w:hAnsi="Arial" w:eastAsia="仿宋_GB2312" w:cs="Arial"/>
          <w:sz w:val="28"/>
          <w:highlight w:val="none"/>
        </w:rPr>
        <w:t>（币种：人民币）</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出让国有建设用地使用权价格：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168.4739</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壹佰陆拾捌万肆仟柒佰叁拾玖</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6486</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13231</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划拨国有建设用地使用权价格：</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122.3942</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壹佰贰拾贰万叁仟玖佰肆拾贰</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val="en-US" w:eastAsia="zh-CN"/>
        </w:rPr>
        <w:t>4712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地面价：</w:t>
      </w:r>
      <w:r>
        <w:rPr>
          <w:rFonts w:hint="eastAsia" w:ascii="Arial" w:hAnsi="Arial" w:eastAsia="仿宋_GB2312" w:cs="Arial"/>
          <w:kern w:val="2"/>
          <w:sz w:val="28"/>
          <w:highlight w:val="none"/>
          <w:lang w:eastAsia="zh-CN"/>
        </w:rPr>
        <w:t>9612</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应缴纳地价款：</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总价：</w:t>
      </w:r>
      <w:r>
        <w:rPr>
          <w:rFonts w:hint="eastAsia" w:ascii="Arial" w:hAnsi="Arial" w:eastAsia="仿宋_GB2312" w:cs="Arial"/>
          <w:kern w:val="2"/>
          <w:sz w:val="28"/>
          <w:highlight w:val="none"/>
          <w:lang w:val="en-US" w:eastAsia="zh-CN"/>
        </w:rPr>
        <w:t>46.0797</w:t>
      </w:r>
      <w:r>
        <w:rPr>
          <w:rFonts w:ascii="Arial" w:hAnsi="Arial" w:eastAsia="仿宋_GB2312" w:cs="Arial"/>
          <w:kern w:val="2"/>
          <w:sz w:val="28"/>
          <w:highlight w:val="none"/>
        </w:rPr>
        <w:t>万元</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大写金额：</w:t>
      </w:r>
      <w:r>
        <w:rPr>
          <w:rFonts w:hint="eastAsia" w:ascii="Arial" w:hAnsi="Arial" w:eastAsia="仿宋_GB2312" w:cs="Arial"/>
          <w:kern w:val="2"/>
          <w:sz w:val="28"/>
          <w:highlight w:val="none"/>
          <w:lang w:eastAsia="zh-CN"/>
        </w:rPr>
        <w:t>肆拾陆万零柒佰玖拾柒</w:t>
      </w:r>
      <w:r>
        <w:rPr>
          <w:rFonts w:ascii="Arial" w:hAnsi="Arial" w:eastAsia="仿宋_GB2312" w:cs="Arial"/>
          <w:kern w:val="2"/>
          <w:sz w:val="28"/>
          <w:highlight w:val="none"/>
        </w:rPr>
        <w:t>元整</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楼面价：</w:t>
      </w:r>
      <w:r>
        <w:rPr>
          <w:rFonts w:hint="eastAsia" w:ascii="Arial" w:hAnsi="Arial" w:eastAsia="仿宋_GB2312" w:cs="Arial"/>
          <w:kern w:val="2"/>
          <w:sz w:val="28"/>
          <w:highlight w:val="none"/>
          <w:lang w:eastAsia="zh-CN"/>
        </w:rPr>
        <w:t>1774</w:t>
      </w:r>
      <w:r>
        <w:rPr>
          <w:rFonts w:ascii="Arial" w:hAnsi="Arial" w:eastAsia="仿宋_GB2312" w:cs="Arial"/>
          <w:kern w:val="2"/>
          <w:sz w:val="28"/>
          <w:highlight w:val="none"/>
        </w:rPr>
        <w:t>元/平方米</w:t>
      </w:r>
    </w:p>
    <w:p>
      <w:pPr>
        <w:spacing w:line="300" w:lineRule="auto"/>
        <w:ind w:firstLine="560" w:firstLineChars="200"/>
        <w:jc w:val="both"/>
        <w:rPr>
          <w:rFonts w:ascii="Arial" w:hAnsi="Arial" w:eastAsia="仿宋_GB2312" w:cs="Arial"/>
          <w:kern w:val="2"/>
          <w:sz w:val="28"/>
          <w:highlight w:val="none"/>
        </w:rPr>
      </w:pPr>
      <w:r>
        <w:rPr>
          <w:rFonts w:ascii="Arial" w:hAnsi="Arial" w:eastAsia="仿宋_GB2312" w:cs="Arial"/>
          <w:kern w:val="2"/>
          <w:sz w:val="28"/>
          <w:highlight w:val="none"/>
        </w:rPr>
        <w:t xml:space="preserve">具体结果详见《估价结果一览表》   </w:t>
      </w:r>
    </w:p>
    <w:tbl>
      <w:tblPr>
        <w:tblStyle w:val="122"/>
        <w:tblW w:w="92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57" w:type="dxa"/>
          <w:left w:w="57" w:type="dxa"/>
          <w:bottom w:w="57" w:type="dxa"/>
          <w:right w:w="57" w:type="dxa"/>
        </w:tblCellMar>
      </w:tblPr>
      <w:tblGrid>
        <w:gridCol w:w="477"/>
        <w:gridCol w:w="917"/>
        <w:gridCol w:w="956"/>
        <w:gridCol w:w="1017"/>
        <w:gridCol w:w="1017"/>
        <w:gridCol w:w="1017"/>
        <w:gridCol w:w="1020"/>
        <w:gridCol w:w="1631"/>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97"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3"/>
                <w:sz w:val="18"/>
                <w:szCs w:val="18"/>
                <w:highlight w:val="none"/>
              </w:rPr>
              <w:t>用</w:t>
            </w:r>
            <w:r>
              <w:rPr>
                <w:rFonts w:ascii="Arial" w:hAnsi="Arial" w:eastAsia="仿宋" w:cs="Arial"/>
                <w:spacing w:val="-2"/>
                <w:sz w:val="18"/>
                <w:szCs w:val="18"/>
                <w:highlight w:val="none"/>
              </w:rPr>
              <w:t>途</w:t>
            </w:r>
          </w:p>
        </w:tc>
        <w:tc>
          <w:tcPr>
            <w:tcW w:w="917" w:type="dxa"/>
            <w:tcBorders>
              <w:left w:val="single" w:color="000000" w:sz="4" w:space="0"/>
            </w:tcBorders>
            <w:vAlign w:val="center"/>
          </w:tcPr>
          <w:p>
            <w:pPr>
              <w:snapToGrid w:val="0"/>
              <w:spacing w:line="240" w:lineRule="exact"/>
              <w:ind w:firstLine="12"/>
              <w:jc w:val="center"/>
              <w:rPr>
                <w:rFonts w:ascii="Arial" w:hAnsi="Arial" w:eastAsia="仿宋" w:cs="Arial"/>
                <w:sz w:val="18"/>
                <w:szCs w:val="18"/>
                <w:highlight w:val="none"/>
              </w:rPr>
            </w:pPr>
            <w:r>
              <w:rPr>
                <w:rFonts w:ascii="Arial" w:hAnsi="Arial" w:eastAsia="仿宋" w:cs="Arial"/>
                <w:spacing w:val="3"/>
                <w:sz w:val="18"/>
                <w:szCs w:val="18"/>
                <w:highlight w:val="none"/>
              </w:rPr>
              <w:t>土地面</w:t>
            </w:r>
            <w:r>
              <w:rPr>
                <w:rFonts w:ascii="Arial" w:hAnsi="Arial" w:eastAsia="仿宋" w:cs="Arial"/>
                <w:spacing w:val="8"/>
                <w:sz w:val="18"/>
                <w:szCs w:val="18"/>
                <w:highlight w:val="none"/>
              </w:rPr>
              <w:t>积</w:t>
            </w:r>
          </w:p>
        </w:tc>
        <w:tc>
          <w:tcPr>
            <w:tcW w:w="956" w:type="dxa"/>
            <w:vAlign w:val="center"/>
          </w:tcPr>
          <w:p>
            <w:pPr>
              <w:snapToGrid w:val="0"/>
              <w:spacing w:line="240" w:lineRule="exact"/>
              <w:ind w:firstLine="27"/>
              <w:jc w:val="center"/>
              <w:rPr>
                <w:rFonts w:ascii="Arial" w:hAnsi="Arial" w:eastAsia="仿宋" w:cs="Arial"/>
                <w:sz w:val="18"/>
                <w:szCs w:val="18"/>
                <w:highlight w:val="none"/>
              </w:rPr>
            </w:pPr>
            <w:r>
              <w:rPr>
                <w:rFonts w:ascii="Arial" w:hAnsi="Arial" w:eastAsia="仿宋" w:cs="Arial"/>
                <w:spacing w:val="7"/>
                <w:sz w:val="18"/>
                <w:szCs w:val="18"/>
                <w:highlight w:val="none"/>
              </w:rPr>
              <w:t>建</w:t>
            </w:r>
            <w:r>
              <w:rPr>
                <w:rFonts w:ascii="Arial" w:hAnsi="Arial" w:eastAsia="仿宋" w:cs="Arial"/>
                <w:spacing w:val="5"/>
                <w:sz w:val="18"/>
                <w:szCs w:val="18"/>
                <w:highlight w:val="none"/>
              </w:rPr>
              <w:t>筑面</w:t>
            </w:r>
            <w:r>
              <w:rPr>
                <w:rFonts w:ascii="Arial" w:hAnsi="Arial" w:eastAsia="仿宋" w:cs="Arial"/>
                <w:spacing w:val="18"/>
                <w:sz w:val="18"/>
                <w:szCs w:val="18"/>
                <w:highlight w:val="none"/>
              </w:rPr>
              <w:t>积</w:t>
            </w:r>
          </w:p>
        </w:tc>
        <w:tc>
          <w:tcPr>
            <w:tcW w:w="1017" w:type="dxa"/>
            <w:vAlign w:val="center"/>
          </w:tcPr>
          <w:p>
            <w:pPr>
              <w:snapToGrid w:val="0"/>
              <w:spacing w:line="240" w:lineRule="exact"/>
              <w:ind w:firstLine="20"/>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让楼</w:t>
            </w:r>
            <w:r>
              <w:rPr>
                <w:rFonts w:ascii="Arial" w:hAnsi="Arial" w:eastAsia="仿宋" w:cs="Arial"/>
                <w:spacing w:val="-8"/>
                <w:sz w:val="18"/>
                <w:szCs w:val="18"/>
                <w:highlight w:val="none"/>
              </w:rPr>
              <w:t>面</w:t>
            </w:r>
            <w:r>
              <w:rPr>
                <w:rFonts w:ascii="Arial" w:hAnsi="Arial" w:eastAsia="仿宋" w:cs="Arial"/>
                <w:spacing w:val="-6"/>
                <w:sz w:val="18"/>
                <w:szCs w:val="18"/>
                <w:highlight w:val="none"/>
              </w:rPr>
              <w:t>价</w:t>
            </w:r>
          </w:p>
        </w:tc>
        <w:tc>
          <w:tcPr>
            <w:tcW w:w="1017" w:type="dxa"/>
            <w:vAlign w:val="center"/>
          </w:tcPr>
          <w:p>
            <w:pPr>
              <w:snapToGrid w:val="0"/>
              <w:spacing w:line="240" w:lineRule="exact"/>
              <w:ind w:firstLine="32"/>
              <w:jc w:val="center"/>
              <w:rPr>
                <w:rFonts w:ascii="Arial" w:hAnsi="Arial" w:eastAsia="仿宋" w:cs="Arial"/>
                <w:sz w:val="18"/>
                <w:szCs w:val="18"/>
                <w:highlight w:val="none"/>
              </w:rPr>
            </w:pPr>
            <w:r>
              <w:rPr>
                <w:rFonts w:ascii="Arial" w:hAnsi="Arial" w:eastAsia="仿宋" w:cs="Arial"/>
                <w:spacing w:val="-15"/>
                <w:sz w:val="18"/>
                <w:szCs w:val="18"/>
                <w:highlight w:val="none"/>
              </w:rPr>
              <w:t>出</w:t>
            </w:r>
            <w:r>
              <w:rPr>
                <w:rFonts w:ascii="Arial" w:hAnsi="Arial" w:eastAsia="仿宋" w:cs="Arial"/>
                <w:spacing w:val="-13"/>
                <w:sz w:val="18"/>
                <w:szCs w:val="18"/>
                <w:highlight w:val="none"/>
              </w:rPr>
              <w:t>让熟</w:t>
            </w:r>
            <w:r>
              <w:rPr>
                <w:rFonts w:ascii="Arial" w:hAnsi="Arial" w:eastAsia="仿宋" w:cs="Arial"/>
                <w:spacing w:val="-4"/>
                <w:sz w:val="18"/>
                <w:szCs w:val="18"/>
                <w:highlight w:val="none"/>
              </w:rPr>
              <w:t>地</w:t>
            </w:r>
            <w:r>
              <w:rPr>
                <w:rFonts w:ascii="Arial" w:hAnsi="Arial" w:eastAsia="仿宋" w:cs="Arial"/>
                <w:spacing w:val="-2"/>
                <w:sz w:val="18"/>
                <w:szCs w:val="18"/>
                <w:highlight w:val="none"/>
              </w:rPr>
              <w:t>总价</w:t>
            </w:r>
          </w:p>
        </w:tc>
        <w:tc>
          <w:tcPr>
            <w:tcW w:w="1017"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划</w:t>
            </w:r>
            <w:r>
              <w:rPr>
                <w:rFonts w:ascii="Arial" w:hAnsi="Arial" w:eastAsia="仿宋" w:cs="Arial"/>
                <w:spacing w:val="-3"/>
                <w:sz w:val="18"/>
                <w:szCs w:val="18"/>
                <w:highlight w:val="none"/>
              </w:rPr>
              <w:t>拨楼</w:t>
            </w:r>
            <w:r>
              <w:rPr>
                <w:rFonts w:ascii="Arial" w:hAnsi="Arial" w:eastAsia="仿宋" w:cs="Arial"/>
                <w:spacing w:val="-6"/>
                <w:sz w:val="18"/>
                <w:szCs w:val="18"/>
                <w:highlight w:val="none"/>
              </w:rPr>
              <w:t>面</w:t>
            </w:r>
            <w:r>
              <w:rPr>
                <w:rFonts w:ascii="Arial" w:hAnsi="Arial" w:eastAsia="仿宋" w:cs="Arial"/>
                <w:spacing w:val="-4"/>
                <w:sz w:val="18"/>
                <w:szCs w:val="18"/>
                <w:highlight w:val="none"/>
              </w:rPr>
              <w:t>价</w:t>
            </w:r>
          </w:p>
        </w:tc>
        <w:tc>
          <w:tcPr>
            <w:tcW w:w="1020" w:type="dxa"/>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7"/>
                <w:sz w:val="18"/>
                <w:szCs w:val="18"/>
                <w:highlight w:val="none"/>
              </w:rPr>
              <w:t>划</w:t>
            </w:r>
            <w:r>
              <w:rPr>
                <w:rFonts w:ascii="Arial" w:hAnsi="Arial" w:eastAsia="仿宋" w:cs="Arial"/>
                <w:spacing w:val="-5"/>
                <w:sz w:val="18"/>
                <w:szCs w:val="18"/>
                <w:highlight w:val="none"/>
              </w:rPr>
              <w:t>拨地</w:t>
            </w:r>
            <w:r>
              <w:rPr>
                <w:rFonts w:ascii="Arial" w:hAnsi="Arial" w:eastAsia="仿宋" w:cs="Arial"/>
                <w:spacing w:val="-4"/>
                <w:sz w:val="18"/>
                <w:szCs w:val="18"/>
                <w:highlight w:val="none"/>
              </w:rPr>
              <w:t>价</w:t>
            </w:r>
            <w:r>
              <w:rPr>
                <w:rFonts w:ascii="Arial" w:hAnsi="Arial" w:eastAsia="仿宋" w:cs="Arial"/>
                <w:spacing w:val="-3"/>
                <w:sz w:val="18"/>
                <w:szCs w:val="18"/>
                <w:highlight w:val="none"/>
              </w:rPr>
              <w:t>总价</w:t>
            </w:r>
          </w:p>
        </w:tc>
        <w:tc>
          <w:tcPr>
            <w:tcW w:w="1631" w:type="dxa"/>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4"/>
                <w:sz w:val="18"/>
                <w:szCs w:val="18"/>
                <w:highlight w:val="none"/>
              </w:rPr>
              <w:t>缴</w:t>
            </w:r>
            <w:r>
              <w:rPr>
                <w:rFonts w:ascii="Arial" w:hAnsi="Arial" w:eastAsia="仿宋" w:cs="Arial"/>
                <w:spacing w:val="-3"/>
                <w:sz w:val="18"/>
                <w:szCs w:val="18"/>
                <w:highlight w:val="none"/>
              </w:rPr>
              <w:t>纳地</w:t>
            </w:r>
            <w:r>
              <w:rPr>
                <w:rFonts w:ascii="Arial" w:hAnsi="Arial" w:eastAsia="仿宋" w:cs="Arial"/>
                <w:spacing w:val="-4"/>
                <w:sz w:val="18"/>
                <w:szCs w:val="18"/>
                <w:highlight w:val="none"/>
              </w:rPr>
              <w:t>价</w:t>
            </w:r>
            <w:r>
              <w:rPr>
                <w:rFonts w:ascii="Arial" w:hAnsi="Arial" w:eastAsia="仿宋" w:cs="Arial"/>
                <w:spacing w:val="-2"/>
                <w:sz w:val="18"/>
                <w:szCs w:val="18"/>
                <w:highlight w:val="none"/>
              </w:rPr>
              <w:t>款楼面</w:t>
            </w:r>
            <w:r>
              <w:rPr>
                <w:rFonts w:ascii="Arial" w:hAnsi="Arial" w:eastAsia="仿宋" w:cs="Arial"/>
                <w:spacing w:val="27"/>
                <w:sz w:val="18"/>
                <w:szCs w:val="18"/>
                <w:highlight w:val="none"/>
              </w:rPr>
              <w:t>价</w:t>
            </w:r>
          </w:p>
        </w:tc>
        <w:tc>
          <w:tcPr>
            <w:tcW w:w="1246" w:type="dxa"/>
            <w:tcBorders>
              <w:right w:val="single" w:color="000000" w:sz="6" w:space="0"/>
            </w:tcBorders>
            <w:vAlign w:val="center"/>
          </w:tcPr>
          <w:p>
            <w:pPr>
              <w:snapToGrid w:val="0"/>
              <w:spacing w:line="240" w:lineRule="exact"/>
              <w:ind w:firstLine="7"/>
              <w:jc w:val="center"/>
              <w:rPr>
                <w:rFonts w:ascii="Arial" w:hAnsi="Arial" w:eastAsia="仿宋" w:cs="Arial"/>
                <w:sz w:val="18"/>
                <w:szCs w:val="18"/>
                <w:highlight w:val="none"/>
              </w:rPr>
            </w:pPr>
            <w:r>
              <w:rPr>
                <w:rFonts w:ascii="Arial" w:hAnsi="Arial" w:eastAsia="仿宋" w:cs="Arial"/>
                <w:spacing w:val="-6"/>
                <w:sz w:val="18"/>
                <w:szCs w:val="18"/>
                <w:highlight w:val="none"/>
              </w:rPr>
              <w:t>应</w:t>
            </w:r>
            <w:r>
              <w:rPr>
                <w:rFonts w:ascii="Arial" w:hAnsi="Arial" w:eastAsia="仿宋" w:cs="Arial"/>
                <w:spacing w:val="-5"/>
                <w:sz w:val="18"/>
                <w:szCs w:val="18"/>
                <w:highlight w:val="none"/>
              </w:rPr>
              <w:t>缴纳</w:t>
            </w:r>
            <w:r>
              <w:rPr>
                <w:rFonts w:ascii="Arial" w:hAnsi="Arial" w:eastAsia="仿宋" w:cs="Arial"/>
                <w:spacing w:val="-4"/>
                <w:sz w:val="18"/>
                <w:szCs w:val="18"/>
                <w:highlight w:val="none"/>
              </w:rPr>
              <w:t>地</w:t>
            </w:r>
            <w:r>
              <w:rPr>
                <w:rFonts w:ascii="Arial" w:hAnsi="Arial" w:eastAsia="仿宋" w:cs="Arial"/>
                <w:spacing w:val="-2"/>
                <w:sz w:val="18"/>
                <w:szCs w:val="18"/>
                <w:highlight w:val="none"/>
              </w:rPr>
              <w:t>价款</w:t>
            </w:r>
            <w:r>
              <w:rPr>
                <w:rFonts w:ascii="Arial" w:hAnsi="Arial" w:eastAsia="仿宋" w:cs="Arial"/>
                <w:spacing w:val="-7"/>
                <w:sz w:val="18"/>
                <w:szCs w:val="18"/>
                <w:highlight w:val="none"/>
              </w:rPr>
              <w:t>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57" w:type="dxa"/>
            <w:left w:w="57" w:type="dxa"/>
            <w:bottom w:w="57" w:type="dxa"/>
            <w:right w:w="57" w:type="dxa"/>
          </w:tblCellMar>
        </w:tblPrEx>
        <w:trPr>
          <w:trHeight w:val="559" w:hRule="atLeast"/>
          <w:jc w:val="center"/>
        </w:trPr>
        <w:tc>
          <w:tcPr>
            <w:tcW w:w="477" w:type="dxa"/>
            <w:tcBorders>
              <w:left w:val="single" w:color="000000" w:sz="6" w:space="0"/>
              <w:right w:val="single" w:color="000000" w:sz="4" w:space="0"/>
            </w:tcBorders>
            <w:vAlign w:val="center"/>
          </w:tcPr>
          <w:p>
            <w:pPr>
              <w:snapToGrid w:val="0"/>
              <w:spacing w:line="240" w:lineRule="exact"/>
              <w:jc w:val="center"/>
              <w:rPr>
                <w:rFonts w:ascii="Arial" w:hAnsi="Arial" w:eastAsia="仿宋" w:cs="Arial"/>
                <w:sz w:val="18"/>
                <w:szCs w:val="18"/>
                <w:highlight w:val="none"/>
              </w:rPr>
            </w:pPr>
            <w:r>
              <w:rPr>
                <w:rFonts w:ascii="Arial" w:hAnsi="Arial" w:eastAsia="仿宋" w:cs="Arial"/>
                <w:spacing w:val="-5"/>
                <w:sz w:val="18"/>
                <w:szCs w:val="18"/>
                <w:highlight w:val="none"/>
              </w:rPr>
              <w:t>商业</w:t>
            </w:r>
          </w:p>
        </w:tc>
        <w:tc>
          <w:tcPr>
            <w:tcW w:w="917" w:type="dxa"/>
            <w:tcBorders>
              <w:left w:val="single" w:color="000000" w:sz="4" w:space="0"/>
            </w:tcBorders>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127.326</w:t>
            </w:r>
          </w:p>
        </w:tc>
        <w:tc>
          <w:tcPr>
            <w:tcW w:w="956" w:type="dxa"/>
            <w:vAlign w:val="center"/>
          </w:tcPr>
          <w:p>
            <w:pPr>
              <w:snapToGrid w:val="0"/>
              <w:spacing w:line="240" w:lineRule="exact"/>
              <w:jc w:val="center"/>
              <w:rPr>
                <w:rFonts w:hint="eastAsia" w:ascii="Arial" w:hAnsi="Arial" w:eastAsia="仿宋" w:cs="Arial"/>
                <w:sz w:val="18"/>
                <w:szCs w:val="18"/>
                <w:highlight w:val="none"/>
                <w:lang w:eastAsia="zh-CN"/>
              </w:rPr>
            </w:pPr>
            <w:r>
              <w:rPr>
                <w:rFonts w:hint="eastAsia" w:ascii="Arial" w:hAnsi="Arial" w:eastAsia="仿宋" w:cs="Arial"/>
                <w:spacing w:val="-4"/>
                <w:sz w:val="18"/>
                <w:szCs w:val="18"/>
                <w:highlight w:val="none"/>
                <w:lang w:eastAsia="zh-CN"/>
              </w:rPr>
              <w:t>259.75</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6486</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168.4739</w:t>
            </w:r>
          </w:p>
        </w:tc>
        <w:tc>
          <w:tcPr>
            <w:tcW w:w="1017"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4712</w:t>
            </w:r>
          </w:p>
        </w:tc>
        <w:tc>
          <w:tcPr>
            <w:tcW w:w="1020"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122.3942</w:t>
            </w:r>
          </w:p>
        </w:tc>
        <w:tc>
          <w:tcPr>
            <w:tcW w:w="1631" w:type="dxa"/>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1774</w:t>
            </w:r>
          </w:p>
        </w:tc>
        <w:tc>
          <w:tcPr>
            <w:tcW w:w="1246" w:type="dxa"/>
            <w:tcBorders>
              <w:right w:val="single" w:color="000000" w:sz="6" w:space="0"/>
            </w:tcBorders>
            <w:vAlign w:val="center"/>
          </w:tcPr>
          <w:p>
            <w:pPr>
              <w:snapToGrid w:val="0"/>
              <w:spacing w:line="240" w:lineRule="exact"/>
              <w:jc w:val="center"/>
              <w:rPr>
                <w:rFonts w:hint="default" w:ascii="Arial" w:hAnsi="Arial" w:eastAsia="仿宋" w:cs="Arial"/>
                <w:sz w:val="18"/>
                <w:szCs w:val="18"/>
                <w:highlight w:val="none"/>
                <w:lang w:val="en-US" w:eastAsia="zh-CN"/>
              </w:rPr>
            </w:pPr>
            <w:r>
              <w:rPr>
                <w:rFonts w:hint="eastAsia" w:ascii="Arial" w:hAnsi="Arial" w:eastAsia="仿宋" w:cs="Arial"/>
                <w:sz w:val="18"/>
                <w:szCs w:val="18"/>
                <w:highlight w:val="none"/>
                <w:lang w:val="en-US" w:eastAsia="zh-CN"/>
              </w:rPr>
              <w:t>46.0797</w:t>
            </w:r>
          </w:p>
        </w:tc>
      </w:tr>
    </w:tbl>
    <w:p>
      <w:pPr>
        <w:spacing w:line="300" w:lineRule="auto"/>
        <w:jc w:val="both"/>
        <w:rPr>
          <w:rFonts w:ascii="Arial" w:hAnsi="Arial" w:eastAsia="仿宋_GB2312" w:cs="Arial"/>
          <w:kern w:val="2"/>
          <w:sz w:val="18"/>
          <w:szCs w:val="18"/>
          <w:highlight w:val="none"/>
        </w:rPr>
      </w:pPr>
      <w:r>
        <w:rPr>
          <w:rFonts w:hint="eastAsia" w:ascii="Arial" w:hAnsi="Arial" w:eastAsia="仿宋_GB2312" w:cs="Arial"/>
          <w:kern w:val="2"/>
          <w:sz w:val="18"/>
          <w:szCs w:val="18"/>
          <w:highlight w:val="none"/>
        </w:rPr>
        <w:t>单位：平方米、元/平方米、万元</w:t>
      </w:r>
    </w:p>
    <w:p>
      <w:pPr>
        <w:spacing w:line="300" w:lineRule="auto"/>
        <w:jc w:val="both"/>
        <w:rPr>
          <w:rFonts w:ascii="Arial" w:hAnsi="Arial" w:eastAsia="仿宋_GB2312" w:cs="Arial"/>
          <w:kern w:val="2"/>
          <w:sz w:val="18"/>
          <w:szCs w:val="18"/>
          <w:highlight w:val="none"/>
        </w:rPr>
      </w:pPr>
    </w:p>
    <w:p>
      <w:pPr>
        <w:numPr>
          <w:ilvl w:val="0"/>
          <w:numId w:val="5"/>
        </w:numPr>
        <w:tabs>
          <w:tab w:val="left" w:pos="230"/>
        </w:tabs>
        <w:snapToGrid w:val="0"/>
        <w:spacing w:line="300" w:lineRule="auto"/>
        <w:jc w:val="both"/>
        <w:textAlignment w:val="auto"/>
        <w:rPr>
          <w:rFonts w:ascii="Arial" w:hAnsi="Arial" w:eastAsia="仿宋_GB2312" w:cs="Arial"/>
          <w:b/>
          <w:sz w:val="28"/>
          <w:szCs w:val="28"/>
          <w:highlight w:val="none"/>
        </w:rPr>
      </w:pPr>
      <w:r>
        <w:rPr>
          <w:rFonts w:ascii="Arial" w:hAnsi="Arial" w:eastAsia="仿宋_GB2312" w:cs="Arial"/>
          <w:b/>
          <w:kern w:val="2"/>
          <w:sz w:val="28"/>
          <w:szCs w:val="28"/>
          <w:highlight w:val="none"/>
        </w:rPr>
        <w:t>出让底价建议</w:t>
      </w:r>
    </w:p>
    <w:p>
      <w:pPr>
        <w:pStyle w:val="52"/>
        <w:adjustRightInd w:val="0"/>
        <w:spacing w:line="300" w:lineRule="auto"/>
        <w:rPr>
          <w:rFonts w:ascii="Arial" w:hAnsi="Arial" w:cs="Arial"/>
          <w:szCs w:val="28"/>
          <w:highlight w:val="none"/>
        </w:rPr>
      </w:pPr>
      <w:r>
        <w:rPr>
          <w:rFonts w:ascii="Arial" w:hAnsi="Arial" w:cs="Arial"/>
          <w:szCs w:val="28"/>
          <w:highlight w:val="none"/>
        </w:rPr>
        <w:t>根据</w:t>
      </w:r>
      <w:r>
        <w:rPr>
          <w:rFonts w:hint="eastAsia" w:ascii="Arial" w:hAnsi="Arial" w:cs="Arial"/>
          <w:szCs w:val="28"/>
          <w:highlight w:val="none"/>
        </w:rPr>
        <w:t>“</w:t>
      </w:r>
      <w:r>
        <w:rPr>
          <w:rFonts w:hint="eastAsia" w:ascii="Arial" w:hAnsi="Arial" w:cs="Arial"/>
          <w:highlight w:val="none"/>
        </w:rPr>
        <w:t>《国土资源部办公厅关于印发&lt;国有建设用地使用权出让地价评估技术规范&gt;的通知》[国土资厅发 [2018]4号]</w:t>
      </w:r>
      <w:r>
        <w:rPr>
          <w:rFonts w:hint="eastAsia" w:ascii="Arial" w:hAnsi="Arial" w:cs="Arial"/>
          <w:szCs w:val="28"/>
          <w:highlight w:val="none"/>
        </w:rPr>
        <w:t>”</w:t>
      </w:r>
      <w:r>
        <w:rPr>
          <w:rFonts w:ascii="Arial" w:hAnsi="Arial" w:cs="Arial"/>
          <w:szCs w:val="28"/>
          <w:highlight w:val="none"/>
        </w:rPr>
        <w:t>，</w:t>
      </w:r>
      <w:r>
        <w:rPr>
          <w:rFonts w:hint="eastAsia" w:ascii="Arial" w:hAnsi="Arial" w:cs="Arial"/>
          <w:szCs w:val="28"/>
          <w:highlight w:val="none"/>
        </w:rPr>
        <w:t>划拨土地办理协议出让时，使用权人申请以协议出让方式办理出让，出让时不改变土地及建筑物、构筑物现状的，应评估在现状使用条件下的出让土地使用权正常市场价格，减去划拨土地使用权价格，作为估价结果，并提出底价建议。当地对划拨土地使用权补办出让手续应缴土地收益有明确规定的，应与评估结果进行对比，在土地估价报告中明确提示对比结果，并按照孰高原则，合理建议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本次评估的出让国有建设用地使用权价格为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出让国有建设用地使用权楼面价为</w:t>
      </w:r>
      <w:r>
        <w:rPr>
          <w:rFonts w:hint="eastAsia" w:ascii="Arial" w:hAnsi="Arial" w:cs="Arial"/>
          <w:highlight w:val="none"/>
        </w:rPr>
        <w:t>：</w:t>
      </w:r>
      <w:r>
        <w:rPr>
          <w:rFonts w:hint="eastAsia" w:ascii="Arial" w:hAnsi="Arial" w:cs="Arial"/>
          <w:szCs w:val="28"/>
          <w:highlight w:val="none"/>
          <w:lang w:val="en-US" w:eastAsia="zh-CN"/>
        </w:rPr>
        <w:t>6486</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出让国有建设用地使用权总价为</w:t>
      </w:r>
      <w:r>
        <w:rPr>
          <w:rFonts w:hint="eastAsia" w:ascii="Arial" w:hAnsi="Arial" w:cs="Arial"/>
          <w:highlight w:val="none"/>
        </w:rPr>
        <w:t>：</w:t>
      </w:r>
      <w:r>
        <w:rPr>
          <w:rFonts w:hint="eastAsia" w:ascii="Arial" w:hAnsi="Arial" w:cs="Arial"/>
          <w:szCs w:val="28"/>
          <w:highlight w:val="none"/>
          <w:lang w:eastAsia="zh-CN"/>
        </w:rPr>
        <w:t>168.4739</w:t>
      </w:r>
      <w:r>
        <w:rPr>
          <w:rFonts w:hint="eastAsia" w:ascii="Arial" w:hAnsi="Arial" w:cs="Arial"/>
          <w:szCs w:val="28"/>
          <w:highlight w:val="none"/>
        </w:rPr>
        <w:t>万元</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本次评估的划拨国有建设用地使用权价格为</w:t>
      </w:r>
      <w:r>
        <w:rPr>
          <w:rFonts w:hint="eastAsia" w:ascii="Arial" w:hAnsi="Arial" w:cs="Arial"/>
          <w:highlight w:val="none"/>
        </w:rPr>
        <w:t>：</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划拨国有建设用地使用权楼面价为</w:t>
      </w:r>
      <w:r>
        <w:rPr>
          <w:rFonts w:hint="eastAsia" w:ascii="Arial" w:hAnsi="Arial" w:cs="Arial"/>
          <w:highlight w:val="none"/>
        </w:rPr>
        <w:t>：</w:t>
      </w:r>
      <w:r>
        <w:rPr>
          <w:rFonts w:hint="eastAsia" w:ascii="Arial" w:hAnsi="Arial" w:cs="Arial"/>
          <w:szCs w:val="28"/>
          <w:highlight w:val="none"/>
          <w:lang w:eastAsia="zh-CN"/>
        </w:rPr>
        <w:t>4712</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hint="eastAsia" w:ascii="Arial" w:hAnsi="Arial" w:cs="Arial"/>
          <w:szCs w:val="28"/>
          <w:highlight w:val="none"/>
        </w:rPr>
        <w:t>划拨国有建设用地使用权总价为</w:t>
      </w:r>
      <w:r>
        <w:rPr>
          <w:rFonts w:hint="eastAsia" w:ascii="Arial" w:hAnsi="Arial" w:cs="Arial"/>
          <w:highlight w:val="none"/>
        </w:rPr>
        <w:t>：</w:t>
      </w:r>
      <w:r>
        <w:rPr>
          <w:rFonts w:hint="eastAsia" w:ascii="Arial" w:hAnsi="Arial" w:cs="Arial"/>
          <w:szCs w:val="28"/>
          <w:highlight w:val="none"/>
          <w:lang w:eastAsia="zh-CN"/>
        </w:rPr>
        <w:t>122.3942</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本次评估的</w:t>
      </w:r>
      <w:r>
        <w:rPr>
          <w:rFonts w:hint="eastAsia" w:ascii="Arial" w:hAnsi="Arial" w:cs="Arial"/>
          <w:highlight w:val="none"/>
        </w:rPr>
        <w:t>按出让地价与划拨地价的差额计算估价结果：</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单价</w:t>
      </w:r>
      <w:r>
        <w:rPr>
          <w:rFonts w:hint="eastAsia" w:ascii="Arial" w:hAnsi="Arial" w:cs="Arial"/>
          <w:szCs w:val="28"/>
          <w:highlight w:val="none"/>
        </w:rPr>
        <w:t>＝</w:t>
      </w:r>
      <w:r>
        <w:rPr>
          <w:rFonts w:hint="eastAsia" w:ascii="Arial" w:hAnsi="Arial" w:cs="Arial"/>
          <w:szCs w:val="28"/>
          <w:highlight w:val="none"/>
          <w:lang w:eastAsia="zh-CN"/>
        </w:rPr>
        <w:t>6486</w:t>
      </w:r>
      <w:r>
        <w:rPr>
          <w:rFonts w:hint="eastAsia" w:ascii="Arial" w:hAnsi="Arial" w:cs="Arial"/>
          <w:szCs w:val="28"/>
          <w:highlight w:val="none"/>
        </w:rPr>
        <w:t>－</w:t>
      </w:r>
      <w:r>
        <w:rPr>
          <w:rFonts w:hint="eastAsia" w:ascii="Arial" w:hAnsi="Arial" w:cs="Arial"/>
          <w:szCs w:val="28"/>
          <w:highlight w:val="none"/>
          <w:lang w:val="en-US" w:eastAsia="zh-CN"/>
        </w:rPr>
        <w:t>4712</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（元/平方米）</w:t>
      </w:r>
    </w:p>
    <w:p>
      <w:pPr>
        <w:pStyle w:val="52"/>
        <w:adjustRightInd w:val="0"/>
        <w:spacing w:line="300" w:lineRule="auto"/>
        <w:rPr>
          <w:rFonts w:ascii="Arial" w:hAnsi="Arial" w:cs="Arial"/>
          <w:szCs w:val="28"/>
          <w:highlight w:val="none"/>
        </w:rPr>
      </w:pPr>
      <w:r>
        <w:rPr>
          <w:rFonts w:ascii="Arial" w:hAnsi="Arial" w:eastAsia="仿宋" w:cs="Arial"/>
          <w:szCs w:val="28"/>
          <w:highlight w:val="none"/>
        </w:rPr>
        <w:t>总价</w:t>
      </w:r>
      <w:r>
        <w:rPr>
          <w:rFonts w:hint="eastAsia" w:ascii="Arial" w:hAnsi="Arial" w:cs="Arial"/>
          <w:szCs w:val="28"/>
          <w:highlight w:val="none"/>
        </w:rPr>
        <w:t>＝</w:t>
      </w:r>
      <w:r>
        <w:rPr>
          <w:rFonts w:hint="eastAsia" w:ascii="Arial" w:hAnsi="Arial" w:cs="Arial"/>
          <w:szCs w:val="28"/>
          <w:highlight w:val="none"/>
          <w:lang w:eastAsia="zh-CN"/>
        </w:rPr>
        <w:t>1774</w:t>
      </w:r>
      <w:r>
        <w:rPr>
          <w:rFonts w:hint="eastAsia" w:ascii="Arial" w:hAnsi="Arial" w:cs="Arial"/>
          <w:szCs w:val="28"/>
          <w:highlight w:val="none"/>
        </w:rPr>
        <w:t>×</w:t>
      </w:r>
      <w:r>
        <w:rPr>
          <w:rFonts w:hint="eastAsia" w:ascii="Arial" w:hAnsi="Arial" w:cs="Arial"/>
          <w:szCs w:val="28"/>
          <w:highlight w:val="none"/>
          <w:lang w:eastAsia="zh-CN"/>
        </w:rPr>
        <w:t>259.75</w:t>
      </w:r>
      <w:r>
        <w:rPr>
          <w:rFonts w:hint="eastAsia" w:ascii="Arial" w:hAnsi="Arial" w:cs="Arial"/>
          <w:szCs w:val="28"/>
          <w:highlight w:val="none"/>
        </w:rPr>
        <w:t>÷10000＝</w:t>
      </w:r>
      <w:r>
        <w:rPr>
          <w:rFonts w:hint="eastAsia" w:ascii="Arial" w:hAnsi="Arial" w:cs="Arial"/>
          <w:szCs w:val="28"/>
          <w:highlight w:val="none"/>
          <w:lang w:val="en-US" w:eastAsia="zh-CN"/>
        </w:rPr>
        <w:t>46.0797</w:t>
      </w:r>
      <w:r>
        <w:rPr>
          <w:rFonts w:hint="eastAsia" w:ascii="Arial" w:hAnsi="Arial" w:cs="Arial"/>
          <w:szCs w:val="28"/>
          <w:highlight w:val="none"/>
        </w:rPr>
        <w:t>（万元）</w:t>
      </w:r>
    </w:p>
    <w:p>
      <w:pPr>
        <w:pStyle w:val="52"/>
        <w:adjustRightInd w:val="0"/>
        <w:spacing w:line="300" w:lineRule="auto"/>
        <w:rPr>
          <w:rFonts w:ascii="Arial" w:hAnsi="Arial" w:cs="Arial"/>
          <w:highlight w:val="none"/>
        </w:rPr>
      </w:pPr>
      <w:r>
        <w:rPr>
          <w:rFonts w:hint="eastAsia" w:ascii="Arial" w:hAnsi="Arial" w:cs="Arial"/>
          <w:szCs w:val="28"/>
          <w:highlight w:val="none"/>
        </w:rPr>
        <w:t>根据《北京市人民政府关于更新出让国有建设用地使用权基准地价的通知》[京政发 [2022]12号]，国有建设用地使用权出让政府土地收益按照楼面熟地价及各土地用途的政府土地收益比例确定，其中参照商业、办公、住宅、公共服务类基准地价的，政府土地出让收益按照政府审定楼面熟地价的25%确定。估价对象为商业用地，政府土地出让收益按照评估出让楼面熟地价的25%确定。并将评估结果与上述政府土地出让收益金额进行对比，按照孰高原则确定应当缴纳的地价款金额。</w:t>
      </w:r>
    </w:p>
    <w:p>
      <w:pPr>
        <w:pStyle w:val="52"/>
        <w:adjustRightInd w:val="0"/>
        <w:spacing w:line="300" w:lineRule="auto"/>
        <w:rPr>
          <w:rFonts w:ascii="Arial" w:hAnsi="Arial" w:cs="Arial"/>
          <w:szCs w:val="28"/>
          <w:highlight w:val="none"/>
        </w:rPr>
      </w:pPr>
      <w:r>
        <w:rPr>
          <w:rFonts w:hint="eastAsia" w:ascii="Arial" w:hAnsi="Arial" w:cs="Arial"/>
          <w:szCs w:val="28"/>
          <w:highlight w:val="none"/>
        </w:rPr>
        <w:t>本次评估的</w:t>
      </w:r>
      <w:r>
        <w:rPr>
          <w:rFonts w:hint="eastAsia" w:ascii="Arial" w:hAnsi="Arial" w:eastAsia="仿宋" w:cs="Arial"/>
          <w:highlight w:val="none"/>
        </w:rPr>
        <w:t>政府出让收益</w:t>
      </w:r>
      <w:r>
        <w:rPr>
          <w:rFonts w:hint="eastAsia" w:ascii="Arial" w:hAnsi="Arial" w:cs="Arial"/>
          <w:szCs w:val="28"/>
          <w:highlight w:val="none"/>
        </w:rPr>
        <w:t>为</w:t>
      </w:r>
      <w:r>
        <w:rPr>
          <w:rFonts w:hint="eastAsia" w:ascii="Arial" w:hAnsi="Arial" w:cs="Arial"/>
          <w:highlight w:val="none"/>
        </w:rPr>
        <w:t>：</w:t>
      </w:r>
    </w:p>
    <w:p>
      <w:pPr>
        <w:pStyle w:val="52"/>
        <w:spacing w:line="300" w:lineRule="auto"/>
        <w:rPr>
          <w:rFonts w:ascii="Arial" w:hAnsi="Arial" w:cs="Arial"/>
          <w:highlight w:val="none"/>
        </w:rPr>
      </w:pPr>
      <w:r>
        <w:rPr>
          <w:rFonts w:hint="eastAsia" w:ascii="Arial" w:hAnsi="Arial" w:eastAsia="仿宋" w:cs="Arial"/>
          <w:highlight w:val="none"/>
        </w:rPr>
        <w:t>政府出让收益单价＝</w:t>
      </w:r>
      <w:r>
        <w:rPr>
          <w:rFonts w:hint="eastAsia" w:ascii="Arial" w:hAnsi="Arial" w:eastAsia="仿宋" w:cs="Arial"/>
          <w:szCs w:val="28"/>
          <w:highlight w:val="none"/>
          <w:lang w:eastAsia="zh-CN"/>
        </w:rPr>
        <w:t>6486</w:t>
      </w:r>
      <w:r>
        <w:rPr>
          <w:rFonts w:hint="eastAsia" w:ascii="Arial" w:hAnsi="Arial" w:cs="Arial"/>
          <w:szCs w:val="28"/>
          <w:highlight w:val="none"/>
        </w:rPr>
        <w:t>×25%＝</w:t>
      </w:r>
      <w:r>
        <w:rPr>
          <w:rFonts w:hint="eastAsia" w:ascii="Arial" w:hAnsi="Arial" w:eastAsia="仿宋" w:cs="Arial"/>
          <w:highlight w:val="none"/>
          <w:lang w:val="en-US" w:eastAsia="zh-CN"/>
        </w:rPr>
        <w:t>1622</w:t>
      </w:r>
      <w:r>
        <w:rPr>
          <w:rFonts w:hint="eastAsia" w:ascii="Arial" w:hAnsi="Arial" w:cs="Arial"/>
          <w:szCs w:val="28"/>
          <w:highlight w:val="none"/>
        </w:rPr>
        <w:t>（元/平方米）</w:t>
      </w:r>
    </w:p>
    <w:p>
      <w:pPr>
        <w:pStyle w:val="52"/>
        <w:spacing w:line="300" w:lineRule="auto"/>
        <w:rPr>
          <w:rFonts w:ascii="Arial" w:hAnsi="Arial" w:eastAsia="仿宋" w:cs="Arial"/>
          <w:highlight w:val="none"/>
        </w:rPr>
      </w:pPr>
      <w:r>
        <w:rPr>
          <w:rFonts w:ascii="Arial" w:hAnsi="Arial" w:eastAsia="仿宋" w:cs="Arial"/>
          <w:highlight w:val="none"/>
        </w:rPr>
        <w:t>政府土地出让收益总价</w:t>
      </w:r>
      <w:r>
        <w:rPr>
          <w:rFonts w:hint="eastAsia" w:ascii="Arial" w:hAnsi="Arial" w:eastAsia="仿宋" w:cs="Arial"/>
          <w:highlight w:val="none"/>
        </w:rPr>
        <w:t>＝</w:t>
      </w:r>
      <w:r>
        <w:rPr>
          <w:rFonts w:hint="eastAsia" w:ascii="Arial" w:hAnsi="Arial" w:eastAsia="仿宋" w:cs="Arial"/>
          <w:highlight w:val="none"/>
          <w:lang w:val="en-US" w:eastAsia="zh-CN"/>
        </w:rPr>
        <w:t>1622</w:t>
      </w:r>
      <w:r>
        <w:rPr>
          <w:rFonts w:hint="eastAsia" w:ascii="Arial" w:hAnsi="Arial" w:eastAsia="仿宋" w:cs="Arial"/>
          <w:highlight w:val="none"/>
        </w:rPr>
        <w:t>×</w:t>
      </w:r>
      <w:r>
        <w:rPr>
          <w:rFonts w:hint="eastAsia" w:ascii="Arial" w:hAnsi="Arial" w:eastAsia="仿宋" w:cs="Arial"/>
          <w:highlight w:val="none"/>
          <w:lang w:eastAsia="zh-CN"/>
        </w:rPr>
        <w:t>259.75</w:t>
      </w:r>
      <w:r>
        <w:rPr>
          <w:rFonts w:hint="eastAsia" w:ascii="Arial" w:hAnsi="Arial" w:eastAsia="仿宋" w:cs="Arial"/>
          <w:highlight w:val="none"/>
        </w:rPr>
        <w:t>÷10000＝</w:t>
      </w:r>
      <w:r>
        <w:rPr>
          <w:rFonts w:hint="eastAsia" w:ascii="Arial" w:hAnsi="Arial" w:eastAsia="仿宋" w:cs="Arial"/>
          <w:highlight w:val="none"/>
          <w:lang w:val="en-US" w:eastAsia="zh-CN"/>
        </w:rPr>
        <w:t>42.1315</w:t>
      </w:r>
      <w:r>
        <w:rPr>
          <w:rFonts w:hint="eastAsia" w:ascii="Arial" w:hAnsi="Arial" w:cs="Arial"/>
          <w:szCs w:val="28"/>
          <w:highlight w:val="none"/>
        </w:rPr>
        <w:t>（万元）</w:t>
      </w:r>
    </w:p>
    <w:p>
      <w:pPr>
        <w:spacing w:line="300" w:lineRule="auto"/>
        <w:ind w:firstLine="560" w:firstLineChars="200"/>
        <w:jc w:val="both"/>
        <w:rPr>
          <w:rFonts w:ascii="仿宋" w:hAnsi="仿宋" w:eastAsia="仿宋" w:cs="仿宋"/>
          <w:sz w:val="28"/>
          <w:szCs w:val="28"/>
          <w:highlight w:val="none"/>
        </w:rPr>
      </w:pPr>
      <w:r>
        <w:rPr>
          <w:rFonts w:ascii="Arial" w:hAnsi="Arial" w:eastAsia="仿宋" w:cs="Arial"/>
          <w:sz w:val="28"/>
          <w:szCs w:val="28"/>
          <w:highlight w:val="none"/>
        </w:rPr>
        <w:t>经过对比，运用出让地价与划拨地价的差额计算出的估价结果</w:t>
      </w:r>
      <w:r>
        <w:rPr>
          <w:rFonts w:hint="eastAsia" w:ascii="Arial" w:hAnsi="Arial" w:eastAsia="仿宋" w:cs="Arial"/>
          <w:sz w:val="28"/>
          <w:szCs w:val="28"/>
          <w:highlight w:val="none"/>
          <w:lang w:eastAsia="zh-CN"/>
        </w:rPr>
        <w:t>高</w:t>
      </w:r>
      <w:r>
        <w:rPr>
          <w:rFonts w:ascii="Arial" w:hAnsi="Arial" w:eastAsia="仿宋" w:cs="Arial"/>
          <w:sz w:val="28"/>
          <w:szCs w:val="28"/>
          <w:highlight w:val="none"/>
        </w:rPr>
        <w:t>于出让地价×25%确定的政府出让收益。因此本报告根据孰高原则，确定以</w:t>
      </w:r>
      <w:r>
        <w:rPr>
          <w:rFonts w:hint="eastAsia" w:ascii="Arial" w:hAnsi="Arial" w:eastAsia="仿宋" w:cs="Arial"/>
          <w:sz w:val="28"/>
          <w:szCs w:val="28"/>
          <w:highlight w:val="none"/>
        </w:rPr>
        <w:t>出让地价与划拨地价的差额</w:t>
      </w:r>
      <w:r>
        <w:rPr>
          <w:rFonts w:ascii="Arial" w:hAnsi="Arial" w:eastAsia="仿宋" w:cs="Arial"/>
          <w:sz w:val="28"/>
          <w:szCs w:val="28"/>
          <w:highlight w:val="none"/>
        </w:rPr>
        <w:t>作为缴纳的地价款。即，应当缴纳的地价款楼面单价为</w:t>
      </w:r>
      <w:r>
        <w:rPr>
          <w:rFonts w:hint="eastAsia" w:ascii="Arial" w:hAnsi="Arial" w:eastAsia="仿宋" w:cs="Arial"/>
          <w:sz w:val="28"/>
          <w:szCs w:val="28"/>
          <w:highlight w:val="none"/>
          <w:lang w:eastAsia="zh-CN"/>
        </w:rPr>
        <w:t>1774</w:t>
      </w:r>
      <w:r>
        <w:rPr>
          <w:rFonts w:ascii="Arial" w:hAnsi="Arial" w:eastAsia="仿宋" w:cs="Arial"/>
          <w:sz w:val="28"/>
          <w:szCs w:val="28"/>
          <w:highlight w:val="none"/>
        </w:rPr>
        <w:t>元/平方米，应当缴纳的地价款总额为</w:t>
      </w:r>
      <w:r>
        <w:rPr>
          <w:rFonts w:hint="eastAsia" w:ascii="Arial" w:hAnsi="Arial" w:eastAsia="仿宋" w:cs="Arial"/>
          <w:sz w:val="28"/>
          <w:szCs w:val="28"/>
          <w:highlight w:val="none"/>
          <w:lang w:eastAsia="zh-CN"/>
        </w:rPr>
        <w:t>46.0797</w:t>
      </w:r>
      <w:r>
        <w:rPr>
          <w:rFonts w:ascii="Arial" w:hAnsi="Arial" w:eastAsia="仿宋" w:cs="Arial"/>
          <w:sz w:val="28"/>
          <w:szCs w:val="28"/>
          <w:highlight w:val="none"/>
        </w:rPr>
        <w:t>万元</w:t>
      </w:r>
      <w:r>
        <w:rPr>
          <w:rFonts w:hint="eastAsia" w:ascii="仿宋" w:hAnsi="仿宋" w:eastAsia="仿宋" w:cs="仿宋"/>
          <w:sz w:val="28"/>
          <w:szCs w:val="28"/>
          <w:highlight w:val="none"/>
        </w:rPr>
        <w:t>。</w:t>
      </w:r>
    </w:p>
    <w:p>
      <w:pPr>
        <w:snapToGrid w:val="0"/>
        <w:spacing w:line="300" w:lineRule="auto"/>
        <w:ind w:firstLine="556"/>
        <w:rPr>
          <w:rFonts w:ascii="仿宋" w:hAnsi="仿宋" w:eastAsia="仿宋" w:cs="仿宋"/>
          <w:sz w:val="28"/>
          <w:szCs w:val="28"/>
          <w:highlight w:val="none"/>
        </w:rPr>
      </w:pPr>
      <w:r>
        <w:rPr>
          <w:rFonts w:hint="eastAsia" w:ascii="仿宋" w:hAnsi="仿宋" w:eastAsia="仿宋" w:cs="仿宋"/>
          <w:sz w:val="28"/>
          <w:szCs w:val="28"/>
          <w:highlight w:val="none"/>
        </w:rPr>
        <w:t xml:space="preserve">   </w:t>
      </w:r>
    </w:p>
    <w:p>
      <w:pPr>
        <w:snapToGrid w:val="0"/>
        <w:spacing w:line="300" w:lineRule="auto"/>
        <w:ind w:firstLine="556"/>
        <w:rPr>
          <w:rFonts w:ascii="Arial" w:hAnsi="Arial" w:eastAsia="仿宋_GB2312" w:cs="Arial"/>
          <w:sz w:val="28"/>
          <w:highlight w:val="none"/>
        </w:rPr>
      </w:pPr>
    </w:p>
    <w:p>
      <w:pPr>
        <w:snapToGrid w:val="0"/>
        <w:spacing w:line="300" w:lineRule="auto"/>
        <w:rPr>
          <w:rFonts w:ascii="Arial" w:hAnsi="Arial" w:eastAsia="仿宋_GB2312" w:cs="Arial"/>
          <w:sz w:val="28"/>
          <w:highlight w:val="none"/>
        </w:rPr>
      </w:pPr>
    </w:p>
    <w:p>
      <w:pPr>
        <w:snapToGrid w:val="0"/>
        <w:spacing w:line="300" w:lineRule="auto"/>
        <w:rPr>
          <w:rFonts w:ascii="Arial" w:hAnsi="Arial" w:eastAsia="仿宋_GB2312" w:cs="Arial"/>
          <w:sz w:val="28"/>
          <w:highlight w:val="none"/>
        </w:rPr>
        <w:sectPr>
          <w:footerReference r:id="rId44" w:type="first"/>
          <w:headerReference r:id="rId42" w:type="default"/>
          <w:footerReference r:id="rId43" w:type="default"/>
          <w:pgSz w:w="11907" w:h="16840"/>
          <w:pgMar w:top="1843" w:right="1134" w:bottom="1134" w:left="1134" w:header="1134" w:footer="907" w:gutter="340"/>
          <w:cols w:space="720" w:num="1"/>
          <w:titlePg/>
          <w:docGrid w:linePitch="326" w:charSpace="0"/>
        </w:sectPr>
      </w:pPr>
      <w:r>
        <w:rPr>
          <w:rFonts w:ascii="Arial" w:hAnsi="Arial" w:eastAsia="仿宋_GB2312" w:cs="Arial"/>
          <w:sz w:val="28"/>
          <w:szCs w:val="28"/>
          <w:highlight w:val="none"/>
        </w:rPr>
        <w:t>（转下页）</w:t>
      </w:r>
    </w:p>
    <w:p>
      <w:pPr>
        <w:pStyle w:val="52"/>
        <w:spacing w:line="300" w:lineRule="auto"/>
        <w:ind w:firstLine="0" w:firstLineChars="0"/>
        <w:rPr>
          <w:rFonts w:ascii="Arial" w:hAnsi="Arial" w:cs="Arial"/>
          <w:b/>
          <w:highlight w:val="none"/>
        </w:rPr>
      </w:pPr>
      <w:r>
        <w:rPr>
          <w:rFonts w:ascii="Arial" w:hAnsi="Arial" w:cs="Arial"/>
          <w:b/>
          <w:highlight w:val="none"/>
        </w:rPr>
        <w:t>附                                           估价结果一览表</w:t>
      </w:r>
    </w:p>
    <w:p>
      <w:pPr>
        <w:spacing w:line="300" w:lineRule="auto"/>
        <w:rPr>
          <w:rFonts w:ascii="Arial" w:hAnsi="Arial" w:eastAsia="仿宋_GB2312" w:cs="Arial"/>
          <w:bCs/>
          <w:sz w:val="18"/>
          <w:highlight w:val="none"/>
        </w:rPr>
      </w:pPr>
      <w:r>
        <w:rPr>
          <w:rFonts w:ascii="Arial" w:hAnsi="Arial" w:eastAsia="仿宋_GB2312" w:cs="Arial"/>
          <w:bCs/>
          <w:sz w:val="18"/>
          <w:highlight w:val="none"/>
        </w:rPr>
        <w:t>估价机构：</w:t>
      </w:r>
      <w:r>
        <w:rPr>
          <w:rFonts w:ascii="Arial" w:hAnsi="Arial" w:eastAsia="仿宋_GB2312" w:cs="Arial"/>
          <w:sz w:val="18"/>
          <w:highlight w:val="none"/>
        </w:rPr>
        <w:t xml:space="preserve">北京康正宏基房地产评估有限公司 </w:t>
      </w:r>
      <w:r>
        <w:rPr>
          <w:rFonts w:ascii="Arial" w:hAnsi="Arial" w:eastAsia="仿宋_GB2312" w:cs="Arial"/>
          <w:bCs/>
          <w:sz w:val="18"/>
          <w:highlight w:val="none"/>
        </w:rPr>
        <w:t xml:space="preserve">  估价报告编号：</w:t>
      </w:r>
      <w:r>
        <w:rPr>
          <w:rFonts w:hint="eastAsia" w:ascii="Arial" w:hAnsi="Arial" w:eastAsia="仿宋_GB2312" w:cs="Arial"/>
          <w:bCs/>
          <w:sz w:val="18"/>
          <w:highlight w:val="none"/>
          <w:lang w:eastAsia="zh-CN"/>
        </w:rPr>
        <w:t>2023-1-0448-F02TDCR6</w:t>
      </w:r>
      <w:r>
        <w:rPr>
          <w:rFonts w:ascii="Arial" w:hAnsi="Arial" w:eastAsia="仿宋_GB2312" w:cs="Arial"/>
          <w:bCs/>
          <w:sz w:val="18"/>
          <w:highlight w:val="none"/>
        </w:rPr>
        <w:t xml:space="preserve">    估价期日：</w:t>
      </w:r>
      <w:r>
        <w:rPr>
          <w:rFonts w:hint="eastAsia" w:ascii="Arial" w:hAnsi="Arial" w:eastAsia="仿宋_GB2312" w:cs="Arial"/>
          <w:bCs/>
          <w:sz w:val="18"/>
          <w:highlight w:val="none"/>
        </w:rPr>
        <w:t>2023年6月9日</w:t>
      </w:r>
      <w:r>
        <w:rPr>
          <w:rFonts w:ascii="Arial" w:hAnsi="Arial" w:eastAsia="仿宋_GB2312" w:cs="Arial"/>
          <w:bCs/>
          <w:sz w:val="18"/>
          <w:highlight w:val="none"/>
        </w:rPr>
        <w:t xml:space="preserve">   估价期日的国有建设用地使用权性质：出让</w:t>
      </w:r>
    </w:p>
    <w:tbl>
      <w:tblPr>
        <w:tblStyle w:val="35"/>
        <w:tblW w:w="155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471"/>
        <w:gridCol w:w="778"/>
        <w:gridCol w:w="419"/>
        <w:gridCol w:w="638"/>
        <w:gridCol w:w="600"/>
        <w:gridCol w:w="581"/>
        <w:gridCol w:w="581"/>
        <w:gridCol w:w="638"/>
        <w:gridCol w:w="600"/>
        <w:gridCol w:w="637"/>
        <w:gridCol w:w="638"/>
        <w:gridCol w:w="637"/>
        <w:gridCol w:w="994"/>
        <w:gridCol w:w="769"/>
        <w:gridCol w:w="679"/>
        <w:gridCol w:w="1008"/>
        <w:gridCol w:w="620"/>
        <w:gridCol w:w="993"/>
        <w:gridCol w:w="635"/>
        <w:gridCol w:w="921"/>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估价期日土地使用者</w:t>
            </w:r>
            <w:r>
              <w:rPr>
                <w:rFonts w:hint="eastAsia" w:ascii="Arial" w:hAnsi="Arial" w:eastAsia="仿宋_GB2312" w:cs="Arial"/>
                <w:bCs/>
                <w:sz w:val="18"/>
                <w:szCs w:val="18"/>
                <w:highlight w:val="none"/>
              </w:rPr>
              <w:t>（承受人）</w:t>
            </w:r>
          </w:p>
        </w:tc>
        <w:tc>
          <w:tcPr>
            <w:tcW w:w="471" w:type="dxa"/>
            <w:vMerge w:val="restart"/>
            <w:vAlign w:val="center"/>
          </w:tcPr>
          <w:p>
            <w:pPr>
              <w:spacing w:line="300" w:lineRule="auto"/>
              <w:rPr>
                <w:rFonts w:ascii="Arial" w:hAnsi="Arial" w:eastAsia="仿宋_GB2312" w:cs="Arial"/>
                <w:bCs/>
                <w:sz w:val="18"/>
                <w:szCs w:val="18"/>
                <w:highlight w:val="none"/>
              </w:rPr>
            </w:pPr>
            <w:r>
              <w:rPr>
                <w:rFonts w:ascii="Arial" w:hAnsi="Arial" w:eastAsia="仿宋_GB2312" w:cs="Arial"/>
                <w:bCs/>
                <w:sz w:val="18"/>
                <w:szCs w:val="18"/>
                <w:highlight w:val="none"/>
              </w:rPr>
              <w:t>地号</w:t>
            </w:r>
          </w:p>
        </w:tc>
        <w:tc>
          <w:tcPr>
            <w:tcW w:w="77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宗地名称</w:t>
            </w:r>
          </w:p>
        </w:tc>
        <w:tc>
          <w:tcPr>
            <w:tcW w:w="41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土地使用证编号</w:t>
            </w:r>
          </w:p>
        </w:tc>
        <w:tc>
          <w:tcPr>
            <w:tcW w:w="1819" w:type="dxa"/>
            <w:gridSpan w:val="3"/>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估价期日的用途</w:t>
            </w:r>
          </w:p>
        </w:tc>
        <w:tc>
          <w:tcPr>
            <w:tcW w:w="1819" w:type="dxa"/>
            <w:gridSpan w:val="3"/>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容积率</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估价期日的实际土地开发程度</w:t>
            </w:r>
          </w:p>
        </w:tc>
        <w:tc>
          <w:tcPr>
            <w:tcW w:w="638"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估价设定的土地开发程度</w:t>
            </w:r>
          </w:p>
        </w:tc>
        <w:tc>
          <w:tcPr>
            <w:tcW w:w="637"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土地使用年限/年</w:t>
            </w:r>
          </w:p>
        </w:tc>
        <w:tc>
          <w:tcPr>
            <w:tcW w:w="994"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土地面积/</w:t>
            </w:r>
            <w:r>
              <w:rPr>
                <w:rFonts w:ascii="Arial" w:hAnsi="Arial" w:cs="Arial"/>
                <w:bCs/>
                <w:sz w:val="18"/>
                <w:szCs w:val="18"/>
                <w:highlight w:val="none"/>
              </w:rPr>
              <w:t>㎡</w:t>
            </w:r>
          </w:p>
        </w:tc>
        <w:tc>
          <w:tcPr>
            <w:tcW w:w="769" w:type="dxa"/>
            <w:vMerge w:val="restart"/>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建筑面积/</w:t>
            </w:r>
            <w:r>
              <w:rPr>
                <w:rFonts w:ascii="Arial" w:hAnsi="Arial" w:cs="Arial"/>
                <w:bCs/>
                <w:sz w:val="18"/>
                <w:szCs w:val="18"/>
                <w:highlight w:val="none"/>
              </w:rPr>
              <w:t>㎡</w:t>
            </w:r>
          </w:p>
        </w:tc>
        <w:tc>
          <w:tcPr>
            <w:tcW w:w="679"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出让楼面价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2</w:t>
            </w:r>
            <w:r>
              <w:rPr>
                <w:rFonts w:ascii="Arial" w:hAnsi="Arial" w:eastAsia="仿宋_GB2312" w:cs="Arial"/>
                <w:bCs/>
                <w:sz w:val="18"/>
                <w:szCs w:val="18"/>
                <w:highlight w:val="none"/>
              </w:rPr>
              <w:t xml:space="preserve"> </w:t>
            </w:r>
            <w:r>
              <w:rPr>
                <w:rFonts w:hint="eastAsia" w:ascii="Arial" w:hAnsi="Arial" w:eastAsia="仿宋_GB2312" w:cs="Arial"/>
                <w:bCs/>
                <w:sz w:val="18"/>
                <w:szCs w:val="18"/>
                <w:highlight w:val="none"/>
              </w:rPr>
              <w:t>）</w:t>
            </w:r>
          </w:p>
        </w:tc>
        <w:tc>
          <w:tcPr>
            <w:tcW w:w="1008"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出让熟地总价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20"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划拨楼面价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 m</w:t>
            </w:r>
            <w:r>
              <w:rPr>
                <w:rFonts w:ascii="Arial" w:hAnsi="Arial" w:eastAsia="仿宋_GB2312" w:cs="Arial"/>
                <w:bCs/>
                <w:sz w:val="18"/>
                <w:szCs w:val="18"/>
                <w:highlight w:val="none"/>
                <w:vertAlign w:val="superscript"/>
              </w:rPr>
              <w:t xml:space="preserve">2 </w:t>
            </w:r>
            <w:r>
              <w:rPr>
                <w:rFonts w:hint="eastAsia" w:ascii="Arial" w:hAnsi="Arial" w:eastAsia="仿宋_GB2312" w:cs="Arial"/>
                <w:bCs/>
                <w:sz w:val="18"/>
                <w:szCs w:val="18"/>
                <w:highlight w:val="none"/>
              </w:rPr>
              <w:t>）</w:t>
            </w:r>
          </w:p>
        </w:tc>
        <w:tc>
          <w:tcPr>
            <w:tcW w:w="993"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划拨地价总价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c>
          <w:tcPr>
            <w:tcW w:w="635"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 xml:space="preserve">应缴纳地价款楼面价 </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元</w:t>
            </w:r>
          </w:p>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/m</w:t>
            </w:r>
            <w:r>
              <w:rPr>
                <w:rFonts w:ascii="Arial" w:hAnsi="Arial" w:eastAsia="仿宋_GB2312" w:cs="Arial"/>
                <w:bCs/>
                <w:sz w:val="18"/>
                <w:szCs w:val="18"/>
                <w:highlight w:val="none"/>
                <w:vertAlign w:val="superscript"/>
              </w:rPr>
              <w:t>2</w:t>
            </w:r>
            <w:r>
              <w:rPr>
                <w:rFonts w:hint="eastAsia" w:ascii="Arial" w:hAnsi="Arial" w:eastAsia="仿宋_GB2312" w:cs="Arial"/>
                <w:bCs/>
                <w:sz w:val="18"/>
                <w:szCs w:val="18"/>
                <w:highlight w:val="none"/>
              </w:rPr>
              <w:t>）</w:t>
            </w:r>
          </w:p>
        </w:tc>
        <w:tc>
          <w:tcPr>
            <w:tcW w:w="921"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应缴纳地价款总价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 元</w:t>
            </w:r>
            <w:r>
              <w:rPr>
                <w:rFonts w:hint="eastAsia" w:ascii="Arial" w:hAnsi="Arial" w:eastAsia="仿宋_GB2312" w:cs="Arial"/>
                <w:bCs/>
                <w:sz w:val="18"/>
                <w:szCs w:val="18"/>
                <w:highlight w:val="none"/>
              </w:rPr>
              <w:t>）</w:t>
            </w:r>
          </w:p>
        </w:tc>
        <w:tc>
          <w:tcPr>
            <w:tcW w:w="937" w:type="dxa"/>
            <w:vMerge w:val="restart"/>
            <w:vAlign w:val="center"/>
          </w:tcPr>
          <w:p>
            <w:pPr>
              <w:spacing w:line="300" w:lineRule="auto"/>
              <w:jc w:val="both"/>
              <w:rPr>
                <w:rFonts w:ascii="Arial" w:hAnsi="Arial" w:eastAsia="仿宋_GB2312" w:cs="Arial"/>
                <w:bCs/>
                <w:sz w:val="18"/>
                <w:szCs w:val="18"/>
                <w:highlight w:val="none"/>
              </w:rPr>
            </w:pPr>
            <w:r>
              <w:rPr>
                <w:rFonts w:ascii="Arial" w:hAnsi="Arial" w:eastAsia="仿宋_GB2312" w:cs="Arial"/>
                <w:bCs/>
                <w:sz w:val="18"/>
                <w:szCs w:val="18"/>
                <w:highlight w:val="none"/>
              </w:rPr>
              <w:t>建议出让底价</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万元</w:t>
            </w:r>
            <w:r>
              <w:rPr>
                <w:rFonts w:hint="eastAsia" w:ascii="Arial" w:hAnsi="Arial" w:eastAsia="仿宋_GB2312" w:cs="Arial"/>
                <w:bCs/>
                <w:sz w:val="18"/>
                <w:szCs w:val="1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0" w:hRule="atLeast"/>
          <w:jc w:val="center"/>
        </w:trPr>
        <w:tc>
          <w:tcPr>
            <w:tcW w:w="81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71" w:type="dxa"/>
            <w:vMerge w:val="continue"/>
            <w:tcBorders>
              <w:bottom w:val="single" w:color="auto" w:sz="4" w:space="0"/>
            </w:tcBorders>
          </w:tcPr>
          <w:p>
            <w:pPr>
              <w:spacing w:line="300" w:lineRule="auto"/>
              <w:jc w:val="center"/>
              <w:rPr>
                <w:rFonts w:ascii="Arial" w:hAnsi="Arial" w:eastAsia="仿宋_GB2312" w:cs="Arial"/>
                <w:bCs/>
                <w:sz w:val="18"/>
                <w:szCs w:val="18"/>
                <w:highlight w:val="none"/>
              </w:rPr>
            </w:pPr>
          </w:p>
        </w:tc>
        <w:tc>
          <w:tcPr>
            <w:tcW w:w="77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41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证载</w:t>
            </w:r>
          </w:p>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（或批准）</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581" w:type="dxa"/>
            <w:tcBorders>
              <w:bottom w:val="single" w:color="auto" w:sz="4" w:space="0"/>
            </w:tcBorders>
            <w:vAlign w:val="center"/>
          </w:tcPr>
          <w:p>
            <w:pPr>
              <w:spacing w:line="300" w:lineRule="auto"/>
              <w:ind w:right="-108" w:rightChars="-45"/>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581"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规划</w:t>
            </w:r>
          </w:p>
        </w:tc>
        <w:tc>
          <w:tcPr>
            <w:tcW w:w="638"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实际</w:t>
            </w:r>
          </w:p>
        </w:tc>
        <w:tc>
          <w:tcPr>
            <w:tcW w:w="600" w:type="dxa"/>
            <w:tcBorders>
              <w:bottom w:val="single" w:color="auto" w:sz="4" w:space="0"/>
            </w:tcBorders>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设定</w:t>
            </w: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4"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76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79"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1008"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20"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93"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635"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21"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c>
          <w:tcPr>
            <w:tcW w:w="937" w:type="dxa"/>
            <w:vMerge w:val="continue"/>
            <w:tcBorders>
              <w:bottom w:val="single" w:color="auto" w:sz="4" w:space="0"/>
            </w:tcBorders>
            <w:vAlign w:val="center"/>
          </w:tcPr>
          <w:p>
            <w:pPr>
              <w:spacing w:line="300" w:lineRule="auto"/>
              <w:jc w:val="center"/>
              <w:rPr>
                <w:rFonts w:ascii="Arial" w:hAnsi="Arial" w:eastAsia="仿宋_GB2312" w:cs="Arial"/>
                <w:bCs/>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1" w:hRule="atLeast"/>
          <w:jc w:val="center"/>
        </w:trPr>
        <w:tc>
          <w:tcPr>
            <w:tcW w:w="811"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王蕴华</w:t>
            </w:r>
          </w:p>
        </w:tc>
        <w:tc>
          <w:tcPr>
            <w:tcW w:w="47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77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北京市密云区西门外大街</w:t>
            </w:r>
            <w:r>
              <w:rPr>
                <w:rFonts w:hint="eastAsia" w:ascii="Arial" w:hAnsi="Arial" w:eastAsia="仿宋_GB2312" w:cs="Arial"/>
                <w:bCs/>
                <w:sz w:val="18"/>
                <w:szCs w:val="18"/>
                <w:highlight w:val="none"/>
                <w:lang w:eastAsia="zh-CN"/>
              </w:rPr>
              <w:t>8号楼601-605号</w:t>
            </w:r>
            <w:r>
              <w:rPr>
                <w:rFonts w:hint="eastAsia" w:ascii="Arial" w:hAnsi="Arial" w:eastAsia="仿宋_GB2312" w:cs="Arial"/>
                <w:bCs/>
                <w:sz w:val="18"/>
                <w:szCs w:val="18"/>
                <w:highlight w:val="none"/>
              </w:rPr>
              <w:t>现状商业用地</w:t>
            </w:r>
          </w:p>
        </w:tc>
        <w:tc>
          <w:tcPr>
            <w:tcW w:w="419"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w:t>
            </w:r>
          </w:p>
        </w:tc>
        <w:tc>
          <w:tcPr>
            <w:tcW w:w="581"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w:t>
            </w:r>
          </w:p>
        </w:tc>
        <w:tc>
          <w:tcPr>
            <w:tcW w:w="638"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00"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2.04</w:t>
            </w:r>
          </w:p>
        </w:tc>
        <w:tc>
          <w:tcPr>
            <w:tcW w:w="637"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w:t>
            </w:r>
            <w:r>
              <w:rPr>
                <w:rFonts w:hint="eastAsia" w:ascii="Arial" w:hAnsi="Arial" w:eastAsia="仿宋_GB2312" w:cs="Arial"/>
                <w:bCs/>
                <w:sz w:val="18"/>
                <w:szCs w:val="18"/>
                <w:highlight w:val="none"/>
              </w:rPr>
              <w:t>宗地红线内“六通”</w:t>
            </w:r>
          </w:p>
        </w:tc>
        <w:tc>
          <w:tcPr>
            <w:tcW w:w="638" w:type="dxa"/>
            <w:vAlign w:val="center"/>
          </w:tcPr>
          <w:p>
            <w:pPr>
              <w:spacing w:line="300" w:lineRule="auto"/>
              <w:jc w:val="center"/>
              <w:rPr>
                <w:rFonts w:ascii="Arial" w:hAnsi="Arial" w:eastAsia="仿宋_GB2312" w:cs="Arial"/>
                <w:bCs/>
                <w:sz w:val="18"/>
                <w:szCs w:val="18"/>
                <w:highlight w:val="none"/>
              </w:rPr>
            </w:pPr>
            <w:r>
              <w:rPr>
                <w:rFonts w:ascii="Arial" w:hAnsi="Arial" w:eastAsia="仿宋_GB2312" w:cs="Arial"/>
                <w:bCs/>
                <w:sz w:val="18"/>
                <w:szCs w:val="18"/>
                <w:highlight w:val="none"/>
              </w:rPr>
              <w:t>宗地</w:t>
            </w:r>
            <w:r>
              <w:rPr>
                <w:rFonts w:hint="eastAsia" w:ascii="Arial" w:hAnsi="Arial" w:eastAsia="仿宋_GB2312" w:cs="Arial"/>
                <w:bCs/>
                <w:sz w:val="18"/>
                <w:szCs w:val="18"/>
                <w:highlight w:val="none"/>
              </w:rPr>
              <w:t>红线</w:t>
            </w:r>
            <w:r>
              <w:rPr>
                <w:rFonts w:ascii="Arial" w:hAnsi="Arial" w:eastAsia="仿宋_GB2312" w:cs="Arial"/>
                <w:bCs/>
                <w:sz w:val="18"/>
                <w:szCs w:val="18"/>
                <w:highlight w:val="none"/>
              </w:rPr>
              <w:t>外</w:t>
            </w:r>
            <w:r>
              <w:rPr>
                <w:rFonts w:hint="eastAsia" w:ascii="Arial" w:hAnsi="Arial" w:eastAsia="仿宋_GB2312" w:cs="Arial"/>
                <w:bCs/>
                <w:sz w:val="18"/>
                <w:szCs w:val="18"/>
                <w:highlight w:val="none"/>
              </w:rPr>
              <w:t>“七</w:t>
            </w:r>
            <w:r>
              <w:rPr>
                <w:rFonts w:ascii="Arial" w:hAnsi="Arial" w:eastAsia="仿宋_GB2312" w:cs="Arial"/>
                <w:bCs/>
                <w:sz w:val="18"/>
                <w:szCs w:val="18"/>
                <w:highlight w:val="none"/>
              </w:rPr>
              <w:t>通</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，宗地内</w:t>
            </w:r>
            <w:r>
              <w:rPr>
                <w:rFonts w:hint="eastAsia" w:ascii="Arial" w:hAnsi="Arial" w:eastAsia="仿宋_GB2312" w:cs="Arial"/>
                <w:bCs/>
                <w:sz w:val="18"/>
                <w:szCs w:val="18"/>
                <w:highlight w:val="none"/>
              </w:rPr>
              <w:t>“</w:t>
            </w:r>
            <w:r>
              <w:rPr>
                <w:rFonts w:ascii="Arial" w:hAnsi="Arial" w:eastAsia="仿宋_GB2312" w:cs="Arial"/>
                <w:bCs/>
                <w:sz w:val="18"/>
                <w:szCs w:val="18"/>
                <w:highlight w:val="none"/>
              </w:rPr>
              <w:t>场地平整</w:t>
            </w:r>
            <w:r>
              <w:rPr>
                <w:rFonts w:hint="eastAsia" w:ascii="Arial" w:hAnsi="Arial" w:eastAsia="仿宋_GB2312" w:cs="Arial"/>
                <w:bCs/>
                <w:sz w:val="18"/>
                <w:szCs w:val="18"/>
                <w:highlight w:val="none"/>
              </w:rPr>
              <w:t>”</w:t>
            </w:r>
          </w:p>
        </w:tc>
        <w:tc>
          <w:tcPr>
            <w:tcW w:w="637" w:type="dxa"/>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rPr>
              <w:t>商业40年</w:t>
            </w:r>
          </w:p>
        </w:tc>
        <w:tc>
          <w:tcPr>
            <w:tcW w:w="994" w:type="dxa"/>
            <w:vAlign w:val="center"/>
          </w:tcPr>
          <w:p>
            <w:pPr>
              <w:spacing w:line="300" w:lineRule="auto"/>
              <w:jc w:val="center"/>
              <w:rPr>
                <w:rFonts w:hint="eastAsia" w:ascii="Arial" w:hAnsi="Arial" w:eastAsia="仿宋_GB2312" w:cs="Arial"/>
                <w:bCs/>
                <w:sz w:val="18"/>
                <w:szCs w:val="18"/>
                <w:highlight w:val="none"/>
                <w:lang w:eastAsia="zh-CN"/>
              </w:rPr>
            </w:pPr>
            <w:r>
              <w:rPr>
                <w:rFonts w:hint="eastAsia" w:ascii="Arial" w:hAnsi="Arial" w:eastAsia="仿宋_GB2312" w:cs="Arial"/>
                <w:bCs/>
                <w:sz w:val="18"/>
                <w:szCs w:val="18"/>
                <w:highlight w:val="none"/>
                <w:lang w:eastAsia="zh-CN"/>
              </w:rPr>
              <w:t>127.326</w:t>
            </w:r>
          </w:p>
        </w:tc>
        <w:tc>
          <w:tcPr>
            <w:tcW w:w="769" w:type="dxa"/>
            <w:tcBorders>
              <w:left w:val="single" w:color="auto" w:sz="4" w:space="0"/>
            </w:tcBorders>
            <w:vAlign w:val="center"/>
          </w:tcPr>
          <w:p>
            <w:pPr>
              <w:spacing w:line="300" w:lineRule="auto"/>
              <w:jc w:val="center"/>
              <w:rPr>
                <w:rFonts w:ascii="Arial" w:hAnsi="Arial" w:eastAsia="仿宋_GB2312" w:cs="Arial"/>
                <w:bCs/>
                <w:sz w:val="18"/>
                <w:szCs w:val="18"/>
                <w:highlight w:val="none"/>
              </w:rPr>
            </w:pPr>
            <w:r>
              <w:rPr>
                <w:rFonts w:hint="eastAsia" w:ascii="Arial" w:hAnsi="Arial" w:eastAsia="仿宋_GB2312" w:cs="Arial"/>
                <w:bCs/>
                <w:sz w:val="18"/>
                <w:szCs w:val="18"/>
                <w:highlight w:val="none"/>
                <w:lang w:eastAsia="zh-CN"/>
              </w:rPr>
              <w:t>259.75</w:t>
            </w:r>
            <w:r>
              <w:rPr>
                <w:rFonts w:hint="eastAsia" w:ascii="Arial" w:hAnsi="Arial" w:eastAsia="仿宋_GB2312" w:cs="Arial"/>
                <w:bCs/>
                <w:sz w:val="18"/>
                <w:szCs w:val="18"/>
                <w:highlight w:val="none"/>
              </w:rPr>
              <w:t xml:space="preserve"> </w:t>
            </w:r>
          </w:p>
        </w:tc>
        <w:tc>
          <w:tcPr>
            <w:tcW w:w="679"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6486</w:t>
            </w:r>
          </w:p>
        </w:tc>
        <w:tc>
          <w:tcPr>
            <w:tcW w:w="1008" w:type="dxa"/>
            <w:tcBorders>
              <w:left w:val="single" w:color="auto" w:sz="4" w:space="0"/>
              <w:righ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168.4739</w:t>
            </w:r>
          </w:p>
        </w:tc>
        <w:tc>
          <w:tcPr>
            <w:tcW w:w="620"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4712</w:t>
            </w:r>
          </w:p>
        </w:tc>
        <w:tc>
          <w:tcPr>
            <w:tcW w:w="993"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122.3942</w:t>
            </w:r>
          </w:p>
        </w:tc>
        <w:tc>
          <w:tcPr>
            <w:tcW w:w="635"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1774</w:t>
            </w:r>
          </w:p>
        </w:tc>
        <w:tc>
          <w:tcPr>
            <w:tcW w:w="921"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c>
          <w:tcPr>
            <w:tcW w:w="937" w:type="dxa"/>
            <w:tcBorders>
              <w:left w:val="single" w:color="auto" w:sz="4" w:space="0"/>
            </w:tcBorders>
            <w:vAlign w:val="center"/>
          </w:tcPr>
          <w:p>
            <w:pPr>
              <w:spacing w:line="300" w:lineRule="auto"/>
              <w:jc w:val="center"/>
              <w:rPr>
                <w:rFonts w:hint="default" w:ascii="Arial" w:hAnsi="Arial" w:eastAsia="仿宋_GB2312" w:cs="Arial"/>
                <w:bCs/>
                <w:sz w:val="18"/>
                <w:szCs w:val="18"/>
                <w:highlight w:val="none"/>
                <w:lang w:val="en-US" w:eastAsia="zh-CN"/>
              </w:rPr>
            </w:pPr>
            <w:r>
              <w:rPr>
                <w:rFonts w:hint="eastAsia" w:ascii="Arial" w:hAnsi="Arial" w:eastAsia="仿宋_GB2312" w:cs="Arial"/>
                <w:bCs/>
                <w:sz w:val="18"/>
                <w:szCs w:val="18"/>
                <w:highlight w:val="none"/>
                <w:lang w:val="en-US" w:eastAsia="zh-CN"/>
              </w:rPr>
              <w:t>46.0797</w:t>
            </w:r>
          </w:p>
        </w:tc>
      </w:tr>
    </w:tbl>
    <w:p>
      <w:pPr>
        <w:spacing w:line="300" w:lineRule="auto"/>
        <w:rPr>
          <w:rFonts w:ascii="Arial" w:hAnsi="Arial" w:eastAsia="仿宋_GB2312" w:cs="Arial"/>
          <w:sz w:val="18"/>
          <w:szCs w:val="18"/>
          <w:highlight w:val="none"/>
        </w:rPr>
      </w:pPr>
      <w:r>
        <w:rPr>
          <w:rFonts w:ascii="Arial" w:hAnsi="Arial" w:eastAsia="仿宋_GB2312" w:cs="Arial"/>
          <w:sz w:val="18"/>
          <w:szCs w:val="18"/>
          <w:highlight w:val="none"/>
        </w:rPr>
        <w:t>币种：人民币</w:t>
      </w:r>
    </w:p>
    <w:p>
      <w:pPr>
        <w:spacing w:line="300" w:lineRule="auto"/>
        <w:rPr>
          <w:rFonts w:ascii="Arial" w:hAnsi="Arial" w:eastAsia="仿宋_GB2312" w:cs="Arial"/>
          <w:sz w:val="28"/>
          <w:szCs w:val="28"/>
          <w:highlight w:val="none"/>
        </w:rPr>
      </w:pPr>
    </w:p>
    <w:p>
      <w:pPr>
        <w:spacing w:line="300" w:lineRule="auto"/>
        <w:rPr>
          <w:rFonts w:ascii="Arial" w:hAnsi="Arial" w:eastAsia="仿宋_GB2312" w:cs="Arial"/>
          <w:sz w:val="28"/>
          <w:szCs w:val="28"/>
          <w:highlight w:val="none"/>
        </w:rPr>
      </w:pPr>
      <w:r>
        <w:rPr>
          <w:rFonts w:ascii="Arial" w:hAnsi="Arial" w:eastAsia="仿宋_GB2312" w:cs="Arial"/>
          <w:sz w:val="28"/>
          <w:szCs w:val="28"/>
          <w:highlight w:val="none"/>
        </w:rPr>
        <w:t>（转下页）</w:t>
      </w:r>
    </w:p>
    <w:p>
      <w:pPr>
        <w:pStyle w:val="52"/>
        <w:spacing w:line="300" w:lineRule="auto"/>
        <w:ind w:left="117" w:leftChars="-135" w:right="-408" w:rightChars="-170" w:hanging="441" w:hangingChars="157"/>
        <w:jc w:val="center"/>
        <w:rPr>
          <w:rFonts w:ascii="Arial" w:hAnsi="Arial" w:cs="Arial"/>
          <w:b/>
          <w:szCs w:val="28"/>
          <w:highlight w:val="none"/>
        </w:rPr>
        <w:sectPr>
          <w:headerReference r:id="rId45" w:type="first"/>
          <w:pgSz w:w="16840" w:h="11907" w:orient="landscape"/>
          <w:pgMar w:top="2041" w:right="1134" w:bottom="1134" w:left="1134" w:header="1134" w:footer="907" w:gutter="0"/>
          <w:cols w:space="0" w:num="1"/>
          <w:titlePg/>
          <w:docGrid w:linePitch="326" w:charSpace="0"/>
        </w:sectPr>
      </w:pPr>
    </w:p>
    <w:p>
      <w:pPr>
        <w:spacing w:line="300" w:lineRule="auto"/>
        <w:jc w:val="center"/>
        <w:outlineLvl w:val="0"/>
        <w:rPr>
          <w:rFonts w:ascii="Arial" w:hAnsi="Arial" w:cs="Arial"/>
          <w:b/>
          <w:sz w:val="32"/>
          <w:highlight w:val="none"/>
        </w:rPr>
      </w:pPr>
      <w:bookmarkStart w:id="316" w:name="_Toc69393405"/>
      <w:bookmarkStart w:id="317" w:name="_Toc66929530"/>
      <w:r>
        <w:rPr>
          <w:rFonts w:ascii="Arial" w:hAnsi="Arial" w:eastAsia="仿宋_GB2312" w:cs="Arial"/>
          <w:b/>
          <w:sz w:val="32"/>
          <w:highlight w:val="none"/>
        </w:rPr>
        <w:t xml:space="preserve">第四部分  </w:t>
      </w:r>
      <w:bookmarkStart w:id="318" w:name="_Toc524335123"/>
      <w:bookmarkStart w:id="319" w:name="_Toc516488223"/>
      <w:bookmarkStart w:id="320" w:name="_Toc515457834"/>
      <w:r>
        <w:rPr>
          <w:rFonts w:ascii="Arial" w:hAnsi="Arial" w:cs="Arial"/>
          <w:b/>
          <w:sz w:val="32"/>
          <w:highlight w:val="none"/>
        </w:rPr>
        <w:t>附</w:t>
      </w:r>
      <w:r>
        <w:rPr>
          <w:rFonts w:ascii="Arial" w:hAnsi="Arial" w:eastAsia="仿宋_GB2312" w:cs="Arial"/>
          <w:b/>
          <w:sz w:val="32"/>
          <w:highlight w:val="none"/>
        </w:rPr>
        <w:t xml:space="preserve">  </w:t>
      </w:r>
      <w:r>
        <w:rPr>
          <w:rFonts w:ascii="Arial" w:hAnsi="Arial" w:cs="Arial"/>
          <w:b/>
          <w:sz w:val="32"/>
          <w:highlight w:val="none"/>
        </w:rPr>
        <w:t>件</w:t>
      </w:r>
      <w:bookmarkEnd w:id="310"/>
      <w:bookmarkEnd w:id="311"/>
      <w:bookmarkEnd w:id="312"/>
      <w:bookmarkEnd w:id="316"/>
      <w:bookmarkEnd w:id="317"/>
      <w:bookmarkEnd w:id="318"/>
      <w:bookmarkEnd w:id="319"/>
      <w:bookmarkEnd w:id="320"/>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1.国有建设用地使用权出让地价评估委托书》复印件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2.估价对象所在位置示意图</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3.估价对象实地勘察情况相关照片</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4.</w:t>
      </w:r>
      <w:r>
        <w:rPr>
          <w:rFonts w:hint="eastAsia" w:ascii="Arial" w:hAnsi="Arial" w:eastAsia="仿宋_GB2312" w:cs="Arial"/>
          <w:sz w:val="28"/>
          <w:szCs w:val="28"/>
          <w:highlight w:val="none"/>
        </w:rPr>
        <w:t>《土地权属审查告知书》[</w:t>
      </w:r>
      <w:r>
        <w:rPr>
          <w:rFonts w:hint="eastAsia" w:ascii="Arial" w:hAnsi="Arial" w:eastAsia="仿宋_GB2312" w:cs="Arial"/>
          <w:sz w:val="28"/>
          <w:szCs w:val="28"/>
          <w:highlight w:val="none"/>
          <w:lang w:eastAsia="zh-CN"/>
        </w:rPr>
        <w:t>密权属审〔2023〕字第019号</w:t>
      </w:r>
      <w:r>
        <w:rPr>
          <w:rFonts w:hint="eastAsia" w:ascii="Arial" w:hAnsi="Arial" w:eastAsia="仿宋_GB2312" w:cs="Arial"/>
          <w:sz w:val="28"/>
          <w:szCs w:val="28"/>
          <w:highlight w:val="none"/>
        </w:rPr>
        <w:t>]及</w:t>
      </w:r>
      <w:r>
        <w:rPr>
          <w:rFonts w:hint="eastAsia" w:ascii="Arial" w:hAnsi="Arial" w:eastAsia="仿宋_GB2312" w:cs="Arial"/>
          <w:sz w:val="28"/>
          <w:highlight w:val="none"/>
        </w:rPr>
        <w:t>其附件</w:t>
      </w:r>
      <w:r>
        <w:rPr>
          <w:rFonts w:hint="eastAsia" w:ascii="Arial" w:hAnsi="Arial" w:eastAsia="仿宋_GB2312" w:cs="Arial"/>
          <w:sz w:val="28"/>
          <w:szCs w:val="28"/>
          <w:highlight w:val="none"/>
        </w:rPr>
        <w:t>复印件</w:t>
      </w:r>
    </w:p>
    <w:p>
      <w:pPr>
        <w:snapToGrid w:val="0"/>
        <w:spacing w:line="300" w:lineRule="auto"/>
        <w:ind w:firstLine="560" w:firstLineChars="200"/>
        <w:jc w:val="both"/>
        <w:rPr>
          <w:rFonts w:ascii="Arial" w:hAnsi="Arial" w:eastAsia="仿宋_GB2312" w:cs="Arial"/>
          <w:sz w:val="28"/>
          <w:highlight w:val="none"/>
        </w:rPr>
      </w:pPr>
      <w:r>
        <w:rPr>
          <w:rFonts w:ascii="Arial" w:hAnsi="Arial" w:eastAsia="仿宋_GB2312" w:cs="Arial"/>
          <w:sz w:val="28"/>
          <w:highlight w:val="none"/>
        </w:rPr>
        <w:t>5.</w:t>
      </w:r>
      <w:r>
        <w:rPr>
          <w:rFonts w:hint="eastAsia" w:ascii="Arial" w:hAnsi="Arial" w:eastAsia="仿宋_GB2312" w:cs="Arial"/>
          <w:sz w:val="28"/>
          <w:szCs w:val="28"/>
          <w:highlight w:val="none"/>
        </w:rPr>
        <w:t>《北京市房屋土地登记表》[宗地号：110228002001GB00135]及</w:t>
      </w:r>
      <w:r>
        <w:rPr>
          <w:rFonts w:hint="eastAsia" w:ascii="Arial" w:hAnsi="Arial" w:eastAsia="仿宋_GB2312" w:cs="Arial"/>
          <w:sz w:val="28"/>
          <w:highlight w:val="none"/>
        </w:rPr>
        <w:t>其附件</w:t>
      </w:r>
      <w:r>
        <w:rPr>
          <w:rFonts w:ascii="Arial" w:hAnsi="Arial" w:eastAsia="仿宋_GB2312" w:cs="Arial"/>
          <w:sz w:val="28"/>
          <w:highlight w:val="none"/>
        </w:rPr>
        <w:t xml:space="preserve">复印件 </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6</w:t>
      </w:r>
      <w:r>
        <w:rPr>
          <w:rFonts w:ascii="Arial" w:hAnsi="Arial" w:eastAsia="仿宋_GB2312" w:cs="Arial"/>
          <w:sz w:val="28"/>
          <w:highlight w:val="none"/>
        </w:rPr>
        <w:t>.估价机构《营业执照（副本）》复印件</w:t>
      </w:r>
    </w:p>
    <w:p>
      <w:pPr>
        <w:snapToGrid w:val="0"/>
        <w:spacing w:line="300" w:lineRule="auto"/>
        <w:ind w:firstLine="560" w:firstLineChars="200"/>
        <w:jc w:val="both"/>
        <w:rPr>
          <w:rFonts w:ascii="Arial" w:hAnsi="Arial" w:eastAsia="仿宋_GB2312" w:cs="Arial"/>
          <w:sz w:val="28"/>
          <w:highlight w:val="none"/>
        </w:rPr>
      </w:pPr>
      <w:r>
        <w:rPr>
          <w:rFonts w:hint="eastAsia" w:ascii="Arial" w:hAnsi="Arial" w:eastAsia="仿宋_GB2312" w:cs="Arial"/>
          <w:sz w:val="28"/>
          <w:highlight w:val="none"/>
        </w:rPr>
        <w:t>7</w:t>
      </w:r>
      <w:r>
        <w:rPr>
          <w:rFonts w:ascii="Arial" w:hAnsi="Arial" w:eastAsia="仿宋_GB2312" w:cs="Arial"/>
          <w:sz w:val="28"/>
          <w:highlight w:val="none"/>
        </w:rPr>
        <w:t>.估价机构评估资质复印件</w:t>
      </w:r>
    </w:p>
    <w:p>
      <w:pPr>
        <w:snapToGrid w:val="0"/>
        <w:spacing w:line="300" w:lineRule="auto"/>
        <w:ind w:firstLine="560" w:firstLineChars="200"/>
        <w:jc w:val="both"/>
        <w:rPr>
          <w:rFonts w:ascii="Arial" w:hAnsi="Arial" w:cs="Arial"/>
          <w:highlight w:val="none"/>
        </w:rPr>
      </w:pPr>
      <w:r>
        <w:rPr>
          <w:rFonts w:hint="eastAsia" w:ascii="Arial" w:hAnsi="Arial" w:eastAsia="楷体_GB2312" w:cs="Arial"/>
          <w:sz w:val="28"/>
          <w:highlight w:val="none"/>
        </w:rPr>
        <w:t>8</w:t>
      </w:r>
      <w:r>
        <w:rPr>
          <w:rFonts w:ascii="Arial" w:hAnsi="Arial" w:eastAsia="楷体_GB2312" w:cs="Arial"/>
          <w:sz w:val="28"/>
          <w:highlight w:val="none"/>
        </w:rPr>
        <w:t>.</w:t>
      </w:r>
      <w:r>
        <w:rPr>
          <w:rFonts w:ascii="Arial" w:hAnsi="Arial" w:eastAsia="仿宋_GB2312" w:cs="Arial"/>
          <w:sz w:val="28"/>
          <w:highlight w:val="none"/>
        </w:rPr>
        <w:t>评估专业人员资质证书复印件</w:t>
      </w:r>
    </w:p>
    <w:p>
      <w:pPr>
        <w:spacing w:line="300" w:lineRule="auto"/>
        <w:ind w:firstLine="480" w:firstLineChars="200"/>
        <w:jc w:val="both"/>
        <w:rPr>
          <w:rFonts w:ascii="Arial" w:hAnsi="Arial" w:cs="Arial"/>
          <w:highlight w:val="none"/>
        </w:rPr>
      </w:pPr>
    </w:p>
    <w:p>
      <w:pPr>
        <w:spacing w:line="300" w:lineRule="auto"/>
        <w:rPr>
          <w:rFonts w:ascii="Arial" w:hAnsi="Arial" w:cs="Arial"/>
          <w:highlight w:val="none"/>
        </w:rPr>
      </w:pPr>
    </w:p>
    <w:sectPr>
      <w:headerReference r:id="rId46" w:type="default"/>
      <w:footerReference r:id="rId47" w:type="default"/>
      <w:pgSz w:w="11906" w:h="16838"/>
      <w:pgMar w:top="1843" w:right="1134" w:bottom="1134" w:left="1134" w:header="1134" w:footer="907" w:gutter="34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Modern">
    <w:altName w:val="Segoe Print"/>
    <w:panose1 w:val="00000000000000000000"/>
    <w:charset w:val="00"/>
    <w:family w:val="moder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Microsoft YaHei UI">
    <w:panose1 w:val="020B0503020204020204"/>
    <w:charset w:val="86"/>
    <w:family w:val="swiss"/>
    <w:pitch w:val="default"/>
    <w:sig w:usb0="80000287" w:usb1="28CF3C52" w:usb2="00000016" w:usb3="00000000" w:csb0="0004001F" w:csb1="00000000"/>
  </w:font>
  <w:font w:name="Arial Unicode MS">
    <w:altName w:val="宋体"/>
    <w:panose1 w:val="020B0604020202020204"/>
    <w:charset w:val="86"/>
    <w:family w:val="swiss"/>
    <w:pitch w:val="default"/>
    <w:sig w:usb0="00000000" w:usb1="00000000" w:usb2="0000003F" w:usb3="00000000" w:csb0="003F01FF" w:csb1="00000000"/>
  </w:font>
  <w:font w:name="Arial Narrow">
    <w:panose1 w:val="020B0606020202030204"/>
    <w:charset w:val="00"/>
    <w:family w:val="swiss"/>
    <w:pitch w:val="default"/>
    <w:sig w:usb0="00000287" w:usb1="00000800" w:usb2="00000000" w:usb3="00000000" w:csb0="2000009F" w:csb1="DFD70000"/>
  </w:font>
  <w:font w:name="长城粗隶书">
    <w:altName w:val="宋体"/>
    <w:panose1 w:val="00000000000000000000"/>
    <w:charset w:val="86"/>
    <w:family w:val="modern"/>
    <w:pitch w:val="default"/>
    <w:sig w:usb0="00000000" w:usb1="00000000" w:usb2="00000010" w:usb3="00000000" w:csb0="00040000" w:csb1="00000000"/>
  </w:font>
  <w:font w:name="华文细黑碙..">
    <w:altName w:val="微软雅黑"/>
    <w:panose1 w:val="00000000000000000000"/>
    <w:charset w:val="86"/>
    <w:family w:val="swiss"/>
    <w:pitch w:val="default"/>
    <w:sig w:usb0="00000000" w:usb1="00000000" w:usb2="00000010" w:usb3="00000000" w:csb0="00040000" w:csb1="00000000"/>
  </w:font>
  <w:font w:name="黑体萄">
    <w:altName w:val="黑体"/>
    <w:panose1 w:val="00000000000000000000"/>
    <w:charset w:val="86"/>
    <w:family w:val="swiss"/>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楷体">
    <w:panose1 w:val="02010609060101010101"/>
    <w:charset w:val="86"/>
    <w:family w:val="modern"/>
    <w:pitch w:val="default"/>
    <w:sig w:usb0="800002BF" w:usb1="38CF7CFA" w:usb2="00000016" w:usb3="00000000" w:csb0="00040001" w:csb1="00000000"/>
  </w:font>
  <w:font w:name="昆仑仿宋">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华文行楷">
    <w:panose1 w:val="02010800040101010101"/>
    <w:charset w:val="86"/>
    <w:family w:val="auto"/>
    <w:pitch w:val="default"/>
    <w:sig w:usb0="00000001" w:usb1="080F0000" w:usb2="00000000" w:usb3="00000000" w:csb0="00040000" w:csb1="00000000"/>
  </w:font>
  <w:font w:name="Arial">
    <w:panose1 w:val="020B0604020202020204"/>
    <w:charset w:val="00"/>
    <w:family w:val="swiss"/>
    <w:pitch w:val="default"/>
    <w:sig w:usb0="E0002AFF" w:usb1="C0007843" w:usb2="00000009" w:usb3="00000000" w:csb0="400001FF" w:csb1="FFFF0000"/>
  </w:font>
  <w:font w:name="华文细黑">
    <w:panose1 w:val="02010600040101010101"/>
    <w:charset w:val="86"/>
    <w:family w:val="swiss"/>
    <w:pitch w:val="default"/>
    <w:sig w:usb0="00000287" w:usb1="080F0000" w:usb2="00000000" w:usb3="00000000" w:csb0="0004009F" w:csb1="DFD70000"/>
  </w:font>
  <w:font w:name="方正黑体简体">
    <w:altName w:val="微软雅黑"/>
    <w:panose1 w:val="00000000000000000000"/>
    <w:charset w:val="86"/>
    <w:family w:val="auto"/>
    <w:pitch w:val="default"/>
    <w:sig w:usb0="00000000" w:usb1="00000000" w:usb2="0000001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sz w:val="21"/>
      </w:rPr>
    </w:pPr>
  </w:p>
  <w:p>
    <w:pPr>
      <w:tabs>
        <w:tab w:val="left" w:pos="4890"/>
      </w:tabs>
    </w:pP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42</w:t>
    </w:r>
    <w:r>
      <w:rPr>
        <w:sz w:val="18"/>
        <w:szCs w:val="18"/>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47</w:t>
    </w:r>
    <w:r>
      <w:rPr>
        <w:sz w:val="18"/>
        <w:szCs w:val="18"/>
        <w:lang w:val="zh-CN"/>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jc w:val="center"/>
    </w:pPr>
    <w:r>
      <w:fldChar w:fldCharType="begin"/>
    </w:r>
    <w:r>
      <w:instrText xml:space="preserve">PAGE   \* MERGEFORMAT</w:instrText>
    </w:r>
    <w:r>
      <w:fldChar w:fldCharType="separate"/>
    </w:r>
    <w:r>
      <w:rPr>
        <w:rFonts w:ascii="Arial" w:hAnsi="Arial"/>
        <w:lang w:val="zh-CN"/>
      </w:rPr>
      <w:t>30</w:t>
    </w:r>
    <w:r>
      <w:rPr>
        <w:rFonts w:ascii="Arial" w:hAnsi="Arial"/>
        <w:lang w:val="zh-CN"/>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Style w:val="39"/>
        <w:sz w:val="18"/>
        <w:szCs w:val="18"/>
      </w:rPr>
    </w:pPr>
    <w:r>
      <w:rPr>
        <w:rStyle w:val="39"/>
        <w:sz w:val="18"/>
        <w:szCs w:val="18"/>
      </w:rPr>
      <w:fldChar w:fldCharType="begin"/>
    </w:r>
    <w:r>
      <w:rPr>
        <w:rStyle w:val="39"/>
        <w:sz w:val="18"/>
        <w:szCs w:val="18"/>
      </w:rPr>
      <w:instrText xml:space="preserve">PAGE   \* MERGEFORMAT</w:instrText>
    </w:r>
    <w:r>
      <w:rPr>
        <w:rStyle w:val="39"/>
        <w:sz w:val="18"/>
        <w:szCs w:val="18"/>
      </w:rPr>
      <w:fldChar w:fldCharType="separate"/>
    </w:r>
    <w:r>
      <w:rPr>
        <w:rStyle w:val="39"/>
        <w:sz w:val="18"/>
        <w:szCs w:val="18"/>
        <w:lang w:val="zh-CN"/>
      </w:rPr>
      <w:t>9</w:t>
    </w:r>
    <w:r>
      <w:rPr>
        <w:rStyle w:val="39"/>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center" w:y="1"/>
      <w:rPr>
        <w:rStyle w:val="39"/>
      </w:rPr>
    </w:pPr>
    <w:r>
      <w:rPr>
        <w:rStyle w:val="39"/>
      </w:rPr>
      <w:fldChar w:fldCharType="begin"/>
    </w:r>
    <w:r>
      <w:rPr>
        <w:rStyle w:val="39"/>
      </w:rPr>
      <w:instrText xml:space="preserve">PAGE  </w:instrText>
    </w:r>
    <w:r>
      <w:rPr>
        <w:rStyle w:val="39"/>
      </w:rP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8" w:space="15"/>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10</w:t>
    </w:r>
    <w:r>
      <w:rPr>
        <w:sz w:val="18"/>
        <w:szCs w:val="18"/>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1"/>
      </w:pBdr>
      <w:snapToGrid w:val="0"/>
      <w:spacing w:line="240" w:lineRule="exact"/>
      <w:jc w:val="center"/>
      <w:rPr>
        <w:rFonts w:ascii="仿宋" w:hAnsi="仿宋" w:eastAsia="仿宋" w:cs="仿宋"/>
        <w:sz w:val="18"/>
        <w:szCs w:val="1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68</w:t>
    </w:r>
    <w:r>
      <w:rPr>
        <w:sz w:val="18"/>
        <w:szCs w:val="18"/>
        <w:lang w:val="zh-CN"/>
      </w:rPr>
      <w:fldChar w:fldCharType="end"/>
    </w:r>
    <w:r>
      <w:rPr>
        <w:rFonts w:ascii="仿宋" w:hAnsi="仿宋" w:eastAsia="仿宋" w:cs="仿宋"/>
        <w:spacing w:val="-1"/>
        <w:sz w:val="18"/>
        <w:szCs w:val="18"/>
      </w:rPr>
      <w:t xml:space="preserve">   </w:t>
    </w:r>
    <w:r>
      <w:rPr>
        <w:rFonts w:ascii="仿宋" w:hAnsi="仿宋" w:eastAsia="仿宋" w:cs="仿宋"/>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rFonts w:ascii="Arial" w:hAnsi="Arial" w:eastAsia="华文行楷"/>
      </w:rPr>
    </w:pPr>
    <w:r>
      <w:drawing>
        <wp:inline distT="0" distB="0" distL="114300" distR="114300">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6"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2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2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2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9" name="图片 29" descr="评估报告内页页眉.jpg"/>
          <wp:cNvGraphicFramePr/>
          <a:graphic xmlns:a="http://schemas.openxmlformats.org/drawingml/2006/main">
            <a:graphicData uri="http://schemas.openxmlformats.org/drawingml/2006/picture">
              <pic:pic xmlns:pic="http://schemas.openxmlformats.org/drawingml/2006/picture">
                <pic:nvPicPr>
                  <pic:cNvPr id="29" name="图片 2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2" name="图片 2"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1" name="图片 1"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drawing>
        <wp:inline distT="0" distB="0" distL="114300" distR="114300">
          <wp:extent cx="5902325" cy="285750"/>
          <wp:effectExtent l="0" t="0" r="3175" b="0"/>
          <wp:docPr id="8"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pPr>
    <w:r>
      <w:drawing>
        <wp:inline distT="0" distB="0" distL="114300" distR="114300">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both"/>
      <w:rPr>
        <w:rFonts w:ascii="Arial" w:hAnsi="Arial" w:eastAsia="华文行楷"/>
      </w:rPr>
    </w:pPr>
    <w:r>
      <w:rPr>
        <w:rFonts w:hint="eastAsia" w:ascii="楷体_GB2312" w:eastAsia="楷体_GB2312"/>
        <w:spacing w:val="-20"/>
      </w:rPr>
      <w:drawing>
        <wp:inline distT="0" distB="0" distL="114300" distR="114300">
          <wp:extent cx="8866505" cy="392430"/>
          <wp:effectExtent l="0" t="0" r="10795" b="7620"/>
          <wp:docPr id="38" name="图片 38" descr="评估报告内页页眉-马甸-横版"/>
          <wp:cNvGraphicFramePr/>
          <a:graphic xmlns:a="http://schemas.openxmlformats.org/drawingml/2006/main">
            <a:graphicData uri="http://schemas.openxmlformats.org/drawingml/2006/picture">
              <pic:pic xmlns:pic="http://schemas.openxmlformats.org/drawingml/2006/picture">
                <pic:nvPicPr>
                  <pic:cNvPr id="38" name="图片 38"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2028"/>
        <w:tab w:val="center" w:pos="7346"/>
      </w:tabs>
      <w:rPr>
        <w:rFonts w:ascii="楷体_GB2312" w:eastAsia="楷体_GB2312"/>
        <w:spacing w:val="-20"/>
      </w:rPr>
    </w:pPr>
    <w:r>
      <w:rPr>
        <w:rFonts w:hint="eastAsia"/>
      </w:rPr>
      <w:tab/>
    </w:r>
    <w:r>
      <w:rPr>
        <w:rFonts w:hint="eastAsia"/>
      </w:rPr>
      <w:tab/>
    </w:r>
    <w:r>
      <w:drawing>
        <wp:inline distT="0" distB="0" distL="114300" distR="114300">
          <wp:extent cx="5902325" cy="285750"/>
          <wp:effectExtent l="0" t="0" r="3175" b="0"/>
          <wp:docPr id="54" name="图片 4" descr="评估报告内页页眉.jpg"/>
          <wp:cNvGraphicFramePr/>
          <a:graphic xmlns:a="http://schemas.openxmlformats.org/drawingml/2006/main">
            <a:graphicData uri="http://schemas.openxmlformats.org/drawingml/2006/picture">
              <pic:pic xmlns:pic="http://schemas.openxmlformats.org/drawingml/2006/picture">
                <pic:nvPicPr>
                  <pic:cNvPr id="54"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楷体_GB2312" w:eastAsia="楷体_GB2312"/>
        <w:spacing w:val="-20"/>
      </w:rPr>
    </w:pPr>
    <w:r>
      <w:drawing>
        <wp:inline distT="0" distB="0" distL="114300" distR="114300">
          <wp:extent cx="5902325" cy="285750"/>
          <wp:effectExtent l="0" t="0" r="3175" b="0"/>
          <wp:docPr id="55" name="图片 6" descr="评估报告内页页眉.jpg"/>
          <wp:cNvGraphicFramePr/>
          <a:graphic xmlns:a="http://schemas.openxmlformats.org/drawingml/2006/main">
            <a:graphicData uri="http://schemas.openxmlformats.org/drawingml/2006/picture">
              <pic:pic xmlns:pic="http://schemas.openxmlformats.org/drawingml/2006/picture">
                <pic:nvPicPr>
                  <pic:cNvPr id="55"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inline distT="0" distB="0" distL="114300" distR="114300">
          <wp:extent cx="5902325" cy="285750"/>
          <wp:effectExtent l="0" t="0" r="3175" b="0"/>
          <wp:docPr id="5" name="图片 5" descr="评估报告内页页眉.jpg"/>
          <wp:cNvGraphicFramePr/>
          <a:graphic xmlns:a="http://schemas.openxmlformats.org/drawingml/2006/main">
            <a:graphicData uri="http://schemas.openxmlformats.org/drawingml/2006/picture">
              <pic:pic xmlns:pic="http://schemas.openxmlformats.org/drawingml/2006/picture">
                <pic:nvPicPr>
                  <pic:cNvPr id="5" name="图片 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A595C"/>
    <w:multiLevelType w:val="singleLevel"/>
    <w:tmpl w:val="A95A595C"/>
    <w:lvl w:ilvl="0" w:tentative="0">
      <w:start w:val="2"/>
      <w:numFmt w:val="chineseCounting"/>
      <w:suff w:val="nothing"/>
      <w:lvlText w:val="%1、"/>
      <w:lvlJc w:val="left"/>
      <w:rPr>
        <w:rFonts w:hint="eastAsia"/>
      </w:rPr>
    </w:lvl>
  </w:abstractNum>
  <w:abstractNum w:abstractNumId="1">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2">
    <w:nsid w:val="13960EB8"/>
    <w:multiLevelType w:val="multilevel"/>
    <w:tmpl w:val="13960EB8"/>
    <w:lvl w:ilvl="0" w:tentative="0">
      <w:start w:val="1"/>
      <w:numFmt w:val="decimal"/>
      <w:lvlText w:val="%1."/>
      <w:lvlJc w:val="left"/>
      <w:pPr>
        <w:ind w:left="987"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14F11AE3"/>
    <w:multiLevelType w:val="multilevel"/>
    <w:tmpl w:val="14F11AE3"/>
    <w:lvl w:ilvl="0" w:tentative="0">
      <w:start w:val="1"/>
      <w:numFmt w:val="bullet"/>
      <w:lvlText w:val=""/>
      <w:lvlJc w:val="left"/>
      <w:pPr>
        <w:ind w:left="982" w:hanging="420"/>
      </w:pPr>
      <w:rPr>
        <w:rFonts w:hint="default" w:ascii="Wingdings" w:hAnsi="Wingdings"/>
      </w:rPr>
    </w:lvl>
    <w:lvl w:ilvl="1" w:tentative="0">
      <w:start w:val="1"/>
      <w:numFmt w:val="bullet"/>
      <w:lvlText w:val=""/>
      <w:lvlJc w:val="left"/>
      <w:pPr>
        <w:ind w:left="1402" w:hanging="420"/>
      </w:pPr>
      <w:rPr>
        <w:rFonts w:hint="default" w:ascii="Wingdings" w:hAnsi="Wingdings"/>
      </w:rPr>
    </w:lvl>
    <w:lvl w:ilvl="2" w:tentative="0">
      <w:start w:val="1"/>
      <w:numFmt w:val="bullet"/>
      <w:lvlText w:val=""/>
      <w:lvlJc w:val="left"/>
      <w:pPr>
        <w:ind w:left="1822" w:hanging="420"/>
      </w:pPr>
      <w:rPr>
        <w:rFonts w:hint="default" w:ascii="Wingdings" w:hAnsi="Wingdings"/>
      </w:rPr>
    </w:lvl>
    <w:lvl w:ilvl="3" w:tentative="0">
      <w:start w:val="1"/>
      <w:numFmt w:val="bullet"/>
      <w:lvlText w:val=""/>
      <w:lvlJc w:val="left"/>
      <w:pPr>
        <w:ind w:left="2242" w:hanging="420"/>
      </w:pPr>
      <w:rPr>
        <w:rFonts w:hint="default" w:ascii="Wingdings" w:hAnsi="Wingdings"/>
      </w:rPr>
    </w:lvl>
    <w:lvl w:ilvl="4" w:tentative="0">
      <w:start w:val="1"/>
      <w:numFmt w:val="bullet"/>
      <w:lvlText w:val=""/>
      <w:lvlJc w:val="left"/>
      <w:pPr>
        <w:ind w:left="2662" w:hanging="420"/>
      </w:pPr>
      <w:rPr>
        <w:rFonts w:hint="default" w:ascii="Wingdings" w:hAnsi="Wingdings"/>
      </w:rPr>
    </w:lvl>
    <w:lvl w:ilvl="5" w:tentative="0">
      <w:start w:val="1"/>
      <w:numFmt w:val="bullet"/>
      <w:lvlText w:val=""/>
      <w:lvlJc w:val="left"/>
      <w:pPr>
        <w:ind w:left="3082" w:hanging="420"/>
      </w:pPr>
      <w:rPr>
        <w:rFonts w:hint="default" w:ascii="Wingdings" w:hAnsi="Wingdings"/>
      </w:rPr>
    </w:lvl>
    <w:lvl w:ilvl="6" w:tentative="0">
      <w:start w:val="1"/>
      <w:numFmt w:val="bullet"/>
      <w:lvlText w:val=""/>
      <w:lvlJc w:val="left"/>
      <w:pPr>
        <w:ind w:left="3502" w:hanging="420"/>
      </w:pPr>
      <w:rPr>
        <w:rFonts w:hint="default" w:ascii="Wingdings" w:hAnsi="Wingdings"/>
      </w:rPr>
    </w:lvl>
    <w:lvl w:ilvl="7" w:tentative="0">
      <w:start w:val="1"/>
      <w:numFmt w:val="bullet"/>
      <w:lvlText w:val=""/>
      <w:lvlJc w:val="left"/>
      <w:pPr>
        <w:ind w:left="3922" w:hanging="420"/>
      </w:pPr>
      <w:rPr>
        <w:rFonts w:hint="default" w:ascii="Wingdings" w:hAnsi="Wingdings"/>
      </w:rPr>
    </w:lvl>
    <w:lvl w:ilvl="8" w:tentative="0">
      <w:start w:val="1"/>
      <w:numFmt w:val="bullet"/>
      <w:lvlText w:val=""/>
      <w:lvlJc w:val="left"/>
      <w:pPr>
        <w:ind w:left="4342" w:hanging="420"/>
      </w:pPr>
      <w:rPr>
        <w:rFonts w:hint="default" w:ascii="Wingdings" w:hAnsi="Wingdings"/>
      </w:rPr>
    </w:lvl>
  </w:abstractNum>
  <w:abstractNum w:abstractNumId="4">
    <w:nsid w:val="371C35A0"/>
    <w:multiLevelType w:val="singleLevel"/>
    <w:tmpl w:val="371C35A0"/>
    <w:lvl w:ilvl="0" w:tentative="0">
      <w:start w:val="2"/>
      <w:numFmt w:val="decimal"/>
      <w:suff w:val="nothing"/>
      <w:lvlText w:val="%1）"/>
      <w:lvlJc w:val="left"/>
    </w:lvl>
  </w:abstractNum>
  <w:abstractNum w:abstractNumId="5">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6">
    <w:nsid w:val="6243EDEA"/>
    <w:multiLevelType w:val="singleLevel"/>
    <w:tmpl w:val="6243EDEA"/>
    <w:lvl w:ilvl="0" w:tentative="0">
      <w:start w:val="4"/>
      <w:numFmt w:val="chineseCounting"/>
      <w:suff w:val="nothing"/>
      <w:lvlText w:val="（%1）"/>
      <w:lvlJc w:val="left"/>
      <w:rPr>
        <w:rFonts w:hint="eastAsia"/>
      </w:rPr>
    </w:lvl>
  </w:abstractNum>
  <w:abstractNum w:abstractNumId="7">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906362E"/>
    <w:multiLevelType w:val="multilevel"/>
    <w:tmpl w:val="7906362E"/>
    <w:lvl w:ilvl="0" w:tentative="0">
      <w:start w:val="1"/>
      <w:numFmt w:val="upperLetter"/>
      <w:pStyle w:val="2"/>
      <w:lvlText w:val="%1．"/>
      <w:lvlJc w:val="left"/>
      <w:pPr>
        <w:tabs>
          <w:tab w:val="left" w:pos="720"/>
        </w:tabs>
        <w:ind w:left="720" w:hanging="720"/>
      </w:pPr>
      <w:rPr>
        <w:rFonts w:hint="eastAsia"/>
      </w:rPr>
    </w:lvl>
    <w:lvl w:ilvl="1" w:tentative="0">
      <w:start w:val="1"/>
      <w:numFmt w:val="japaneseCounting"/>
      <w:lvlText w:val="（%2）"/>
      <w:lvlJc w:val="left"/>
      <w:pPr>
        <w:tabs>
          <w:tab w:val="left" w:pos="1275"/>
        </w:tabs>
        <w:ind w:left="1275" w:hanging="855"/>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8"/>
  </w:num>
  <w:num w:numId="2">
    <w:abstractNumId w:val="7"/>
  </w:num>
  <w:num w:numId="3">
    <w:abstractNumId w:val="1"/>
  </w:num>
  <w:num w:numId="4">
    <w:abstractNumId w:val="5"/>
  </w:num>
  <w:num w:numId="5">
    <w:abstractNumId w:val="3"/>
  </w:num>
  <w:num w:numId="6">
    <w:abstractNumId w:val="2"/>
  </w:num>
  <w:num w:numId="7">
    <w:abstractNumId w:val="4"/>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HorizontalSpacing w:val="24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2ZjVlM2VmNjAwMmNmMzg0MTcxOTI1ODA5M2MyOGEifQ=="/>
  </w:docVars>
  <w:rsids>
    <w:rsidRoot w:val="00A86DFA"/>
    <w:rsid w:val="0000261B"/>
    <w:rsid w:val="000035BF"/>
    <w:rsid w:val="00025D2D"/>
    <w:rsid w:val="00026228"/>
    <w:rsid w:val="00026609"/>
    <w:rsid w:val="00033A4F"/>
    <w:rsid w:val="00052244"/>
    <w:rsid w:val="00053C10"/>
    <w:rsid w:val="00054887"/>
    <w:rsid w:val="00061812"/>
    <w:rsid w:val="00070B44"/>
    <w:rsid w:val="00072076"/>
    <w:rsid w:val="000744E6"/>
    <w:rsid w:val="00074972"/>
    <w:rsid w:val="000800BD"/>
    <w:rsid w:val="00085F80"/>
    <w:rsid w:val="000924FF"/>
    <w:rsid w:val="000929DD"/>
    <w:rsid w:val="0009314F"/>
    <w:rsid w:val="00093220"/>
    <w:rsid w:val="000A47F5"/>
    <w:rsid w:val="000A4CD4"/>
    <w:rsid w:val="000A5083"/>
    <w:rsid w:val="000A67B1"/>
    <w:rsid w:val="000A6834"/>
    <w:rsid w:val="000B32FD"/>
    <w:rsid w:val="000B4167"/>
    <w:rsid w:val="000B71A5"/>
    <w:rsid w:val="000C3F98"/>
    <w:rsid w:val="000D24B4"/>
    <w:rsid w:val="000D27B3"/>
    <w:rsid w:val="000D4E49"/>
    <w:rsid w:val="000E1069"/>
    <w:rsid w:val="000F239A"/>
    <w:rsid w:val="000F2F51"/>
    <w:rsid w:val="000F5FEC"/>
    <w:rsid w:val="000F615A"/>
    <w:rsid w:val="000F640C"/>
    <w:rsid w:val="000F76A1"/>
    <w:rsid w:val="00104FF9"/>
    <w:rsid w:val="00111384"/>
    <w:rsid w:val="00123776"/>
    <w:rsid w:val="00123A0D"/>
    <w:rsid w:val="00123EE9"/>
    <w:rsid w:val="00123EF7"/>
    <w:rsid w:val="0012488A"/>
    <w:rsid w:val="00126C94"/>
    <w:rsid w:val="00134C60"/>
    <w:rsid w:val="0013511D"/>
    <w:rsid w:val="00136B5C"/>
    <w:rsid w:val="001374A1"/>
    <w:rsid w:val="001414E8"/>
    <w:rsid w:val="00144B0B"/>
    <w:rsid w:val="00146331"/>
    <w:rsid w:val="001473C9"/>
    <w:rsid w:val="0014782F"/>
    <w:rsid w:val="00150704"/>
    <w:rsid w:val="00151FCB"/>
    <w:rsid w:val="001540AB"/>
    <w:rsid w:val="001570AA"/>
    <w:rsid w:val="00157F7A"/>
    <w:rsid w:val="0016418C"/>
    <w:rsid w:val="00171B07"/>
    <w:rsid w:val="00177722"/>
    <w:rsid w:val="00181410"/>
    <w:rsid w:val="00191657"/>
    <w:rsid w:val="00195313"/>
    <w:rsid w:val="001970F7"/>
    <w:rsid w:val="001B1AE2"/>
    <w:rsid w:val="001B2360"/>
    <w:rsid w:val="001B3AFB"/>
    <w:rsid w:val="001B4BA6"/>
    <w:rsid w:val="001B6291"/>
    <w:rsid w:val="001C078A"/>
    <w:rsid w:val="001C25E5"/>
    <w:rsid w:val="001D0B96"/>
    <w:rsid w:val="001D584D"/>
    <w:rsid w:val="001D5C93"/>
    <w:rsid w:val="001E1169"/>
    <w:rsid w:val="001F0189"/>
    <w:rsid w:val="001F14A7"/>
    <w:rsid w:val="001F2EFB"/>
    <w:rsid w:val="001F4B24"/>
    <w:rsid w:val="001F66FC"/>
    <w:rsid w:val="001F7D53"/>
    <w:rsid w:val="00202A32"/>
    <w:rsid w:val="00202E52"/>
    <w:rsid w:val="002033C2"/>
    <w:rsid w:val="00203555"/>
    <w:rsid w:val="00204D34"/>
    <w:rsid w:val="00206EB2"/>
    <w:rsid w:val="00207644"/>
    <w:rsid w:val="00211A78"/>
    <w:rsid w:val="00211E9F"/>
    <w:rsid w:val="002165D2"/>
    <w:rsid w:val="0021761C"/>
    <w:rsid w:val="00226312"/>
    <w:rsid w:val="00230D09"/>
    <w:rsid w:val="002321A9"/>
    <w:rsid w:val="00232C73"/>
    <w:rsid w:val="00235851"/>
    <w:rsid w:val="0024624A"/>
    <w:rsid w:val="00246A8D"/>
    <w:rsid w:val="00251653"/>
    <w:rsid w:val="00256EB7"/>
    <w:rsid w:val="00262A88"/>
    <w:rsid w:val="00263FC8"/>
    <w:rsid w:val="00273576"/>
    <w:rsid w:val="00283CFB"/>
    <w:rsid w:val="002861A1"/>
    <w:rsid w:val="00287543"/>
    <w:rsid w:val="00292C64"/>
    <w:rsid w:val="0029332A"/>
    <w:rsid w:val="002942B0"/>
    <w:rsid w:val="002A554C"/>
    <w:rsid w:val="002B2649"/>
    <w:rsid w:val="002B3FDF"/>
    <w:rsid w:val="002B4657"/>
    <w:rsid w:val="002B5B75"/>
    <w:rsid w:val="002B6922"/>
    <w:rsid w:val="002C02C3"/>
    <w:rsid w:val="002C3804"/>
    <w:rsid w:val="002C3ABF"/>
    <w:rsid w:val="002D015A"/>
    <w:rsid w:val="002D3608"/>
    <w:rsid w:val="002D37CB"/>
    <w:rsid w:val="002D3CAD"/>
    <w:rsid w:val="002D7487"/>
    <w:rsid w:val="002E1F2B"/>
    <w:rsid w:val="002E26AE"/>
    <w:rsid w:val="002E7495"/>
    <w:rsid w:val="002F113D"/>
    <w:rsid w:val="002F17AE"/>
    <w:rsid w:val="002F3339"/>
    <w:rsid w:val="002F683C"/>
    <w:rsid w:val="00304EDB"/>
    <w:rsid w:val="00310547"/>
    <w:rsid w:val="00312997"/>
    <w:rsid w:val="00330CBD"/>
    <w:rsid w:val="00334966"/>
    <w:rsid w:val="00334BF4"/>
    <w:rsid w:val="00354BFF"/>
    <w:rsid w:val="0035670B"/>
    <w:rsid w:val="00361213"/>
    <w:rsid w:val="003624DC"/>
    <w:rsid w:val="00364401"/>
    <w:rsid w:val="00370359"/>
    <w:rsid w:val="003726D0"/>
    <w:rsid w:val="00382993"/>
    <w:rsid w:val="00391D6F"/>
    <w:rsid w:val="00393E63"/>
    <w:rsid w:val="003A107D"/>
    <w:rsid w:val="003A1485"/>
    <w:rsid w:val="003A243E"/>
    <w:rsid w:val="003B671A"/>
    <w:rsid w:val="003C2DBB"/>
    <w:rsid w:val="003C313E"/>
    <w:rsid w:val="003C484E"/>
    <w:rsid w:val="003C5C4D"/>
    <w:rsid w:val="003D023D"/>
    <w:rsid w:val="003D6121"/>
    <w:rsid w:val="003E0F06"/>
    <w:rsid w:val="003E27DF"/>
    <w:rsid w:val="003E65DF"/>
    <w:rsid w:val="003F0460"/>
    <w:rsid w:val="003F1956"/>
    <w:rsid w:val="003F512D"/>
    <w:rsid w:val="003F544A"/>
    <w:rsid w:val="00403E88"/>
    <w:rsid w:val="00410DE5"/>
    <w:rsid w:val="004124C4"/>
    <w:rsid w:val="00422F69"/>
    <w:rsid w:val="00424E1D"/>
    <w:rsid w:val="00427951"/>
    <w:rsid w:val="00430001"/>
    <w:rsid w:val="004322E9"/>
    <w:rsid w:val="00435DBA"/>
    <w:rsid w:val="00437B92"/>
    <w:rsid w:val="00445EAE"/>
    <w:rsid w:val="004465D8"/>
    <w:rsid w:val="00446802"/>
    <w:rsid w:val="0047013E"/>
    <w:rsid w:val="004706AD"/>
    <w:rsid w:val="00474E12"/>
    <w:rsid w:val="00475BF9"/>
    <w:rsid w:val="00480664"/>
    <w:rsid w:val="0048307F"/>
    <w:rsid w:val="00486B68"/>
    <w:rsid w:val="004873DC"/>
    <w:rsid w:val="00492E2C"/>
    <w:rsid w:val="004A2C77"/>
    <w:rsid w:val="004A7786"/>
    <w:rsid w:val="004B16D1"/>
    <w:rsid w:val="004B1C93"/>
    <w:rsid w:val="004B6870"/>
    <w:rsid w:val="004C5F75"/>
    <w:rsid w:val="004D3BB7"/>
    <w:rsid w:val="004D6C9D"/>
    <w:rsid w:val="004E1A24"/>
    <w:rsid w:val="004E293A"/>
    <w:rsid w:val="004F0743"/>
    <w:rsid w:val="004F250A"/>
    <w:rsid w:val="004F276F"/>
    <w:rsid w:val="004F5F47"/>
    <w:rsid w:val="004F6EE1"/>
    <w:rsid w:val="00503552"/>
    <w:rsid w:val="00503BBF"/>
    <w:rsid w:val="00505BF5"/>
    <w:rsid w:val="005062BF"/>
    <w:rsid w:val="00506B32"/>
    <w:rsid w:val="005167E1"/>
    <w:rsid w:val="00520A08"/>
    <w:rsid w:val="00524F32"/>
    <w:rsid w:val="00525430"/>
    <w:rsid w:val="0052546F"/>
    <w:rsid w:val="005256F1"/>
    <w:rsid w:val="0052661F"/>
    <w:rsid w:val="00527DF2"/>
    <w:rsid w:val="00530094"/>
    <w:rsid w:val="00530D89"/>
    <w:rsid w:val="00531EC3"/>
    <w:rsid w:val="00541729"/>
    <w:rsid w:val="00541FC8"/>
    <w:rsid w:val="005424B1"/>
    <w:rsid w:val="005434CC"/>
    <w:rsid w:val="005452B6"/>
    <w:rsid w:val="00551780"/>
    <w:rsid w:val="005551C6"/>
    <w:rsid w:val="00555DB2"/>
    <w:rsid w:val="00555DD2"/>
    <w:rsid w:val="0056070D"/>
    <w:rsid w:val="005638B9"/>
    <w:rsid w:val="00564D86"/>
    <w:rsid w:val="005662A0"/>
    <w:rsid w:val="00570C05"/>
    <w:rsid w:val="0057517C"/>
    <w:rsid w:val="00576285"/>
    <w:rsid w:val="00576619"/>
    <w:rsid w:val="00580FD5"/>
    <w:rsid w:val="00581372"/>
    <w:rsid w:val="00582885"/>
    <w:rsid w:val="0058294B"/>
    <w:rsid w:val="00586573"/>
    <w:rsid w:val="00586D94"/>
    <w:rsid w:val="00590F7C"/>
    <w:rsid w:val="005917BB"/>
    <w:rsid w:val="00593376"/>
    <w:rsid w:val="00593424"/>
    <w:rsid w:val="005A0536"/>
    <w:rsid w:val="005A79D0"/>
    <w:rsid w:val="005B1607"/>
    <w:rsid w:val="005B43B8"/>
    <w:rsid w:val="005C6151"/>
    <w:rsid w:val="005E1306"/>
    <w:rsid w:val="005E28EC"/>
    <w:rsid w:val="005E359F"/>
    <w:rsid w:val="005E7CBD"/>
    <w:rsid w:val="005F68E3"/>
    <w:rsid w:val="005F7451"/>
    <w:rsid w:val="00601870"/>
    <w:rsid w:val="006129A4"/>
    <w:rsid w:val="006211FE"/>
    <w:rsid w:val="00623376"/>
    <w:rsid w:val="006234C5"/>
    <w:rsid w:val="00624944"/>
    <w:rsid w:val="00625CD8"/>
    <w:rsid w:val="00635620"/>
    <w:rsid w:val="00642550"/>
    <w:rsid w:val="00645765"/>
    <w:rsid w:val="00645F58"/>
    <w:rsid w:val="006508C1"/>
    <w:rsid w:val="0065277F"/>
    <w:rsid w:val="00654100"/>
    <w:rsid w:val="00656EC6"/>
    <w:rsid w:val="00662934"/>
    <w:rsid w:val="006633E1"/>
    <w:rsid w:val="0067101A"/>
    <w:rsid w:val="00680D4E"/>
    <w:rsid w:val="006824AD"/>
    <w:rsid w:val="00692246"/>
    <w:rsid w:val="006A0192"/>
    <w:rsid w:val="006A0924"/>
    <w:rsid w:val="006A6388"/>
    <w:rsid w:val="006A6565"/>
    <w:rsid w:val="006B4C36"/>
    <w:rsid w:val="006C1DDD"/>
    <w:rsid w:val="006C364C"/>
    <w:rsid w:val="006C5F40"/>
    <w:rsid w:val="006E2EA6"/>
    <w:rsid w:val="006E3FCB"/>
    <w:rsid w:val="006E74D2"/>
    <w:rsid w:val="007019C7"/>
    <w:rsid w:val="00701B76"/>
    <w:rsid w:val="0071086A"/>
    <w:rsid w:val="00711355"/>
    <w:rsid w:val="007125F6"/>
    <w:rsid w:val="0071288A"/>
    <w:rsid w:val="00716D79"/>
    <w:rsid w:val="007208D6"/>
    <w:rsid w:val="00721EC6"/>
    <w:rsid w:val="00723242"/>
    <w:rsid w:val="0072324A"/>
    <w:rsid w:val="00724488"/>
    <w:rsid w:val="0072717D"/>
    <w:rsid w:val="0072772B"/>
    <w:rsid w:val="00734080"/>
    <w:rsid w:val="00736B72"/>
    <w:rsid w:val="0074010A"/>
    <w:rsid w:val="00742E22"/>
    <w:rsid w:val="00744C01"/>
    <w:rsid w:val="00745EEF"/>
    <w:rsid w:val="00752A4C"/>
    <w:rsid w:val="00752DF7"/>
    <w:rsid w:val="00753CB7"/>
    <w:rsid w:val="00766AF0"/>
    <w:rsid w:val="00766C44"/>
    <w:rsid w:val="00766CF1"/>
    <w:rsid w:val="00767079"/>
    <w:rsid w:val="00770A07"/>
    <w:rsid w:val="0077120B"/>
    <w:rsid w:val="00771E24"/>
    <w:rsid w:val="00772E7F"/>
    <w:rsid w:val="00773973"/>
    <w:rsid w:val="007805C3"/>
    <w:rsid w:val="007825DD"/>
    <w:rsid w:val="007A08C9"/>
    <w:rsid w:val="007A27F8"/>
    <w:rsid w:val="007A61D6"/>
    <w:rsid w:val="007B1512"/>
    <w:rsid w:val="007B36FF"/>
    <w:rsid w:val="007B674A"/>
    <w:rsid w:val="007B7236"/>
    <w:rsid w:val="007C28EA"/>
    <w:rsid w:val="007C3005"/>
    <w:rsid w:val="007C36F2"/>
    <w:rsid w:val="007C5A56"/>
    <w:rsid w:val="007D235D"/>
    <w:rsid w:val="007D66D4"/>
    <w:rsid w:val="007D7A6F"/>
    <w:rsid w:val="007E72DA"/>
    <w:rsid w:val="007F1AC6"/>
    <w:rsid w:val="007F6AC6"/>
    <w:rsid w:val="00800EB8"/>
    <w:rsid w:val="00803ADE"/>
    <w:rsid w:val="00805999"/>
    <w:rsid w:val="00806BBF"/>
    <w:rsid w:val="00810B19"/>
    <w:rsid w:val="0081337A"/>
    <w:rsid w:val="00831A9E"/>
    <w:rsid w:val="00833F5C"/>
    <w:rsid w:val="00835B0C"/>
    <w:rsid w:val="00835E64"/>
    <w:rsid w:val="00837560"/>
    <w:rsid w:val="0084172D"/>
    <w:rsid w:val="00842692"/>
    <w:rsid w:val="00846344"/>
    <w:rsid w:val="00846594"/>
    <w:rsid w:val="00860BE9"/>
    <w:rsid w:val="00861CF2"/>
    <w:rsid w:val="00861D1E"/>
    <w:rsid w:val="008635A7"/>
    <w:rsid w:val="00863D12"/>
    <w:rsid w:val="0087167E"/>
    <w:rsid w:val="00872EF6"/>
    <w:rsid w:val="0087472F"/>
    <w:rsid w:val="00876CAC"/>
    <w:rsid w:val="008850E8"/>
    <w:rsid w:val="008869AB"/>
    <w:rsid w:val="00887E52"/>
    <w:rsid w:val="00887F19"/>
    <w:rsid w:val="00891731"/>
    <w:rsid w:val="00893298"/>
    <w:rsid w:val="00895EAB"/>
    <w:rsid w:val="00896A2D"/>
    <w:rsid w:val="0089762F"/>
    <w:rsid w:val="008A4B5C"/>
    <w:rsid w:val="008A5F3D"/>
    <w:rsid w:val="008B052A"/>
    <w:rsid w:val="008B2AAE"/>
    <w:rsid w:val="008B58C6"/>
    <w:rsid w:val="008B7058"/>
    <w:rsid w:val="008C0100"/>
    <w:rsid w:val="008C1ED1"/>
    <w:rsid w:val="008C3777"/>
    <w:rsid w:val="008C38A8"/>
    <w:rsid w:val="008C797F"/>
    <w:rsid w:val="008D1C20"/>
    <w:rsid w:val="008D370B"/>
    <w:rsid w:val="008D5406"/>
    <w:rsid w:val="008D5BA2"/>
    <w:rsid w:val="008D5BD9"/>
    <w:rsid w:val="008E35E0"/>
    <w:rsid w:val="008E76DF"/>
    <w:rsid w:val="008F09C2"/>
    <w:rsid w:val="00905134"/>
    <w:rsid w:val="00905936"/>
    <w:rsid w:val="00910D97"/>
    <w:rsid w:val="0091507B"/>
    <w:rsid w:val="00920E53"/>
    <w:rsid w:val="009250F2"/>
    <w:rsid w:val="00926367"/>
    <w:rsid w:val="009330A6"/>
    <w:rsid w:val="00934EBE"/>
    <w:rsid w:val="009369F0"/>
    <w:rsid w:val="00936D15"/>
    <w:rsid w:val="00936D51"/>
    <w:rsid w:val="0094360E"/>
    <w:rsid w:val="00946BE9"/>
    <w:rsid w:val="009572A9"/>
    <w:rsid w:val="009575B3"/>
    <w:rsid w:val="00957F97"/>
    <w:rsid w:val="009604D8"/>
    <w:rsid w:val="009626BC"/>
    <w:rsid w:val="00964F7F"/>
    <w:rsid w:val="00967D80"/>
    <w:rsid w:val="00985692"/>
    <w:rsid w:val="0098577C"/>
    <w:rsid w:val="00987EA7"/>
    <w:rsid w:val="00990525"/>
    <w:rsid w:val="009A2E30"/>
    <w:rsid w:val="009A550D"/>
    <w:rsid w:val="009B7BA2"/>
    <w:rsid w:val="009D1EA2"/>
    <w:rsid w:val="009D5545"/>
    <w:rsid w:val="009D6513"/>
    <w:rsid w:val="009D71B7"/>
    <w:rsid w:val="009E058E"/>
    <w:rsid w:val="009E12D2"/>
    <w:rsid w:val="009E2E2E"/>
    <w:rsid w:val="009E410B"/>
    <w:rsid w:val="009F4456"/>
    <w:rsid w:val="00A02A15"/>
    <w:rsid w:val="00A03536"/>
    <w:rsid w:val="00A05F24"/>
    <w:rsid w:val="00A11A46"/>
    <w:rsid w:val="00A12B37"/>
    <w:rsid w:val="00A1388E"/>
    <w:rsid w:val="00A16261"/>
    <w:rsid w:val="00A204EC"/>
    <w:rsid w:val="00A24B27"/>
    <w:rsid w:val="00A26F9A"/>
    <w:rsid w:val="00A337FA"/>
    <w:rsid w:val="00A3478C"/>
    <w:rsid w:val="00A362F5"/>
    <w:rsid w:val="00A37684"/>
    <w:rsid w:val="00A37D2C"/>
    <w:rsid w:val="00A4401A"/>
    <w:rsid w:val="00A52AC4"/>
    <w:rsid w:val="00A558A9"/>
    <w:rsid w:val="00A60A06"/>
    <w:rsid w:val="00A62E53"/>
    <w:rsid w:val="00A65319"/>
    <w:rsid w:val="00A73F66"/>
    <w:rsid w:val="00A831F3"/>
    <w:rsid w:val="00A83FCF"/>
    <w:rsid w:val="00A864C6"/>
    <w:rsid w:val="00A86DFA"/>
    <w:rsid w:val="00A930E6"/>
    <w:rsid w:val="00AA0255"/>
    <w:rsid w:val="00AA0768"/>
    <w:rsid w:val="00AA14C4"/>
    <w:rsid w:val="00AA1904"/>
    <w:rsid w:val="00AA374F"/>
    <w:rsid w:val="00AA61FC"/>
    <w:rsid w:val="00AB0703"/>
    <w:rsid w:val="00AB575D"/>
    <w:rsid w:val="00AB6624"/>
    <w:rsid w:val="00AB7EA4"/>
    <w:rsid w:val="00AC1183"/>
    <w:rsid w:val="00AC30F4"/>
    <w:rsid w:val="00AC5A05"/>
    <w:rsid w:val="00AC661C"/>
    <w:rsid w:val="00AE4736"/>
    <w:rsid w:val="00AE4CBC"/>
    <w:rsid w:val="00AE6202"/>
    <w:rsid w:val="00AE6A85"/>
    <w:rsid w:val="00AE6BA8"/>
    <w:rsid w:val="00AF321A"/>
    <w:rsid w:val="00AF4CFE"/>
    <w:rsid w:val="00AF711A"/>
    <w:rsid w:val="00B01189"/>
    <w:rsid w:val="00B05907"/>
    <w:rsid w:val="00B12BEF"/>
    <w:rsid w:val="00B13929"/>
    <w:rsid w:val="00B15F3E"/>
    <w:rsid w:val="00B20A00"/>
    <w:rsid w:val="00B218F0"/>
    <w:rsid w:val="00B230A9"/>
    <w:rsid w:val="00B3114F"/>
    <w:rsid w:val="00B31707"/>
    <w:rsid w:val="00B35157"/>
    <w:rsid w:val="00B46B0D"/>
    <w:rsid w:val="00B4798A"/>
    <w:rsid w:val="00B523BC"/>
    <w:rsid w:val="00B5521F"/>
    <w:rsid w:val="00B55F74"/>
    <w:rsid w:val="00B65674"/>
    <w:rsid w:val="00B670CD"/>
    <w:rsid w:val="00B748CB"/>
    <w:rsid w:val="00B764E1"/>
    <w:rsid w:val="00B7683B"/>
    <w:rsid w:val="00B80F95"/>
    <w:rsid w:val="00B819EA"/>
    <w:rsid w:val="00B82DAB"/>
    <w:rsid w:val="00B83497"/>
    <w:rsid w:val="00B83EB3"/>
    <w:rsid w:val="00B95572"/>
    <w:rsid w:val="00BB178C"/>
    <w:rsid w:val="00BB44AF"/>
    <w:rsid w:val="00BB4D07"/>
    <w:rsid w:val="00BB6731"/>
    <w:rsid w:val="00BC5EA4"/>
    <w:rsid w:val="00BC6849"/>
    <w:rsid w:val="00BC6EDC"/>
    <w:rsid w:val="00BE000D"/>
    <w:rsid w:val="00BE15DB"/>
    <w:rsid w:val="00BF0453"/>
    <w:rsid w:val="00BF21A6"/>
    <w:rsid w:val="00BF46B4"/>
    <w:rsid w:val="00BF6BA7"/>
    <w:rsid w:val="00C146F6"/>
    <w:rsid w:val="00C22E0B"/>
    <w:rsid w:val="00C248F9"/>
    <w:rsid w:val="00C27A00"/>
    <w:rsid w:val="00C3128C"/>
    <w:rsid w:val="00C35947"/>
    <w:rsid w:val="00C37DEA"/>
    <w:rsid w:val="00C43340"/>
    <w:rsid w:val="00C477CC"/>
    <w:rsid w:val="00C501A1"/>
    <w:rsid w:val="00C504FA"/>
    <w:rsid w:val="00C50675"/>
    <w:rsid w:val="00C50E73"/>
    <w:rsid w:val="00C60DD9"/>
    <w:rsid w:val="00C60EC1"/>
    <w:rsid w:val="00C64245"/>
    <w:rsid w:val="00C67765"/>
    <w:rsid w:val="00C67995"/>
    <w:rsid w:val="00C70FA0"/>
    <w:rsid w:val="00C71E25"/>
    <w:rsid w:val="00C76209"/>
    <w:rsid w:val="00C77A8F"/>
    <w:rsid w:val="00C77B3C"/>
    <w:rsid w:val="00C8040A"/>
    <w:rsid w:val="00C80498"/>
    <w:rsid w:val="00C81828"/>
    <w:rsid w:val="00C818C9"/>
    <w:rsid w:val="00C8441E"/>
    <w:rsid w:val="00C900F8"/>
    <w:rsid w:val="00C95785"/>
    <w:rsid w:val="00CA6145"/>
    <w:rsid w:val="00CB390E"/>
    <w:rsid w:val="00CB3AA4"/>
    <w:rsid w:val="00CC0C1B"/>
    <w:rsid w:val="00CC0E97"/>
    <w:rsid w:val="00CC2915"/>
    <w:rsid w:val="00CC513D"/>
    <w:rsid w:val="00CC5B95"/>
    <w:rsid w:val="00CD3451"/>
    <w:rsid w:val="00CD3860"/>
    <w:rsid w:val="00CD3D21"/>
    <w:rsid w:val="00CD449C"/>
    <w:rsid w:val="00CD78E6"/>
    <w:rsid w:val="00CE08A5"/>
    <w:rsid w:val="00CE23D5"/>
    <w:rsid w:val="00CE4462"/>
    <w:rsid w:val="00CE6516"/>
    <w:rsid w:val="00CF464A"/>
    <w:rsid w:val="00CF5040"/>
    <w:rsid w:val="00D04F35"/>
    <w:rsid w:val="00D112F8"/>
    <w:rsid w:val="00D11A06"/>
    <w:rsid w:val="00D154F1"/>
    <w:rsid w:val="00D17DA0"/>
    <w:rsid w:val="00D2244D"/>
    <w:rsid w:val="00D22778"/>
    <w:rsid w:val="00D30E8B"/>
    <w:rsid w:val="00D319AF"/>
    <w:rsid w:val="00D31FED"/>
    <w:rsid w:val="00D3576D"/>
    <w:rsid w:val="00D35775"/>
    <w:rsid w:val="00D43622"/>
    <w:rsid w:val="00D459A5"/>
    <w:rsid w:val="00D63CF5"/>
    <w:rsid w:val="00D63F43"/>
    <w:rsid w:val="00D66521"/>
    <w:rsid w:val="00D714F5"/>
    <w:rsid w:val="00D72292"/>
    <w:rsid w:val="00D72846"/>
    <w:rsid w:val="00D80E94"/>
    <w:rsid w:val="00D829B8"/>
    <w:rsid w:val="00D87845"/>
    <w:rsid w:val="00D878D5"/>
    <w:rsid w:val="00D93895"/>
    <w:rsid w:val="00D9496E"/>
    <w:rsid w:val="00DA388A"/>
    <w:rsid w:val="00DA5B99"/>
    <w:rsid w:val="00DA685A"/>
    <w:rsid w:val="00DB15BE"/>
    <w:rsid w:val="00DB49D0"/>
    <w:rsid w:val="00DB53CD"/>
    <w:rsid w:val="00DC0DC5"/>
    <w:rsid w:val="00DC3A0A"/>
    <w:rsid w:val="00DC566A"/>
    <w:rsid w:val="00DD44BD"/>
    <w:rsid w:val="00DE15EC"/>
    <w:rsid w:val="00DE20EB"/>
    <w:rsid w:val="00DE3187"/>
    <w:rsid w:val="00DE3C2A"/>
    <w:rsid w:val="00DE5F86"/>
    <w:rsid w:val="00DE7E7B"/>
    <w:rsid w:val="00DF1F6E"/>
    <w:rsid w:val="00DF3D2A"/>
    <w:rsid w:val="00DF4727"/>
    <w:rsid w:val="00DF5559"/>
    <w:rsid w:val="00E0026A"/>
    <w:rsid w:val="00E00E85"/>
    <w:rsid w:val="00E0118C"/>
    <w:rsid w:val="00E02248"/>
    <w:rsid w:val="00E02D46"/>
    <w:rsid w:val="00E10D6E"/>
    <w:rsid w:val="00E111B9"/>
    <w:rsid w:val="00E12999"/>
    <w:rsid w:val="00E21B96"/>
    <w:rsid w:val="00E2648C"/>
    <w:rsid w:val="00E3261A"/>
    <w:rsid w:val="00E41C7C"/>
    <w:rsid w:val="00E5156A"/>
    <w:rsid w:val="00E53394"/>
    <w:rsid w:val="00E543A5"/>
    <w:rsid w:val="00E62276"/>
    <w:rsid w:val="00E66EC8"/>
    <w:rsid w:val="00E67C5B"/>
    <w:rsid w:val="00E75CF8"/>
    <w:rsid w:val="00E80CEE"/>
    <w:rsid w:val="00E820E3"/>
    <w:rsid w:val="00E846E7"/>
    <w:rsid w:val="00E84DF8"/>
    <w:rsid w:val="00E90EB1"/>
    <w:rsid w:val="00E91F99"/>
    <w:rsid w:val="00E947AE"/>
    <w:rsid w:val="00E967FB"/>
    <w:rsid w:val="00EA1D38"/>
    <w:rsid w:val="00EA5E28"/>
    <w:rsid w:val="00EA6257"/>
    <w:rsid w:val="00EB32DA"/>
    <w:rsid w:val="00EB3D78"/>
    <w:rsid w:val="00EC19A5"/>
    <w:rsid w:val="00ED20F4"/>
    <w:rsid w:val="00ED4C69"/>
    <w:rsid w:val="00EE6144"/>
    <w:rsid w:val="00EE7E98"/>
    <w:rsid w:val="00EF40DB"/>
    <w:rsid w:val="00EF506D"/>
    <w:rsid w:val="00EF59C9"/>
    <w:rsid w:val="00EF7C82"/>
    <w:rsid w:val="00EF7E32"/>
    <w:rsid w:val="00F02887"/>
    <w:rsid w:val="00F10B4B"/>
    <w:rsid w:val="00F1591E"/>
    <w:rsid w:val="00F16878"/>
    <w:rsid w:val="00F21219"/>
    <w:rsid w:val="00F279E6"/>
    <w:rsid w:val="00F32F89"/>
    <w:rsid w:val="00F34C01"/>
    <w:rsid w:val="00F37DC9"/>
    <w:rsid w:val="00F470DB"/>
    <w:rsid w:val="00F5338B"/>
    <w:rsid w:val="00F56285"/>
    <w:rsid w:val="00F60E70"/>
    <w:rsid w:val="00F631FB"/>
    <w:rsid w:val="00F65C98"/>
    <w:rsid w:val="00F67849"/>
    <w:rsid w:val="00F678C8"/>
    <w:rsid w:val="00F70B1F"/>
    <w:rsid w:val="00F716AC"/>
    <w:rsid w:val="00F7323F"/>
    <w:rsid w:val="00F734EA"/>
    <w:rsid w:val="00F73D55"/>
    <w:rsid w:val="00F7582B"/>
    <w:rsid w:val="00F76D09"/>
    <w:rsid w:val="00F814D6"/>
    <w:rsid w:val="00F85275"/>
    <w:rsid w:val="00F95586"/>
    <w:rsid w:val="00FB4630"/>
    <w:rsid w:val="00FC7D32"/>
    <w:rsid w:val="00FD2858"/>
    <w:rsid w:val="00FD5124"/>
    <w:rsid w:val="00FD7616"/>
    <w:rsid w:val="00FE42C9"/>
    <w:rsid w:val="00FE76B2"/>
    <w:rsid w:val="00FE7F20"/>
    <w:rsid w:val="00FF662C"/>
    <w:rsid w:val="00FF67AF"/>
    <w:rsid w:val="020C4000"/>
    <w:rsid w:val="023F66B6"/>
    <w:rsid w:val="04DD7085"/>
    <w:rsid w:val="057E2D21"/>
    <w:rsid w:val="0B001F6C"/>
    <w:rsid w:val="0BF06105"/>
    <w:rsid w:val="0DEA30BD"/>
    <w:rsid w:val="0E886A8E"/>
    <w:rsid w:val="124D17EC"/>
    <w:rsid w:val="13767488"/>
    <w:rsid w:val="16692AF8"/>
    <w:rsid w:val="1BC00C47"/>
    <w:rsid w:val="1D0B001B"/>
    <w:rsid w:val="21A4270F"/>
    <w:rsid w:val="231A7AA9"/>
    <w:rsid w:val="253B048B"/>
    <w:rsid w:val="2AB00A8A"/>
    <w:rsid w:val="2B6231C6"/>
    <w:rsid w:val="2ED72FC5"/>
    <w:rsid w:val="2F615F40"/>
    <w:rsid w:val="2FC21485"/>
    <w:rsid w:val="2FE349FC"/>
    <w:rsid w:val="31A17F44"/>
    <w:rsid w:val="33AF4B9A"/>
    <w:rsid w:val="346B260B"/>
    <w:rsid w:val="35137983"/>
    <w:rsid w:val="3AD82320"/>
    <w:rsid w:val="3C9E1C4F"/>
    <w:rsid w:val="3DF72BF8"/>
    <w:rsid w:val="3E260B7E"/>
    <w:rsid w:val="3F9D0255"/>
    <w:rsid w:val="3FF03FFB"/>
    <w:rsid w:val="400F2B50"/>
    <w:rsid w:val="40AC1E16"/>
    <w:rsid w:val="40BF06D7"/>
    <w:rsid w:val="41170329"/>
    <w:rsid w:val="413F165A"/>
    <w:rsid w:val="433546FC"/>
    <w:rsid w:val="43B76D86"/>
    <w:rsid w:val="486D4CB1"/>
    <w:rsid w:val="490746D8"/>
    <w:rsid w:val="4A6C1FFC"/>
    <w:rsid w:val="4AC007E9"/>
    <w:rsid w:val="4B4C2FC3"/>
    <w:rsid w:val="4CDA1C53"/>
    <w:rsid w:val="4FCB2C74"/>
    <w:rsid w:val="50C02456"/>
    <w:rsid w:val="53E510C0"/>
    <w:rsid w:val="54407ED1"/>
    <w:rsid w:val="57E91A80"/>
    <w:rsid w:val="5D193B81"/>
    <w:rsid w:val="5D657D7E"/>
    <w:rsid w:val="60141108"/>
    <w:rsid w:val="60AF5DE6"/>
    <w:rsid w:val="6646527B"/>
    <w:rsid w:val="684813B3"/>
    <w:rsid w:val="6DB05FE6"/>
    <w:rsid w:val="6EB0064E"/>
    <w:rsid w:val="6F254099"/>
    <w:rsid w:val="71396572"/>
    <w:rsid w:val="7382360C"/>
    <w:rsid w:val="7674259B"/>
    <w:rsid w:val="78AF300A"/>
    <w:rsid w:val="795E4208"/>
    <w:rsid w:val="79921B32"/>
    <w:rsid w:val="7AFE665E"/>
    <w:rsid w:val="7C817D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0"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0" w:name="footnote reference"/>
    <w:lsdException w:qFormat="1" w:unhideWhenUsed="0" w:uiPriority="99" w:semiHidden="0" w:name="annotation reference"/>
    <w:lsdException w:uiPriority="99" w:name="line number"/>
    <w:lsdException w:qFormat="1" w:unhideWhenUsed="0" w:uiPriority="0" w:semiHidden="0" w:name="page number"/>
    <w:lsdException w:uiPriority="0"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42"/>
    <w:qFormat/>
    <w:uiPriority w:val="0"/>
    <w:pPr>
      <w:keepNext/>
      <w:numPr>
        <w:ilvl w:val="0"/>
        <w:numId w:val="1"/>
      </w:numPr>
      <w:spacing w:line="300" w:lineRule="auto"/>
      <w:jc w:val="both"/>
      <w:outlineLvl w:val="0"/>
    </w:pPr>
    <w:rPr>
      <w:rFonts w:ascii="Arial" w:hAnsi="Arial" w:eastAsia="仿宋_GB2312"/>
      <w:b/>
      <w:sz w:val="28"/>
    </w:rPr>
  </w:style>
  <w:style w:type="paragraph" w:styleId="3">
    <w:name w:val="heading 2"/>
    <w:basedOn w:val="1"/>
    <w:next w:val="1"/>
    <w:link w:val="43"/>
    <w:qFormat/>
    <w:uiPriority w:val="0"/>
    <w:pPr>
      <w:keepNext/>
      <w:numPr>
        <w:ilvl w:val="0"/>
        <w:numId w:val="2"/>
      </w:numPr>
      <w:spacing w:line="300" w:lineRule="auto"/>
      <w:outlineLvl w:val="1"/>
    </w:pPr>
    <w:rPr>
      <w:rFonts w:ascii="Arial" w:hAnsi="Arial" w:eastAsia="仿宋_GB2312"/>
      <w:b/>
      <w:bCs/>
      <w:sz w:val="28"/>
    </w:rPr>
  </w:style>
  <w:style w:type="paragraph" w:styleId="4">
    <w:name w:val="heading 3"/>
    <w:basedOn w:val="1"/>
    <w:next w:val="1"/>
    <w:link w:val="44"/>
    <w:qFormat/>
    <w:uiPriority w:val="0"/>
    <w:pPr>
      <w:keepNext/>
      <w:numPr>
        <w:ilvl w:val="1"/>
        <w:numId w:val="3"/>
      </w:numPr>
      <w:tabs>
        <w:tab w:val="left" w:pos="0"/>
        <w:tab w:val="left" w:pos="1200"/>
        <w:tab w:val="clear" w:pos="1740"/>
      </w:tabs>
      <w:spacing w:line="440" w:lineRule="atLeast"/>
      <w:ind w:left="1320" w:hanging="600"/>
      <w:jc w:val="both"/>
      <w:outlineLvl w:val="2"/>
    </w:pPr>
    <w:rPr>
      <w:rFonts w:ascii="仿宋_GB2312" w:hAnsi="Arial" w:eastAsia="仿宋_GB2312"/>
      <w:sz w:val="28"/>
    </w:rPr>
  </w:style>
  <w:style w:type="paragraph" w:styleId="5">
    <w:name w:val="heading 4"/>
    <w:basedOn w:val="1"/>
    <w:next w:val="1"/>
    <w:link w:val="45"/>
    <w:qFormat/>
    <w:uiPriority w:val="0"/>
    <w:pPr>
      <w:keepNext/>
      <w:numPr>
        <w:ilvl w:val="0"/>
        <w:numId w:val="4"/>
      </w:numPr>
      <w:tabs>
        <w:tab w:val="clear" w:pos="1605"/>
      </w:tabs>
      <w:spacing w:line="440" w:lineRule="atLeast"/>
      <w:ind w:right="-22"/>
      <w:outlineLvl w:val="3"/>
    </w:pPr>
    <w:rPr>
      <w:rFonts w:ascii="仿宋_GB2312" w:eastAsia="仿宋_GB2312"/>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unhideWhenUsed/>
    <w:qFormat/>
    <w:uiPriority w:val="39"/>
    <w:pPr>
      <w:adjustRightInd/>
      <w:spacing w:line="240" w:lineRule="auto"/>
      <w:ind w:left="2520" w:leftChars="1200"/>
      <w:jc w:val="both"/>
      <w:textAlignment w:val="auto"/>
    </w:pPr>
    <w:rPr>
      <w:rFonts w:ascii="Calibri" w:hAnsi="Calibri"/>
      <w:kern w:val="2"/>
      <w:sz w:val="21"/>
      <w:szCs w:val="22"/>
    </w:rPr>
  </w:style>
  <w:style w:type="paragraph" w:styleId="7">
    <w:name w:val="Normal Indent"/>
    <w:basedOn w:val="1"/>
    <w:qFormat/>
    <w:uiPriority w:val="0"/>
    <w:pPr>
      <w:spacing w:line="312" w:lineRule="atLeast"/>
      <w:ind w:firstLine="420"/>
      <w:jc w:val="both"/>
    </w:pPr>
    <w:rPr>
      <w:rFonts w:ascii="Modern" w:hAnsi="Modern" w:eastAsia="仿宋_GB2312"/>
      <w:sz w:val="28"/>
    </w:rPr>
  </w:style>
  <w:style w:type="paragraph" w:styleId="8">
    <w:name w:val="Document Map"/>
    <w:basedOn w:val="1"/>
    <w:link w:val="60"/>
    <w:qFormat/>
    <w:uiPriority w:val="99"/>
    <w:pPr>
      <w:shd w:val="clear" w:color="auto" w:fill="000080"/>
    </w:pPr>
    <w:rPr>
      <w:rFonts w:eastAsiaTheme="minorEastAsia" w:cstheme="minorBidi"/>
      <w:kern w:val="2"/>
      <w:szCs w:val="22"/>
    </w:rPr>
  </w:style>
  <w:style w:type="paragraph" w:styleId="9">
    <w:name w:val="annotation text"/>
    <w:basedOn w:val="1"/>
    <w:link w:val="57"/>
    <w:qFormat/>
    <w:uiPriority w:val="99"/>
  </w:style>
  <w:style w:type="paragraph" w:styleId="10">
    <w:name w:val="Body Text 3"/>
    <w:basedOn w:val="1"/>
    <w:link w:val="48"/>
    <w:qFormat/>
    <w:uiPriority w:val="0"/>
    <w:pPr>
      <w:spacing w:line="288" w:lineRule="auto"/>
      <w:jc w:val="both"/>
    </w:pPr>
    <w:rPr>
      <w:rFonts w:ascii="楷体_GB2312" w:hAnsi="Arial" w:eastAsia="楷体_GB2312"/>
      <w:sz w:val="32"/>
    </w:rPr>
  </w:style>
  <w:style w:type="paragraph" w:styleId="11">
    <w:name w:val="Body Text"/>
    <w:basedOn w:val="1"/>
    <w:link w:val="49"/>
    <w:qFormat/>
    <w:uiPriority w:val="0"/>
    <w:pPr>
      <w:adjustRightInd/>
      <w:spacing w:line="240" w:lineRule="auto"/>
      <w:jc w:val="both"/>
      <w:textAlignment w:val="auto"/>
    </w:pPr>
    <w:rPr>
      <w:rFonts w:ascii="宋体"/>
      <w:sz w:val="30"/>
    </w:rPr>
  </w:style>
  <w:style w:type="paragraph" w:styleId="12">
    <w:name w:val="Body Text Indent"/>
    <w:basedOn w:val="1"/>
    <w:link w:val="50"/>
    <w:qFormat/>
    <w:uiPriority w:val="0"/>
    <w:pPr>
      <w:spacing w:line="400" w:lineRule="atLeast"/>
      <w:ind w:firstLine="570"/>
    </w:pPr>
    <w:rPr>
      <w:rFonts w:ascii="仿宋_GB2312" w:hAnsi="_x000B__x000C_" w:eastAsia="仿宋_GB2312"/>
      <w:sz w:val="28"/>
    </w:rPr>
  </w:style>
  <w:style w:type="paragraph" w:styleId="13">
    <w:name w:val="toc 5"/>
    <w:basedOn w:val="1"/>
    <w:next w:val="1"/>
    <w:unhideWhenUsed/>
    <w:qFormat/>
    <w:uiPriority w:val="0"/>
    <w:pPr>
      <w:adjustRightInd/>
      <w:spacing w:line="240" w:lineRule="auto"/>
      <w:ind w:left="1680" w:leftChars="800"/>
      <w:jc w:val="both"/>
      <w:textAlignment w:val="auto"/>
    </w:pPr>
    <w:rPr>
      <w:rFonts w:ascii="Calibri" w:hAnsi="Calibri"/>
      <w:kern w:val="2"/>
      <w:sz w:val="21"/>
      <w:szCs w:val="22"/>
    </w:rPr>
  </w:style>
  <w:style w:type="paragraph" w:styleId="14">
    <w:name w:val="toc 3"/>
    <w:basedOn w:val="1"/>
    <w:next w:val="1"/>
    <w:unhideWhenUsed/>
    <w:qFormat/>
    <w:uiPriority w:val="39"/>
    <w:pPr>
      <w:adjustRightInd/>
      <w:spacing w:line="240" w:lineRule="auto"/>
      <w:ind w:left="840" w:leftChars="400"/>
      <w:jc w:val="both"/>
      <w:textAlignment w:val="auto"/>
    </w:pPr>
    <w:rPr>
      <w:rFonts w:ascii="Calibri" w:hAnsi="Calibri"/>
      <w:kern w:val="2"/>
      <w:sz w:val="21"/>
      <w:szCs w:val="22"/>
    </w:rPr>
  </w:style>
  <w:style w:type="paragraph" w:styleId="15">
    <w:name w:val="Plain Text"/>
    <w:basedOn w:val="1"/>
    <w:link w:val="68"/>
    <w:qFormat/>
    <w:uiPriority w:val="0"/>
    <w:pPr>
      <w:adjustRightInd/>
      <w:spacing w:line="240" w:lineRule="auto"/>
      <w:jc w:val="both"/>
      <w:textAlignment w:val="auto"/>
    </w:pPr>
    <w:rPr>
      <w:rFonts w:ascii="宋体" w:hAnsi="Courier New"/>
      <w:sz w:val="20"/>
    </w:rPr>
  </w:style>
  <w:style w:type="paragraph" w:styleId="16">
    <w:name w:val="toc 8"/>
    <w:basedOn w:val="1"/>
    <w:next w:val="1"/>
    <w:unhideWhenUsed/>
    <w:qFormat/>
    <w:uiPriority w:val="39"/>
    <w:pPr>
      <w:adjustRightInd/>
      <w:spacing w:line="240" w:lineRule="auto"/>
      <w:ind w:left="2940" w:leftChars="1400"/>
      <w:jc w:val="both"/>
      <w:textAlignment w:val="auto"/>
    </w:pPr>
    <w:rPr>
      <w:rFonts w:ascii="Calibri" w:hAnsi="Calibri"/>
      <w:kern w:val="2"/>
      <w:sz w:val="21"/>
      <w:szCs w:val="22"/>
    </w:rPr>
  </w:style>
  <w:style w:type="paragraph" w:styleId="17">
    <w:name w:val="Date"/>
    <w:basedOn w:val="1"/>
    <w:next w:val="1"/>
    <w:link w:val="70"/>
    <w:qFormat/>
    <w:uiPriority w:val="0"/>
    <w:pPr>
      <w:jc w:val="both"/>
    </w:pPr>
    <w:rPr>
      <w:rFonts w:ascii="楷体_GB2312" w:eastAsia="楷体_GB2312"/>
      <w:b/>
      <w:sz w:val="28"/>
    </w:rPr>
  </w:style>
  <w:style w:type="paragraph" w:styleId="18">
    <w:name w:val="Body Text Indent 2"/>
    <w:basedOn w:val="1"/>
    <w:link w:val="65"/>
    <w:qFormat/>
    <w:uiPriority w:val="0"/>
    <w:pPr>
      <w:spacing w:line="360" w:lineRule="exact"/>
      <w:ind w:firstLine="560" w:firstLineChars="200"/>
      <w:jc w:val="both"/>
      <w:outlineLvl w:val="0"/>
    </w:pPr>
    <w:rPr>
      <w:rFonts w:ascii="仿宋_GB2312" w:eastAsia="仿宋_GB2312"/>
      <w:sz w:val="28"/>
    </w:rPr>
  </w:style>
  <w:style w:type="paragraph" w:styleId="19">
    <w:name w:val="endnote text"/>
    <w:basedOn w:val="1"/>
    <w:link w:val="114"/>
    <w:semiHidden/>
    <w:unhideWhenUsed/>
    <w:qFormat/>
    <w:uiPriority w:val="99"/>
    <w:pPr>
      <w:snapToGrid w:val="0"/>
    </w:pPr>
  </w:style>
  <w:style w:type="paragraph" w:styleId="20">
    <w:name w:val="Balloon Text"/>
    <w:basedOn w:val="1"/>
    <w:link w:val="56"/>
    <w:qFormat/>
    <w:uiPriority w:val="99"/>
    <w:pPr>
      <w:spacing w:line="240" w:lineRule="auto"/>
    </w:pPr>
    <w:rPr>
      <w:sz w:val="18"/>
      <w:szCs w:val="18"/>
    </w:rPr>
  </w:style>
  <w:style w:type="paragraph" w:styleId="21">
    <w:name w:val="footer"/>
    <w:basedOn w:val="1"/>
    <w:link w:val="47"/>
    <w:unhideWhenUsed/>
    <w:qFormat/>
    <w:uiPriority w:val="99"/>
    <w:pPr>
      <w:tabs>
        <w:tab w:val="center" w:pos="4153"/>
        <w:tab w:val="right" w:pos="8306"/>
      </w:tabs>
      <w:snapToGrid w:val="0"/>
    </w:pPr>
    <w:rPr>
      <w:sz w:val="18"/>
      <w:szCs w:val="18"/>
    </w:rPr>
  </w:style>
  <w:style w:type="paragraph" w:styleId="22">
    <w:name w:val="header"/>
    <w:basedOn w:val="1"/>
    <w:link w:val="46"/>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tabs>
        <w:tab w:val="left" w:pos="840"/>
        <w:tab w:val="right" w:leader="dot" w:pos="8654"/>
      </w:tabs>
      <w:spacing w:line="360" w:lineRule="auto"/>
      <w:jc w:val="center"/>
    </w:pPr>
    <w:rPr>
      <w:rFonts w:ascii="仿宋_GB2312" w:hAnsi="Arial" w:eastAsia="仿宋_GB2312"/>
      <w:sz w:val="28"/>
      <w:szCs w:val="28"/>
    </w:rPr>
  </w:style>
  <w:style w:type="paragraph" w:styleId="24">
    <w:name w:val="toc 4"/>
    <w:basedOn w:val="1"/>
    <w:next w:val="1"/>
    <w:unhideWhenUsed/>
    <w:qFormat/>
    <w:uiPriority w:val="39"/>
    <w:pPr>
      <w:adjustRightInd/>
      <w:spacing w:line="240" w:lineRule="auto"/>
      <w:ind w:left="1260" w:leftChars="600"/>
      <w:jc w:val="both"/>
      <w:textAlignment w:val="auto"/>
    </w:pPr>
    <w:rPr>
      <w:rFonts w:ascii="Calibri" w:hAnsi="Calibri"/>
      <w:kern w:val="2"/>
      <w:sz w:val="21"/>
      <w:szCs w:val="22"/>
    </w:rPr>
  </w:style>
  <w:style w:type="paragraph" w:styleId="25">
    <w:name w:val="footnote text"/>
    <w:basedOn w:val="1"/>
    <w:link w:val="100"/>
    <w:qFormat/>
    <w:uiPriority w:val="0"/>
    <w:pPr>
      <w:adjustRightInd/>
      <w:snapToGrid w:val="0"/>
      <w:spacing w:line="240" w:lineRule="auto"/>
      <w:textAlignment w:val="auto"/>
    </w:pPr>
    <w:rPr>
      <w:kern w:val="2"/>
      <w:sz w:val="18"/>
      <w:szCs w:val="18"/>
    </w:rPr>
  </w:style>
  <w:style w:type="paragraph" w:styleId="26">
    <w:name w:val="toc 6"/>
    <w:basedOn w:val="1"/>
    <w:next w:val="1"/>
    <w:unhideWhenUsed/>
    <w:qFormat/>
    <w:uiPriority w:val="39"/>
    <w:pPr>
      <w:adjustRightInd/>
      <w:spacing w:line="240" w:lineRule="auto"/>
      <w:ind w:left="2100" w:leftChars="1000"/>
      <w:jc w:val="both"/>
      <w:textAlignment w:val="auto"/>
    </w:pPr>
    <w:rPr>
      <w:rFonts w:ascii="Calibri" w:hAnsi="Calibri"/>
      <w:kern w:val="2"/>
      <w:sz w:val="21"/>
      <w:szCs w:val="22"/>
    </w:rPr>
  </w:style>
  <w:style w:type="paragraph" w:styleId="27">
    <w:name w:val="Body Text Indent 3"/>
    <w:basedOn w:val="1"/>
    <w:link w:val="66"/>
    <w:qFormat/>
    <w:uiPriority w:val="0"/>
    <w:pPr>
      <w:spacing w:line="440" w:lineRule="atLeast"/>
      <w:ind w:firstLine="600"/>
      <w:jc w:val="both"/>
    </w:pPr>
    <w:rPr>
      <w:rFonts w:ascii="Arial" w:hAnsi="Arial" w:eastAsia="仿宋_GB2312"/>
      <w:sz w:val="28"/>
    </w:rPr>
  </w:style>
  <w:style w:type="paragraph" w:styleId="28">
    <w:name w:val="toc 2"/>
    <w:basedOn w:val="1"/>
    <w:next w:val="1"/>
    <w:unhideWhenUsed/>
    <w:qFormat/>
    <w:uiPriority w:val="39"/>
    <w:pPr>
      <w:tabs>
        <w:tab w:val="right" w:leader="dot" w:pos="8931"/>
      </w:tabs>
      <w:spacing w:line="360" w:lineRule="auto"/>
      <w:ind w:left="480" w:leftChars="200"/>
    </w:pPr>
  </w:style>
  <w:style w:type="paragraph" w:styleId="29">
    <w:name w:val="toc 9"/>
    <w:basedOn w:val="1"/>
    <w:next w:val="1"/>
    <w:unhideWhenUsed/>
    <w:qFormat/>
    <w:uiPriority w:val="39"/>
    <w:pPr>
      <w:adjustRightInd/>
      <w:spacing w:line="240" w:lineRule="auto"/>
      <w:ind w:left="3360" w:leftChars="1600"/>
      <w:jc w:val="both"/>
      <w:textAlignment w:val="auto"/>
    </w:pPr>
    <w:rPr>
      <w:rFonts w:ascii="Calibri" w:hAnsi="Calibri"/>
      <w:kern w:val="2"/>
      <w:sz w:val="21"/>
      <w:szCs w:val="22"/>
    </w:rPr>
  </w:style>
  <w:style w:type="paragraph" w:styleId="30">
    <w:name w:val="Body Text 2"/>
    <w:basedOn w:val="1"/>
    <w:link w:val="67"/>
    <w:qFormat/>
    <w:uiPriority w:val="0"/>
    <w:pPr>
      <w:autoSpaceDE w:val="0"/>
      <w:autoSpaceDN w:val="0"/>
      <w:spacing w:line="440" w:lineRule="exact"/>
      <w:jc w:val="both"/>
    </w:pPr>
    <w:rPr>
      <w:rFonts w:ascii="仿宋_GB2312" w:hAnsi="Arial" w:eastAsia="仿宋_GB2312"/>
      <w:sz w:val="28"/>
    </w:rPr>
  </w:style>
  <w:style w:type="paragraph" w:styleId="31">
    <w:name w:val="HTML Preformatted"/>
    <w:basedOn w:val="1"/>
    <w:link w:val="8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32">
    <w:name w:val="Normal (Web)"/>
    <w:basedOn w:val="1"/>
    <w:qFormat/>
    <w:uiPriority w:val="99"/>
    <w:pPr>
      <w:widowControl/>
      <w:adjustRightInd/>
      <w:spacing w:line="360" w:lineRule="auto"/>
      <w:textAlignment w:val="auto"/>
    </w:pPr>
    <w:rPr>
      <w:rFonts w:ascii="宋体" w:hAnsi="宋体"/>
      <w:sz w:val="18"/>
      <w:szCs w:val="18"/>
    </w:rPr>
  </w:style>
  <w:style w:type="paragraph" w:styleId="33">
    <w:name w:val="annotation subject"/>
    <w:basedOn w:val="9"/>
    <w:next w:val="9"/>
    <w:link w:val="58"/>
    <w:qFormat/>
    <w:uiPriority w:val="99"/>
    <w:rPr>
      <w:b/>
      <w:bCs/>
    </w:rPr>
  </w:style>
  <w:style w:type="paragraph" w:styleId="34">
    <w:name w:val="Body Text First Indent"/>
    <w:basedOn w:val="11"/>
    <w:link w:val="64"/>
    <w:qFormat/>
    <w:uiPriority w:val="0"/>
    <w:pPr>
      <w:spacing w:after="120"/>
      <w:ind w:firstLine="420"/>
    </w:pPr>
    <w:rPr>
      <w:rFonts w:ascii="Times New Roman"/>
    </w:rPr>
  </w:style>
  <w:style w:type="table" w:styleId="36">
    <w:name w:val="Table Grid"/>
    <w:basedOn w:val="3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qFormat/>
    <w:uiPriority w:val="0"/>
    <w:rPr>
      <w:b/>
      <w:bCs/>
    </w:rPr>
  </w:style>
  <w:style w:type="character" w:styleId="39">
    <w:name w:val="page number"/>
    <w:basedOn w:val="37"/>
    <w:qFormat/>
    <w:uiPriority w:val="0"/>
  </w:style>
  <w:style w:type="character" w:styleId="40">
    <w:name w:val="Hyperlink"/>
    <w:unhideWhenUsed/>
    <w:qFormat/>
    <w:uiPriority w:val="99"/>
    <w:rPr>
      <w:color w:val="0000FF"/>
      <w:u w:val="single"/>
    </w:rPr>
  </w:style>
  <w:style w:type="character" w:styleId="41">
    <w:name w:val="annotation reference"/>
    <w:basedOn w:val="37"/>
    <w:qFormat/>
    <w:uiPriority w:val="99"/>
    <w:rPr>
      <w:sz w:val="21"/>
      <w:szCs w:val="21"/>
    </w:rPr>
  </w:style>
  <w:style w:type="character" w:customStyle="1" w:styleId="42">
    <w:name w:val="标题 1 Char"/>
    <w:basedOn w:val="37"/>
    <w:link w:val="2"/>
    <w:qFormat/>
    <w:uiPriority w:val="0"/>
    <w:rPr>
      <w:rFonts w:ascii="Arial" w:hAnsi="Arial" w:eastAsia="仿宋_GB2312" w:cs="Times New Roman"/>
      <w:b/>
      <w:kern w:val="0"/>
      <w:sz w:val="28"/>
      <w:szCs w:val="20"/>
    </w:rPr>
  </w:style>
  <w:style w:type="character" w:customStyle="1" w:styleId="43">
    <w:name w:val="标题 2 Char"/>
    <w:basedOn w:val="37"/>
    <w:link w:val="3"/>
    <w:qFormat/>
    <w:uiPriority w:val="0"/>
    <w:rPr>
      <w:rFonts w:ascii="Arial" w:hAnsi="Arial" w:eastAsia="仿宋_GB2312" w:cs="Times New Roman"/>
      <w:b/>
      <w:bCs/>
      <w:kern w:val="0"/>
      <w:sz w:val="28"/>
      <w:szCs w:val="20"/>
    </w:rPr>
  </w:style>
  <w:style w:type="character" w:customStyle="1" w:styleId="44">
    <w:name w:val="标题 3 Char"/>
    <w:basedOn w:val="37"/>
    <w:link w:val="4"/>
    <w:qFormat/>
    <w:uiPriority w:val="0"/>
    <w:rPr>
      <w:rFonts w:ascii="仿宋_GB2312" w:hAnsi="Arial" w:eastAsia="仿宋_GB2312" w:cs="Times New Roman"/>
      <w:kern w:val="0"/>
      <w:sz w:val="28"/>
      <w:szCs w:val="20"/>
    </w:rPr>
  </w:style>
  <w:style w:type="character" w:customStyle="1" w:styleId="45">
    <w:name w:val="标题 4 Char"/>
    <w:basedOn w:val="37"/>
    <w:link w:val="5"/>
    <w:qFormat/>
    <w:uiPriority w:val="0"/>
    <w:rPr>
      <w:rFonts w:ascii="仿宋_GB2312" w:hAnsi="Times New Roman" w:eastAsia="仿宋_GB2312" w:cs="Times New Roman"/>
      <w:kern w:val="0"/>
      <w:sz w:val="28"/>
      <w:szCs w:val="20"/>
    </w:rPr>
  </w:style>
  <w:style w:type="character" w:customStyle="1" w:styleId="46">
    <w:name w:val="页眉 Char"/>
    <w:basedOn w:val="37"/>
    <w:link w:val="22"/>
    <w:qFormat/>
    <w:uiPriority w:val="99"/>
    <w:rPr>
      <w:sz w:val="18"/>
      <w:szCs w:val="18"/>
    </w:rPr>
  </w:style>
  <w:style w:type="character" w:customStyle="1" w:styleId="47">
    <w:name w:val="页脚 Char"/>
    <w:basedOn w:val="37"/>
    <w:link w:val="21"/>
    <w:qFormat/>
    <w:uiPriority w:val="99"/>
    <w:rPr>
      <w:sz w:val="18"/>
      <w:szCs w:val="18"/>
    </w:rPr>
  </w:style>
  <w:style w:type="character" w:customStyle="1" w:styleId="48">
    <w:name w:val="正文文本 3 Char"/>
    <w:basedOn w:val="37"/>
    <w:link w:val="10"/>
    <w:qFormat/>
    <w:uiPriority w:val="0"/>
    <w:rPr>
      <w:rFonts w:ascii="楷体_GB2312" w:hAnsi="Arial" w:eastAsia="楷体_GB2312" w:cs="Times New Roman"/>
      <w:kern w:val="0"/>
      <w:sz w:val="32"/>
      <w:szCs w:val="20"/>
    </w:rPr>
  </w:style>
  <w:style w:type="character" w:customStyle="1" w:styleId="49">
    <w:name w:val="正文文本 Char1"/>
    <w:basedOn w:val="37"/>
    <w:link w:val="11"/>
    <w:qFormat/>
    <w:uiPriority w:val="0"/>
    <w:rPr>
      <w:rFonts w:ascii="宋体" w:hAnsi="Times New Roman" w:eastAsia="宋体" w:cs="Times New Roman"/>
      <w:kern w:val="0"/>
      <w:sz w:val="30"/>
      <w:szCs w:val="20"/>
    </w:rPr>
  </w:style>
  <w:style w:type="character" w:customStyle="1" w:styleId="50">
    <w:name w:val="正文文本缩进 Char"/>
    <w:basedOn w:val="37"/>
    <w:link w:val="12"/>
    <w:qFormat/>
    <w:uiPriority w:val="0"/>
    <w:rPr>
      <w:rFonts w:ascii="仿宋_GB2312" w:hAnsi="_x000B__x000C_" w:eastAsia="仿宋_GB2312" w:cs="Times New Roman"/>
      <w:kern w:val="0"/>
      <w:sz w:val="28"/>
      <w:szCs w:val="20"/>
    </w:rPr>
  </w:style>
  <w:style w:type="paragraph" w:styleId="51">
    <w:name w:val="List Paragraph"/>
    <w:basedOn w:val="1"/>
    <w:qFormat/>
    <w:uiPriority w:val="34"/>
    <w:pPr>
      <w:ind w:firstLine="420" w:firstLineChars="200"/>
    </w:pPr>
  </w:style>
  <w:style w:type="paragraph" w:customStyle="1" w:styleId="52">
    <w:name w:val="正文1"/>
    <w:basedOn w:val="1"/>
    <w:link w:val="53"/>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character" w:customStyle="1" w:styleId="53">
    <w:name w:val="正文1 Char"/>
    <w:link w:val="52"/>
    <w:qFormat/>
    <w:uiPriority w:val="0"/>
    <w:rPr>
      <w:rFonts w:ascii="Times New Roman" w:hAnsi="Times New Roman" w:eastAsia="仿宋_GB2312" w:cs="Times New Roman"/>
      <w:sz w:val="28"/>
      <w:szCs w:val="24"/>
    </w:rPr>
  </w:style>
  <w:style w:type="paragraph" w:customStyle="1" w:styleId="54">
    <w:name w:val="Normal_37"/>
    <w:qFormat/>
    <w:uiPriority w:val="0"/>
    <w:pPr>
      <w:spacing w:before="120" w:after="240"/>
      <w:jc w:val="both"/>
    </w:pPr>
    <w:rPr>
      <w:rFonts w:ascii="Calibri" w:hAnsi="Calibri" w:eastAsia="Calibri" w:cs="Times New Roman"/>
      <w:sz w:val="22"/>
      <w:szCs w:val="22"/>
      <w:lang w:val="ru-RU" w:eastAsia="en-US" w:bidi="ar-SA"/>
    </w:rPr>
  </w:style>
  <w:style w:type="paragraph" w:customStyle="1" w:styleId="55">
    <w:name w:val="正文2"/>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56">
    <w:name w:val="批注框文本 Char"/>
    <w:basedOn w:val="37"/>
    <w:link w:val="20"/>
    <w:qFormat/>
    <w:uiPriority w:val="99"/>
    <w:rPr>
      <w:rFonts w:ascii="Times New Roman" w:hAnsi="Times New Roman" w:eastAsia="宋体" w:cs="Times New Roman"/>
      <w:kern w:val="0"/>
      <w:sz w:val="18"/>
      <w:szCs w:val="18"/>
    </w:rPr>
  </w:style>
  <w:style w:type="character" w:customStyle="1" w:styleId="57">
    <w:name w:val="批注文字 Char"/>
    <w:basedOn w:val="37"/>
    <w:link w:val="9"/>
    <w:qFormat/>
    <w:uiPriority w:val="99"/>
    <w:rPr>
      <w:rFonts w:ascii="Times New Roman" w:hAnsi="Times New Roman" w:eastAsia="宋体" w:cs="Times New Roman"/>
      <w:kern w:val="0"/>
      <w:sz w:val="24"/>
      <w:szCs w:val="20"/>
    </w:rPr>
  </w:style>
  <w:style w:type="character" w:customStyle="1" w:styleId="58">
    <w:name w:val="批注主题 Char"/>
    <w:basedOn w:val="57"/>
    <w:link w:val="33"/>
    <w:qFormat/>
    <w:uiPriority w:val="99"/>
    <w:rPr>
      <w:rFonts w:ascii="Times New Roman" w:hAnsi="Times New Roman" w:eastAsia="宋体" w:cs="Times New Roman"/>
      <w:b/>
      <w:bCs/>
      <w:kern w:val="0"/>
      <w:sz w:val="24"/>
      <w:szCs w:val="20"/>
    </w:rPr>
  </w:style>
  <w:style w:type="character" w:customStyle="1" w:styleId="59">
    <w:name w:val="apple-converted-space"/>
    <w:basedOn w:val="37"/>
    <w:qFormat/>
    <w:uiPriority w:val="0"/>
  </w:style>
  <w:style w:type="character" w:customStyle="1" w:styleId="60">
    <w:name w:val="文档结构图 Char"/>
    <w:link w:val="8"/>
    <w:qFormat/>
    <w:uiPriority w:val="99"/>
    <w:rPr>
      <w:rFonts w:ascii="Times New Roman" w:hAnsi="Times New Roman"/>
      <w:sz w:val="24"/>
      <w:shd w:val="clear" w:color="auto" w:fill="000080"/>
    </w:rPr>
  </w:style>
  <w:style w:type="character" w:customStyle="1" w:styleId="61">
    <w:name w:val="文档结构图 字符1"/>
    <w:basedOn w:val="37"/>
    <w:semiHidden/>
    <w:qFormat/>
    <w:uiPriority w:val="99"/>
    <w:rPr>
      <w:rFonts w:ascii="Microsoft YaHei UI" w:hAnsi="Times New Roman" w:eastAsia="Microsoft YaHei UI" w:cs="Times New Roman"/>
      <w:kern w:val="0"/>
      <w:sz w:val="18"/>
      <w:szCs w:val="18"/>
    </w:rPr>
  </w:style>
  <w:style w:type="character" w:customStyle="1" w:styleId="62">
    <w:name w:val="文档结构图 Char1"/>
    <w:basedOn w:val="37"/>
    <w:qFormat/>
    <w:uiPriority w:val="0"/>
    <w:rPr>
      <w:rFonts w:ascii="宋体" w:hAnsi="Times New Roman"/>
      <w:sz w:val="18"/>
      <w:szCs w:val="18"/>
    </w:rPr>
  </w:style>
  <w:style w:type="character" w:customStyle="1" w:styleId="63">
    <w:name w:val="正文文本 Char"/>
    <w:qFormat/>
    <w:uiPriority w:val="0"/>
    <w:rPr>
      <w:rFonts w:ascii="宋体" w:hAnsi="Times New Roman" w:eastAsia="宋体" w:cs="Times New Roman"/>
      <w:sz w:val="30"/>
      <w:szCs w:val="20"/>
    </w:rPr>
  </w:style>
  <w:style w:type="character" w:customStyle="1" w:styleId="64">
    <w:name w:val="正文首行缩进 Char"/>
    <w:basedOn w:val="49"/>
    <w:link w:val="34"/>
    <w:qFormat/>
    <w:uiPriority w:val="0"/>
    <w:rPr>
      <w:rFonts w:ascii="Times New Roman" w:hAnsi="Times New Roman" w:eastAsia="宋体" w:cs="Times New Roman"/>
      <w:kern w:val="0"/>
      <w:sz w:val="30"/>
      <w:szCs w:val="20"/>
    </w:rPr>
  </w:style>
  <w:style w:type="character" w:customStyle="1" w:styleId="65">
    <w:name w:val="正文文本缩进 2 Char"/>
    <w:basedOn w:val="37"/>
    <w:link w:val="18"/>
    <w:qFormat/>
    <w:uiPriority w:val="0"/>
    <w:rPr>
      <w:rFonts w:ascii="仿宋_GB2312" w:hAnsi="Times New Roman" w:eastAsia="仿宋_GB2312" w:cs="Times New Roman"/>
      <w:kern w:val="0"/>
      <w:sz w:val="28"/>
      <w:szCs w:val="20"/>
    </w:rPr>
  </w:style>
  <w:style w:type="character" w:customStyle="1" w:styleId="66">
    <w:name w:val="正文文本缩进 3 Char"/>
    <w:basedOn w:val="37"/>
    <w:link w:val="27"/>
    <w:qFormat/>
    <w:uiPriority w:val="0"/>
    <w:rPr>
      <w:rFonts w:ascii="Arial" w:hAnsi="Arial" w:eastAsia="仿宋_GB2312" w:cs="Times New Roman"/>
      <w:kern w:val="0"/>
      <w:sz w:val="28"/>
      <w:szCs w:val="20"/>
    </w:rPr>
  </w:style>
  <w:style w:type="character" w:customStyle="1" w:styleId="67">
    <w:name w:val="正文文本 2 Char"/>
    <w:basedOn w:val="37"/>
    <w:link w:val="30"/>
    <w:qFormat/>
    <w:uiPriority w:val="0"/>
    <w:rPr>
      <w:rFonts w:ascii="仿宋_GB2312" w:hAnsi="Arial" w:eastAsia="仿宋_GB2312" w:cs="Times New Roman"/>
      <w:kern w:val="0"/>
      <w:sz w:val="28"/>
      <w:szCs w:val="20"/>
    </w:rPr>
  </w:style>
  <w:style w:type="character" w:customStyle="1" w:styleId="68">
    <w:name w:val="纯文本 Char"/>
    <w:basedOn w:val="37"/>
    <w:link w:val="15"/>
    <w:qFormat/>
    <w:uiPriority w:val="0"/>
    <w:rPr>
      <w:rFonts w:ascii="宋体" w:hAnsi="Courier New" w:eastAsia="宋体" w:cs="Times New Roman"/>
      <w:kern w:val="0"/>
      <w:sz w:val="20"/>
      <w:szCs w:val="20"/>
    </w:rPr>
  </w:style>
  <w:style w:type="paragraph" w:customStyle="1" w:styleId="69">
    <w:name w:val="正文3"/>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70">
    <w:name w:val="日期 Char"/>
    <w:basedOn w:val="37"/>
    <w:link w:val="17"/>
    <w:qFormat/>
    <w:uiPriority w:val="0"/>
    <w:rPr>
      <w:rFonts w:ascii="楷体_GB2312" w:hAnsi="Times New Roman" w:eastAsia="楷体_GB2312" w:cs="Times New Roman"/>
      <w:b/>
      <w:kern w:val="0"/>
      <w:sz w:val="28"/>
      <w:szCs w:val="20"/>
    </w:rPr>
  </w:style>
  <w:style w:type="character" w:customStyle="1" w:styleId="71">
    <w:name w:val="text1"/>
    <w:qFormat/>
    <w:uiPriority w:val="0"/>
    <w:rPr>
      <w:spacing w:val="10"/>
      <w:sz w:val="28"/>
      <w:szCs w:val="28"/>
    </w:rPr>
  </w:style>
  <w:style w:type="paragraph" w:customStyle="1" w:styleId="72">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73">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74">
    <w:name w:val="font6"/>
    <w:basedOn w:val="1"/>
    <w:qFormat/>
    <w:uiPriority w:val="0"/>
    <w:pPr>
      <w:widowControl/>
      <w:adjustRightInd/>
      <w:spacing w:before="100" w:beforeAutospacing="1" w:after="100" w:afterAutospacing="1" w:line="240" w:lineRule="auto"/>
      <w:textAlignment w:val="auto"/>
    </w:pPr>
    <w:rPr>
      <w:rFonts w:hint="eastAsia" w:ascii="宋体" w:hAnsi="宋体"/>
      <w:b/>
      <w:bCs/>
      <w:sz w:val="32"/>
      <w:szCs w:val="32"/>
    </w:rPr>
  </w:style>
  <w:style w:type="paragraph" w:customStyle="1" w:styleId="75">
    <w:name w:val="font7"/>
    <w:basedOn w:val="1"/>
    <w:qFormat/>
    <w:uiPriority w:val="0"/>
    <w:pPr>
      <w:widowControl/>
      <w:adjustRightInd/>
      <w:spacing w:before="100" w:beforeAutospacing="1" w:after="100" w:afterAutospacing="1" w:line="240" w:lineRule="auto"/>
      <w:textAlignment w:val="auto"/>
    </w:pPr>
    <w:rPr>
      <w:szCs w:val="24"/>
    </w:rPr>
  </w:style>
  <w:style w:type="paragraph" w:customStyle="1" w:styleId="76">
    <w:name w:val="font8"/>
    <w:basedOn w:val="1"/>
    <w:qFormat/>
    <w:uiPriority w:val="0"/>
    <w:pPr>
      <w:widowControl/>
      <w:adjustRightInd/>
      <w:spacing w:before="100" w:beforeAutospacing="1" w:after="100" w:afterAutospacing="1" w:line="240" w:lineRule="auto"/>
      <w:textAlignment w:val="auto"/>
    </w:pPr>
    <w:rPr>
      <w:rFonts w:hint="eastAsia" w:ascii="宋体" w:hAnsi="宋体"/>
      <w:b/>
      <w:bCs/>
      <w:sz w:val="36"/>
      <w:szCs w:val="36"/>
    </w:rPr>
  </w:style>
  <w:style w:type="paragraph" w:customStyle="1" w:styleId="77">
    <w:name w:val="font9"/>
    <w:basedOn w:val="1"/>
    <w:qFormat/>
    <w:uiPriority w:val="0"/>
    <w:pPr>
      <w:widowControl/>
      <w:adjustRightInd/>
      <w:spacing w:before="100" w:beforeAutospacing="1" w:after="100" w:afterAutospacing="1" w:line="240" w:lineRule="auto"/>
      <w:textAlignment w:val="auto"/>
    </w:pPr>
    <w:rPr>
      <w:b/>
      <w:bCs/>
      <w:sz w:val="36"/>
      <w:szCs w:val="36"/>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79">
    <w:name w:val="xl2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Cs w:val="24"/>
    </w:rPr>
  </w:style>
  <w:style w:type="paragraph" w:customStyle="1" w:styleId="8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sz w:val="20"/>
    </w:rPr>
  </w:style>
  <w:style w:type="paragraph" w:customStyle="1" w:styleId="8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textAlignment w:val="auto"/>
    </w:pPr>
    <w:rPr>
      <w:rFonts w:ascii="Arial Narrow" w:hAnsi="Arial Narrow"/>
      <w:sz w:val="20"/>
    </w:rPr>
  </w:style>
  <w:style w:type="paragraph" w:customStyle="1" w:styleId="8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240" w:lineRule="auto"/>
      <w:jc w:val="right"/>
      <w:textAlignment w:val="auto"/>
    </w:pPr>
    <w:rPr>
      <w:rFonts w:ascii="Arial Narrow" w:hAnsi="Arial Narrow"/>
      <w:sz w:val="20"/>
    </w:rPr>
  </w:style>
  <w:style w:type="paragraph" w:customStyle="1" w:styleId="84">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5">
    <w:name w:val="xl31"/>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86">
    <w:name w:val="xl32"/>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87">
    <w:name w:val="nr1"/>
    <w:qFormat/>
    <w:uiPriority w:val="0"/>
    <w:rPr>
      <w:rFonts w:hint="eastAsia" w:ascii="楷体_GB2312" w:eastAsia="楷体_GB2312"/>
      <w:color w:val="000000"/>
      <w:sz w:val="24"/>
      <w:szCs w:val="24"/>
    </w:rPr>
  </w:style>
  <w:style w:type="character" w:customStyle="1" w:styleId="88">
    <w:name w:val="HTML 预设格式 Char"/>
    <w:basedOn w:val="37"/>
    <w:link w:val="31"/>
    <w:qFormat/>
    <w:uiPriority w:val="99"/>
    <w:rPr>
      <w:rFonts w:ascii="宋体" w:hAnsi="宋体" w:eastAsia="宋体" w:cs="Times New Roman"/>
      <w:kern w:val="0"/>
      <w:sz w:val="24"/>
      <w:szCs w:val="24"/>
    </w:rPr>
  </w:style>
  <w:style w:type="paragraph" w:customStyle="1" w:styleId="89">
    <w:name w:val="样式2"/>
    <w:basedOn w:val="1"/>
    <w:qFormat/>
    <w:uiPriority w:val="0"/>
    <w:pPr>
      <w:autoSpaceDE w:val="0"/>
      <w:autoSpaceDN w:val="0"/>
      <w:spacing w:line="240" w:lineRule="auto"/>
      <w:jc w:val="center"/>
    </w:pPr>
    <w:rPr>
      <w:rFonts w:ascii="长城粗隶书" w:eastAsia="长城粗隶书"/>
      <w:b/>
      <w:spacing w:val="20"/>
      <w:sz w:val="52"/>
    </w:rPr>
  </w:style>
  <w:style w:type="paragraph" w:customStyle="1" w:styleId="90">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1">
    <w:name w:val="Char"/>
    <w:basedOn w:val="1"/>
    <w:qFormat/>
    <w:uiPriority w:val="0"/>
    <w:pPr>
      <w:adjustRightInd/>
      <w:spacing w:line="240" w:lineRule="auto"/>
      <w:jc w:val="both"/>
      <w:textAlignment w:val="auto"/>
    </w:pPr>
    <w:rPr>
      <w:rFonts w:ascii="宋体" w:hAnsi="宋体" w:cs="Courier New"/>
      <w:kern w:val="2"/>
      <w:sz w:val="32"/>
      <w:szCs w:val="32"/>
    </w:rPr>
  </w:style>
  <w:style w:type="character" w:customStyle="1" w:styleId="92">
    <w:name w:val="t12h291"/>
    <w:qFormat/>
    <w:uiPriority w:val="0"/>
    <w:rPr>
      <w:color w:val="000000"/>
      <w:sz w:val="24"/>
      <w:szCs w:val="24"/>
    </w:rPr>
  </w:style>
  <w:style w:type="paragraph" w:customStyle="1" w:styleId="93">
    <w:name w:val="Default"/>
    <w:qFormat/>
    <w:uiPriority w:val="0"/>
    <w:pPr>
      <w:widowControl w:val="0"/>
      <w:autoSpaceDE w:val="0"/>
      <w:autoSpaceDN w:val="0"/>
      <w:adjustRightInd w:val="0"/>
    </w:pPr>
    <w:rPr>
      <w:rFonts w:ascii="华文细黑碙.." w:hAnsi="Calibri" w:eastAsia="华文细黑碙.." w:cs="华文细黑碙.."/>
      <w:color w:val="000000"/>
      <w:sz w:val="24"/>
      <w:szCs w:val="24"/>
      <w:lang w:val="en-US" w:eastAsia="zh-CN" w:bidi="ar-SA"/>
    </w:rPr>
  </w:style>
  <w:style w:type="character" w:customStyle="1" w:styleId="94">
    <w:name w:val="A4"/>
    <w:qFormat/>
    <w:uiPriority w:val="0"/>
    <w:rPr>
      <w:rFonts w:cs="华文细黑碙.."/>
      <w:color w:val="000000"/>
      <w:sz w:val="16"/>
      <w:szCs w:val="16"/>
    </w:rPr>
  </w:style>
  <w:style w:type="character" w:customStyle="1" w:styleId="95">
    <w:name w:val="A3"/>
    <w:qFormat/>
    <w:uiPriority w:val="0"/>
    <w:rPr>
      <w:rFonts w:cs="黑体萄"/>
      <w:color w:val="000000"/>
      <w:sz w:val="18"/>
      <w:szCs w:val="18"/>
    </w:rPr>
  </w:style>
  <w:style w:type="paragraph" w:customStyle="1" w:styleId="96">
    <w:name w:val="iw_poi_title"/>
    <w:basedOn w:val="1"/>
    <w:qFormat/>
    <w:uiPriority w:val="0"/>
    <w:pPr>
      <w:widowControl/>
      <w:adjustRightInd/>
      <w:spacing w:line="240" w:lineRule="auto"/>
      <w:textAlignment w:val="auto"/>
    </w:pPr>
    <w:rPr>
      <w:rFonts w:ascii="宋体" w:hAnsi="宋体" w:cs="宋体"/>
      <w:b/>
      <w:bCs/>
      <w:color w:val="4D4D4D"/>
      <w:sz w:val="21"/>
      <w:szCs w:val="21"/>
    </w:rPr>
  </w:style>
  <w:style w:type="paragraph" w:customStyle="1" w:styleId="97">
    <w:name w:val="Char Char Char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98">
    <w:name w:val="内容"/>
    <w:basedOn w:val="1"/>
    <w:qFormat/>
    <w:uiPriority w:val="0"/>
    <w:pPr>
      <w:snapToGrid w:val="0"/>
      <w:spacing w:line="480" w:lineRule="atLeast"/>
      <w:ind w:firstLine="567"/>
      <w:jc w:val="both"/>
      <w:textAlignment w:val="auto"/>
    </w:pPr>
    <w:rPr>
      <w:rFonts w:ascii="楷体_GB2312" w:eastAsia="楷体_GB2312"/>
      <w:kern w:val="2"/>
      <w:sz w:val="28"/>
    </w:rPr>
  </w:style>
  <w:style w:type="character" w:customStyle="1" w:styleId="99">
    <w:name w:val="showtreebodycontent1"/>
    <w:qFormat/>
    <w:uiPriority w:val="0"/>
    <w:rPr>
      <w:sz w:val="21"/>
      <w:szCs w:val="21"/>
    </w:rPr>
  </w:style>
  <w:style w:type="character" w:customStyle="1" w:styleId="100">
    <w:name w:val="脚注文本 Char"/>
    <w:basedOn w:val="37"/>
    <w:link w:val="25"/>
    <w:qFormat/>
    <w:uiPriority w:val="0"/>
    <w:rPr>
      <w:rFonts w:ascii="Times New Roman" w:hAnsi="Times New Roman" w:eastAsia="宋体" w:cs="Times New Roman"/>
      <w:sz w:val="18"/>
      <w:szCs w:val="18"/>
    </w:rPr>
  </w:style>
  <w:style w:type="paragraph" w:customStyle="1" w:styleId="101">
    <w:name w:val="12"/>
    <w:basedOn w:val="18"/>
    <w:qFormat/>
    <w:uiPriority w:val="0"/>
    <w:pPr>
      <w:adjustRightInd/>
      <w:spacing w:before="120" w:line="360" w:lineRule="auto"/>
      <w:ind w:firstLine="0" w:firstLineChars="0"/>
      <w:jc w:val="center"/>
      <w:textAlignment w:val="auto"/>
      <w:outlineLvl w:val="9"/>
    </w:pPr>
    <w:rPr>
      <w:rFonts w:ascii="Times New Roman" w:eastAsia="黑体"/>
      <w:kern w:val="2"/>
      <w:sz w:val="48"/>
    </w:rPr>
  </w:style>
  <w:style w:type="character" w:customStyle="1" w:styleId="102">
    <w:name w:val="duanluo"/>
    <w:qFormat/>
    <w:uiPriority w:val="0"/>
  </w:style>
  <w:style w:type="character" w:customStyle="1" w:styleId="103">
    <w:name w:val="Char Char12"/>
    <w:qFormat/>
    <w:uiPriority w:val="0"/>
    <w:rPr>
      <w:sz w:val="18"/>
    </w:rPr>
  </w:style>
  <w:style w:type="character" w:customStyle="1" w:styleId="104">
    <w:name w:val="Char Char5"/>
    <w:qFormat/>
    <w:uiPriority w:val="0"/>
    <w:rPr>
      <w:rFonts w:ascii="Arial" w:hAnsi="Arial" w:eastAsia="仿宋_GB2312" w:cs="Arial"/>
      <w:sz w:val="28"/>
    </w:rPr>
  </w:style>
  <w:style w:type="character" w:customStyle="1" w:styleId="105">
    <w:name w:val="Char Char1"/>
    <w:qFormat/>
    <w:locked/>
    <w:uiPriority w:val="0"/>
    <w:rPr>
      <w:rFonts w:ascii="宋体" w:hAnsi="Courier New" w:eastAsia="宋体"/>
      <w:kern w:val="2"/>
      <w:sz w:val="21"/>
      <w:lang w:val="en-US" w:eastAsia="zh-CN" w:bidi="ar-SA"/>
    </w:rPr>
  </w:style>
  <w:style w:type="character" w:customStyle="1" w:styleId="106">
    <w:name w:val="Plain Text Char"/>
    <w:qFormat/>
    <w:locked/>
    <w:uiPriority w:val="0"/>
    <w:rPr>
      <w:rFonts w:ascii="宋体" w:hAnsi="Courier New" w:eastAsia="宋体" w:cs="Times New Roman"/>
      <w:sz w:val="20"/>
      <w:szCs w:val="20"/>
    </w:rPr>
  </w:style>
  <w:style w:type="paragraph" w:customStyle="1" w:styleId="107">
    <w:name w:val="样式7"/>
    <w:basedOn w:val="1"/>
    <w:qFormat/>
    <w:uiPriority w:val="0"/>
    <w:pPr>
      <w:adjustRightInd/>
      <w:spacing w:line="360" w:lineRule="auto"/>
      <w:ind w:firstLine="567"/>
      <w:jc w:val="both"/>
      <w:textAlignment w:val="auto"/>
    </w:pPr>
    <w:rPr>
      <w:rFonts w:ascii="仿宋_GB2312" w:eastAsia="仿宋_GB2312"/>
      <w:kern w:val="2"/>
      <w:sz w:val="28"/>
    </w:rPr>
  </w:style>
  <w:style w:type="paragraph" w:customStyle="1" w:styleId="108">
    <w:name w:val="pic-info"/>
    <w:basedOn w:val="1"/>
    <w:qFormat/>
    <w:uiPriority w:val="0"/>
    <w:pPr>
      <w:widowControl/>
      <w:adjustRightInd/>
      <w:spacing w:before="100" w:beforeAutospacing="1" w:after="100" w:afterAutospacing="1" w:line="240" w:lineRule="auto"/>
      <w:textAlignment w:val="auto"/>
    </w:pPr>
    <w:rPr>
      <w:rFonts w:ascii="宋体" w:hAnsi="宋体" w:cs="宋体"/>
      <w:szCs w:val="24"/>
    </w:rPr>
  </w:style>
  <w:style w:type="character" w:customStyle="1" w:styleId="109">
    <w:name w:val="oline"/>
    <w:qFormat/>
    <w:uiPriority w:val="0"/>
  </w:style>
  <w:style w:type="paragraph" w:customStyle="1" w:styleId="110">
    <w:name w:val="正文11"/>
    <w:basedOn w:val="1"/>
    <w:qFormat/>
    <w:uiPriority w:val="0"/>
    <w:pPr>
      <w:tabs>
        <w:tab w:val="left" w:pos="1135"/>
        <w:tab w:val="left" w:pos="2390"/>
      </w:tabs>
      <w:adjustRightInd/>
      <w:snapToGrid w:val="0"/>
      <w:spacing w:line="360" w:lineRule="auto"/>
      <w:ind w:firstLine="560" w:firstLineChars="200"/>
      <w:textAlignment w:val="auto"/>
    </w:pPr>
    <w:rPr>
      <w:rFonts w:eastAsia="仿宋_GB2312"/>
      <w:kern w:val="2"/>
      <w:sz w:val="28"/>
      <w:szCs w:val="24"/>
    </w:rPr>
  </w:style>
  <w:style w:type="paragraph" w:customStyle="1" w:styleId="111">
    <w:name w:val="正文4"/>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112">
    <w:name w:val="正文5"/>
    <w:qFormat/>
    <w:uiPriority w:val="0"/>
    <w:pPr>
      <w:widowControl w:val="0"/>
      <w:adjustRightInd w:val="0"/>
      <w:spacing w:line="360" w:lineRule="atLeast"/>
    </w:pPr>
    <w:rPr>
      <w:rFonts w:ascii="宋体" w:hAnsi="Times New Roman" w:eastAsia="宋体" w:cs="Times New Roman"/>
      <w:sz w:val="34"/>
      <w:lang w:val="en-US" w:eastAsia="zh-CN" w:bidi="ar-SA"/>
    </w:rPr>
  </w:style>
  <w:style w:type="paragraph" w:customStyle="1" w:styleId="113">
    <w:name w:val="正文6"/>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character" w:customStyle="1" w:styleId="114">
    <w:name w:val="尾注文本 Char"/>
    <w:basedOn w:val="37"/>
    <w:link w:val="19"/>
    <w:semiHidden/>
    <w:qFormat/>
    <w:uiPriority w:val="99"/>
    <w:rPr>
      <w:rFonts w:ascii="Times New Roman" w:hAnsi="Times New Roman" w:eastAsia="宋体" w:cs="Times New Roman"/>
      <w:kern w:val="0"/>
      <w:sz w:val="24"/>
      <w:szCs w:val="20"/>
    </w:rPr>
  </w:style>
  <w:style w:type="paragraph" w:customStyle="1" w:styleId="115">
    <w:name w:val="Body text|2"/>
    <w:basedOn w:val="1"/>
    <w:qFormat/>
    <w:uiPriority w:val="0"/>
    <w:pPr>
      <w:spacing w:line="577" w:lineRule="exact"/>
      <w:ind w:firstLine="460"/>
    </w:pPr>
    <w:rPr>
      <w:rFonts w:ascii="宋体" w:hAnsi="宋体" w:cs="宋体"/>
      <w:sz w:val="26"/>
      <w:szCs w:val="26"/>
      <w:lang w:val="zh-TW" w:eastAsia="zh-TW" w:bidi="zh-TW"/>
    </w:rPr>
  </w:style>
  <w:style w:type="character" w:customStyle="1" w:styleId="116">
    <w:name w:val="font21"/>
    <w:basedOn w:val="37"/>
    <w:qFormat/>
    <w:uiPriority w:val="0"/>
    <w:rPr>
      <w:rFonts w:ascii="Arial" w:hAnsi="Arial" w:cs="Arial"/>
      <w:color w:val="000000"/>
      <w:sz w:val="22"/>
      <w:szCs w:val="22"/>
      <w:u w:val="none"/>
    </w:rPr>
  </w:style>
  <w:style w:type="character" w:customStyle="1" w:styleId="117">
    <w:name w:val="font71"/>
    <w:basedOn w:val="37"/>
    <w:qFormat/>
    <w:uiPriority w:val="0"/>
    <w:rPr>
      <w:rFonts w:ascii="Batang" w:hAnsi="Batang" w:eastAsia="Batang" w:cs="Batang"/>
      <w:color w:val="000000"/>
      <w:sz w:val="22"/>
      <w:szCs w:val="22"/>
      <w:u w:val="none"/>
    </w:rPr>
  </w:style>
  <w:style w:type="character" w:customStyle="1" w:styleId="118">
    <w:name w:val="font31"/>
    <w:basedOn w:val="37"/>
    <w:qFormat/>
    <w:uiPriority w:val="0"/>
    <w:rPr>
      <w:rFonts w:hint="default" w:ascii="仿宋_GB2312" w:eastAsia="仿宋_GB2312" w:cs="仿宋_GB2312"/>
      <w:color w:val="000000"/>
      <w:sz w:val="22"/>
      <w:szCs w:val="22"/>
      <w:u w:val="none"/>
    </w:rPr>
  </w:style>
  <w:style w:type="character" w:customStyle="1" w:styleId="119">
    <w:name w:val="font41"/>
    <w:basedOn w:val="37"/>
    <w:qFormat/>
    <w:uiPriority w:val="0"/>
    <w:rPr>
      <w:rFonts w:hint="eastAsia" w:ascii="宋体" w:hAnsi="宋体" w:eastAsia="宋体" w:cs="宋体"/>
      <w:color w:val="000000"/>
      <w:sz w:val="22"/>
      <w:szCs w:val="22"/>
      <w:u w:val="none"/>
    </w:rPr>
  </w:style>
  <w:style w:type="character" w:customStyle="1" w:styleId="120">
    <w:name w:val="font01"/>
    <w:basedOn w:val="37"/>
    <w:qFormat/>
    <w:uiPriority w:val="0"/>
    <w:rPr>
      <w:rFonts w:ascii="仿宋_GB2312" w:eastAsia="仿宋_GB2312" w:cs="仿宋_GB2312"/>
      <w:color w:val="000000"/>
      <w:sz w:val="22"/>
      <w:szCs w:val="22"/>
      <w:u w:val="none"/>
    </w:rPr>
  </w:style>
  <w:style w:type="paragraph" w:customStyle="1" w:styleId="121">
    <w:name w:val="正文7"/>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table" w:customStyle="1" w:styleId="1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7" Type="http://schemas.openxmlformats.org/officeDocument/2006/relationships/fontTable" Target="fontTable.xml"/><Relationship Id="rId66" Type="http://schemas.openxmlformats.org/officeDocument/2006/relationships/customXml" Target="../customXml/item1.xml"/><Relationship Id="rId65" Type="http://schemas.openxmlformats.org/officeDocument/2006/relationships/numbering" Target="numbering.xml"/><Relationship Id="rId64" Type="http://schemas.openxmlformats.org/officeDocument/2006/relationships/image" Target="media/image12.png"/><Relationship Id="rId63" Type="http://schemas.openxmlformats.org/officeDocument/2006/relationships/image" Target="media/image11.png"/><Relationship Id="rId62" Type="http://schemas.openxmlformats.org/officeDocument/2006/relationships/image" Target="media/image10.png"/><Relationship Id="rId61" Type="http://schemas.openxmlformats.org/officeDocument/2006/relationships/image" Target="media/image9.png"/><Relationship Id="rId60" Type="http://schemas.openxmlformats.org/officeDocument/2006/relationships/image" Target="media/image8.png"/><Relationship Id="rId6" Type="http://schemas.openxmlformats.org/officeDocument/2006/relationships/header" Target="header2.xml"/><Relationship Id="rId59" Type="http://schemas.openxmlformats.org/officeDocument/2006/relationships/image" Target="media/image7.png"/><Relationship Id="rId58" Type="http://schemas.openxmlformats.org/officeDocument/2006/relationships/chart" Target="charts/chart6.xml"/><Relationship Id="rId57" Type="http://schemas.openxmlformats.org/officeDocument/2006/relationships/chart" Target="charts/chart5.xml"/><Relationship Id="rId56" Type="http://schemas.openxmlformats.org/officeDocument/2006/relationships/chart" Target="charts/chart4.xml"/><Relationship Id="rId55" Type="http://schemas.openxmlformats.org/officeDocument/2006/relationships/image" Target="media/image6.png"/><Relationship Id="rId54" Type="http://schemas.openxmlformats.org/officeDocument/2006/relationships/image" Target="media/image5.png"/><Relationship Id="rId53" Type="http://schemas.openxmlformats.org/officeDocument/2006/relationships/chart" Target="charts/chart3.xml"/><Relationship Id="rId52" Type="http://schemas.openxmlformats.org/officeDocument/2006/relationships/chart" Target="charts/chart2.xml"/><Relationship Id="rId51" Type="http://schemas.openxmlformats.org/officeDocument/2006/relationships/image" Target="media/image4.png"/><Relationship Id="rId50" Type="http://schemas.openxmlformats.org/officeDocument/2006/relationships/image" Target="media/image3.png"/><Relationship Id="rId5" Type="http://schemas.openxmlformats.org/officeDocument/2006/relationships/header" Target="header1.xml"/><Relationship Id="rId49" Type="http://schemas.openxmlformats.org/officeDocument/2006/relationships/chart" Target="charts/chart1.xml"/><Relationship Id="rId48" Type="http://schemas.openxmlformats.org/officeDocument/2006/relationships/theme" Target="theme/theme1.xml"/><Relationship Id="rId47" Type="http://schemas.openxmlformats.org/officeDocument/2006/relationships/footer" Target="footer25.xml"/><Relationship Id="rId46" Type="http://schemas.openxmlformats.org/officeDocument/2006/relationships/header" Target="header18.xml"/><Relationship Id="rId45" Type="http://schemas.openxmlformats.org/officeDocument/2006/relationships/header" Target="header17.xml"/><Relationship Id="rId44" Type="http://schemas.openxmlformats.org/officeDocument/2006/relationships/footer" Target="footer24.xml"/><Relationship Id="rId43" Type="http://schemas.openxmlformats.org/officeDocument/2006/relationships/footer" Target="footer23.xml"/><Relationship Id="rId42" Type="http://schemas.openxmlformats.org/officeDocument/2006/relationships/header" Target="header16.xml"/><Relationship Id="rId41" Type="http://schemas.openxmlformats.org/officeDocument/2006/relationships/footer" Target="footer22.xml"/><Relationship Id="rId40" Type="http://schemas.openxmlformats.org/officeDocument/2006/relationships/footer" Target="footer21.xml"/><Relationship Id="rId4" Type="http://schemas.openxmlformats.org/officeDocument/2006/relationships/endnotes" Target="endnotes.xml"/><Relationship Id="rId39" Type="http://schemas.openxmlformats.org/officeDocument/2006/relationships/header" Target="header15.xml"/><Relationship Id="rId38" Type="http://schemas.openxmlformats.org/officeDocument/2006/relationships/footer" Target="footer20.xml"/><Relationship Id="rId37" Type="http://schemas.openxmlformats.org/officeDocument/2006/relationships/header" Target="header14.xml"/><Relationship Id="rId36" Type="http://schemas.openxmlformats.org/officeDocument/2006/relationships/footer" Target="footer19.xml"/><Relationship Id="rId35" Type="http://schemas.openxmlformats.org/officeDocument/2006/relationships/footer" Target="footer18.xml"/><Relationship Id="rId34" Type="http://schemas.openxmlformats.org/officeDocument/2006/relationships/header" Target="header13.xml"/><Relationship Id="rId33" Type="http://schemas.openxmlformats.org/officeDocument/2006/relationships/footer" Target="footer17.xml"/><Relationship Id="rId32" Type="http://schemas.openxmlformats.org/officeDocument/2006/relationships/footer" Target="footer16.xml"/><Relationship Id="rId31" Type="http://schemas.openxmlformats.org/officeDocument/2006/relationships/header" Target="header12.xml"/><Relationship Id="rId30" Type="http://schemas.openxmlformats.org/officeDocument/2006/relationships/footer" Target="footer15.xml"/><Relationship Id="rId3" Type="http://schemas.openxmlformats.org/officeDocument/2006/relationships/footnotes" Target="footnotes.xml"/><Relationship Id="rId29" Type="http://schemas.openxmlformats.org/officeDocument/2006/relationships/header" Target="header1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header" Target="header6.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footer" Target="footer5.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cuikai\Desktop\22&#24180;&#24066;&#22330;&#20998;&#26512;\&#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1-cuikai\Desktop\23&#24180;&#24066;&#22330;&#20998;&#26512;\2023&#24180;1&#23395;&#24230;&#22320;&#20215;&#30417;&#27979;.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cuikai\Desktop\23&#24180;&#24066;&#22330;&#20998;&#26512;\2023&#24180;1&#23395;&#24230;&#22320;&#20215;&#30417;&#27979;.xlsx" TargetMode="External"/></Relationships>
</file>

<file path=word/charts/_rels/chart4.xml.rels><?xml version="1.0" encoding="UTF-8" standalone="yes"?>
<Relationships xmlns="http://schemas.openxmlformats.org/package/2006/relationships"><Relationship Id="rId2" Type="http://schemas.openxmlformats.org/officeDocument/2006/relationships/themeOverride" Target="../theme/themeOverride4.xml"/><Relationship Id="rId1" Type="http://schemas.openxmlformats.org/officeDocument/2006/relationships/oleObject" Target="file:///C:\Users\1-cuikai\Desktop\22&#24180;&#24066;&#22330;&#20998;&#26512;\&#25968;&#25454;&#27719;&#38598;&#20998;&#26512;&#65288;&#24635;&#34920;&#65289;.xlsx" TargetMode="External"/></Relationships>
</file>

<file path=word/charts/_rels/chart5.xml.rels><?xml version="1.0" encoding="UTF-8" standalone="yes"?>
<Relationships xmlns="http://schemas.openxmlformats.org/package/2006/relationships"><Relationship Id="rId2" Type="http://schemas.openxmlformats.org/officeDocument/2006/relationships/themeOverride" Target="../theme/themeOverride5.xml"/><Relationship Id="rId1" Type="http://schemas.openxmlformats.org/officeDocument/2006/relationships/oleObject" Target="file:///C:\Users\1-cuikai\Desktop\23&#24180;&#24066;&#22330;&#20998;&#26512;\2023&#24180;1&#23395;&#24230;&#22320;&#20215;&#30417;&#27979;.xlsx" TargetMode="External"/></Relationships>
</file>

<file path=word/charts/_rels/chart6.xml.rels><?xml version="1.0" encoding="UTF-8" standalone="yes"?>
<Relationships xmlns="http://schemas.openxmlformats.org/package/2006/relationships"><Relationship Id="rId2" Type="http://schemas.openxmlformats.org/officeDocument/2006/relationships/themeOverride" Target="../theme/themeOverride6.xml"/><Relationship Id="rId1" Type="http://schemas.openxmlformats.org/officeDocument/2006/relationships/oleObject" Target="file:///C:\Users\1-cuikai\Desktop\23&#24180;&#24066;&#22330;&#20998;&#26512;\2023&#24180;1&#23395;&#24230;&#22320;&#20215;&#30417;&#2797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219092864"/>
        <c:axId val="219094400"/>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28435328"/>
        <c:axId val="128436864"/>
      </c:lineChart>
      <c:catAx>
        <c:axId val="219092864"/>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4400"/>
        <c:crosses val="autoZero"/>
        <c:auto val="1"/>
        <c:lblAlgn val="ctr"/>
        <c:lblOffset val="100"/>
        <c:noMultiLvlLbl val="0"/>
      </c:catAx>
      <c:valAx>
        <c:axId val="219094400"/>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19092864"/>
        <c:crosses val="autoZero"/>
        <c:crossBetween val="between"/>
        <c:majorUnit val="500"/>
      </c:valAx>
      <c:catAx>
        <c:axId val="128435328"/>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6864"/>
        <c:crosses val="autoZero"/>
        <c:auto val="1"/>
        <c:lblAlgn val="ctr"/>
        <c:lblOffset val="100"/>
        <c:noMultiLvlLbl val="0"/>
      </c:catAx>
      <c:valAx>
        <c:axId val="12843686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35328"/>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28474496"/>
        <c:axId val="128480384"/>
      </c:lineChart>
      <c:catAx>
        <c:axId val="12847449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80384"/>
        <c:crosses val="autoZero"/>
        <c:auto val="1"/>
        <c:lblAlgn val="ctr"/>
        <c:lblOffset val="100"/>
        <c:noMultiLvlLbl val="0"/>
      </c:catAx>
      <c:valAx>
        <c:axId val="12848038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7449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28497536"/>
        <c:axId val="128499072"/>
      </c:lineChart>
      <c:catAx>
        <c:axId val="1284975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28499072"/>
        <c:crosses val="autoZero"/>
        <c:auto val="1"/>
        <c:lblAlgn val="ctr"/>
        <c:lblOffset val="100"/>
        <c:noMultiLvlLbl val="0"/>
      </c:catAx>
      <c:valAx>
        <c:axId val="128499072"/>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497536"/>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人口!$D$90</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人口!$A$85:$A$89</c:f>
              <c:strCache>
                <c:ptCount val="5"/>
                <c:pt idx="0">
                  <c:v>2018年</c:v>
                </c:pt>
                <c:pt idx="1">
                  <c:v>2019年</c:v>
                </c:pt>
                <c:pt idx="2">
                  <c:v>2020年</c:v>
                </c:pt>
                <c:pt idx="3">
                  <c:v>2021年</c:v>
                </c:pt>
                <c:pt idx="4">
                  <c:v>2022年</c:v>
                </c:pt>
              </c:strCache>
            </c:strRef>
          </c:cat>
          <c:val>
            <c:numRef>
              <c:f>人口!$D$85:$D$89</c:f>
              <c:numCache>
                <c:formatCode>General</c:formatCode>
                <c:ptCount val="5"/>
                <c:pt idx="0">
                  <c:v>2154.2</c:v>
                </c:pt>
                <c:pt idx="1">
                  <c:v>2153.6</c:v>
                </c:pt>
                <c:pt idx="2">
                  <c:v>2189.3</c:v>
                </c:pt>
                <c:pt idx="3">
                  <c:v>2188.6</c:v>
                </c:pt>
                <c:pt idx="4">
                  <c:v>2184.3</c:v>
                </c:pt>
              </c:numCache>
            </c:numRef>
          </c:val>
        </c:ser>
        <c:dLbls>
          <c:showLegendKey val="0"/>
          <c:showVal val="0"/>
          <c:showCatName val="0"/>
          <c:showSerName val="0"/>
          <c:showPercent val="0"/>
          <c:showBubbleSize val="0"/>
        </c:dLbls>
        <c:gapWidth val="150"/>
        <c:axId val="128515072"/>
        <c:axId val="133890816"/>
      </c:barChart>
      <c:lineChart>
        <c:grouping val="standard"/>
        <c:varyColors val="0"/>
        <c:ser>
          <c:idx val="1"/>
          <c:order val="1"/>
          <c:tx>
            <c:strRef>
              <c:f>人口!$M$90</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人口!$A$85:$A$89</c:f>
              <c:strCache>
                <c:ptCount val="5"/>
                <c:pt idx="0">
                  <c:v>2018年</c:v>
                </c:pt>
                <c:pt idx="1">
                  <c:v>2019年</c:v>
                </c:pt>
                <c:pt idx="2">
                  <c:v>2020年</c:v>
                </c:pt>
                <c:pt idx="3">
                  <c:v>2021年</c:v>
                </c:pt>
                <c:pt idx="4">
                  <c:v>2022年</c:v>
                </c:pt>
              </c:strCache>
            </c:strRef>
          </c:cat>
          <c:val>
            <c:numRef>
              <c:f>人口!$M$85:$M$89</c:f>
              <c:numCache>
                <c:formatCode>0.00%</c:formatCode>
                <c:ptCount val="5"/>
                <c:pt idx="0">
                  <c:v>-0.00760123462477547</c:v>
                </c:pt>
                <c:pt idx="1">
                  <c:v>-0.00027852567078257</c:v>
                </c:pt>
                <c:pt idx="2">
                  <c:v>0.0165768945022289</c:v>
                </c:pt>
                <c:pt idx="3">
                  <c:v>-0.000319736902206325</c:v>
                </c:pt>
                <c:pt idx="4">
                  <c:v>-0.00196472630905586</c:v>
                </c:pt>
              </c:numCache>
            </c:numRef>
          </c:val>
          <c:smooth val="0"/>
        </c:ser>
        <c:dLbls>
          <c:showLegendKey val="0"/>
          <c:showVal val="0"/>
          <c:showCatName val="0"/>
          <c:showSerName val="0"/>
          <c:showPercent val="0"/>
          <c:showBubbleSize val="0"/>
        </c:dLbls>
        <c:marker val="0"/>
        <c:smooth val="0"/>
        <c:axId val="133892352"/>
        <c:axId val="133902336"/>
      </c:lineChart>
      <c:catAx>
        <c:axId val="128515072"/>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0816"/>
        <c:crosses val="autoZero"/>
        <c:auto val="1"/>
        <c:lblAlgn val="ctr"/>
        <c:lblOffset val="100"/>
        <c:noMultiLvlLbl val="0"/>
      </c:catAx>
      <c:valAx>
        <c:axId val="13389081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28515072"/>
        <c:crosses val="autoZero"/>
        <c:crossBetween val="between"/>
        <c:majorUnit val="500"/>
      </c:valAx>
      <c:catAx>
        <c:axId val="13389235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02336"/>
        <c:crosses val="autoZero"/>
        <c:auto val="1"/>
        <c:lblAlgn val="ctr"/>
        <c:lblOffset val="100"/>
        <c:noMultiLvlLbl val="0"/>
      </c:catAx>
      <c:valAx>
        <c:axId val="133902336"/>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89235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126644777581761"/>
          <c:y val="0.0327255726975222"/>
        </c:manualLayout>
      </c:layout>
      <c:overlay val="0"/>
    </c:title>
    <c:autoTitleDeleted val="0"/>
    <c:plotArea>
      <c:layout>
        <c:manualLayout>
          <c:layoutTarget val="inner"/>
          <c:xMode val="edge"/>
          <c:yMode val="edge"/>
          <c:x val="0.0973688145675254"/>
          <c:y val="0.199322297195319"/>
          <c:w val="0.860687808990671"/>
          <c:h val="0.632842265684531"/>
        </c:manualLayout>
      </c:layout>
      <c:lineChart>
        <c:grouping val="standard"/>
        <c:varyColors val="0"/>
        <c:ser>
          <c:idx val="1"/>
          <c:order val="0"/>
          <c:tx>
            <c:strRef>
              <c:f>'2023年地价监测结果'!$D$4</c:f>
              <c:strCache>
                <c:ptCount val="1"/>
                <c:pt idx="0">
                  <c:v>商业（中心城区）</c:v>
                </c:pt>
              </c:strCache>
            </c:strRef>
          </c:tx>
          <c:spPr>
            <a:ln w="28575" cap="rnd" cmpd="sng" algn="ctr">
              <a:solidFill>
                <a:schemeClr val="accent1"/>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'2023年地价监测结果'!$D$5:$D$13</c:f>
              <c:numCache>
                <c:formatCode>0.00%</c:formatCode>
                <c:ptCount val="9"/>
                <c:pt idx="0">
                  <c:v>0.0016</c:v>
                </c:pt>
                <c:pt idx="1">
                  <c:v>0.0072</c:v>
                </c:pt>
                <c:pt idx="2">
                  <c:v>0.0041</c:v>
                </c:pt>
                <c:pt idx="3">
                  <c:v>0.0024</c:v>
                </c:pt>
                <c:pt idx="4">
                  <c:v>0.0044</c:v>
                </c:pt>
                <c:pt idx="5">
                  <c:v>0.0015</c:v>
                </c:pt>
                <c:pt idx="6">
                  <c:v>0.0032</c:v>
                </c:pt>
                <c:pt idx="7">
                  <c:v>0.002</c:v>
                </c:pt>
                <c:pt idx="8">
                  <c:v>0.0074</c:v>
                </c:pt>
              </c:numCache>
            </c:numRef>
          </c:val>
          <c:smooth val="0"/>
        </c:ser>
        <c:ser>
          <c:idx val="2"/>
          <c:order val="1"/>
          <c:tx>
            <c:strRef>
              <c:f>'2023年地价监测结果'!$J$4</c:f>
              <c:strCache>
                <c:ptCount val="1"/>
                <c:pt idx="0">
                  <c:v>办公（中心城区）</c:v>
                </c:pt>
              </c:strCache>
            </c:strRef>
          </c:tx>
          <c:spPr>
            <a:ln w="22225" cap="rnd" cmpd="sng" algn="ctr">
              <a:solidFill>
                <a:schemeClr val="accent3">
                  <a:shade val="95000"/>
                  <a:satMod val="105000"/>
                </a:schemeClr>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'2023年地价监测结果'!$J$5:$J$13</c:f>
              <c:numCache>
                <c:formatCode>0.00%</c:formatCode>
                <c:ptCount val="9"/>
                <c:pt idx="0">
                  <c:v>-0.0025</c:v>
                </c:pt>
                <c:pt idx="1">
                  <c:v>0.0041</c:v>
                </c:pt>
                <c:pt idx="2">
                  <c:v>0.0024</c:v>
                </c:pt>
                <c:pt idx="3">
                  <c:v>0.0007</c:v>
                </c:pt>
                <c:pt idx="4">
                  <c:v>0.0037</c:v>
                </c:pt>
                <c:pt idx="5">
                  <c:v>0.0001</c:v>
                </c:pt>
                <c:pt idx="6">
                  <c:v>0.0023</c:v>
                </c:pt>
                <c:pt idx="7">
                  <c:v>0.0011</c:v>
                </c:pt>
                <c:pt idx="8">
                  <c:v>0.0057</c:v>
                </c:pt>
              </c:numCache>
            </c:numRef>
          </c:val>
          <c:smooth val="0"/>
        </c:ser>
        <c:dLbls>
          <c:showLegendKey val="0"/>
          <c:showVal val="0"/>
          <c:showCatName val="0"/>
          <c:showSerName val="0"/>
          <c:showPercent val="0"/>
          <c:showBubbleSize val="0"/>
        </c:dLbls>
        <c:marker val="0"/>
        <c:smooth val="0"/>
        <c:axId val="133919488"/>
        <c:axId val="133921024"/>
      </c:lineChart>
      <c:catAx>
        <c:axId val="133919488"/>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21024"/>
        <c:crosses val="autoZero"/>
        <c:auto val="1"/>
        <c:lblAlgn val="ctr"/>
        <c:lblOffset val="100"/>
        <c:noMultiLvlLbl val="0"/>
      </c:catAx>
      <c:valAx>
        <c:axId val="13392102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19488"/>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a:latin typeface="华文细黑" panose="02010600040101010101" pitchFamily="2" charset="-122"/>
                <a:ea typeface="华文细黑" panose="02010600040101010101" pitchFamily="2" charset="-122"/>
              </a:rPr>
              <a:t>北京</a:t>
            </a:r>
            <a:r>
              <a:rPr lang="zh-CN" altLang="en-US" sz="1100">
                <a:latin typeface="华文细黑" panose="02010600040101010101" pitchFamily="2" charset="-122"/>
                <a:ea typeface="华文细黑" panose="02010600040101010101" pitchFamily="2" charset="-122"/>
              </a:rPr>
              <a:t>地价增长率</a:t>
            </a:r>
            <a:endParaRPr lang="zh-CN" altLang="en-US" sz="1100">
              <a:latin typeface="华文细黑" panose="02010600040101010101" pitchFamily="2" charset="-122"/>
              <a:ea typeface="华文细黑" panose="02010600040101010101" pitchFamily="2" charset="-122"/>
            </a:endParaRPr>
          </a:p>
        </c:rich>
      </c:tx>
      <c:layout>
        <c:manualLayout>
          <c:xMode val="edge"/>
          <c:yMode val="edge"/>
          <c:x val="0.0242992400819008"/>
          <c:y val="0.0277242538981203"/>
        </c:manualLayout>
      </c:layout>
      <c:overlay val="0"/>
    </c:title>
    <c:autoTitleDeleted val="0"/>
    <c:plotArea>
      <c:layout>
        <c:manualLayout>
          <c:layoutTarget val="inner"/>
          <c:xMode val="edge"/>
          <c:yMode val="edge"/>
          <c:x val="0.0972328720690018"/>
          <c:y val="0.213706081484133"/>
          <c:w val="0.860687808990671"/>
          <c:h val="0.632842265684531"/>
        </c:manualLayout>
      </c:layout>
      <c:lineChart>
        <c:grouping val="standard"/>
        <c:varyColors val="0"/>
        <c:ser>
          <c:idx val="0"/>
          <c:order val="0"/>
          <c:tx>
            <c:strRef>
              <c:f>'2023年地价监测结果'!$G$4</c:f>
              <c:strCache>
                <c:ptCount val="1"/>
                <c:pt idx="0">
                  <c:v>商业（规划新城）</c:v>
                </c:pt>
              </c:strCache>
            </c:strRef>
          </c:tx>
          <c:spPr>
            <a:ln w="28575" cap="rnd" cmpd="sng" algn="ctr">
              <a:solidFill>
                <a:schemeClr val="accent1">
                  <a:shade val="95000"/>
                  <a:satMod val="105000"/>
                </a:schemeClr>
              </a:solidFill>
              <a:prstDash val="dash"/>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'2023年地价监测结果'!$G$5:$G$13</c:f>
              <c:numCache>
                <c:formatCode>0.00%</c:formatCode>
                <c:ptCount val="9"/>
                <c:pt idx="0">
                  <c:v>0.0035</c:v>
                </c:pt>
                <c:pt idx="1">
                  <c:v>0.0055</c:v>
                </c:pt>
                <c:pt idx="2">
                  <c:v>0.0047</c:v>
                </c:pt>
                <c:pt idx="3">
                  <c:v>0.0058</c:v>
                </c:pt>
                <c:pt idx="4">
                  <c:v>0.006</c:v>
                </c:pt>
                <c:pt idx="5">
                  <c:v>-0.0011</c:v>
                </c:pt>
                <c:pt idx="6">
                  <c:v>0.003</c:v>
                </c:pt>
                <c:pt idx="7">
                  <c:v>0.0045</c:v>
                </c:pt>
                <c:pt idx="8">
                  <c:v>0.0055</c:v>
                </c:pt>
              </c:numCache>
            </c:numRef>
          </c:val>
          <c:smooth val="0"/>
        </c:ser>
        <c:ser>
          <c:idx val="3"/>
          <c:order val="1"/>
          <c:tx>
            <c:strRef>
              <c:f>'2023年地价监测结果'!$I$4</c:f>
              <c:strCache>
                <c:ptCount val="1"/>
                <c:pt idx="0">
                  <c:v>办公（规划新城）</c:v>
                </c:pt>
              </c:strCache>
            </c:strRef>
          </c:tx>
          <c:spPr>
            <a:ln w="22225" cap="rnd" cmpd="sng" algn="ctr">
              <a:solidFill>
                <a:srgbClr val="92D050"/>
              </a:solidFill>
              <a:prstDash val="solid"/>
              <a:round/>
            </a:ln>
          </c:spPr>
          <c:marker>
            <c:symbol val="none"/>
          </c:marker>
          <c:dLbls>
            <c:delete val="1"/>
          </c:dLbls>
          <c:cat>
            <c:numRef>
              <c:f>'2023年地价监测结果'!$A$5:$A$13</c:f>
              <c:numCache>
                <c:formatCode>General</c:formatCode>
                <c:ptCount val="9"/>
                <c:pt idx="0">
                  <c:v>2021.1</c:v>
                </c:pt>
                <c:pt idx="1">
                  <c:v>2021.2</c:v>
                </c:pt>
                <c:pt idx="2">
                  <c:v>2021.3</c:v>
                </c:pt>
                <c:pt idx="3">
                  <c:v>2021.4</c:v>
                </c:pt>
                <c:pt idx="4">
                  <c:v>2022.1</c:v>
                </c:pt>
                <c:pt idx="5">
                  <c:v>2022.2</c:v>
                </c:pt>
                <c:pt idx="6">
                  <c:v>2022.3</c:v>
                </c:pt>
                <c:pt idx="7">
                  <c:v>2022.4</c:v>
                </c:pt>
                <c:pt idx="8">
                  <c:v>2023.1</c:v>
                </c:pt>
              </c:numCache>
            </c:numRef>
          </c:cat>
          <c:val>
            <c:numRef>
              <c:f>'2023年地价监测结果'!$I$5:$I$13</c:f>
              <c:numCache>
                <c:formatCode>0.00%</c:formatCode>
                <c:ptCount val="9"/>
                <c:pt idx="0">
                  <c:v>0.0048</c:v>
                </c:pt>
                <c:pt idx="1">
                  <c:v>0.0046</c:v>
                </c:pt>
                <c:pt idx="2">
                  <c:v>0.0028</c:v>
                </c:pt>
                <c:pt idx="3">
                  <c:v>0.0008</c:v>
                </c:pt>
                <c:pt idx="4">
                  <c:v>0.0045</c:v>
                </c:pt>
                <c:pt idx="5">
                  <c:v>-0.0013</c:v>
                </c:pt>
                <c:pt idx="6">
                  <c:v>0.0029</c:v>
                </c:pt>
                <c:pt idx="7">
                  <c:v>0.002</c:v>
                </c:pt>
                <c:pt idx="8">
                  <c:v>0.0059</c:v>
                </c:pt>
              </c:numCache>
            </c:numRef>
          </c:val>
          <c:smooth val="0"/>
        </c:ser>
        <c:dLbls>
          <c:showLegendKey val="0"/>
          <c:showVal val="0"/>
          <c:showCatName val="0"/>
          <c:showSerName val="0"/>
          <c:showPercent val="0"/>
          <c:showBubbleSize val="0"/>
        </c:dLbls>
        <c:marker val="0"/>
        <c:smooth val="0"/>
        <c:axId val="133934080"/>
        <c:axId val="133944064"/>
      </c:lineChart>
      <c:catAx>
        <c:axId val="13393408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133944064"/>
        <c:crosses val="autoZero"/>
        <c:auto val="1"/>
        <c:lblAlgn val="ctr"/>
        <c:lblOffset val="100"/>
        <c:noMultiLvlLbl val="0"/>
      </c:catAx>
      <c:valAx>
        <c:axId val="133944064"/>
        <c:scaling>
          <c:orientation val="minMax"/>
          <c:max val="0.01"/>
          <c:min val="-0.005"/>
        </c:scaling>
        <c:delete val="0"/>
        <c:axPos val="l"/>
        <c:majorGridlines>
          <c:spPr>
            <a:ln w="9525" cap="flat" cmpd="sng" algn="ctr">
              <a:solidFill>
                <a:srgbClr val="C0C0C0"/>
              </a:solidFill>
              <a:prstDash val="solid"/>
              <a:round/>
            </a:ln>
          </c:spPr>
        </c:majorGridlines>
        <c:numFmt formatCode="0.00%" sourceLinked="1"/>
        <c:majorTickMark val="none"/>
        <c:minorTickMark val="none"/>
        <c:tickLblPos val="nextTo"/>
        <c:spPr>
          <a:ln w="9525" cap="flat" cmpd="sng" algn="ctr">
            <a:noFill/>
            <a:prstDash val="solid"/>
            <a:round/>
          </a:ln>
        </c:spPr>
        <c:txPr>
          <a:bodyPr rot="-60000000" spcFirstLastPara="0" vertOverflow="ellipsis" vert="horz" wrap="square" anchor="ctr" anchorCtr="1"/>
          <a:lstStyle/>
          <a:p>
            <a:pPr>
              <a:defRPr lang="zh-CN" sz="1000" b="0" i="0" u="none" strike="noStrike" kern="1200" baseline="0">
                <a:solidFill>
                  <a:schemeClr val="tx1"/>
                </a:solidFill>
                <a:latin typeface="Arial" panose="020B0604020202020204" pitchFamily="2" charset="0"/>
                <a:ea typeface="+mn-ea"/>
                <a:cs typeface="Arial" panose="020B0604020202020204" pitchFamily="2" charset="0"/>
              </a:defRPr>
            </a:pPr>
          </a:p>
        </c:txPr>
        <c:crossAx val="133934080"/>
        <c:crosses val="autoZero"/>
        <c:crossBetween val="midCat"/>
        <c:majorUnit val="0.0025"/>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
          <c:y val="0.0748013090229079"/>
          <c:w val="0.656180822556216"/>
          <c:h val="0.0649836372136512"/>
        </c:manualLayout>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solidFill>
      <a:srgbClr val="FFFFFF"/>
    </a:solidFill>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65468-C35D-471F-B7A4-CAE456107AA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137</Pages>
  <Words>78040</Words>
  <Characters>90478</Characters>
  <Lines>718</Lines>
  <Paragraphs>202</Paragraphs>
  <TotalTime>1</TotalTime>
  <ScaleCrop>false</ScaleCrop>
  <LinksUpToDate>false</LinksUpToDate>
  <CharactersWithSpaces>91282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2023-06-10T07:03:00Z</dcterms:created>
  <dc:creator>黄 英</dc:creator>
  <cp:lastModifiedBy>俊然</cp:lastModifiedBy>
  <cp:lastPrinted>2023-06-05T03:03:00Z</cp:lastPrinted>
  <dcterms:modified xsi:type="dcterms:W3CDTF">2023-06-19T03:38:02Z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E3E51D40197E4956B6187E1A53F53A36_13</vt:lpwstr>
  </property>
</Properties>
</file>