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59A91" w14:textId="77777777" w:rsidR="00611DFB" w:rsidRPr="00536829" w:rsidRDefault="00611DFB" w:rsidP="00611DFB">
      <w:pPr>
        <w:spacing w:line="360" w:lineRule="auto"/>
        <w:ind w:firstLineChars="200" w:firstLine="643"/>
        <w:jc w:val="center"/>
        <w:rPr>
          <w:rFonts w:ascii="仿宋" w:eastAsia="仿宋" w:hAnsi="仿宋" w:cs="宋体"/>
          <w:b/>
          <w:bCs/>
          <w:sz w:val="32"/>
          <w:szCs w:val="32"/>
        </w:rPr>
      </w:pPr>
      <w:r w:rsidRPr="00536829">
        <w:rPr>
          <w:rFonts w:ascii="仿宋" w:eastAsia="仿宋" w:hAnsi="仿宋" w:cs="宋体" w:hint="eastAsia"/>
          <w:b/>
          <w:bCs/>
          <w:sz w:val="32"/>
          <w:szCs w:val="32"/>
        </w:rPr>
        <w:t>评估意见函</w:t>
      </w:r>
    </w:p>
    <w:p w14:paraId="2CA76D7E" w14:textId="27967C3D" w:rsidR="00611DFB" w:rsidRDefault="00611DFB" w:rsidP="00611DFB">
      <w:pPr>
        <w:spacing w:line="360" w:lineRule="auto"/>
        <w:ind w:firstLineChars="200" w:firstLine="480"/>
        <w:rPr>
          <w:rFonts w:ascii="仿宋" w:eastAsia="仿宋" w:hAnsi="仿宋" w:cs="宋体"/>
          <w:sz w:val="24"/>
        </w:rPr>
      </w:pPr>
      <w:r>
        <w:rPr>
          <w:rFonts w:ascii="仿宋" w:eastAsia="仿宋" w:hAnsi="仿宋" w:cs="宋体" w:hint="eastAsia"/>
          <w:sz w:val="24"/>
        </w:rPr>
        <w:t>估价对象为：北京市顺义区北京艺兰珠宝厂有限公司持有的基于现状开发条件下的先进村集体土地使用权</w:t>
      </w:r>
      <w:r w:rsidR="00D907D8">
        <w:rPr>
          <w:rFonts w:ascii="仿宋" w:eastAsia="仿宋" w:hAnsi="仿宋" w:cs="宋体" w:hint="eastAsia"/>
          <w:sz w:val="24"/>
        </w:rPr>
        <w:t>及地上房屋</w:t>
      </w:r>
      <w:r>
        <w:rPr>
          <w:rFonts w:ascii="仿宋" w:eastAsia="仿宋" w:hAnsi="仿宋" w:cs="宋体" w:hint="eastAsia"/>
          <w:sz w:val="24"/>
        </w:rPr>
        <w:t>；</w:t>
      </w:r>
    </w:p>
    <w:p w14:paraId="2E2032D2" w14:textId="179784BC" w:rsidR="00611DFB" w:rsidRDefault="00611DFB" w:rsidP="00611DFB">
      <w:pPr>
        <w:spacing w:line="360" w:lineRule="auto"/>
        <w:ind w:firstLineChars="200" w:firstLine="480"/>
        <w:rPr>
          <w:rFonts w:ascii="仿宋" w:eastAsia="仿宋" w:hAnsi="仿宋" w:cs="宋体"/>
          <w:sz w:val="24"/>
        </w:rPr>
      </w:pPr>
      <w:r>
        <w:rPr>
          <w:rFonts w:ascii="仿宋" w:eastAsia="仿宋" w:hAnsi="仿宋" w:cs="宋体" w:hint="eastAsia"/>
          <w:sz w:val="24"/>
        </w:rPr>
        <w:t>估价范围为：根据联系人提供的《关于北京艺兰珠宝厂有限公司土地规划查询函的答复》及介绍，估价对象位于顺义新城第1</w:t>
      </w:r>
      <w:r>
        <w:rPr>
          <w:rFonts w:ascii="仿宋" w:eastAsia="仿宋" w:hAnsi="仿宋" w:cs="宋体"/>
          <w:sz w:val="24"/>
        </w:rPr>
        <w:t>601</w:t>
      </w:r>
      <w:r>
        <w:rPr>
          <w:rFonts w:ascii="仿宋" w:eastAsia="仿宋" w:hAnsi="仿宋" w:cs="宋体" w:hint="eastAsia"/>
          <w:sz w:val="24"/>
        </w:rPr>
        <w:t>街区规划范围内。根据联系人介绍，估价对象总用地面积</w:t>
      </w:r>
      <w:r>
        <w:rPr>
          <w:rFonts w:ascii="仿宋" w:eastAsia="仿宋" w:hAnsi="仿宋" w:cs="宋体"/>
          <w:sz w:val="24"/>
        </w:rPr>
        <w:t>138</w:t>
      </w:r>
      <w:r>
        <w:rPr>
          <w:rFonts w:ascii="仿宋" w:eastAsia="仿宋" w:hAnsi="仿宋" w:cs="宋体" w:hint="eastAsia"/>
          <w:sz w:val="24"/>
        </w:rPr>
        <w:t>亩。现状</w:t>
      </w:r>
      <w:r w:rsidRPr="00AA5BF4">
        <w:rPr>
          <w:rFonts w:ascii="仿宋" w:eastAsia="仿宋" w:hAnsi="仿宋" w:cs="宋体" w:hint="eastAsia"/>
          <w:sz w:val="24"/>
        </w:rPr>
        <w:t>土地开发程度为</w:t>
      </w:r>
      <w:r>
        <w:rPr>
          <w:rFonts w:ascii="仿宋" w:eastAsia="仿宋" w:hAnsi="仿宋" w:cs="宋体" w:hint="eastAsia"/>
          <w:sz w:val="24"/>
        </w:rPr>
        <w:t>“三</w:t>
      </w:r>
      <w:r w:rsidRPr="00AA5BF4">
        <w:rPr>
          <w:rFonts w:ascii="仿宋" w:eastAsia="仿宋" w:hAnsi="仿宋" w:cs="宋体" w:hint="eastAsia"/>
          <w:sz w:val="24"/>
        </w:rPr>
        <w:t>通”</w:t>
      </w:r>
      <w:r>
        <w:rPr>
          <w:rFonts w:ascii="仿宋" w:eastAsia="仿宋" w:hAnsi="仿宋" w:cs="宋体" w:hint="eastAsia"/>
          <w:sz w:val="24"/>
        </w:rPr>
        <w:t>，地上现有房屋3</w:t>
      </w:r>
      <w:r>
        <w:rPr>
          <w:rFonts w:ascii="仿宋" w:eastAsia="仿宋" w:hAnsi="仿宋" w:cs="宋体"/>
          <w:sz w:val="24"/>
        </w:rPr>
        <w:t>1435.8</w:t>
      </w:r>
      <w:r>
        <w:rPr>
          <w:rFonts w:ascii="仿宋" w:eastAsia="仿宋" w:hAnsi="仿宋" w:cs="宋体" w:hint="eastAsia"/>
          <w:sz w:val="24"/>
        </w:rPr>
        <w:t>平方米，其中平房面积2</w:t>
      </w:r>
      <w:r>
        <w:rPr>
          <w:rFonts w:ascii="仿宋" w:eastAsia="仿宋" w:hAnsi="仿宋" w:cs="宋体"/>
          <w:sz w:val="24"/>
        </w:rPr>
        <w:t>322.3</w:t>
      </w:r>
      <w:r>
        <w:rPr>
          <w:rFonts w:ascii="仿宋" w:eastAsia="仿宋" w:hAnsi="仿宋" w:cs="宋体" w:hint="eastAsia"/>
          <w:sz w:val="24"/>
        </w:rPr>
        <w:t>平方米，楼房面积2</w:t>
      </w:r>
      <w:r>
        <w:rPr>
          <w:rFonts w:ascii="仿宋" w:eastAsia="仿宋" w:hAnsi="仿宋" w:cs="宋体"/>
          <w:sz w:val="24"/>
        </w:rPr>
        <w:t>9113.5</w:t>
      </w:r>
      <w:r>
        <w:rPr>
          <w:rFonts w:ascii="仿宋" w:eastAsia="仿宋" w:hAnsi="仿宋" w:cs="宋体" w:hint="eastAsia"/>
          <w:sz w:val="24"/>
        </w:rPr>
        <w:t>平方米。</w:t>
      </w:r>
    </w:p>
    <w:p w14:paraId="244A7709" w14:textId="10A5402A" w:rsidR="00611DFB" w:rsidRDefault="00611DFB" w:rsidP="00611DFB">
      <w:pPr>
        <w:spacing w:line="360" w:lineRule="auto"/>
        <w:ind w:firstLineChars="200" w:firstLine="480"/>
        <w:rPr>
          <w:rFonts w:ascii="仿宋" w:eastAsia="仿宋" w:hAnsi="仿宋" w:cs="宋体"/>
          <w:sz w:val="24"/>
        </w:rPr>
      </w:pPr>
      <w:r>
        <w:rPr>
          <w:rFonts w:ascii="仿宋" w:eastAsia="仿宋" w:hAnsi="仿宋" w:cs="宋体" w:hint="eastAsia"/>
          <w:sz w:val="24"/>
        </w:rPr>
        <w:t>估价基准日：202</w:t>
      </w:r>
      <w:r>
        <w:rPr>
          <w:rFonts w:ascii="仿宋" w:eastAsia="仿宋" w:hAnsi="仿宋" w:cs="宋体"/>
          <w:sz w:val="24"/>
        </w:rPr>
        <w:t>2</w:t>
      </w:r>
      <w:r>
        <w:rPr>
          <w:rFonts w:ascii="仿宋" w:eastAsia="仿宋" w:hAnsi="仿宋" w:cs="宋体" w:hint="eastAsia"/>
          <w:sz w:val="24"/>
        </w:rPr>
        <w:t>年</w:t>
      </w:r>
      <w:r>
        <w:rPr>
          <w:rFonts w:ascii="仿宋" w:eastAsia="仿宋" w:hAnsi="仿宋" w:cs="宋体"/>
          <w:sz w:val="24"/>
        </w:rPr>
        <w:t>7</w:t>
      </w:r>
      <w:r>
        <w:rPr>
          <w:rFonts w:ascii="仿宋" w:eastAsia="仿宋" w:hAnsi="仿宋" w:cs="宋体" w:hint="eastAsia"/>
          <w:sz w:val="24"/>
        </w:rPr>
        <w:t>月1</w:t>
      </w:r>
      <w:r>
        <w:rPr>
          <w:rFonts w:ascii="仿宋" w:eastAsia="仿宋" w:hAnsi="仿宋" w:cs="宋体"/>
          <w:sz w:val="24"/>
        </w:rPr>
        <w:t>2</w:t>
      </w:r>
      <w:r>
        <w:rPr>
          <w:rFonts w:ascii="仿宋" w:eastAsia="仿宋" w:hAnsi="仿宋" w:cs="宋体" w:hint="eastAsia"/>
          <w:sz w:val="24"/>
        </w:rPr>
        <w:t>日</w:t>
      </w:r>
    </w:p>
    <w:p w14:paraId="57C55874" w14:textId="05CC3037" w:rsidR="00611DFB" w:rsidRDefault="00611DFB" w:rsidP="00611DFB">
      <w:pPr>
        <w:spacing w:line="360" w:lineRule="auto"/>
        <w:ind w:firstLineChars="200" w:firstLine="480"/>
        <w:rPr>
          <w:rFonts w:ascii="仿宋" w:eastAsia="仿宋" w:hAnsi="仿宋" w:cs="宋体"/>
          <w:sz w:val="24"/>
        </w:rPr>
      </w:pPr>
      <w:r>
        <w:rPr>
          <w:rFonts w:ascii="仿宋" w:eastAsia="仿宋" w:hAnsi="仿宋" w:cs="宋体" w:hint="eastAsia"/>
          <w:sz w:val="24"/>
        </w:rPr>
        <w:t>价值类型：市场价值</w:t>
      </w:r>
    </w:p>
    <w:p w14:paraId="05625600" w14:textId="43CF49B6" w:rsidR="00ED5F2D" w:rsidRDefault="00ED5F2D" w:rsidP="00611DFB">
      <w:pPr>
        <w:spacing w:line="360" w:lineRule="auto"/>
        <w:ind w:firstLineChars="200" w:firstLine="480"/>
        <w:rPr>
          <w:rFonts w:ascii="仿宋" w:eastAsia="仿宋" w:hAnsi="仿宋" w:cs="宋体"/>
          <w:sz w:val="24"/>
        </w:rPr>
      </w:pPr>
      <w:r w:rsidRPr="00ED5F2D">
        <w:rPr>
          <w:rFonts w:ascii="仿宋" w:eastAsia="仿宋" w:hAnsi="仿宋" w:cs="宋体" w:hint="eastAsia"/>
          <w:sz w:val="24"/>
        </w:rPr>
        <w:t>估价依据</w:t>
      </w:r>
      <w:r>
        <w:rPr>
          <w:rFonts w:ascii="仿宋" w:eastAsia="仿宋" w:hAnsi="仿宋" w:cs="宋体" w:hint="eastAsia"/>
          <w:sz w:val="24"/>
        </w:rPr>
        <w:t>:</w:t>
      </w:r>
    </w:p>
    <w:p w14:paraId="1CB81093"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（一）有关的法律、法规、行政规章及咨询对象所在省市的有关法律法规和政策</w:t>
      </w:r>
    </w:p>
    <w:p w14:paraId="5C6095D1"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14:paraId="00605888"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w:t>
      </w:r>
      <w:r w:rsidRPr="00ED5F2D">
        <w:rPr>
          <w:rFonts w:ascii="仿宋" w:eastAsia="仿宋" w:hAnsi="仿宋" w:cs="宋体" w:hint="eastAsia"/>
          <w:sz w:val="24"/>
        </w:rPr>
        <w:lastRenderedPageBreak/>
        <w:t>自2020年1月1日起施行）</w:t>
      </w:r>
    </w:p>
    <w:p w14:paraId="0B311893"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3.《中华人民共和国城乡规划法》（2007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根据2019年4月23日第十三届全国人民代表大会常务委员会第十次会议通过第二次修正，自公布之日起施行）</w:t>
      </w:r>
    </w:p>
    <w:p w14:paraId="75887799"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4.《中华人民共和国资产评估法》（2016年7月2日第十二届全国人民代表大会常务委员会第二十一次会议通过，2016年3月16日中华人民共和国主席令第46号公布，自2016年12月1日起施行）</w:t>
      </w:r>
    </w:p>
    <w:p w14:paraId="0F6119A5"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5.《中华人民共和国民法典》（2020年5月28日第十三届全国人大三次会议表决通过，自2021年1月1日起施行）</w:t>
      </w:r>
    </w:p>
    <w:p w14:paraId="6DDA6875" w14:textId="7155C1AD" w:rsidR="00ED5F2D" w:rsidRPr="00ED5F2D" w:rsidRDefault="00ED5F2D" w:rsidP="00ED5F2D">
      <w:pPr>
        <w:spacing w:line="360" w:lineRule="auto"/>
        <w:ind w:firstLineChars="200" w:firstLine="480"/>
        <w:rPr>
          <w:rFonts w:ascii="仿宋" w:eastAsia="仿宋" w:hAnsi="仿宋" w:cs="宋体"/>
          <w:sz w:val="24"/>
        </w:rPr>
      </w:pPr>
      <w:r>
        <w:rPr>
          <w:rFonts w:ascii="仿宋" w:eastAsia="仿宋" w:hAnsi="仿宋" w:cs="宋体"/>
          <w:sz w:val="24"/>
        </w:rPr>
        <w:t>6</w:t>
      </w:r>
      <w:r w:rsidRPr="00ED5F2D">
        <w:rPr>
          <w:rFonts w:ascii="仿宋" w:eastAsia="仿宋" w:hAnsi="仿宋" w:cs="宋体" w:hint="eastAsia"/>
          <w:sz w:val="24"/>
        </w:rPr>
        <w:t>.《中华人民共和国土地管理法实施条例》（1998年12月24日国务院第12次常务会议通过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14:paraId="78BDD700"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（二）采用的技术标准</w:t>
      </w:r>
    </w:p>
    <w:p w14:paraId="25EE0699"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1.《城镇土地估价规程》[GB/T 18508-2014]</w:t>
      </w:r>
    </w:p>
    <w:p w14:paraId="377FEF21"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2.《城镇土地分等定级规程》[GB/T 18507-2014]</w:t>
      </w:r>
    </w:p>
    <w:p w14:paraId="42058CC5"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3.《土地利用现状分类》[ GB/T 21010-2017]</w:t>
      </w:r>
    </w:p>
    <w:p w14:paraId="69F63BDA" w14:textId="53290A99" w:rsid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4.《城市用地分类与规划建设用地标准》[GB50137-2011]</w:t>
      </w:r>
    </w:p>
    <w:p w14:paraId="688872A3" w14:textId="0BEB388A" w:rsidR="00D907D8" w:rsidRDefault="00D907D8" w:rsidP="00ED5F2D">
      <w:pPr>
        <w:spacing w:line="360" w:lineRule="auto"/>
        <w:ind w:firstLineChars="200" w:firstLine="480"/>
        <w:rPr>
          <w:rFonts w:ascii="仿宋" w:eastAsia="仿宋" w:hAnsi="仿宋" w:cs="宋体"/>
          <w:sz w:val="24"/>
        </w:rPr>
      </w:pPr>
      <w:r>
        <w:rPr>
          <w:rFonts w:ascii="仿宋" w:eastAsia="仿宋" w:hAnsi="仿宋" w:cs="宋体" w:hint="eastAsia"/>
          <w:sz w:val="24"/>
        </w:rPr>
        <w:t>5</w:t>
      </w:r>
      <w:r>
        <w:rPr>
          <w:rFonts w:ascii="仿宋" w:eastAsia="仿宋" w:hAnsi="仿宋" w:cs="宋体"/>
          <w:sz w:val="24"/>
        </w:rPr>
        <w:t>.</w:t>
      </w:r>
      <w:r w:rsidR="00EE4189" w:rsidRPr="00EE4189">
        <w:rPr>
          <w:rFonts w:ascii="仿宋" w:eastAsia="仿宋" w:hAnsi="仿宋" w:cs="宋体" w:hint="eastAsia"/>
          <w:sz w:val="24"/>
        </w:rPr>
        <w:t>《北京市企业国有建设用地使用权收购补偿价格评估技术指引》应用有关说明的通知[北估秘（2021）001号]</w:t>
      </w:r>
    </w:p>
    <w:p w14:paraId="24B4E3D5" w14:textId="01FCF4E1" w:rsidR="00D907D8" w:rsidRPr="00ED5F2D" w:rsidRDefault="00D907D8" w:rsidP="00ED5F2D">
      <w:pPr>
        <w:spacing w:line="360" w:lineRule="auto"/>
        <w:ind w:firstLineChars="200" w:firstLine="480"/>
        <w:rPr>
          <w:rFonts w:ascii="仿宋" w:eastAsia="仿宋" w:hAnsi="仿宋" w:cs="宋体"/>
          <w:sz w:val="24"/>
        </w:rPr>
      </w:pPr>
      <w:r>
        <w:rPr>
          <w:rFonts w:ascii="仿宋" w:eastAsia="仿宋" w:hAnsi="仿宋" w:cs="宋体" w:hint="eastAsia"/>
          <w:sz w:val="24"/>
        </w:rPr>
        <w:t>6</w:t>
      </w:r>
      <w:r>
        <w:rPr>
          <w:rFonts w:ascii="仿宋" w:eastAsia="仿宋" w:hAnsi="仿宋" w:cs="宋体"/>
          <w:sz w:val="24"/>
        </w:rPr>
        <w:t>.</w:t>
      </w:r>
      <w:r>
        <w:rPr>
          <w:rFonts w:ascii="仿宋" w:eastAsia="仿宋" w:hAnsi="仿宋" w:cs="宋体" w:hint="eastAsia"/>
          <w:sz w:val="24"/>
        </w:rPr>
        <w:t>《农村集体土地价格评估技术指引》[中估协发（2</w:t>
      </w:r>
      <w:r>
        <w:rPr>
          <w:rFonts w:ascii="仿宋" w:eastAsia="仿宋" w:hAnsi="仿宋" w:cs="宋体"/>
          <w:sz w:val="24"/>
        </w:rPr>
        <w:t>020</w:t>
      </w:r>
      <w:r>
        <w:rPr>
          <w:rFonts w:ascii="仿宋" w:eastAsia="仿宋" w:hAnsi="仿宋" w:cs="宋体" w:hint="eastAsia"/>
          <w:sz w:val="24"/>
        </w:rPr>
        <w:t>）1</w:t>
      </w:r>
      <w:r>
        <w:rPr>
          <w:rFonts w:ascii="仿宋" w:eastAsia="仿宋" w:hAnsi="仿宋" w:cs="宋体"/>
          <w:sz w:val="24"/>
        </w:rPr>
        <w:t>6</w:t>
      </w:r>
      <w:r>
        <w:rPr>
          <w:rFonts w:ascii="仿宋" w:eastAsia="仿宋" w:hAnsi="仿宋" w:cs="宋体" w:hint="eastAsia"/>
          <w:sz w:val="24"/>
        </w:rPr>
        <w:t>号</w:t>
      </w:r>
      <w:r>
        <w:rPr>
          <w:rFonts w:ascii="仿宋" w:eastAsia="仿宋" w:hAnsi="仿宋" w:cs="宋体"/>
          <w:sz w:val="24"/>
        </w:rPr>
        <w:t>]</w:t>
      </w:r>
    </w:p>
    <w:p w14:paraId="266315AE" w14:textId="77777777" w:rsidR="00ED5F2D" w:rsidRPr="00ED5F2D" w:rsidRDefault="00ED5F2D" w:rsidP="00ED5F2D">
      <w:pPr>
        <w:spacing w:line="360" w:lineRule="auto"/>
        <w:ind w:firstLineChars="200" w:firstLine="480"/>
        <w:rPr>
          <w:rFonts w:ascii="仿宋" w:eastAsia="仿宋" w:hAnsi="仿宋" w:cs="宋体"/>
          <w:sz w:val="24"/>
        </w:rPr>
      </w:pPr>
      <w:r w:rsidRPr="00ED5F2D">
        <w:rPr>
          <w:rFonts w:ascii="仿宋" w:eastAsia="仿宋" w:hAnsi="仿宋" w:cs="宋体" w:hint="eastAsia"/>
          <w:sz w:val="24"/>
        </w:rPr>
        <w:t>（三） 委托方提供的资料</w:t>
      </w:r>
    </w:p>
    <w:p w14:paraId="37892275" w14:textId="76CADBF2" w:rsidR="00611DFB" w:rsidRDefault="00ED5F2D" w:rsidP="00611DFB">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估价</w:t>
      </w:r>
      <w:r w:rsidR="00611DFB">
        <w:rPr>
          <w:rFonts w:ascii="仿宋" w:eastAsia="仿宋" w:hAnsi="仿宋" w:cs="宋体" w:hint="eastAsia"/>
          <w:sz w:val="24"/>
        </w:rPr>
        <w:t>结论：本次评估选用</w:t>
      </w:r>
      <w:r w:rsidR="00D907D8" w:rsidRPr="00D907D8">
        <w:rPr>
          <w:rFonts w:ascii="仿宋" w:eastAsia="仿宋" w:hAnsi="仿宋" w:cs="宋体" w:hint="eastAsia"/>
          <w:sz w:val="24"/>
        </w:rPr>
        <w:t>合适的评估方法</w:t>
      </w:r>
      <w:r w:rsidR="00611DFB">
        <w:rPr>
          <w:rFonts w:ascii="仿宋" w:eastAsia="仿宋" w:hAnsi="仿宋" w:cs="宋体" w:hint="eastAsia"/>
          <w:sz w:val="24"/>
        </w:rPr>
        <w:t>进行评估，具体评估结论如下：</w:t>
      </w:r>
    </w:p>
    <w:p w14:paraId="2DBD55EB" w14:textId="2671EEF7" w:rsidR="00611DFB" w:rsidRDefault="00611DFB" w:rsidP="00611DFB">
      <w:pPr>
        <w:spacing w:line="360" w:lineRule="auto"/>
        <w:ind w:firstLineChars="200" w:firstLine="480"/>
        <w:rPr>
          <w:rFonts w:ascii="仿宋" w:eastAsia="仿宋" w:hAnsi="仿宋" w:cs="宋体"/>
          <w:sz w:val="24"/>
        </w:rPr>
      </w:pPr>
      <w:bookmarkStart w:id="0" w:name="_Hlk57243015"/>
      <w:r>
        <w:rPr>
          <w:rFonts w:ascii="仿宋" w:eastAsia="仿宋" w:hAnsi="仿宋" w:cs="宋体" w:hint="eastAsia"/>
          <w:sz w:val="24"/>
        </w:rPr>
        <w:t>评估专业人员运用</w:t>
      </w:r>
      <w:r w:rsidR="001E0FDA">
        <w:rPr>
          <w:rFonts w:ascii="仿宋" w:eastAsia="仿宋" w:hAnsi="仿宋" w:cs="宋体" w:hint="eastAsia"/>
          <w:sz w:val="24"/>
        </w:rPr>
        <w:t>科学的估价方法</w:t>
      </w:r>
      <w:r>
        <w:rPr>
          <w:rFonts w:ascii="仿宋" w:eastAsia="仿宋" w:hAnsi="仿宋" w:cs="宋体" w:hint="eastAsia"/>
          <w:sz w:val="24"/>
        </w:rPr>
        <w:t>进行评估过程中，通过委托人提供的相关资料，结合估价对象实际可行的利用方式进行评估</w:t>
      </w:r>
      <w:r w:rsidR="001E0FDA">
        <w:rPr>
          <w:rFonts w:ascii="仿宋" w:eastAsia="仿宋" w:hAnsi="仿宋" w:cs="宋体" w:hint="eastAsia"/>
          <w:sz w:val="24"/>
        </w:rPr>
        <w:t>。</w:t>
      </w:r>
    </w:p>
    <w:p w14:paraId="5395ECF7" w14:textId="40CCEDDA" w:rsidR="00611DFB" w:rsidRDefault="00611DFB" w:rsidP="00611DFB">
      <w:pPr>
        <w:spacing w:line="360" w:lineRule="auto"/>
        <w:ind w:firstLineChars="200" w:firstLine="480"/>
        <w:rPr>
          <w:rFonts w:ascii="仿宋" w:eastAsia="仿宋" w:hAnsi="仿宋" w:cs="宋体"/>
          <w:sz w:val="24"/>
        </w:rPr>
      </w:pPr>
      <w:r>
        <w:rPr>
          <w:rFonts w:ascii="仿宋" w:eastAsia="仿宋" w:hAnsi="仿宋" w:cs="宋体" w:hint="eastAsia"/>
          <w:sz w:val="24"/>
        </w:rPr>
        <w:t>经评估，北京市顺义区</w:t>
      </w:r>
      <w:r w:rsidR="001E0FDA">
        <w:rPr>
          <w:rFonts w:ascii="仿宋" w:eastAsia="仿宋" w:hAnsi="仿宋" w:cs="宋体" w:hint="eastAsia"/>
          <w:sz w:val="24"/>
        </w:rPr>
        <w:t>北京艺兰珠宝厂有限公司持有的基于现状开发条件下的先进</w:t>
      </w:r>
      <w:r>
        <w:rPr>
          <w:rFonts w:ascii="仿宋" w:eastAsia="仿宋" w:hAnsi="仿宋" w:cs="宋体" w:hint="eastAsia"/>
          <w:sz w:val="24"/>
        </w:rPr>
        <w:t>村集体土地使用权的评估值约为</w:t>
      </w:r>
      <w:r w:rsidR="001E0FDA">
        <w:rPr>
          <w:rFonts w:ascii="仿宋" w:eastAsia="仿宋" w:hAnsi="仿宋" w:cs="宋体"/>
          <w:sz w:val="24"/>
        </w:rPr>
        <w:t>25</w:t>
      </w:r>
      <w:r>
        <w:rPr>
          <w:rFonts w:ascii="仿宋" w:eastAsia="仿宋" w:hAnsi="仿宋" w:cs="宋体" w:hint="eastAsia"/>
          <w:sz w:val="24"/>
        </w:rPr>
        <w:t>万元/亩,估价对象集体建设用地土地使用权总价约</w:t>
      </w:r>
      <w:r w:rsidR="001E0FDA">
        <w:rPr>
          <w:rFonts w:ascii="仿宋" w:eastAsia="仿宋" w:hAnsi="仿宋" w:cs="宋体"/>
          <w:sz w:val="24"/>
        </w:rPr>
        <w:t>3450</w:t>
      </w:r>
      <w:r>
        <w:rPr>
          <w:rFonts w:ascii="仿宋" w:eastAsia="仿宋" w:hAnsi="仿宋" w:cs="宋体" w:hint="eastAsia"/>
          <w:sz w:val="24"/>
        </w:rPr>
        <w:t>万元</w:t>
      </w:r>
      <w:bookmarkEnd w:id="0"/>
      <w:r w:rsidR="001E0FDA">
        <w:rPr>
          <w:rFonts w:ascii="仿宋" w:eastAsia="仿宋" w:hAnsi="仿宋" w:cs="宋体" w:hint="eastAsia"/>
          <w:sz w:val="24"/>
        </w:rPr>
        <w:t>，地上建筑物约2</w:t>
      </w:r>
      <w:r w:rsidR="003129AD">
        <w:rPr>
          <w:rFonts w:ascii="仿宋" w:eastAsia="仿宋" w:hAnsi="仿宋" w:cs="宋体"/>
          <w:sz w:val="24"/>
        </w:rPr>
        <w:t>087</w:t>
      </w:r>
      <w:r w:rsidR="001E0FDA">
        <w:rPr>
          <w:rFonts w:ascii="仿宋" w:eastAsia="仿宋" w:hAnsi="仿宋" w:cs="宋体" w:hint="eastAsia"/>
          <w:sz w:val="24"/>
        </w:rPr>
        <w:t>万元，共计</w:t>
      </w:r>
      <w:r w:rsidR="003129AD">
        <w:rPr>
          <w:rFonts w:ascii="仿宋" w:eastAsia="仿宋" w:hAnsi="仿宋" w:cs="宋体"/>
          <w:sz w:val="24"/>
        </w:rPr>
        <w:t>5537</w:t>
      </w:r>
      <w:r w:rsidR="001E0FDA">
        <w:rPr>
          <w:rFonts w:ascii="仿宋" w:eastAsia="仿宋" w:hAnsi="仿宋" w:cs="宋体" w:hint="eastAsia"/>
          <w:sz w:val="24"/>
        </w:rPr>
        <w:t>万元（大写：</w:t>
      </w:r>
      <w:r w:rsidR="003129AD">
        <w:rPr>
          <w:rFonts w:ascii="仿宋" w:eastAsia="仿宋" w:hAnsi="仿宋" w:cs="宋体" w:hint="eastAsia"/>
          <w:sz w:val="24"/>
        </w:rPr>
        <w:t>伍仟伍佰叁拾柒万</w:t>
      </w:r>
      <w:bookmarkStart w:id="1" w:name="_GoBack"/>
      <w:bookmarkEnd w:id="1"/>
      <w:r w:rsidR="001E0FDA">
        <w:rPr>
          <w:rFonts w:ascii="仿宋" w:eastAsia="仿宋" w:hAnsi="仿宋" w:cs="宋体" w:hint="eastAsia"/>
          <w:sz w:val="24"/>
        </w:rPr>
        <w:t>元）。</w:t>
      </w:r>
    </w:p>
    <w:p w14:paraId="35D4114E" w14:textId="0CDA8778" w:rsidR="00EE4189" w:rsidRDefault="00EE4189" w:rsidP="00611DFB">
      <w:pPr>
        <w:spacing w:line="360" w:lineRule="auto"/>
        <w:ind w:firstLineChars="200" w:firstLine="480"/>
        <w:rPr>
          <w:rFonts w:ascii="仿宋" w:eastAsia="仿宋" w:hAnsi="仿宋" w:cs="宋体"/>
          <w:sz w:val="24"/>
        </w:rPr>
      </w:pPr>
      <w:r w:rsidRPr="00EE4189">
        <w:rPr>
          <w:rFonts w:ascii="仿宋" w:eastAsia="仿宋" w:hAnsi="仿宋" w:cs="宋体" w:hint="eastAsia"/>
          <w:sz w:val="24"/>
        </w:rPr>
        <w:t>特别事项说明</w:t>
      </w:r>
      <w:r>
        <w:rPr>
          <w:rFonts w:ascii="仿宋" w:eastAsia="仿宋" w:hAnsi="仿宋" w:cs="宋体" w:hint="eastAsia"/>
          <w:sz w:val="24"/>
        </w:rPr>
        <w:t>：</w:t>
      </w:r>
      <w:r w:rsidRPr="00EE4189">
        <w:rPr>
          <w:rFonts w:ascii="仿宋" w:eastAsia="仿宋" w:hAnsi="仿宋" w:cs="宋体" w:hint="eastAsia"/>
          <w:sz w:val="24"/>
        </w:rPr>
        <w:t>本次咨询未进行现场查勘，咨询对象宗地现状、权属情况等均以</w:t>
      </w:r>
      <w:r>
        <w:rPr>
          <w:rFonts w:ascii="仿宋" w:eastAsia="仿宋" w:hAnsi="仿宋" w:cs="宋体" w:hint="eastAsia"/>
          <w:sz w:val="24"/>
        </w:rPr>
        <w:t>委托方</w:t>
      </w:r>
      <w:r w:rsidRPr="00EE4189">
        <w:rPr>
          <w:rFonts w:ascii="仿宋" w:eastAsia="仿宋" w:hAnsi="仿宋" w:cs="宋体" w:hint="eastAsia"/>
          <w:sz w:val="24"/>
        </w:rPr>
        <w:t>介绍为依据进行设定。如上述情况与实际不符或发生变化，咨询结果将相应进行调整直至重新评估。</w:t>
      </w:r>
    </w:p>
    <w:p w14:paraId="0EAD2CA1" w14:textId="77777777" w:rsidR="00EE4189" w:rsidRDefault="00EE4189" w:rsidP="00EE4189">
      <w:pPr>
        <w:spacing w:line="360" w:lineRule="auto"/>
        <w:rPr>
          <w:rFonts w:ascii="仿宋" w:eastAsia="仿宋" w:hAnsi="仿宋" w:cs="宋体"/>
          <w:sz w:val="24"/>
        </w:rPr>
      </w:pPr>
    </w:p>
    <w:p w14:paraId="71613B56" w14:textId="77777777" w:rsidR="00EE4189" w:rsidRPr="00EE4189" w:rsidRDefault="00EE4189" w:rsidP="00EE4189">
      <w:pPr>
        <w:spacing w:line="480" w:lineRule="auto"/>
        <w:ind w:firstLineChars="1000" w:firstLine="2400"/>
        <w:rPr>
          <w:rFonts w:ascii="仿宋" w:eastAsia="仿宋" w:hAnsi="仿宋" w:cs="宋体"/>
          <w:sz w:val="24"/>
        </w:rPr>
      </w:pPr>
      <w:r w:rsidRPr="00EE4189">
        <w:rPr>
          <w:rFonts w:ascii="仿宋" w:eastAsia="仿宋" w:hAnsi="仿宋" w:cs="宋体" w:hint="eastAsia"/>
          <w:sz w:val="24"/>
        </w:rPr>
        <w:t>顺致</w:t>
      </w:r>
    </w:p>
    <w:p w14:paraId="3A2E4C4D" w14:textId="77777777" w:rsidR="00EE4189" w:rsidRPr="00EE4189" w:rsidRDefault="00EE4189" w:rsidP="00EE4189">
      <w:pPr>
        <w:spacing w:line="480" w:lineRule="auto"/>
        <w:ind w:firstLineChars="200" w:firstLine="480"/>
        <w:rPr>
          <w:rFonts w:ascii="仿宋" w:eastAsia="仿宋" w:hAnsi="仿宋" w:cs="宋体"/>
          <w:sz w:val="24"/>
        </w:rPr>
      </w:pPr>
      <w:r w:rsidRPr="00EE4189">
        <w:rPr>
          <w:rFonts w:ascii="仿宋" w:eastAsia="仿宋" w:hAnsi="仿宋" w:cs="宋体" w:hint="eastAsia"/>
          <w:sz w:val="24"/>
        </w:rPr>
        <w:t>商祺</w:t>
      </w:r>
    </w:p>
    <w:p w14:paraId="1D31FBC5" w14:textId="77777777" w:rsidR="00EE4189" w:rsidRPr="00EE4189" w:rsidRDefault="00EE4189" w:rsidP="00EE4189">
      <w:pPr>
        <w:spacing w:line="480" w:lineRule="auto"/>
        <w:ind w:firstLineChars="200" w:firstLine="480"/>
        <w:rPr>
          <w:rFonts w:ascii="仿宋" w:eastAsia="仿宋" w:hAnsi="仿宋" w:cs="宋体"/>
          <w:sz w:val="24"/>
        </w:rPr>
      </w:pPr>
    </w:p>
    <w:p w14:paraId="21946738" w14:textId="2495CB2C" w:rsidR="00EE4189" w:rsidRDefault="00EE4189" w:rsidP="00EE4189">
      <w:pPr>
        <w:spacing w:line="480" w:lineRule="auto"/>
        <w:ind w:firstLineChars="200" w:firstLine="480"/>
        <w:jc w:val="right"/>
        <w:rPr>
          <w:rFonts w:ascii="仿宋" w:eastAsia="仿宋" w:hAnsi="仿宋" w:cs="宋体"/>
          <w:sz w:val="24"/>
        </w:rPr>
      </w:pPr>
      <w:r w:rsidRPr="00EE4189">
        <w:rPr>
          <w:rFonts w:ascii="仿宋" w:eastAsia="仿宋" w:hAnsi="仿宋" w:cs="宋体" w:hint="eastAsia"/>
          <w:sz w:val="24"/>
        </w:rPr>
        <w:t>北京康正宏基房地产评估有限公司</w:t>
      </w:r>
    </w:p>
    <w:p w14:paraId="21A010AE" w14:textId="77777777" w:rsidR="00EE4189" w:rsidRPr="00EE4189" w:rsidRDefault="00EE4189" w:rsidP="00EE4189">
      <w:pPr>
        <w:spacing w:line="480" w:lineRule="auto"/>
        <w:ind w:firstLineChars="200" w:firstLine="480"/>
        <w:jc w:val="right"/>
        <w:rPr>
          <w:rFonts w:ascii="仿宋" w:eastAsia="仿宋" w:hAnsi="仿宋" w:cs="宋体"/>
          <w:sz w:val="24"/>
        </w:rPr>
      </w:pPr>
    </w:p>
    <w:p w14:paraId="102D1D49" w14:textId="7E2D8963" w:rsidR="00C81987" w:rsidRPr="00EE4189" w:rsidRDefault="00EE4189" w:rsidP="00EE4189">
      <w:pPr>
        <w:jc w:val="right"/>
        <w:rPr>
          <w:rFonts w:ascii="仿宋" w:eastAsia="仿宋" w:hAnsi="仿宋" w:cs="宋体"/>
          <w:sz w:val="24"/>
        </w:rPr>
      </w:pPr>
      <w:r w:rsidRPr="00EE4189">
        <w:rPr>
          <w:rFonts w:ascii="仿宋" w:eastAsia="仿宋" w:hAnsi="仿宋" w:cs="宋体" w:hint="eastAsia"/>
          <w:sz w:val="24"/>
        </w:rPr>
        <w:t>二〇二二年</w:t>
      </w:r>
      <w:r>
        <w:rPr>
          <w:rFonts w:ascii="仿宋" w:eastAsia="仿宋" w:hAnsi="仿宋" w:cs="宋体" w:hint="eastAsia"/>
          <w:sz w:val="24"/>
        </w:rPr>
        <w:t>七</w:t>
      </w:r>
      <w:r w:rsidRPr="00EE4189">
        <w:rPr>
          <w:rFonts w:ascii="仿宋" w:eastAsia="仿宋" w:hAnsi="仿宋" w:cs="宋体" w:hint="eastAsia"/>
          <w:sz w:val="24"/>
        </w:rPr>
        <w:t>月</w:t>
      </w:r>
      <w:r>
        <w:rPr>
          <w:rFonts w:ascii="仿宋" w:eastAsia="仿宋" w:hAnsi="仿宋" w:cs="宋体" w:hint="eastAsia"/>
          <w:sz w:val="24"/>
        </w:rPr>
        <w:t>十三</w:t>
      </w:r>
      <w:r w:rsidRPr="00EE4189">
        <w:rPr>
          <w:rFonts w:ascii="仿宋" w:eastAsia="仿宋" w:hAnsi="仿宋" w:cs="宋体" w:hint="eastAsia"/>
          <w:sz w:val="24"/>
        </w:rPr>
        <w:t>日</w:t>
      </w:r>
    </w:p>
    <w:sectPr w:rsidR="00C81987" w:rsidRPr="00EE4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8FEDE" w14:textId="77777777" w:rsidR="00E50199" w:rsidRDefault="00E50199" w:rsidP="00D907D8">
      <w:r>
        <w:separator/>
      </w:r>
    </w:p>
  </w:endnote>
  <w:endnote w:type="continuationSeparator" w:id="0">
    <w:p w14:paraId="42FF9C92" w14:textId="77777777" w:rsidR="00E50199" w:rsidRDefault="00E50199" w:rsidP="00D9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A8DE5" w14:textId="77777777" w:rsidR="00E50199" w:rsidRDefault="00E50199" w:rsidP="00D907D8">
      <w:r>
        <w:separator/>
      </w:r>
    </w:p>
  </w:footnote>
  <w:footnote w:type="continuationSeparator" w:id="0">
    <w:p w14:paraId="57507F2F" w14:textId="77777777" w:rsidR="00E50199" w:rsidRDefault="00E50199" w:rsidP="00D90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987"/>
    <w:rsid w:val="001E0FDA"/>
    <w:rsid w:val="003129AD"/>
    <w:rsid w:val="00611DFB"/>
    <w:rsid w:val="00874EFC"/>
    <w:rsid w:val="00C81987"/>
    <w:rsid w:val="00D907D8"/>
    <w:rsid w:val="00DD1B59"/>
    <w:rsid w:val="00E50199"/>
    <w:rsid w:val="00EB3ED4"/>
    <w:rsid w:val="00ED5F2D"/>
    <w:rsid w:val="00EE4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504B5"/>
  <w15:docId w15:val="{D8C625EB-FC7F-422B-B7C6-55B31D5D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D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F2D"/>
    <w:rPr>
      <w:sz w:val="18"/>
      <w:szCs w:val="18"/>
    </w:rPr>
  </w:style>
  <w:style w:type="character" w:customStyle="1" w:styleId="a4">
    <w:name w:val="批注框文本 字符"/>
    <w:basedOn w:val="a0"/>
    <w:link w:val="a3"/>
    <w:uiPriority w:val="99"/>
    <w:semiHidden/>
    <w:rsid w:val="00ED5F2D"/>
    <w:rPr>
      <w:rFonts w:ascii="Times New Roman" w:eastAsia="宋体" w:hAnsi="Times New Roman" w:cs="Times New Roman"/>
      <w:sz w:val="18"/>
      <w:szCs w:val="18"/>
    </w:rPr>
  </w:style>
  <w:style w:type="character" w:styleId="a5">
    <w:name w:val="annotation reference"/>
    <w:basedOn w:val="a0"/>
    <w:uiPriority w:val="99"/>
    <w:semiHidden/>
    <w:unhideWhenUsed/>
    <w:rsid w:val="00EB3ED4"/>
    <w:rPr>
      <w:sz w:val="21"/>
      <w:szCs w:val="21"/>
    </w:rPr>
  </w:style>
  <w:style w:type="paragraph" w:styleId="a6">
    <w:name w:val="annotation text"/>
    <w:basedOn w:val="a"/>
    <w:link w:val="a7"/>
    <w:uiPriority w:val="99"/>
    <w:semiHidden/>
    <w:unhideWhenUsed/>
    <w:rsid w:val="00EB3ED4"/>
    <w:pPr>
      <w:jc w:val="left"/>
    </w:pPr>
  </w:style>
  <w:style w:type="character" w:customStyle="1" w:styleId="a7">
    <w:name w:val="批注文字 字符"/>
    <w:basedOn w:val="a0"/>
    <w:link w:val="a6"/>
    <w:uiPriority w:val="99"/>
    <w:semiHidden/>
    <w:rsid w:val="00EB3ED4"/>
    <w:rPr>
      <w:rFonts w:ascii="Times New Roman" w:eastAsia="宋体" w:hAnsi="Times New Roman" w:cs="Times New Roman"/>
      <w:szCs w:val="24"/>
    </w:rPr>
  </w:style>
  <w:style w:type="paragraph" w:styleId="a8">
    <w:name w:val="annotation subject"/>
    <w:basedOn w:val="a6"/>
    <w:next w:val="a6"/>
    <w:link w:val="a9"/>
    <w:uiPriority w:val="99"/>
    <w:semiHidden/>
    <w:unhideWhenUsed/>
    <w:rsid w:val="00EB3ED4"/>
    <w:rPr>
      <w:b/>
      <w:bCs/>
    </w:rPr>
  </w:style>
  <w:style w:type="character" w:customStyle="1" w:styleId="a9">
    <w:name w:val="批注主题 字符"/>
    <w:basedOn w:val="a7"/>
    <w:link w:val="a8"/>
    <w:uiPriority w:val="99"/>
    <w:semiHidden/>
    <w:rsid w:val="00EB3ED4"/>
    <w:rPr>
      <w:rFonts w:ascii="Times New Roman" w:eastAsia="宋体" w:hAnsi="Times New Roman" w:cs="Times New Roman"/>
      <w:b/>
      <w:bCs/>
      <w:szCs w:val="24"/>
    </w:rPr>
  </w:style>
  <w:style w:type="paragraph" w:styleId="aa">
    <w:name w:val="header"/>
    <w:basedOn w:val="a"/>
    <w:link w:val="ab"/>
    <w:uiPriority w:val="99"/>
    <w:unhideWhenUsed/>
    <w:rsid w:val="00D907D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D907D8"/>
    <w:rPr>
      <w:rFonts w:ascii="Times New Roman" w:eastAsia="宋体" w:hAnsi="Times New Roman" w:cs="Times New Roman"/>
      <w:sz w:val="18"/>
      <w:szCs w:val="18"/>
    </w:rPr>
  </w:style>
  <w:style w:type="paragraph" w:styleId="ac">
    <w:name w:val="footer"/>
    <w:basedOn w:val="a"/>
    <w:link w:val="ad"/>
    <w:uiPriority w:val="99"/>
    <w:unhideWhenUsed/>
    <w:rsid w:val="00D907D8"/>
    <w:pPr>
      <w:tabs>
        <w:tab w:val="center" w:pos="4153"/>
        <w:tab w:val="right" w:pos="8306"/>
      </w:tabs>
      <w:snapToGrid w:val="0"/>
      <w:jc w:val="left"/>
    </w:pPr>
    <w:rPr>
      <w:sz w:val="18"/>
      <w:szCs w:val="18"/>
    </w:rPr>
  </w:style>
  <w:style w:type="character" w:customStyle="1" w:styleId="ad">
    <w:name w:val="页脚 字符"/>
    <w:basedOn w:val="a0"/>
    <w:link w:val="ac"/>
    <w:uiPriority w:val="99"/>
    <w:rsid w:val="00D907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6</cp:revision>
  <dcterms:created xsi:type="dcterms:W3CDTF">2022-07-13T03:32:00Z</dcterms:created>
  <dcterms:modified xsi:type="dcterms:W3CDTF">2022-07-13T09:22:00Z</dcterms:modified>
</cp:coreProperties>
</file>